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01265787"/>
        <w:docPartObj>
          <w:docPartGallery w:val="Cover Pages"/>
          <w:docPartUnique/>
        </w:docPartObj>
      </w:sdtPr>
      <w:sdtEndPr/>
      <w:sdtContent>
        <w:p w14:paraId="11F01D55" w14:textId="64732DA9" w:rsidR="008568AD" w:rsidRDefault="008568AD" w:rsidP="007B203D">
          <w:pPr>
            <w:tabs>
              <w:tab w:val="center" w:pos="4513"/>
            </w:tabs>
          </w:pPr>
          <w:r>
            <w:rPr>
              <w:noProof/>
              <w:lang w:eastAsia="en-AU"/>
            </w:rPr>
            <w:drawing>
              <wp:inline distT="0" distB="0" distL="0" distR="0" wp14:anchorId="1F29A08E" wp14:editId="1072367E">
                <wp:extent cx="6302192" cy="2232000"/>
                <wp:effectExtent l="0" t="0" r="3810" b="0"/>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png"/>
                        <pic:cNvPicPr/>
                      </pic:nvPicPr>
                      <pic:blipFill>
                        <a:blip r:embed="rId11">
                          <a:extLst>
                            <a:ext uri="{28A0092B-C50C-407E-A947-70E740481C1C}">
                              <a14:useLocalDpi xmlns:a14="http://schemas.microsoft.com/office/drawing/2010/main" val="0"/>
                            </a:ext>
                          </a:extLst>
                        </a:blip>
                        <a:stretch>
                          <a:fillRect/>
                        </a:stretch>
                      </pic:blipFill>
                      <pic:spPr>
                        <a:xfrm>
                          <a:off x="0" y="0"/>
                          <a:ext cx="6302192" cy="2232000"/>
                        </a:xfrm>
                        <a:prstGeom prst="rect">
                          <a:avLst/>
                        </a:prstGeom>
                      </pic:spPr>
                    </pic:pic>
                  </a:graphicData>
                </a:graphic>
              </wp:inline>
            </w:drawing>
          </w:r>
        </w:p>
        <w:p w14:paraId="0D49DE50" w14:textId="5BE3F8DD" w:rsidR="003806E7" w:rsidRDefault="00175225" w:rsidP="005B1164">
          <w:pPr>
            <w:pStyle w:val="Title"/>
            <w:spacing w:after="3480"/>
            <w:rPr>
              <w:sz w:val="40"/>
              <w:szCs w:val="40"/>
            </w:rPr>
          </w:pPr>
          <w:r w:rsidRPr="00175225">
            <w:t>Interim Advice to Government – Implementation of Hearing Services Program Changes</w:t>
          </w:r>
        </w:p>
        <w:p w14:paraId="29499D5A" w14:textId="5986391C" w:rsidR="008A6B3B" w:rsidRPr="008A6B3B" w:rsidRDefault="008A6B3B" w:rsidP="008A6B3B">
          <w:pPr>
            <w:ind w:left="5760"/>
            <w:rPr>
              <w:sz w:val="40"/>
              <w:szCs w:val="40"/>
            </w:rPr>
          </w:pPr>
          <w:r w:rsidRPr="008A6B3B">
            <w:rPr>
              <w:sz w:val="40"/>
              <w:szCs w:val="40"/>
            </w:rPr>
            <w:t>November 2020</w:t>
          </w:r>
        </w:p>
        <w:p w14:paraId="3BB19D6F" w14:textId="0C1539FA" w:rsidR="00BC25E2" w:rsidRDefault="00BC25E2" w:rsidP="00175225">
          <w:r>
            <w:br w:type="page"/>
          </w:r>
        </w:p>
      </w:sdtContent>
    </w:sdt>
    <w:p w14:paraId="7D3EA374" w14:textId="77777777" w:rsidR="005878E0" w:rsidRPr="00E13FE5" w:rsidRDefault="005878E0" w:rsidP="005878E0">
      <w:pPr>
        <w:rPr>
          <w:sz w:val="22"/>
          <w:szCs w:val="22"/>
        </w:rPr>
      </w:pPr>
    </w:p>
    <w:p w14:paraId="27F182FE" w14:textId="49D900FB" w:rsidR="005878E0" w:rsidRPr="00E13FE5" w:rsidRDefault="005878E0" w:rsidP="005878E0">
      <w:pPr>
        <w:pStyle w:val="Title"/>
      </w:pPr>
      <w:r w:rsidRPr="00E13FE5">
        <w:t xml:space="preserve">Interim </w:t>
      </w:r>
      <w:r w:rsidRPr="00A7769A">
        <w:t>Advice</w:t>
      </w:r>
      <w:r w:rsidRPr="00E13FE5">
        <w:t xml:space="preserve"> to Government – I</w:t>
      </w:r>
      <w:r>
        <w:t>mplementation</w:t>
      </w:r>
      <w:r w:rsidRPr="00E13FE5">
        <w:t xml:space="preserve"> of Hearing Services Program </w:t>
      </w:r>
      <w:r w:rsidR="001A5791">
        <w:t>C</w:t>
      </w:r>
      <w:r w:rsidR="001A5791" w:rsidRPr="00E13FE5">
        <w:t>hanges</w:t>
      </w:r>
    </w:p>
    <w:p w14:paraId="773B11AD" w14:textId="77777777" w:rsidR="005878E0" w:rsidRPr="00E13FE5" w:rsidRDefault="005878E0" w:rsidP="005878E0">
      <w:pPr>
        <w:rPr>
          <w:sz w:val="22"/>
          <w:szCs w:val="22"/>
        </w:rPr>
      </w:pPr>
    </w:p>
    <w:sdt>
      <w:sdtPr>
        <w:rPr>
          <w:rFonts w:asciiTheme="minorHAnsi" w:eastAsiaTheme="minorHAnsi" w:hAnsiTheme="minorHAnsi" w:cstheme="minorHAnsi"/>
          <w:color w:val="auto"/>
          <w:sz w:val="22"/>
          <w:szCs w:val="22"/>
          <w:lang w:val="en-AU"/>
        </w:rPr>
        <w:id w:val="-433599779"/>
        <w:docPartObj>
          <w:docPartGallery w:val="Table of Contents"/>
          <w:docPartUnique/>
        </w:docPartObj>
      </w:sdtPr>
      <w:sdtEndPr/>
      <w:sdtContent>
        <w:p w14:paraId="30221E06" w14:textId="77777777" w:rsidR="005878E0" w:rsidRPr="00A03249" w:rsidRDefault="005878E0" w:rsidP="005878E0">
          <w:pPr>
            <w:pStyle w:val="TOCHeading"/>
            <w:rPr>
              <w:rFonts w:asciiTheme="minorHAnsi" w:hAnsiTheme="minorHAnsi" w:cstheme="minorHAnsi"/>
              <w:sz w:val="22"/>
              <w:szCs w:val="22"/>
              <w:lang w:val="en-AU"/>
            </w:rPr>
          </w:pPr>
        </w:p>
        <w:p w14:paraId="1073A750" w14:textId="4C6FB56B" w:rsidR="00C304DE" w:rsidRDefault="005878E0">
          <w:pPr>
            <w:pStyle w:val="TOC1"/>
            <w:rPr>
              <w:rFonts w:eastAsiaTheme="minorEastAsia" w:cstheme="minorBidi"/>
              <w:noProof/>
              <w:sz w:val="22"/>
              <w:szCs w:val="22"/>
              <w:lang w:eastAsia="en-AU"/>
            </w:rPr>
          </w:pPr>
          <w:r w:rsidRPr="00A03249">
            <w:rPr>
              <w:sz w:val="22"/>
              <w:szCs w:val="22"/>
            </w:rPr>
            <w:fldChar w:fldCharType="begin"/>
          </w:r>
          <w:r w:rsidRPr="00A03249">
            <w:rPr>
              <w:sz w:val="22"/>
              <w:szCs w:val="22"/>
            </w:rPr>
            <w:instrText xml:space="preserve"> TOC \o "1-3" \h \z \u </w:instrText>
          </w:r>
          <w:r w:rsidRPr="00A03249">
            <w:rPr>
              <w:sz w:val="22"/>
              <w:szCs w:val="22"/>
            </w:rPr>
            <w:fldChar w:fldCharType="separate"/>
          </w:r>
          <w:hyperlink w:anchor="_Toc57901078" w:history="1">
            <w:r w:rsidR="00C304DE" w:rsidRPr="00A9747B">
              <w:rPr>
                <w:rStyle w:val="Hyperlink"/>
                <w:noProof/>
              </w:rPr>
              <w:t>List of Figures</w:t>
            </w:r>
            <w:r w:rsidR="00C304DE">
              <w:rPr>
                <w:noProof/>
                <w:webHidden/>
              </w:rPr>
              <w:tab/>
            </w:r>
            <w:r w:rsidR="00C304DE">
              <w:rPr>
                <w:noProof/>
                <w:webHidden/>
              </w:rPr>
              <w:fldChar w:fldCharType="begin"/>
            </w:r>
            <w:r w:rsidR="00C304DE">
              <w:rPr>
                <w:noProof/>
                <w:webHidden/>
              </w:rPr>
              <w:instrText xml:space="preserve"> PAGEREF _Toc57901078 \h </w:instrText>
            </w:r>
            <w:r w:rsidR="00C304DE">
              <w:rPr>
                <w:noProof/>
                <w:webHidden/>
              </w:rPr>
            </w:r>
            <w:r w:rsidR="00C304DE">
              <w:rPr>
                <w:noProof/>
                <w:webHidden/>
              </w:rPr>
              <w:fldChar w:fldCharType="separate"/>
            </w:r>
            <w:r w:rsidR="00DD11FB">
              <w:rPr>
                <w:noProof/>
                <w:webHidden/>
              </w:rPr>
              <w:t>3</w:t>
            </w:r>
            <w:r w:rsidR="00C304DE">
              <w:rPr>
                <w:noProof/>
                <w:webHidden/>
              </w:rPr>
              <w:fldChar w:fldCharType="end"/>
            </w:r>
          </w:hyperlink>
        </w:p>
        <w:p w14:paraId="3FE667E7" w14:textId="6675D887" w:rsidR="00C304DE" w:rsidRDefault="00DD11FB">
          <w:pPr>
            <w:pStyle w:val="TOC1"/>
            <w:rPr>
              <w:rFonts w:eastAsiaTheme="minorEastAsia" w:cstheme="minorBidi"/>
              <w:noProof/>
              <w:sz w:val="22"/>
              <w:szCs w:val="22"/>
              <w:lang w:eastAsia="en-AU"/>
            </w:rPr>
          </w:pPr>
          <w:hyperlink w:anchor="_Toc57901079" w:history="1">
            <w:r w:rsidR="00C304DE" w:rsidRPr="00A9747B">
              <w:rPr>
                <w:rStyle w:val="Hyperlink"/>
                <w:noProof/>
              </w:rPr>
              <w:t>List of Tables</w:t>
            </w:r>
            <w:r w:rsidR="00C304DE">
              <w:rPr>
                <w:noProof/>
                <w:webHidden/>
              </w:rPr>
              <w:tab/>
            </w:r>
            <w:r w:rsidR="00C304DE">
              <w:rPr>
                <w:noProof/>
                <w:webHidden/>
              </w:rPr>
              <w:fldChar w:fldCharType="begin"/>
            </w:r>
            <w:r w:rsidR="00C304DE">
              <w:rPr>
                <w:noProof/>
                <w:webHidden/>
              </w:rPr>
              <w:instrText xml:space="preserve"> PAGEREF _Toc57901079 \h </w:instrText>
            </w:r>
            <w:r w:rsidR="00C304DE">
              <w:rPr>
                <w:noProof/>
                <w:webHidden/>
              </w:rPr>
            </w:r>
            <w:r w:rsidR="00C304DE">
              <w:rPr>
                <w:noProof/>
                <w:webHidden/>
              </w:rPr>
              <w:fldChar w:fldCharType="separate"/>
            </w:r>
            <w:r>
              <w:rPr>
                <w:noProof/>
                <w:webHidden/>
              </w:rPr>
              <w:t>3</w:t>
            </w:r>
            <w:r w:rsidR="00C304DE">
              <w:rPr>
                <w:noProof/>
                <w:webHidden/>
              </w:rPr>
              <w:fldChar w:fldCharType="end"/>
            </w:r>
          </w:hyperlink>
        </w:p>
        <w:p w14:paraId="052CD978" w14:textId="7B48FED6" w:rsidR="00C304DE" w:rsidRDefault="00DD11FB">
          <w:pPr>
            <w:pStyle w:val="TOC1"/>
            <w:rPr>
              <w:rFonts w:eastAsiaTheme="minorEastAsia" w:cstheme="minorBidi"/>
              <w:noProof/>
              <w:sz w:val="22"/>
              <w:szCs w:val="22"/>
              <w:lang w:eastAsia="en-AU"/>
            </w:rPr>
          </w:pPr>
          <w:hyperlink w:anchor="_Toc57901080" w:history="1">
            <w:r w:rsidR="00C304DE" w:rsidRPr="00A9747B">
              <w:rPr>
                <w:rStyle w:val="Hyperlink"/>
                <w:noProof/>
              </w:rPr>
              <w:t>Executive Summary</w:t>
            </w:r>
            <w:r w:rsidR="00C304DE">
              <w:rPr>
                <w:noProof/>
                <w:webHidden/>
              </w:rPr>
              <w:tab/>
            </w:r>
            <w:r w:rsidR="00C304DE">
              <w:rPr>
                <w:noProof/>
                <w:webHidden/>
              </w:rPr>
              <w:fldChar w:fldCharType="begin"/>
            </w:r>
            <w:r w:rsidR="00C304DE">
              <w:rPr>
                <w:noProof/>
                <w:webHidden/>
              </w:rPr>
              <w:instrText xml:space="preserve"> PAGEREF _Toc57901080 \h </w:instrText>
            </w:r>
            <w:r w:rsidR="00C304DE">
              <w:rPr>
                <w:noProof/>
                <w:webHidden/>
              </w:rPr>
            </w:r>
            <w:r w:rsidR="00C304DE">
              <w:rPr>
                <w:noProof/>
                <w:webHidden/>
              </w:rPr>
              <w:fldChar w:fldCharType="separate"/>
            </w:r>
            <w:r>
              <w:rPr>
                <w:noProof/>
                <w:webHidden/>
              </w:rPr>
              <w:t>4</w:t>
            </w:r>
            <w:r w:rsidR="00C304DE">
              <w:rPr>
                <w:noProof/>
                <w:webHidden/>
              </w:rPr>
              <w:fldChar w:fldCharType="end"/>
            </w:r>
          </w:hyperlink>
        </w:p>
        <w:p w14:paraId="249F8E30" w14:textId="5E55E05D" w:rsidR="00C304DE" w:rsidRDefault="00DD11FB">
          <w:pPr>
            <w:pStyle w:val="TOC2"/>
            <w:rPr>
              <w:rFonts w:eastAsiaTheme="minorEastAsia" w:cstheme="minorBidi"/>
              <w:noProof/>
              <w:sz w:val="22"/>
              <w:szCs w:val="22"/>
              <w:lang w:eastAsia="en-AU"/>
            </w:rPr>
          </w:pPr>
          <w:hyperlink w:anchor="_Toc57901081" w:history="1">
            <w:r w:rsidR="00C304DE" w:rsidRPr="00A9747B">
              <w:rPr>
                <w:rStyle w:val="Hyperlink"/>
                <w:noProof/>
              </w:rPr>
              <w:t>Key messages</w:t>
            </w:r>
            <w:r w:rsidR="00C304DE">
              <w:rPr>
                <w:noProof/>
                <w:webHidden/>
              </w:rPr>
              <w:tab/>
            </w:r>
            <w:r w:rsidR="00C304DE">
              <w:rPr>
                <w:noProof/>
                <w:webHidden/>
              </w:rPr>
              <w:fldChar w:fldCharType="begin"/>
            </w:r>
            <w:r w:rsidR="00C304DE">
              <w:rPr>
                <w:noProof/>
                <w:webHidden/>
              </w:rPr>
              <w:instrText xml:space="preserve"> PAGEREF _Toc57901081 \h </w:instrText>
            </w:r>
            <w:r w:rsidR="00C304DE">
              <w:rPr>
                <w:noProof/>
                <w:webHidden/>
              </w:rPr>
            </w:r>
            <w:r w:rsidR="00C304DE">
              <w:rPr>
                <w:noProof/>
                <w:webHidden/>
              </w:rPr>
              <w:fldChar w:fldCharType="separate"/>
            </w:r>
            <w:r>
              <w:rPr>
                <w:noProof/>
                <w:webHidden/>
              </w:rPr>
              <w:t>4</w:t>
            </w:r>
            <w:r w:rsidR="00C304DE">
              <w:rPr>
                <w:noProof/>
                <w:webHidden/>
              </w:rPr>
              <w:fldChar w:fldCharType="end"/>
            </w:r>
          </w:hyperlink>
        </w:p>
        <w:p w14:paraId="181E86C1" w14:textId="0928E6C5" w:rsidR="00C304DE" w:rsidRDefault="00DD11FB">
          <w:pPr>
            <w:pStyle w:val="TOC1"/>
            <w:rPr>
              <w:rFonts w:eastAsiaTheme="minorEastAsia" w:cstheme="minorBidi"/>
              <w:noProof/>
              <w:sz w:val="22"/>
              <w:szCs w:val="22"/>
              <w:lang w:eastAsia="en-AU"/>
            </w:rPr>
          </w:pPr>
          <w:hyperlink w:anchor="_Toc57901082" w:history="1">
            <w:r w:rsidR="00C304DE" w:rsidRPr="00A9747B">
              <w:rPr>
                <w:rStyle w:val="Hyperlink"/>
                <w:noProof/>
              </w:rPr>
              <w:t>Background</w:t>
            </w:r>
            <w:r w:rsidR="00C304DE">
              <w:rPr>
                <w:noProof/>
                <w:webHidden/>
              </w:rPr>
              <w:tab/>
            </w:r>
            <w:r w:rsidR="00C304DE">
              <w:rPr>
                <w:noProof/>
                <w:webHidden/>
              </w:rPr>
              <w:fldChar w:fldCharType="begin"/>
            </w:r>
            <w:r w:rsidR="00C304DE">
              <w:rPr>
                <w:noProof/>
                <w:webHidden/>
              </w:rPr>
              <w:instrText xml:space="preserve"> PAGEREF _Toc57901082 \h </w:instrText>
            </w:r>
            <w:r w:rsidR="00C304DE">
              <w:rPr>
                <w:noProof/>
                <w:webHidden/>
              </w:rPr>
            </w:r>
            <w:r w:rsidR="00C304DE">
              <w:rPr>
                <w:noProof/>
                <w:webHidden/>
              </w:rPr>
              <w:fldChar w:fldCharType="separate"/>
            </w:r>
            <w:r>
              <w:rPr>
                <w:noProof/>
                <w:webHidden/>
              </w:rPr>
              <w:t>5</w:t>
            </w:r>
            <w:r w:rsidR="00C304DE">
              <w:rPr>
                <w:noProof/>
                <w:webHidden/>
              </w:rPr>
              <w:fldChar w:fldCharType="end"/>
            </w:r>
          </w:hyperlink>
        </w:p>
        <w:p w14:paraId="6624603F" w14:textId="3B35DDA0" w:rsidR="00C304DE" w:rsidRDefault="00DD11FB">
          <w:pPr>
            <w:pStyle w:val="TOC2"/>
            <w:rPr>
              <w:rFonts w:eastAsiaTheme="minorEastAsia" w:cstheme="minorBidi"/>
              <w:noProof/>
              <w:sz w:val="22"/>
              <w:szCs w:val="22"/>
              <w:lang w:eastAsia="en-AU"/>
            </w:rPr>
          </w:pPr>
          <w:hyperlink w:anchor="_Toc57901083" w:history="1">
            <w:r w:rsidR="00C304DE" w:rsidRPr="00A9747B">
              <w:rPr>
                <w:rStyle w:val="Hyperlink"/>
                <w:noProof/>
              </w:rPr>
              <w:t>Purpose of this paper</w:t>
            </w:r>
            <w:r w:rsidR="00C304DE">
              <w:rPr>
                <w:noProof/>
                <w:webHidden/>
              </w:rPr>
              <w:tab/>
            </w:r>
            <w:r w:rsidR="00C304DE">
              <w:rPr>
                <w:noProof/>
                <w:webHidden/>
              </w:rPr>
              <w:fldChar w:fldCharType="begin"/>
            </w:r>
            <w:r w:rsidR="00C304DE">
              <w:rPr>
                <w:noProof/>
                <w:webHidden/>
              </w:rPr>
              <w:instrText xml:space="preserve"> PAGEREF _Toc57901083 \h </w:instrText>
            </w:r>
            <w:r w:rsidR="00C304DE">
              <w:rPr>
                <w:noProof/>
                <w:webHidden/>
              </w:rPr>
            </w:r>
            <w:r w:rsidR="00C304DE">
              <w:rPr>
                <w:noProof/>
                <w:webHidden/>
              </w:rPr>
              <w:fldChar w:fldCharType="separate"/>
            </w:r>
            <w:r>
              <w:rPr>
                <w:noProof/>
                <w:webHidden/>
              </w:rPr>
              <w:t>5</w:t>
            </w:r>
            <w:r w:rsidR="00C304DE">
              <w:rPr>
                <w:noProof/>
                <w:webHidden/>
              </w:rPr>
              <w:fldChar w:fldCharType="end"/>
            </w:r>
          </w:hyperlink>
        </w:p>
        <w:p w14:paraId="1C8D2B54" w14:textId="122FFA31" w:rsidR="00C304DE" w:rsidRDefault="00DD11FB">
          <w:pPr>
            <w:pStyle w:val="TOC2"/>
            <w:rPr>
              <w:rFonts w:eastAsiaTheme="minorEastAsia" w:cstheme="minorBidi"/>
              <w:noProof/>
              <w:sz w:val="22"/>
              <w:szCs w:val="22"/>
              <w:lang w:eastAsia="en-AU"/>
            </w:rPr>
          </w:pPr>
          <w:hyperlink w:anchor="_Toc57901084" w:history="1">
            <w:r w:rsidR="00C304DE" w:rsidRPr="00A9747B">
              <w:rPr>
                <w:rStyle w:val="Hyperlink"/>
                <w:noProof/>
              </w:rPr>
              <w:t>Hearing loss in Australia</w:t>
            </w:r>
            <w:r w:rsidR="00C304DE">
              <w:rPr>
                <w:noProof/>
                <w:webHidden/>
              </w:rPr>
              <w:tab/>
            </w:r>
            <w:r w:rsidR="00C304DE">
              <w:rPr>
                <w:noProof/>
                <w:webHidden/>
              </w:rPr>
              <w:fldChar w:fldCharType="begin"/>
            </w:r>
            <w:r w:rsidR="00C304DE">
              <w:rPr>
                <w:noProof/>
                <w:webHidden/>
              </w:rPr>
              <w:instrText xml:space="preserve"> PAGEREF _Toc57901084 \h </w:instrText>
            </w:r>
            <w:r w:rsidR="00C304DE">
              <w:rPr>
                <w:noProof/>
                <w:webHidden/>
              </w:rPr>
            </w:r>
            <w:r w:rsidR="00C304DE">
              <w:rPr>
                <w:noProof/>
                <w:webHidden/>
              </w:rPr>
              <w:fldChar w:fldCharType="separate"/>
            </w:r>
            <w:r>
              <w:rPr>
                <w:noProof/>
                <w:webHidden/>
              </w:rPr>
              <w:t>5</w:t>
            </w:r>
            <w:r w:rsidR="00C304DE">
              <w:rPr>
                <w:noProof/>
                <w:webHidden/>
              </w:rPr>
              <w:fldChar w:fldCharType="end"/>
            </w:r>
          </w:hyperlink>
        </w:p>
        <w:p w14:paraId="6EC3F234" w14:textId="2358C8D0" w:rsidR="00C304DE" w:rsidRDefault="00DD11FB">
          <w:pPr>
            <w:pStyle w:val="TOC2"/>
            <w:rPr>
              <w:rFonts w:eastAsiaTheme="minorEastAsia" w:cstheme="minorBidi"/>
              <w:noProof/>
              <w:sz w:val="22"/>
              <w:szCs w:val="22"/>
              <w:lang w:eastAsia="en-AU"/>
            </w:rPr>
          </w:pPr>
          <w:hyperlink w:anchor="_Toc57901085" w:history="1">
            <w:r w:rsidR="00C304DE" w:rsidRPr="00A9747B">
              <w:rPr>
                <w:rStyle w:val="Hyperlink"/>
                <w:noProof/>
              </w:rPr>
              <w:t>The Hearing Services Program</w:t>
            </w:r>
            <w:r w:rsidR="00C304DE">
              <w:rPr>
                <w:noProof/>
                <w:webHidden/>
              </w:rPr>
              <w:tab/>
            </w:r>
            <w:r w:rsidR="00C304DE">
              <w:rPr>
                <w:noProof/>
                <w:webHidden/>
              </w:rPr>
              <w:fldChar w:fldCharType="begin"/>
            </w:r>
            <w:r w:rsidR="00C304DE">
              <w:rPr>
                <w:noProof/>
                <w:webHidden/>
              </w:rPr>
              <w:instrText xml:space="preserve"> PAGEREF _Toc57901085 \h </w:instrText>
            </w:r>
            <w:r w:rsidR="00C304DE">
              <w:rPr>
                <w:noProof/>
                <w:webHidden/>
              </w:rPr>
            </w:r>
            <w:r w:rsidR="00C304DE">
              <w:rPr>
                <w:noProof/>
                <w:webHidden/>
              </w:rPr>
              <w:fldChar w:fldCharType="separate"/>
            </w:r>
            <w:r>
              <w:rPr>
                <w:noProof/>
                <w:webHidden/>
              </w:rPr>
              <w:t>6</w:t>
            </w:r>
            <w:r w:rsidR="00C304DE">
              <w:rPr>
                <w:noProof/>
                <w:webHidden/>
              </w:rPr>
              <w:fldChar w:fldCharType="end"/>
            </w:r>
          </w:hyperlink>
        </w:p>
        <w:p w14:paraId="6E2FBA09" w14:textId="04CDF5C5" w:rsidR="00C304DE" w:rsidRDefault="00DD11FB">
          <w:pPr>
            <w:pStyle w:val="TOC2"/>
            <w:rPr>
              <w:rFonts w:eastAsiaTheme="minorEastAsia" w:cstheme="minorBidi"/>
              <w:noProof/>
              <w:sz w:val="22"/>
              <w:szCs w:val="22"/>
              <w:lang w:eastAsia="en-AU"/>
            </w:rPr>
          </w:pPr>
          <w:hyperlink w:anchor="_Toc57901086" w:history="1">
            <w:r w:rsidR="00C304DE" w:rsidRPr="00A9747B">
              <w:rPr>
                <w:rStyle w:val="Hyperlink"/>
                <w:noProof/>
              </w:rPr>
              <w:t>FY2020-21 Federal Budget announcements</w:t>
            </w:r>
            <w:r w:rsidR="00C304DE">
              <w:rPr>
                <w:noProof/>
                <w:webHidden/>
              </w:rPr>
              <w:tab/>
            </w:r>
            <w:r w:rsidR="00C304DE">
              <w:rPr>
                <w:noProof/>
                <w:webHidden/>
              </w:rPr>
              <w:fldChar w:fldCharType="begin"/>
            </w:r>
            <w:r w:rsidR="00C304DE">
              <w:rPr>
                <w:noProof/>
                <w:webHidden/>
              </w:rPr>
              <w:instrText xml:space="preserve"> PAGEREF _Toc57901086 \h </w:instrText>
            </w:r>
            <w:r w:rsidR="00C304DE">
              <w:rPr>
                <w:noProof/>
                <w:webHidden/>
              </w:rPr>
            </w:r>
            <w:r w:rsidR="00C304DE">
              <w:rPr>
                <w:noProof/>
                <w:webHidden/>
              </w:rPr>
              <w:fldChar w:fldCharType="separate"/>
            </w:r>
            <w:r>
              <w:rPr>
                <w:noProof/>
                <w:webHidden/>
              </w:rPr>
              <w:t>7</w:t>
            </w:r>
            <w:r w:rsidR="00C304DE">
              <w:rPr>
                <w:noProof/>
                <w:webHidden/>
              </w:rPr>
              <w:fldChar w:fldCharType="end"/>
            </w:r>
          </w:hyperlink>
        </w:p>
        <w:p w14:paraId="3800E2EE" w14:textId="5C4F0B38" w:rsidR="00C304DE" w:rsidRDefault="00DD11FB">
          <w:pPr>
            <w:pStyle w:val="TOC3"/>
            <w:tabs>
              <w:tab w:val="right" w:leader="dot" w:pos="9016"/>
            </w:tabs>
            <w:rPr>
              <w:rFonts w:eastAsiaTheme="minorEastAsia" w:cstheme="minorBidi"/>
              <w:noProof/>
              <w:sz w:val="22"/>
              <w:szCs w:val="22"/>
              <w:lang w:eastAsia="en-AU"/>
            </w:rPr>
          </w:pPr>
          <w:hyperlink w:anchor="_Toc57901087" w:history="1">
            <w:r w:rsidR="00C304DE" w:rsidRPr="00A9747B">
              <w:rPr>
                <w:rStyle w:val="Hyperlink"/>
                <w:noProof/>
              </w:rPr>
              <w:t>Overview</w:t>
            </w:r>
            <w:r w:rsidR="00C304DE">
              <w:rPr>
                <w:noProof/>
                <w:webHidden/>
              </w:rPr>
              <w:tab/>
            </w:r>
            <w:r w:rsidR="00C304DE">
              <w:rPr>
                <w:noProof/>
                <w:webHidden/>
              </w:rPr>
              <w:fldChar w:fldCharType="begin"/>
            </w:r>
            <w:r w:rsidR="00C304DE">
              <w:rPr>
                <w:noProof/>
                <w:webHidden/>
              </w:rPr>
              <w:instrText xml:space="preserve"> PAGEREF _Toc57901087 \h </w:instrText>
            </w:r>
            <w:r w:rsidR="00C304DE">
              <w:rPr>
                <w:noProof/>
                <w:webHidden/>
              </w:rPr>
            </w:r>
            <w:r w:rsidR="00C304DE">
              <w:rPr>
                <w:noProof/>
                <w:webHidden/>
              </w:rPr>
              <w:fldChar w:fldCharType="separate"/>
            </w:r>
            <w:r>
              <w:rPr>
                <w:noProof/>
                <w:webHidden/>
              </w:rPr>
              <w:t>7</w:t>
            </w:r>
            <w:r w:rsidR="00C304DE">
              <w:rPr>
                <w:noProof/>
                <w:webHidden/>
              </w:rPr>
              <w:fldChar w:fldCharType="end"/>
            </w:r>
          </w:hyperlink>
        </w:p>
        <w:p w14:paraId="150EA173" w14:textId="24CBF320" w:rsidR="00C304DE" w:rsidRDefault="00DD11FB">
          <w:pPr>
            <w:pStyle w:val="TOC2"/>
            <w:rPr>
              <w:rFonts w:eastAsiaTheme="minorEastAsia" w:cstheme="minorBidi"/>
              <w:noProof/>
              <w:sz w:val="22"/>
              <w:szCs w:val="22"/>
              <w:lang w:eastAsia="en-AU"/>
            </w:rPr>
          </w:pPr>
          <w:hyperlink w:anchor="_Toc57901088" w:history="1">
            <w:r w:rsidR="00C304DE" w:rsidRPr="00A9747B">
              <w:rPr>
                <w:rStyle w:val="Hyperlink"/>
                <w:noProof/>
              </w:rPr>
              <w:t>Regulation Impact Statement: expected impacts on the Program</w:t>
            </w:r>
            <w:r w:rsidR="00C304DE">
              <w:rPr>
                <w:noProof/>
                <w:webHidden/>
              </w:rPr>
              <w:tab/>
            </w:r>
            <w:r w:rsidR="00C304DE">
              <w:rPr>
                <w:noProof/>
                <w:webHidden/>
              </w:rPr>
              <w:fldChar w:fldCharType="begin"/>
            </w:r>
            <w:r w:rsidR="00C304DE">
              <w:rPr>
                <w:noProof/>
                <w:webHidden/>
              </w:rPr>
              <w:instrText xml:space="preserve"> PAGEREF _Toc57901088 \h </w:instrText>
            </w:r>
            <w:r w:rsidR="00C304DE">
              <w:rPr>
                <w:noProof/>
                <w:webHidden/>
              </w:rPr>
            </w:r>
            <w:r w:rsidR="00C304DE">
              <w:rPr>
                <w:noProof/>
                <w:webHidden/>
              </w:rPr>
              <w:fldChar w:fldCharType="separate"/>
            </w:r>
            <w:r>
              <w:rPr>
                <w:noProof/>
                <w:webHidden/>
              </w:rPr>
              <w:t>8</w:t>
            </w:r>
            <w:r w:rsidR="00C304DE">
              <w:rPr>
                <w:noProof/>
                <w:webHidden/>
              </w:rPr>
              <w:fldChar w:fldCharType="end"/>
            </w:r>
          </w:hyperlink>
        </w:p>
        <w:p w14:paraId="6D547C36" w14:textId="4FCB42B7" w:rsidR="00C304DE" w:rsidRDefault="00DD11FB">
          <w:pPr>
            <w:pStyle w:val="TOC2"/>
            <w:rPr>
              <w:rFonts w:eastAsiaTheme="minorEastAsia" w:cstheme="minorBidi"/>
              <w:noProof/>
              <w:sz w:val="22"/>
              <w:szCs w:val="22"/>
              <w:lang w:eastAsia="en-AU"/>
            </w:rPr>
          </w:pPr>
          <w:hyperlink w:anchor="_Toc57901089" w:history="1">
            <w:r w:rsidR="00C304DE" w:rsidRPr="00A9747B">
              <w:rPr>
                <w:rStyle w:val="Hyperlink"/>
                <w:noProof/>
              </w:rPr>
              <w:t>Summary of the potential impacts on particular stakeholders of the Voucher Scheme</w:t>
            </w:r>
            <w:r w:rsidR="00C304DE">
              <w:rPr>
                <w:noProof/>
                <w:webHidden/>
              </w:rPr>
              <w:tab/>
            </w:r>
            <w:r w:rsidR="00C304DE">
              <w:rPr>
                <w:noProof/>
                <w:webHidden/>
              </w:rPr>
              <w:fldChar w:fldCharType="begin"/>
            </w:r>
            <w:r w:rsidR="00C304DE">
              <w:rPr>
                <w:noProof/>
                <w:webHidden/>
              </w:rPr>
              <w:instrText xml:space="preserve"> PAGEREF _Toc57901089 \h </w:instrText>
            </w:r>
            <w:r w:rsidR="00C304DE">
              <w:rPr>
                <w:noProof/>
                <w:webHidden/>
              </w:rPr>
            </w:r>
            <w:r w:rsidR="00C304DE">
              <w:rPr>
                <w:noProof/>
                <w:webHidden/>
              </w:rPr>
              <w:fldChar w:fldCharType="separate"/>
            </w:r>
            <w:r>
              <w:rPr>
                <w:noProof/>
                <w:webHidden/>
              </w:rPr>
              <w:t>8</w:t>
            </w:r>
            <w:r w:rsidR="00C304DE">
              <w:rPr>
                <w:noProof/>
                <w:webHidden/>
              </w:rPr>
              <w:fldChar w:fldCharType="end"/>
            </w:r>
          </w:hyperlink>
        </w:p>
        <w:p w14:paraId="5D2E0FBD" w14:textId="69D0C00B" w:rsidR="00C304DE" w:rsidRDefault="00DD11FB">
          <w:pPr>
            <w:pStyle w:val="TOC3"/>
            <w:tabs>
              <w:tab w:val="right" w:leader="dot" w:pos="9016"/>
            </w:tabs>
            <w:rPr>
              <w:rFonts w:eastAsiaTheme="minorEastAsia" w:cstheme="minorBidi"/>
              <w:noProof/>
              <w:sz w:val="22"/>
              <w:szCs w:val="22"/>
              <w:lang w:eastAsia="en-AU"/>
            </w:rPr>
          </w:pPr>
          <w:hyperlink w:anchor="_Toc57901090" w:history="1">
            <w:r w:rsidR="00C304DE" w:rsidRPr="00A9747B">
              <w:rPr>
                <w:rStyle w:val="Hyperlink"/>
                <w:noProof/>
              </w:rPr>
              <w:t>Consumers</w:t>
            </w:r>
            <w:r w:rsidR="00C304DE">
              <w:rPr>
                <w:noProof/>
                <w:webHidden/>
              </w:rPr>
              <w:tab/>
            </w:r>
            <w:r w:rsidR="00C304DE">
              <w:rPr>
                <w:noProof/>
                <w:webHidden/>
              </w:rPr>
              <w:fldChar w:fldCharType="begin"/>
            </w:r>
            <w:r w:rsidR="00C304DE">
              <w:rPr>
                <w:noProof/>
                <w:webHidden/>
              </w:rPr>
              <w:instrText xml:space="preserve"> PAGEREF _Toc57901090 \h </w:instrText>
            </w:r>
            <w:r w:rsidR="00C304DE">
              <w:rPr>
                <w:noProof/>
                <w:webHidden/>
              </w:rPr>
            </w:r>
            <w:r w:rsidR="00C304DE">
              <w:rPr>
                <w:noProof/>
                <w:webHidden/>
              </w:rPr>
              <w:fldChar w:fldCharType="separate"/>
            </w:r>
            <w:r>
              <w:rPr>
                <w:noProof/>
                <w:webHidden/>
              </w:rPr>
              <w:t>8</w:t>
            </w:r>
            <w:r w:rsidR="00C304DE">
              <w:rPr>
                <w:noProof/>
                <w:webHidden/>
              </w:rPr>
              <w:fldChar w:fldCharType="end"/>
            </w:r>
          </w:hyperlink>
        </w:p>
        <w:p w14:paraId="4B1EA3B2" w14:textId="0A2DF831" w:rsidR="00C304DE" w:rsidRDefault="00DD11FB">
          <w:pPr>
            <w:pStyle w:val="TOC3"/>
            <w:tabs>
              <w:tab w:val="right" w:leader="dot" w:pos="9016"/>
            </w:tabs>
            <w:rPr>
              <w:rFonts w:eastAsiaTheme="minorEastAsia" w:cstheme="minorBidi"/>
              <w:noProof/>
              <w:sz w:val="22"/>
              <w:szCs w:val="22"/>
              <w:lang w:eastAsia="en-AU"/>
            </w:rPr>
          </w:pPr>
          <w:hyperlink w:anchor="_Toc57901091" w:history="1">
            <w:r w:rsidR="00C304DE" w:rsidRPr="00A9747B">
              <w:rPr>
                <w:rStyle w:val="Hyperlink"/>
                <w:noProof/>
              </w:rPr>
              <w:t>Providers</w:t>
            </w:r>
            <w:r w:rsidR="00C304DE">
              <w:rPr>
                <w:noProof/>
                <w:webHidden/>
              </w:rPr>
              <w:tab/>
            </w:r>
            <w:r w:rsidR="00C304DE">
              <w:rPr>
                <w:noProof/>
                <w:webHidden/>
              </w:rPr>
              <w:fldChar w:fldCharType="begin"/>
            </w:r>
            <w:r w:rsidR="00C304DE">
              <w:rPr>
                <w:noProof/>
                <w:webHidden/>
              </w:rPr>
              <w:instrText xml:space="preserve"> PAGEREF _Toc57901091 \h </w:instrText>
            </w:r>
            <w:r w:rsidR="00C304DE">
              <w:rPr>
                <w:noProof/>
                <w:webHidden/>
              </w:rPr>
            </w:r>
            <w:r w:rsidR="00C304DE">
              <w:rPr>
                <w:noProof/>
                <w:webHidden/>
              </w:rPr>
              <w:fldChar w:fldCharType="separate"/>
            </w:r>
            <w:r>
              <w:rPr>
                <w:noProof/>
                <w:webHidden/>
              </w:rPr>
              <w:t>8</w:t>
            </w:r>
            <w:r w:rsidR="00C304DE">
              <w:rPr>
                <w:noProof/>
                <w:webHidden/>
              </w:rPr>
              <w:fldChar w:fldCharType="end"/>
            </w:r>
          </w:hyperlink>
        </w:p>
        <w:p w14:paraId="717ABBED" w14:textId="622E2115" w:rsidR="00C304DE" w:rsidRDefault="00DD11FB">
          <w:pPr>
            <w:pStyle w:val="TOC3"/>
            <w:tabs>
              <w:tab w:val="right" w:leader="dot" w:pos="9016"/>
            </w:tabs>
            <w:rPr>
              <w:rFonts w:eastAsiaTheme="minorEastAsia" w:cstheme="minorBidi"/>
              <w:noProof/>
              <w:sz w:val="22"/>
              <w:szCs w:val="22"/>
              <w:lang w:eastAsia="en-AU"/>
            </w:rPr>
          </w:pPr>
          <w:hyperlink w:anchor="_Toc57901092" w:history="1">
            <w:r w:rsidR="00C304DE" w:rsidRPr="00A9747B">
              <w:rPr>
                <w:rStyle w:val="Hyperlink"/>
                <w:noProof/>
              </w:rPr>
              <w:t>Manufacturers</w:t>
            </w:r>
            <w:r w:rsidR="00C304DE">
              <w:rPr>
                <w:noProof/>
                <w:webHidden/>
              </w:rPr>
              <w:tab/>
            </w:r>
            <w:r w:rsidR="00C304DE">
              <w:rPr>
                <w:noProof/>
                <w:webHidden/>
              </w:rPr>
              <w:fldChar w:fldCharType="begin"/>
            </w:r>
            <w:r w:rsidR="00C304DE">
              <w:rPr>
                <w:noProof/>
                <w:webHidden/>
              </w:rPr>
              <w:instrText xml:space="preserve"> PAGEREF _Toc57901092 \h </w:instrText>
            </w:r>
            <w:r w:rsidR="00C304DE">
              <w:rPr>
                <w:noProof/>
                <w:webHidden/>
              </w:rPr>
            </w:r>
            <w:r w:rsidR="00C304DE">
              <w:rPr>
                <w:noProof/>
                <w:webHidden/>
              </w:rPr>
              <w:fldChar w:fldCharType="separate"/>
            </w:r>
            <w:r>
              <w:rPr>
                <w:noProof/>
                <w:webHidden/>
              </w:rPr>
              <w:t>9</w:t>
            </w:r>
            <w:r w:rsidR="00C304DE">
              <w:rPr>
                <w:noProof/>
                <w:webHidden/>
              </w:rPr>
              <w:fldChar w:fldCharType="end"/>
            </w:r>
          </w:hyperlink>
        </w:p>
        <w:p w14:paraId="0C887241" w14:textId="1670F5D5" w:rsidR="00C304DE" w:rsidRDefault="00DD11FB">
          <w:pPr>
            <w:pStyle w:val="TOC3"/>
            <w:tabs>
              <w:tab w:val="right" w:leader="dot" w:pos="9016"/>
            </w:tabs>
            <w:rPr>
              <w:rFonts w:eastAsiaTheme="minorEastAsia" w:cstheme="minorBidi"/>
              <w:noProof/>
              <w:sz w:val="22"/>
              <w:szCs w:val="22"/>
              <w:lang w:eastAsia="en-AU"/>
            </w:rPr>
          </w:pPr>
          <w:hyperlink w:anchor="_Toc57901093" w:history="1">
            <w:r w:rsidR="00C304DE" w:rsidRPr="00A9747B">
              <w:rPr>
                <w:rStyle w:val="Hyperlink"/>
                <w:noProof/>
              </w:rPr>
              <w:t>Practitioners</w:t>
            </w:r>
            <w:r w:rsidR="00C304DE">
              <w:rPr>
                <w:noProof/>
                <w:webHidden/>
              </w:rPr>
              <w:tab/>
            </w:r>
            <w:r w:rsidR="00C304DE">
              <w:rPr>
                <w:noProof/>
                <w:webHidden/>
              </w:rPr>
              <w:fldChar w:fldCharType="begin"/>
            </w:r>
            <w:r w:rsidR="00C304DE">
              <w:rPr>
                <w:noProof/>
                <w:webHidden/>
              </w:rPr>
              <w:instrText xml:space="preserve"> PAGEREF _Toc57901093 \h </w:instrText>
            </w:r>
            <w:r w:rsidR="00C304DE">
              <w:rPr>
                <w:noProof/>
                <w:webHidden/>
              </w:rPr>
            </w:r>
            <w:r w:rsidR="00C304DE">
              <w:rPr>
                <w:noProof/>
                <w:webHidden/>
              </w:rPr>
              <w:fldChar w:fldCharType="separate"/>
            </w:r>
            <w:r>
              <w:rPr>
                <w:noProof/>
                <w:webHidden/>
              </w:rPr>
              <w:t>9</w:t>
            </w:r>
            <w:r w:rsidR="00C304DE">
              <w:rPr>
                <w:noProof/>
                <w:webHidden/>
              </w:rPr>
              <w:fldChar w:fldCharType="end"/>
            </w:r>
          </w:hyperlink>
        </w:p>
        <w:p w14:paraId="6993E487" w14:textId="6B98C180" w:rsidR="00C304DE" w:rsidRDefault="00DD11FB">
          <w:pPr>
            <w:pStyle w:val="TOC1"/>
            <w:rPr>
              <w:rFonts w:eastAsiaTheme="minorEastAsia" w:cstheme="minorBidi"/>
              <w:noProof/>
              <w:sz w:val="22"/>
              <w:szCs w:val="22"/>
              <w:lang w:eastAsia="en-AU"/>
            </w:rPr>
          </w:pPr>
          <w:hyperlink w:anchor="_Toc57901094" w:history="1">
            <w:r w:rsidR="00C304DE" w:rsidRPr="00A9747B">
              <w:rPr>
                <w:rStyle w:val="Hyperlink"/>
                <w:noProof/>
              </w:rPr>
              <w:t>Implementation issues</w:t>
            </w:r>
            <w:r w:rsidR="00C304DE">
              <w:rPr>
                <w:noProof/>
                <w:webHidden/>
              </w:rPr>
              <w:tab/>
            </w:r>
            <w:r w:rsidR="00C304DE">
              <w:rPr>
                <w:noProof/>
                <w:webHidden/>
              </w:rPr>
              <w:fldChar w:fldCharType="begin"/>
            </w:r>
            <w:r w:rsidR="00C304DE">
              <w:rPr>
                <w:noProof/>
                <w:webHidden/>
              </w:rPr>
              <w:instrText xml:space="preserve"> PAGEREF _Toc57901094 \h </w:instrText>
            </w:r>
            <w:r w:rsidR="00C304DE">
              <w:rPr>
                <w:noProof/>
                <w:webHidden/>
              </w:rPr>
            </w:r>
            <w:r w:rsidR="00C304DE">
              <w:rPr>
                <w:noProof/>
                <w:webHidden/>
              </w:rPr>
              <w:fldChar w:fldCharType="separate"/>
            </w:r>
            <w:r>
              <w:rPr>
                <w:noProof/>
                <w:webHidden/>
              </w:rPr>
              <w:t>10</w:t>
            </w:r>
            <w:r w:rsidR="00C304DE">
              <w:rPr>
                <w:noProof/>
                <w:webHidden/>
              </w:rPr>
              <w:fldChar w:fldCharType="end"/>
            </w:r>
          </w:hyperlink>
        </w:p>
        <w:p w14:paraId="69B302BB" w14:textId="7A1C6C89" w:rsidR="00C304DE" w:rsidRDefault="00DD11FB">
          <w:pPr>
            <w:pStyle w:val="TOC2"/>
            <w:rPr>
              <w:rFonts w:eastAsiaTheme="minorEastAsia" w:cstheme="minorBidi"/>
              <w:noProof/>
              <w:sz w:val="22"/>
              <w:szCs w:val="22"/>
              <w:lang w:eastAsia="en-AU"/>
            </w:rPr>
          </w:pPr>
          <w:hyperlink w:anchor="_Toc57901095" w:history="1">
            <w:r w:rsidR="00C304DE" w:rsidRPr="00A9747B">
              <w:rPr>
                <w:rStyle w:val="Hyperlink"/>
                <w:noProof/>
              </w:rPr>
              <w:t>Rural and remote consumers</w:t>
            </w:r>
            <w:r w:rsidR="00C304DE">
              <w:rPr>
                <w:noProof/>
                <w:webHidden/>
              </w:rPr>
              <w:tab/>
            </w:r>
            <w:r w:rsidR="00C304DE">
              <w:rPr>
                <w:noProof/>
                <w:webHidden/>
              </w:rPr>
              <w:fldChar w:fldCharType="begin"/>
            </w:r>
            <w:r w:rsidR="00C304DE">
              <w:rPr>
                <w:noProof/>
                <w:webHidden/>
              </w:rPr>
              <w:instrText xml:space="preserve"> PAGEREF _Toc57901095 \h </w:instrText>
            </w:r>
            <w:r w:rsidR="00C304DE">
              <w:rPr>
                <w:noProof/>
                <w:webHidden/>
              </w:rPr>
            </w:r>
            <w:r w:rsidR="00C304DE">
              <w:rPr>
                <w:noProof/>
                <w:webHidden/>
              </w:rPr>
              <w:fldChar w:fldCharType="separate"/>
            </w:r>
            <w:r>
              <w:rPr>
                <w:noProof/>
                <w:webHidden/>
              </w:rPr>
              <w:t>10</w:t>
            </w:r>
            <w:r w:rsidR="00C304DE">
              <w:rPr>
                <w:noProof/>
                <w:webHidden/>
              </w:rPr>
              <w:fldChar w:fldCharType="end"/>
            </w:r>
          </w:hyperlink>
        </w:p>
        <w:p w14:paraId="137CAB29" w14:textId="5EFE6A12" w:rsidR="00C304DE" w:rsidRDefault="00DD11FB">
          <w:pPr>
            <w:pStyle w:val="TOC3"/>
            <w:tabs>
              <w:tab w:val="right" w:leader="dot" w:pos="9016"/>
            </w:tabs>
            <w:rPr>
              <w:rFonts w:eastAsiaTheme="minorEastAsia" w:cstheme="minorBidi"/>
              <w:noProof/>
              <w:sz w:val="22"/>
              <w:szCs w:val="22"/>
              <w:lang w:eastAsia="en-AU"/>
            </w:rPr>
          </w:pPr>
          <w:hyperlink w:anchor="_Toc57901096" w:history="1">
            <w:r w:rsidR="00C304DE" w:rsidRPr="00A9747B">
              <w:rPr>
                <w:rStyle w:val="Hyperlink"/>
                <w:noProof/>
              </w:rPr>
              <w:t>Analysis of providers operating in rural and remote areas</w:t>
            </w:r>
            <w:r w:rsidR="00C304DE">
              <w:rPr>
                <w:noProof/>
                <w:webHidden/>
              </w:rPr>
              <w:tab/>
            </w:r>
            <w:r w:rsidR="00C304DE">
              <w:rPr>
                <w:noProof/>
                <w:webHidden/>
              </w:rPr>
              <w:fldChar w:fldCharType="begin"/>
            </w:r>
            <w:r w:rsidR="00C304DE">
              <w:rPr>
                <w:noProof/>
                <w:webHidden/>
              </w:rPr>
              <w:instrText xml:space="preserve"> PAGEREF _Toc57901096 \h </w:instrText>
            </w:r>
            <w:r w:rsidR="00C304DE">
              <w:rPr>
                <w:noProof/>
                <w:webHidden/>
              </w:rPr>
            </w:r>
            <w:r w:rsidR="00C304DE">
              <w:rPr>
                <w:noProof/>
                <w:webHidden/>
              </w:rPr>
              <w:fldChar w:fldCharType="separate"/>
            </w:r>
            <w:r>
              <w:rPr>
                <w:noProof/>
                <w:webHidden/>
              </w:rPr>
              <w:t>12</w:t>
            </w:r>
            <w:r w:rsidR="00C304DE">
              <w:rPr>
                <w:noProof/>
                <w:webHidden/>
              </w:rPr>
              <w:fldChar w:fldCharType="end"/>
            </w:r>
          </w:hyperlink>
        </w:p>
        <w:p w14:paraId="30BEF499" w14:textId="3EE58CE7" w:rsidR="00C304DE" w:rsidRDefault="00DD11FB">
          <w:pPr>
            <w:pStyle w:val="TOC3"/>
            <w:tabs>
              <w:tab w:val="right" w:leader="dot" w:pos="9016"/>
            </w:tabs>
            <w:rPr>
              <w:rFonts w:eastAsiaTheme="minorEastAsia" w:cstheme="minorBidi"/>
              <w:noProof/>
              <w:sz w:val="22"/>
              <w:szCs w:val="22"/>
              <w:lang w:eastAsia="en-AU"/>
            </w:rPr>
          </w:pPr>
          <w:hyperlink w:anchor="_Toc57901097" w:history="1">
            <w:r w:rsidR="00C304DE" w:rsidRPr="00A9747B">
              <w:rPr>
                <w:rStyle w:val="Hyperlink"/>
                <w:noProof/>
              </w:rPr>
              <w:t>Data limitations</w:t>
            </w:r>
            <w:r w:rsidR="00C304DE">
              <w:rPr>
                <w:noProof/>
                <w:webHidden/>
              </w:rPr>
              <w:tab/>
            </w:r>
            <w:r w:rsidR="00C304DE">
              <w:rPr>
                <w:noProof/>
                <w:webHidden/>
              </w:rPr>
              <w:fldChar w:fldCharType="begin"/>
            </w:r>
            <w:r w:rsidR="00C304DE">
              <w:rPr>
                <w:noProof/>
                <w:webHidden/>
              </w:rPr>
              <w:instrText xml:space="preserve"> PAGEREF _Toc57901097 \h </w:instrText>
            </w:r>
            <w:r w:rsidR="00C304DE">
              <w:rPr>
                <w:noProof/>
                <w:webHidden/>
              </w:rPr>
            </w:r>
            <w:r w:rsidR="00C304DE">
              <w:rPr>
                <w:noProof/>
                <w:webHidden/>
              </w:rPr>
              <w:fldChar w:fldCharType="separate"/>
            </w:r>
            <w:r>
              <w:rPr>
                <w:noProof/>
                <w:webHidden/>
              </w:rPr>
              <w:t>13</w:t>
            </w:r>
            <w:r w:rsidR="00C304DE">
              <w:rPr>
                <w:noProof/>
                <w:webHidden/>
              </w:rPr>
              <w:fldChar w:fldCharType="end"/>
            </w:r>
          </w:hyperlink>
        </w:p>
        <w:p w14:paraId="28BA6DF8" w14:textId="53B201C8" w:rsidR="00C304DE" w:rsidRDefault="00DD11FB">
          <w:pPr>
            <w:pStyle w:val="TOC1"/>
            <w:rPr>
              <w:rFonts w:eastAsiaTheme="minorEastAsia" w:cstheme="minorBidi"/>
              <w:noProof/>
              <w:sz w:val="22"/>
              <w:szCs w:val="22"/>
              <w:lang w:eastAsia="en-AU"/>
            </w:rPr>
          </w:pPr>
          <w:hyperlink w:anchor="_Toc57901098" w:history="1">
            <w:r w:rsidR="00C304DE" w:rsidRPr="00A9747B">
              <w:rPr>
                <w:rStyle w:val="Hyperlink"/>
                <w:noProof/>
              </w:rPr>
              <w:t>Options to support consumers affected by Program changes</w:t>
            </w:r>
            <w:r w:rsidR="00C304DE">
              <w:rPr>
                <w:noProof/>
                <w:webHidden/>
              </w:rPr>
              <w:tab/>
            </w:r>
            <w:r w:rsidR="00C304DE">
              <w:rPr>
                <w:noProof/>
                <w:webHidden/>
              </w:rPr>
              <w:fldChar w:fldCharType="begin"/>
            </w:r>
            <w:r w:rsidR="00C304DE">
              <w:rPr>
                <w:noProof/>
                <w:webHidden/>
              </w:rPr>
              <w:instrText xml:space="preserve"> PAGEREF _Toc57901098 \h </w:instrText>
            </w:r>
            <w:r w:rsidR="00C304DE">
              <w:rPr>
                <w:noProof/>
                <w:webHidden/>
              </w:rPr>
            </w:r>
            <w:r w:rsidR="00C304DE">
              <w:rPr>
                <w:noProof/>
                <w:webHidden/>
              </w:rPr>
              <w:fldChar w:fldCharType="separate"/>
            </w:r>
            <w:r>
              <w:rPr>
                <w:noProof/>
                <w:webHidden/>
              </w:rPr>
              <w:t>14</w:t>
            </w:r>
            <w:r w:rsidR="00C304DE">
              <w:rPr>
                <w:noProof/>
                <w:webHidden/>
              </w:rPr>
              <w:fldChar w:fldCharType="end"/>
            </w:r>
          </w:hyperlink>
        </w:p>
        <w:p w14:paraId="13199B83" w14:textId="34209AE8" w:rsidR="00C304DE" w:rsidRDefault="00DD11FB">
          <w:pPr>
            <w:pStyle w:val="TOC2"/>
            <w:rPr>
              <w:rFonts w:eastAsiaTheme="minorEastAsia" w:cstheme="minorBidi"/>
              <w:noProof/>
              <w:sz w:val="22"/>
              <w:szCs w:val="22"/>
              <w:lang w:eastAsia="en-AU"/>
            </w:rPr>
          </w:pPr>
          <w:hyperlink w:anchor="_Toc57901099" w:history="1">
            <w:r w:rsidR="00C304DE" w:rsidRPr="00A9747B">
              <w:rPr>
                <w:rStyle w:val="Hyperlink"/>
                <w:noProof/>
              </w:rPr>
              <w:t>Program design considerations</w:t>
            </w:r>
            <w:r w:rsidR="00C304DE">
              <w:rPr>
                <w:noProof/>
                <w:webHidden/>
              </w:rPr>
              <w:tab/>
            </w:r>
            <w:r w:rsidR="00C304DE">
              <w:rPr>
                <w:noProof/>
                <w:webHidden/>
              </w:rPr>
              <w:fldChar w:fldCharType="begin"/>
            </w:r>
            <w:r w:rsidR="00C304DE">
              <w:rPr>
                <w:noProof/>
                <w:webHidden/>
              </w:rPr>
              <w:instrText xml:space="preserve"> PAGEREF _Toc57901099 \h </w:instrText>
            </w:r>
            <w:r w:rsidR="00C304DE">
              <w:rPr>
                <w:noProof/>
                <w:webHidden/>
              </w:rPr>
            </w:r>
            <w:r w:rsidR="00C304DE">
              <w:rPr>
                <w:noProof/>
                <w:webHidden/>
              </w:rPr>
              <w:fldChar w:fldCharType="separate"/>
            </w:r>
            <w:r>
              <w:rPr>
                <w:noProof/>
                <w:webHidden/>
              </w:rPr>
              <w:t>14</w:t>
            </w:r>
            <w:r w:rsidR="00C304DE">
              <w:rPr>
                <w:noProof/>
                <w:webHidden/>
              </w:rPr>
              <w:fldChar w:fldCharType="end"/>
            </w:r>
          </w:hyperlink>
        </w:p>
        <w:p w14:paraId="586FB0F4" w14:textId="70621AD9" w:rsidR="00C304DE" w:rsidRDefault="00DD11FB">
          <w:pPr>
            <w:pStyle w:val="TOC2"/>
            <w:rPr>
              <w:rFonts w:eastAsiaTheme="minorEastAsia" w:cstheme="minorBidi"/>
              <w:noProof/>
              <w:sz w:val="22"/>
              <w:szCs w:val="22"/>
              <w:lang w:eastAsia="en-AU"/>
            </w:rPr>
          </w:pPr>
          <w:hyperlink w:anchor="_Toc57901100" w:history="1">
            <w:r w:rsidR="00C304DE" w:rsidRPr="00A9747B">
              <w:rPr>
                <w:rStyle w:val="Hyperlink"/>
                <w:noProof/>
              </w:rPr>
              <w:t>Options analysis</w:t>
            </w:r>
            <w:r w:rsidR="00C304DE">
              <w:rPr>
                <w:noProof/>
                <w:webHidden/>
              </w:rPr>
              <w:tab/>
            </w:r>
            <w:r w:rsidR="00C304DE">
              <w:rPr>
                <w:noProof/>
                <w:webHidden/>
              </w:rPr>
              <w:fldChar w:fldCharType="begin"/>
            </w:r>
            <w:r w:rsidR="00C304DE">
              <w:rPr>
                <w:noProof/>
                <w:webHidden/>
              </w:rPr>
              <w:instrText xml:space="preserve"> PAGEREF _Toc57901100 \h </w:instrText>
            </w:r>
            <w:r w:rsidR="00C304DE">
              <w:rPr>
                <w:noProof/>
                <w:webHidden/>
              </w:rPr>
            </w:r>
            <w:r w:rsidR="00C304DE">
              <w:rPr>
                <w:noProof/>
                <w:webHidden/>
              </w:rPr>
              <w:fldChar w:fldCharType="separate"/>
            </w:r>
            <w:r>
              <w:rPr>
                <w:noProof/>
                <w:webHidden/>
              </w:rPr>
              <w:t>14</w:t>
            </w:r>
            <w:r w:rsidR="00C304DE">
              <w:rPr>
                <w:noProof/>
                <w:webHidden/>
              </w:rPr>
              <w:fldChar w:fldCharType="end"/>
            </w:r>
          </w:hyperlink>
        </w:p>
        <w:p w14:paraId="4FE45B9A" w14:textId="49DC050E" w:rsidR="00C304DE" w:rsidRDefault="00DD11FB">
          <w:pPr>
            <w:pStyle w:val="TOC3"/>
            <w:tabs>
              <w:tab w:val="right" w:leader="dot" w:pos="9016"/>
            </w:tabs>
            <w:rPr>
              <w:rFonts w:eastAsiaTheme="minorEastAsia" w:cstheme="minorBidi"/>
              <w:noProof/>
              <w:sz w:val="22"/>
              <w:szCs w:val="22"/>
              <w:lang w:eastAsia="en-AU"/>
            </w:rPr>
          </w:pPr>
          <w:hyperlink w:anchor="_Toc57901101" w:history="1">
            <w:r w:rsidR="00C304DE" w:rsidRPr="00A9747B">
              <w:rPr>
                <w:rStyle w:val="Hyperlink"/>
                <w:noProof/>
              </w:rPr>
              <w:t>Option #1 – Rural and Remote loading on services</w:t>
            </w:r>
            <w:r w:rsidR="00C304DE">
              <w:rPr>
                <w:noProof/>
                <w:webHidden/>
              </w:rPr>
              <w:tab/>
            </w:r>
            <w:r w:rsidR="00C304DE">
              <w:rPr>
                <w:noProof/>
                <w:webHidden/>
              </w:rPr>
              <w:fldChar w:fldCharType="begin"/>
            </w:r>
            <w:r w:rsidR="00C304DE">
              <w:rPr>
                <w:noProof/>
                <w:webHidden/>
              </w:rPr>
              <w:instrText xml:space="preserve"> PAGEREF _Toc57901101 \h </w:instrText>
            </w:r>
            <w:r w:rsidR="00C304DE">
              <w:rPr>
                <w:noProof/>
                <w:webHidden/>
              </w:rPr>
            </w:r>
            <w:r w:rsidR="00C304DE">
              <w:rPr>
                <w:noProof/>
                <w:webHidden/>
              </w:rPr>
              <w:fldChar w:fldCharType="separate"/>
            </w:r>
            <w:r>
              <w:rPr>
                <w:noProof/>
                <w:webHidden/>
              </w:rPr>
              <w:t>14</w:t>
            </w:r>
            <w:r w:rsidR="00C304DE">
              <w:rPr>
                <w:noProof/>
                <w:webHidden/>
              </w:rPr>
              <w:fldChar w:fldCharType="end"/>
            </w:r>
          </w:hyperlink>
        </w:p>
        <w:p w14:paraId="069B106B" w14:textId="4FB62FDF" w:rsidR="00C304DE" w:rsidRDefault="00DD11FB">
          <w:pPr>
            <w:pStyle w:val="TOC3"/>
            <w:tabs>
              <w:tab w:val="right" w:leader="dot" w:pos="9016"/>
            </w:tabs>
            <w:rPr>
              <w:rFonts w:eastAsiaTheme="minorEastAsia" w:cstheme="minorBidi"/>
              <w:noProof/>
              <w:sz w:val="22"/>
              <w:szCs w:val="22"/>
              <w:lang w:eastAsia="en-AU"/>
            </w:rPr>
          </w:pPr>
          <w:hyperlink w:anchor="_Toc57901102" w:history="1">
            <w:r w:rsidR="00C304DE" w:rsidRPr="00A9747B">
              <w:rPr>
                <w:rStyle w:val="Hyperlink"/>
                <w:noProof/>
              </w:rPr>
              <w:t>Option #2 – Rural and Remote loading on providers or sites</w:t>
            </w:r>
            <w:r w:rsidR="00C304DE">
              <w:rPr>
                <w:noProof/>
                <w:webHidden/>
              </w:rPr>
              <w:tab/>
            </w:r>
            <w:r w:rsidR="00C304DE">
              <w:rPr>
                <w:noProof/>
                <w:webHidden/>
              </w:rPr>
              <w:fldChar w:fldCharType="begin"/>
            </w:r>
            <w:r w:rsidR="00C304DE">
              <w:rPr>
                <w:noProof/>
                <w:webHidden/>
              </w:rPr>
              <w:instrText xml:space="preserve"> PAGEREF _Toc57901102 \h </w:instrText>
            </w:r>
            <w:r w:rsidR="00C304DE">
              <w:rPr>
                <w:noProof/>
                <w:webHidden/>
              </w:rPr>
            </w:r>
            <w:r w:rsidR="00C304DE">
              <w:rPr>
                <w:noProof/>
                <w:webHidden/>
              </w:rPr>
              <w:fldChar w:fldCharType="separate"/>
            </w:r>
            <w:r>
              <w:rPr>
                <w:noProof/>
                <w:webHidden/>
              </w:rPr>
              <w:t>15</w:t>
            </w:r>
            <w:r w:rsidR="00C304DE">
              <w:rPr>
                <w:noProof/>
                <w:webHidden/>
              </w:rPr>
              <w:fldChar w:fldCharType="end"/>
            </w:r>
          </w:hyperlink>
        </w:p>
        <w:p w14:paraId="05D19AD0" w14:textId="0413B25E" w:rsidR="00C304DE" w:rsidRDefault="00DD11FB">
          <w:pPr>
            <w:pStyle w:val="TOC3"/>
            <w:tabs>
              <w:tab w:val="right" w:leader="dot" w:pos="9016"/>
            </w:tabs>
            <w:rPr>
              <w:rFonts w:eastAsiaTheme="minorEastAsia" w:cstheme="minorBidi"/>
              <w:noProof/>
              <w:sz w:val="22"/>
              <w:szCs w:val="22"/>
              <w:lang w:eastAsia="en-AU"/>
            </w:rPr>
          </w:pPr>
          <w:hyperlink w:anchor="_Toc57901103" w:history="1">
            <w:r w:rsidR="00C304DE" w:rsidRPr="00A9747B">
              <w:rPr>
                <w:rStyle w:val="Hyperlink"/>
                <w:noProof/>
              </w:rPr>
              <w:t>Option #3 – Loading on small and medium providers</w:t>
            </w:r>
            <w:r w:rsidR="00C304DE">
              <w:rPr>
                <w:noProof/>
                <w:webHidden/>
              </w:rPr>
              <w:tab/>
            </w:r>
            <w:r w:rsidR="00C304DE">
              <w:rPr>
                <w:noProof/>
                <w:webHidden/>
              </w:rPr>
              <w:fldChar w:fldCharType="begin"/>
            </w:r>
            <w:r w:rsidR="00C304DE">
              <w:rPr>
                <w:noProof/>
                <w:webHidden/>
              </w:rPr>
              <w:instrText xml:space="preserve"> PAGEREF _Toc57901103 \h </w:instrText>
            </w:r>
            <w:r w:rsidR="00C304DE">
              <w:rPr>
                <w:noProof/>
                <w:webHidden/>
              </w:rPr>
            </w:r>
            <w:r w:rsidR="00C304DE">
              <w:rPr>
                <w:noProof/>
                <w:webHidden/>
              </w:rPr>
              <w:fldChar w:fldCharType="separate"/>
            </w:r>
            <w:r>
              <w:rPr>
                <w:noProof/>
                <w:webHidden/>
              </w:rPr>
              <w:t>16</w:t>
            </w:r>
            <w:r w:rsidR="00C304DE">
              <w:rPr>
                <w:noProof/>
                <w:webHidden/>
              </w:rPr>
              <w:fldChar w:fldCharType="end"/>
            </w:r>
          </w:hyperlink>
        </w:p>
        <w:p w14:paraId="552CCB0B" w14:textId="78A51DA8" w:rsidR="00C304DE" w:rsidRDefault="00DD11FB">
          <w:pPr>
            <w:pStyle w:val="TOC3"/>
            <w:tabs>
              <w:tab w:val="right" w:leader="dot" w:pos="9016"/>
            </w:tabs>
            <w:rPr>
              <w:rFonts w:eastAsiaTheme="minorEastAsia" w:cstheme="minorBidi"/>
              <w:noProof/>
              <w:sz w:val="22"/>
              <w:szCs w:val="22"/>
              <w:lang w:eastAsia="en-AU"/>
            </w:rPr>
          </w:pPr>
          <w:hyperlink w:anchor="_Toc57901104" w:history="1">
            <w:r w:rsidR="00C304DE" w:rsidRPr="00A9747B">
              <w:rPr>
                <w:rStyle w:val="Hyperlink"/>
                <w:noProof/>
              </w:rPr>
              <w:t>Option #4 – Expanded teleaudiology offering</w:t>
            </w:r>
            <w:r w:rsidR="00C304DE">
              <w:rPr>
                <w:noProof/>
                <w:webHidden/>
              </w:rPr>
              <w:tab/>
            </w:r>
            <w:r w:rsidR="00C304DE">
              <w:rPr>
                <w:noProof/>
                <w:webHidden/>
              </w:rPr>
              <w:fldChar w:fldCharType="begin"/>
            </w:r>
            <w:r w:rsidR="00C304DE">
              <w:rPr>
                <w:noProof/>
                <w:webHidden/>
              </w:rPr>
              <w:instrText xml:space="preserve"> PAGEREF _Toc57901104 \h </w:instrText>
            </w:r>
            <w:r w:rsidR="00C304DE">
              <w:rPr>
                <w:noProof/>
                <w:webHidden/>
              </w:rPr>
            </w:r>
            <w:r w:rsidR="00C304DE">
              <w:rPr>
                <w:noProof/>
                <w:webHidden/>
              </w:rPr>
              <w:fldChar w:fldCharType="separate"/>
            </w:r>
            <w:r>
              <w:rPr>
                <w:noProof/>
                <w:webHidden/>
              </w:rPr>
              <w:t>17</w:t>
            </w:r>
            <w:r w:rsidR="00C304DE">
              <w:rPr>
                <w:noProof/>
                <w:webHidden/>
              </w:rPr>
              <w:fldChar w:fldCharType="end"/>
            </w:r>
          </w:hyperlink>
        </w:p>
        <w:p w14:paraId="327648A7" w14:textId="65C043B2" w:rsidR="00C304DE" w:rsidRDefault="00DD11FB">
          <w:pPr>
            <w:pStyle w:val="TOC3"/>
            <w:tabs>
              <w:tab w:val="right" w:leader="dot" w:pos="9016"/>
            </w:tabs>
            <w:rPr>
              <w:rFonts w:eastAsiaTheme="minorEastAsia" w:cstheme="minorBidi"/>
              <w:noProof/>
              <w:sz w:val="22"/>
              <w:szCs w:val="22"/>
              <w:lang w:eastAsia="en-AU"/>
            </w:rPr>
          </w:pPr>
          <w:hyperlink w:anchor="_Toc57901105" w:history="1">
            <w:r w:rsidR="00C304DE" w:rsidRPr="00A9747B">
              <w:rPr>
                <w:rStyle w:val="Hyperlink"/>
                <w:noProof/>
              </w:rPr>
              <w:t>Option #5 – Hub and spoke model</w:t>
            </w:r>
            <w:r w:rsidR="00C304DE">
              <w:rPr>
                <w:noProof/>
                <w:webHidden/>
              </w:rPr>
              <w:tab/>
            </w:r>
            <w:r w:rsidR="00C304DE">
              <w:rPr>
                <w:noProof/>
                <w:webHidden/>
              </w:rPr>
              <w:fldChar w:fldCharType="begin"/>
            </w:r>
            <w:r w:rsidR="00C304DE">
              <w:rPr>
                <w:noProof/>
                <w:webHidden/>
              </w:rPr>
              <w:instrText xml:space="preserve"> PAGEREF _Toc57901105 \h </w:instrText>
            </w:r>
            <w:r w:rsidR="00C304DE">
              <w:rPr>
                <w:noProof/>
                <w:webHidden/>
              </w:rPr>
            </w:r>
            <w:r w:rsidR="00C304DE">
              <w:rPr>
                <w:noProof/>
                <w:webHidden/>
              </w:rPr>
              <w:fldChar w:fldCharType="separate"/>
            </w:r>
            <w:r>
              <w:rPr>
                <w:noProof/>
                <w:webHidden/>
              </w:rPr>
              <w:t>18</w:t>
            </w:r>
            <w:r w:rsidR="00C304DE">
              <w:rPr>
                <w:noProof/>
                <w:webHidden/>
              </w:rPr>
              <w:fldChar w:fldCharType="end"/>
            </w:r>
          </w:hyperlink>
        </w:p>
        <w:p w14:paraId="7ECDF878" w14:textId="296C684B" w:rsidR="00C304DE" w:rsidRDefault="00DD11FB">
          <w:pPr>
            <w:pStyle w:val="TOC1"/>
            <w:rPr>
              <w:rFonts w:eastAsiaTheme="minorEastAsia" w:cstheme="minorBidi"/>
              <w:noProof/>
              <w:sz w:val="22"/>
              <w:szCs w:val="22"/>
              <w:lang w:eastAsia="en-AU"/>
            </w:rPr>
          </w:pPr>
          <w:hyperlink w:anchor="_Toc57901106" w:history="1">
            <w:r w:rsidR="00C304DE" w:rsidRPr="00A9747B">
              <w:rPr>
                <w:rStyle w:val="Hyperlink"/>
                <w:noProof/>
              </w:rPr>
              <w:t>Conclusion</w:t>
            </w:r>
            <w:r w:rsidR="00C304DE">
              <w:rPr>
                <w:noProof/>
                <w:webHidden/>
              </w:rPr>
              <w:tab/>
            </w:r>
            <w:r w:rsidR="00C304DE">
              <w:rPr>
                <w:noProof/>
                <w:webHidden/>
              </w:rPr>
              <w:fldChar w:fldCharType="begin"/>
            </w:r>
            <w:r w:rsidR="00C304DE">
              <w:rPr>
                <w:noProof/>
                <w:webHidden/>
              </w:rPr>
              <w:instrText xml:space="preserve"> PAGEREF _Toc57901106 \h </w:instrText>
            </w:r>
            <w:r w:rsidR="00C304DE">
              <w:rPr>
                <w:noProof/>
                <w:webHidden/>
              </w:rPr>
            </w:r>
            <w:r w:rsidR="00C304DE">
              <w:rPr>
                <w:noProof/>
                <w:webHidden/>
              </w:rPr>
              <w:fldChar w:fldCharType="separate"/>
            </w:r>
            <w:r>
              <w:rPr>
                <w:noProof/>
                <w:webHidden/>
              </w:rPr>
              <w:t>20</w:t>
            </w:r>
            <w:r w:rsidR="00C304DE">
              <w:rPr>
                <w:noProof/>
                <w:webHidden/>
              </w:rPr>
              <w:fldChar w:fldCharType="end"/>
            </w:r>
          </w:hyperlink>
        </w:p>
        <w:p w14:paraId="3EC21093" w14:textId="2CF7E27A" w:rsidR="00C304DE" w:rsidRDefault="00DD11FB">
          <w:pPr>
            <w:pStyle w:val="TOC1"/>
            <w:rPr>
              <w:rFonts w:eastAsiaTheme="minorEastAsia" w:cstheme="minorBidi"/>
              <w:noProof/>
              <w:sz w:val="22"/>
              <w:szCs w:val="22"/>
              <w:lang w:eastAsia="en-AU"/>
            </w:rPr>
          </w:pPr>
          <w:hyperlink w:anchor="_Toc57901107" w:history="1">
            <w:r w:rsidR="00C304DE" w:rsidRPr="00A9747B">
              <w:rPr>
                <w:rStyle w:val="Hyperlink"/>
                <w:noProof/>
              </w:rPr>
              <w:t>Bibliography</w:t>
            </w:r>
            <w:r w:rsidR="00C304DE">
              <w:rPr>
                <w:noProof/>
                <w:webHidden/>
              </w:rPr>
              <w:tab/>
            </w:r>
            <w:r w:rsidR="00C304DE">
              <w:rPr>
                <w:noProof/>
                <w:webHidden/>
              </w:rPr>
              <w:fldChar w:fldCharType="begin"/>
            </w:r>
            <w:r w:rsidR="00C304DE">
              <w:rPr>
                <w:noProof/>
                <w:webHidden/>
              </w:rPr>
              <w:instrText xml:space="preserve"> PAGEREF _Toc57901107 \h </w:instrText>
            </w:r>
            <w:r w:rsidR="00C304DE">
              <w:rPr>
                <w:noProof/>
                <w:webHidden/>
              </w:rPr>
            </w:r>
            <w:r w:rsidR="00C304DE">
              <w:rPr>
                <w:noProof/>
                <w:webHidden/>
              </w:rPr>
              <w:fldChar w:fldCharType="separate"/>
            </w:r>
            <w:r>
              <w:rPr>
                <w:noProof/>
                <w:webHidden/>
              </w:rPr>
              <w:t>21</w:t>
            </w:r>
            <w:r w:rsidR="00C304DE">
              <w:rPr>
                <w:noProof/>
                <w:webHidden/>
              </w:rPr>
              <w:fldChar w:fldCharType="end"/>
            </w:r>
          </w:hyperlink>
        </w:p>
        <w:p w14:paraId="3602B058" w14:textId="7FFD6430" w:rsidR="00C304DE" w:rsidRDefault="00DD11FB">
          <w:pPr>
            <w:pStyle w:val="TOC1"/>
            <w:rPr>
              <w:rFonts w:eastAsiaTheme="minorEastAsia" w:cstheme="minorBidi"/>
              <w:noProof/>
              <w:sz w:val="22"/>
              <w:szCs w:val="22"/>
              <w:lang w:eastAsia="en-AU"/>
            </w:rPr>
          </w:pPr>
          <w:hyperlink w:anchor="_Toc57901108" w:history="1">
            <w:r w:rsidR="00C304DE" w:rsidRPr="00A9747B">
              <w:rPr>
                <w:rStyle w:val="Hyperlink"/>
                <w:noProof/>
              </w:rPr>
              <w:t>Appendix A – Stakeholders</w:t>
            </w:r>
            <w:r w:rsidR="00C304DE">
              <w:rPr>
                <w:noProof/>
                <w:webHidden/>
              </w:rPr>
              <w:tab/>
            </w:r>
            <w:r w:rsidR="00C304DE">
              <w:rPr>
                <w:noProof/>
                <w:webHidden/>
              </w:rPr>
              <w:fldChar w:fldCharType="begin"/>
            </w:r>
            <w:r w:rsidR="00C304DE">
              <w:rPr>
                <w:noProof/>
                <w:webHidden/>
              </w:rPr>
              <w:instrText xml:space="preserve"> PAGEREF _Toc57901108 \h </w:instrText>
            </w:r>
            <w:r w:rsidR="00C304DE">
              <w:rPr>
                <w:noProof/>
                <w:webHidden/>
              </w:rPr>
            </w:r>
            <w:r w:rsidR="00C304DE">
              <w:rPr>
                <w:noProof/>
                <w:webHidden/>
              </w:rPr>
              <w:fldChar w:fldCharType="separate"/>
            </w:r>
            <w:r>
              <w:rPr>
                <w:noProof/>
                <w:webHidden/>
              </w:rPr>
              <w:t>23</w:t>
            </w:r>
            <w:r w:rsidR="00C304DE">
              <w:rPr>
                <w:noProof/>
                <w:webHidden/>
              </w:rPr>
              <w:fldChar w:fldCharType="end"/>
            </w:r>
          </w:hyperlink>
        </w:p>
        <w:p w14:paraId="2033EAC0" w14:textId="1D0FFBC2" w:rsidR="00C304DE" w:rsidRDefault="00DD11FB">
          <w:pPr>
            <w:pStyle w:val="TOC1"/>
            <w:rPr>
              <w:rFonts w:eastAsiaTheme="minorEastAsia" w:cstheme="minorBidi"/>
              <w:noProof/>
              <w:sz w:val="22"/>
              <w:szCs w:val="22"/>
              <w:lang w:eastAsia="en-AU"/>
            </w:rPr>
          </w:pPr>
          <w:hyperlink w:anchor="_Toc57901109" w:history="1">
            <w:r w:rsidR="00C304DE" w:rsidRPr="00A9747B">
              <w:rPr>
                <w:rStyle w:val="Hyperlink"/>
                <w:noProof/>
              </w:rPr>
              <w:t>Appendix B - Rural and remote consumers</w:t>
            </w:r>
            <w:r w:rsidR="00C304DE">
              <w:rPr>
                <w:noProof/>
                <w:webHidden/>
              </w:rPr>
              <w:tab/>
            </w:r>
            <w:r w:rsidR="00C304DE">
              <w:rPr>
                <w:noProof/>
                <w:webHidden/>
              </w:rPr>
              <w:fldChar w:fldCharType="begin"/>
            </w:r>
            <w:r w:rsidR="00C304DE">
              <w:rPr>
                <w:noProof/>
                <w:webHidden/>
              </w:rPr>
              <w:instrText xml:space="preserve"> PAGEREF _Toc57901109 \h </w:instrText>
            </w:r>
            <w:r w:rsidR="00C304DE">
              <w:rPr>
                <w:noProof/>
                <w:webHidden/>
              </w:rPr>
            </w:r>
            <w:r w:rsidR="00C304DE">
              <w:rPr>
                <w:noProof/>
                <w:webHidden/>
              </w:rPr>
              <w:fldChar w:fldCharType="separate"/>
            </w:r>
            <w:r>
              <w:rPr>
                <w:noProof/>
                <w:webHidden/>
              </w:rPr>
              <w:t>25</w:t>
            </w:r>
            <w:r w:rsidR="00C304DE">
              <w:rPr>
                <w:noProof/>
                <w:webHidden/>
              </w:rPr>
              <w:fldChar w:fldCharType="end"/>
            </w:r>
          </w:hyperlink>
        </w:p>
        <w:p w14:paraId="02C185DF" w14:textId="1362392E" w:rsidR="00C304DE" w:rsidRDefault="00DD11FB">
          <w:pPr>
            <w:pStyle w:val="TOC2"/>
            <w:rPr>
              <w:rFonts w:eastAsiaTheme="minorEastAsia" w:cstheme="minorBidi"/>
              <w:noProof/>
              <w:sz w:val="22"/>
              <w:szCs w:val="22"/>
              <w:lang w:eastAsia="en-AU"/>
            </w:rPr>
          </w:pPr>
          <w:hyperlink w:anchor="_Toc57901110" w:history="1">
            <w:r w:rsidR="00C304DE" w:rsidRPr="00A9747B">
              <w:rPr>
                <w:rStyle w:val="Hyperlink"/>
                <w:noProof/>
              </w:rPr>
              <w:t>How geographic data is captured</w:t>
            </w:r>
            <w:r w:rsidR="00C304DE">
              <w:rPr>
                <w:noProof/>
                <w:webHidden/>
              </w:rPr>
              <w:tab/>
            </w:r>
            <w:r w:rsidR="00C304DE">
              <w:rPr>
                <w:noProof/>
                <w:webHidden/>
              </w:rPr>
              <w:fldChar w:fldCharType="begin"/>
            </w:r>
            <w:r w:rsidR="00C304DE">
              <w:rPr>
                <w:noProof/>
                <w:webHidden/>
              </w:rPr>
              <w:instrText xml:space="preserve"> PAGEREF _Toc57901110 \h </w:instrText>
            </w:r>
            <w:r w:rsidR="00C304DE">
              <w:rPr>
                <w:noProof/>
                <w:webHidden/>
              </w:rPr>
            </w:r>
            <w:r w:rsidR="00C304DE">
              <w:rPr>
                <w:noProof/>
                <w:webHidden/>
              </w:rPr>
              <w:fldChar w:fldCharType="separate"/>
            </w:r>
            <w:r>
              <w:rPr>
                <w:noProof/>
                <w:webHidden/>
              </w:rPr>
              <w:t>25</w:t>
            </w:r>
            <w:r w:rsidR="00C304DE">
              <w:rPr>
                <w:noProof/>
                <w:webHidden/>
              </w:rPr>
              <w:fldChar w:fldCharType="end"/>
            </w:r>
          </w:hyperlink>
        </w:p>
        <w:p w14:paraId="55395F60" w14:textId="1FD2FB22" w:rsidR="00C304DE" w:rsidRDefault="00DD11FB">
          <w:pPr>
            <w:pStyle w:val="TOC2"/>
            <w:rPr>
              <w:rFonts w:eastAsiaTheme="minorEastAsia" w:cstheme="minorBidi"/>
              <w:noProof/>
              <w:sz w:val="22"/>
              <w:szCs w:val="22"/>
              <w:lang w:eastAsia="en-AU"/>
            </w:rPr>
          </w:pPr>
          <w:hyperlink w:anchor="_Toc57901111" w:history="1">
            <w:r w:rsidR="00C304DE" w:rsidRPr="00A9747B">
              <w:rPr>
                <w:rStyle w:val="Hyperlink"/>
                <w:noProof/>
              </w:rPr>
              <w:t>Conversion of data between SA-2, postcode, and MM geographic regions</w:t>
            </w:r>
            <w:r w:rsidR="00C304DE">
              <w:rPr>
                <w:noProof/>
                <w:webHidden/>
              </w:rPr>
              <w:tab/>
            </w:r>
            <w:r w:rsidR="00C304DE">
              <w:rPr>
                <w:noProof/>
                <w:webHidden/>
              </w:rPr>
              <w:fldChar w:fldCharType="begin"/>
            </w:r>
            <w:r w:rsidR="00C304DE">
              <w:rPr>
                <w:noProof/>
                <w:webHidden/>
              </w:rPr>
              <w:instrText xml:space="preserve"> PAGEREF _Toc57901111 \h </w:instrText>
            </w:r>
            <w:r w:rsidR="00C304DE">
              <w:rPr>
                <w:noProof/>
                <w:webHidden/>
              </w:rPr>
            </w:r>
            <w:r w:rsidR="00C304DE">
              <w:rPr>
                <w:noProof/>
                <w:webHidden/>
              </w:rPr>
              <w:fldChar w:fldCharType="separate"/>
            </w:r>
            <w:r>
              <w:rPr>
                <w:noProof/>
                <w:webHidden/>
              </w:rPr>
              <w:t>26</w:t>
            </w:r>
            <w:r w:rsidR="00C304DE">
              <w:rPr>
                <w:noProof/>
                <w:webHidden/>
              </w:rPr>
              <w:fldChar w:fldCharType="end"/>
            </w:r>
          </w:hyperlink>
        </w:p>
        <w:p w14:paraId="150CDBE4" w14:textId="1D28213F" w:rsidR="00C304DE" w:rsidRDefault="00DD11FB">
          <w:pPr>
            <w:pStyle w:val="TOC2"/>
            <w:rPr>
              <w:rFonts w:eastAsiaTheme="minorEastAsia" w:cstheme="minorBidi"/>
              <w:noProof/>
              <w:sz w:val="22"/>
              <w:szCs w:val="22"/>
              <w:lang w:eastAsia="en-AU"/>
            </w:rPr>
          </w:pPr>
          <w:hyperlink w:anchor="_Toc57901112" w:history="1">
            <w:r w:rsidR="00C304DE" w:rsidRPr="00A9747B">
              <w:rPr>
                <w:rStyle w:val="Hyperlink"/>
                <w:noProof/>
              </w:rPr>
              <w:t>Communities dependent on a single provider</w:t>
            </w:r>
            <w:r w:rsidR="00C304DE">
              <w:rPr>
                <w:noProof/>
                <w:webHidden/>
              </w:rPr>
              <w:tab/>
            </w:r>
            <w:r w:rsidR="00C304DE">
              <w:rPr>
                <w:noProof/>
                <w:webHidden/>
              </w:rPr>
              <w:fldChar w:fldCharType="begin"/>
            </w:r>
            <w:r w:rsidR="00C304DE">
              <w:rPr>
                <w:noProof/>
                <w:webHidden/>
              </w:rPr>
              <w:instrText xml:space="preserve"> PAGEREF _Toc57901112 \h </w:instrText>
            </w:r>
            <w:r w:rsidR="00C304DE">
              <w:rPr>
                <w:noProof/>
                <w:webHidden/>
              </w:rPr>
            </w:r>
            <w:r w:rsidR="00C304DE">
              <w:rPr>
                <w:noProof/>
                <w:webHidden/>
              </w:rPr>
              <w:fldChar w:fldCharType="separate"/>
            </w:r>
            <w:r>
              <w:rPr>
                <w:noProof/>
                <w:webHidden/>
              </w:rPr>
              <w:t>27</w:t>
            </w:r>
            <w:r w:rsidR="00C304DE">
              <w:rPr>
                <w:noProof/>
                <w:webHidden/>
              </w:rPr>
              <w:fldChar w:fldCharType="end"/>
            </w:r>
          </w:hyperlink>
        </w:p>
        <w:p w14:paraId="569040D4" w14:textId="3C1F1BA0" w:rsidR="002E7C67" w:rsidRDefault="005878E0" w:rsidP="002E7C67">
          <w:pPr>
            <w:rPr>
              <w:sz w:val="22"/>
              <w:szCs w:val="22"/>
            </w:rPr>
          </w:pPr>
          <w:r w:rsidRPr="00A03249">
            <w:rPr>
              <w:sz w:val="22"/>
              <w:szCs w:val="22"/>
            </w:rPr>
            <w:fldChar w:fldCharType="end"/>
          </w:r>
        </w:p>
      </w:sdtContent>
    </w:sdt>
    <w:p w14:paraId="2A6AE2FA" w14:textId="4B249C62" w:rsidR="005878E0" w:rsidRPr="002E7C67" w:rsidRDefault="005878E0" w:rsidP="002E7C67">
      <w:pPr>
        <w:rPr>
          <w:sz w:val="22"/>
          <w:szCs w:val="22"/>
        </w:rPr>
      </w:pPr>
      <w:r w:rsidRPr="002E7C67">
        <w:br w:type="page"/>
      </w:r>
    </w:p>
    <w:p w14:paraId="61925740" w14:textId="77777777" w:rsidR="005878E0" w:rsidRPr="0048449E" w:rsidRDefault="005878E0" w:rsidP="005878E0">
      <w:pPr>
        <w:pStyle w:val="Heading1"/>
      </w:pPr>
      <w:bookmarkStart w:id="0" w:name="_Toc57901078"/>
      <w:r w:rsidRPr="0048449E">
        <w:t>List of Figures</w:t>
      </w:r>
      <w:bookmarkEnd w:id="0"/>
    </w:p>
    <w:p w14:paraId="08CBB97C" w14:textId="29AEB7EF" w:rsidR="00A03249" w:rsidRPr="00A03249" w:rsidRDefault="005878E0" w:rsidP="00A03249">
      <w:pPr>
        <w:pStyle w:val="TableofFigures"/>
        <w:tabs>
          <w:tab w:val="right" w:leader="dot" w:pos="9016"/>
        </w:tabs>
        <w:spacing w:after="100"/>
        <w:rPr>
          <w:rFonts w:eastAsiaTheme="minorEastAsia" w:cstheme="minorBidi"/>
          <w:noProof/>
          <w:sz w:val="22"/>
          <w:szCs w:val="22"/>
          <w:lang w:eastAsia="en-AU"/>
        </w:rPr>
      </w:pPr>
      <w:r w:rsidRPr="00A03249">
        <w:rPr>
          <w:sz w:val="22"/>
          <w:szCs w:val="22"/>
        </w:rPr>
        <w:fldChar w:fldCharType="begin"/>
      </w:r>
      <w:r w:rsidRPr="00A03249">
        <w:rPr>
          <w:sz w:val="22"/>
          <w:szCs w:val="22"/>
        </w:rPr>
        <w:instrText xml:space="preserve"> TOC \h \z \c "Figure" </w:instrText>
      </w:r>
      <w:r w:rsidRPr="00A03249">
        <w:rPr>
          <w:sz w:val="22"/>
          <w:szCs w:val="22"/>
        </w:rPr>
        <w:fldChar w:fldCharType="separate"/>
      </w:r>
      <w:hyperlink w:anchor="_Toc57387622" w:history="1">
        <w:r w:rsidR="00A03249" w:rsidRPr="00A03249">
          <w:rPr>
            <w:rStyle w:val="Hyperlink"/>
            <w:noProof/>
            <w:sz w:val="22"/>
            <w:szCs w:val="22"/>
          </w:rPr>
          <w:t>Figure 1: Estimated prevalence of hearing loss by age (Davis, 1995).</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_Toc57387622 \h </w:instrText>
        </w:r>
        <w:r w:rsidR="00A03249" w:rsidRPr="00A03249">
          <w:rPr>
            <w:noProof/>
            <w:webHidden/>
            <w:sz w:val="22"/>
            <w:szCs w:val="22"/>
          </w:rPr>
        </w:r>
        <w:r w:rsidR="00A03249" w:rsidRPr="00A03249">
          <w:rPr>
            <w:noProof/>
            <w:webHidden/>
            <w:sz w:val="22"/>
            <w:szCs w:val="22"/>
          </w:rPr>
          <w:fldChar w:fldCharType="separate"/>
        </w:r>
        <w:r w:rsidR="00DD11FB">
          <w:rPr>
            <w:noProof/>
            <w:webHidden/>
            <w:sz w:val="22"/>
            <w:szCs w:val="22"/>
          </w:rPr>
          <w:t>5</w:t>
        </w:r>
        <w:r w:rsidR="00A03249" w:rsidRPr="00A03249">
          <w:rPr>
            <w:noProof/>
            <w:webHidden/>
            <w:sz w:val="22"/>
            <w:szCs w:val="22"/>
          </w:rPr>
          <w:fldChar w:fldCharType="end"/>
        </w:r>
      </w:hyperlink>
    </w:p>
    <w:p w14:paraId="0A976C71" w14:textId="71848887" w:rsidR="00A03249" w:rsidRP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23" w:history="1">
        <w:r w:rsidR="00A03249" w:rsidRPr="00A03249">
          <w:rPr>
            <w:rStyle w:val="Hyperlink"/>
            <w:noProof/>
            <w:sz w:val="22"/>
            <w:szCs w:val="22"/>
          </w:rPr>
          <w:t>Figure 2: Estimated Australian population by age (grey line), estimated population with hearing loss by age (orange line). The blue bars are those consumers that have received hearing services in the Voucher scheme in the last five years</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_Toc57387623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6</w:t>
        </w:r>
        <w:r w:rsidR="00A03249" w:rsidRPr="00A03249">
          <w:rPr>
            <w:noProof/>
            <w:webHidden/>
            <w:sz w:val="22"/>
            <w:szCs w:val="22"/>
          </w:rPr>
          <w:fldChar w:fldCharType="end"/>
        </w:r>
      </w:hyperlink>
    </w:p>
    <w:p w14:paraId="6E27ECD6" w14:textId="5430F2C7" w:rsidR="00A03249" w:rsidRP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24" w:history="1">
        <w:r w:rsidR="00A03249" w:rsidRPr="00A03249">
          <w:rPr>
            <w:rStyle w:val="Hyperlink"/>
            <w:noProof/>
            <w:sz w:val="22"/>
            <w:szCs w:val="22"/>
          </w:rPr>
          <w:t>Figure 3.  Index of relative socio-economic advantage and disadvantage quintiles for local government areas</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_Toc57387624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12</w:t>
        </w:r>
        <w:r w:rsidR="00A03249" w:rsidRPr="00A03249">
          <w:rPr>
            <w:noProof/>
            <w:webHidden/>
            <w:sz w:val="22"/>
            <w:szCs w:val="22"/>
          </w:rPr>
          <w:fldChar w:fldCharType="end"/>
        </w:r>
      </w:hyperlink>
    </w:p>
    <w:p w14:paraId="0CB5BA04" w14:textId="19D38C4B" w:rsidR="00A03249" w:rsidRP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25" w:history="1">
        <w:r w:rsidR="00A03249" w:rsidRPr="00A03249">
          <w:rPr>
            <w:rStyle w:val="Hyperlink"/>
            <w:noProof/>
            <w:sz w:val="22"/>
            <w:szCs w:val="22"/>
          </w:rPr>
          <w:t>Figure 4: Sites by level of Voucher Scheme revenue (by provider) and MM region. Note that (a) Franchises, and (b) Hearing Australia have been separated out in this analysis. This data includes all Voucher Scheme sites (permanent and visiting) in the three financial years of FY2017-18, FY2018-19, and FY2019-20</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_Toc57387625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13</w:t>
        </w:r>
        <w:r w:rsidR="00A03249" w:rsidRPr="00A03249">
          <w:rPr>
            <w:noProof/>
            <w:webHidden/>
            <w:sz w:val="22"/>
            <w:szCs w:val="22"/>
          </w:rPr>
          <w:fldChar w:fldCharType="end"/>
        </w:r>
      </w:hyperlink>
    </w:p>
    <w:p w14:paraId="32ADF110" w14:textId="6D034371" w:rsidR="00A03249" w:rsidRP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26" w:history="1">
        <w:r w:rsidR="00A03249" w:rsidRPr="00A03249">
          <w:rPr>
            <w:rStyle w:val="Hyperlink"/>
            <w:noProof/>
            <w:sz w:val="22"/>
            <w:szCs w:val="22"/>
          </w:rPr>
          <w:t>Figure 5: Map of postcode 2325 - located to the west of Newcastle, New South Wales</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_Toc57387626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27</w:t>
        </w:r>
        <w:r w:rsidR="00A03249" w:rsidRPr="00A03249">
          <w:rPr>
            <w:noProof/>
            <w:webHidden/>
            <w:sz w:val="22"/>
            <w:szCs w:val="22"/>
          </w:rPr>
          <w:fldChar w:fldCharType="end"/>
        </w:r>
      </w:hyperlink>
    </w:p>
    <w:p w14:paraId="7E84010D" w14:textId="6B0DBAFF" w:rsidR="005878E0" w:rsidRPr="00686C5B" w:rsidRDefault="005878E0" w:rsidP="00A03249">
      <w:pPr>
        <w:spacing w:after="100"/>
        <w:rPr>
          <w:sz w:val="22"/>
          <w:szCs w:val="22"/>
        </w:rPr>
      </w:pPr>
      <w:r w:rsidRPr="00A03249">
        <w:rPr>
          <w:sz w:val="22"/>
          <w:szCs w:val="22"/>
        </w:rPr>
        <w:fldChar w:fldCharType="end"/>
      </w:r>
    </w:p>
    <w:p w14:paraId="29295CF7" w14:textId="77777777" w:rsidR="005878E0" w:rsidRPr="0048449E" w:rsidRDefault="005878E0" w:rsidP="005878E0">
      <w:pPr>
        <w:pStyle w:val="Heading1"/>
      </w:pPr>
      <w:bookmarkStart w:id="1" w:name="_Toc57901079"/>
      <w:r w:rsidRPr="0048449E">
        <w:t>List of Tables</w:t>
      </w:r>
      <w:bookmarkEnd w:id="1"/>
    </w:p>
    <w:p w14:paraId="31B9AE70" w14:textId="60E79AD8" w:rsidR="00A03249" w:rsidRPr="00A03249" w:rsidRDefault="005878E0" w:rsidP="00A03249">
      <w:pPr>
        <w:pStyle w:val="TableofFigures"/>
        <w:tabs>
          <w:tab w:val="right" w:leader="dot" w:pos="9016"/>
        </w:tabs>
        <w:spacing w:after="100"/>
        <w:rPr>
          <w:rFonts w:eastAsiaTheme="minorEastAsia" w:cstheme="minorBidi"/>
          <w:noProof/>
          <w:sz w:val="22"/>
          <w:szCs w:val="22"/>
          <w:lang w:eastAsia="en-AU"/>
        </w:rPr>
      </w:pPr>
      <w:r w:rsidRPr="00726F59">
        <w:rPr>
          <w:sz w:val="22"/>
          <w:szCs w:val="22"/>
        </w:rPr>
        <w:fldChar w:fldCharType="begin"/>
      </w:r>
      <w:r w:rsidRPr="00726F59">
        <w:rPr>
          <w:sz w:val="22"/>
          <w:szCs w:val="22"/>
        </w:rPr>
        <w:instrText xml:space="preserve"> TOC \h \z \c "Table" </w:instrText>
      </w:r>
      <w:r w:rsidRPr="00726F59">
        <w:rPr>
          <w:sz w:val="22"/>
          <w:szCs w:val="22"/>
        </w:rPr>
        <w:fldChar w:fldCharType="separate"/>
      </w:r>
      <w:hyperlink w:anchor="_Toc57387627" w:history="1">
        <w:r w:rsidR="00A03249" w:rsidRPr="00A03249">
          <w:rPr>
            <w:rStyle w:val="Hyperlink"/>
            <w:noProof/>
            <w:sz w:val="22"/>
            <w:szCs w:val="22"/>
          </w:rPr>
          <w:t>Table 1: Estimated Australian population by Modified Monash Model (MM) classification. Variances in the prevalence values are due to the age distribution of the population in those areas</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_Toc57387627 \h </w:instrText>
        </w:r>
        <w:r w:rsidR="00A03249" w:rsidRPr="00A03249">
          <w:rPr>
            <w:noProof/>
            <w:webHidden/>
            <w:sz w:val="22"/>
            <w:szCs w:val="22"/>
          </w:rPr>
        </w:r>
        <w:r w:rsidR="00A03249" w:rsidRPr="00A03249">
          <w:rPr>
            <w:noProof/>
            <w:webHidden/>
            <w:sz w:val="22"/>
            <w:szCs w:val="22"/>
          </w:rPr>
          <w:fldChar w:fldCharType="separate"/>
        </w:r>
        <w:r w:rsidR="00DD11FB">
          <w:rPr>
            <w:noProof/>
            <w:webHidden/>
            <w:sz w:val="22"/>
            <w:szCs w:val="22"/>
          </w:rPr>
          <w:t>10</w:t>
        </w:r>
        <w:r w:rsidR="00A03249" w:rsidRPr="00A03249">
          <w:rPr>
            <w:noProof/>
            <w:webHidden/>
            <w:sz w:val="22"/>
            <w:szCs w:val="22"/>
          </w:rPr>
          <w:fldChar w:fldCharType="end"/>
        </w:r>
      </w:hyperlink>
    </w:p>
    <w:p w14:paraId="3B65DE4C" w14:textId="2D2E5E88" w:rsidR="00A03249" w:rsidRP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28" w:history="1">
        <w:r w:rsidR="00A03249" w:rsidRPr="00A03249">
          <w:rPr>
            <w:rStyle w:val="Hyperlink"/>
            <w:noProof/>
            <w:sz w:val="22"/>
            <w:szCs w:val="22"/>
          </w:rPr>
          <w:t>Table 2: Voucher Scheme consumers in the last five years (FY2015-16 to FY2019-20), by the Modified Monash Model region of consumers</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_Toc57387628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11</w:t>
        </w:r>
        <w:r w:rsidR="00A03249" w:rsidRPr="00A03249">
          <w:rPr>
            <w:noProof/>
            <w:webHidden/>
            <w:sz w:val="22"/>
            <w:szCs w:val="22"/>
          </w:rPr>
          <w:fldChar w:fldCharType="end"/>
        </w:r>
      </w:hyperlink>
    </w:p>
    <w:p w14:paraId="4E0DDAC2" w14:textId="3942FBE2" w:rsidR="00A03249" w:rsidRP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29" w:history="1">
        <w:r w:rsidR="00A03249" w:rsidRPr="00A03249">
          <w:rPr>
            <w:rStyle w:val="Hyperlink"/>
            <w:noProof/>
            <w:sz w:val="22"/>
            <w:szCs w:val="22"/>
          </w:rPr>
          <w:t>Table 3: Summary of options suggested to support the implementation</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_Toc57387629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14</w:t>
        </w:r>
        <w:r w:rsidR="00A03249" w:rsidRPr="00A03249">
          <w:rPr>
            <w:noProof/>
            <w:webHidden/>
            <w:sz w:val="22"/>
            <w:szCs w:val="22"/>
          </w:rPr>
          <w:fldChar w:fldCharType="end"/>
        </w:r>
      </w:hyperlink>
    </w:p>
    <w:p w14:paraId="048E1374" w14:textId="156DBD6D" w:rsidR="00A03249" w:rsidRP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30" w:history="1">
        <w:r w:rsidR="00A03249" w:rsidRPr="00A03249">
          <w:rPr>
            <w:rStyle w:val="Hyperlink"/>
            <w:noProof/>
            <w:sz w:val="22"/>
            <w:szCs w:val="22"/>
          </w:rPr>
          <w:t>Table 4: Summary of Modified Monash Model (MM) classifications (Department of Health, 2019)</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_Toc57387630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25</w:t>
        </w:r>
        <w:r w:rsidR="00A03249" w:rsidRPr="00A03249">
          <w:rPr>
            <w:noProof/>
            <w:webHidden/>
            <w:sz w:val="22"/>
            <w:szCs w:val="22"/>
          </w:rPr>
          <w:fldChar w:fldCharType="end"/>
        </w:r>
      </w:hyperlink>
    </w:p>
    <w:p w14:paraId="598D0DD9" w14:textId="22E003D2" w:rsidR="00A03249" w:rsidRP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31" w:history="1">
        <w:r w:rsidR="00A03249" w:rsidRPr="00A03249">
          <w:rPr>
            <w:rStyle w:val="Hyperlink"/>
            <w:noProof/>
            <w:sz w:val="22"/>
            <w:szCs w:val="22"/>
          </w:rPr>
          <w:t>Table 5: Three sample suburbs within the 2325 postcode</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_Toc57387631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27</w:t>
        </w:r>
        <w:r w:rsidR="00A03249" w:rsidRPr="00A03249">
          <w:rPr>
            <w:noProof/>
            <w:webHidden/>
            <w:sz w:val="22"/>
            <w:szCs w:val="22"/>
          </w:rPr>
          <w:fldChar w:fldCharType="end"/>
        </w:r>
      </w:hyperlink>
    </w:p>
    <w:p w14:paraId="13592D54" w14:textId="0C82AA6B" w:rsidR="00A03249" w:rsidRDefault="00DD11FB" w:rsidP="00A03249">
      <w:pPr>
        <w:pStyle w:val="TableofFigures"/>
        <w:tabs>
          <w:tab w:val="right" w:leader="dot" w:pos="9016"/>
        </w:tabs>
        <w:spacing w:after="100"/>
        <w:rPr>
          <w:rFonts w:eastAsiaTheme="minorEastAsia" w:cstheme="minorBidi"/>
          <w:noProof/>
          <w:sz w:val="22"/>
          <w:szCs w:val="22"/>
          <w:lang w:eastAsia="en-AU"/>
        </w:rPr>
      </w:pPr>
      <w:hyperlink w:anchor="_Toc57387632" w:history="1">
        <w:r w:rsidR="00A03249" w:rsidRPr="00A03249">
          <w:rPr>
            <w:rStyle w:val="Hyperlink"/>
            <w:noProof/>
            <w:sz w:val="22"/>
            <w:szCs w:val="22"/>
          </w:rPr>
          <w:t>Table 6: 51 communities identified as being dependent on a single provider in FY2019-20. Note that St Helens (TAS) and Karratha (WA) had two sites from the same provider, and hence these 51 communities represent 53 individual sites</w:t>
        </w:r>
        <w:r w:rsidR="00A03249" w:rsidRPr="00A03249">
          <w:rPr>
            <w:noProof/>
            <w:webHidden/>
            <w:sz w:val="22"/>
            <w:szCs w:val="22"/>
          </w:rPr>
          <w:tab/>
        </w:r>
        <w:r w:rsidR="00A03249" w:rsidRPr="00A03249">
          <w:rPr>
            <w:noProof/>
            <w:webHidden/>
            <w:sz w:val="22"/>
            <w:szCs w:val="22"/>
          </w:rPr>
          <w:fldChar w:fldCharType="begin"/>
        </w:r>
        <w:r w:rsidR="00A03249" w:rsidRPr="00A03249">
          <w:rPr>
            <w:noProof/>
            <w:webHidden/>
            <w:sz w:val="22"/>
            <w:szCs w:val="22"/>
          </w:rPr>
          <w:instrText xml:space="preserve"> PAGEREF _Toc57387632 \h </w:instrText>
        </w:r>
        <w:r w:rsidR="00A03249" w:rsidRPr="00A03249">
          <w:rPr>
            <w:noProof/>
            <w:webHidden/>
            <w:sz w:val="22"/>
            <w:szCs w:val="22"/>
          </w:rPr>
        </w:r>
        <w:r w:rsidR="00A03249" w:rsidRPr="00A03249">
          <w:rPr>
            <w:noProof/>
            <w:webHidden/>
            <w:sz w:val="22"/>
            <w:szCs w:val="22"/>
          </w:rPr>
          <w:fldChar w:fldCharType="separate"/>
        </w:r>
        <w:r>
          <w:rPr>
            <w:noProof/>
            <w:webHidden/>
            <w:sz w:val="22"/>
            <w:szCs w:val="22"/>
          </w:rPr>
          <w:t>28</w:t>
        </w:r>
        <w:r w:rsidR="00A03249" w:rsidRPr="00A03249">
          <w:rPr>
            <w:noProof/>
            <w:webHidden/>
            <w:sz w:val="22"/>
            <w:szCs w:val="22"/>
          </w:rPr>
          <w:fldChar w:fldCharType="end"/>
        </w:r>
      </w:hyperlink>
    </w:p>
    <w:p w14:paraId="5D6D8B44" w14:textId="68E1990E" w:rsidR="005878E0" w:rsidRDefault="005878E0" w:rsidP="00A03249">
      <w:pPr>
        <w:spacing w:after="100"/>
      </w:pPr>
      <w:r w:rsidRPr="00726F59">
        <w:rPr>
          <w:sz w:val="22"/>
          <w:szCs w:val="22"/>
        </w:rPr>
        <w:fldChar w:fldCharType="end"/>
      </w:r>
    </w:p>
    <w:p w14:paraId="4E8493E2" w14:textId="77777777" w:rsidR="005878E0" w:rsidRPr="002E7C67" w:rsidRDefault="005878E0" w:rsidP="002E7C67">
      <w:r w:rsidRPr="002E7C67">
        <w:br w:type="page"/>
      </w:r>
    </w:p>
    <w:p w14:paraId="4F2A1952" w14:textId="77777777" w:rsidR="005878E0" w:rsidRPr="00A7769A" w:rsidRDefault="005878E0" w:rsidP="005878E0">
      <w:pPr>
        <w:pStyle w:val="Heading1"/>
        <w:spacing w:before="120" w:after="120" w:line="240" w:lineRule="auto"/>
      </w:pPr>
      <w:bookmarkStart w:id="2" w:name="_Toc57901080"/>
      <w:r w:rsidRPr="00A7769A">
        <w:t>Executive Summary</w:t>
      </w:r>
      <w:bookmarkEnd w:id="2"/>
    </w:p>
    <w:p w14:paraId="1D1A3EED" w14:textId="255B55B7" w:rsidR="005878E0" w:rsidRPr="007B203D" w:rsidRDefault="005878E0" w:rsidP="00D1598A">
      <w:pPr>
        <w:spacing w:before="120" w:after="120" w:line="240" w:lineRule="auto"/>
        <w:rPr>
          <w:sz w:val="22"/>
          <w:szCs w:val="22"/>
        </w:rPr>
      </w:pPr>
      <w:r w:rsidRPr="007B203D">
        <w:rPr>
          <w:sz w:val="22"/>
          <w:szCs w:val="22"/>
        </w:rPr>
        <w:t>On 14 August 2019, the Hon Mark Coulton MP, Minister for Regional Health, Regional Communications and Local Government (the Minister) announced the establishment of an Independent Panel to review the Hearing Services Program.</w:t>
      </w:r>
    </w:p>
    <w:p w14:paraId="12ECBF4D" w14:textId="18374EA7" w:rsidR="005878E0" w:rsidRDefault="005878E0" w:rsidP="00D1598A">
      <w:pPr>
        <w:spacing w:before="120" w:after="120" w:line="240" w:lineRule="auto"/>
        <w:rPr>
          <w:sz w:val="22"/>
          <w:szCs w:val="22"/>
        </w:rPr>
      </w:pPr>
      <w:r w:rsidRPr="0888A839">
        <w:rPr>
          <w:sz w:val="22"/>
          <w:szCs w:val="22"/>
        </w:rPr>
        <w:t xml:space="preserve">At the request of the </w:t>
      </w:r>
      <w:r>
        <w:rPr>
          <w:sz w:val="22"/>
          <w:szCs w:val="22"/>
        </w:rPr>
        <w:t>Minister on 16 October 2020</w:t>
      </w:r>
      <w:r w:rsidR="001E2331">
        <w:rPr>
          <w:sz w:val="22"/>
          <w:szCs w:val="22"/>
        </w:rPr>
        <w:t>,</w:t>
      </w:r>
      <w:r>
        <w:rPr>
          <w:sz w:val="22"/>
          <w:szCs w:val="22"/>
        </w:rPr>
        <w:t xml:space="preserve"> the Panel is providing this</w:t>
      </w:r>
      <w:r w:rsidRPr="0888A839">
        <w:rPr>
          <w:sz w:val="22"/>
          <w:szCs w:val="22"/>
        </w:rPr>
        <w:t xml:space="preserve"> Interim Advice regarding</w:t>
      </w:r>
      <w:r>
        <w:rPr>
          <w:sz w:val="22"/>
          <w:szCs w:val="22"/>
        </w:rPr>
        <w:t xml:space="preserve"> the</w:t>
      </w:r>
      <w:r w:rsidRPr="0888A839">
        <w:rPr>
          <w:sz w:val="22"/>
          <w:szCs w:val="22"/>
        </w:rPr>
        <w:t xml:space="preserve"> implementation of the Government’s changes to the Hearing Services Program’s (the Program) Voucher Scheme</w:t>
      </w:r>
      <w:r>
        <w:rPr>
          <w:sz w:val="22"/>
          <w:szCs w:val="22"/>
        </w:rPr>
        <w:t>,</w:t>
      </w:r>
      <w:r w:rsidRPr="0888A839">
        <w:rPr>
          <w:sz w:val="22"/>
          <w:szCs w:val="22"/>
        </w:rPr>
        <w:t xml:space="preserve"> announced in the October 2020 Federal Budget. The changes included extending the Voucher period to five years, removing the 12 month warranty period maintenance payment, and replacing the annual</w:t>
      </w:r>
      <w:r>
        <w:rPr>
          <w:sz w:val="22"/>
          <w:szCs w:val="22"/>
        </w:rPr>
        <w:t xml:space="preserve"> maintenance</w:t>
      </w:r>
      <w:r w:rsidRPr="0888A839">
        <w:rPr>
          <w:sz w:val="22"/>
          <w:szCs w:val="22"/>
        </w:rPr>
        <w:t xml:space="preserve"> payment in advance with quarterly payments</w:t>
      </w:r>
      <w:r>
        <w:rPr>
          <w:sz w:val="22"/>
          <w:szCs w:val="22"/>
        </w:rPr>
        <w:t xml:space="preserve"> in advance</w:t>
      </w:r>
      <w:r w:rsidR="002E7C67">
        <w:rPr>
          <w:sz w:val="22"/>
          <w:szCs w:val="22"/>
        </w:rPr>
        <w:t>.</w:t>
      </w:r>
    </w:p>
    <w:p w14:paraId="1F739F1A" w14:textId="77777777" w:rsidR="005878E0" w:rsidRDefault="005878E0" w:rsidP="00D1598A">
      <w:pPr>
        <w:spacing w:before="120" w:after="120" w:line="240" w:lineRule="auto"/>
        <w:rPr>
          <w:sz w:val="22"/>
          <w:szCs w:val="22"/>
        </w:rPr>
      </w:pPr>
      <w:r w:rsidRPr="00BF0EE4">
        <w:rPr>
          <w:sz w:val="22"/>
          <w:szCs w:val="22"/>
        </w:rPr>
        <w:t xml:space="preserve">This Interim Advice assesses potential implementation impacts and provides three policy approaches </w:t>
      </w:r>
      <w:r>
        <w:rPr>
          <w:sz w:val="22"/>
          <w:szCs w:val="22"/>
        </w:rPr>
        <w:t>which could be applied during the implementation period</w:t>
      </w:r>
      <w:r w:rsidRPr="00BF0EE4">
        <w:rPr>
          <w:sz w:val="22"/>
          <w:szCs w:val="22"/>
        </w:rPr>
        <w:t xml:space="preserve">. Each approach </w:t>
      </w:r>
      <w:r>
        <w:rPr>
          <w:sz w:val="22"/>
          <w:szCs w:val="22"/>
        </w:rPr>
        <w:t>is aimed at supporting</w:t>
      </w:r>
      <w:r w:rsidRPr="00BF0EE4">
        <w:rPr>
          <w:sz w:val="22"/>
          <w:szCs w:val="22"/>
        </w:rPr>
        <w:t xml:space="preserve"> </w:t>
      </w:r>
      <w:r>
        <w:rPr>
          <w:sz w:val="22"/>
          <w:szCs w:val="22"/>
        </w:rPr>
        <w:t xml:space="preserve">ongoing </w:t>
      </w:r>
      <w:r w:rsidRPr="00BF0EE4">
        <w:rPr>
          <w:sz w:val="22"/>
          <w:szCs w:val="22"/>
        </w:rPr>
        <w:t xml:space="preserve">consumer access to the Voucher Scheme by </w:t>
      </w:r>
      <w:r>
        <w:rPr>
          <w:sz w:val="22"/>
          <w:szCs w:val="22"/>
        </w:rPr>
        <w:t>maintaining a viable</w:t>
      </w:r>
      <w:r w:rsidRPr="00BF0EE4">
        <w:rPr>
          <w:sz w:val="22"/>
          <w:szCs w:val="22"/>
        </w:rPr>
        <w:t xml:space="preserve"> provider</w:t>
      </w:r>
      <w:r>
        <w:rPr>
          <w:sz w:val="22"/>
          <w:szCs w:val="22"/>
        </w:rPr>
        <w:t xml:space="preserve"> sector</w:t>
      </w:r>
      <w:r w:rsidRPr="00BF0EE4">
        <w:rPr>
          <w:sz w:val="22"/>
          <w:szCs w:val="22"/>
        </w:rPr>
        <w:t xml:space="preserve">. Impacts on consumers </w:t>
      </w:r>
      <w:r>
        <w:rPr>
          <w:sz w:val="22"/>
          <w:szCs w:val="22"/>
        </w:rPr>
        <w:t xml:space="preserve">and providers </w:t>
      </w:r>
      <w:r w:rsidRPr="00BF0EE4">
        <w:rPr>
          <w:sz w:val="22"/>
          <w:szCs w:val="22"/>
        </w:rPr>
        <w:t xml:space="preserve">in rural and remote areas are included in the analysis. </w:t>
      </w:r>
    </w:p>
    <w:p w14:paraId="31AB6FC7" w14:textId="77777777" w:rsidR="005878E0" w:rsidRDefault="005878E0" w:rsidP="00D1598A">
      <w:pPr>
        <w:spacing w:before="120" w:after="120" w:line="240" w:lineRule="auto"/>
        <w:rPr>
          <w:sz w:val="22"/>
          <w:szCs w:val="22"/>
        </w:rPr>
      </w:pPr>
      <w:r>
        <w:rPr>
          <w:sz w:val="22"/>
          <w:szCs w:val="22"/>
        </w:rPr>
        <w:t xml:space="preserve">The Panel will provide final advice on each of these approaches to the Government in March 2021 through the Draft Report into the Hearing Services Program, following consultation with the sector and community. </w:t>
      </w:r>
    </w:p>
    <w:p w14:paraId="18EBFC23" w14:textId="77777777" w:rsidR="005878E0" w:rsidRDefault="005878E0" w:rsidP="00D1598A">
      <w:pPr>
        <w:spacing w:before="120" w:after="120" w:line="240" w:lineRule="auto"/>
        <w:rPr>
          <w:sz w:val="22"/>
          <w:szCs w:val="22"/>
        </w:rPr>
      </w:pPr>
      <w:r w:rsidRPr="002524F6">
        <w:rPr>
          <w:sz w:val="22"/>
          <w:szCs w:val="22"/>
        </w:rPr>
        <w:t xml:space="preserve">It should be noted that the analysis provided </w:t>
      </w:r>
      <w:r>
        <w:rPr>
          <w:sz w:val="22"/>
          <w:szCs w:val="22"/>
        </w:rPr>
        <w:t>in this Interim Advice</w:t>
      </w:r>
      <w:r w:rsidRPr="002524F6">
        <w:rPr>
          <w:sz w:val="22"/>
          <w:szCs w:val="22"/>
        </w:rPr>
        <w:t xml:space="preserve"> is limited to the data available from the Program</w:t>
      </w:r>
      <w:r>
        <w:rPr>
          <w:sz w:val="22"/>
          <w:szCs w:val="22"/>
        </w:rPr>
        <w:t xml:space="preserve"> – essentially data on clients, service site locations and payments to providers</w:t>
      </w:r>
      <w:r w:rsidRPr="002524F6">
        <w:rPr>
          <w:sz w:val="22"/>
          <w:szCs w:val="22"/>
        </w:rPr>
        <w:t xml:space="preserve">. </w:t>
      </w:r>
      <w:r>
        <w:rPr>
          <w:sz w:val="22"/>
          <w:szCs w:val="22"/>
        </w:rPr>
        <w:t xml:space="preserve">Many providers source income from outside the Program. </w:t>
      </w:r>
      <w:r w:rsidRPr="002524F6">
        <w:rPr>
          <w:sz w:val="22"/>
          <w:szCs w:val="22"/>
        </w:rPr>
        <w:t xml:space="preserve">Detailed analysis of service provider </w:t>
      </w:r>
      <w:r>
        <w:rPr>
          <w:sz w:val="22"/>
          <w:szCs w:val="22"/>
        </w:rPr>
        <w:t>finances</w:t>
      </w:r>
      <w:r w:rsidRPr="002524F6">
        <w:rPr>
          <w:sz w:val="22"/>
          <w:szCs w:val="22"/>
        </w:rPr>
        <w:t xml:space="preserve"> and the impact of the Budget changes</w:t>
      </w:r>
      <w:r>
        <w:rPr>
          <w:sz w:val="22"/>
          <w:szCs w:val="22"/>
        </w:rPr>
        <w:t xml:space="preserve"> on provider income and expenses would</w:t>
      </w:r>
      <w:r w:rsidRPr="002524F6">
        <w:rPr>
          <w:sz w:val="22"/>
          <w:szCs w:val="22"/>
        </w:rPr>
        <w:t xml:space="preserve"> require a range of other data not available to this Review</w:t>
      </w:r>
      <w:r>
        <w:rPr>
          <w:sz w:val="22"/>
          <w:szCs w:val="22"/>
        </w:rPr>
        <w:t>.</w:t>
      </w:r>
      <w:r w:rsidRPr="002524F6">
        <w:rPr>
          <w:sz w:val="22"/>
          <w:szCs w:val="22"/>
        </w:rPr>
        <w:t xml:space="preserve"> </w:t>
      </w:r>
    </w:p>
    <w:p w14:paraId="30349233" w14:textId="321B00DE" w:rsidR="005878E0" w:rsidRPr="002524F6" w:rsidRDefault="005878E0" w:rsidP="00D1598A">
      <w:pPr>
        <w:spacing w:before="120" w:after="120" w:line="240" w:lineRule="auto"/>
        <w:rPr>
          <w:sz w:val="22"/>
          <w:szCs w:val="22"/>
        </w:rPr>
      </w:pPr>
      <w:r>
        <w:rPr>
          <w:sz w:val="22"/>
          <w:szCs w:val="22"/>
        </w:rPr>
        <w:t>However, there is sufficient evidence to show that revenue from the Program will decrease over the first two years by around 19 percent each year, and will have greatest impact on those providers who are most dependent on Program revenue</w:t>
      </w:r>
      <w:sdt>
        <w:sdtPr>
          <w:rPr>
            <w:sz w:val="22"/>
            <w:szCs w:val="22"/>
          </w:rPr>
          <w:id w:val="-712425094"/>
          <w:citation/>
        </w:sdtPr>
        <w:sdtEndPr/>
        <w:sdtContent>
          <w:r>
            <w:rPr>
              <w:sz w:val="22"/>
              <w:szCs w:val="22"/>
            </w:rPr>
            <w:fldChar w:fldCharType="begin"/>
          </w:r>
          <w:r>
            <w:rPr>
              <w:sz w:val="22"/>
              <w:szCs w:val="22"/>
            </w:rPr>
            <w:instrText xml:space="preserve"> CITATION RIS_hearing \l 3081 </w:instrText>
          </w:r>
          <w:r>
            <w:rPr>
              <w:sz w:val="22"/>
              <w:szCs w:val="22"/>
            </w:rPr>
            <w:fldChar w:fldCharType="separate"/>
          </w:r>
          <w:r w:rsidR="0083673B">
            <w:rPr>
              <w:noProof/>
              <w:sz w:val="22"/>
              <w:szCs w:val="22"/>
            </w:rPr>
            <w:t xml:space="preserve"> </w:t>
          </w:r>
          <w:r w:rsidR="0083673B" w:rsidRPr="0083673B">
            <w:rPr>
              <w:noProof/>
              <w:sz w:val="22"/>
              <w:szCs w:val="22"/>
            </w:rPr>
            <w:t>(Hearing Services Program, 2020)</w:t>
          </w:r>
          <w:r>
            <w:rPr>
              <w:sz w:val="22"/>
              <w:szCs w:val="22"/>
            </w:rPr>
            <w:fldChar w:fldCharType="end"/>
          </w:r>
        </w:sdtContent>
      </w:sdt>
      <w:r>
        <w:rPr>
          <w:sz w:val="22"/>
          <w:szCs w:val="22"/>
        </w:rPr>
        <w:t>.</w:t>
      </w:r>
    </w:p>
    <w:p w14:paraId="6BD96CF1" w14:textId="4F80800B" w:rsidR="005878E0" w:rsidRPr="007B203D" w:rsidRDefault="005878E0" w:rsidP="005878E0">
      <w:pPr>
        <w:pStyle w:val="Heading2"/>
        <w:spacing w:before="120" w:after="120" w:line="240" w:lineRule="auto"/>
        <w:rPr>
          <w:sz w:val="28"/>
          <w:szCs w:val="28"/>
        </w:rPr>
      </w:pPr>
      <w:bookmarkStart w:id="3" w:name="_Toc57901081"/>
      <w:r w:rsidRPr="007B203D">
        <w:rPr>
          <w:sz w:val="28"/>
          <w:szCs w:val="28"/>
        </w:rPr>
        <w:t xml:space="preserve">Key </w:t>
      </w:r>
      <w:r w:rsidR="00D076EF">
        <w:rPr>
          <w:sz w:val="28"/>
          <w:szCs w:val="28"/>
        </w:rPr>
        <w:t>messages</w:t>
      </w:r>
      <w:bookmarkEnd w:id="3"/>
    </w:p>
    <w:p w14:paraId="0F353F28" w14:textId="475116B5" w:rsidR="005878E0" w:rsidRPr="00E13FE5" w:rsidRDefault="005878E0" w:rsidP="005878E0">
      <w:pPr>
        <w:spacing w:before="120" w:after="120" w:line="240" w:lineRule="auto"/>
        <w:rPr>
          <w:sz w:val="22"/>
          <w:szCs w:val="22"/>
        </w:rPr>
      </w:pPr>
      <w:r w:rsidRPr="00E13FE5">
        <w:rPr>
          <w:sz w:val="22"/>
          <w:szCs w:val="22"/>
        </w:rPr>
        <w:t xml:space="preserve">The </w:t>
      </w:r>
      <w:r>
        <w:rPr>
          <w:sz w:val="22"/>
          <w:szCs w:val="22"/>
        </w:rPr>
        <w:t>Panel’s Interim Advice is that</w:t>
      </w:r>
      <w:r w:rsidRPr="00E13FE5">
        <w:rPr>
          <w:sz w:val="22"/>
          <w:szCs w:val="22"/>
        </w:rPr>
        <w:t xml:space="preserve"> that the Government consider the following t</w:t>
      </w:r>
      <w:r>
        <w:rPr>
          <w:sz w:val="22"/>
          <w:szCs w:val="22"/>
        </w:rPr>
        <w:t>hree policy approaches</w:t>
      </w:r>
      <w:r w:rsidRPr="00E13FE5">
        <w:rPr>
          <w:sz w:val="22"/>
          <w:szCs w:val="22"/>
        </w:rPr>
        <w:t xml:space="preserve"> to </w:t>
      </w:r>
      <w:r>
        <w:rPr>
          <w:sz w:val="22"/>
          <w:szCs w:val="22"/>
        </w:rPr>
        <w:t>maintain a viable</w:t>
      </w:r>
      <w:r w:rsidRPr="00E13FE5">
        <w:rPr>
          <w:sz w:val="22"/>
          <w:szCs w:val="22"/>
        </w:rPr>
        <w:t xml:space="preserve"> </w:t>
      </w:r>
      <w:r>
        <w:rPr>
          <w:sz w:val="22"/>
          <w:szCs w:val="22"/>
        </w:rPr>
        <w:t xml:space="preserve">service provider sector, and </w:t>
      </w:r>
      <w:r w:rsidR="00D076EF">
        <w:rPr>
          <w:sz w:val="22"/>
          <w:szCs w:val="22"/>
        </w:rPr>
        <w:t xml:space="preserve">in turn to </w:t>
      </w:r>
      <w:r>
        <w:rPr>
          <w:sz w:val="22"/>
          <w:szCs w:val="22"/>
        </w:rPr>
        <w:t>support ongoing consumer access to hearing services</w:t>
      </w:r>
      <w:r w:rsidRPr="00E13FE5">
        <w:rPr>
          <w:sz w:val="22"/>
          <w:szCs w:val="22"/>
        </w:rPr>
        <w:t xml:space="preserve"> during </w:t>
      </w:r>
      <w:r>
        <w:rPr>
          <w:sz w:val="22"/>
          <w:szCs w:val="22"/>
        </w:rPr>
        <w:t xml:space="preserve">the </w:t>
      </w:r>
      <w:r w:rsidRPr="00E13FE5">
        <w:rPr>
          <w:sz w:val="22"/>
          <w:szCs w:val="22"/>
        </w:rPr>
        <w:t>adjustment period that commences from 1 July 2021:</w:t>
      </w:r>
    </w:p>
    <w:p w14:paraId="08C4A0B3" w14:textId="44A51D60" w:rsidR="005878E0" w:rsidRPr="00E13FE5" w:rsidRDefault="005878E0" w:rsidP="005878E0">
      <w:pPr>
        <w:pStyle w:val="ListParagraph"/>
        <w:numPr>
          <w:ilvl w:val="0"/>
          <w:numId w:val="14"/>
        </w:numPr>
        <w:spacing w:before="120" w:after="120" w:line="240" w:lineRule="auto"/>
        <w:ind w:left="714" w:hanging="357"/>
        <w:contextualSpacing w:val="0"/>
        <w:rPr>
          <w:sz w:val="22"/>
          <w:szCs w:val="22"/>
        </w:rPr>
      </w:pPr>
      <w:r>
        <w:rPr>
          <w:sz w:val="22"/>
          <w:szCs w:val="22"/>
        </w:rPr>
        <w:t>Provide a</w:t>
      </w:r>
      <w:r w:rsidRPr="0888A839">
        <w:rPr>
          <w:sz w:val="22"/>
          <w:szCs w:val="22"/>
        </w:rPr>
        <w:t xml:space="preserve"> loading on service</w:t>
      </w:r>
      <w:r w:rsidR="00D076EF">
        <w:rPr>
          <w:sz w:val="22"/>
          <w:szCs w:val="22"/>
        </w:rPr>
        <w:t xml:space="preserve"> </w:t>
      </w:r>
      <w:r w:rsidR="004303EC">
        <w:rPr>
          <w:sz w:val="22"/>
          <w:szCs w:val="22"/>
        </w:rPr>
        <w:t>items</w:t>
      </w:r>
      <w:r>
        <w:rPr>
          <w:sz w:val="22"/>
          <w:szCs w:val="22"/>
        </w:rPr>
        <w:t xml:space="preserve"> delivered </w:t>
      </w:r>
      <w:r w:rsidRPr="0888A839">
        <w:rPr>
          <w:sz w:val="22"/>
          <w:szCs w:val="22"/>
        </w:rPr>
        <w:t>in rural and remote areas</w:t>
      </w:r>
      <w:r w:rsidR="00187480">
        <w:rPr>
          <w:sz w:val="22"/>
          <w:szCs w:val="22"/>
        </w:rPr>
        <w:t xml:space="preserve"> (MM3-7)</w:t>
      </w:r>
    </w:p>
    <w:p w14:paraId="7A55AB38" w14:textId="3FA5BAE0" w:rsidR="005878E0" w:rsidRDefault="00187480" w:rsidP="005878E0">
      <w:pPr>
        <w:pStyle w:val="ListParagraph"/>
        <w:numPr>
          <w:ilvl w:val="0"/>
          <w:numId w:val="14"/>
        </w:numPr>
        <w:spacing w:before="120" w:after="120" w:line="240" w:lineRule="auto"/>
        <w:ind w:left="714" w:hanging="357"/>
        <w:contextualSpacing w:val="0"/>
        <w:rPr>
          <w:rFonts w:eastAsiaTheme="minorEastAsia" w:cstheme="minorBidi"/>
          <w:sz w:val="22"/>
          <w:szCs w:val="22"/>
        </w:rPr>
      </w:pPr>
      <w:r>
        <w:rPr>
          <w:sz w:val="22"/>
          <w:szCs w:val="22"/>
        </w:rPr>
        <w:t xml:space="preserve">Provide a loading on service items delivered by small and medium service </w:t>
      </w:r>
      <w:r w:rsidR="005878E0" w:rsidRPr="0888A839">
        <w:rPr>
          <w:sz w:val="22"/>
          <w:szCs w:val="22"/>
        </w:rPr>
        <w:t xml:space="preserve">providers </w:t>
      </w:r>
    </w:p>
    <w:p w14:paraId="43968C63" w14:textId="77777777" w:rsidR="005878E0" w:rsidRDefault="005878E0" w:rsidP="005878E0">
      <w:pPr>
        <w:pStyle w:val="ListParagraph"/>
        <w:numPr>
          <w:ilvl w:val="0"/>
          <w:numId w:val="14"/>
        </w:numPr>
        <w:spacing w:before="120" w:after="120" w:line="240" w:lineRule="auto"/>
        <w:ind w:left="714" w:hanging="357"/>
        <w:contextualSpacing w:val="0"/>
        <w:rPr>
          <w:rFonts w:eastAsiaTheme="minorEastAsia" w:cstheme="minorBidi"/>
          <w:sz w:val="22"/>
          <w:szCs w:val="22"/>
        </w:rPr>
      </w:pPr>
      <w:r w:rsidRPr="0888A839">
        <w:rPr>
          <w:sz w:val="22"/>
          <w:szCs w:val="22"/>
        </w:rPr>
        <w:t xml:space="preserve">Expand </w:t>
      </w:r>
      <w:proofErr w:type="spellStart"/>
      <w:r w:rsidRPr="0888A839">
        <w:rPr>
          <w:sz w:val="22"/>
          <w:szCs w:val="22"/>
        </w:rPr>
        <w:t>teleaudiology</w:t>
      </w:r>
      <w:proofErr w:type="spellEnd"/>
      <w:r w:rsidRPr="0888A839">
        <w:rPr>
          <w:sz w:val="22"/>
          <w:szCs w:val="22"/>
        </w:rPr>
        <w:t xml:space="preserve"> services available through the Program</w:t>
      </w:r>
      <w:r>
        <w:rPr>
          <w:sz w:val="22"/>
          <w:szCs w:val="22"/>
        </w:rPr>
        <w:t>.</w:t>
      </w:r>
    </w:p>
    <w:p w14:paraId="0194945A" w14:textId="77777777" w:rsidR="005878E0" w:rsidRDefault="005878E0" w:rsidP="005878E0">
      <w:pPr>
        <w:spacing w:before="120" w:after="120" w:line="240" w:lineRule="auto"/>
        <w:rPr>
          <w:sz w:val="22"/>
          <w:szCs w:val="22"/>
        </w:rPr>
      </w:pPr>
      <w:r w:rsidRPr="00AE6945">
        <w:rPr>
          <w:sz w:val="22"/>
          <w:szCs w:val="22"/>
        </w:rPr>
        <w:t xml:space="preserve">The Panel will provide </w:t>
      </w:r>
      <w:r>
        <w:rPr>
          <w:sz w:val="22"/>
          <w:szCs w:val="22"/>
        </w:rPr>
        <w:t xml:space="preserve">final </w:t>
      </w:r>
      <w:r w:rsidRPr="00AE6945">
        <w:rPr>
          <w:sz w:val="22"/>
          <w:szCs w:val="22"/>
        </w:rPr>
        <w:t>advice on each of these approaches to the Government in March 2021</w:t>
      </w:r>
      <w:r>
        <w:rPr>
          <w:sz w:val="22"/>
          <w:szCs w:val="22"/>
        </w:rPr>
        <w:t>.</w:t>
      </w:r>
    </w:p>
    <w:p w14:paraId="3C0BE0C4" w14:textId="1B2E7418" w:rsidR="005878E0" w:rsidRDefault="005878E0" w:rsidP="005878E0">
      <w:pPr>
        <w:spacing w:before="120" w:after="120" w:line="240" w:lineRule="auto"/>
        <w:rPr>
          <w:sz w:val="22"/>
          <w:szCs w:val="22"/>
        </w:rPr>
      </w:pPr>
      <w:r w:rsidRPr="0888A839">
        <w:rPr>
          <w:sz w:val="22"/>
          <w:szCs w:val="22"/>
        </w:rPr>
        <w:t>Analysis shows that the impact of the Government’s changes will be most pronounced during the period 1 July 2021 to June 2023. This is</w:t>
      </w:r>
      <w:r>
        <w:rPr>
          <w:sz w:val="22"/>
          <w:szCs w:val="22"/>
        </w:rPr>
        <w:t xml:space="preserve"> primarily due to</w:t>
      </w:r>
      <w:r w:rsidRPr="0888A839">
        <w:rPr>
          <w:sz w:val="22"/>
          <w:szCs w:val="22"/>
        </w:rPr>
        <w:t xml:space="preserve"> the impact on Program revenue from the move from a three to five year period for the Voucher. Hence the implementation of any of these approaches is proposed for two years. </w:t>
      </w:r>
    </w:p>
    <w:p w14:paraId="2EBA8F27" w14:textId="1E90809B" w:rsidR="005878E0" w:rsidRDefault="005878E0" w:rsidP="005878E0">
      <w:pPr>
        <w:spacing w:before="120" w:after="120" w:line="240" w:lineRule="auto"/>
        <w:rPr>
          <w:sz w:val="22"/>
          <w:szCs w:val="22"/>
        </w:rPr>
      </w:pPr>
      <w:r w:rsidRPr="0047639B">
        <w:rPr>
          <w:sz w:val="22"/>
          <w:szCs w:val="22"/>
        </w:rPr>
        <w:t xml:space="preserve">The </w:t>
      </w:r>
      <w:r w:rsidR="00603828">
        <w:rPr>
          <w:sz w:val="22"/>
          <w:szCs w:val="22"/>
        </w:rPr>
        <w:t xml:space="preserve">Panel </w:t>
      </w:r>
      <w:r w:rsidRPr="0047639B">
        <w:rPr>
          <w:sz w:val="22"/>
          <w:szCs w:val="22"/>
        </w:rPr>
        <w:t xml:space="preserve">will </w:t>
      </w:r>
      <w:r>
        <w:rPr>
          <w:sz w:val="22"/>
          <w:szCs w:val="22"/>
        </w:rPr>
        <w:t xml:space="preserve">undertake </w:t>
      </w:r>
      <w:r w:rsidRPr="0047639B">
        <w:rPr>
          <w:sz w:val="22"/>
          <w:szCs w:val="22"/>
        </w:rPr>
        <w:t xml:space="preserve">further consultation on these approaches, prior to </w:t>
      </w:r>
      <w:r w:rsidR="00D46268">
        <w:rPr>
          <w:sz w:val="22"/>
          <w:szCs w:val="22"/>
        </w:rPr>
        <w:t xml:space="preserve">proposing any new policy changes for the </w:t>
      </w:r>
      <w:r>
        <w:rPr>
          <w:sz w:val="22"/>
          <w:szCs w:val="22"/>
        </w:rPr>
        <w:t>Program</w:t>
      </w:r>
      <w:r w:rsidRPr="0047639B">
        <w:rPr>
          <w:sz w:val="22"/>
          <w:szCs w:val="22"/>
        </w:rPr>
        <w:t>.</w:t>
      </w:r>
    </w:p>
    <w:p w14:paraId="642FBF52" w14:textId="0C04A553" w:rsidR="005878E0" w:rsidRPr="002E7C67" w:rsidRDefault="005878E0" w:rsidP="002E7C67">
      <w:pPr>
        <w:spacing w:before="120" w:after="120" w:line="240" w:lineRule="auto"/>
        <w:rPr>
          <w:sz w:val="22"/>
          <w:szCs w:val="22"/>
        </w:rPr>
      </w:pPr>
      <w:r>
        <w:rPr>
          <w:sz w:val="22"/>
          <w:szCs w:val="22"/>
        </w:rPr>
        <w:t>The Panel is separately considering potential long-term changes to the Program. Following the receipt of submissions in response to the consultation paper that was released on 30 October 2020, subsequent meetings with stakeholders (including on matters contained in this Interim Advice) and its own analysis of evidence, the Panel will release a draft report by March 2021, a</w:t>
      </w:r>
      <w:r w:rsidR="002E7C67">
        <w:rPr>
          <w:sz w:val="22"/>
          <w:szCs w:val="22"/>
        </w:rPr>
        <w:t xml:space="preserve">nd a final report in </w:t>
      </w:r>
      <w:r w:rsidR="00DD11FB">
        <w:rPr>
          <w:sz w:val="22"/>
          <w:szCs w:val="22"/>
        </w:rPr>
        <w:t>July</w:t>
      </w:r>
      <w:bookmarkStart w:id="4" w:name="_GoBack"/>
      <w:bookmarkEnd w:id="4"/>
      <w:r w:rsidR="002E7C67">
        <w:rPr>
          <w:sz w:val="22"/>
          <w:szCs w:val="22"/>
        </w:rPr>
        <w:t xml:space="preserve"> 2021.</w:t>
      </w:r>
      <w:r w:rsidRPr="002E7C67">
        <w:br w:type="page"/>
      </w:r>
    </w:p>
    <w:p w14:paraId="16CB8FFF" w14:textId="77777777" w:rsidR="005878E0" w:rsidRDefault="005878E0" w:rsidP="005878E0">
      <w:pPr>
        <w:pStyle w:val="Heading1"/>
        <w:spacing w:before="120" w:after="120" w:line="240" w:lineRule="auto"/>
      </w:pPr>
      <w:bookmarkStart w:id="5" w:name="_Toc57901082"/>
      <w:r w:rsidRPr="00E13FE5">
        <w:t>Background</w:t>
      </w:r>
      <w:bookmarkEnd w:id="5"/>
    </w:p>
    <w:p w14:paraId="1A5FEFFF" w14:textId="77777777" w:rsidR="005878E0" w:rsidRPr="007B203D" w:rsidRDefault="005878E0" w:rsidP="005878E0">
      <w:pPr>
        <w:pStyle w:val="Heading2"/>
        <w:spacing w:before="120" w:after="120" w:line="240" w:lineRule="auto"/>
        <w:rPr>
          <w:sz w:val="28"/>
          <w:szCs w:val="28"/>
        </w:rPr>
      </w:pPr>
      <w:bookmarkStart w:id="6" w:name="_Toc57901083"/>
      <w:r w:rsidRPr="007B203D">
        <w:rPr>
          <w:sz w:val="28"/>
          <w:szCs w:val="28"/>
        </w:rPr>
        <w:t>Purpose of this paper</w:t>
      </w:r>
      <w:bookmarkEnd w:id="6"/>
    </w:p>
    <w:p w14:paraId="6D86D29D" w14:textId="2C75FFDC" w:rsidR="005878E0" w:rsidRPr="005878E0" w:rsidRDefault="005878E0" w:rsidP="007B203D">
      <w:pPr>
        <w:spacing w:before="120" w:after="120" w:line="240" w:lineRule="auto"/>
        <w:rPr>
          <w:sz w:val="22"/>
          <w:szCs w:val="22"/>
        </w:rPr>
      </w:pPr>
      <w:r w:rsidRPr="005878E0">
        <w:rPr>
          <w:sz w:val="22"/>
          <w:szCs w:val="22"/>
        </w:rPr>
        <w:t>On 14 August 2019, the Hon Mark Coulton MP, Minister for Regional Health, Regional Communications and L</w:t>
      </w:r>
      <w:r w:rsidR="00175225">
        <w:rPr>
          <w:sz w:val="22"/>
          <w:szCs w:val="22"/>
        </w:rPr>
        <w:t xml:space="preserve">ocal Government (the Minister) </w:t>
      </w:r>
      <w:r w:rsidRPr="005878E0">
        <w:rPr>
          <w:sz w:val="22"/>
          <w:szCs w:val="22"/>
        </w:rPr>
        <w:t>announced the establishment of an Independent Panel to review the Hearing Services Program.</w:t>
      </w:r>
    </w:p>
    <w:p w14:paraId="684ACE17" w14:textId="51FD22FF" w:rsidR="005878E0" w:rsidRDefault="005878E0" w:rsidP="005878E0">
      <w:pPr>
        <w:spacing w:before="120" w:after="120" w:line="240" w:lineRule="auto"/>
        <w:rPr>
          <w:sz w:val="22"/>
          <w:szCs w:val="22"/>
        </w:rPr>
      </w:pPr>
      <w:r w:rsidRPr="001352F2">
        <w:rPr>
          <w:sz w:val="22"/>
          <w:szCs w:val="22"/>
        </w:rPr>
        <w:t xml:space="preserve">At the request of the Minister on 16 October 2020 the Panel is providing this </w:t>
      </w:r>
      <w:r w:rsidRPr="0888A839">
        <w:rPr>
          <w:sz w:val="22"/>
          <w:szCs w:val="22"/>
        </w:rPr>
        <w:t>Interim Advice regarding implementation of the Government’s changes to the Hearing Services Program’s (the Program) Voucher Scheme announced in the October 2020 Federal Budget.</w:t>
      </w:r>
    </w:p>
    <w:p w14:paraId="18D12857" w14:textId="079BE7E2" w:rsidR="005878E0" w:rsidRDefault="005878E0" w:rsidP="005878E0">
      <w:pPr>
        <w:spacing w:before="120" w:after="120" w:line="240" w:lineRule="auto"/>
        <w:rPr>
          <w:sz w:val="22"/>
          <w:szCs w:val="22"/>
        </w:rPr>
      </w:pPr>
      <w:r w:rsidRPr="003133BB">
        <w:rPr>
          <w:sz w:val="22"/>
          <w:szCs w:val="22"/>
        </w:rPr>
        <w:t>Th</w:t>
      </w:r>
      <w:r>
        <w:rPr>
          <w:sz w:val="22"/>
          <w:szCs w:val="22"/>
        </w:rPr>
        <w:t>is Interim Advice assesses potential implementation impacts and</w:t>
      </w:r>
      <w:r w:rsidRPr="003133BB">
        <w:rPr>
          <w:sz w:val="22"/>
          <w:szCs w:val="22"/>
        </w:rPr>
        <w:t xml:space="preserve"> provides </w:t>
      </w:r>
      <w:r>
        <w:rPr>
          <w:sz w:val="22"/>
          <w:szCs w:val="22"/>
        </w:rPr>
        <w:t xml:space="preserve">three policy approaches </w:t>
      </w:r>
      <w:r w:rsidRPr="00AE6945">
        <w:rPr>
          <w:sz w:val="22"/>
          <w:szCs w:val="22"/>
        </w:rPr>
        <w:t>which could be applied during the implementation period</w:t>
      </w:r>
      <w:r>
        <w:rPr>
          <w:sz w:val="22"/>
          <w:szCs w:val="22"/>
        </w:rPr>
        <w:t xml:space="preserve">. </w:t>
      </w:r>
      <w:r w:rsidRPr="00AE6945">
        <w:rPr>
          <w:sz w:val="22"/>
          <w:szCs w:val="22"/>
        </w:rPr>
        <w:t xml:space="preserve">Each approach is aimed at supporting ongoing consumer access to the Voucher Scheme by maintaining a viable provider sector. </w:t>
      </w:r>
      <w:r>
        <w:rPr>
          <w:sz w:val="22"/>
          <w:szCs w:val="22"/>
        </w:rPr>
        <w:t>Impacts on consumers and providers in rural and remote areas are included in the analysis. The identified policy approaches should be explored through further analysis and consultation</w:t>
      </w:r>
      <w:r w:rsidR="00175225">
        <w:rPr>
          <w:sz w:val="22"/>
          <w:szCs w:val="22"/>
        </w:rPr>
        <w:t xml:space="preserve"> with the sector and community.</w:t>
      </w:r>
    </w:p>
    <w:p w14:paraId="2B055F3C" w14:textId="77777777" w:rsidR="005878E0" w:rsidRDefault="005878E0" w:rsidP="005878E0">
      <w:pPr>
        <w:spacing w:before="120" w:after="120" w:line="240" w:lineRule="auto"/>
        <w:rPr>
          <w:sz w:val="22"/>
          <w:szCs w:val="22"/>
        </w:rPr>
      </w:pPr>
      <w:r>
        <w:rPr>
          <w:sz w:val="22"/>
          <w:szCs w:val="22"/>
        </w:rPr>
        <w:t xml:space="preserve">The Panel will provide final advice to the Government in March 2021 through the Draft Report into the Hearing Services Program, following consultation with the sector and community. </w:t>
      </w:r>
    </w:p>
    <w:p w14:paraId="08233B2B" w14:textId="77777777" w:rsidR="005878E0" w:rsidRPr="007B203D" w:rsidRDefault="005878E0" w:rsidP="005878E0">
      <w:pPr>
        <w:pStyle w:val="Heading2"/>
        <w:spacing w:before="120" w:after="120" w:line="240" w:lineRule="auto"/>
        <w:rPr>
          <w:sz w:val="28"/>
          <w:szCs w:val="28"/>
        </w:rPr>
      </w:pPr>
      <w:bookmarkStart w:id="7" w:name="_Toc57901084"/>
      <w:r w:rsidRPr="007B203D">
        <w:rPr>
          <w:sz w:val="28"/>
          <w:szCs w:val="28"/>
        </w:rPr>
        <w:t>Hearing loss in Australia</w:t>
      </w:r>
      <w:bookmarkEnd w:id="7"/>
    </w:p>
    <w:p w14:paraId="4AA1A734" w14:textId="305F9F57" w:rsidR="005878E0" w:rsidRPr="00E13FE5" w:rsidRDefault="005878E0" w:rsidP="005878E0">
      <w:pPr>
        <w:spacing w:before="120" w:after="120" w:line="240" w:lineRule="auto"/>
        <w:rPr>
          <w:sz w:val="22"/>
          <w:szCs w:val="22"/>
        </w:rPr>
      </w:pPr>
      <w:r w:rsidRPr="00E13FE5">
        <w:rPr>
          <w:sz w:val="22"/>
          <w:szCs w:val="22"/>
        </w:rPr>
        <w:t xml:space="preserve">One in six Australians are living with a degree of hearing loss. Hearing loss can reduce </w:t>
      </w:r>
      <w:r>
        <w:rPr>
          <w:sz w:val="22"/>
          <w:szCs w:val="22"/>
        </w:rPr>
        <w:t>a person’s</w:t>
      </w:r>
      <w:r w:rsidRPr="00E13FE5">
        <w:rPr>
          <w:sz w:val="22"/>
          <w:szCs w:val="22"/>
        </w:rPr>
        <w:t xml:space="preserve"> capacity to communicate and participate in social situations and can affect </w:t>
      </w:r>
      <w:r>
        <w:rPr>
          <w:sz w:val="22"/>
          <w:szCs w:val="22"/>
        </w:rPr>
        <w:t>their</w:t>
      </w:r>
      <w:r w:rsidRPr="00E13FE5">
        <w:rPr>
          <w:sz w:val="22"/>
          <w:szCs w:val="22"/>
        </w:rPr>
        <w:t xml:space="preserve"> education and employment opportunities. While hearing loss can affect anyone, prevalence rates for hearing loss </w:t>
      </w:r>
      <w:r>
        <w:rPr>
          <w:sz w:val="22"/>
          <w:szCs w:val="22"/>
        </w:rPr>
        <w:t>rise quickly for people reaching their late 50s and the decades beyond</w:t>
      </w:r>
      <w:r w:rsidR="00D46268">
        <w:rPr>
          <w:sz w:val="22"/>
          <w:szCs w:val="22"/>
        </w:rPr>
        <w:t xml:space="preserve"> (Figure 1).</w:t>
      </w:r>
    </w:p>
    <w:p w14:paraId="0CD2C3A0" w14:textId="3A07BF66" w:rsidR="005878E0" w:rsidRPr="00E13FE5" w:rsidRDefault="003D7F33" w:rsidP="005878E0">
      <w:pPr>
        <w:keepNext/>
        <w:rPr>
          <w:sz w:val="22"/>
          <w:szCs w:val="22"/>
        </w:rPr>
      </w:pPr>
      <w:r>
        <w:rPr>
          <w:noProof/>
          <w:lang w:eastAsia="en-AU"/>
        </w:rPr>
        <w:drawing>
          <wp:inline distT="0" distB="0" distL="0" distR="0" wp14:anchorId="262CB485" wp14:editId="018E1DE4">
            <wp:extent cx="5731510" cy="2183745"/>
            <wp:effectExtent l="0" t="0" r="2540" b="7620"/>
            <wp:docPr id="4" name="Picture 4" descr="Figure 1 is a line graph of the prevalence of hearing loss by age. Prevalence increases with age, most dramatically between the ages of 50 and 80 year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6C4D5.BD82C37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2183745"/>
                    </a:xfrm>
                    <a:prstGeom prst="rect">
                      <a:avLst/>
                    </a:prstGeom>
                    <a:noFill/>
                    <a:ln>
                      <a:noFill/>
                    </a:ln>
                  </pic:spPr>
                </pic:pic>
              </a:graphicData>
            </a:graphic>
          </wp:inline>
        </w:drawing>
      </w:r>
    </w:p>
    <w:p w14:paraId="0CA78BCC" w14:textId="6653C9B4" w:rsidR="005878E0" w:rsidRPr="00E13FE5" w:rsidRDefault="005878E0" w:rsidP="005878E0">
      <w:pPr>
        <w:pStyle w:val="Caption"/>
        <w:rPr>
          <w:sz w:val="22"/>
          <w:szCs w:val="22"/>
        </w:rPr>
      </w:pPr>
      <w:bookmarkStart w:id="8" w:name="_Toc57387622"/>
      <w:r w:rsidRPr="00E13FE5">
        <w:rPr>
          <w:sz w:val="22"/>
          <w:szCs w:val="22"/>
        </w:rPr>
        <w:t xml:space="preserve">Figure </w:t>
      </w:r>
      <w:r w:rsidRPr="00E13FE5">
        <w:rPr>
          <w:sz w:val="22"/>
          <w:szCs w:val="22"/>
        </w:rPr>
        <w:fldChar w:fldCharType="begin"/>
      </w:r>
      <w:r w:rsidRPr="00E13FE5">
        <w:rPr>
          <w:sz w:val="22"/>
          <w:szCs w:val="22"/>
        </w:rPr>
        <w:instrText xml:space="preserve"> SEQ Figure \* ARABIC </w:instrText>
      </w:r>
      <w:r w:rsidRPr="00E13FE5">
        <w:rPr>
          <w:sz w:val="22"/>
          <w:szCs w:val="22"/>
        </w:rPr>
        <w:fldChar w:fldCharType="separate"/>
      </w:r>
      <w:r w:rsidR="00DD11FB">
        <w:rPr>
          <w:noProof/>
          <w:sz w:val="22"/>
          <w:szCs w:val="22"/>
        </w:rPr>
        <w:t>1</w:t>
      </w:r>
      <w:r w:rsidRPr="00E13FE5">
        <w:rPr>
          <w:sz w:val="22"/>
          <w:szCs w:val="22"/>
        </w:rPr>
        <w:fldChar w:fldCharType="end"/>
      </w:r>
      <w:r w:rsidRPr="00E13FE5">
        <w:rPr>
          <w:sz w:val="22"/>
          <w:szCs w:val="22"/>
        </w:rPr>
        <w:t>: Estimated prevalence of hearing loss by age</w:t>
      </w:r>
      <w:sdt>
        <w:sdtPr>
          <w:rPr>
            <w:sz w:val="22"/>
            <w:szCs w:val="22"/>
          </w:rPr>
          <w:id w:val="834726553"/>
          <w:citation/>
        </w:sdtPr>
        <w:sdtEndPr/>
        <w:sdtContent>
          <w:r w:rsidRPr="00E13FE5">
            <w:rPr>
              <w:sz w:val="22"/>
              <w:szCs w:val="22"/>
            </w:rPr>
            <w:fldChar w:fldCharType="begin"/>
          </w:r>
          <w:r w:rsidRPr="00E13FE5">
            <w:rPr>
              <w:sz w:val="22"/>
              <w:szCs w:val="22"/>
            </w:rPr>
            <w:instrText xml:space="preserve"> CITATION Davis \l 3081 </w:instrText>
          </w:r>
          <w:r w:rsidRPr="00E13FE5">
            <w:rPr>
              <w:sz w:val="22"/>
              <w:szCs w:val="22"/>
            </w:rPr>
            <w:fldChar w:fldCharType="separate"/>
          </w:r>
          <w:r w:rsidR="0083673B">
            <w:rPr>
              <w:noProof/>
              <w:sz w:val="22"/>
              <w:szCs w:val="22"/>
            </w:rPr>
            <w:t xml:space="preserve"> </w:t>
          </w:r>
          <w:r w:rsidR="0083673B" w:rsidRPr="0083673B">
            <w:rPr>
              <w:noProof/>
              <w:sz w:val="22"/>
              <w:szCs w:val="22"/>
            </w:rPr>
            <w:t>(Davis, 1995)</w:t>
          </w:r>
          <w:r w:rsidRPr="00E13FE5">
            <w:rPr>
              <w:sz w:val="22"/>
              <w:szCs w:val="22"/>
            </w:rPr>
            <w:fldChar w:fldCharType="end"/>
          </w:r>
        </w:sdtContent>
      </w:sdt>
      <w:r w:rsidRPr="00E13FE5" w:rsidDel="00E577CB">
        <w:rPr>
          <w:sz w:val="22"/>
          <w:szCs w:val="22"/>
        </w:rPr>
        <w:t>.</w:t>
      </w:r>
      <w:bookmarkEnd w:id="8"/>
    </w:p>
    <w:p w14:paraId="12AACD34" w14:textId="36742C3E" w:rsidR="005878E0" w:rsidRDefault="005878E0" w:rsidP="005878E0">
      <w:pPr>
        <w:spacing w:before="120" w:after="120" w:line="240" w:lineRule="auto"/>
        <w:rPr>
          <w:sz w:val="22"/>
          <w:szCs w:val="22"/>
        </w:rPr>
      </w:pPr>
      <w:r w:rsidRPr="00E13FE5">
        <w:rPr>
          <w:sz w:val="22"/>
          <w:szCs w:val="22"/>
        </w:rPr>
        <w:t xml:space="preserve">The Department of Health (the Department) estimates that there are 3.7 million Australians living with age-related hearing loss. </w:t>
      </w:r>
      <w:r>
        <w:rPr>
          <w:sz w:val="22"/>
          <w:szCs w:val="22"/>
        </w:rPr>
        <w:t>Many people are affected by</w:t>
      </w:r>
      <w:r w:rsidRPr="00E13FE5">
        <w:rPr>
          <w:sz w:val="22"/>
          <w:szCs w:val="22"/>
        </w:rPr>
        <w:t xml:space="preserve"> </w:t>
      </w:r>
      <w:r>
        <w:rPr>
          <w:sz w:val="22"/>
          <w:szCs w:val="22"/>
        </w:rPr>
        <w:t>the</w:t>
      </w:r>
      <w:r w:rsidRPr="00E13FE5">
        <w:rPr>
          <w:sz w:val="22"/>
          <w:szCs w:val="22"/>
        </w:rPr>
        <w:t xml:space="preserve"> significant social stigma attached to hearing loss</w:t>
      </w:r>
      <w:sdt>
        <w:sdtPr>
          <w:rPr>
            <w:sz w:val="22"/>
            <w:szCs w:val="22"/>
          </w:rPr>
          <w:id w:val="-905679525"/>
          <w:citation/>
        </w:sdtPr>
        <w:sdtEndPr/>
        <w:sdtContent>
          <w:r>
            <w:rPr>
              <w:sz w:val="22"/>
              <w:szCs w:val="22"/>
            </w:rPr>
            <w:fldChar w:fldCharType="begin"/>
          </w:r>
          <w:r>
            <w:rPr>
              <w:sz w:val="22"/>
              <w:szCs w:val="22"/>
            </w:rPr>
            <w:instrText xml:space="preserve"> CITATION Dav15 \l 3081 </w:instrText>
          </w:r>
          <w:r>
            <w:rPr>
              <w:sz w:val="22"/>
              <w:szCs w:val="22"/>
            </w:rPr>
            <w:fldChar w:fldCharType="separate"/>
          </w:r>
          <w:r w:rsidR="0083673B">
            <w:rPr>
              <w:noProof/>
              <w:sz w:val="22"/>
              <w:szCs w:val="22"/>
            </w:rPr>
            <w:t xml:space="preserve"> </w:t>
          </w:r>
          <w:r w:rsidR="0083673B" w:rsidRPr="0083673B">
            <w:rPr>
              <w:noProof/>
              <w:sz w:val="22"/>
              <w:szCs w:val="22"/>
            </w:rPr>
            <w:t>(David, 2015)</w:t>
          </w:r>
          <w:r>
            <w:rPr>
              <w:sz w:val="22"/>
              <w:szCs w:val="22"/>
            </w:rPr>
            <w:fldChar w:fldCharType="end"/>
          </w:r>
        </w:sdtContent>
      </w:sdt>
      <w:r>
        <w:rPr>
          <w:sz w:val="22"/>
          <w:szCs w:val="22"/>
        </w:rPr>
        <w:t>. This can</w:t>
      </w:r>
      <w:r w:rsidRPr="00E13FE5">
        <w:rPr>
          <w:sz w:val="22"/>
          <w:szCs w:val="22"/>
        </w:rPr>
        <w:t xml:space="preserve"> lead to anxiety, social exclusion,</w:t>
      </w:r>
      <w:r>
        <w:rPr>
          <w:sz w:val="22"/>
          <w:szCs w:val="22"/>
        </w:rPr>
        <w:t xml:space="preserve"> </w:t>
      </w:r>
      <w:r w:rsidRPr="00E13FE5">
        <w:rPr>
          <w:sz w:val="22"/>
          <w:szCs w:val="22"/>
        </w:rPr>
        <w:t xml:space="preserve">and barriers to accessing hearing services </w:t>
      </w:r>
      <w:r>
        <w:rPr>
          <w:sz w:val="22"/>
          <w:szCs w:val="22"/>
        </w:rPr>
        <w:t>and devices that could improve</w:t>
      </w:r>
      <w:r w:rsidRPr="00E13FE5">
        <w:rPr>
          <w:sz w:val="22"/>
          <w:szCs w:val="22"/>
        </w:rPr>
        <w:t xml:space="preserve"> </w:t>
      </w:r>
      <w:r>
        <w:rPr>
          <w:sz w:val="22"/>
          <w:szCs w:val="22"/>
        </w:rPr>
        <w:t>their hearing</w:t>
      </w:r>
      <w:r w:rsidRPr="00E13FE5">
        <w:rPr>
          <w:sz w:val="22"/>
          <w:szCs w:val="22"/>
        </w:rPr>
        <w:t xml:space="preserve"> outcomes.</w:t>
      </w:r>
    </w:p>
    <w:p w14:paraId="3D8F114B" w14:textId="3C71B4C5" w:rsidR="005878E0" w:rsidRDefault="005878E0" w:rsidP="005878E0">
      <w:pPr>
        <w:spacing w:before="120" w:after="120" w:line="240" w:lineRule="auto"/>
        <w:rPr>
          <w:sz w:val="22"/>
          <w:szCs w:val="22"/>
        </w:rPr>
      </w:pPr>
      <w:r w:rsidRPr="00E13FE5">
        <w:rPr>
          <w:sz w:val="22"/>
          <w:szCs w:val="22"/>
        </w:rPr>
        <w:t xml:space="preserve">Hearing loss has a significant impact on </w:t>
      </w:r>
      <w:r>
        <w:rPr>
          <w:sz w:val="22"/>
          <w:szCs w:val="22"/>
        </w:rPr>
        <w:t xml:space="preserve">individuals and the wider </w:t>
      </w:r>
      <w:r w:rsidRPr="00E13FE5">
        <w:rPr>
          <w:sz w:val="22"/>
          <w:szCs w:val="22"/>
        </w:rPr>
        <w:t>economy, estimated at $33.3 billion in 2017</w:t>
      </w:r>
      <w:sdt>
        <w:sdtPr>
          <w:rPr>
            <w:sz w:val="22"/>
            <w:szCs w:val="22"/>
          </w:rPr>
          <w:id w:val="1223107342"/>
          <w:citation/>
        </w:sdtPr>
        <w:sdtEndPr/>
        <w:sdtContent>
          <w:r w:rsidRPr="00E13FE5">
            <w:rPr>
              <w:sz w:val="22"/>
              <w:szCs w:val="22"/>
            </w:rPr>
            <w:fldChar w:fldCharType="begin"/>
          </w:r>
          <w:r w:rsidRPr="00E13FE5">
            <w:rPr>
              <w:sz w:val="22"/>
              <w:szCs w:val="22"/>
            </w:rPr>
            <w:instrText xml:space="preserve"> CITATION HCIA17 \l 3081 </w:instrText>
          </w:r>
          <w:r w:rsidRPr="00E13FE5">
            <w:rPr>
              <w:sz w:val="22"/>
              <w:szCs w:val="22"/>
            </w:rPr>
            <w:fldChar w:fldCharType="separate"/>
          </w:r>
          <w:r w:rsidR="0083673B">
            <w:rPr>
              <w:noProof/>
              <w:sz w:val="22"/>
              <w:szCs w:val="22"/>
            </w:rPr>
            <w:t xml:space="preserve"> </w:t>
          </w:r>
          <w:r w:rsidR="0083673B" w:rsidRPr="0083673B">
            <w:rPr>
              <w:noProof/>
              <w:sz w:val="22"/>
              <w:szCs w:val="22"/>
            </w:rPr>
            <w:t>(Hearing Care Industry Association, 2017)</w:t>
          </w:r>
          <w:r w:rsidRPr="00E13FE5">
            <w:rPr>
              <w:sz w:val="22"/>
              <w:szCs w:val="22"/>
            </w:rPr>
            <w:fldChar w:fldCharType="end"/>
          </w:r>
        </w:sdtContent>
      </w:sdt>
      <w:r w:rsidRPr="00E13FE5">
        <w:rPr>
          <w:sz w:val="22"/>
          <w:szCs w:val="22"/>
        </w:rPr>
        <w:t xml:space="preserve">. This represents the combined effects of financial costs ($15.9 billion) and the value of lost wellbeing ($17.4 billion). While older Australians represent the </w:t>
      </w:r>
      <w:r>
        <w:rPr>
          <w:sz w:val="22"/>
          <w:szCs w:val="22"/>
        </w:rPr>
        <w:t>majority</w:t>
      </w:r>
      <w:r w:rsidRPr="00E13FE5">
        <w:rPr>
          <w:sz w:val="22"/>
          <w:szCs w:val="22"/>
        </w:rPr>
        <w:t xml:space="preserve"> of the population with hearing loss (</w:t>
      </w:r>
      <w:r w:rsidR="00106927">
        <w:rPr>
          <w:sz w:val="22"/>
          <w:szCs w:val="22"/>
        </w:rPr>
        <w:fldChar w:fldCharType="begin"/>
      </w:r>
      <w:r w:rsidR="00106927">
        <w:rPr>
          <w:sz w:val="22"/>
          <w:szCs w:val="22"/>
        </w:rPr>
        <w:instrText xml:space="preserve"> REF _Ref57375995 \h </w:instrText>
      </w:r>
      <w:r w:rsidR="00106927">
        <w:rPr>
          <w:sz w:val="22"/>
          <w:szCs w:val="22"/>
        </w:rPr>
      </w:r>
      <w:r w:rsidR="00106927">
        <w:rPr>
          <w:sz w:val="22"/>
          <w:szCs w:val="22"/>
        </w:rPr>
        <w:fldChar w:fldCharType="separate"/>
      </w:r>
      <w:r w:rsidR="00DD11FB" w:rsidRPr="00E13FE5">
        <w:rPr>
          <w:sz w:val="22"/>
          <w:szCs w:val="22"/>
        </w:rPr>
        <w:t xml:space="preserve">Figure </w:t>
      </w:r>
      <w:r w:rsidR="00DD11FB">
        <w:rPr>
          <w:noProof/>
          <w:sz w:val="22"/>
          <w:szCs w:val="22"/>
        </w:rPr>
        <w:t>2</w:t>
      </w:r>
      <w:r w:rsidR="00106927">
        <w:rPr>
          <w:sz w:val="22"/>
          <w:szCs w:val="22"/>
        </w:rPr>
        <w:fldChar w:fldCharType="end"/>
      </w:r>
      <w:r w:rsidRPr="00E13FE5">
        <w:rPr>
          <w:sz w:val="22"/>
          <w:szCs w:val="22"/>
        </w:rPr>
        <w:t>), it affects all age groups, demographics, and</w:t>
      </w:r>
      <w:r>
        <w:rPr>
          <w:sz w:val="22"/>
          <w:szCs w:val="22"/>
        </w:rPr>
        <w:t xml:space="preserve"> the full range of </w:t>
      </w:r>
      <w:r w:rsidRPr="003539A3">
        <w:rPr>
          <w:sz w:val="22"/>
          <w:szCs w:val="22"/>
        </w:rPr>
        <w:t>socio-economic</w:t>
      </w:r>
      <w:r w:rsidRPr="00E13FE5">
        <w:rPr>
          <w:sz w:val="22"/>
          <w:szCs w:val="22"/>
        </w:rPr>
        <w:t xml:space="preserve"> status.</w:t>
      </w:r>
    </w:p>
    <w:p w14:paraId="34973613" w14:textId="77777777" w:rsidR="005878E0" w:rsidRPr="00E13FE5" w:rsidRDefault="005878E0" w:rsidP="005878E0">
      <w:pPr>
        <w:spacing w:before="120" w:after="120" w:line="240" w:lineRule="auto"/>
        <w:rPr>
          <w:sz w:val="22"/>
          <w:szCs w:val="22"/>
        </w:rPr>
      </w:pPr>
    </w:p>
    <w:p w14:paraId="280249DA" w14:textId="29E1749A" w:rsidR="005878E0" w:rsidRPr="00E13FE5" w:rsidRDefault="005878E0" w:rsidP="004303EC">
      <w:pPr>
        <w:keepNext/>
        <w:jc w:val="center"/>
        <w:rPr>
          <w:sz w:val="22"/>
          <w:szCs w:val="22"/>
        </w:rPr>
      </w:pPr>
      <w:r>
        <w:rPr>
          <w:noProof/>
          <w:lang w:eastAsia="en-AU"/>
        </w:rPr>
        <w:drawing>
          <wp:inline distT="0" distB="0" distL="0" distR="0" wp14:anchorId="34E7D01A" wp14:editId="0496469E">
            <wp:extent cx="5484770" cy="3514725"/>
            <wp:effectExtent l="0" t="0" r="1905" b="0"/>
            <wp:docPr id="5" name="Picture 5" descr="Figure 2 displays the total Australian population (line graph), the population with hearing loss (line graph), and the population currently using the Voucher Scheme (bar graph). It demonstrates that hearing loss is mostly affecting older Australians, and that the Voucher Scheme mostly services those over the age of 65."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9525" cy="3549813"/>
                    </a:xfrm>
                    <a:prstGeom prst="rect">
                      <a:avLst/>
                    </a:prstGeom>
                  </pic:spPr>
                </pic:pic>
              </a:graphicData>
            </a:graphic>
          </wp:inline>
        </w:drawing>
      </w:r>
    </w:p>
    <w:p w14:paraId="7AD7E697" w14:textId="76AC3A7E" w:rsidR="005878E0" w:rsidRPr="00E13FE5" w:rsidRDefault="005878E0" w:rsidP="005878E0">
      <w:pPr>
        <w:pStyle w:val="Caption"/>
        <w:rPr>
          <w:sz w:val="22"/>
          <w:szCs w:val="22"/>
        </w:rPr>
      </w:pPr>
      <w:bookmarkStart w:id="9" w:name="_Ref57375995"/>
      <w:bookmarkStart w:id="10" w:name="_Toc57387623"/>
      <w:r w:rsidRPr="00E13FE5">
        <w:rPr>
          <w:sz w:val="22"/>
          <w:szCs w:val="22"/>
        </w:rPr>
        <w:t xml:space="preserve">Figure </w:t>
      </w:r>
      <w:r w:rsidRPr="00E13FE5">
        <w:rPr>
          <w:sz w:val="22"/>
          <w:szCs w:val="22"/>
        </w:rPr>
        <w:fldChar w:fldCharType="begin"/>
      </w:r>
      <w:r w:rsidRPr="00E13FE5">
        <w:rPr>
          <w:sz w:val="22"/>
          <w:szCs w:val="22"/>
        </w:rPr>
        <w:instrText xml:space="preserve"> SEQ Figure \* ARABIC </w:instrText>
      </w:r>
      <w:r w:rsidRPr="00E13FE5">
        <w:rPr>
          <w:sz w:val="22"/>
          <w:szCs w:val="22"/>
        </w:rPr>
        <w:fldChar w:fldCharType="separate"/>
      </w:r>
      <w:r w:rsidR="00DD11FB">
        <w:rPr>
          <w:noProof/>
          <w:sz w:val="22"/>
          <w:szCs w:val="22"/>
        </w:rPr>
        <w:t>2</w:t>
      </w:r>
      <w:r w:rsidRPr="00E13FE5">
        <w:rPr>
          <w:sz w:val="22"/>
          <w:szCs w:val="22"/>
        </w:rPr>
        <w:fldChar w:fldCharType="end"/>
      </w:r>
      <w:bookmarkEnd w:id="9"/>
      <w:r w:rsidRPr="00E13FE5">
        <w:rPr>
          <w:sz w:val="22"/>
          <w:szCs w:val="22"/>
        </w:rPr>
        <w:t>: Estimated Australian population</w:t>
      </w:r>
      <w:r>
        <w:rPr>
          <w:sz w:val="22"/>
          <w:szCs w:val="22"/>
        </w:rPr>
        <w:t xml:space="preserve"> by age (grey line), estimated population</w:t>
      </w:r>
      <w:r w:rsidRPr="00E13FE5">
        <w:rPr>
          <w:sz w:val="22"/>
          <w:szCs w:val="22"/>
        </w:rPr>
        <w:t xml:space="preserve"> with hearing loss by age</w:t>
      </w:r>
      <w:r>
        <w:rPr>
          <w:sz w:val="22"/>
          <w:szCs w:val="22"/>
        </w:rPr>
        <w:t xml:space="preserve"> (orange line)</w:t>
      </w:r>
      <w:r w:rsidRPr="00E13FE5">
        <w:rPr>
          <w:sz w:val="22"/>
          <w:szCs w:val="22"/>
        </w:rPr>
        <w:t xml:space="preserve">. </w:t>
      </w:r>
      <w:r>
        <w:rPr>
          <w:sz w:val="22"/>
          <w:szCs w:val="22"/>
        </w:rPr>
        <w:t>T</w:t>
      </w:r>
      <w:r w:rsidRPr="00E13FE5">
        <w:rPr>
          <w:sz w:val="22"/>
          <w:szCs w:val="22"/>
        </w:rPr>
        <w:t xml:space="preserve">he blue </w:t>
      </w:r>
      <w:r>
        <w:rPr>
          <w:sz w:val="22"/>
          <w:szCs w:val="22"/>
        </w:rPr>
        <w:t>bars</w:t>
      </w:r>
      <w:r w:rsidRPr="00E13FE5">
        <w:rPr>
          <w:sz w:val="22"/>
          <w:szCs w:val="22"/>
        </w:rPr>
        <w:t xml:space="preserve"> are those </w:t>
      </w:r>
      <w:r>
        <w:rPr>
          <w:sz w:val="22"/>
          <w:szCs w:val="22"/>
        </w:rPr>
        <w:t>consumers that have received hearing services in the Voucher scheme in the last five years</w:t>
      </w:r>
      <w:r>
        <w:rPr>
          <w:rStyle w:val="FootnoteReference"/>
          <w:sz w:val="22"/>
          <w:szCs w:val="22"/>
        </w:rPr>
        <w:footnoteReference w:id="2"/>
      </w:r>
      <w:r>
        <w:rPr>
          <w:sz w:val="22"/>
          <w:szCs w:val="22"/>
        </w:rPr>
        <w:t>.</w:t>
      </w:r>
      <w:bookmarkEnd w:id="10"/>
      <w:r>
        <w:rPr>
          <w:sz w:val="22"/>
          <w:szCs w:val="22"/>
        </w:rPr>
        <w:t xml:space="preserve"> </w:t>
      </w:r>
    </w:p>
    <w:p w14:paraId="47B62A1D" w14:textId="5A3653A6" w:rsidR="005878E0" w:rsidRPr="00E13FE5" w:rsidRDefault="005878E0" w:rsidP="005878E0">
      <w:pPr>
        <w:spacing w:before="120" w:after="120" w:line="240" w:lineRule="auto"/>
        <w:rPr>
          <w:sz w:val="22"/>
          <w:szCs w:val="22"/>
        </w:rPr>
      </w:pPr>
      <w:r>
        <w:rPr>
          <w:sz w:val="22"/>
          <w:szCs w:val="22"/>
        </w:rPr>
        <w:t>Consumers often</w:t>
      </w:r>
      <w:r w:rsidRPr="00F50EC6">
        <w:rPr>
          <w:sz w:val="22"/>
          <w:szCs w:val="22"/>
        </w:rPr>
        <w:t xml:space="preserve"> choose not to </w:t>
      </w:r>
      <w:r>
        <w:rPr>
          <w:sz w:val="22"/>
          <w:szCs w:val="22"/>
        </w:rPr>
        <w:t xml:space="preserve">seek professional support to address hearing loss and, in particular, can be reluctant to </w:t>
      </w:r>
      <w:r w:rsidRPr="00F50EC6">
        <w:rPr>
          <w:sz w:val="22"/>
          <w:szCs w:val="22"/>
        </w:rPr>
        <w:t xml:space="preserve">acquire a hearing </w:t>
      </w:r>
      <w:r>
        <w:rPr>
          <w:sz w:val="22"/>
          <w:szCs w:val="22"/>
        </w:rPr>
        <w:t>device</w:t>
      </w:r>
      <w:r w:rsidRPr="00F50EC6">
        <w:rPr>
          <w:sz w:val="22"/>
          <w:szCs w:val="22"/>
        </w:rPr>
        <w:t xml:space="preserve"> </w:t>
      </w:r>
      <w:sdt>
        <w:sdtPr>
          <w:rPr>
            <w:sz w:val="22"/>
            <w:szCs w:val="22"/>
          </w:rPr>
          <w:id w:val="358930936"/>
          <w:citation/>
        </w:sdtPr>
        <w:sdtEndPr/>
        <w:sdtContent>
          <w:r>
            <w:rPr>
              <w:sz w:val="22"/>
              <w:szCs w:val="22"/>
            </w:rPr>
            <w:fldChar w:fldCharType="begin"/>
          </w:r>
          <w:r>
            <w:rPr>
              <w:sz w:val="22"/>
              <w:szCs w:val="22"/>
            </w:rPr>
            <w:instrText xml:space="preserve"> CITATION Fis11 \l 3081 </w:instrText>
          </w:r>
          <w:r>
            <w:rPr>
              <w:sz w:val="22"/>
              <w:szCs w:val="22"/>
            </w:rPr>
            <w:fldChar w:fldCharType="separate"/>
          </w:r>
          <w:r w:rsidR="0083673B" w:rsidRPr="0083673B">
            <w:rPr>
              <w:noProof/>
              <w:sz w:val="22"/>
              <w:szCs w:val="22"/>
            </w:rPr>
            <w:t>(Fischer, 2011)</w:t>
          </w:r>
          <w:r>
            <w:rPr>
              <w:sz w:val="22"/>
              <w:szCs w:val="22"/>
            </w:rPr>
            <w:fldChar w:fldCharType="end"/>
          </w:r>
        </w:sdtContent>
      </w:sdt>
      <w:r>
        <w:rPr>
          <w:sz w:val="22"/>
          <w:szCs w:val="22"/>
        </w:rPr>
        <w:t>. R</w:t>
      </w:r>
      <w:r w:rsidRPr="00696302">
        <w:rPr>
          <w:sz w:val="22"/>
          <w:szCs w:val="22"/>
        </w:rPr>
        <w:t xml:space="preserve">easons </w:t>
      </w:r>
      <w:r>
        <w:rPr>
          <w:sz w:val="22"/>
          <w:szCs w:val="22"/>
        </w:rPr>
        <w:t>include</w:t>
      </w:r>
      <w:r w:rsidRPr="00696302">
        <w:rPr>
          <w:sz w:val="22"/>
          <w:szCs w:val="22"/>
        </w:rPr>
        <w:t xml:space="preserve"> a perception that the hearing aid was unnecessary, the cost and inconvenience</w:t>
      </w:r>
      <w:r>
        <w:rPr>
          <w:sz w:val="22"/>
          <w:szCs w:val="22"/>
        </w:rPr>
        <w:t xml:space="preserve"> of a hearing aid</w:t>
      </w:r>
      <w:r w:rsidRPr="00F50EC6">
        <w:rPr>
          <w:sz w:val="22"/>
          <w:szCs w:val="22"/>
        </w:rPr>
        <w:t>,</w:t>
      </w:r>
      <w:r w:rsidRPr="00696302">
        <w:rPr>
          <w:sz w:val="22"/>
          <w:szCs w:val="22"/>
        </w:rPr>
        <w:t xml:space="preserve"> and the poor experience </w:t>
      </w:r>
      <w:r>
        <w:rPr>
          <w:sz w:val="22"/>
          <w:szCs w:val="22"/>
        </w:rPr>
        <w:t xml:space="preserve">reported by </w:t>
      </w:r>
      <w:r w:rsidRPr="00696302">
        <w:rPr>
          <w:sz w:val="22"/>
          <w:szCs w:val="22"/>
        </w:rPr>
        <w:t xml:space="preserve">their peers with the use of hearing aids. Many aspects of using hearing aids can be difficult for older adults, including changing the battery, cleaning the ear mould, and inserting the aid into the ear. </w:t>
      </w:r>
      <w:r>
        <w:rPr>
          <w:sz w:val="22"/>
          <w:szCs w:val="22"/>
        </w:rPr>
        <w:t>Other factors have included c</w:t>
      </w:r>
      <w:r w:rsidRPr="00696302">
        <w:rPr>
          <w:sz w:val="22"/>
          <w:szCs w:val="22"/>
        </w:rPr>
        <w:t xml:space="preserve">ognitive and functional </w:t>
      </w:r>
      <w:r>
        <w:rPr>
          <w:sz w:val="22"/>
          <w:szCs w:val="22"/>
        </w:rPr>
        <w:t>limitations</w:t>
      </w:r>
      <w:r w:rsidRPr="00696302">
        <w:rPr>
          <w:sz w:val="22"/>
          <w:szCs w:val="22"/>
        </w:rPr>
        <w:t xml:space="preserve">, poor benefit, discomfort with background noise, discomfort in noisy situations and poor fit </w:t>
      </w:r>
      <w:sdt>
        <w:sdtPr>
          <w:rPr>
            <w:sz w:val="22"/>
            <w:szCs w:val="22"/>
          </w:rPr>
          <w:id w:val="1605310709"/>
          <w:citation/>
        </w:sdtPr>
        <w:sdtEndPr/>
        <w:sdtContent>
          <w:r>
            <w:rPr>
              <w:sz w:val="22"/>
              <w:szCs w:val="22"/>
            </w:rPr>
            <w:fldChar w:fldCharType="begin"/>
          </w:r>
          <w:r>
            <w:rPr>
              <w:sz w:val="22"/>
              <w:szCs w:val="22"/>
            </w:rPr>
            <w:instrText xml:space="preserve"> CITATION Fis11 \l 3081 </w:instrText>
          </w:r>
          <w:r>
            <w:rPr>
              <w:sz w:val="22"/>
              <w:szCs w:val="22"/>
            </w:rPr>
            <w:fldChar w:fldCharType="separate"/>
          </w:r>
          <w:r w:rsidR="0083673B" w:rsidRPr="0083673B">
            <w:rPr>
              <w:noProof/>
              <w:sz w:val="22"/>
              <w:szCs w:val="22"/>
            </w:rPr>
            <w:t>(Fischer, 2011)</w:t>
          </w:r>
          <w:r>
            <w:rPr>
              <w:sz w:val="22"/>
              <w:szCs w:val="22"/>
            </w:rPr>
            <w:fldChar w:fldCharType="end"/>
          </w:r>
        </w:sdtContent>
      </w:sdt>
      <w:r w:rsidRPr="00696302">
        <w:rPr>
          <w:sz w:val="22"/>
          <w:szCs w:val="22"/>
        </w:rPr>
        <w:t>.</w:t>
      </w:r>
    </w:p>
    <w:p w14:paraId="327A6CBC" w14:textId="77777777" w:rsidR="005878E0" w:rsidRPr="007B203D" w:rsidRDefault="005878E0" w:rsidP="007B203D">
      <w:pPr>
        <w:pStyle w:val="Heading2"/>
        <w:rPr>
          <w:sz w:val="28"/>
          <w:szCs w:val="28"/>
        </w:rPr>
      </w:pPr>
      <w:bookmarkStart w:id="11" w:name="_Toc57901085"/>
      <w:r w:rsidRPr="007B203D">
        <w:rPr>
          <w:sz w:val="28"/>
          <w:szCs w:val="28"/>
        </w:rPr>
        <w:t>The Hearing Services Program</w:t>
      </w:r>
      <w:bookmarkEnd w:id="11"/>
    </w:p>
    <w:p w14:paraId="1DAA25BE" w14:textId="77777777" w:rsidR="005878E0" w:rsidRPr="00E13FE5" w:rsidRDefault="005878E0" w:rsidP="005878E0">
      <w:pPr>
        <w:spacing w:before="120" w:after="120" w:line="240" w:lineRule="auto"/>
        <w:rPr>
          <w:sz w:val="22"/>
          <w:szCs w:val="22"/>
        </w:rPr>
      </w:pPr>
      <w:r w:rsidRPr="00E13FE5">
        <w:rPr>
          <w:sz w:val="22"/>
          <w:szCs w:val="22"/>
        </w:rPr>
        <w:t>The Department is responsible for managing and administering the Program</w:t>
      </w:r>
      <w:r>
        <w:rPr>
          <w:sz w:val="22"/>
          <w:szCs w:val="22"/>
        </w:rPr>
        <w:t>. The Voucher Scheme, as part of the Program,</w:t>
      </w:r>
      <w:r w:rsidDel="00C659CA">
        <w:rPr>
          <w:sz w:val="22"/>
          <w:szCs w:val="22"/>
        </w:rPr>
        <w:t xml:space="preserve"> </w:t>
      </w:r>
      <w:r>
        <w:rPr>
          <w:sz w:val="22"/>
          <w:szCs w:val="22"/>
        </w:rPr>
        <w:t xml:space="preserve">aims </w:t>
      </w:r>
      <w:r w:rsidRPr="00E13FE5">
        <w:rPr>
          <w:sz w:val="22"/>
          <w:szCs w:val="22"/>
        </w:rPr>
        <w:t>to reduce the consequences of hearing loss in the Australian community through the provision of access to high quality hearing services and devices</w:t>
      </w:r>
      <w:r>
        <w:rPr>
          <w:sz w:val="22"/>
          <w:szCs w:val="22"/>
        </w:rPr>
        <w:t>, with a particular focus on</w:t>
      </w:r>
      <w:r w:rsidRPr="00E13FE5">
        <w:rPr>
          <w:sz w:val="22"/>
          <w:szCs w:val="22"/>
        </w:rPr>
        <w:t xml:space="preserve"> improving accessibility for the most vulnerable people in society</w:t>
      </w:r>
      <w:r>
        <w:rPr>
          <w:sz w:val="22"/>
          <w:szCs w:val="22"/>
        </w:rPr>
        <w:t>. The Program</w:t>
      </w:r>
      <w:r w:rsidRPr="00E13FE5">
        <w:rPr>
          <w:sz w:val="22"/>
          <w:szCs w:val="22"/>
        </w:rPr>
        <w:t xml:space="preserve">:  </w:t>
      </w:r>
    </w:p>
    <w:p w14:paraId="23769B67" w14:textId="77777777" w:rsidR="005878E0" w:rsidRPr="00E13FE5" w:rsidRDefault="005878E0" w:rsidP="005878E0">
      <w:pPr>
        <w:pStyle w:val="ListParagraph"/>
        <w:numPr>
          <w:ilvl w:val="0"/>
          <w:numId w:val="9"/>
        </w:numPr>
        <w:spacing w:before="120" w:after="120" w:line="240" w:lineRule="auto"/>
        <w:ind w:left="714" w:hanging="357"/>
        <w:contextualSpacing w:val="0"/>
        <w:rPr>
          <w:sz w:val="22"/>
          <w:szCs w:val="22"/>
        </w:rPr>
      </w:pPr>
      <w:r w:rsidRPr="00E13FE5">
        <w:rPr>
          <w:sz w:val="22"/>
          <w:szCs w:val="22"/>
        </w:rPr>
        <w:t>provid</w:t>
      </w:r>
      <w:r>
        <w:rPr>
          <w:sz w:val="22"/>
          <w:szCs w:val="22"/>
        </w:rPr>
        <w:t>es</w:t>
      </w:r>
      <w:r w:rsidRPr="00E13FE5">
        <w:rPr>
          <w:sz w:val="22"/>
          <w:szCs w:val="22"/>
        </w:rPr>
        <w:t xml:space="preserve"> subsidised services and devices to eligible consumers</w:t>
      </w:r>
      <w:r>
        <w:rPr>
          <w:sz w:val="22"/>
          <w:szCs w:val="22"/>
        </w:rPr>
        <w:t xml:space="preserve"> (for the Voucher Scheme this is predominantly Pensioner Concession Card holders)</w:t>
      </w:r>
    </w:p>
    <w:p w14:paraId="18348CCC" w14:textId="77777777" w:rsidR="005878E0" w:rsidRPr="00E13FE5" w:rsidRDefault="005878E0" w:rsidP="005878E0">
      <w:pPr>
        <w:pStyle w:val="ListParagraph"/>
        <w:numPr>
          <w:ilvl w:val="0"/>
          <w:numId w:val="9"/>
        </w:numPr>
        <w:spacing w:before="120" w:after="120" w:line="240" w:lineRule="auto"/>
        <w:ind w:left="714" w:hanging="357"/>
        <w:contextualSpacing w:val="0"/>
        <w:rPr>
          <w:sz w:val="22"/>
          <w:szCs w:val="22"/>
        </w:rPr>
      </w:pPr>
      <w:r w:rsidRPr="00E13FE5">
        <w:rPr>
          <w:sz w:val="22"/>
          <w:szCs w:val="22"/>
        </w:rPr>
        <w:t>provid</w:t>
      </w:r>
      <w:r>
        <w:rPr>
          <w:sz w:val="22"/>
          <w:szCs w:val="22"/>
        </w:rPr>
        <w:t>es</w:t>
      </w:r>
      <w:r w:rsidRPr="00E13FE5">
        <w:rPr>
          <w:sz w:val="22"/>
          <w:szCs w:val="22"/>
        </w:rPr>
        <w:t xml:space="preserve"> Program eligibility confirmation service and support</w:t>
      </w:r>
    </w:p>
    <w:p w14:paraId="330A2170" w14:textId="77777777" w:rsidR="005878E0" w:rsidRPr="00E13FE5" w:rsidRDefault="005878E0" w:rsidP="005878E0">
      <w:pPr>
        <w:pStyle w:val="ListParagraph"/>
        <w:numPr>
          <w:ilvl w:val="0"/>
          <w:numId w:val="9"/>
        </w:numPr>
        <w:spacing w:before="120" w:after="120" w:line="240" w:lineRule="auto"/>
        <w:ind w:left="714" w:hanging="357"/>
        <w:contextualSpacing w:val="0"/>
        <w:rPr>
          <w:sz w:val="22"/>
          <w:szCs w:val="22"/>
        </w:rPr>
      </w:pPr>
      <w:r w:rsidRPr="00E13FE5">
        <w:rPr>
          <w:sz w:val="22"/>
          <w:szCs w:val="22"/>
        </w:rPr>
        <w:t>investigat</w:t>
      </w:r>
      <w:r>
        <w:rPr>
          <w:sz w:val="22"/>
          <w:szCs w:val="22"/>
        </w:rPr>
        <w:t>es</w:t>
      </w:r>
      <w:r w:rsidRPr="00E13FE5">
        <w:rPr>
          <w:sz w:val="22"/>
          <w:szCs w:val="22"/>
        </w:rPr>
        <w:t xml:space="preserve"> and resolv</w:t>
      </w:r>
      <w:r>
        <w:rPr>
          <w:sz w:val="22"/>
          <w:szCs w:val="22"/>
        </w:rPr>
        <w:t>es</w:t>
      </w:r>
      <w:r w:rsidRPr="00E13FE5">
        <w:rPr>
          <w:sz w:val="22"/>
          <w:szCs w:val="22"/>
        </w:rPr>
        <w:t xml:space="preserve"> complaints</w:t>
      </w:r>
    </w:p>
    <w:p w14:paraId="26B1896D" w14:textId="77777777" w:rsidR="005878E0" w:rsidRPr="00E13FE5" w:rsidRDefault="005878E0" w:rsidP="005878E0">
      <w:pPr>
        <w:pStyle w:val="ListParagraph"/>
        <w:numPr>
          <w:ilvl w:val="0"/>
          <w:numId w:val="9"/>
        </w:numPr>
        <w:spacing w:before="120" w:after="120" w:line="240" w:lineRule="auto"/>
        <w:ind w:left="714" w:hanging="357"/>
        <w:contextualSpacing w:val="0"/>
        <w:rPr>
          <w:sz w:val="22"/>
          <w:szCs w:val="22"/>
        </w:rPr>
      </w:pPr>
      <w:r w:rsidRPr="00E13FE5">
        <w:rPr>
          <w:sz w:val="22"/>
          <w:szCs w:val="22"/>
        </w:rPr>
        <w:t>provid</w:t>
      </w:r>
      <w:r>
        <w:rPr>
          <w:sz w:val="22"/>
          <w:szCs w:val="22"/>
        </w:rPr>
        <w:t>es</w:t>
      </w:r>
      <w:r w:rsidRPr="00E13FE5">
        <w:rPr>
          <w:sz w:val="22"/>
          <w:szCs w:val="22"/>
        </w:rPr>
        <w:t xml:space="preserve"> information on the location of sites and practitioners</w:t>
      </w:r>
    </w:p>
    <w:p w14:paraId="03F1D5DF" w14:textId="77777777" w:rsidR="005878E0" w:rsidRPr="00E13FE5" w:rsidRDefault="005878E0" w:rsidP="005878E0">
      <w:pPr>
        <w:pStyle w:val="ListParagraph"/>
        <w:numPr>
          <w:ilvl w:val="0"/>
          <w:numId w:val="9"/>
        </w:numPr>
        <w:spacing w:before="120" w:after="120" w:line="240" w:lineRule="auto"/>
        <w:ind w:left="714" w:hanging="357"/>
        <w:contextualSpacing w:val="0"/>
        <w:rPr>
          <w:sz w:val="22"/>
          <w:szCs w:val="22"/>
        </w:rPr>
      </w:pPr>
      <w:r w:rsidRPr="0888A839">
        <w:rPr>
          <w:sz w:val="22"/>
          <w:szCs w:val="22"/>
        </w:rPr>
        <w:t xml:space="preserve">undertakes contract development, compliance checks and audits, Program management and support for manufacturers, providers and agencies </w:t>
      </w:r>
      <w:r>
        <w:rPr>
          <w:sz w:val="22"/>
          <w:szCs w:val="22"/>
        </w:rPr>
        <w:t>(</w:t>
      </w:r>
      <w:r w:rsidRPr="0888A839">
        <w:rPr>
          <w:sz w:val="22"/>
          <w:szCs w:val="22"/>
        </w:rPr>
        <w:t xml:space="preserve">for example telephone advice on issues such as managing services during </w:t>
      </w:r>
      <w:r>
        <w:rPr>
          <w:sz w:val="22"/>
          <w:szCs w:val="22"/>
        </w:rPr>
        <w:t xml:space="preserve">the </w:t>
      </w:r>
      <w:r w:rsidRPr="0888A839">
        <w:rPr>
          <w:sz w:val="22"/>
          <w:szCs w:val="22"/>
        </w:rPr>
        <w:t>COVID</w:t>
      </w:r>
      <w:r>
        <w:rPr>
          <w:sz w:val="22"/>
          <w:szCs w:val="22"/>
        </w:rPr>
        <w:t>-19 pandemic)</w:t>
      </w:r>
    </w:p>
    <w:p w14:paraId="6FA6731F" w14:textId="77777777" w:rsidR="005878E0" w:rsidRPr="00E13FE5" w:rsidRDefault="005878E0" w:rsidP="005878E0">
      <w:pPr>
        <w:pStyle w:val="ListParagraph"/>
        <w:numPr>
          <w:ilvl w:val="0"/>
          <w:numId w:val="9"/>
        </w:numPr>
        <w:spacing w:before="120" w:after="120" w:line="240" w:lineRule="auto"/>
        <w:ind w:left="714" w:hanging="357"/>
        <w:contextualSpacing w:val="0"/>
        <w:rPr>
          <w:sz w:val="22"/>
          <w:szCs w:val="22"/>
        </w:rPr>
      </w:pPr>
      <w:r w:rsidRPr="00E13FE5">
        <w:rPr>
          <w:sz w:val="22"/>
          <w:szCs w:val="22"/>
        </w:rPr>
        <w:t>support</w:t>
      </w:r>
      <w:r>
        <w:rPr>
          <w:sz w:val="22"/>
          <w:szCs w:val="22"/>
        </w:rPr>
        <w:t>s</w:t>
      </w:r>
      <w:r w:rsidRPr="00E13FE5">
        <w:rPr>
          <w:sz w:val="22"/>
          <w:szCs w:val="22"/>
        </w:rPr>
        <w:t xml:space="preserve"> </w:t>
      </w:r>
      <w:r>
        <w:rPr>
          <w:sz w:val="22"/>
          <w:szCs w:val="22"/>
        </w:rPr>
        <w:t xml:space="preserve">linkages between the </w:t>
      </w:r>
      <w:r w:rsidRPr="00E13FE5">
        <w:rPr>
          <w:sz w:val="22"/>
          <w:szCs w:val="22"/>
        </w:rPr>
        <w:t xml:space="preserve">Program and the </w:t>
      </w:r>
      <w:r>
        <w:rPr>
          <w:sz w:val="22"/>
          <w:szCs w:val="22"/>
        </w:rPr>
        <w:t>National Disability Insurance Scheme (</w:t>
      </w:r>
      <w:r w:rsidRPr="00E13FE5">
        <w:rPr>
          <w:sz w:val="22"/>
          <w:szCs w:val="22"/>
        </w:rPr>
        <w:t>NDIS</w:t>
      </w:r>
      <w:r>
        <w:rPr>
          <w:sz w:val="22"/>
          <w:szCs w:val="22"/>
        </w:rPr>
        <w:t>)</w:t>
      </w:r>
      <w:r w:rsidRPr="00E13FE5">
        <w:rPr>
          <w:sz w:val="22"/>
          <w:szCs w:val="22"/>
        </w:rPr>
        <w:t xml:space="preserve"> </w:t>
      </w:r>
    </w:p>
    <w:p w14:paraId="5F9B656B" w14:textId="77777777" w:rsidR="005878E0" w:rsidRPr="00E13FE5" w:rsidRDefault="005878E0" w:rsidP="005878E0">
      <w:pPr>
        <w:pStyle w:val="ListParagraph"/>
        <w:numPr>
          <w:ilvl w:val="0"/>
          <w:numId w:val="9"/>
        </w:numPr>
        <w:spacing w:before="120" w:after="120" w:line="240" w:lineRule="auto"/>
        <w:ind w:left="714" w:hanging="357"/>
        <w:contextualSpacing w:val="0"/>
        <w:rPr>
          <w:sz w:val="22"/>
          <w:szCs w:val="22"/>
        </w:rPr>
      </w:pPr>
      <w:proofErr w:type="gramStart"/>
      <w:r w:rsidRPr="00E13FE5">
        <w:rPr>
          <w:sz w:val="22"/>
          <w:szCs w:val="22"/>
        </w:rPr>
        <w:t>provid</w:t>
      </w:r>
      <w:r>
        <w:rPr>
          <w:sz w:val="22"/>
          <w:szCs w:val="22"/>
        </w:rPr>
        <w:t>es</w:t>
      </w:r>
      <w:proofErr w:type="gramEnd"/>
      <w:r w:rsidRPr="00E13FE5">
        <w:rPr>
          <w:sz w:val="22"/>
          <w:szCs w:val="22"/>
        </w:rPr>
        <w:t xml:space="preserve"> strategic policy and program advice to Government.</w:t>
      </w:r>
    </w:p>
    <w:p w14:paraId="678EAF22" w14:textId="30E3D6E6" w:rsidR="005878E0" w:rsidRDefault="005878E0" w:rsidP="005878E0">
      <w:pPr>
        <w:spacing w:before="120" w:after="120" w:line="240" w:lineRule="auto"/>
        <w:rPr>
          <w:sz w:val="22"/>
          <w:szCs w:val="22"/>
        </w:rPr>
      </w:pPr>
      <w:r>
        <w:rPr>
          <w:sz w:val="22"/>
          <w:szCs w:val="22"/>
        </w:rPr>
        <w:t>As part of the Program, t</w:t>
      </w:r>
      <w:r w:rsidRPr="00E13FE5">
        <w:rPr>
          <w:sz w:val="22"/>
          <w:szCs w:val="22"/>
        </w:rPr>
        <w:t>he Department also</w:t>
      </w:r>
      <w:r>
        <w:rPr>
          <w:sz w:val="22"/>
          <w:szCs w:val="22"/>
        </w:rPr>
        <w:t xml:space="preserve"> manages the Community Service Obligation</w:t>
      </w:r>
      <w:r w:rsidR="00020C8F">
        <w:rPr>
          <w:sz w:val="22"/>
          <w:szCs w:val="22"/>
        </w:rPr>
        <w:t>s</w:t>
      </w:r>
      <w:r>
        <w:rPr>
          <w:sz w:val="22"/>
          <w:szCs w:val="22"/>
        </w:rPr>
        <w:t xml:space="preserve"> Scheme (CSO), which provides specialised hearing services to children and young adults, Aboriginal and Torres Strait </w:t>
      </w:r>
      <w:r w:rsidR="00020C8F">
        <w:rPr>
          <w:sz w:val="22"/>
          <w:szCs w:val="22"/>
        </w:rPr>
        <w:t>I</w:t>
      </w:r>
      <w:r>
        <w:rPr>
          <w:sz w:val="22"/>
          <w:szCs w:val="22"/>
        </w:rPr>
        <w:t xml:space="preserve">slander people 0-26 years old and from 50 years and over and people living in remote areas. The Program also </w:t>
      </w:r>
      <w:r w:rsidRPr="00E13FE5">
        <w:rPr>
          <w:sz w:val="22"/>
          <w:szCs w:val="22"/>
        </w:rPr>
        <w:t xml:space="preserve">funds research on strategies </w:t>
      </w:r>
      <w:r>
        <w:rPr>
          <w:sz w:val="22"/>
          <w:szCs w:val="22"/>
        </w:rPr>
        <w:t xml:space="preserve">through the National Acoustic Laboratories </w:t>
      </w:r>
      <w:r w:rsidRPr="00E13FE5">
        <w:rPr>
          <w:sz w:val="22"/>
          <w:szCs w:val="22"/>
        </w:rPr>
        <w:t>to prevent hearing loss or lessen its impact</w:t>
      </w:r>
      <w:sdt>
        <w:sdtPr>
          <w:rPr>
            <w:sz w:val="22"/>
            <w:szCs w:val="22"/>
          </w:rPr>
          <w:id w:val="-1458330215"/>
          <w:placeholder>
            <w:docPart w:val="A588264A909642CDB0BF5874426A998E"/>
          </w:placeholder>
          <w:citation/>
        </w:sdtPr>
        <w:sdtEndPr/>
        <w:sdtContent>
          <w:r w:rsidRPr="00E13FE5">
            <w:rPr>
              <w:sz w:val="22"/>
              <w:szCs w:val="22"/>
            </w:rPr>
            <w:fldChar w:fldCharType="begin"/>
          </w:r>
          <w:r w:rsidRPr="00E13FE5">
            <w:rPr>
              <w:sz w:val="22"/>
              <w:szCs w:val="22"/>
            </w:rPr>
            <w:instrText xml:space="preserve"> CITATION AboutTheProgram \l 3081 </w:instrText>
          </w:r>
          <w:r w:rsidRPr="00E13FE5">
            <w:rPr>
              <w:sz w:val="22"/>
              <w:szCs w:val="22"/>
            </w:rPr>
            <w:fldChar w:fldCharType="separate"/>
          </w:r>
          <w:r w:rsidR="0083673B">
            <w:rPr>
              <w:noProof/>
              <w:sz w:val="22"/>
              <w:szCs w:val="22"/>
            </w:rPr>
            <w:t xml:space="preserve"> </w:t>
          </w:r>
          <w:r w:rsidR="0083673B" w:rsidRPr="0083673B">
            <w:rPr>
              <w:noProof/>
              <w:sz w:val="22"/>
              <w:szCs w:val="22"/>
            </w:rPr>
            <w:t>(Hearing Services Program, 2020)</w:t>
          </w:r>
          <w:r w:rsidRPr="00E13FE5">
            <w:rPr>
              <w:sz w:val="22"/>
              <w:szCs w:val="22"/>
            </w:rPr>
            <w:fldChar w:fldCharType="end"/>
          </w:r>
        </w:sdtContent>
      </w:sdt>
      <w:r w:rsidRPr="00E13FE5">
        <w:rPr>
          <w:sz w:val="22"/>
          <w:szCs w:val="22"/>
        </w:rPr>
        <w:t>.</w:t>
      </w:r>
      <w:r>
        <w:rPr>
          <w:sz w:val="22"/>
          <w:szCs w:val="22"/>
        </w:rPr>
        <w:t xml:space="preserve"> However, this research is applied at a population level and is not linked directly to the Voucher Scheme.</w:t>
      </w:r>
    </w:p>
    <w:p w14:paraId="67E18F74" w14:textId="421B0423" w:rsidR="005878E0" w:rsidRPr="00E13FE5" w:rsidRDefault="005878E0" w:rsidP="005878E0">
      <w:pPr>
        <w:spacing w:before="120" w:after="120" w:line="240" w:lineRule="auto"/>
        <w:rPr>
          <w:sz w:val="22"/>
          <w:szCs w:val="22"/>
        </w:rPr>
      </w:pPr>
      <w:r w:rsidRPr="004D44C3">
        <w:rPr>
          <w:sz w:val="22"/>
          <w:szCs w:val="22"/>
        </w:rPr>
        <w:t>In FY2019-20</w:t>
      </w:r>
      <w:sdt>
        <w:sdtPr>
          <w:rPr>
            <w:sz w:val="22"/>
            <w:szCs w:val="22"/>
          </w:rPr>
          <w:id w:val="1398017368"/>
          <w:citation/>
        </w:sdtPr>
        <w:sdtEndPr/>
        <w:sdtContent>
          <w:r w:rsidRPr="004D44C3">
            <w:rPr>
              <w:sz w:val="22"/>
              <w:szCs w:val="22"/>
            </w:rPr>
            <w:fldChar w:fldCharType="begin"/>
          </w:r>
          <w:r w:rsidRPr="004D44C3">
            <w:rPr>
              <w:sz w:val="22"/>
              <w:szCs w:val="22"/>
            </w:rPr>
            <w:instrText xml:space="preserve"> CITATION AnnualStatsHSP \l 3081 </w:instrText>
          </w:r>
          <w:r w:rsidRPr="004D44C3">
            <w:rPr>
              <w:sz w:val="22"/>
              <w:szCs w:val="22"/>
            </w:rPr>
            <w:fldChar w:fldCharType="separate"/>
          </w:r>
          <w:r w:rsidR="0083673B">
            <w:rPr>
              <w:noProof/>
              <w:sz w:val="22"/>
              <w:szCs w:val="22"/>
            </w:rPr>
            <w:t xml:space="preserve"> </w:t>
          </w:r>
          <w:r w:rsidR="0083673B" w:rsidRPr="0083673B">
            <w:rPr>
              <w:noProof/>
              <w:sz w:val="22"/>
              <w:szCs w:val="22"/>
            </w:rPr>
            <w:t>(Hearing Services Program, 2020)</w:t>
          </w:r>
          <w:r w:rsidRPr="004D44C3">
            <w:rPr>
              <w:sz w:val="22"/>
              <w:szCs w:val="22"/>
            </w:rPr>
            <w:fldChar w:fldCharType="end"/>
          </w:r>
        </w:sdtContent>
      </w:sdt>
      <w:r w:rsidRPr="004D44C3">
        <w:rPr>
          <w:sz w:val="22"/>
          <w:szCs w:val="22"/>
        </w:rPr>
        <w:t xml:space="preserve"> the Voucher Scheme</w:t>
      </w:r>
      <w:r w:rsidRPr="004D44C3" w:rsidDel="00C659CA">
        <w:rPr>
          <w:sz w:val="22"/>
          <w:szCs w:val="22"/>
        </w:rPr>
        <w:t>;</w:t>
      </w:r>
    </w:p>
    <w:p w14:paraId="534948C1" w14:textId="77777777" w:rsidR="005878E0" w:rsidRPr="00E13FE5" w:rsidRDefault="005878E0" w:rsidP="005878E0">
      <w:pPr>
        <w:pStyle w:val="ListParagraph"/>
        <w:numPr>
          <w:ilvl w:val="0"/>
          <w:numId w:val="10"/>
        </w:numPr>
        <w:spacing w:before="120" w:after="120" w:line="240" w:lineRule="auto"/>
        <w:ind w:left="714" w:hanging="357"/>
        <w:contextualSpacing w:val="0"/>
        <w:rPr>
          <w:sz w:val="22"/>
          <w:szCs w:val="22"/>
        </w:rPr>
      </w:pPr>
      <w:r>
        <w:rPr>
          <w:sz w:val="22"/>
          <w:szCs w:val="22"/>
        </w:rPr>
        <w:t>d</w:t>
      </w:r>
      <w:r w:rsidRPr="00E13FE5">
        <w:rPr>
          <w:sz w:val="22"/>
          <w:szCs w:val="22"/>
        </w:rPr>
        <w:t>elivered 1,436,291 services to 751,052 Australian consumers, including fitting consumers with 392,598 devices (hearing aids)</w:t>
      </w:r>
    </w:p>
    <w:p w14:paraId="3D78F85E" w14:textId="77777777" w:rsidR="005878E0" w:rsidRDefault="005878E0" w:rsidP="005878E0">
      <w:pPr>
        <w:pStyle w:val="ListParagraph"/>
        <w:numPr>
          <w:ilvl w:val="0"/>
          <w:numId w:val="10"/>
        </w:numPr>
        <w:spacing w:before="120" w:after="120" w:line="240" w:lineRule="auto"/>
        <w:ind w:left="714" w:hanging="357"/>
        <w:contextualSpacing w:val="0"/>
        <w:rPr>
          <w:sz w:val="22"/>
          <w:szCs w:val="22"/>
        </w:rPr>
      </w:pPr>
      <w:proofErr w:type="gramStart"/>
      <w:r>
        <w:rPr>
          <w:sz w:val="22"/>
          <w:szCs w:val="22"/>
        </w:rPr>
        <w:t>d</w:t>
      </w:r>
      <w:r w:rsidRPr="00E13FE5">
        <w:rPr>
          <w:sz w:val="22"/>
          <w:szCs w:val="22"/>
        </w:rPr>
        <w:t>elivered</w:t>
      </w:r>
      <w:proofErr w:type="gramEnd"/>
      <w:r w:rsidRPr="00E13FE5">
        <w:rPr>
          <w:sz w:val="22"/>
          <w:szCs w:val="22"/>
        </w:rPr>
        <w:t xml:space="preserve"> services </w:t>
      </w:r>
      <w:r>
        <w:rPr>
          <w:sz w:val="22"/>
          <w:szCs w:val="22"/>
        </w:rPr>
        <w:t>through</w:t>
      </w:r>
      <w:r w:rsidRPr="00E13FE5">
        <w:rPr>
          <w:sz w:val="22"/>
          <w:szCs w:val="22"/>
        </w:rPr>
        <w:t xml:space="preserve"> 292 providers (businesses), across 3,204 sites (clinics) </w:t>
      </w:r>
      <w:r>
        <w:rPr>
          <w:sz w:val="22"/>
          <w:szCs w:val="22"/>
        </w:rPr>
        <w:t>in</w:t>
      </w:r>
      <w:r w:rsidRPr="00E13FE5">
        <w:rPr>
          <w:sz w:val="22"/>
          <w:szCs w:val="22"/>
        </w:rPr>
        <w:t xml:space="preserve"> every state and territory.</w:t>
      </w:r>
      <w:r>
        <w:rPr>
          <w:sz w:val="22"/>
          <w:szCs w:val="22"/>
        </w:rPr>
        <w:t xml:space="preserve"> </w:t>
      </w:r>
    </w:p>
    <w:p w14:paraId="29A0AF31" w14:textId="38B77E5D" w:rsidR="005878E0" w:rsidRPr="004303EC" w:rsidRDefault="005878E0" w:rsidP="004303EC">
      <w:pPr>
        <w:spacing w:before="120" w:after="120" w:line="240" w:lineRule="auto"/>
        <w:rPr>
          <w:sz w:val="22"/>
          <w:szCs w:val="22"/>
        </w:rPr>
      </w:pPr>
      <w:r>
        <w:rPr>
          <w:sz w:val="22"/>
          <w:szCs w:val="22"/>
        </w:rPr>
        <w:t xml:space="preserve">The focus of this Interim Advice is on the implementation of the October 2020 Budget changes to the Voucher Scheme. </w:t>
      </w:r>
    </w:p>
    <w:p w14:paraId="146DC3E5" w14:textId="77777777" w:rsidR="005878E0" w:rsidRPr="007B203D" w:rsidRDefault="005878E0" w:rsidP="007B203D">
      <w:pPr>
        <w:pStyle w:val="Heading2"/>
        <w:rPr>
          <w:sz w:val="28"/>
          <w:szCs w:val="28"/>
        </w:rPr>
      </w:pPr>
      <w:bookmarkStart w:id="12" w:name="_Ref57376232"/>
      <w:bookmarkStart w:id="13" w:name="_Ref57376259"/>
      <w:bookmarkStart w:id="14" w:name="_Ref57376323"/>
      <w:bookmarkStart w:id="15" w:name="_Ref57376474"/>
      <w:bookmarkStart w:id="16" w:name="_Ref57376498"/>
      <w:bookmarkStart w:id="17" w:name="_Toc57901086"/>
      <w:r w:rsidRPr="007B203D">
        <w:rPr>
          <w:sz w:val="28"/>
          <w:szCs w:val="28"/>
        </w:rPr>
        <w:t>FY2020-21 Federal Budget announcements</w:t>
      </w:r>
      <w:bookmarkEnd w:id="12"/>
      <w:bookmarkEnd w:id="13"/>
      <w:bookmarkEnd w:id="14"/>
      <w:bookmarkEnd w:id="15"/>
      <w:bookmarkEnd w:id="16"/>
      <w:bookmarkEnd w:id="17"/>
    </w:p>
    <w:p w14:paraId="5200DA8B" w14:textId="77777777" w:rsidR="005878E0" w:rsidRPr="00175225" w:rsidRDefault="005878E0" w:rsidP="00175225">
      <w:pPr>
        <w:pStyle w:val="Heading3"/>
        <w:rPr>
          <w:rStyle w:val="Strong"/>
        </w:rPr>
      </w:pPr>
      <w:bookmarkStart w:id="18" w:name="_Toc57901087"/>
      <w:r w:rsidRPr="00175225">
        <w:t>Overview</w:t>
      </w:r>
      <w:bookmarkEnd w:id="18"/>
    </w:p>
    <w:p w14:paraId="05CCE2BD" w14:textId="77777777" w:rsidR="005878E0" w:rsidRDefault="005878E0" w:rsidP="005878E0">
      <w:pPr>
        <w:spacing w:before="120" w:after="120" w:line="240" w:lineRule="auto"/>
        <w:rPr>
          <w:sz w:val="22"/>
          <w:szCs w:val="22"/>
        </w:rPr>
      </w:pPr>
      <w:r>
        <w:rPr>
          <w:sz w:val="22"/>
          <w:szCs w:val="22"/>
        </w:rPr>
        <w:t>T</w:t>
      </w:r>
      <w:r w:rsidRPr="00E13FE5">
        <w:rPr>
          <w:sz w:val="22"/>
          <w:szCs w:val="22"/>
        </w:rPr>
        <w:t xml:space="preserve">he Government </w:t>
      </w:r>
      <w:r>
        <w:rPr>
          <w:sz w:val="22"/>
          <w:szCs w:val="22"/>
        </w:rPr>
        <w:t xml:space="preserve">announced several changes to the Voucher Scheme in the October 2020 Budget. These reflect the extended lifespan of hearing aid devices (now being a minimum of five years) and improved efficiency in the way maintenance payments are made under the Program. </w:t>
      </w:r>
    </w:p>
    <w:p w14:paraId="202310C7" w14:textId="77777777" w:rsidR="005878E0" w:rsidRPr="00E13FE5" w:rsidRDefault="005878E0" w:rsidP="005878E0">
      <w:pPr>
        <w:spacing w:before="120" w:after="120" w:line="240" w:lineRule="auto"/>
        <w:rPr>
          <w:sz w:val="22"/>
          <w:szCs w:val="22"/>
        </w:rPr>
      </w:pPr>
      <w:r w:rsidRPr="00E13FE5">
        <w:rPr>
          <w:sz w:val="22"/>
          <w:szCs w:val="22"/>
        </w:rPr>
        <w:t>The</w:t>
      </w:r>
      <w:r>
        <w:rPr>
          <w:sz w:val="22"/>
          <w:szCs w:val="22"/>
        </w:rPr>
        <w:t>se</w:t>
      </w:r>
      <w:r w:rsidRPr="00E13FE5">
        <w:rPr>
          <w:sz w:val="22"/>
          <w:szCs w:val="22"/>
        </w:rPr>
        <w:t xml:space="preserve"> measures will take effect from 1 July 2021, and include</w:t>
      </w:r>
      <w:r w:rsidRPr="00E13FE5" w:rsidDel="00A26038">
        <w:rPr>
          <w:sz w:val="22"/>
          <w:szCs w:val="22"/>
        </w:rPr>
        <w:t>;</w:t>
      </w:r>
    </w:p>
    <w:p w14:paraId="7C476AE5"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 xml:space="preserve">Moving from a three year to a five year Voucher period with existing Vouchers extended by two years, and new Vouchers </w:t>
      </w:r>
      <w:r>
        <w:rPr>
          <w:sz w:val="22"/>
          <w:szCs w:val="22"/>
        </w:rPr>
        <w:t xml:space="preserve">to be </w:t>
      </w:r>
      <w:r w:rsidRPr="00E13FE5">
        <w:rPr>
          <w:sz w:val="22"/>
          <w:szCs w:val="22"/>
        </w:rPr>
        <w:t>current for five years. This will align the Voucher period to the expected lifespan of a hearing aid and prevent unnecessary device refits.</w:t>
      </w:r>
    </w:p>
    <w:p w14:paraId="5ADCD3C4"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The Government ceas</w:t>
      </w:r>
      <w:r>
        <w:rPr>
          <w:sz w:val="22"/>
          <w:szCs w:val="22"/>
        </w:rPr>
        <w:t>ing</w:t>
      </w:r>
      <w:r w:rsidRPr="00E13FE5">
        <w:rPr>
          <w:sz w:val="22"/>
          <w:szCs w:val="22"/>
        </w:rPr>
        <w:t xml:space="preserve"> pay</w:t>
      </w:r>
      <w:r>
        <w:rPr>
          <w:sz w:val="22"/>
          <w:szCs w:val="22"/>
        </w:rPr>
        <w:t>ment</w:t>
      </w:r>
      <w:r w:rsidRPr="00E13FE5">
        <w:rPr>
          <w:sz w:val="22"/>
          <w:szCs w:val="22"/>
        </w:rPr>
        <w:t xml:space="preserve"> for hearing device maintenance and repairs during the </w:t>
      </w:r>
      <w:r>
        <w:rPr>
          <w:sz w:val="22"/>
          <w:szCs w:val="22"/>
        </w:rPr>
        <w:t xml:space="preserve">manufacturers’ </w:t>
      </w:r>
      <w:r w:rsidRPr="00E13FE5">
        <w:rPr>
          <w:sz w:val="22"/>
          <w:szCs w:val="22"/>
        </w:rPr>
        <w:t>minimum warranty period of 12 months.</w:t>
      </w:r>
    </w:p>
    <w:p w14:paraId="64B4FAB7"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Maintenance and repair payments be</w:t>
      </w:r>
      <w:r>
        <w:rPr>
          <w:sz w:val="22"/>
          <w:szCs w:val="22"/>
        </w:rPr>
        <w:t>ing</w:t>
      </w:r>
      <w:r w:rsidRPr="00E13FE5">
        <w:rPr>
          <w:sz w:val="22"/>
          <w:szCs w:val="22"/>
        </w:rPr>
        <w:t xml:space="preserve"> made quarterly in advance per device, </w:t>
      </w:r>
      <w:r>
        <w:rPr>
          <w:sz w:val="22"/>
          <w:szCs w:val="22"/>
        </w:rPr>
        <w:t>instead of</w:t>
      </w:r>
      <w:r w:rsidRPr="00E13FE5">
        <w:rPr>
          <w:sz w:val="22"/>
          <w:szCs w:val="22"/>
        </w:rPr>
        <w:t xml:space="preserve"> the current annual in advance payment. </w:t>
      </w:r>
    </w:p>
    <w:p w14:paraId="0E0329A2"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Consumers who are not fitted with a device be</w:t>
      </w:r>
      <w:r>
        <w:rPr>
          <w:sz w:val="22"/>
          <w:szCs w:val="22"/>
        </w:rPr>
        <w:t>ing</w:t>
      </w:r>
      <w:r w:rsidRPr="00E13FE5">
        <w:rPr>
          <w:sz w:val="22"/>
          <w:szCs w:val="22"/>
        </w:rPr>
        <w:t xml:space="preserve"> entitled to an annual review to </w:t>
      </w:r>
      <w:r>
        <w:rPr>
          <w:sz w:val="22"/>
          <w:szCs w:val="22"/>
        </w:rPr>
        <w:t>enable</w:t>
      </w:r>
      <w:r w:rsidRPr="00E13FE5">
        <w:rPr>
          <w:sz w:val="22"/>
          <w:szCs w:val="22"/>
        </w:rPr>
        <w:t xml:space="preserve"> their hearing to be monitored over time and improve </w:t>
      </w:r>
      <w:r>
        <w:rPr>
          <w:sz w:val="22"/>
          <w:szCs w:val="22"/>
        </w:rPr>
        <w:t xml:space="preserve">their </w:t>
      </w:r>
      <w:r w:rsidRPr="00E13FE5">
        <w:rPr>
          <w:sz w:val="22"/>
          <w:szCs w:val="22"/>
        </w:rPr>
        <w:t xml:space="preserve">access to hearing services. This will align with the entitlements of those who are fitted with a device. </w:t>
      </w:r>
    </w:p>
    <w:p w14:paraId="2A60D597" w14:textId="4F07ED16" w:rsidR="005878E0" w:rsidRPr="00A36636" w:rsidRDefault="005878E0" w:rsidP="007B203D">
      <w:pPr>
        <w:pStyle w:val="ListParagraph"/>
        <w:numPr>
          <w:ilvl w:val="0"/>
          <w:numId w:val="2"/>
        </w:numPr>
        <w:spacing w:before="60" w:after="60" w:line="240" w:lineRule="auto"/>
        <w:contextualSpacing w:val="0"/>
        <w:rPr>
          <w:sz w:val="22"/>
          <w:szCs w:val="22"/>
        </w:rPr>
      </w:pPr>
      <w:r>
        <w:rPr>
          <w:sz w:val="22"/>
          <w:szCs w:val="22"/>
        </w:rPr>
        <w:t>A</w:t>
      </w:r>
      <w:r w:rsidRPr="00A36636">
        <w:rPr>
          <w:sz w:val="22"/>
          <w:szCs w:val="22"/>
        </w:rPr>
        <w:t xml:space="preserve">dditional resources </w:t>
      </w:r>
      <w:r>
        <w:rPr>
          <w:sz w:val="22"/>
          <w:szCs w:val="22"/>
        </w:rPr>
        <w:t>being made to the Program administrators for</w:t>
      </w:r>
      <w:r w:rsidRPr="00A36636">
        <w:rPr>
          <w:sz w:val="22"/>
          <w:szCs w:val="22"/>
        </w:rPr>
        <w:t xml:space="preserve"> monitoring, compliance and audit activities in the </w:t>
      </w:r>
      <w:r>
        <w:rPr>
          <w:sz w:val="22"/>
          <w:szCs w:val="22"/>
        </w:rPr>
        <w:t>initial</w:t>
      </w:r>
      <w:r w:rsidRPr="00A36636">
        <w:rPr>
          <w:sz w:val="22"/>
          <w:szCs w:val="22"/>
        </w:rPr>
        <w:t xml:space="preserve"> implementation</w:t>
      </w:r>
      <w:r>
        <w:rPr>
          <w:sz w:val="22"/>
          <w:szCs w:val="22"/>
        </w:rPr>
        <w:t xml:space="preserve"> phase</w:t>
      </w:r>
      <w:sdt>
        <w:sdtPr>
          <w:id w:val="1185016962"/>
          <w:citation/>
        </w:sdtPr>
        <w:sdtEndPr/>
        <w:sdtContent>
          <w:r w:rsidRPr="00A36636">
            <w:rPr>
              <w:sz w:val="22"/>
              <w:szCs w:val="22"/>
            </w:rPr>
            <w:fldChar w:fldCharType="begin"/>
          </w:r>
          <w:r w:rsidRPr="00A36636">
            <w:rPr>
              <w:sz w:val="22"/>
              <w:szCs w:val="22"/>
            </w:rPr>
            <w:instrText xml:space="preserve"> CITATION Hea20 \l 3081 </w:instrText>
          </w:r>
          <w:r w:rsidRPr="00A36636">
            <w:rPr>
              <w:sz w:val="22"/>
              <w:szCs w:val="22"/>
            </w:rPr>
            <w:fldChar w:fldCharType="separate"/>
          </w:r>
          <w:r w:rsidR="0083673B">
            <w:rPr>
              <w:noProof/>
              <w:sz w:val="22"/>
              <w:szCs w:val="22"/>
            </w:rPr>
            <w:t xml:space="preserve"> </w:t>
          </w:r>
          <w:r w:rsidR="0083673B" w:rsidRPr="0083673B">
            <w:rPr>
              <w:noProof/>
              <w:sz w:val="22"/>
              <w:szCs w:val="22"/>
            </w:rPr>
            <w:t>(Hearing Services Program, 2020)</w:t>
          </w:r>
          <w:r w:rsidRPr="00A36636">
            <w:rPr>
              <w:sz w:val="22"/>
              <w:szCs w:val="22"/>
            </w:rPr>
            <w:fldChar w:fldCharType="end"/>
          </w:r>
        </w:sdtContent>
      </w:sdt>
      <w:r w:rsidRPr="00A36636">
        <w:rPr>
          <w:sz w:val="22"/>
          <w:szCs w:val="22"/>
        </w:rPr>
        <w:t>.</w:t>
      </w:r>
    </w:p>
    <w:p w14:paraId="5FEEBC00" w14:textId="77777777" w:rsidR="005878E0" w:rsidRPr="004743C6" w:rsidRDefault="005878E0" w:rsidP="005878E0">
      <w:pPr>
        <w:spacing w:before="120" w:after="120" w:line="240" w:lineRule="auto"/>
        <w:rPr>
          <w:sz w:val="22"/>
          <w:szCs w:val="22"/>
        </w:rPr>
      </w:pPr>
      <w:r>
        <w:t xml:space="preserve">In addition to the changes to the Program, the Government also announced $5.4 million for a national awareness campaign on hearing loss. This campaign will raise awareness of hearing loss and its prevention as well as the support that is available for groups who are likely to suffer from hearing loss. This campaign will raise the profile of the Program with targeted hearing loss groups and will assist services in the adjustment period of the Voucher Scheme changes. </w:t>
      </w:r>
    </w:p>
    <w:p w14:paraId="64AF240A" w14:textId="77777777" w:rsidR="005878E0" w:rsidRPr="007B203D" w:rsidRDefault="005878E0" w:rsidP="005878E0">
      <w:pPr>
        <w:pStyle w:val="Heading2"/>
        <w:spacing w:before="120" w:after="120" w:line="240" w:lineRule="auto"/>
        <w:rPr>
          <w:sz w:val="28"/>
          <w:szCs w:val="28"/>
        </w:rPr>
      </w:pPr>
      <w:bookmarkStart w:id="19" w:name="_Toc57901088"/>
      <w:r w:rsidRPr="007B203D">
        <w:rPr>
          <w:sz w:val="28"/>
          <w:szCs w:val="28"/>
        </w:rPr>
        <w:t>Regulation Impact Statement: expected impacts on the Program</w:t>
      </w:r>
      <w:bookmarkEnd w:id="19"/>
    </w:p>
    <w:p w14:paraId="2E067DE2" w14:textId="77777777" w:rsidR="005878E0" w:rsidRPr="00E13FE5" w:rsidRDefault="005878E0" w:rsidP="005878E0">
      <w:pPr>
        <w:spacing w:before="120" w:after="120" w:line="240" w:lineRule="auto"/>
        <w:rPr>
          <w:sz w:val="22"/>
          <w:szCs w:val="22"/>
        </w:rPr>
      </w:pPr>
      <w:r w:rsidRPr="00E13FE5">
        <w:rPr>
          <w:sz w:val="22"/>
          <w:szCs w:val="22"/>
        </w:rPr>
        <w:t xml:space="preserve">The Regulation Impact Statement (RIS) </w:t>
      </w:r>
      <w:r>
        <w:rPr>
          <w:sz w:val="22"/>
          <w:szCs w:val="22"/>
        </w:rPr>
        <w:t>for</w:t>
      </w:r>
      <w:r w:rsidRPr="00E13FE5">
        <w:rPr>
          <w:sz w:val="22"/>
          <w:szCs w:val="22"/>
        </w:rPr>
        <w:t xml:space="preserve"> these changes is available through the Office of Best Practice Regulation. </w:t>
      </w:r>
      <w:r>
        <w:rPr>
          <w:sz w:val="22"/>
          <w:szCs w:val="22"/>
        </w:rPr>
        <w:t>The RIS</w:t>
      </w:r>
      <w:r w:rsidRPr="00E13FE5">
        <w:rPr>
          <w:sz w:val="22"/>
          <w:szCs w:val="22"/>
        </w:rPr>
        <w:t xml:space="preserve"> </w:t>
      </w:r>
      <w:r>
        <w:rPr>
          <w:sz w:val="22"/>
          <w:szCs w:val="22"/>
        </w:rPr>
        <w:t>report incorporates</w:t>
      </w:r>
      <w:r w:rsidRPr="00E13FE5">
        <w:rPr>
          <w:sz w:val="22"/>
          <w:szCs w:val="22"/>
        </w:rPr>
        <w:t xml:space="preserve"> a </w:t>
      </w:r>
      <w:r>
        <w:rPr>
          <w:sz w:val="22"/>
          <w:szCs w:val="22"/>
        </w:rPr>
        <w:t>detailed</w:t>
      </w:r>
      <w:r w:rsidRPr="00E13FE5">
        <w:rPr>
          <w:sz w:val="22"/>
          <w:szCs w:val="22"/>
        </w:rPr>
        <w:t xml:space="preserve"> analysis of the expected impacts on the Program</w:t>
      </w:r>
      <w:r>
        <w:rPr>
          <w:sz w:val="22"/>
          <w:szCs w:val="22"/>
        </w:rPr>
        <w:t>. The impacts and amelioration measures</w:t>
      </w:r>
      <w:r w:rsidRPr="00E13FE5">
        <w:rPr>
          <w:sz w:val="22"/>
          <w:szCs w:val="22"/>
        </w:rPr>
        <w:t xml:space="preserve"> include</w:t>
      </w:r>
      <w:r>
        <w:rPr>
          <w:sz w:val="22"/>
          <w:szCs w:val="22"/>
        </w:rPr>
        <w:t>:</w:t>
      </w:r>
    </w:p>
    <w:p w14:paraId="4A18104E" w14:textId="77777777" w:rsidR="005878E0" w:rsidRPr="00E13FE5" w:rsidRDefault="005878E0" w:rsidP="007B203D">
      <w:pPr>
        <w:pStyle w:val="ListParagraph"/>
        <w:numPr>
          <w:ilvl w:val="0"/>
          <w:numId w:val="4"/>
        </w:numPr>
        <w:spacing w:before="60" w:after="60" w:line="240" w:lineRule="auto"/>
        <w:ind w:left="714" w:hanging="357"/>
        <w:contextualSpacing w:val="0"/>
        <w:rPr>
          <w:sz w:val="22"/>
          <w:szCs w:val="22"/>
        </w:rPr>
      </w:pPr>
      <w:r w:rsidRPr="00E13FE5">
        <w:rPr>
          <w:sz w:val="22"/>
          <w:szCs w:val="22"/>
        </w:rPr>
        <w:t>Appropriate safeguards to ensure that consumers with exceptional clinical need requiring an earlier refit of a hearing device can receive this</w:t>
      </w:r>
      <w:r>
        <w:rPr>
          <w:sz w:val="22"/>
          <w:szCs w:val="22"/>
        </w:rPr>
        <w:t xml:space="preserve"> service</w:t>
      </w:r>
      <w:r w:rsidRPr="00E13FE5">
        <w:rPr>
          <w:sz w:val="22"/>
          <w:szCs w:val="22"/>
        </w:rPr>
        <w:t>.</w:t>
      </w:r>
      <w:r w:rsidRPr="00E13FE5" w:rsidDel="0090027D">
        <w:rPr>
          <w:sz w:val="22"/>
          <w:szCs w:val="22"/>
        </w:rPr>
        <w:t xml:space="preserve"> </w:t>
      </w:r>
    </w:p>
    <w:p w14:paraId="18366BF0" w14:textId="77777777" w:rsidR="005878E0" w:rsidRPr="00E13FE5" w:rsidRDefault="005878E0" w:rsidP="007B203D">
      <w:pPr>
        <w:pStyle w:val="ListParagraph"/>
        <w:numPr>
          <w:ilvl w:val="0"/>
          <w:numId w:val="4"/>
        </w:numPr>
        <w:spacing w:before="60" w:after="60" w:line="240" w:lineRule="auto"/>
        <w:ind w:left="714" w:hanging="357"/>
        <w:contextualSpacing w:val="0"/>
        <w:rPr>
          <w:sz w:val="22"/>
          <w:szCs w:val="22"/>
        </w:rPr>
      </w:pPr>
      <w:r w:rsidRPr="00E13FE5">
        <w:rPr>
          <w:sz w:val="22"/>
          <w:szCs w:val="22"/>
        </w:rPr>
        <w:t>An expected decline of 76,000 unnecessary device refits across FY2021-22 and FY2022-23.</w:t>
      </w:r>
    </w:p>
    <w:p w14:paraId="7AD7835E" w14:textId="77777777" w:rsidR="005878E0" w:rsidRPr="00E13FE5" w:rsidRDefault="005878E0" w:rsidP="007B203D">
      <w:pPr>
        <w:pStyle w:val="ListParagraph"/>
        <w:numPr>
          <w:ilvl w:val="0"/>
          <w:numId w:val="4"/>
        </w:numPr>
        <w:spacing w:before="60" w:after="60" w:line="240" w:lineRule="auto"/>
        <w:ind w:left="714" w:hanging="357"/>
        <w:contextualSpacing w:val="0"/>
        <w:rPr>
          <w:sz w:val="22"/>
          <w:szCs w:val="22"/>
        </w:rPr>
      </w:pPr>
      <w:r w:rsidRPr="00E13FE5">
        <w:rPr>
          <w:sz w:val="22"/>
          <w:szCs w:val="22"/>
        </w:rPr>
        <w:t>An acknowledgement of the potential for larger impacts in rural and remote areas that may result in</w:t>
      </w:r>
      <w:r>
        <w:rPr>
          <w:sz w:val="22"/>
          <w:szCs w:val="22"/>
        </w:rPr>
        <w:t xml:space="preserve"> the</w:t>
      </w:r>
      <w:r w:rsidRPr="00E13FE5">
        <w:rPr>
          <w:sz w:val="22"/>
          <w:szCs w:val="22"/>
        </w:rPr>
        <w:t xml:space="preserve"> consolidation of some providers and limitations on access to hearing services for consumers.</w:t>
      </w:r>
    </w:p>
    <w:p w14:paraId="426D66AF" w14:textId="4A8903FB" w:rsidR="005878E0" w:rsidRPr="004303EC" w:rsidRDefault="005878E0" w:rsidP="004303EC">
      <w:pPr>
        <w:spacing w:before="120" w:after="120" w:line="240" w:lineRule="auto"/>
        <w:rPr>
          <w:sz w:val="22"/>
          <w:szCs w:val="22"/>
        </w:rPr>
      </w:pPr>
      <w:r>
        <w:rPr>
          <w:sz w:val="22"/>
          <w:szCs w:val="22"/>
        </w:rPr>
        <w:t>As noted earlier, a concern for this Interim Advice</w:t>
      </w:r>
      <w:r w:rsidDel="00A26038">
        <w:rPr>
          <w:sz w:val="22"/>
          <w:szCs w:val="22"/>
        </w:rPr>
        <w:t xml:space="preserve"> </w:t>
      </w:r>
      <w:r>
        <w:rPr>
          <w:sz w:val="22"/>
          <w:szCs w:val="22"/>
        </w:rPr>
        <w:t xml:space="preserve">relates to </w:t>
      </w:r>
      <w:r w:rsidRPr="00E13FE5">
        <w:rPr>
          <w:sz w:val="22"/>
          <w:szCs w:val="22"/>
        </w:rPr>
        <w:t xml:space="preserve">how consumers and providers </w:t>
      </w:r>
      <w:r>
        <w:rPr>
          <w:sz w:val="22"/>
          <w:szCs w:val="22"/>
        </w:rPr>
        <w:t>in rural and remote markets could</w:t>
      </w:r>
      <w:r w:rsidRPr="00E13FE5">
        <w:rPr>
          <w:sz w:val="22"/>
          <w:szCs w:val="22"/>
        </w:rPr>
        <w:t xml:space="preserve"> be supported </w:t>
      </w:r>
      <w:r>
        <w:rPr>
          <w:sz w:val="22"/>
          <w:szCs w:val="22"/>
        </w:rPr>
        <w:t xml:space="preserve">following the </w:t>
      </w:r>
      <w:r w:rsidRPr="00E13FE5">
        <w:rPr>
          <w:sz w:val="22"/>
          <w:szCs w:val="22"/>
        </w:rPr>
        <w:t>implementation</w:t>
      </w:r>
      <w:r>
        <w:rPr>
          <w:sz w:val="22"/>
          <w:szCs w:val="22"/>
        </w:rPr>
        <w:t xml:space="preserve"> of the above changes</w:t>
      </w:r>
      <w:r w:rsidRPr="00E13FE5">
        <w:rPr>
          <w:sz w:val="22"/>
          <w:szCs w:val="22"/>
        </w:rPr>
        <w:t xml:space="preserve">. Further analysis on the impacts of the changes can be found in the </w:t>
      </w:r>
      <w:hyperlink r:id="rId15" w:history="1">
        <w:r w:rsidRPr="00686C5B">
          <w:rPr>
            <w:sz w:val="22"/>
            <w:szCs w:val="22"/>
          </w:rPr>
          <w:t>Regulation Impact Statement</w:t>
        </w:r>
      </w:hyperlink>
      <w:sdt>
        <w:sdtPr>
          <w:rPr>
            <w:sz w:val="22"/>
            <w:szCs w:val="22"/>
          </w:rPr>
          <w:id w:val="-1479224798"/>
          <w:citation/>
        </w:sdtPr>
        <w:sdtEndPr/>
        <w:sdtContent>
          <w:r>
            <w:rPr>
              <w:sz w:val="22"/>
              <w:szCs w:val="22"/>
            </w:rPr>
            <w:fldChar w:fldCharType="begin"/>
          </w:r>
          <w:r>
            <w:rPr>
              <w:sz w:val="22"/>
              <w:szCs w:val="22"/>
            </w:rPr>
            <w:instrText xml:space="preserve"> CITATION Off20 \l 3081 </w:instrText>
          </w:r>
          <w:r>
            <w:rPr>
              <w:sz w:val="22"/>
              <w:szCs w:val="22"/>
            </w:rPr>
            <w:fldChar w:fldCharType="separate"/>
          </w:r>
          <w:r w:rsidR="0083673B">
            <w:rPr>
              <w:noProof/>
              <w:sz w:val="22"/>
              <w:szCs w:val="22"/>
            </w:rPr>
            <w:t xml:space="preserve"> </w:t>
          </w:r>
          <w:r w:rsidR="0083673B" w:rsidRPr="0083673B">
            <w:rPr>
              <w:noProof/>
              <w:sz w:val="22"/>
              <w:szCs w:val="22"/>
            </w:rPr>
            <w:t>(Office of Best Practice Regulation, 2020)</w:t>
          </w:r>
          <w:r>
            <w:rPr>
              <w:sz w:val="22"/>
              <w:szCs w:val="22"/>
            </w:rPr>
            <w:fldChar w:fldCharType="end"/>
          </w:r>
        </w:sdtContent>
      </w:sdt>
      <w:r>
        <w:rPr>
          <w:sz w:val="22"/>
          <w:szCs w:val="22"/>
        </w:rPr>
        <w:t>.</w:t>
      </w:r>
    </w:p>
    <w:p w14:paraId="7A092AA0" w14:textId="77777777" w:rsidR="005878E0" w:rsidRPr="007B203D" w:rsidRDefault="005878E0" w:rsidP="005878E0">
      <w:pPr>
        <w:pStyle w:val="Heading2"/>
        <w:spacing w:before="120" w:after="120" w:line="240" w:lineRule="auto"/>
        <w:rPr>
          <w:sz w:val="28"/>
          <w:szCs w:val="28"/>
        </w:rPr>
      </w:pPr>
      <w:bookmarkStart w:id="20" w:name="_Toc57901089"/>
      <w:r w:rsidRPr="007B203D">
        <w:rPr>
          <w:sz w:val="28"/>
          <w:szCs w:val="28"/>
        </w:rPr>
        <w:t>Summary of the potential impacts on particular stakeholders of the Voucher Scheme</w:t>
      </w:r>
      <w:bookmarkEnd w:id="20"/>
    </w:p>
    <w:p w14:paraId="4CB54146" w14:textId="77777777" w:rsidR="005878E0" w:rsidRPr="00175225" w:rsidRDefault="005878E0" w:rsidP="00175225">
      <w:pPr>
        <w:pStyle w:val="Heading3"/>
      </w:pPr>
      <w:bookmarkStart w:id="21" w:name="_Toc57901090"/>
      <w:r w:rsidRPr="00322671">
        <w:t>Consumers</w:t>
      </w:r>
      <w:bookmarkEnd w:id="21"/>
    </w:p>
    <w:p w14:paraId="6095EBBA"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 xml:space="preserve">Safeguards </w:t>
      </w:r>
      <w:r>
        <w:rPr>
          <w:sz w:val="22"/>
          <w:szCs w:val="22"/>
        </w:rPr>
        <w:t xml:space="preserve">have been put </w:t>
      </w:r>
      <w:r w:rsidRPr="00E13FE5">
        <w:rPr>
          <w:sz w:val="22"/>
          <w:szCs w:val="22"/>
        </w:rPr>
        <w:t xml:space="preserve">in place </w:t>
      </w:r>
      <w:r>
        <w:rPr>
          <w:sz w:val="22"/>
          <w:szCs w:val="22"/>
        </w:rPr>
        <w:t xml:space="preserve">to </w:t>
      </w:r>
      <w:r w:rsidRPr="00E13FE5">
        <w:rPr>
          <w:sz w:val="22"/>
          <w:szCs w:val="22"/>
        </w:rPr>
        <w:t xml:space="preserve">ensure consumers </w:t>
      </w:r>
      <w:r>
        <w:rPr>
          <w:sz w:val="22"/>
          <w:szCs w:val="22"/>
        </w:rPr>
        <w:t xml:space="preserve">who </w:t>
      </w:r>
      <w:r w:rsidRPr="00E13FE5">
        <w:rPr>
          <w:sz w:val="22"/>
          <w:szCs w:val="22"/>
        </w:rPr>
        <w:t>require hearing devices and services will continue to receive them.</w:t>
      </w:r>
    </w:p>
    <w:p w14:paraId="72811B7B" w14:textId="0F9C9496" w:rsidR="005878E0"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 xml:space="preserve">Some consumers who may </w:t>
      </w:r>
      <w:r>
        <w:rPr>
          <w:sz w:val="22"/>
          <w:szCs w:val="22"/>
        </w:rPr>
        <w:t xml:space="preserve">have </w:t>
      </w:r>
      <w:r w:rsidRPr="00E13FE5">
        <w:rPr>
          <w:sz w:val="22"/>
          <w:szCs w:val="22"/>
        </w:rPr>
        <w:t>expect</w:t>
      </w:r>
      <w:r>
        <w:rPr>
          <w:sz w:val="22"/>
          <w:szCs w:val="22"/>
        </w:rPr>
        <w:t>ed</w:t>
      </w:r>
      <w:r w:rsidRPr="00E13FE5">
        <w:rPr>
          <w:sz w:val="22"/>
          <w:szCs w:val="22"/>
        </w:rPr>
        <w:t xml:space="preserve"> to receive new devices every three years will now </w:t>
      </w:r>
      <w:r w:rsidR="00642180">
        <w:rPr>
          <w:sz w:val="22"/>
          <w:szCs w:val="22"/>
        </w:rPr>
        <w:t xml:space="preserve">need </w:t>
      </w:r>
      <w:r w:rsidRPr="00E13FE5">
        <w:rPr>
          <w:sz w:val="22"/>
          <w:szCs w:val="22"/>
        </w:rPr>
        <w:t xml:space="preserve">to wait an additional two years. However, this </w:t>
      </w:r>
      <w:r>
        <w:rPr>
          <w:sz w:val="22"/>
          <w:szCs w:val="22"/>
        </w:rPr>
        <w:t>does not</w:t>
      </w:r>
      <w:r w:rsidRPr="00E13FE5">
        <w:rPr>
          <w:sz w:val="22"/>
          <w:szCs w:val="22"/>
        </w:rPr>
        <w:t xml:space="preserve"> appl</w:t>
      </w:r>
      <w:r>
        <w:rPr>
          <w:sz w:val="22"/>
          <w:szCs w:val="22"/>
        </w:rPr>
        <w:t>y</w:t>
      </w:r>
      <w:r w:rsidRPr="00E13FE5">
        <w:rPr>
          <w:sz w:val="22"/>
          <w:szCs w:val="22"/>
        </w:rPr>
        <w:t xml:space="preserve"> to those (a) </w:t>
      </w:r>
      <w:r>
        <w:rPr>
          <w:sz w:val="22"/>
          <w:szCs w:val="22"/>
        </w:rPr>
        <w:t>with a</w:t>
      </w:r>
      <w:r w:rsidRPr="00E13FE5">
        <w:rPr>
          <w:sz w:val="22"/>
          <w:szCs w:val="22"/>
        </w:rPr>
        <w:t xml:space="preserve"> clinical need for a new device, and (b) where their current device is </w:t>
      </w:r>
      <w:r>
        <w:rPr>
          <w:sz w:val="22"/>
          <w:szCs w:val="22"/>
        </w:rPr>
        <w:t>not</w:t>
      </w:r>
      <w:r w:rsidRPr="00E13FE5">
        <w:rPr>
          <w:sz w:val="22"/>
          <w:szCs w:val="22"/>
        </w:rPr>
        <w:t xml:space="preserve"> functioning to specifications.</w:t>
      </w:r>
      <w:r>
        <w:rPr>
          <w:sz w:val="22"/>
          <w:szCs w:val="22"/>
        </w:rPr>
        <w:t xml:space="preserve"> In addition, consumers who have not been fitted with a device will now be </w:t>
      </w:r>
      <w:r w:rsidRPr="0063691A">
        <w:rPr>
          <w:sz w:val="22"/>
          <w:szCs w:val="22"/>
        </w:rPr>
        <w:t>entitled to an annual review to enable their hearing to be monitored over time and improve their access to hearing services.</w:t>
      </w:r>
      <w:r>
        <w:rPr>
          <w:sz w:val="22"/>
          <w:szCs w:val="22"/>
        </w:rPr>
        <w:t xml:space="preserve"> </w:t>
      </w:r>
    </w:p>
    <w:p w14:paraId="5E082083"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Pr>
          <w:sz w:val="22"/>
          <w:szCs w:val="22"/>
        </w:rPr>
        <w:t xml:space="preserve">Some consumers may find it convenient to have a new device every five rather than three years.  </w:t>
      </w:r>
    </w:p>
    <w:p w14:paraId="78D431E7"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 xml:space="preserve">Consumers may be affected by providers’ operational decisions </w:t>
      </w:r>
      <w:r>
        <w:rPr>
          <w:sz w:val="22"/>
          <w:szCs w:val="22"/>
        </w:rPr>
        <w:t xml:space="preserve">regarding </w:t>
      </w:r>
      <w:r w:rsidRPr="00E13FE5">
        <w:rPr>
          <w:sz w:val="22"/>
          <w:szCs w:val="22"/>
        </w:rPr>
        <w:t xml:space="preserve">the number of </w:t>
      </w:r>
      <w:r>
        <w:rPr>
          <w:sz w:val="22"/>
          <w:szCs w:val="22"/>
        </w:rPr>
        <w:t xml:space="preserve">clinic </w:t>
      </w:r>
      <w:r w:rsidRPr="00E13FE5">
        <w:rPr>
          <w:sz w:val="22"/>
          <w:szCs w:val="22"/>
        </w:rPr>
        <w:t>sites and types of service delivery channels</w:t>
      </w:r>
      <w:r>
        <w:rPr>
          <w:sz w:val="22"/>
          <w:szCs w:val="22"/>
        </w:rPr>
        <w:t xml:space="preserve"> they continue to operate</w:t>
      </w:r>
      <w:r w:rsidRPr="00E13FE5">
        <w:rPr>
          <w:sz w:val="22"/>
          <w:szCs w:val="22"/>
        </w:rPr>
        <w:t>.</w:t>
      </w:r>
    </w:p>
    <w:p w14:paraId="7F8B75D5" w14:textId="77777777" w:rsidR="005878E0" w:rsidRPr="00175225" w:rsidRDefault="005878E0" w:rsidP="00175225">
      <w:pPr>
        <w:pStyle w:val="Heading3"/>
      </w:pPr>
      <w:bookmarkStart w:id="22" w:name="_Toc57901091"/>
      <w:r w:rsidRPr="00322671">
        <w:t>Providers</w:t>
      </w:r>
      <w:bookmarkEnd w:id="22"/>
    </w:p>
    <w:p w14:paraId="24346398" w14:textId="77777777" w:rsidR="005878E0" w:rsidRPr="00FB32DB" w:rsidRDefault="005878E0" w:rsidP="007B203D">
      <w:pPr>
        <w:pStyle w:val="ListParagraph"/>
        <w:numPr>
          <w:ilvl w:val="0"/>
          <w:numId w:val="2"/>
        </w:numPr>
        <w:spacing w:before="60" w:after="60" w:line="240" w:lineRule="auto"/>
        <w:ind w:left="714" w:hanging="357"/>
        <w:contextualSpacing w:val="0"/>
        <w:rPr>
          <w:sz w:val="22"/>
          <w:szCs w:val="22"/>
        </w:rPr>
      </w:pPr>
      <w:r w:rsidRPr="00FB32DB">
        <w:rPr>
          <w:sz w:val="22"/>
          <w:szCs w:val="22"/>
        </w:rPr>
        <w:t xml:space="preserve">This is a combination of manufacturers directly owning providers, and </w:t>
      </w:r>
      <w:r>
        <w:rPr>
          <w:sz w:val="22"/>
          <w:szCs w:val="22"/>
        </w:rPr>
        <w:t xml:space="preserve">independent </w:t>
      </w:r>
      <w:r w:rsidRPr="00FB32DB">
        <w:rPr>
          <w:sz w:val="22"/>
          <w:szCs w:val="22"/>
        </w:rPr>
        <w:t>providers</w:t>
      </w:r>
      <w:r>
        <w:rPr>
          <w:sz w:val="22"/>
          <w:szCs w:val="22"/>
        </w:rPr>
        <w:t>, including those who</w:t>
      </w:r>
      <w:r w:rsidRPr="00FB32DB">
        <w:rPr>
          <w:sz w:val="22"/>
          <w:szCs w:val="22"/>
        </w:rPr>
        <w:t xml:space="preserve"> hav</w:t>
      </w:r>
      <w:r>
        <w:rPr>
          <w:sz w:val="22"/>
          <w:szCs w:val="22"/>
        </w:rPr>
        <w:t>e</w:t>
      </w:r>
      <w:r w:rsidRPr="00FB32DB">
        <w:rPr>
          <w:sz w:val="22"/>
          <w:szCs w:val="22"/>
        </w:rPr>
        <w:t xml:space="preserve"> preferred manufacturers for the devices that they fit to consumers based on commercial agreements. The latter includes where negotiated device pricing </w:t>
      </w:r>
      <w:r>
        <w:rPr>
          <w:sz w:val="22"/>
          <w:szCs w:val="22"/>
        </w:rPr>
        <w:t xml:space="preserve">provides an incentive to fit </w:t>
      </w:r>
      <w:r w:rsidRPr="00FB32DB">
        <w:rPr>
          <w:sz w:val="22"/>
          <w:szCs w:val="22"/>
        </w:rPr>
        <w:t>one manufacturer</w:t>
      </w:r>
      <w:r>
        <w:rPr>
          <w:sz w:val="22"/>
          <w:szCs w:val="22"/>
        </w:rPr>
        <w:t>’s devices</w:t>
      </w:r>
      <w:r w:rsidRPr="00FB32DB">
        <w:rPr>
          <w:sz w:val="22"/>
          <w:szCs w:val="22"/>
        </w:rPr>
        <w:t xml:space="preserve"> over and above others.</w:t>
      </w:r>
    </w:p>
    <w:p w14:paraId="08DD7166"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Pr>
          <w:sz w:val="22"/>
          <w:szCs w:val="22"/>
        </w:rPr>
        <w:t>Voucher Scheme</w:t>
      </w:r>
      <w:r w:rsidRPr="00E13FE5">
        <w:rPr>
          <w:sz w:val="22"/>
          <w:szCs w:val="22"/>
        </w:rPr>
        <w:t xml:space="preserve"> revenue is expected to decrease by </w:t>
      </w:r>
      <w:r>
        <w:rPr>
          <w:sz w:val="22"/>
          <w:szCs w:val="22"/>
        </w:rPr>
        <w:t>about 19</w:t>
      </w:r>
      <w:r w:rsidRPr="00E13FE5">
        <w:rPr>
          <w:sz w:val="22"/>
          <w:szCs w:val="22"/>
        </w:rPr>
        <w:t xml:space="preserve"> percent in FY2021-22, 18 percent in FY2022-23, and </w:t>
      </w:r>
      <w:r>
        <w:rPr>
          <w:sz w:val="22"/>
          <w:szCs w:val="22"/>
        </w:rPr>
        <w:t>10</w:t>
      </w:r>
      <w:r w:rsidRPr="00E13FE5">
        <w:rPr>
          <w:sz w:val="22"/>
          <w:szCs w:val="22"/>
        </w:rPr>
        <w:t xml:space="preserve"> percent in FY2023-24. This is predominantly the result of (a) </w:t>
      </w:r>
      <w:r>
        <w:rPr>
          <w:sz w:val="22"/>
          <w:szCs w:val="22"/>
        </w:rPr>
        <w:t xml:space="preserve">a </w:t>
      </w:r>
      <w:r w:rsidRPr="00E13FE5">
        <w:rPr>
          <w:sz w:val="22"/>
          <w:szCs w:val="22"/>
        </w:rPr>
        <w:t>reduction in unnecessary refitting services caused by the extension of the Voucher duration, and (b) new restrictions on maintenance payments.</w:t>
      </w:r>
    </w:p>
    <w:p w14:paraId="32540BDB"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 xml:space="preserve">Some providers may mitigate this </w:t>
      </w:r>
      <w:r>
        <w:rPr>
          <w:sz w:val="22"/>
          <w:szCs w:val="22"/>
        </w:rPr>
        <w:t>decrease</w:t>
      </w:r>
      <w:r w:rsidRPr="00E13FE5">
        <w:rPr>
          <w:sz w:val="22"/>
          <w:szCs w:val="22"/>
        </w:rPr>
        <w:t xml:space="preserve"> in</w:t>
      </w:r>
      <w:r w:rsidDel="000C0F29">
        <w:rPr>
          <w:sz w:val="22"/>
          <w:szCs w:val="22"/>
        </w:rPr>
        <w:t xml:space="preserve"> </w:t>
      </w:r>
      <w:r w:rsidRPr="00E13FE5">
        <w:rPr>
          <w:sz w:val="22"/>
          <w:szCs w:val="22"/>
        </w:rPr>
        <w:t>revenue by increasing their marketing and target</w:t>
      </w:r>
      <w:r>
        <w:rPr>
          <w:sz w:val="22"/>
          <w:szCs w:val="22"/>
        </w:rPr>
        <w:t>ing of</w:t>
      </w:r>
      <w:r w:rsidRPr="00E13FE5">
        <w:rPr>
          <w:sz w:val="22"/>
          <w:szCs w:val="22"/>
        </w:rPr>
        <w:t xml:space="preserve"> Australians with hearing loss who do not currently engage with the Program.</w:t>
      </w:r>
    </w:p>
    <w:p w14:paraId="5D579411"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 xml:space="preserve">Some providers may </w:t>
      </w:r>
      <w:r>
        <w:rPr>
          <w:sz w:val="22"/>
          <w:szCs w:val="22"/>
        </w:rPr>
        <w:t>aim to</w:t>
      </w:r>
      <w:r w:rsidRPr="00E13FE5">
        <w:rPr>
          <w:sz w:val="22"/>
          <w:szCs w:val="22"/>
        </w:rPr>
        <w:t xml:space="preserve"> sell more partially subsidised hearing devices to consumers in the Voucher Scheme, or increase the price of partially subsidised devices, to compensate for the decrease in revenue. </w:t>
      </w:r>
    </w:p>
    <w:p w14:paraId="03D84345" w14:textId="77777777" w:rsidR="005878E0"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Some providers that have a business model based on early refitting of devices and are currently marginally economically viable</w:t>
      </w:r>
      <w:r>
        <w:rPr>
          <w:sz w:val="22"/>
          <w:szCs w:val="22"/>
        </w:rPr>
        <w:t>,</w:t>
      </w:r>
      <w:r w:rsidRPr="00E13FE5">
        <w:rPr>
          <w:sz w:val="22"/>
          <w:szCs w:val="22"/>
        </w:rPr>
        <w:t xml:space="preserve"> may exit the market as a result of these changes. </w:t>
      </w:r>
    </w:p>
    <w:p w14:paraId="6D8D8F4D" w14:textId="6780BF6E" w:rsidR="00322671" w:rsidRPr="004303EC" w:rsidRDefault="005878E0" w:rsidP="004303EC">
      <w:pPr>
        <w:pStyle w:val="ListParagraph"/>
        <w:numPr>
          <w:ilvl w:val="0"/>
          <w:numId w:val="2"/>
        </w:numPr>
        <w:spacing w:before="60" w:after="60" w:line="240" w:lineRule="auto"/>
        <w:ind w:left="714" w:hanging="357"/>
        <w:contextualSpacing w:val="0"/>
        <w:rPr>
          <w:sz w:val="22"/>
          <w:szCs w:val="22"/>
        </w:rPr>
      </w:pPr>
      <w:r w:rsidRPr="00E13FE5">
        <w:rPr>
          <w:sz w:val="22"/>
          <w:szCs w:val="22"/>
        </w:rPr>
        <w:t>Others may elect to restrict services (e.g. close some sites) or otherwise alter their operations.</w:t>
      </w:r>
    </w:p>
    <w:p w14:paraId="093FE32C" w14:textId="5A1EE03E" w:rsidR="005878E0" w:rsidRPr="00175225" w:rsidRDefault="005878E0" w:rsidP="00175225">
      <w:pPr>
        <w:pStyle w:val="Heading3"/>
      </w:pPr>
      <w:bookmarkStart w:id="23" w:name="_Toc57901092"/>
      <w:r w:rsidRPr="00322671">
        <w:t>Manufacturers</w:t>
      </w:r>
      <w:bookmarkEnd w:id="23"/>
    </w:p>
    <w:p w14:paraId="72FAC202"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A decrease in unnecessary fittings in the first two years post-implementation of the changes will impact manufacturer revenue derived from the Australian market.</w:t>
      </w:r>
      <w:r>
        <w:rPr>
          <w:sz w:val="22"/>
          <w:szCs w:val="22"/>
        </w:rPr>
        <w:t xml:space="preserve"> There will also be ongoing impacts from the change to a five-year voucher, wherein re-fittings of devices between three and five years old will be further limited.</w:t>
      </w:r>
    </w:p>
    <w:p w14:paraId="18F1BB51"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 xml:space="preserve">Most manufacturers are large multinationals, with Australia representing only a small proportion of their sales. There is </w:t>
      </w:r>
      <w:r>
        <w:rPr>
          <w:sz w:val="22"/>
          <w:szCs w:val="22"/>
        </w:rPr>
        <w:t xml:space="preserve">only </w:t>
      </w:r>
      <w:r w:rsidRPr="00E13FE5">
        <w:rPr>
          <w:sz w:val="22"/>
          <w:szCs w:val="22"/>
        </w:rPr>
        <w:t>a small risk that some manufacturers may elect to exit the Australian market as a result of these changes.</w:t>
      </w:r>
    </w:p>
    <w:p w14:paraId="0CABDE2F" w14:textId="77777777" w:rsidR="005878E0" w:rsidRPr="00E13FE5"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There is a significant level of formal and informal integration between providers and manufacturers, and hence there are overlapping impacts as a result of this change.</w:t>
      </w:r>
    </w:p>
    <w:p w14:paraId="387756B0" w14:textId="77777777" w:rsidR="005878E0" w:rsidRPr="00175225" w:rsidRDefault="005878E0" w:rsidP="00175225">
      <w:pPr>
        <w:pStyle w:val="Heading3"/>
      </w:pPr>
      <w:bookmarkStart w:id="24" w:name="_Toc57901093"/>
      <w:r w:rsidRPr="00322671">
        <w:t>Practitioners</w:t>
      </w:r>
      <w:bookmarkEnd w:id="24"/>
    </w:p>
    <w:p w14:paraId="55457ED2" w14:textId="77777777" w:rsidR="005878E0" w:rsidRDefault="005878E0" w:rsidP="007B203D">
      <w:pPr>
        <w:pStyle w:val="ListParagraph"/>
        <w:numPr>
          <w:ilvl w:val="0"/>
          <w:numId w:val="2"/>
        </w:numPr>
        <w:spacing w:before="60" w:after="60" w:line="240" w:lineRule="auto"/>
        <w:ind w:left="714" w:hanging="357"/>
        <w:contextualSpacing w:val="0"/>
        <w:rPr>
          <w:sz w:val="22"/>
          <w:szCs w:val="22"/>
        </w:rPr>
      </w:pPr>
      <w:r w:rsidRPr="00E13FE5">
        <w:rPr>
          <w:sz w:val="22"/>
          <w:szCs w:val="22"/>
        </w:rPr>
        <w:t xml:space="preserve">As practitioners (audiologists and </w:t>
      </w:r>
      <w:proofErr w:type="spellStart"/>
      <w:r w:rsidRPr="00E13FE5">
        <w:rPr>
          <w:sz w:val="22"/>
          <w:szCs w:val="22"/>
        </w:rPr>
        <w:t>audiometrists</w:t>
      </w:r>
      <w:proofErr w:type="spellEnd"/>
      <w:r w:rsidRPr="00E13FE5">
        <w:rPr>
          <w:sz w:val="22"/>
          <w:szCs w:val="22"/>
        </w:rPr>
        <w:t>) are either owners or employees of service providers, they are exposed to the impacts on providers.</w:t>
      </w:r>
    </w:p>
    <w:p w14:paraId="661F12CE" w14:textId="1022D7C4" w:rsidR="005878E0" w:rsidRDefault="005878E0" w:rsidP="007B203D">
      <w:pPr>
        <w:pStyle w:val="ListParagraph"/>
        <w:numPr>
          <w:ilvl w:val="0"/>
          <w:numId w:val="2"/>
        </w:numPr>
        <w:spacing w:before="60" w:after="60" w:line="240" w:lineRule="auto"/>
        <w:ind w:left="714" w:hanging="357"/>
        <w:contextualSpacing w:val="0"/>
        <w:rPr>
          <w:sz w:val="22"/>
          <w:szCs w:val="22"/>
        </w:rPr>
      </w:pPr>
      <w:r w:rsidRPr="00A36636">
        <w:rPr>
          <w:sz w:val="22"/>
          <w:szCs w:val="22"/>
        </w:rPr>
        <w:t xml:space="preserve">Further </w:t>
      </w:r>
      <w:r>
        <w:rPr>
          <w:sz w:val="22"/>
          <w:szCs w:val="22"/>
        </w:rPr>
        <w:t>i</w:t>
      </w:r>
      <w:r w:rsidRPr="00A36636">
        <w:rPr>
          <w:sz w:val="22"/>
          <w:szCs w:val="22"/>
        </w:rPr>
        <w:t xml:space="preserve">nformation about these stakeholder groups can </w:t>
      </w:r>
      <w:r w:rsidRPr="005878E0">
        <w:rPr>
          <w:sz w:val="22"/>
          <w:szCs w:val="22"/>
        </w:rPr>
        <w:t xml:space="preserve">be found in </w:t>
      </w:r>
      <w:r w:rsidRPr="005878E0">
        <w:rPr>
          <w:sz w:val="22"/>
          <w:szCs w:val="22"/>
        </w:rPr>
        <w:fldChar w:fldCharType="begin"/>
      </w:r>
      <w:r w:rsidRPr="005878E0">
        <w:rPr>
          <w:sz w:val="22"/>
          <w:szCs w:val="22"/>
        </w:rPr>
        <w:instrText xml:space="preserve"> REF _Ref57362867 \h </w:instrText>
      </w:r>
      <w:r>
        <w:rPr>
          <w:sz w:val="22"/>
          <w:szCs w:val="22"/>
        </w:rPr>
        <w:instrText xml:space="preserve"> \* MERGEFORMAT </w:instrText>
      </w:r>
      <w:r w:rsidRPr="005878E0">
        <w:rPr>
          <w:sz w:val="22"/>
          <w:szCs w:val="22"/>
        </w:rPr>
      </w:r>
      <w:r w:rsidRPr="005878E0">
        <w:rPr>
          <w:sz w:val="22"/>
          <w:szCs w:val="22"/>
        </w:rPr>
        <w:fldChar w:fldCharType="separate"/>
      </w:r>
      <w:r w:rsidR="00DD11FB" w:rsidRPr="00DD11FB">
        <w:rPr>
          <w:sz w:val="22"/>
          <w:szCs w:val="22"/>
        </w:rPr>
        <w:t xml:space="preserve">Appendix </w:t>
      </w:r>
      <w:proofErr w:type="gramStart"/>
      <w:r w:rsidR="00DD11FB" w:rsidRPr="00DD11FB">
        <w:rPr>
          <w:sz w:val="22"/>
          <w:szCs w:val="22"/>
        </w:rPr>
        <w:t>A</w:t>
      </w:r>
      <w:proofErr w:type="gramEnd"/>
      <w:r w:rsidR="00DD11FB" w:rsidRPr="00DD11FB">
        <w:rPr>
          <w:sz w:val="22"/>
          <w:szCs w:val="22"/>
        </w:rPr>
        <w:t xml:space="preserve"> – Stakeholders</w:t>
      </w:r>
      <w:r w:rsidRPr="005878E0">
        <w:rPr>
          <w:sz w:val="22"/>
          <w:szCs w:val="22"/>
        </w:rPr>
        <w:fldChar w:fldCharType="end"/>
      </w:r>
      <w:r w:rsidRPr="00A36636">
        <w:rPr>
          <w:sz w:val="22"/>
          <w:szCs w:val="22"/>
        </w:rPr>
        <w:t>.</w:t>
      </w:r>
    </w:p>
    <w:p w14:paraId="512164D7" w14:textId="41963763" w:rsidR="00322671" w:rsidRDefault="00322671">
      <w:pPr>
        <w:rPr>
          <w:rFonts w:asciiTheme="majorHAnsi" w:eastAsiaTheme="majorEastAsia" w:hAnsiTheme="majorHAnsi" w:cstheme="majorBidi"/>
          <w:color w:val="2E74B5" w:themeColor="accent1" w:themeShade="BF"/>
          <w:sz w:val="28"/>
          <w:szCs w:val="28"/>
        </w:rPr>
      </w:pPr>
      <w:r>
        <w:rPr>
          <w:sz w:val="28"/>
          <w:szCs w:val="28"/>
        </w:rPr>
        <w:br w:type="page"/>
      </w:r>
    </w:p>
    <w:p w14:paraId="09267D8D" w14:textId="77777777" w:rsidR="005878E0" w:rsidRPr="001A4F89" w:rsidRDefault="005878E0" w:rsidP="0001438A">
      <w:pPr>
        <w:pStyle w:val="Heading1"/>
      </w:pPr>
      <w:bookmarkStart w:id="25" w:name="_Toc57901094"/>
      <w:r w:rsidRPr="001A4F89">
        <w:t>Implementation issues</w:t>
      </w:r>
      <w:bookmarkEnd w:id="25"/>
    </w:p>
    <w:p w14:paraId="24AB3DDA" w14:textId="77777777" w:rsidR="005878E0" w:rsidRPr="001A4F89" w:rsidRDefault="005878E0" w:rsidP="0001438A">
      <w:pPr>
        <w:pStyle w:val="Heading2"/>
      </w:pPr>
      <w:bookmarkStart w:id="26" w:name="_Toc57901095"/>
      <w:r w:rsidRPr="001A4F89">
        <w:t>Rural and remote consumers</w:t>
      </w:r>
      <w:bookmarkEnd w:id="26"/>
    </w:p>
    <w:p w14:paraId="58708D70" w14:textId="77777777" w:rsidR="005878E0" w:rsidRPr="0047639B" w:rsidRDefault="005878E0" w:rsidP="005878E0">
      <w:pPr>
        <w:spacing w:before="120" w:after="120" w:line="240" w:lineRule="auto"/>
        <w:rPr>
          <w:sz w:val="22"/>
          <w:szCs w:val="22"/>
        </w:rPr>
      </w:pPr>
      <w:r w:rsidRPr="0047639B">
        <w:rPr>
          <w:sz w:val="22"/>
          <w:szCs w:val="22"/>
        </w:rPr>
        <w:t>The Panel is particularly concerned about the potential impact of these budget announcements on consumers living in rural and remote areas of Australia. As this measure will affect provider revenue, those geographic areas that may be of borderline economic viability may be particularly vulnerable to the Program changes.</w:t>
      </w:r>
    </w:p>
    <w:p w14:paraId="70EEF932" w14:textId="2298C393" w:rsidR="005878E0" w:rsidRPr="00E13FE5" w:rsidRDefault="005878E0" w:rsidP="005878E0">
      <w:pPr>
        <w:spacing w:before="120" w:after="120" w:line="240" w:lineRule="auto"/>
        <w:rPr>
          <w:sz w:val="22"/>
          <w:szCs w:val="22"/>
        </w:rPr>
      </w:pPr>
      <w:r w:rsidRPr="00E13FE5">
        <w:rPr>
          <w:sz w:val="22"/>
          <w:szCs w:val="22"/>
        </w:rPr>
        <w:t xml:space="preserve">There is an estimated population of more than </w:t>
      </w:r>
      <w:r>
        <w:rPr>
          <w:sz w:val="22"/>
          <w:szCs w:val="22"/>
        </w:rPr>
        <w:t>five</w:t>
      </w:r>
      <w:r w:rsidRPr="00E13FE5">
        <w:rPr>
          <w:sz w:val="22"/>
          <w:szCs w:val="22"/>
        </w:rPr>
        <w:t xml:space="preserve"> million Australians living in rural and remote areas</w:t>
      </w:r>
      <w:r>
        <w:rPr>
          <w:sz w:val="22"/>
          <w:szCs w:val="22"/>
        </w:rPr>
        <w:t xml:space="preserve"> (Modified Monash Model regions 3-7)</w:t>
      </w:r>
      <w:r w:rsidRPr="00E13FE5">
        <w:rPr>
          <w:sz w:val="22"/>
          <w:szCs w:val="22"/>
        </w:rPr>
        <w:t>. Based on age demographics</w:t>
      </w:r>
      <w:r>
        <w:rPr>
          <w:sz w:val="22"/>
          <w:szCs w:val="22"/>
        </w:rPr>
        <w:t xml:space="preserve"> and modelled incidence of hearing loss</w:t>
      </w:r>
      <w:r w:rsidRPr="00E13FE5">
        <w:rPr>
          <w:sz w:val="22"/>
          <w:szCs w:val="22"/>
        </w:rPr>
        <w:t xml:space="preserve">, </w:t>
      </w:r>
      <w:r>
        <w:rPr>
          <w:sz w:val="22"/>
          <w:szCs w:val="22"/>
        </w:rPr>
        <w:t>an estimated</w:t>
      </w:r>
      <w:r w:rsidRPr="00E13FE5">
        <w:rPr>
          <w:sz w:val="22"/>
          <w:szCs w:val="22"/>
        </w:rPr>
        <w:t xml:space="preserve"> </w:t>
      </w:r>
      <w:r>
        <w:rPr>
          <w:sz w:val="22"/>
          <w:szCs w:val="22"/>
        </w:rPr>
        <w:t>17.6</w:t>
      </w:r>
      <w:r w:rsidRPr="00E13FE5">
        <w:rPr>
          <w:sz w:val="22"/>
          <w:szCs w:val="22"/>
        </w:rPr>
        <w:t xml:space="preserve"> per</w:t>
      </w:r>
      <w:r>
        <w:rPr>
          <w:sz w:val="22"/>
          <w:szCs w:val="22"/>
        </w:rPr>
        <w:t> </w:t>
      </w:r>
      <w:r w:rsidRPr="00E13FE5">
        <w:rPr>
          <w:sz w:val="22"/>
          <w:szCs w:val="22"/>
        </w:rPr>
        <w:t>cent of this population (</w:t>
      </w:r>
      <w:r>
        <w:rPr>
          <w:sz w:val="22"/>
          <w:szCs w:val="22"/>
        </w:rPr>
        <w:t>0.96</w:t>
      </w:r>
      <w:r w:rsidRPr="00E13FE5">
        <w:rPr>
          <w:sz w:val="22"/>
          <w:szCs w:val="22"/>
        </w:rPr>
        <w:t xml:space="preserve"> million</w:t>
      </w:r>
      <w:r>
        <w:rPr>
          <w:sz w:val="22"/>
          <w:szCs w:val="22"/>
        </w:rPr>
        <w:t xml:space="preserve"> people</w:t>
      </w:r>
      <w:r w:rsidRPr="00E13FE5">
        <w:rPr>
          <w:sz w:val="22"/>
          <w:szCs w:val="22"/>
        </w:rPr>
        <w:t xml:space="preserve">) experience levels of </w:t>
      </w:r>
      <w:r>
        <w:rPr>
          <w:sz w:val="22"/>
          <w:szCs w:val="22"/>
        </w:rPr>
        <w:t xml:space="preserve">age-related hearing </w:t>
      </w:r>
      <w:r w:rsidRPr="00E13FE5">
        <w:rPr>
          <w:sz w:val="22"/>
          <w:szCs w:val="22"/>
        </w:rPr>
        <w:t>loss (</w:t>
      </w:r>
      <w:r w:rsidR="00106927">
        <w:rPr>
          <w:sz w:val="22"/>
          <w:szCs w:val="22"/>
        </w:rPr>
        <w:fldChar w:fldCharType="begin"/>
      </w:r>
      <w:r w:rsidR="00106927">
        <w:rPr>
          <w:sz w:val="22"/>
          <w:szCs w:val="22"/>
        </w:rPr>
        <w:instrText xml:space="preserve"> REF _Ref57376033 \h </w:instrText>
      </w:r>
      <w:r w:rsidR="00106927">
        <w:rPr>
          <w:sz w:val="22"/>
          <w:szCs w:val="22"/>
        </w:rPr>
      </w:r>
      <w:r w:rsidR="00106927">
        <w:rPr>
          <w:sz w:val="22"/>
          <w:szCs w:val="22"/>
        </w:rPr>
        <w:fldChar w:fldCharType="separate"/>
      </w:r>
      <w:r w:rsidR="00DD11FB" w:rsidRPr="00E13FE5">
        <w:rPr>
          <w:sz w:val="22"/>
          <w:szCs w:val="22"/>
        </w:rPr>
        <w:t xml:space="preserve">Table </w:t>
      </w:r>
      <w:r w:rsidR="00DD11FB">
        <w:rPr>
          <w:noProof/>
          <w:sz w:val="22"/>
          <w:szCs w:val="22"/>
        </w:rPr>
        <w:t>1</w:t>
      </w:r>
      <w:r w:rsidR="00106927">
        <w:rPr>
          <w:sz w:val="22"/>
          <w:szCs w:val="22"/>
        </w:rPr>
        <w:fldChar w:fldCharType="end"/>
      </w:r>
      <w:r w:rsidRPr="00E13FE5">
        <w:rPr>
          <w:sz w:val="22"/>
          <w:szCs w:val="22"/>
        </w:rPr>
        <w:t>).</w:t>
      </w:r>
      <w:r w:rsidRPr="00E13FE5" w:rsidDel="00776573">
        <w:rPr>
          <w:sz w:val="22"/>
          <w:szCs w:val="22"/>
        </w:rPr>
        <w:t xml:space="preserve"> </w:t>
      </w:r>
    </w:p>
    <w:p w14:paraId="1ADAE881" w14:textId="392D7D67" w:rsidR="005878E0" w:rsidRPr="00E13FE5" w:rsidRDefault="005878E0" w:rsidP="005878E0">
      <w:pPr>
        <w:pStyle w:val="Caption"/>
        <w:keepNext/>
        <w:spacing w:before="120" w:after="120"/>
        <w:rPr>
          <w:sz w:val="22"/>
          <w:szCs w:val="22"/>
        </w:rPr>
      </w:pPr>
      <w:bookmarkStart w:id="27" w:name="_Ref57376033"/>
      <w:bookmarkStart w:id="28" w:name="_Toc57387627"/>
      <w:r w:rsidRPr="00E13FE5">
        <w:rPr>
          <w:sz w:val="22"/>
          <w:szCs w:val="22"/>
        </w:rPr>
        <w:t xml:space="preserve">Table </w:t>
      </w:r>
      <w:r w:rsidRPr="00E13FE5">
        <w:rPr>
          <w:sz w:val="22"/>
          <w:szCs w:val="22"/>
        </w:rPr>
        <w:fldChar w:fldCharType="begin"/>
      </w:r>
      <w:r w:rsidRPr="00E13FE5">
        <w:rPr>
          <w:sz w:val="22"/>
          <w:szCs w:val="22"/>
        </w:rPr>
        <w:instrText xml:space="preserve"> SEQ Table \* ARABIC </w:instrText>
      </w:r>
      <w:r w:rsidRPr="00E13FE5">
        <w:rPr>
          <w:sz w:val="22"/>
          <w:szCs w:val="22"/>
        </w:rPr>
        <w:fldChar w:fldCharType="separate"/>
      </w:r>
      <w:r w:rsidR="00DD11FB">
        <w:rPr>
          <w:noProof/>
          <w:sz w:val="22"/>
          <w:szCs w:val="22"/>
        </w:rPr>
        <w:t>1</w:t>
      </w:r>
      <w:r w:rsidRPr="00E13FE5">
        <w:rPr>
          <w:sz w:val="22"/>
          <w:szCs w:val="22"/>
        </w:rPr>
        <w:fldChar w:fldCharType="end"/>
      </w:r>
      <w:bookmarkEnd w:id="27"/>
      <w:r w:rsidRPr="00E13FE5">
        <w:rPr>
          <w:sz w:val="22"/>
          <w:szCs w:val="22"/>
        </w:rPr>
        <w:t>: Estimated Australian population by Modified Mo</w:t>
      </w:r>
      <w:r>
        <w:rPr>
          <w:sz w:val="22"/>
          <w:szCs w:val="22"/>
        </w:rPr>
        <w:t>nash Model (MM) classification. Variances in the prevalence values are due to the age distribution of the population in those areas.</w:t>
      </w:r>
      <w:bookmarkEnd w:id="28"/>
      <w:r w:rsidDel="002B3539">
        <w:rPr>
          <w:sz w:val="22"/>
          <w:szCs w:val="22"/>
        </w:rPr>
        <w:t xml:space="preserve"> </w:t>
      </w:r>
    </w:p>
    <w:tbl>
      <w:tblPr>
        <w:tblStyle w:val="TableGrid"/>
        <w:tblW w:w="0" w:type="auto"/>
        <w:tblLook w:val="04A0" w:firstRow="1" w:lastRow="0" w:firstColumn="1" w:lastColumn="0" w:noHBand="0" w:noVBand="1"/>
        <w:tblCaption w:val="Table 1"/>
        <w:tblDescription w:val="This table provides a list of the estimated Australian population by Modified Monash Model classification. "/>
      </w:tblPr>
      <w:tblGrid>
        <w:gridCol w:w="2263"/>
        <w:gridCol w:w="2127"/>
        <w:gridCol w:w="2409"/>
        <w:gridCol w:w="2217"/>
      </w:tblGrid>
      <w:tr w:rsidR="005878E0" w:rsidRPr="00256F40" w14:paraId="62D2DBD7" w14:textId="77777777" w:rsidTr="004303EC">
        <w:trPr>
          <w:cantSplit/>
          <w:tblHeader/>
        </w:trPr>
        <w:tc>
          <w:tcPr>
            <w:tcW w:w="2263" w:type="dxa"/>
            <w:shd w:val="clear" w:color="auto" w:fill="ED7D31" w:themeFill="accent2"/>
            <w:vAlign w:val="center"/>
          </w:tcPr>
          <w:p w14:paraId="5B1661B9" w14:textId="77777777" w:rsidR="005878E0" w:rsidRPr="00256F40" w:rsidRDefault="005878E0" w:rsidP="00603828">
            <w:pPr>
              <w:jc w:val="center"/>
              <w:rPr>
                <w:b/>
                <w:color w:val="FFFFFF" w:themeColor="background1"/>
                <w:sz w:val="22"/>
                <w:szCs w:val="22"/>
              </w:rPr>
            </w:pPr>
            <w:r w:rsidRPr="00256F40">
              <w:rPr>
                <w:b/>
                <w:color w:val="FFFFFF" w:themeColor="background1"/>
                <w:sz w:val="22"/>
                <w:szCs w:val="22"/>
              </w:rPr>
              <w:t>Region</w:t>
            </w:r>
          </w:p>
        </w:tc>
        <w:tc>
          <w:tcPr>
            <w:tcW w:w="2127" w:type="dxa"/>
            <w:shd w:val="clear" w:color="auto" w:fill="ED7D31" w:themeFill="accent2"/>
            <w:vAlign w:val="center"/>
          </w:tcPr>
          <w:p w14:paraId="04AFCD47" w14:textId="77777777" w:rsidR="005878E0" w:rsidRDefault="005878E0" w:rsidP="00603828">
            <w:pPr>
              <w:jc w:val="center"/>
              <w:rPr>
                <w:b/>
                <w:color w:val="FFFFFF" w:themeColor="background1"/>
                <w:sz w:val="22"/>
                <w:szCs w:val="22"/>
              </w:rPr>
            </w:pPr>
            <w:r w:rsidRPr="00256F40">
              <w:rPr>
                <w:b/>
                <w:color w:val="FFFFFF" w:themeColor="background1"/>
                <w:sz w:val="22"/>
                <w:szCs w:val="22"/>
              </w:rPr>
              <w:t>Estimated resident population</w:t>
            </w:r>
            <w:r>
              <w:rPr>
                <w:b/>
                <w:color w:val="FFFFFF" w:themeColor="background1"/>
                <w:sz w:val="22"/>
                <w:szCs w:val="22"/>
              </w:rPr>
              <w:t xml:space="preserve"> </w:t>
            </w:r>
          </w:p>
          <w:p w14:paraId="6762D2D0" w14:textId="77777777" w:rsidR="005878E0" w:rsidRPr="00256F40" w:rsidRDefault="005878E0" w:rsidP="00603828">
            <w:pPr>
              <w:jc w:val="center"/>
              <w:rPr>
                <w:b/>
                <w:color w:val="FFFFFF" w:themeColor="background1"/>
                <w:sz w:val="22"/>
                <w:szCs w:val="22"/>
              </w:rPr>
            </w:pPr>
            <w:r>
              <w:rPr>
                <w:b/>
                <w:color w:val="FFFFFF" w:themeColor="background1"/>
                <w:sz w:val="22"/>
                <w:szCs w:val="22"/>
              </w:rPr>
              <w:t>(Jun-2019)</w:t>
            </w:r>
          </w:p>
        </w:tc>
        <w:tc>
          <w:tcPr>
            <w:tcW w:w="2409" w:type="dxa"/>
            <w:shd w:val="clear" w:color="auto" w:fill="ED7D31" w:themeFill="accent2"/>
            <w:vAlign w:val="center"/>
          </w:tcPr>
          <w:p w14:paraId="553E7457" w14:textId="77777777" w:rsidR="005878E0" w:rsidRPr="00256F40" w:rsidRDefault="005878E0" w:rsidP="00603828">
            <w:pPr>
              <w:jc w:val="center"/>
              <w:rPr>
                <w:b/>
                <w:color w:val="FFFFFF" w:themeColor="background1"/>
                <w:sz w:val="22"/>
                <w:szCs w:val="22"/>
              </w:rPr>
            </w:pPr>
            <w:r w:rsidRPr="00256F40">
              <w:rPr>
                <w:b/>
                <w:color w:val="FFFFFF" w:themeColor="background1"/>
                <w:sz w:val="22"/>
                <w:szCs w:val="22"/>
              </w:rPr>
              <w:t xml:space="preserve">Estimated population with </w:t>
            </w:r>
            <w:r>
              <w:rPr>
                <w:b/>
                <w:color w:val="FFFFFF" w:themeColor="background1"/>
                <w:sz w:val="22"/>
                <w:szCs w:val="22"/>
              </w:rPr>
              <w:t xml:space="preserve">age-related </w:t>
            </w:r>
            <w:r w:rsidRPr="00256F40">
              <w:rPr>
                <w:b/>
                <w:color w:val="FFFFFF" w:themeColor="background1"/>
                <w:sz w:val="22"/>
                <w:szCs w:val="22"/>
              </w:rPr>
              <w:t>hearing loss</w:t>
            </w:r>
          </w:p>
        </w:tc>
        <w:tc>
          <w:tcPr>
            <w:tcW w:w="2217" w:type="dxa"/>
            <w:shd w:val="clear" w:color="auto" w:fill="ED7D31" w:themeFill="accent2"/>
            <w:vAlign w:val="center"/>
          </w:tcPr>
          <w:p w14:paraId="58021455" w14:textId="77777777" w:rsidR="005878E0" w:rsidRPr="00256F40" w:rsidRDefault="005878E0" w:rsidP="00603828">
            <w:pPr>
              <w:jc w:val="center"/>
              <w:rPr>
                <w:b/>
                <w:color w:val="FFFFFF" w:themeColor="background1"/>
                <w:sz w:val="22"/>
                <w:szCs w:val="22"/>
              </w:rPr>
            </w:pPr>
            <w:r w:rsidRPr="00256F40">
              <w:rPr>
                <w:b/>
                <w:color w:val="FFFFFF" w:themeColor="background1"/>
                <w:sz w:val="22"/>
                <w:szCs w:val="22"/>
              </w:rPr>
              <w:t xml:space="preserve">Estimated prevalence of </w:t>
            </w:r>
            <w:r>
              <w:rPr>
                <w:b/>
                <w:color w:val="FFFFFF" w:themeColor="background1"/>
                <w:sz w:val="22"/>
                <w:szCs w:val="22"/>
              </w:rPr>
              <w:t xml:space="preserve">age-related </w:t>
            </w:r>
            <w:r w:rsidRPr="00256F40">
              <w:rPr>
                <w:b/>
                <w:color w:val="FFFFFF" w:themeColor="background1"/>
                <w:sz w:val="22"/>
                <w:szCs w:val="22"/>
              </w:rPr>
              <w:t>hearing loss</w:t>
            </w:r>
          </w:p>
        </w:tc>
      </w:tr>
      <w:tr w:rsidR="005878E0" w:rsidRPr="00256F40" w14:paraId="523D7CF2" w14:textId="77777777" w:rsidTr="004303EC">
        <w:trPr>
          <w:cantSplit/>
        </w:trPr>
        <w:tc>
          <w:tcPr>
            <w:tcW w:w="2263" w:type="dxa"/>
            <w:vAlign w:val="center"/>
          </w:tcPr>
          <w:p w14:paraId="4E48B493" w14:textId="77777777" w:rsidR="005878E0" w:rsidRPr="00256F40" w:rsidRDefault="005878E0" w:rsidP="00603828">
            <w:pPr>
              <w:rPr>
                <w:sz w:val="22"/>
                <w:szCs w:val="22"/>
              </w:rPr>
            </w:pPr>
            <w:r w:rsidRPr="00256F40">
              <w:rPr>
                <w:sz w:val="22"/>
                <w:szCs w:val="22"/>
              </w:rPr>
              <w:t>Whole-of-Australia</w:t>
            </w:r>
          </w:p>
        </w:tc>
        <w:tc>
          <w:tcPr>
            <w:tcW w:w="2127" w:type="dxa"/>
            <w:vAlign w:val="center"/>
          </w:tcPr>
          <w:p w14:paraId="564453B4" w14:textId="77777777" w:rsidR="005878E0" w:rsidRPr="00256F40" w:rsidRDefault="005878E0" w:rsidP="00603828">
            <w:pPr>
              <w:jc w:val="center"/>
              <w:rPr>
                <w:sz w:val="22"/>
                <w:szCs w:val="22"/>
              </w:rPr>
            </w:pPr>
            <w:r w:rsidRPr="00256F40">
              <w:rPr>
                <w:sz w:val="22"/>
                <w:szCs w:val="22"/>
              </w:rPr>
              <w:t>25,360,928</w:t>
            </w:r>
          </w:p>
        </w:tc>
        <w:tc>
          <w:tcPr>
            <w:tcW w:w="2409" w:type="dxa"/>
            <w:vAlign w:val="center"/>
          </w:tcPr>
          <w:p w14:paraId="164BF43D" w14:textId="77777777" w:rsidR="005878E0" w:rsidRPr="00256F40" w:rsidRDefault="005878E0" w:rsidP="00603828">
            <w:pPr>
              <w:jc w:val="center"/>
              <w:rPr>
                <w:sz w:val="22"/>
                <w:szCs w:val="22"/>
              </w:rPr>
            </w:pPr>
            <w:r w:rsidRPr="00256F40">
              <w:rPr>
                <w:sz w:val="22"/>
                <w:szCs w:val="22"/>
              </w:rPr>
              <w:t>3,718,203</w:t>
            </w:r>
          </w:p>
        </w:tc>
        <w:tc>
          <w:tcPr>
            <w:tcW w:w="2217" w:type="dxa"/>
            <w:vAlign w:val="center"/>
          </w:tcPr>
          <w:p w14:paraId="7AE58573" w14:textId="77777777" w:rsidR="005878E0" w:rsidRPr="00256F40" w:rsidRDefault="005878E0" w:rsidP="00603828">
            <w:pPr>
              <w:jc w:val="center"/>
              <w:rPr>
                <w:sz w:val="22"/>
                <w:szCs w:val="22"/>
              </w:rPr>
            </w:pPr>
            <w:r w:rsidRPr="00256F40">
              <w:rPr>
                <w:sz w:val="22"/>
                <w:szCs w:val="22"/>
              </w:rPr>
              <w:t>14.66%</w:t>
            </w:r>
          </w:p>
        </w:tc>
      </w:tr>
      <w:tr w:rsidR="005878E0" w:rsidRPr="00256F40" w14:paraId="429EB6C4" w14:textId="77777777" w:rsidTr="004303EC">
        <w:trPr>
          <w:cantSplit/>
        </w:trPr>
        <w:tc>
          <w:tcPr>
            <w:tcW w:w="2263" w:type="dxa"/>
            <w:vAlign w:val="center"/>
          </w:tcPr>
          <w:p w14:paraId="1BEF269C" w14:textId="77777777" w:rsidR="005878E0" w:rsidRPr="00256F40" w:rsidRDefault="005878E0" w:rsidP="00603828">
            <w:pPr>
              <w:rPr>
                <w:sz w:val="22"/>
                <w:szCs w:val="22"/>
              </w:rPr>
            </w:pPr>
            <w:r w:rsidRPr="00256F40">
              <w:rPr>
                <w:sz w:val="22"/>
                <w:szCs w:val="22"/>
              </w:rPr>
              <w:t>MM 1</w:t>
            </w:r>
          </w:p>
        </w:tc>
        <w:tc>
          <w:tcPr>
            <w:tcW w:w="2127" w:type="dxa"/>
            <w:vAlign w:val="center"/>
          </w:tcPr>
          <w:p w14:paraId="40A8E838" w14:textId="77777777" w:rsidR="005878E0" w:rsidRPr="00256F40" w:rsidRDefault="005878E0" w:rsidP="00603828">
            <w:pPr>
              <w:jc w:val="center"/>
              <w:rPr>
                <w:sz w:val="22"/>
                <w:szCs w:val="22"/>
              </w:rPr>
            </w:pPr>
            <w:r w:rsidRPr="00256F40">
              <w:rPr>
                <w:sz w:val="22"/>
                <w:szCs w:val="22"/>
              </w:rPr>
              <w:t>17,199,809</w:t>
            </w:r>
          </w:p>
        </w:tc>
        <w:tc>
          <w:tcPr>
            <w:tcW w:w="2409" w:type="dxa"/>
            <w:vAlign w:val="center"/>
          </w:tcPr>
          <w:p w14:paraId="2AE17301" w14:textId="77777777" w:rsidR="005878E0" w:rsidRPr="00256F40" w:rsidRDefault="005878E0" w:rsidP="00603828">
            <w:pPr>
              <w:jc w:val="center"/>
              <w:rPr>
                <w:sz w:val="22"/>
                <w:szCs w:val="22"/>
              </w:rPr>
            </w:pPr>
            <w:r w:rsidRPr="00256F40">
              <w:rPr>
                <w:sz w:val="22"/>
                <w:szCs w:val="22"/>
              </w:rPr>
              <w:t>2,362,090</w:t>
            </w:r>
          </w:p>
        </w:tc>
        <w:tc>
          <w:tcPr>
            <w:tcW w:w="2217" w:type="dxa"/>
            <w:vAlign w:val="center"/>
          </w:tcPr>
          <w:p w14:paraId="2605ABDB" w14:textId="77777777" w:rsidR="005878E0" w:rsidRPr="00256F40" w:rsidRDefault="005878E0" w:rsidP="00603828">
            <w:pPr>
              <w:jc w:val="center"/>
              <w:rPr>
                <w:sz w:val="22"/>
                <w:szCs w:val="22"/>
              </w:rPr>
            </w:pPr>
            <w:r w:rsidRPr="00256F40">
              <w:rPr>
                <w:sz w:val="22"/>
                <w:szCs w:val="22"/>
              </w:rPr>
              <w:t>13.73%</w:t>
            </w:r>
          </w:p>
        </w:tc>
      </w:tr>
      <w:tr w:rsidR="005878E0" w:rsidRPr="00256F40" w14:paraId="05ABC407" w14:textId="77777777" w:rsidTr="004303EC">
        <w:trPr>
          <w:cantSplit/>
        </w:trPr>
        <w:tc>
          <w:tcPr>
            <w:tcW w:w="2263" w:type="dxa"/>
            <w:vAlign w:val="center"/>
          </w:tcPr>
          <w:p w14:paraId="5DD65E9C" w14:textId="77777777" w:rsidR="005878E0" w:rsidRPr="00256F40" w:rsidRDefault="005878E0" w:rsidP="00603828">
            <w:pPr>
              <w:rPr>
                <w:sz w:val="22"/>
                <w:szCs w:val="22"/>
              </w:rPr>
            </w:pPr>
            <w:r w:rsidRPr="00256F40">
              <w:rPr>
                <w:sz w:val="22"/>
                <w:szCs w:val="22"/>
              </w:rPr>
              <w:t>MM 2</w:t>
            </w:r>
          </w:p>
        </w:tc>
        <w:tc>
          <w:tcPr>
            <w:tcW w:w="2127" w:type="dxa"/>
            <w:vAlign w:val="center"/>
          </w:tcPr>
          <w:p w14:paraId="03F8659C" w14:textId="77777777" w:rsidR="005878E0" w:rsidRPr="00256F40" w:rsidRDefault="005878E0" w:rsidP="00603828">
            <w:pPr>
              <w:jc w:val="center"/>
              <w:rPr>
                <w:sz w:val="22"/>
                <w:szCs w:val="22"/>
              </w:rPr>
            </w:pPr>
            <w:r w:rsidRPr="00256F40">
              <w:rPr>
                <w:sz w:val="22"/>
                <w:szCs w:val="22"/>
              </w:rPr>
              <w:t>2,690,594</w:t>
            </w:r>
          </w:p>
        </w:tc>
        <w:tc>
          <w:tcPr>
            <w:tcW w:w="2409" w:type="dxa"/>
            <w:vAlign w:val="center"/>
          </w:tcPr>
          <w:p w14:paraId="6B5ECA77" w14:textId="77777777" w:rsidR="005878E0" w:rsidRPr="00256F40" w:rsidRDefault="005878E0" w:rsidP="00603828">
            <w:pPr>
              <w:jc w:val="center"/>
              <w:rPr>
                <w:sz w:val="22"/>
                <w:szCs w:val="22"/>
              </w:rPr>
            </w:pPr>
            <w:r w:rsidRPr="00256F40">
              <w:rPr>
                <w:sz w:val="22"/>
                <w:szCs w:val="22"/>
              </w:rPr>
              <w:t>392,958</w:t>
            </w:r>
          </w:p>
        </w:tc>
        <w:tc>
          <w:tcPr>
            <w:tcW w:w="2217" w:type="dxa"/>
            <w:vAlign w:val="center"/>
          </w:tcPr>
          <w:p w14:paraId="2E8A2B4C" w14:textId="77777777" w:rsidR="005878E0" w:rsidRPr="00256F40" w:rsidRDefault="005878E0" w:rsidP="00603828">
            <w:pPr>
              <w:jc w:val="center"/>
              <w:rPr>
                <w:sz w:val="22"/>
                <w:szCs w:val="22"/>
              </w:rPr>
            </w:pPr>
            <w:r w:rsidRPr="00256F40">
              <w:rPr>
                <w:sz w:val="22"/>
                <w:szCs w:val="22"/>
              </w:rPr>
              <w:t>14.60%</w:t>
            </w:r>
          </w:p>
        </w:tc>
      </w:tr>
      <w:tr w:rsidR="005878E0" w:rsidRPr="00256F40" w14:paraId="2A520BB6" w14:textId="77777777" w:rsidTr="004303EC">
        <w:trPr>
          <w:cantSplit/>
        </w:trPr>
        <w:tc>
          <w:tcPr>
            <w:tcW w:w="2263" w:type="dxa"/>
            <w:vAlign w:val="center"/>
          </w:tcPr>
          <w:p w14:paraId="298BE39C" w14:textId="77777777" w:rsidR="005878E0" w:rsidRPr="00256F40" w:rsidRDefault="005878E0" w:rsidP="00603828">
            <w:pPr>
              <w:rPr>
                <w:sz w:val="22"/>
                <w:szCs w:val="22"/>
              </w:rPr>
            </w:pPr>
            <w:r w:rsidRPr="00256F40">
              <w:rPr>
                <w:sz w:val="22"/>
                <w:szCs w:val="22"/>
              </w:rPr>
              <w:t xml:space="preserve">Rural and Remote (MM </w:t>
            </w:r>
            <w:r>
              <w:rPr>
                <w:sz w:val="22"/>
                <w:szCs w:val="22"/>
              </w:rPr>
              <w:t>3</w:t>
            </w:r>
            <w:r w:rsidRPr="00256F40">
              <w:rPr>
                <w:sz w:val="22"/>
                <w:szCs w:val="22"/>
              </w:rPr>
              <w:t>-7 inclusive)</w:t>
            </w:r>
          </w:p>
        </w:tc>
        <w:tc>
          <w:tcPr>
            <w:tcW w:w="2127" w:type="dxa"/>
            <w:vAlign w:val="center"/>
          </w:tcPr>
          <w:p w14:paraId="76A7B1CF" w14:textId="77777777" w:rsidR="005878E0" w:rsidRPr="00256F40" w:rsidRDefault="005878E0" w:rsidP="00603828">
            <w:pPr>
              <w:jc w:val="center"/>
              <w:rPr>
                <w:sz w:val="22"/>
                <w:szCs w:val="22"/>
              </w:rPr>
            </w:pPr>
            <w:r>
              <w:rPr>
                <w:sz w:val="22"/>
                <w:szCs w:val="22"/>
              </w:rPr>
              <w:t>5,470,525</w:t>
            </w:r>
          </w:p>
        </w:tc>
        <w:tc>
          <w:tcPr>
            <w:tcW w:w="2409" w:type="dxa"/>
            <w:vAlign w:val="center"/>
          </w:tcPr>
          <w:p w14:paraId="1A5D3FBF" w14:textId="77777777" w:rsidR="005878E0" w:rsidRPr="00256F40" w:rsidRDefault="005878E0" w:rsidP="00603828">
            <w:pPr>
              <w:jc w:val="center"/>
              <w:rPr>
                <w:sz w:val="22"/>
                <w:szCs w:val="22"/>
              </w:rPr>
            </w:pPr>
            <w:r>
              <w:rPr>
                <w:sz w:val="22"/>
                <w:szCs w:val="22"/>
              </w:rPr>
              <w:t>963,155</w:t>
            </w:r>
          </w:p>
        </w:tc>
        <w:tc>
          <w:tcPr>
            <w:tcW w:w="2217" w:type="dxa"/>
            <w:vAlign w:val="center"/>
          </w:tcPr>
          <w:p w14:paraId="06634B72" w14:textId="77777777" w:rsidR="005878E0" w:rsidRPr="00256F40" w:rsidRDefault="005878E0" w:rsidP="00603828">
            <w:pPr>
              <w:jc w:val="center"/>
              <w:rPr>
                <w:sz w:val="22"/>
                <w:szCs w:val="22"/>
              </w:rPr>
            </w:pPr>
            <w:r>
              <w:rPr>
                <w:sz w:val="22"/>
                <w:szCs w:val="22"/>
              </w:rPr>
              <w:t>17.61%</w:t>
            </w:r>
          </w:p>
        </w:tc>
      </w:tr>
      <w:tr w:rsidR="005878E0" w:rsidRPr="00256F40" w14:paraId="7672E72E" w14:textId="77777777" w:rsidTr="004303EC">
        <w:trPr>
          <w:cantSplit/>
        </w:trPr>
        <w:tc>
          <w:tcPr>
            <w:tcW w:w="2263" w:type="dxa"/>
            <w:vAlign w:val="center"/>
          </w:tcPr>
          <w:p w14:paraId="289820E8" w14:textId="77777777" w:rsidR="005878E0" w:rsidRPr="00256F40" w:rsidRDefault="005878E0" w:rsidP="00603828">
            <w:pPr>
              <w:rPr>
                <w:sz w:val="22"/>
                <w:szCs w:val="22"/>
              </w:rPr>
            </w:pPr>
            <w:r w:rsidRPr="00256F40">
              <w:rPr>
                <w:sz w:val="22"/>
                <w:szCs w:val="22"/>
              </w:rPr>
              <w:t>MM 3</w:t>
            </w:r>
          </w:p>
        </w:tc>
        <w:tc>
          <w:tcPr>
            <w:tcW w:w="2127" w:type="dxa"/>
            <w:vAlign w:val="center"/>
          </w:tcPr>
          <w:p w14:paraId="6F332B50" w14:textId="77777777" w:rsidR="005878E0" w:rsidRPr="00256F40" w:rsidRDefault="005878E0" w:rsidP="00603828">
            <w:pPr>
              <w:jc w:val="center"/>
              <w:rPr>
                <w:sz w:val="22"/>
                <w:szCs w:val="22"/>
              </w:rPr>
            </w:pPr>
            <w:r w:rsidRPr="00256F40">
              <w:rPr>
                <w:sz w:val="22"/>
                <w:szCs w:val="22"/>
              </w:rPr>
              <w:t>1,317,415</w:t>
            </w:r>
          </w:p>
        </w:tc>
        <w:tc>
          <w:tcPr>
            <w:tcW w:w="2409" w:type="dxa"/>
            <w:vAlign w:val="center"/>
          </w:tcPr>
          <w:p w14:paraId="19117D66" w14:textId="77777777" w:rsidR="005878E0" w:rsidRPr="00256F40" w:rsidRDefault="005878E0" w:rsidP="00603828">
            <w:pPr>
              <w:jc w:val="center"/>
              <w:rPr>
                <w:sz w:val="22"/>
                <w:szCs w:val="22"/>
              </w:rPr>
            </w:pPr>
            <w:r w:rsidRPr="00256F40">
              <w:rPr>
                <w:sz w:val="22"/>
                <w:szCs w:val="22"/>
              </w:rPr>
              <w:t>228,896</w:t>
            </w:r>
          </w:p>
        </w:tc>
        <w:tc>
          <w:tcPr>
            <w:tcW w:w="2217" w:type="dxa"/>
            <w:vAlign w:val="center"/>
          </w:tcPr>
          <w:p w14:paraId="4F0463BB" w14:textId="77777777" w:rsidR="005878E0" w:rsidRPr="00256F40" w:rsidRDefault="005878E0" w:rsidP="00603828">
            <w:pPr>
              <w:jc w:val="center"/>
              <w:rPr>
                <w:sz w:val="22"/>
                <w:szCs w:val="22"/>
              </w:rPr>
            </w:pPr>
            <w:r w:rsidRPr="00256F40">
              <w:rPr>
                <w:sz w:val="22"/>
                <w:szCs w:val="22"/>
              </w:rPr>
              <w:t>17.37%</w:t>
            </w:r>
          </w:p>
        </w:tc>
      </w:tr>
      <w:tr w:rsidR="005878E0" w:rsidRPr="00256F40" w14:paraId="0EC1BF1A" w14:textId="77777777" w:rsidTr="004303EC">
        <w:trPr>
          <w:cantSplit/>
        </w:trPr>
        <w:tc>
          <w:tcPr>
            <w:tcW w:w="2263" w:type="dxa"/>
            <w:vAlign w:val="center"/>
          </w:tcPr>
          <w:p w14:paraId="311BBF48" w14:textId="77777777" w:rsidR="005878E0" w:rsidRPr="00256F40" w:rsidRDefault="005878E0" w:rsidP="00603828">
            <w:pPr>
              <w:rPr>
                <w:sz w:val="22"/>
                <w:szCs w:val="22"/>
              </w:rPr>
            </w:pPr>
            <w:r w:rsidRPr="00256F40">
              <w:rPr>
                <w:sz w:val="22"/>
                <w:szCs w:val="22"/>
              </w:rPr>
              <w:t>MM 4</w:t>
            </w:r>
          </w:p>
        </w:tc>
        <w:tc>
          <w:tcPr>
            <w:tcW w:w="2127" w:type="dxa"/>
            <w:vAlign w:val="center"/>
          </w:tcPr>
          <w:p w14:paraId="1085F278" w14:textId="77777777" w:rsidR="005878E0" w:rsidRPr="00256F40" w:rsidRDefault="005878E0" w:rsidP="00603828">
            <w:pPr>
              <w:jc w:val="center"/>
              <w:rPr>
                <w:sz w:val="22"/>
                <w:szCs w:val="22"/>
              </w:rPr>
            </w:pPr>
            <w:r w:rsidRPr="00256F40">
              <w:rPr>
                <w:sz w:val="22"/>
                <w:szCs w:val="22"/>
              </w:rPr>
              <w:t>647,121</w:t>
            </w:r>
          </w:p>
        </w:tc>
        <w:tc>
          <w:tcPr>
            <w:tcW w:w="2409" w:type="dxa"/>
            <w:vAlign w:val="center"/>
          </w:tcPr>
          <w:p w14:paraId="7DB399BE" w14:textId="77777777" w:rsidR="005878E0" w:rsidRPr="00256F40" w:rsidRDefault="005878E0" w:rsidP="00603828">
            <w:pPr>
              <w:jc w:val="center"/>
              <w:rPr>
                <w:sz w:val="22"/>
                <w:szCs w:val="22"/>
              </w:rPr>
            </w:pPr>
            <w:r w:rsidRPr="00256F40">
              <w:rPr>
                <w:sz w:val="22"/>
                <w:szCs w:val="22"/>
              </w:rPr>
              <w:t>120,580</w:t>
            </w:r>
          </w:p>
        </w:tc>
        <w:tc>
          <w:tcPr>
            <w:tcW w:w="2217" w:type="dxa"/>
            <w:vAlign w:val="center"/>
          </w:tcPr>
          <w:p w14:paraId="6E1DF80B" w14:textId="77777777" w:rsidR="005878E0" w:rsidRPr="00256F40" w:rsidRDefault="005878E0" w:rsidP="00603828">
            <w:pPr>
              <w:jc w:val="center"/>
              <w:rPr>
                <w:sz w:val="22"/>
                <w:szCs w:val="22"/>
              </w:rPr>
            </w:pPr>
            <w:r w:rsidRPr="00256F40">
              <w:rPr>
                <w:sz w:val="22"/>
                <w:szCs w:val="22"/>
              </w:rPr>
              <w:t>18.63%</w:t>
            </w:r>
          </w:p>
        </w:tc>
      </w:tr>
      <w:tr w:rsidR="005878E0" w:rsidRPr="00256F40" w14:paraId="737C7877" w14:textId="77777777" w:rsidTr="004303EC">
        <w:trPr>
          <w:cantSplit/>
        </w:trPr>
        <w:tc>
          <w:tcPr>
            <w:tcW w:w="2263" w:type="dxa"/>
            <w:vAlign w:val="center"/>
          </w:tcPr>
          <w:p w14:paraId="39CCFAB9" w14:textId="77777777" w:rsidR="005878E0" w:rsidRPr="00256F40" w:rsidRDefault="005878E0" w:rsidP="00603828">
            <w:pPr>
              <w:rPr>
                <w:sz w:val="22"/>
                <w:szCs w:val="22"/>
              </w:rPr>
            </w:pPr>
            <w:r w:rsidRPr="00256F40">
              <w:rPr>
                <w:sz w:val="22"/>
                <w:szCs w:val="22"/>
              </w:rPr>
              <w:t>MM 5</w:t>
            </w:r>
          </w:p>
        </w:tc>
        <w:tc>
          <w:tcPr>
            <w:tcW w:w="2127" w:type="dxa"/>
            <w:vAlign w:val="center"/>
          </w:tcPr>
          <w:p w14:paraId="07BB607B" w14:textId="77777777" w:rsidR="005878E0" w:rsidRPr="00256F40" w:rsidRDefault="005878E0" w:rsidP="00603828">
            <w:pPr>
              <w:jc w:val="center"/>
              <w:rPr>
                <w:sz w:val="22"/>
                <w:szCs w:val="22"/>
              </w:rPr>
            </w:pPr>
            <w:r w:rsidRPr="00256F40">
              <w:rPr>
                <w:sz w:val="22"/>
                <w:szCs w:val="22"/>
              </w:rPr>
              <w:t>2,656,180</w:t>
            </w:r>
          </w:p>
        </w:tc>
        <w:tc>
          <w:tcPr>
            <w:tcW w:w="2409" w:type="dxa"/>
            <w:vAlign w:val="center"/>
          </w:tcPr>
          <w:p w14:paraId="3A70F6EC" w14:textId="77777777" w:rsidR="005878E0" w:rsidRPr="00256F40" w:rsidRDefault="005878E0" w:rsidP="00603828">
            <w:pPr>
              <w:jc w:val="center"/>
              <w:rPr>
                <w:sz w:val="22"/>
                <w:szCs w:val="22"/>
              </w:rPr>
            </w:pPr>
            <w:r w:rsidRPr="00256F40">
              <w:rPr>
                <w:sz w:val="22"/>
                <w:szCs w:val="22"/>
              </w:rPr>
              <w:t>486,434</w:t>
            </w:r>
          </w:p>
        </w:tc>
        <w:tc>
          <w:tcPr>
            <w:tcW w:w="2217" w:type="dxa"/>
            <w:vAlign w:val="center"/>
          </w:tcPr>
          <w:p w14:paraId="1ABD83F8" w14:textId="77777777" w:rsidR="005878E0" w:rsidRPr="00256F40" w:rsidRDefault="005878E0" w:rsidP="00603828">
            <w:pPr>
              <w:jc w:val="center"/>
              <w:rPr>
                <w:sz w:val="22"/>
                <w:szCs w:val="22"/>
              </w:rPr>
            </w:pPr>
            <w:r w:rsidRPr="00256F40">
              <w:rPr>
                <w:sz w:val="22"/>
                <w:szCs w:val="22"/>
              </w:rPr>
              <w:t>18.31%</w:t>
            </w:r>
          </w:p>
        </w:tc>
      </w:tr>
      <w:tr w:rsidR="005878E0" w:rsidRPr="00256F40" w14:paraId="35C94FB6" w14:textId="77777777" w:rsidTr="004303EC">
        <w:trPr>
          <w:cantSplit/>
        </w:trPr>
        <w:tc>
          <w:tcPr>
            <w:tcW w:w="2263" w:type="dxa"/>
            <w:vAlign w:val="center"/>
          </w:tcPr>
          <w:p w14:paraId="09264FFD" w14:textId="77777777" w:rsidR="005878E0" w:rsidRPr="00256F40" w:rsidRDefault="005878E0" w:rsidP="00603828">
            <w:pPr>
              <w:rPr>
                <w:sz w:val="22"/>
                <w:szCs w:val="22"/>
              </w:rPr>
            </w:pPr>
            <w:r w:rsidRPr="00256F40">
              <w:rPr>
                <w:sz w:val="22"/>
                <w:szCs w:val="22"/>
              </w:rPr>
              <w:t>MM 6</w:t>
            </w:r>
          </w:p>
        </w:tc>
        <w:tc>
          <w:tcPr>
            <w:tcW w:w="2127" w:type="dxa"/>
            <w:vAlign w:val="center"/>
          </w:tcPr>
          <w:p w14:paraId="1DD75FF9" w14:textId="77777777" w:rsidR="005878E0" w:rsidRPr="00256F40" w:rsidRDefault="005878E0" w:rsidP="00603828">
            <w:pPr>
              <w:jc w:val="center"/>
              <w:rPr>
                <w:sz w:val="22"/>
                <w:szCs w:val="22"/>
              </w:rPr>
            </w:pPr>
            <w:r w:rsidRPr="00256F40">
              <w:rPr>
                <w:sz w:val="22"/>
                <w:szCs w:val="22"/>
              </w:rPr>
              <w:t>456,066</w:t>
            </w:r>
          </w:p>
        </w:tc>
        <w:tc>
          <w:tcPr>
            <w:tcW w:w="2409" w:type="dxa"/>
            <w:vAlign w:val="center"/>
          </w:tcPr>
          <w:p w14:paraId="6A899CBC" w14:textId="77777777" w:rsidR="005878E0" w:rsidRPr="00256F40" w:rsidRDefault="005878E0" w:rsidP="00603828">
            <w:pPr>
              <w:jc w:val="center"/>
              <w:rPr>
                <w:sz w:val="22"/>
                <w:szCs w:val="22"/>
              </w:rPr>
            </w:pPr>
            <w:r w:rsidRPr="00256F40">
              <w:rPr>
                <w:sz w:val="22"/>
                <w:szCs w:val="22"/>
              </w:rPr>
              <w:t>75,264</w:t>
            </w:r>
          </w:p>
        </w:tc>
        <w:tc>
          <w:tcPr>
            <w:tcW w:w="2217" w:type="dxa"/>
            <w:vAlign w:val="center"/>
          </w:tcPr>
          <w:p w14:paraId="3C4ECADD" w14:textId="77777777" w:rsidR="005878E0" w:rsidRPr="00256F40" w:rsidRDefault="005878E0" w:rsidP="00603828">
            <w:pPr>
              <w:jc w:val="center"/>
              <w:rPr>
                <w:sz w:val="22"/>
                <w:szCs w:val="22"/>
              </w:rPr>
            </w:pPr>
            <w:r w:rsidRPr="00256F40">
              <w:rPr>
                <w:sz w:val="22"/>
                <w:szCs w:val="22"/>
              </w:rPr>
              <w:t>16.50%</w:t>
            </w:r>
          </w:p>
        </w:tc>
      </w:tr>
      <w:tr w:rsidR="005878E0" w:rsidRPr="00256F40" w14:paraId="192D90A3" w14:textId="77777777" w:rsidTr="004303EC">
        <w:trPr>
          <w:cantSplit/>
        </w:trPr>
        <w:tc>
          <w:tcPr>
            <w:tcW w:w="2263" w:type="dxa"/>
            <w:vAlign w:val="center"/>
          </w:tcPr>
          <w:p w14:paraId="0703C147" w14:textId="77777777" w:rsidR="005878E0" w:rsidRPr="00256F40" w:rsidRDefault="005878E0" w:rsidP="00603828">
            <w:pPr>
              <w:rPr>
                <w:sz w:val="22"/>
                <w:szCs w:val="22"/>
              </w:rPr>
            </w:pPr>
            <w:r w:rsidRPr="00256F40">
              <w:rPr>
                <w:sz w:val="22"/>
                <w:szCs w:val="22"/>
              </w:rPr>
              <w:t>MM 7</w:t>
            </w:r>
          </w:p>
        </w:tc>
        <w:tc>
          <w:tcPr>
            <w:tcW w:w="2127" w:type="dxa"/>
            <w:vAlign w:val="center"/>
          </w:tcPr>
          <w:p w14:paraId="361A7133" w14:textId="77777777" w:rsidR="005878E0" w:rsidRPr="00256F40" w:rsidRDefault="005878E0" w:rsidP="00603828">
            <w:pPr>
              <w:jc w:val="center"/>
              <w:rPr>
                <w:sz w:val="22"/>
                <w:szCs w:val="22"/>
              </w:rPr>
            </w:pPr>
            <w:r w:rsidRPr="00256F40">
              <w:rPr>
                <w:sz w:val="22"/>
                <w:szCs w:val="22"/>
              </w:rPr>
              <w:t>393,743</w:t>
            </w:r>
          </w:p>
        </w:tc>
        <w:tc>
          <w:tcPr>
            <w:tcW w:w="2409" w:type="dxa"/>
            <w:vAlign w:val="center"/>
          </w:tcPr>
          <w:p w14:paraId="2F75720B" w14:textId="77777777" w:rsidR="005878E0" w:rsidRPr="00256F40" w:rsidRDefault="005878E0" w:rsidP="00603828">
            <w:pPr>
              <w:jc w:val="center"/>
              <w:rPr>
                <w:sz w:val="22"/>
                <w:szCs w:val="22"/>
              </w:rPr>
            </w:pPr>
            <w:r w:rsidRPr="00256F40">
              <w:rPr>
                <w:sz w:val="22"/>
                <w:szCs w:val="22"/>
              </w:rPr>
              <w:t>51,981</w:t>
            </w:r>
          </w:p>
        </w:tc>
        <w:tc>
          <w:tcPr>
            <w:tcW w:w="2217" w:type="dxa"/>
            <w:vAlign w:val="center"/>
          </w:tcPr>
          <w:p w14:paraId="47A4D288" w14:textId="77777777" w:rsidR="005878E0" w:rsidRPr="00256F40" w:rsidRDefault="005878E0" w:rsidP="00603828">
            <w:pPr>
              <w:jc w:val="center"/>
              <w:rPr>
                <w:sz w:val="22"/>
                <w:szCs w:val="22"/>
              </w:rPr>
            </w:pPr>
            <w:r w:rsidRPr="00256F40">
              <w:rPr>
                <w:sz w:val="22"/>
                <w:szCs w:val="22"/>
              </w:rPr>
              <w:t>13.20%</w:t>
            </w:r>
          </w:p>
        </w:tc>
      </w:tr>
    </w:tbl>
    <w:p w14:paraId="4B2DADAB" w14:textId="3BD9A706" w:rsidR="004303EC" w:rsidRDefault="004303EC" w:rsidP="005878E0">
      <w:pPr>
        <w:spacing w:before="120" w:after="120" w:line="240" w:lineRule="auto"/>
        <w:rPr>
          <w:sz w:val="22"/>
          <w:szCs w:val="22"/>
        </w:rPr>
      </w:pPr>
      <w:r>
        <w:rPr>
          <w:sz w:val="22"/>
          <w:szCs w:val="22"/>
        </w:rPr>
        <w:t>A</w:t>
      </w:r>
      <w:r w:rsidR="005878E0" w:rsidRPr="00E13FE5">
        <w:rPr>
          <w:sz w:val="22"/>
          <w:szCs w:val="22"/>
        </w:rPr>
        <w:t xml:space="preserve"> </w:t>
      </w:r>
      <w:r w:rsidR="005878E0">
        <w:rPr>
          <w:sz w:val="22"/>
          <w:szCs w:val="22"/>
        </w:rPr>
        <w:t>total of 83,430</w:t>
      </w:r>
      <w:r w:rsidR="005878E0" w:rsidRPr="00E13FE5">
        <w:rPr>
          <w:sz w:val="22"/>
          <w:szCs w:val="22"/>
        </w:rPr>
        <w:t xml:space="preserve"> consumers in these areas received services through the CSO Scheme</w:t>
      </w:r>
      <w:r w:rsidR="005878E0">
        <w:rPr>
          <w:sz w:val="22"/>
          <w:szCs w:val="22"/>
        </w:rPr>
        <w:t xml:space="preserve"> in the last five years (Table 1), noting that this number includes those who are eligible for that scheme and may have received a service, such as a hearing assessment, but may not be experiencing hearing loss</w:t>
      </w:r>
      <w:r w:rsidR="005878E0">
        <w:rPr>
          <w:rStyle w:val="FootnoteReference"/>
          <w:sz w:val="22"/>
          <w:szCs w:val="22"/>
        </w:rPr>
        <w:footnoteReference w:id="3"/>
      </w:r>
      <w:r w:rsidR="005878E0" w:rsidRPr="00E13FE5">
        <w:rPr>
          <w:sz w:val="22"/>
          <w:szCs w:val="22"/>
        </w:rPr>
        <w:t xml:space="preserve">. </w:t>
      </w:r>
    </w:p>
    <w:p w14:paraId="54C18DB8" w14:textId="73F9B318" w:rsidR="005878E0" w:rsidRPr="00E13FE5" w:rsidRDefault="005878E0" w:rsidP="005878E0">
      <w:pPr>
        <w:spacing w:before="120" w:after="120" w:line="240" w:lineRule="auto"/>
        <w:rPr>
          <w:sz w:val="22"/>
          <w:szCs w:val="22"/>
        </w:rPr>
      </w:pPr>
      <w:r>
        <w:rPr>
          <w:sz w:val="22"/>
          <w:szCs w:val="22"/>
        </w:rPr>
        <w:t xml:space="preserve">Penetration of the Voucher Scheme is highest in MM 1-4, and tails off significantly in regions </w:t>
      </w:r>
      <w:r w:rsidR="00A34949">
        <w:rPr>
          <w:sz w:val="22"/>
          <w:szCs w:val="22"/>
        </w:rPr>
        <w:br/>
      </w:r>
      <w:r>
        <w:rPr>
          <w:sz w:val="22"/>
          <w:szCs w:val="22"/>
        </w:rPr>
        <w:t>MM 5-7 (</w:t>
      </w:r>
      <w:r w:rsidR="00106927">
        <w:rPr>
          <w:sz w:val="22"/>
          <w:szCs w:val="22"/>
        </w:rPr>
        <w:fldChar w:fldCharType="begin"/>
      </w:r>
      <w:r w:rsidR="00106927">
        <w:rPr>
          <w:sz w:val="22"/>
          <w:szCs w:val="22"/>
        </w:rPr>
        <w:instrText xml:space="preserve"> REF _Ref57376070 \h </w:instrText>
      </w:r>
      <w:r w:rsidR="00106927">
        <w:rPr>
          <w:sz w:val="22"/>
          <w:szCs w:val="22"/>
        </w:rPr>
      </w:r>
      <w:r w:rsidR="00106927">
        <w:rPr>
          <w:sz w:val="22"/>
          <w:szCs w:val="22"/>
        </w:rPr>
        <w:fldChar w:fldCharType="separate"/>
      </w:r>
      <w:r w:rsidR="00DD11FB" w:rsidRPr="00E13FE5">
        <w:rPr>
          <w:sz w:val="22"/>
          <w:szCs w:val="22"/>
        </w:rPr>
        <w:t xml:space="preserve">Table </w:t>
      </w:r>
      <w:r w:rsidR="00DD11FB">
        <w:rPr>
          <w:noProof/>
          <w:sz w:val="22"/>
          <w:szCs w:val="22"/>
        </w:rPr>
        <w:t>2</w:t>
      </w:r>
      <w:r w:rsidR="00106927">
        <w:rPr>
          <w:sz w:val="22"/>
          <w:szCs w:val="22"/>
        </w:rPr>
        <w:fldChar w:fldCharType="end"/>
      </w:r>
      <w:r>
        <w:rPr>
          <w:sz w:val="22"/>
          <w:szCs w:val="22"/>
        </w:rPr>
        <w:t>). While this pattern is not fully understood, it is believed to be influenced by increasing delivery of the CSO Scheme in more remote areas</w:t>
      </w:r>
      <w:r>
        <w:rPr>
          <w:rStyle w:val="FootnoteReference"/>
          <w:sz w:val="22"/>
          <w:szCs w:val="22"/>
        </w:rPr>
        <w:footnoteReference w:id="4"/>
      </w:r>
      <w:r>
        <w:rPr>
          <w:sz w:val="22"/>
          <w:szCs w:val="22"/>
        </w:rPr>
        <w:t>, increased geographic distances creating barriers to access, and smaller populations impacting provider viability. However, it is noted that these are hypotheses and evidentiary data is scarce.</w:t>
      </w:r>
    </w:p>
    <w:p w14:paraId="2066ACA7" w14:textId="02DB59BD" w:rsidR="005878E0" w:rsidRPr="00E13FE5" w:rsidRDefault="005878E0" w:rsidP="005878E0">
      <w:pPr>
        <w:pStyle w:val="Caption"/>
        <w:keepNext/>
        <w:spacing w:before="120" w:after="120"/>
        <w:rPr>
          <w:sz w:val="22"/>
          <w:szCs w:val="22"/>
        </w:rPr>
      </w:pPr>
      <w:bookmarkStart w:id="29" w:name="_Ref57376070"/>
      <w:bookmarkStart w:id="30" w:name="_Toc57387628"/>
      <w:r w:rsidRPr="00E13FE5">
        <w:rPr>
          <w:sz w:val="22"/>
          <w:szCs w:val="22"/>
        </w:rPr>
        <w:t xml:space="preserve">Table </w:t>
      </w:r>
      <w:r w:rsidRPr="00E13FE5">
        <w:rPr>
          <w:sz w:val="22"/>
          <w:szCs w:val="22"/>
        </w:rPr>
        <w:fldChar w:fldCharType="begin"/>
      </w:r>
      <w:r w:rsidRPr="00E13FE5">
        <w:rPr>
          <w:sz w:val="22"/>
          <w:szCs w:val="22"/>
        </w:rPr>
        <w:instrText xml:space="preserve"> SEQ Table \* ARABIC </w:instrText>
      </w:r>
      <w:r w:rsidRPr="00E13FE5">
        <w:rPr>
          <w:sz w:val="22"/>
          <w:szCs w:val="22"/>
        </w:rPr>
        <w:fldChar w:fldCharType="separate"/>
      </w:r>
      <w:r w:rsidR="00DD11FB">
        <w:rPr>
          <w:noProof/>
          <w:sz w:val="22"/>
          <w:szCs w:val="22"/>
        </w:rPr>
        <w:t>2</w:t>
      </w:r>
      <w:r w:rsidRPr="00E13FE5">
        <w:rPr>
          <w:sz w:val="22"/>
          <w:szCs w:val="22"/>
        </w:rPr>
        <w:fldChar w:fldCharType="end"/>
      </w:r>
      <w:bookmarkEnd w:id="29"/>
      <w:r w:rsidRPr="00E13FE5">
        <w:rPr>
          <w:sz w:val="22"/>
          <w:szCs w:val="22"/>
        </w:rPr>
        <w:t xml:space="preserve">: Voucher Scheme consumers in the </w:t>
      </w:r>
      <w:r>
        <w:rPr>
          <w:sz w:val="22"/>
          <w:szCs w:val="22"/>
        </w:rPr>
        <w:t>last five years (</w:t>
      </w:r>
      <w:r w:rsidRPr="00E13FE5">
        <w:rPr>
          <w:sz w:val="22"/>
          <w:szCs w:val="22"/>
        </w:rPr>
        <w:t>FY2015-16 to FY2019-20</w:t>
      </w:r>
      <w:r>
        <w:rPr>
          <w:sz w:val="22"/>
          <w:szCs w:val="22"/>
        </w:rPr>
        <w:t>)</w:t>
      </w:r>
      <w:r w:rsidRPr="00E13FE5">
        <w:rPr>
          <w:sz w:val="22"/>
          <w:szCs w:val="22"/>
        </w:rPr>
        <w:t>, by the Modified Monash Model region of consumers</w:t>
      </w:r>
      <w:r>
        <w:rPr>
          <w:rStyle w:val="FootnoteReference"/>
          <w:sz w:val="22"/>
          <w:szCs w:val="22"/>
        </w:rPr>
        <w:footnoteReference w:id="5"/>
      </w:r>
      <w:r w:rsidRPr="00E13FE5" w:rsidDel="00926498">
        <w:rPr>
          <w:sz w:val="22"/>
          <w:szCs w:val="22"/>
        </w:rPr>
        <w:t>.</w:t>
      </w:r>
      <w:bookmarkEnd w:id="30"/>
    </w:p>
    <w:tbl>
      <w:tblPr>
        <w:tblStyle w:val="TableGrid"/>
        <w:tblW w:w="9067" w:type="dxa"/>
        <w:tblLook w:val="04A0" w:firstRow="1" w:lastRow="0" w:firstColumn="1" w:lastColumn="0" w:noHBand="0" w:noVBand="1"/>
        <w:tblCaption w:val="Table 2"/>
        <w:tblDescription w:val="This table provides a list of Voucher Scheme consumers in the last five years (financial year 2015-16 to financial year 2019-20), by the Modified Monash Model region of consumers."/>
      </w:tblPr>
      <w:tblGrid>
        <w:gridCol w:w="2689"/>
        <w:gridCol w:w="1984"/>
        <w:gridCol w:w="4394"/>
      </w:tblGrid>
      <w:tr w:rsidR="005878E0" w:rsidRPr="00256F40" w14:paraId="3E9938E3" w14:textId="77777777" w:rsidTr="00603828">
        <w:trPr>
          <w:cantSplit/>
          <w:tblHeader/>
        </w:trPr>
        <w:tc>
          <w:tcPr>
            <w:tcW w:w="2689" w:type="dxa"/>
            <w:shd w:val="clear" w:color="auto" w:fill="ED7D31" w:themeFill="accent2"/>
            <w:vAlign w:val="center"/>
          </w:tcPr>
          <w:p w14:paraId="1DFA5039" w14:textId="77777777" w:rsidR="005878E0" w:rsidRPr="0047639B" w:rsidRDefault="005878E0" w:rsidP="00603828">
            <w:pPr>
              <w:jc w:val="center"/>
              <w:rPr>
                <w:b/>
                <w:color w:val="FFFFFF" w:themeColor="background1"/>
                <w:sz w:val="22"/>
                <w:szCs w:val="22"/>
              </w:rPr>
            </w:pPr>
            <w:r w:rsidRPr="0047639B">
              <w:rPr>
                <w:b/>
                <w:color w:val="FFFFFF" w:themeColor="background1"/>
                <w:sz w:val="22"/>
                <w:szCs w:val="22"/>
              </w:rPr>
              <w:t>Region</w:t>
            </w:r>
          </w:p>
        </w:tc>
        <w:tc>
          <w:tcPr>
            <w:tcW w:w="1984" w:type="dxa"/>
            <w:shd w:val="clear" w:color="auto" w:fill="ED7D31" w:themeFill="accent2"/>
            <w:vAlign w:val="center"/>
          </w:tcPr>
          <w:p w14:paraId="26E44E1C" w14:textId="77777777" w:rsidR="005878E0" w:rsidRPr="0047639B" w:rsidRDefault="005878E0" w:rsidP="00603828">
            <w:pPr>
              <w:jc w:val="center"/>
              <w:rPr>
                <w:b/>
                <w:color w:val="FFFFFF" w:themeColor="background1"/>
                <w:sz w:val="22"/>
                <w:szCs w:val="22"/>
              </w:rPr>
            </w:pPr>
            <w:r w:rsidRPr="0047639B">
              <w:rPr>
                <w:b/>
                <w:color w:val="FFFFFF" w:themeColor="background1"/>
                <w:sz w:val="22"/>
                <w:szCs w:val="22"/>
              </w:rPr>
              <w:t>Total consumers in Voucher Scheme</w:t>
            </w:r>
          </w:p>
        </w:tc>
        <w:tc>
          <w:tcPr>
            <w:tcW w:w="4394" w:type="dxa"/>
            <w:shd w:val="clear" w:color="auto" w:fill="ED7D31" w:themeFill="accent2"/>
            <w:vAlign w:val="center"/>
          </w:tcPr>
          <w:p w14:paraId="1F9552E1" w14:textId="77777777" w:rsidR="005878E0" w:rsidRPr="0047639B" w:rsidRDefault="005878E0" w:rsidP="00603828">
            <w:pPr>
              <w:jc w:val="center"/>
              <w:rPr>
                <w:b/>
                <w:color w:val="FFFFFF" w:themeColor="background1"/>
                <w:sz w:val="22"/>
                <w:szCs w:val="22"/>
              </w:rPr>
            </w:pPr>
            <w:r w:rsidRPr="0047639B">
              <w:rPr>
                <w:b/>
                <w:color w:val="FFFFFF" w:themeColor="background1"/>
                <w:sz w:val="22"/>
                <w:szCs w:val="22"/>
              </w:rPr>
              <w:t>Penetration of Voucher Scheme (percentage of estimated population with hearing loss)</w:t>
            </w:r>
          </w:p>
        </w:tc>
      </w:tr>
      <w:tr w:rsidR="005878E0" w:rsidRPr="00256F40" w14:paraId="0EFB1AC2" w14:textId="77777777" w:rsidTr="00603828">
        <w:trPr>
          <w:cantSplit/>
        </w:trPr>
        <w:tc>
          <w:tcPr>
            <w:tcW w:w="2689" w:type="dxa"/>
            <w:vAlign w:val="center"/>
          </w:tcPr>
          <w:p w14:paraId="17282A51" w14:textId="77777777" w:rsidR="005878E0" w:rsidRPr="00256F40" w:rsidRDefault="005878E0" w:rsidP="00603828">
            <w:pPr>
              <w:rPr>
                <w:sz w:val="22"/>
                <w:szCs w:val="22"/>
              </w:rPr>
            </w:pPr>
            <w:r w:rsidRPr="00256F40">
              <w:rPr>
                <w:sz w:val="22"/>
                <w:szCs w:val="22"/>
              </w:rPr>
              <w:t>Australia</w:t>
            </w:r>
            <w:r>
              <w:rPr>
                <w:sz w:val="22"/>
                <w:szCs w:val="22"/>
              </w:rPr>
              <w:t xml:space="preserve"> (all regions)</w:t>
            </w:r>
          </w:p>
        </w:tc>
        <w:tc>
          <w:tcPr>
            <w:tcW w:w="1984" w:type="dxa"/>
            <w:vAlign w:val="center"/>
          </w:tcPr>
          <w:p w14:paraId="7AEC34B2" w14:textId="77777777" w:rsidR="005878E0" w:rsidRPr="00256F40" w:rsidRDefault="005878E0" w:rsidP="00603828">
            <w:pPr>
              <w:jc w:val="center"/>
              <w:rPr>
                <w:sz w:val="22"/>
                <w:szCs w:val="22"/>
              </w:rPr>
            </w:pPr>
            <w:r w:rsidRPr="00256F40">
              <w:rPr>
                <w:sz w:val="22"/>
                <w:szCs w:val="22"/>
              </w:rPr>
              <w:t>1,706,302</w:t>
            </w:r>
          </w:p>
        </w:tc>
        <w:tc>
          <w:tcPr>
            <w:tcW w:w="4394" w:type="dxa"/>
            <w:vAlign w:val="center"/>
          </w:tcPr>
          <w:p w14:paraId="52AE979C" w14:textId="77777777" w:rsidR="005878E0" w:rsidRPr="00256F40" w:rsidRDefault="005878E0" w:rsidP="00603828">
            <w:pPr>
              <w:jc w:val="center"/>
              <w:rPr>
                <w:sz w:val="22"/>
                <w:szCs w:val="22"/>
              </w:rPr>
            </w:pPr>
            <w:r w:rsidRPr="00256F40">
              <w:rPr>
                <w:sz w:val="22"/>
                <w:szCs w:val="22"/>
              </w:rPr>
              <w:t>45.89%</w:t>
            </w:r>
          </w:p>
        </w:tc>
      </w:tr>
      <w:tr w:rsidR="005878E0" w:rsidRPr="00256F40" w14:paraId="6AD37779" w14:textId="77777777" w:rsidTr="00603828">
        <w:trPr>
          <w:cantSplit/>
        </w:trPr>
        <w:tc>
          <w:tcPr>
            <w:tcW w:w="2689" w:type="dxa"/>
            <w:vAlign w:val="center"/>
          </w:tcPr>
          <w:p w14:paraId="523E4B35" w14:textId="77777777" w:rsidR="005878E0" w:rsidRPr="00256F40" w:rsidRDefault="005878E0" w:rsidP="00603828">
            <w:pPr>
              <w:rPr>
                <w:sz w:val="22"/>
                <w:szCs w:val="22"/>
              </w:rPr>
            </w:pPr>
            <w:r w:rsidRPr="00256F40">
              <w:rPr>
                <w:sz w:val="22"/>
                <w:szCs w:val="22"/>
              </w:rPr>
              <w:t>MM 1</w:t>
            </w:r>
          </w:p>
        </w:tc>
        <w:tc>
          <w:tcPr>
            <w:tcW w:w="1984" w:type="dxa"/>
            <w:vAlign w:val="center"/>
          </w:tcPr>
          <w:p w14:paraId="3AD81C14" w14:textId="77777777" w:rsidR="005878E0" w:rsidRPr="00256F40" w:rsidRDefault="005878E0" w:rsidP="00603828">
            <w:pPr>
              <w:jc w:val="center"/>
              <w:rPr>
                <w:sz w:val="22"/>
                <w:szCs w:val="22"/>
              </w:rPr>
            </w:pPr>
            <w:r w:rsidRPr="00256F40">
              <w:rPr>
                <w:sz w:val="22"/>
                <w:szCs w:val="22"/>
              </w:rPr>
              <w:t>1,092,940</w:t>
            </w:r>
          </w:p>
        </w:tc>
        <w:tc>
          <w:tcPr>
            <w:tcW w:w="4394" w:type="dxa"/>
            <w:vAlign w:val="center"/>
          </w:tcPr>
          <w:p w14:paraId="0FB9ED5B" w14:textId="77777777" w:rsidR="005878E0" w:rsidRPr="00256F40" w:rsidRDefault="005878E0" w:rsidP="00603828">
            <w:pPr>
              <w:jc w:val="center"/>
              <w:rPr>
                <w:sz w:val="22"/>
                <w:szCs w:val="22"/>
              </w:rPr>
            </w:pPr>
            <w:r w:rsidRPr="00256F40">
              <w:rPr>
                <w:sz w:val="22"/>
                <w:szCs w:val="22"/>
              </w:rPr>
              <w:t>46.27%</w:t>
            </w:r>
          </w:p>
        </w:tc>
      </w:tr>
      <w:tr w:rsidR="005878E0" w:rsidRPr="00256F40" w14:paraId="350BA9A9" w14:textId="77777777" w:rsidTr="00603828">
        <w:trPr>
          <w:cantSplit/>
        </w:trPr>
        <w:tc>
          <w:tcPr>
            <w:tcW w:w="2689" w:type="dxa"/>
            <w:vAlign w:val="center"/>
          </w:tcPr>
          <w:p w14:paraId="4D9B5EBB" w14:textId="77777777" w:rsidR="005878E0" w:rsidRPr="00256F40" w:rsidRDefault="005878E0" w:rsidP="00603828">
            <w:pPr>
              <w:rPr>
                <w:sz w:val="22"/>
                <w:szCs w:val="22"/>
              </w:rPr>
            </w:pPr>
            <w:r w:rsidRPr="00256F40">
              <w:rPr>
                <w:sz w:val="22"/>
                <w:szCs w:val="22"/>
              </w:rPr>
              <w:t>MM 2</w:t>
            </w:r>
          </w:p>
        </w:tc>
        <w:tc>
          <w:tcPr>
            <w:tcW w:w="1984" w:type="dxa"/>
            <w:vAlign w:val="center"/>
          </w:tcPr>
          <w:p w14:paraId="5C8E1CD9" w14:textId="77777777" w:rsidR="005878E0" w:rsidRPr="00256F40" w:rsidRDefault="005878E0" w:rsidP="00603828">
            <w:pPr>
              <w:jc w:val="center"/>
              <w:rPr>
                <w:sz w:val="22"/>
                <w:szCs w:val="22"/>
              </w:rPr>
            </w:pPr>
            <w:r w:rsidRPr="00256F40">
              <w:rPr>
                <w:sz w:val="22"/>
                <w:szCs w:val="22"/>
              </w:rPr>
              <w:t>211,167</w:t>
            </w:r>
          </w:p>
        </w:tc>
        <w:tc>
          <w:tcPr>
            <w:tcW w:w="4394" w:type="dxa"/>
            <w:vAlign w:val="center"/>
          </w:tcPr>
          <w:p w14:paraId="52F5A6C5" w14:textId="77777777" w:rsidR="005878E0" w:rsidRPr="00256F40" w:rsidRDefault="005878E0" w:rsidP="00603828">
            <w:pPr>
              <w:jc w:val="center"/>
              <w:rPr>
                <w:sz w:val="22"/>
                <w:szCs w:val="22"/>
              </w:rPr>
            </w:pPr>
            <w:r w:rsidRPr="00256F40">
              <w:rPr>
                <w:sz w:val="22"/>
                <w:szCs w:val="22"/>
              </w:rPr>
              <w:t>53.74%</w:t>
            </w:r>
          </w:p>
        </w:tc>
      </w:tr>
      <w:tr w:rsidR="005878E0" w:rsidRPr="00256F40" w14:paraId="7737A84D" w14:textId="77777777" w:rsidTr="00603828">
        <w:trPr>
          <w:cantSplit/>
        </w:trPr>
        <w:tc>
          <w:tcPr>
            <w:tcW w:w="2689" w:type="dxa"/>
            <w:vAlign w:val="center"/>
          </w:tcPr>
          <w:p w14:paraId="1B7886EC" w14:textId="77777777" w:rsidR="005878E0" w:rsidRPr="00256F40" w:rsidRDefault="005878E0" w:rsidP="00603828">
            <w:pPr>
              <w:rPr>
                <w:sz w:val="22"/>
                <w:szCs w:val="22"/>
              </w:rPr>
            </w:pPr>
            <w:r w:rsidRPr="00256F40">
              <w:rPr>
                <w:sz w:val="22"/>
                <w:szCs w:val="22"/>
              </w:rPr>
              <w:t xml:space="preserve">Rural and Remote (MM </w:t>
            </w:r>
            <w:r>
              <w:rPr>
                <w:sz w:val="22"/>
                <w:szCs w:val="22"/>
              </w:rPr>
              <w:t>3</w:t>
            </w:r>
            <w:r w:rsidRPr="00256F40">
              <w:rPr>
                <w:sz w:val="22"/>
                <w:szCs w:val="22"/>
              </w:rPr>
              <w:t>-7 inclusive)</w:t>
            </w:r>
          </w:p>
        </w:tc>
        <w:tc>
          <w:tcPr>
            <w:tcW w:w="1984" w:type="dxa"/>
            <w:vAlign w:val="center"/>
          </w:tcPr>
          <w:p w14:paraId="79DCCCFE" w14:textId="77777777" w:rsidR="005878E0" w:rsidRPr="00256F40" w:rsidRDefault="005878E0" w:rsidP="00603828">
            <w:pPr>
              <w:jc w:val="center"/>
              <w:rPr>
                <w:sz w:val="22"/>
                <w:szCs w:val="22"/>
              </w:rPr>
            </w:pPr>
            <w:r>
              <w:rPr>
                <w:sz w:val="22"/>
                <w:szCs w:val="22"/>
              </w:rPr>
              <w:t>402,195</w:t>
            </w:r>
          </w:p>
        </w:tc>
        <w:tc>
          <w:tcPr>
            <w:tcW w:w="4394" w:type="dxa"/>
            <w:vAlign w:val="center"/>
          </w:tcPr>
          <w:p w14:paraId="26B1347F" w14:textId="77777777" w:rsidR="005878E0" w:rsidRPr="00256F40" w:rsidRDefault="005878E0" w:rsidP="00603828">
            <w:pPr>
              <w:jc w:val="center"/>
              <w:rPr>
                <w:sz w:val="22"/>
                <w:szCs w:val="22"/>
              </w:rPr>
            </w:pPr>
            <w:r>
              <w:rPr>
                <w:sz w:val="22"/>
                <w:szCs w:val="22"/>
              </w:rPr>
              <w:t>41.76%</w:t>
            </w:r>
          </w:p>
        </w:tc>
      </w:tr>
      <w:tr w:rsidR="005878E0" w:rsidRPr="00256F40" w14:paraId="2D843376" w14:textId="77777777" w:rsidTr="00603828">
        <w:trPr>
          <w:cantSplit/>
        </w:trPr>
        <w:tc>
          <w:tcPr>
            <w:tcW w:w="2689" w:type="dxa"/>
            <w:vAlign w:val="center"/>
          </w:tcPr>
          <w:p w14:paraId="2D408CB5" w14:textId="77777777" w:rsidR="005878E0" w:rsidRPr="00256F40" w:rsidRDefault="005878E0" w:rsidP="00603828">
            <w:pPr>
              <w:rPr>
                <w:sz w:val="22"/>
                <w:szCs w:val="22"/>
              </w:rPr>
            </w:pPr>
            <w:r w:rsidRPr="00256F40">
              <w:rPr>
                <w:sz w:val="22"/>
                <w:szCs w:val="22"/>
              </w:rPr>
              <w:t>MM 3</w:t>
            </w:r>
          </w:p>
        </w:tc>
        <w:tc>
          <w:tcPr>
            <w:tcW w:w="1984" w:type="dxa"/>
            <w:vAlign w:val="center"/>
          </w:tcPr>
          <w:p w14:paraId="2062C39D" w14:textId="77777777" w:rsidR="005878E0" w:rsidRPr="00256F40" w:rsidRDefault="005878E0" w:rsidP="00603828">
            <w:pPr>
              <w:jc w:val="center"/>
              <w:rPr>
                <w:sz w:val="22"/>
                <w:szCs w:val="22"/>
              </w:rPr>
            </w:pPr>
            <w:r w:rsidRPr="00256F40">
              <w:rPr>
                <w:sz w:val="22"/>
                <w:szCs w:val="22"/>
              </w:rPr>
              <w:t>157,191</w:t>
            </w:r>
          </w:p>
        </w:tc>
        <w:tc>
          <w:tcPr>
            <w:tcW w:w="4394" w:type="dxa"/>
            <w:vAlign w:val="center"/>
          </w:tcPr>
          <w:p w14:paraId="07F718EF" w14:textId="77777777" w:rsidR="005878E0" w:rsidRPr="00256F40" w:rsidRDefault="005878E0" w:rsidP="00603828">
            <w:pPr>
              <w:jc w:val="center"/>
              <w:rPr>
                <w:sz w:val="22"/>
                <w:szCs w:val="22"/>
              </w:rPr>
            </w:pPr>
            <w:r w:rsidRPr="00256F40">
              <w:rPr>
                <w:sz w:val="22"/>
                <w:szCs w:val="22"/>
              </w:rPr>
              <w:t>68.67%</w:t>
            </w:r>
          </w:p>
        </w:tc>
      </w:tr>
      <w:tr w:rsidR="005878E0" w:rsidRPr="00256F40" w14:paraId="57893F05" w14:textId="77777777" w:rsidTr="00603828">
        <w:trPr>
          <w:cantSplit/>
        </w:trPr>
        <w:tc>
          <w:tcPr>
            <w:tcW w:w="2689" w:type="dxa"/>
            <w:vAlign w:val="center"/>
          </w:tcPr>
          <w:p w14:paraId="43B6F6E8" w14:textId="77777777" w:rsidR="005878E0" w:rsidRPr="00256F40" w:rsidRDefault="005878E0" w:rsidP="00603828">
            <w:pPr>
              <w:rPr>
                <w:sz w:val="22"/>
                <w:szCs w:val="22"/>
              </w:rPr>
            </w:pPr>
            <w:r w:rsidRPr="00256F40">
              <w:rPr>
                <w:sz w:val="22"/>
                <w:szCs w:val="22"/>
              </w:rPr>
              <w:t>MM 4</w:t>
            </w:r>
          </w:p>
        </w:tc>
        <w:tc>
          <w:tcPr>
            <w:tcW w:w="1984" w:type="dxa"/>
            <w:vAlign w:val="center"/>
          </w:tcPr>
          <w:p w14:paraId="5D2AEF3B" w14:textId="77777777" w:rsidR="005878E0" w:rsidRPr="00256F40" w:rsidRDefault="005878E0" w:rsidP="00603828">
            <w:pPr>
              <w:jc w:val="center"/>
              <w:rPr>
                <w:sz w:val="22"/>
                <w:szCs w:val="22"/>
              </w:rPr>
            </w:pPr>
            <w:r w:rsidRPr="00256F40">
              <w:rPr>
                <w:sz w:val="22"/>
                <w:szCs w:val="22"/>
              </w:rPr>
              <w:t>101,845</w:t>
            </w:r>
          </w:p>
        </w:tc>
        <w:tc>
          <w:tcPr>
            <w:tcW w:w="4394" w:type="dxa"/>
            <w:vAlign w:val="center"/>
          </w:tcPr>
          <w:p w14:paraId="5328992D" w14:textId="77777777" w:rsidR="005878E0" w:rsidRPr="00256F40" w:rsidRDefault="005878E0" w:rsidP="00603828">
            <w:pPr>
              <w:jc w:val="center"/>
              <w:rPr>
                <w:sz w:val="22"/>
                <w:szCs w:val="22"/>
              </w:rPr>
            </w:pPr>
            <w:r w:rsidRPr="00256F40">
              <w:rPr>
                <w:sz w:val="22"/>
                <w:szCs w:val="22"/>
              </w:rPr>
              <w:t>84.46%</w:t>
            </w:r>
          </w:p>
        </w:tc>
      </w:tr>
      <w:tr w:rsidR="005878E0" w:rsidRPr="00256F40" w14:paraId="3008BCB6" w14:textId="77777777" w:rsidTr="00603828">
        <w:trPr>
          <w:cantSplit/>
        </w:trPr>
        <w:tc>
          <w:tcPr>
            <w:tcW w:w="2689" w:type="dxa"/>
            <w:vAlign w:val="center"/>
          </w:tcPr>
          <w:p w14:paraId="47437D54" w14:textId="77777777" w:rsidR="005878E0" w:rsidRPr="00256F40" w:rsidRDefault="005878E0" w:rsidP="00603828">
            <w:pPr>
              <w:rPr>
                <w:sz w:val="22"/>
                <w:szCs w:val="22"/>
              </w:rPr>
            </w:pPr>
            <w:r w:rsidRPr="00256F40">
              <w:rPr>
                <w:sz w:val="22"/>
                <w:szCs w:val="22"/>
              </w:rPr>
              <w:t>MM 5</w:t>
            </w:r>
          </w:p>
        </w:tc>
        <w:tc>
          <w:tcPr>
            <w:tcW w:w="1984" w:type="dxa"/>
            <w:vAlign w:val="center"/>
          </w:tcPr>
          <w:p w14:paraId="032BE98B" w14:textId="77777777" w:rsidR="005878E0" w:rsidRPr="00256F40" w:rsidRDefault="005878E0" w:rsidP="00603828">
            <w:pPr>
              <w:jc w:val="center"/>
              <w:rPr>
                <w:sz w:val="22"/>
                <w:szCs w:val="22"/>
              </w:rPr>
            </w:pPr>
            <w:r w:rsidRPr="00256F40">
              <w:rPr>
                <w:sz w:val="22"/>
                <w:szCs w:val="22"/>
              </w:rPr>
              <w:t>128,860</w:t>
            </w:r>
          </w:p>
        </w:tc>
        <w:tc>
          <w:tcPr>
            <w:tcW w:w="4394" w:type="dxa"/>
            <w:vAlign w:val="center"/>
          </w:tcPr>
          <w:p w14:paraId="46AB2DCC" w14:textId="77777777" w:rsidR="005878E0" w:rsidRPr="00256F40" w:rsidRDefault="005878E0" w:rsidP="00603828">
            <w:pPr>
              <w:jc w:val="center"/>
              <w:rPr>
                <w:sz w:val="22"/>
                <w:szCs w:val="22"/>
              </w:rPr>
            </w:pPr>
            <w:r w:rsidRPr="00256F40">
              <w:rPr>
                <w:sz w:val="22"/>
                <w:szCs w:val="22"/>
              </w:rPr>
              <w:t>26.49%</w:t>
            </w:r>
          </w:p>
        </w:tc>
      </w:tr>
      <w:tr w:rsidR="005878E0" w:rsidRPr="00256F40" w14:paraId="5A0281BE" w14:textId="77777777" w:rsidTr="00603828">
        <w:trPr>
          <w:cantSplit/>
        </w:trPr>
        <w:tc>
          <w:tcPr>
            <w:tcW w:w="2689" w:type="dxa"/>
            <w:vAlign w:val="center"/>
          </w:tcPr>
          <w:p w14:paraId="5A3C552D" w14:textId="77777777" w:rsidR="005878E0" w:rsidRPr="00256F40" w:rsidRDefault="005878E0" w:rsidP="00603828">
            <w:pPr>
              <w:rPr>
                <w:sz w:val="22"/>
                <w:szCs w:val="22"/>
              </w:rPr>
            </w:pPr>
            <w:r w:rsidRPr="00256F40">
              <w:rPr>
                <w:sz w:val="22"/>
                <w:szCs w:val="22"/>
              </w:rPr>
              <w:t>MM 6</w:t>
            </w:r>
          </w:p>
        </w:tc>
        <w:tc>
          <w:tcPr>
            <w:tcW w:w="1984" w:type="dxa"/>
            <w:vAlign w:val="center"/>
          </w:tcPr>
          <w:p w14:paraId="579C8EFD" w14:textId="77777777" w:rsidR="005878E0" w:rsidRPr="00256F40" w:rsidRDefault="005878E0" w:rsidP="00603828">
            <w:pPr>
              <w:jc w:val="center"/>
              <w:rPr>
                <w:sz w:val="22"/>
                <w:szCs w:val="22"/>
              </w:rPr>
            </w:pPr>
            <w:r w:rsidRPr="00256F40">
              <w:rPr>
                <w:sz w:val="22"/>
                <w:szCs w:val="22"/>
              </w:rPr>
              <w:t>11,075</w:t>
            </w:r>
          </w:p>
        </w:tc>
        <w:tc>
          <w:tcPr>
            <w:tcW w:w="4394" w:type="dxa"/>
            <w:vAlign w:val="center"/>
          </w:tcPr>
          <w:p w14:paraId="2C26727A" w14:textId="77777777" w:rsidR="005878E0" w:rsidRPr="00256F40" w:rsidRDefault="005878E0" w:rsidP="00603828">
            <w:pPr>
              <w:jc w:val="center"/>
              <w:rPr>
                <w:sz w:val="22"/>
                <w:szCs w:val="22"/>
              </w:rPr>
            </w:pPr>
            <w:r w:rsidRPr="00256F40">
              <w:rPr>
                <w:sz w:val="22"/>
                <w:szCs w:val="22"/>
              </w:rPr>
              <w:t>14.71%</w:t>
            </w:r>
          </w:p>
        </w:tc>
      </w:tr>
      <w:tr w:rsidR="005878E0" w:rsidRPr="00256F40" w14:paraId="7B184AE0" w14:textId="77777777" w:rsidTr="00603828">
        <w:trPr>
          <w:cantSplit/>
        </w:trPr>
        <w:tc>
          <w:tcPr>
            <w:tcW w:w="2689" w:type="dxa"/>
            <w:vAlign w:val="center"/>
          </w:tcPr>
          <w:p w14:paraId="2D38448B" w14:textId="77777777" w:rsidR="005878E0" w:rsidRPr="00256F40" w:rsidRDefault="005878E0" w:rsidP="00603828">
            <w:pPr>
              <w:rPr>
                <w:sz w:val="22"/>
                <w:szCs w:val="22"/>
              </w:rPr>
            </w:pPr>
            <w:r w:rsidRPr="00256F40">
              <w:rPr>
                <w:sz w:val="22"/>
                <w:szCs w:val="22"/>
              </w:rPr>
              <w:t>MM 7</w:t>
            </w:r>
          </w:p>
        </w:tc>
        <w:tc>
          <w:tcPr>
            <w:tcW w:w="1984" w:type="dxa"/>
            <w:vAlign w:val="center"/>
          </w:tcPr>
          <w:p w14:paraId="62AA5F43" w14:textId="77777777" w:rsidR="005878E0" w:rsidRPr="00256F40" w:rsidRDefault="005878E0" w:rsidP="00603828">
            <w:pPr>
              <w:jc w:val="center"/>
              <w:rPr>
                <w:sz w:val="22"/>
                <w:szCs w:val="22"/>
              </w:rPr>
            </w:pPr>
            <w:r w:rsidRPr="00256F40">
              <w:rPr>
                <w:sz w:val="22"/>
                <w:szCs w:val="22"/>
              </w:rPr>
              <w:t>3,224</w:t>
            </w:r>
          </w:p>
        </w:tc>
        <w:tc>
          <w:tcPr>
            <w:tcW w:w="4394" w:type="dxa"/>
            <w:vAlign w:val="center"/>
          </w:tcPr>
          <w:p w14:paraId="3D157438" w14:textId="77777777" w:rsidR="005878E0" w:rsidRPr="00256F40" w:rsidRDefault="005878E0" w:rsidP="00603828">
            <w:pPr>
              <w:jc w:val="center"/>
              <w:rPr>
                <w:sz w:val="22"/>
                <w:szCs w:val="22"/>
              </w:rPr>
            </w:pPr>
            <w:r w:rsidRPr="00256F40">
              <w:rPr>
                <w:sz w:val="22"/>
                <w:szCs w:val="22"/>
              </w:rPr>
              <w:t>6.20%</w:t>
            </w:r>
          </w:p>
        </w:tc>
      </w:tr>
    </w:tbl>
    <w:p w14:paraId="6DFD7EF7" w14:textId="1A560EAB" w:rsidR="005878E0" w:rsidRDefault="005878E0" w:rsidP="005878E0">
      <w:pPr>
        <w:spacing w:before="120" w:after="120" w:line="240" w:lineRule="auto"/>
        <w:rPr>
          <w:sz w:val="22"/>
          <w:szCs w:val="22"/>
        </w:rPr>
      </w:pPr>
      <w:r w:rsidRPr="00E13FE5">
        <w:rPr>
          <w:sz w:val="22"/>
          <w:szCs w:val="22"/>
        </w:rPr>
        <w:t xml:space="preserve">In summary, </w:t>
      </w:r>
      <w:r>
        <w:rPr>
          <w:sz w:val="22"/>
          <w:szCs w:val="22"/>
        </w:rPr>
        <w:t xml:space="preserve">rural </w:t>
      </w:r>
      <w:r w:rsidRPr="00E13FE5">
        <w:rPr>
          <w:sz w:val="22"/>
          <w:szCs w:val="22"/>
        </w:rPr>
        <w:t>and remote consumers form a thin market, due</w:t>
      </w:r>
      <w:r>
        <w:rPr>
          <w:sz w:val="22"/>
          <w:szCs w:val="22"/>
        </w:rPr>
        <w:t xml:space="preserve"> to: small consumer populations and lack of economies of scale; limited professional workforce availability; higher operating costs in rural and remote areas; consumer barriers to access (such as the costs and time of travel); and a lack of choice of providers</w:t>
      </w:r>
      <w:r w:rsidRPr="00E13FE5">
        <w:rPr>
          <w:sz w:val="22"/>
          <w:szCs w:val="22"/>
        </w:rPr>
        <w:t>. In terms of access, there are at least 51 communities that are dependent on a single provider to deliver hearing services</w:t>
      </w:r>
      <w:r w:rsidRPr="00E13FE5">
        <w:rPr>
          <w:rStyle w:val="FootnoteReference"/>
          <w:sz w:val="22"/>
          <w:szCs w:val="22"/>
        </w:rPr>
        <w:footnoteReference w:id="6"/>
      </w:r>
      <w:r>
        <w:rPr>
          <w:sz w:val="22"/>
          <w:szCs w:val="22"/>
        </w:rPr>
        <w:t xml:space="preserve"> (see Appendix </w:t>
      </w:r>
      <w:r w:rsidR="00106861">
        <w:rPr>
          <w:sz w:val="22"/>
          <w:szCs w:val="22"/>
        </w:rPr>
        <w:t>B</w:t>
      </w:r>
      <w:r>
        <w:rPr>
          <w:sz w:val="22"/>
          <w:szCs w:val="22"/>
        </w:rPr>
        <w:t>).</w:t>
      </w:r>
    </w:p>
    <w:p w14:paraId="30FCB2DB" w14:textId="203CDEAF" w:rsidR="005878E0" w:rsidRPr="00684119" w:rsidRDefault="005878E0" w:rsidP="005878E0">
      <w:pPr>
        <w:spacing w:before="120" w:after="120" w:line="240" w:lineRule="auto"/>
        <w:rPr>
          <w:sz w:val="22"/>
          <w:szCs w:val="22"/>
        </w:rPr>
      </w:pPr>
      <w:r w:rsidRPr="00E13FE5">
        <w:rPr>
          <w:sz w:val="22"/>
          <w:szCs w:val="22"/>
        </w:rPr>
        <w:t>In addition, the age profile</w:t>
      </w:r>
      <w:r>
        <w:rPr>
          <w:sz w:val="22"/>
          <w:szCs w:val="22"/>
        </w:rPr>
        <w:t xml:space="preserve"> and health status</w:t>
      </w:r>
      <w:sdt>
        <w:sdtPr>
          <w:rPr>
            <w:sz w:val="22"/>
            <w:szCs w:val="22"/>
          </w:rPr>
          <w:id w:val="-778647214"/>
          <w:citation/>
        </w:sdtPr>
        <w:sdtEndPr/>
        <w:sdtContent>
          <w:r>
            <w:rPr>
              <w:sz w:val="22"/>
              <w:szCs w:val="22"/>
            </w:rPr>
            <w:fldChar w:fldCharType="begin"/>
          </w:r>
          <w:r>
            <w:rPr>
              <w:sz w:val="22"/>
              <w:szCs w:val="22"/>
            </w:rPr>
            <w:instrText xml:space="preserve"> CITATION Aus204 \l 3081 </w:instrText>
          </w:r>
          <w:r>
            <w:rPr>
              <w:sz w:val="22"/>
              <w:szCs w:val="22"/>
            </w:rPr>
            <w:fldChar w:fldCharType="separate"/>
          </w:r>
          <w:r w:rsidR="0083673B">
            <w:rPr>
              <w:noProof/>
              <w:sz w:val="22"/>
              <w:szCs w:val="22"/>
            </w:rPr>
            <w:t xml:space="preserve"> </w:t>
          </w:r>
          <w:r w:rsidR="0083673B" w:rsidRPr="0083673B">
            <w:rPr>
              <w:noProof/>
              <w:sz w:val="22"/>
              <w:szCs w:val="22"/>
            </w:rPr>
            <w:t>(Australian Institute of Health and Welfare, 2020)</w:t>
          </w:r>
          <w:r>
            <w:rPr>
              <w:sz w:val="22"/>
              <w:szCs w:val="22"/>
            </w:rPr>
            <w:fldChar w:fldCharType="end"/>
          </w:r>
        </w:sdtContent>
      </w:sdt>
      <w:r w:rsidRPr="00E13FE5">
        <w:rPr>
          <w:sz w:val="22"/>
          <w:szCs w:val="22"/>
        </w:rPr>
        <w:t xml:space="preserve"> of the rural and remote population means that </w:t>
      </w:r>
      <w:r>
        <w:rPr>
          <w:sz w:val="22"/>
          <w:szCs w:val="22"/>
        </w:rPr>
        <w:t>people in these areas are</w:t>
      </w:r>
      <w:r w:rsidRPr="00E13FE5">
        <w:rPr>
          <w:sz w:val="22"/>
          <w:szCs w:val="22"/>
        </w:rPr>
        <w:t xml:space="preserve"> more likely to experience</w:t>
      </w:r>
      <w:r>
        <w:rPr>
          <w:sz w:val="22"/>
          <w:szCs w:val="22"/>
        </w:rPr>
        <w:t xml:space="preserve"> </w:t>
      </w:r>
      <w:r w:rsidRPr="00E13FE5">
        <w:rPr>
          <w:sz w:val="22"/>
          <w:szCs w:val="22"/>
        </w:rPr>
        <w:t xml:space="preserve">hearing loss than </w:t>
      </w:r>
      <w:r>
        <w:rPr>
          <w:sz w:val="22"/>
          <w:szCs w:val="22"/>
        </w:rPr>
        <w:t>people</w:t>
      </w:r>
      <w:r w:rsidRPr="00E13FE5">
        <w:rPr>
          <w:sz w:val="22"/>
          <w:szCs w:val="22"/>
        </w:rPr>
        <w:t xml:space="preserve"> in metropolitan areas.</w:t>
      </w:r>
      <w:r>
        <w:rPr>
          <w:sz w:val="22"/>
          <w:szCs w:val="22"/>
        </w:rPr>
        <w:t xml:space="preserve"> The Australian Bureau of Statistics (ABS) has identified that local government areas which have the highest proportion of disadvantage tend to be in rural and remote areas</w:t>
      </w:r>
      <w:r>
        <w:rPr>
          <w:rStyle w:val="FootnoteReference"/>
          <w:sz w:val="22"/>
          <w:szCs w:val="22"/>
        </w:rPr>
        <w:footnoteReference w:id="7"/>
      </w:r>
      <w:r>
        <w:rPr>
          <w:sz w:val="22"/>
          <w:szCs w:val="22"/>
        </w:rPr>
        <w:t>.</w:t>
      </w:r>
      <w:sdt>
        <w:sdtPr>
          <w:rPr>
            <w:sz w:val="22"/>
            <w:szCs w:val="22"/>
          </w:rPr>
          <w:id w:val="-1356959828"/>
          <w:citation/>
        </w:sdtPr>
        <w:sdtEndPr/>
        <w:sdtContent>
          <w:r w:rsidRPr="00106927">
            <w:rPr>
              <w:sz w:val="22"/>
              <w:szCs w:val="22"/>
            </w:rPr>
            <w:fldChar w:fldCharType="begin"/>
          </w:r>
          <w:r w:rsidRPr="00106927">
            <w:rPr>
              <w:sz w:val="22"/>
              <w:szCs w:val="22"/>
            </w:rPr>
            <w:instrText xml:space="preserve"> CITATION Aus18 \l 3081 </w:instrText>
          </w:r>
          <w:r w:rsidRPr="00106927">
            <w:rPr>
              <w:sz w:val="22"/>
              <w:szCs w:val="22"/>
            </w:rPr>
            <w:fldChar w:fldCharType="separate"/>
          </w:r>
          <w:r w:rsidR="0083673B">
            <w:rPr>
              <w:noProof/>
              <w:sz w:val="22"/>
              <w:szCs w:val="22"/>
            </w:rPr>
            <w:t xml:space="preserve"> </w:t>
          </w:r>
          <w:r w:rsidR="0083673B" w:rsidRPr="0083673B">
            <w:rPr>
              <w:noProof/>
              <w:sz w:val="22"/>
              <w:szCs w:val="22"/>
            </w:rPr>
            <w:t>(Australian Bureau of Statistics, 2018)</w:t>
          </w:r>
          <w:r w:rsidRPr="00106927">
            <w:rPr>
              <w:sz w:val="22"/>
              <w:szCs w:val="22"/>
            </w:rPr>
            <w:fldChar w:fldCharType="end"/>
          </w:r>
        </w:sdtContent>
      </w:sdt>
      <w:r w:rsidRPr="00106927">
        <w:rPr>
          <w:sz w:val="22"/>
          <w:szCs w:val="22"/>
        </w:rPr>
        <w:t xml:space="preserve"> (</w:t>
      </w:r>
      <w:r w:rsidR="00106927" w:rsidRPr="00106927">
        <w:rPr>
          <w:sz w:val="22"/>
          <w:szCs w:val="22"/>
        </w:rPr>
        <w:fldChar w:fldCharType="begin"/>
      </w:r>
      <w:r w:rsidR="00106927" w:rsidRPr="00106927">
        <w:rPr>
          <w:sz w:val="22"/>
          <w:szCs w:val="22"/>
        </w:rPr>
        <w:instrText xml:space="preserve"> REF _Ref57376117 \h </w:instrText>
      </w:r>
      <w:r w:rsidR="00106927">
        <w:rPr>
          <w:sz w:val="22"/>
          <w:szCs w:val="22"/>
        </w:rPr>
        <w:instrText xml:space="preserve"> \* MERGEFORMAT </w:instrText>
      </w:r>
      <w:r w:rsidR="00106927" w:rsidRPr="00106927">
        <w:rPr>
          <w:sz w:val="22"/>
          <w:szCs w:val="22"/>
        </w:rPr>
      </w:r>
      <w:r w:rsidR="00106927" w:rsidRPr="00106927">
        <w:rPr>
          <w:sz w:val="22"/>
          <w:szCs w:val="22"/>
        </w:rPr>
        <w:fldChar w:fldCharType="separate"/>
      </w:r>
      <w:r w:rsidR="00DD11FB" w:rsidRPr="00DD11FB">
        <w:rPr>
          <w:sz w:val="22"/>
          <w:szCs w:val="22"/>
        </w:rPr>
        <w:t xml:space="preserve">Figure </w:t>
      </w:r>
      <w:r w:rsidR="00DD11FB" w:rsidRPr="00DD11FB">
        <w:rPr>
          <w:noProof/>
          <w:sz w:val="22"/>
          <w:szCs w:val="22"/>
        </w:rPr>
        <w:t>3</w:t>
      </w:r>
      <w:r w:rsidR="00106927" w:rsidRPr="00106927">
        <w:rPr>
          <w:sz w:val="22"/>
          <w:szCs w:val="22"/>
        </w:rPr>
        <w:fldChar w:fldCharType="end"/>
      </w:r>
      <w:r>
        <w:rPr>
          <w:sz w:val="22"/>
          <w:szCs w:val="22"/>
        </w:rPr>
        <w:t>).</w:t>
      </w:r>
    </w:p>
    <w:p w14:paraId="69664F67" w14:textId="12A22508" w:rsidR="005878E0" w:rsidRDefault="005878E0" w:rsidP="005878E0">
      <w:pPr>
        <w:spacing w:before="120" w:after="120" w:line="240" w:lineRule="auto"/>
        <w:rPr>
          <w:sz w:val="22"/>
          <w:szCs w:val="22"/>
        </w:rPr>
      </w:pPr>
      <w:r>
        <w:rPr>
          <w:sz w:val="22"/>
          <w:szCs w:val="22"/>
        </w:rPr>
        <w:t>H</w:t>
      </w:r>
      <w:r w:rsidRPr="003531B5">
        <w:rPr>
          <w:sz w:val="22"/>
          <w:szCs w:val="22"/>
        </w:rPr>
        <w:t xml:space="preserve">earing loss is </w:t>
      </w:r>
      <w:r>
        <w:rPr>
          <w:sz w:val="22"/>
          <w:szCs w:val="22"/>
        </w:rPr>
        <w:t xml:space="preserve">more broadly </w:t>
      </w:r>
      <w:r w:rsidRPr="003531B5">
        <w:rPr>
          <w:sz w:val="22"/>
          <w:szCs w:val="22"/>
        </w:rPr>
        <w:t>associated with low educational attainment</w:t>
      </w:r>
      <w:r>
        <w:rPr>
          <w:sz w:val="22"/>
          <w:szCs w:val="22"/>
        </w:rPr>
        <w:t xml:space="preserve"> and e</w:t>
      </w:r>
      <w:r w:rsidRPr="003531B5">
        <w:rPr>
          <w:sz w:val="22"/>
          <w:szCs w:val="22"/>
        </w:rPr>
        <w:t>ven after controlling for education and important demographic factors, hearing loss is independently associated with economic hardship, including both low income and</w:t>
      </w:r>
      <w:r>
        <w:rPr>
          <w:sz w:val="22"/>
          <w:szCs w:val="22"/>
        </w:rPr>
        <w:t xml:space="preserve"> </w:t>
      </w:r>
      <w:r w:rsidRPr="003531B5">
        <w:rPr>
          <w:sz w:val="22"/>
          <w:szCs w:val="22"/>
        </w:rPr>
        <w:t>unemployment</w:t>
      </w:r>
      <w:r>
        <w:rPr>
          <w:sz w:val="22"/>
          <w:szCs w:val="22"/>
        </w:rPr>
        <w:t>/</w:t>
      </w:r>
      <w:r w:rsidRPr="003531B5">
        <w:rPr>
          <w:sz w:val="22"/>
          <w:szCs w:val="22"/>
        </w:rPr>
        <w:t>underemployment</w:t>
      </w:r>
      <w:sdt>
        <w:sdtPr>
          <w:rPr>
            <w:sz w:val="22"/>
            <w:szCs w:val="22"/>
          </w:rPr>
          <w:id w:val="2095515021"/>
          <w:citation/>
        </w:sdtPr>
        <w:sdtEndPr/>
        <w:sdtContent>
          <w:r>
            <w:rPr>
              <w:sz w:val="22"/>
              <w:szCs w:val="22"/>
            </w:rPr>
            <w:fldChar w:fldCharType="begin"/>
          </w:r>
          <w:r>
            <w:rPr>
              <w:sz w:val="22"/>
              <w:szCs w:val="22"/>
            </w:rPr>
            <w:instrText xml:space="preserve"> CITATION Emm15 \l 3081 </w:instrText>
          </w:r>
          <w:r>
            <w:rPr>
              <w:sz w:val="22"/>
              <w:szCs w:val="22"/>
            </w:rPr>
            <w:fldChar w:fldCharType="separate"/>
          </w:r>
          <w:r w:rsidR="0083673B">
            <w:rPr>
              <w:noProof/>
              <w:sz w:val="22"/>
              <w:szCs w:val="22"/>
            </w:rPr>
            <w:t xml:space="preserve"> </w:t>
          </w:r>
          <w:r w:rsidR="0083673B" w:rsidRPr="0083673B">
            <w:rPr>
              <w:noProof/>
              <w:sz w:val="22"/>
              <w:szCs w:val="22"/>
            </w:rPr>
            <w:t>(Emmett SD, 2015)</w:t>
          </w:r>
          <w:r>
            <w:rPr>
              <w:sz w:val="22"/>
              <w:szCs w:val="22"/>
            </w:rPr>
            <w:fldChar w:fldCharType="end"/>
          </w:r>
        </w:sdtContent>
      </w:sdt>
      <w:r w:rsidRPr="003531B5">
        <w:rPr>
          <w:sz w:val="22"/>
          <w:szCs w:val="22"/>
        </w:rPr>
        <w:t>.</w:t>
      </w:r>
      <w:r>
        <w:rPr>
          <w:sz w:val="22"/>
          <w:szCs w:val="22"/>
        </w:rPr>
        <w:t xml:space="preserve"> Research also suggests the use of hearing aids is lower among men in the lowest socio-economic population</w:t>
      </w:r>
      <w:sdt>
        <w:sdtPr>
          <w:rPr>
            <w:sz w:val="22"/>
            <w:szCs w:val="22"/>
          </w:rPr>
          <w:id w:val="1008325460"/>
          <w:citation/>
        </w:sdtPr>
        <w:sdtEndPr/>
        <w:sdtContent>
          <w:r>
            <w:rPr>
              <w:sz w:val="22"/>
              <w:szCs w:val="22"/>
            </w:rPr>
            <w:fldChar w:fldCharType="begin"/>
          </w:r>
          <w:r>
            <w:rPr>
              <w:sz w:val="22"/>
              <w:szCs w:val="22"/>
            </w:rPr>
            <w:instrText xml:space="preserve"> CITATION Sch18 \l 3081 </w:instrText>
          </w:r>
          <w:r>
            <w:rPr>
              <w:sz w:val="22"/>
              <w:szCs w:val="22"/>
            </w:rPr>
            <w:fldChar w:fldCharType="separate"/>
          </w:r>
          <w:r w:rsidR="0083673B">
            <w:rPr>
              <w:noProof/>
              <w:sz w:val="22"/>
              <w:szCs w:val="22"/>
            </w:rPr>
            <w:t xml:space="preserve"> </w:t>
          </w:r>
          <w:r w:rsidR="0083673B" w:rsidRPr="0083673B">
            <w:rPr>
              <w:noProof/>
              <w:sz w:val="22"/>
              <w:szCs w:val="22"/>
            </w:rPr>
            <w:t>(Scholes S, 2018)</w:t>
          </w:r>
          <w:r>
            <w:rPr>
              <w:sz w:val="22"/>
              <w:szCs w:val="22"/>
            </w:rPr>
            <w:fldChar w:fldCharType="end"/>
          </w:r>
        </w:sdtContent>
      </w:sdt>
      <w:r w:rsidRPr="003531B5">
        <w:rPr>
          <w:sz w:val="22"/>
          <w:szCs w:val="22"/>
        </w:rPr>
        <w:t>.</w:t>
      </w:r>
      <w:r>
        <w:rPr>
          <w:sz w:val="22"/>
          <w:szCs w:val="22"/>
        </w:rPr>
        <w:t xml:space="preserve"> Access to hearing services can also be impacted by socio-economic factors. These factors can be separate from, though in many cases intertwine with, living in rural and remote areas.</w:t>
      </w:r>
    </w:p>
    <w:p w14:paraId="6352D0B4" w14:textId="3F9FBF38" w:rsidR="005878E0" w:rsidRPr="00E13FE5" w:rsidRDefault="005878E0" w:rsidP="0001438A">
      <w:pPr>
        <w:jc w:val="center"/>
        <w:rPr>
          <w:sz w:val="22"/>
          <w:szCs w:val="22"/>
        </w:rPr>
      </w:pPr>
      <w:r>
        <w:rPr>
          <w:noProof/>
          <w:lang w:eastAsia="en-AU"/>
        </w:rPr>
        <w:drawing>
          <wp:inline distT="0" distB="0" distL="0" distR="0" wp14:anchorId="4A787C6F" wp14:editId="3A6ECBCA">
            <wp:extent cx="4957839" cy="3492000"/>
            <wp:effectExtent l="0" t="0" r="0" b="0"/>
            <wp:docPr id="6" name="Picture 6" descr="Map: For Australia with Index of relative socio-economic advantage and disadvantage quintiles for local government area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4957839" cy="3492000"/>
                    </a:xfrm>
                    <a:prstGeom prst="rect">
                      <a:avLst/>
                    </a:prstGeom>
                  </pic:spPr>
                </pic:pic>
              </a:graphicData>
            </a:graphic>
          </wp:inline>
        </w:drawing>
      </w:r>
    </w:p>
    <w:p w14:paraId="7B1D865E" w14:textId="545B77A1" w:rsidR="005878E0" w:rsidRDefault="005878E0" w:rsidP="005878E0">
      <w:pPr>
        <w:pStyle w:val="Caption"/>
        <w:rPr>
          <w:noProof/>
        </w:rPr>
      </w:pPr>
      <w:bookmarkStart w:id="31" w:name="_Ref57376117"/>
      <w:bookmarkStart w:id="32" w:name="_Toc57387624"/>
      <w:r>
        <w:t xml:space="preserve">Figure </w:t>
      </w:r>
      <w:r>
        <w:fldChar w:fldCharType="begin"/>
      </w:r>
      <w:r>
        <w:instrText>SEQ Figure \* ARABIC</w:instrText>
      </w:r>
      <w:r>
        <w:fldChar w:fldCharType="separate"/>
      </w:r>
      <w:r w:rsidR="00DD11FB">
        <w:rPr>
          <w:noProof/>
        </w:rPr>
        <w:t>3</w:t>
      </w:r>
      <w:r>
        <w:fldChar w:fldCharType="end"/>
      </w:r>
      <w:bookmarkEnd w:id="31"/>
      <w:r w:rsidRPr="006F0909">
        <w:rPr>
          <w:noProof/>
        </w:rPr>
        <w:t>.  I</w:t>
      </w:r>
      <w:r>
        <w:rPr>
          <w:noProof/>
        </w:rPr>
        <w:t>ndex of relative socio-economic advantage and disadvantage quintiles for local government areas.</w:t>
      </w:r>
      <w:bookmarkEnd w:id="32"/>
    </w:p>
    <w:p w14:paraId="4BB912B8" w14:textId="77777777" w:rsidR="005878E0" w:rsidRPr="00A47307" w:rsidRDefault="005878E0" w:rsidP="007B203D">
      <w:pPr>
        <w:pStyle w:val="Heading3"/>
      </w:pPr>
      <w:bookmarkStart w:id="33" w:name="_Toc57901096"/>
      <w:r w:rsidRPr="00A47307">
        <w:t>Analysis of providers operating in rural and remote areas</w:t>
      </w:r>
      <w:bookmarkEnd w:id="33"/>
    </w:p>
    <w:p w14:paraId="32A1F071" w14:textId="77777777" w:rsidR="003D53EC" w:rsidRDefault="005878E0" w:rsidP="005878E0">
      <w:pPr>
        <w:spacing w:before="120" w:after="120" w:line="240" w:lineRule="auto"/>
        <w:rPr>
          <w:sz w:val="22"/>
          <w:szCs w:val="22"/>
        </w:rPr>
      </w:pPr>
      <w:r>
        <w:rPr>
          <w:sz w:val="22"/>
          <w:szCs w:val="22"/>
        </w:rPr>
        <w:t xml:space="preserve">Over the past three financial years (FY2017-18, FY2018-19, and FY2019-20), consumers in </w:t>
      </w:r>
      <w:r w:rsidRPr="0888A839">
        <w:rPr>
          <w:sz w:val="22"/>
          <w:szCs w:val="22"/>
        </w:rPr>
        <w:t>rural</w:t>
      </w:r>
      <w:r>
        <w:rPr>
          <w:sz w:val="22"/>
          <w:szCs w:val="22"/>
        </w:rPr>
        <w:t xml:space="preserve"> and remote areas have not been found to be particularly dependent on either very large providers with national reach, or very small providers operating as single sit</w:t>
      </w:r>
      <w:r w:rsidRPr="00106927">
        <w:rPr>
          <w:sz w:val="22"/>
          <w:szCs w:val="22"/>
        </w:rPr>
        <w:t>es.</w:t>
      </w:r>
    </w:p>
    <w:p w14:paraId="34448C25" w14:textId="77777777" w:rsidR="00DD11FB" w:rsidRPr="00DD11FB" w:rsidRDefault="00106927" w:rsidP="00DD11FB">
      <w:pPr>
        <w:spacing w:before="120" w:after="120"/>
        <w:rPr>
          <w:sz w:val="22"/>
          <w:szCs w:val="22"/>
        </w:rPr>
      </w:pPr>
      <w:r w:rsidRPr="00106927">
        <w:rPr>
          <w:sz w:val="22"/>
          <w:szCs w:val="22"/>
        </w:rPr>
        <w:fldChar w:fldCharType="begin"/>
      </w:r>
      <w:r w:rsidRPr="00106927">
        <w:rPr>
          <w:sz w:val="22"/>
          <w:szCs w:val="22"/>
        </w:rPr>
        <w:instrText xml:space="preserve"> REF _Ref57376204 \h </w:instrText>
      </w:r>
      <w:r>
        <w:rPr>
          <w:sz w:val="22"/>
          <w:szCs w:val="22"/>
        </w:rPr>
        <w:instrText xml:space="preserve"> \* MERGEFORMAT </w:instrText>
      </w:r>
      <w:r w:rsidRPr="00106927">
        <w:rPr>
          <w:sz w:val="22"/>
          <w:szCs w:val="22"/>
        </w:rPr>
      </w:r>
      <w:r w:rsidRPr="00106927">
        <w:rPr>
          <w:sz w:val="22"/>
          <w:szCs w:val="22"/>
        </w:rPr>
        <w:fldChar w:fldCharType="separate"/>
      </w:r>
    </w:p>
    <w:p w14:paraId="271BA696" w14:textId="41999F5E" w:rsidR="003D53EC" w:rsidRDefault="00DD11FB" w:rsidP="005878E0">
      <w:pPr>
        <w:spacing w:before="120" w:after="120" w:line="240" w:lineRule="auto"/>
        <w:rPr>
          <w:sz w:val="22"/>
          <w:szCs w:val="22"/>
        </w:rPr>
      </w:pPr>
      <w:r w:rsidRPr="00DD11FB">
        <w:rPr>
          <w:sz w:val="22"/>
          <w:szCs w:val="22"/>
        </w:rPr>
        <w:t>Figure</w:t>
      </w:r>
      <w:r w:rsidRPr="00DD11FB">
        <w:rPr>
          <w:noProof/>
          <w:sz w:val="22"/>
          <w:szCs w:val="22"/>
        </w:rPr>
        <w:t xml:space="preserve"> </w:t>
      </w:r>
      <w:r>
        <w:rPr>
          <w:noProof/>
        </w:rPr>
        <w:t>4</w:t>
      </w:r>
      <w:r w:rsidR="00106927" w:rsidRPr="00106927">
        <w:rPr>
          <w:sz w:val="22"/>
          <w:szCs w:val="22"/>
        </w:rPr>
        <w:fldChar w:fldCharType="end"/>
      </w:r>
      <w:r w:rsidR="005878E0">
        <w:rPr>
          <w:sz w:val="22"/>
          <w:szCs w:val="22"/>
        </w:rPr>
        <w:t xml:space="preserve"> demonstrates that, with the exception of remote and very remote communities (MM 6 and MM 7) which are predominantly serviced by Hearing Australia and several large or very large providers) there is no significant difference in the distribution of provider sites by level of Voucher Scheme revenue of providers.</w:t>
      </w:r>
    </w:p>
    <w:p w14:paraId="6F1BB7C0" w14:textId="501C628B" w:rsidR="00EE748F" w:rsidRPr="002524F6" w:rsidRDefault="00EE748F" w:rsidP="00EE748F">
      <w:pPr>
        <w:spacing w:before="120" w:after="120" w:line="240" w:lineRule="auto"/>
        <w:rPr>
          <w:sz w:val="22"/>
          <w:szCs w:val="22"/>
        </w:rPr>
      </w:pPr>
      <w:r w:rsidRPr="002524F6">
        <w:rPr>
          <w:sz w:val="22"/>
          <w:szCs w:val="22"/>
        </w:rPr>
        <w:t>This demonstrates that rural and remote areas are broadly serviced by the same types of providers as metropolitan areas. However, given the market realities of these areas</w:t>
      </w:r>
      <w:r>
        <w:rPr>
          <w:sz w:val="22"/>
          <w:szCs w:val="22"/>
        </w:rPr>
        <w:t>,</w:t>
      </w:r>
      <w:r w:rsidRPr="002524F6">
        <w:rPr>
          <w:sz w:val="22"/>
          <w:szCs w:val="22"/>
        </w:rPr>
        <w:t xml:space="preserve"> the </w:t>
      </w:r>
      <w:r>
        <w:rPr>
          <w:sz w:val="22"/>
          <w:szCs w:val="22"/>
        </w:rPr>
        <w:t>Panel</w:t>
      </w:r>
      <w:r w:rsidRPr="002524F6">
        <w:rPr>
          <w:sz w:val="22"/>
          <w:szCs w:val="22"/>
        </w:rPr>
        <w:t xml:space="preserve"> acknowledges that </w:t>
      </w:r>
      <w:r>
        <w:rPr>
          <w:sz w:val="22"/>
          <w:szCs w:val="22"/>
        </w:rPr>
        <w:t xml:space="preserve">many clinics operating in </w:t>
      </w:r>
      <w:r w:rsidRPr="002524F6">
        <w:rPr>
          <w:sz w:val="22"/>
          <w:szCs w:val="22"/>
        </w:rPr>
        <w:t xml:space="preserve">these </w:t>
      </w:r>
      <w:r>
        <w:rPr>
          <w:sz w:val="22"/>
          <w:szCs w:val="22"/>
        </w:rPr>
        <w:t xml:space="preserve">areas </w:t>
      </w:r>
      <w:r w:rsidRPr="002524F6">
        <w:rPr>
          <w:sz w:val="22"/>
          <w:szCs w:val="22"/>
        </w:rPr>
        <w:t xml:space="preserve">are likely to </w:t>
      </w:r>
      <w:r>
        <w:rPr>
          <w:sz w:val="22"/>
          <w:szCs w:val="22"/>
        </w:rPr>
        <w:t>have a greater viability impact as a result of</w:t>
      </w:r>
      <w:r w:rsidRPr="002524F6" w:rsidDel="001E4A94">
        <w:rPr>
          <w:sz w:val="22"/>
          <w:szCs w:val="22"/>
        </w:rPr>
        <w:t xml:space="preserve"> </w:t>
      </w:r>
      <w:r w:rsidRPr="002524F6">
        <w:rPr>
          <w:sz w:val="22"/>
          <w:szCs w:val="22"/>
        </w:rPr>
        <w:t xml:space="preserve">the </w:t>
      </w:r>
      <w:r>
        <w:rPr>
          <w:sz w:val="22"/>
          <w:szCs w:val="22"/>
        </w:rPr>
        <w:fldChar w:fldCharType="begin"/>
      </w:r>
      <w:r>
        <w:rPr>
          <w:sz w:val="22"/>
          <w:szCs w:val="22"/>
        </w:rPr>
        <w:instrText xml:space="preserve"> REF _Ref57376232 \h  \* MERGEFORMAT </w:instrText>
      </w:r>
      <w:r>
        <w:rPr>
          <w:sz w:val="22"/>
          <w:szCs w:val="22"/>
        </w:rPr>
      </w:r>
      <w:r>
        <w:rPr>
          <w:sz w:val="22"/>
          <w:szCs w:val="22"/>
        </w:rPr>
        <w:fldChar w:fldCharType="separate"/>
      </w:r>
      <w:r w:rsidR="00DD11FB" w:rsidRPr="00DD11FB">
        <w:rPr>
          <w:sz w:val="22"/>
          <w:szCs w:val="22"/>
        </w:rPr>
        <w:t>FY2020-21 Federal Budget announcements</w:t>
      </w:r>
      <w:r>
        <w:rPr>
          <w:sz w:val="22"/>
          <w:szCs w:val="22"/>
        </w:rPr>
        <w:fldChar w:fldCharType="end"/>
      </w:r>
      <w:r w:rsidRPr="002524F6">
        <w:rPr>
          <w:sz w:val="22"/>
          <w:szCs w:val="22"/>
        </w:rPr>
        <w:t>.</w:t>
      </w:r>
    </w:p>
    <w:p w14:paraId="2B5A4332" w14:textId="77777777" w:rsidR="003D53EC" w:rsidRDefault="003D53EC">
      <w:pPr>
        <w:rPr>
          <w:sz w:val="22"/>
          <w:szCs w:val="22"/>
        </w:rPr>
      </w:pPr>
      <w:r>
        <w:rPr>
          <w:sz w:val="22"/>
          <w:szCs w:val="22"/>
        </w:rPr>
        <w:br w:type="page"/>
      </w:r>
    </w:p>
    <w:p w14:paraId="161008D1" w14:textId="6AD292E5" w:rsidR="005878E0" w:rsidRDefault="005878E0" w:rsidP="005878E0">
      <w:pPr>
        <w:spacing w:before="120" w:after="120" w:line="240" w:lineRule="auto"/>
        <w:rPr>
          <w:sz w:val="22"/>
          <w:szCs w:val="22"/>
        </w:rPr>
      </w:pPr>
      <w:r>
        <w:rPr>
          <w:sz w:val="22"/>
          <w:szCs w:val="22"/>
        </w:rPr>
        <w:t xml:space="preserve"> </w:t>
      </w:r>
    </w:p>
    <w:p w14:paraId="0A955145" w14:textId="64966801" w:rsidR="009A3BA8" w:rsidRDefault="005878E0" w:rsidP="009A3BA8">
      <w:pPr>
        <w:pStyle w:val="Caption"/>
        <w:jc w:val="center"/>
        <w:rPr>
          <w:rStyle w:val="CommentReference"/>
        </w:rPr>
      </w:pPr>
      <w:r>
        <w:rPr>
          <w:noProof/>
          <w:lang w:eastAsia="en-AU"/>
        </w:rPr>
        <w:drawing>
          <wp:inline distT="0" distB="0" distL="0" distR="0" wp14:anchorId="455C44AC" wp14:editId="4C9449E9">
            <wp:extent cx="4962525" cy="3505546"/>
            <wp:effectExtent l="0" t="0" r="0" b="0"/>
            <wp:docPr id="7" name="Picture 7" descr="Figure 4 is a stacked bar chart, showing the proportion of clinics (sites) by regional areas and size of provider. It shows that more regional areas are not more or less dependent on large providers, nor are small providers more likely in regional, rural, or remote area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2525" cy="3505546"/>
                    </a:xfrm>
                    <a:prstGeom prst="rect">
                      <a:avLst/>
                    </a:prstGeom>
                  </pic:spPr>
                </pic:pic>
              </a:graphicData>
            </a:graphic>
          </wp:inline>
        </w:drawing>
      </w:r>
      <w:bookmarkStart w:id="34" w:name="_Ref57376204"/>
    </w:p>
    <w:p w14:paraId="279D88D2" w14:textId="29721E85" w:rsidR="005878E0" w:rsidRPr="009A3BA8" w:rsidRDefault="005878E0" w:rsidP="009A3BA8">
      <w:pPr>
        <w:pStyle w:val="Caption"/>
        <w:rPr>
          <w:b/>
        </w:rPr>
      </w:pPr>
      <w:bookmarkStart w:id="35" w:name="_Toc57387625"/>
      <w:r>
        <w:t xml:space="preserve">Figure </w:t>
      </w:r>
      <w:r>
        <w:fldChar w:fldCharType="begin"/>
      </w:r>
      <w:r>
        <w:instrText>SEQ Figure \* ARABIC</w:instrText>
      </w:r>
      <w:r>
        <w:fldChar w:fldCharType="separate"/>
      </w:r>
      <w:r w:rsidR="00DD11FB">
        <w:rPr>
          <w:noProof/>
        </w:rPr>
        <w:t>4</w:t>
      </w:r>
      <w:r>
        <w:fldChar w:fldCharType="end"/>
      </w:r>
      <w:bookmarkEnd w:id="34"/>
      <w:r>
        <w:t>: Sites by level of Voucher Scheme revenue (by provider) and MM region. Note that (a) Franchises</w:t>
      </w:r>
      <w:r>
        <w:rPr>
          <w:rStyle w:val="FootnoteReference"/>
        </w:rPr>
        <w:footnoteReference w:id="8"/>
      </w:r>
      <w:r>
        <w:t>, and (b) Hearing Australia have been separated out in this analysis. This data includes all Voucher Scheme sites (permanent and visiting) in the three financial years of FY2017-18, FY2018-19, and FY2019-20.</w:t>
      </w:r>
      <w:bookmarkEnd w:id="35"/>
    </w:p>
    <w:p w14:paraId="6908C240" w14:textId="77777777" w:rsidR="005878E0" w:rsidRPr="001A4F89" w:rsidRDefault="005878E0" w:rsidP="005878E0">
      <w:pPr>
        <w:pStyle w:val="Heading3"/>
        <w:rPr>
          <w:sz w:val="28"/>
          <w:szCs w:val="28"/>
        </w:rPr>
      </w:pPr>
      <w:bookmarkStart w:id="36" w:name="_Toc57901097"/>
      <w:r w:rsidRPr="001A4F89">
        <w:rPr>
          <w:sz w:val="28"/>
          <w:szCs w:val="28"/>
        </w:rPr>
        <w:t>Data limitations</w:t>
      </w:r>
      <w:bookmarkEnd w:id="36"/>
    </w:p>
    <w:p w14:paraId="1010FF8C" w14:textId="5D9EA284" w:rsidR="005878E0" w:rsidRDefault="005878E0" w:rsidP="005878E0">
      <w:pPr>
        <w:spacing w:before="120" w:after="120" w:line="240" w:lineRule="auto"/>
        <w:rPr>
          <w:sz w:val="22"/>
          <w:szCs w:val="22"/>
        </w:rPr>
      </w:pPr>
      <w:r>
        <w:rPr>
          <w:sz w:val="22"/>
          <w:szCs w:val="22"/>
        </w:rPr>
        <w:t xml:space="preserve">The Program does not have access to reliable data on the overall profitability of providers or of individual clinics operated by providers, or of revenue generated outside the Program. As a result, the Panel is unable to quantify the impact of the </w:t>
      </w:r>
      <w:r w:rsidR="0083673B">
        <w:rPr>
          <w:sz w:val="22"/>
          <w:szCs w:val="22"/>
        </w:rPr>
        <w:fldChar w:fldCharType="begin"/>
      </w:r>
      <w:r w:rsidR="0083673B">
        <w:rPr>
          <w:sz w:val="22"/>
          <w:szCs w:val="22"/>
        </w:rPr>
        <w:instrText xml:space="preserve"> REF _Ref57376259 \h  \* MERGEFORMAT </w:instrText>
      </w:r>
      <w:r w:rsidR="0083673B">
        <w:rPr>
          <w:sz w:val="22"/>
          <w:szCs w:val="22"/>
        </w:rPr>
      </w:r>
      <w:r w:rsidR="0083673B">
        <w:rPr>
          <w:sz w:val="22"/>
          <w:szCs w:val="22"/>
        </w:rPr>
        <w:fldChar w:fldCharType="separate"/>
      </w:r>
      <w:r w:rsidR="00DD11FB" w:rsidRPr="00DD11FB">
        <w:rPr>
          <w:sz w:val="22"/>
          <w:szCs w:val="22"/>
        </w:rPr>
        <w:t>FY2020-21 Federal Budget announcements</w:t>
      </w:r>
      <w:r w:rsidR="0083673B">
        <w:rPr>
          <w:sz w:val="22"/>
          <w:szCs w:val="22"/>
        </w:rPr>
        <w:fldChar w:fldCharType="end"/>
      </w:r>
      <w:r>
        <w:rPr>
          <w:sz w:val="22"/>
          <w:szCs w:val="22"/>
        </w:rPr>
        <w:t xml:space="preserve"> on the viability of those businesses. Some industry feedback suggests that overall, the Program is responsible for up to 80 percent of the hearing sector’s revenue. Other provider revenue sources include:</w:t>
      </w:r>
    </w:p>
    <w:p w14:paraId="77285FB8" w14:textId="77777777" w:rsidR="005878E0" w:rsidRDefault="005878E0" w:rsidP="007B203D">
      <w:pPr>
        <w:pStyle w:val="ListParagraph"/>
        <w:numPr>
          <w:ilvl w:val="0"/>
          <w:numId w:val="8"/>
        </w:numPr>
        <w:spacing w:before="60" w:after="60" w:line="240" w:lineRule="auto"/>
        <w:ind w:left="714" w:hanging="357"/>
        <w:contextualSpacing w:val="0"/>
        <w:rPr>
          <w:sz w:val="22"/>
          <w:szCs w:val="22"/>
        </w:rPr>
      </w:pPr>
      <w:r>
        <w:rPr>
          <w:sz w:val="22"/>
          <w:szCs w:val="22"/>
        </w:rPr>
        <w:t>The private market for hearing services (primarily adults over the age of 26 who are not Pensioner Concession Card holders or are otherwise eligible under the Program)</w:t>
      </w:r>
    </w:p>
    <w:p w14:paraId="62ED0915" w14:textId="77777777" w:rsidR="005878E0" w:rsidRDefault="005878E0" w:rsidP="007B203D">
      <w:pPr>
        <w:pStyle w:val="ListParagraph"/>
        <w:numPr>
          <w:ilvl w:val="0"/>
          <w:numId w:val="8"/>
        </w:numPr>
        <w:spacing w:before="60" w:after="60" w:line="240" w:lineRule="auto"/>
        <w:ind w:left="714" w:hanging="357"/>
        <w:contextualSpacing w:val="0"/>
        <w:rPr>
          <w:sz w:val="22"/>
          <w:szCs w:val="22"/>
        </w:rPr>
      </w:pPr>
      <w:r>
        <w:rPr>
          <w:sz w:val="22"/>
          <w:szCs w:val="22"/>
        </w:rPr>
        <w:t>State government schemes (e.g. Deadly Ears in Queensland)</w:t>
      </w:r>
    </w:p>
    <w:p w14:paraId="3A82528E" w14:textId="77777777" w:rsidR="005878E0" w:rsidRDefault="005878E0" w:rsidP="007B203D">
      <w:pPr>
        <w:pStyle w:val="ListParagraph"/>
        <w:numPr>
          <w:ilvl w:val="0"/>
          <w:numId w:val="8"/>
        </w:numPr>
        <w:spacing w:before="60" w:after="60" w:line="240" w:lineRule="auto"/>
        <w:ind w:left="714" w:hanging="357"/>
        <w:contextualSpacing w:val="0"/>
        <w:rPr>
          <w:sz w:val="22"/>
          <w:szCs w:val="22"/>
        </w:rPr>
      </w:pPr>
      <w:r>
        <w:rPr>
          <w:sz w:val="22"/>
          <w:szCs w:val="22"/>
        </w:rPr>
        <w:t>Workers compensation schemes</w:t>
      </w:r>
    </w:p>
    <w:p w14:paraId="34A5E8F4" w14:textId="77777777" w:rsidR="005878E0" w:rsidRDefault="005878E0" w:rsidP="007B203D">
      <w:pPr>
        <w:pStyle w:val="ListParagraph"/>
        <w:numPr>
          <w:ilvl w:val="0"/>
          <w:numId w:val="8"/>
        </w:numPr>
        <w:spacing w:before="60" w:after="60" w:line="240" w:lineRule="auto"/>
        <w:ind w:left="714" w:hanging="357"/>
        <w:contextualSpacing w:val="0"/>
        <w:rPr>
          <w:sz w:val="22"/>
          <w:szCs w:val="22"/>
        </w:rPr>
      </w:pPr>
      <w:r>
        <w:rPr>
          <w:sz w:val="22"/>
          <w:szCs w:val="22"/>
        </w:rPr>
        <w:t>Other Commonwealth Agencies, such as the NDIS, or the Department of Veteran Affairs</w:t>
      </w:r>
    </w:p>
    <w:p w14:paraId="79E104E6" w14:textId="1EC11BF0" w:rsidR="00E17736" w:rsidRDefault="005878E0" w:rsidP="00C304DE">
      <w:pPr>
        <w:spacing w:before="120" w:after="120" w:line="240" w:lineRule="auto"/>
        <w:rPr>
          <w:rFonts w:asciiTheme="majorHAnsi" w:eastAsiaTheme="majorEastAsia" w:hAnsiTheme="majorHAnsi" w:cstheme="majorBidi"/>
          <w:color w:val="2E74B5" w:themeColor="accent1" w:themeShade="BF"/>
          <w:sz w:val="32"/>
          <w:szCs w:val="32"/>
        </w:rPr>
      </w:pPr>
      <w:r>
        <w:rPr>
          <w:sz w:val="22"/>
          <w:szCs w:val="22"/>
        </w:rPr>
        <w:t>Given these limitations, this Interim Advice has based its assessments solely on the detail available to this Program. That is, by quantifying the impact to providers’ Voucher Scheme revenue and not attempting to model the impact on businesses viability or on their exposure in rural and remote areas. These limitations to the analysis need to be considered in assessing the o</w:t>
      </w:r>
      <w:r w:rsidR="002E7C67">
        <w:rPr>
          <w:sz w:val="22"/>
          <w:szCs w:val="22"/>
        </w:rPr>
        <w:t>ptions presented in this paper.</w:t>
      </w:r>
      <w:r w:rsidR="00C304DE">
        <w:rPr>
          <w:sz w:val="22"/>
          <w:szCs w:val="22"/>
        </w:rPr>
        <w:t xml:space="preserve"> </w:t>
      </w:r>
      <w:r w:rsidR="00E17736">
        <w:br w:type="page"/>
      </w:r>
    </w:p>
    <w:p w14:paraId="3758A60A" w14:textId="407C4147" w:rsidR="005878E0" w:rsidRPr="0048459F" w:rsidRDefault="005878E0">
      <w:pPr>
        <w:pStyle w:val="Heading1"/>
      </w:pPr>
      <w:bookmarkStart w:id="37" w:name="_Toc57901098"/>
      <w:r w:rsidRPr="0048459F">
        <w:t>Options to support consumers affected by Program changes</w:t>
      </w:r>
      <w:bookmarkEnd w:id="37"/>
    </w:p>
    <w:p w14:paraId="5EE69A82" w14:textId="1D889E02" w:rsidR="005878E0" w:rsidRPr="007B203D" w:rsidRDefault="005878E0" w:rsidP="005878E0">
      <w:pPr>
        <w:pStyle w:val="Heading2"/>
        <w:spacing w:before="120" w:after="120" w:line="240" w:lineRule="auto"/>
        <w:rPr>
          <w:sz w:val="28"/>
          <w:szCs w:val="28"/>
        </w:rPr>
      </w:pPr>
      <w:bookmarkStart w:id="38" w:name="_Toc57901099"/>
      <w:r w:rsidRPr="007B203D">
        <w:rPr>
          <w:sz w:val="28"/>
          <w:szCs w:val="28"/>
        </w:rPr>
        <w:t>Program design considerations</w:t>
      </w:r>
      <w:bookmarkEnd w:id="38"/>
    </w:p>
    <w:p w14:paraId="4FC25500" w14:textId="77777777" w:rsidR="005878E0" w:rsidRPr="00E13FE5" w:rsidRDefault="005878E0" w:rsidP="005878E0">
      <w:pPr>
        <w:spacing w:before="120" w:after="120" w:line="240" w:lineRule="auto"/>
        <w:rPr>
          <w:sz w:val="22"/>
          <w:szCs w:val="22"/>
        </w:rPr>
      </w:pPr>
      <w:r>
        <w:rPr>
          <w:sz w:val="22"/>
          <w:szCs w:val="22"/>
        </w:rPr>
        <w:t>In developing and presenting options t</w:t>
      </w:r>
      <w:r w:rsidRPr="00E13FE5">
        <w:rPr>
          <w:sz w:val="22"/>
          <w:szCs w:val="22"/>
        </w:rPr>
        <w:t xml:space="preserve">he following </w:t>
      </w:r>
      <w:r>
        <w:rPr>
          <w:sz w:val="22"/>
          <w:szCs w:val="22"/>
        </w:rPr>
        <w:t xml:space="preserve">principles have been </w:t>
      </w:r>
      <w:r w:rsidRPr="00E13FE5">
        <w:rPr>
          <w:sz w:val="22"/>
          <w:szCs w:val="22"/>
        </w:rPr>
        <w:t xml:space="preserve">be used to assess and inform </w:t>
      </w:r>
      <w:r>
        <w:rPr>
          <w:sz w:val="22"/>
          <w:szCs w:val="22"/>
        </w:rPr>
        <w:t>the acceptability of a range of options for further consideration by Government</w:t>
      </w:r>
      <w:r w:rsidRPr="00E13FE5">
        <w:rPr>
          <w:sz w:val="22"/>
          <w:szCs w:val="22"/>
        </w:rPr>
        <w:t>:</w:t>
      </w:r>
    </w:p>
    <w:p w14:paraId="6D43D0CA" w14:textId="77777777" w:rsidR="005878E0" w:rsidRPr="0047639B" w:rsidRDefault="005878E0" w:rsidP="007B203D">
      <w:pPr>
        <w:pStyle w:val="ListParagraph"/>
        <w:numPr>
          <w:ilvl w:val="0"/>
          <w:numId w:val="3"/>
        </w:numPr>
        <w:spacing w:before="60" w:after="60" w:line="240" w:lineRule="auto"/>
        <w:ind w:hanging="357"/>
        <w:contextualSpacing w:val="0"/>
        <w:rPr>
          <w:sz w:val="22"/>
          <w:szCs w:val="22"/>
        </w:rPr>
      </w:pPr>
      <w:r w:rsidRPr="00E13FE5">
        <w:rPr>
          <w:sz w:val="22"/>
          <w:szCs w:val="22"/>
        </w:rPr>
        <w:t>Is the proposed optio</w:t>
      </w:r>
      <w:r w:rsidRPr="0047639B">
        <w:rPr>
          <w:sz w:val="22"/>
          <w:szCs w:val="22"/>
        </w:rPr>
        <w:t xml:space="preserve">n </w:t>
      </w:r>
      <w:r w:rsidRPr="0047639B">
        <w:rPr>
          <w:b/>
          <w:sz w:val="22"/>
          <w:szCs w:val="22"/>
        </w:rPr>
        <w:t>Effective</w:t>
      </w:r>
      <w:r w:rsidRPr="0047639B">
        <w:rPr>
          <w:sz w:val="22"/>
          <w:szCs w:val="22"/>
        </w:rPr>
        <w:t>?</w:t>
      </w:r>
    </w:p>
    <w:p w14:paraId="5DADD5E2" w14:textId="77777777" w:rsidR="005878E0" w:rsidRPr="0047639B" w:rsidRDefault="005878E0" w:rsidP="007B203D">
      <w:pPr>
        <w:pStyle w:val="ListParagraph"/>
        <w:numPr>
          <w:ilvl w:val="1"/>
          <w:numId w:val="3"/>
        </w:numPr>
        <w:spacing w:before="60" w:after="60" w:line="240" w:lineRule="auto"/>
        <w:ind w:hanging="357"/>
        <w:contextualSpacing w:val="0"/>
        <w:rPr>
          <w:sz w:val="22"/>
          <w:szCs w:val="22"/>
        </w:rPr>
      </w:pPr>
      <w:r w:rsidRPr="0047639B">
        <w:rPr>
          <w:sz w:val="22"/>
          <w:szCs w:val="22"/>
        </w:rPr>
        <w:t>Does it support Program effectiveness, in that the services result in an outcome of improved hearing for the targeted consumers?</w:t>
      </w:r>
    </w:p>
    <w:p w14:paraId="70F32CB8" w14:textId="77777777" w:rsidR="005878E0" w:rsidRPr="0047639B" w:rsidRDefault="005878E0" w:rsidP="007B203D">
      <w:pPr>
        <w:pStyle w:val="ListParagraph"/>
        <w:numPr>
          <w:ilvl w:val="0"/>
          <w:numId w:val="3"/>
        </w:numPr>
        <w:spacing w:before="60" w:after="60" w:line="240" w:lineRule="auto"/>
        <w:ind w:hanging="357"/>
        <w:contextualSpacing w:val="0"/>
        <w:rPr>
          <w:sz w:val="22"/>
          <w:szCs w:val="22"/>
        </w:rPr>
      </w:pPr>
      <w:r w:rsidRPr="0047639B">
        <w:rPr>
          <w:sz w:val="22"/>
          <w:szCs w:val="22"/>
        </w:rPr>
        <w:t xml:space="preserve">Is the proposed option </w:t>
      </w:r>
      <w:r w:rsidRPr="0047639B">
        <w:rPr>
          <w:b/>
          <w:sz w:val="22"/>
          <w:szCs w:val="22"/>
        </w:rPr>
        <w:t>Efficient</w:t>
      </w:r>
      <w:r w:rsidRPr="0047639B">
        <w:rPr>
          <w:sz w:val="22"/>
          <w:szCs w:val="22"/>
        </w:rPr>
        <w:t>?</w:t>
      </w:r>
    </w:p>
    <w:p w14:paraId="3C078515" w14:textId="77777777" w:rsidR="005878E0" w:rsidRPr="0047639B" w:rsidRDefault="005878E0" w:rsidP="007B203D">
      <w:pPr>
        <w:pStyle w:val="ListParagraph"/>
        <w:numPr>
          <w:ilvl w:val="1"/>
          <w:numId w:val="3"/>
        </w:numPr>
        <w:spacing w:before="60" w:after="60" w:line="240" w:lineRule="auto"/>
        <w:ind w:hanging="357"/>
        <w:contextualSpacing w:val="0"/>
        <w:rPr>
          <w:sz w:val="22"/>
          <w:szCs w:val="22"/>
        </w:rPr>
      </w:pPr>
      <w:r w:rsidRPr="0047639B">
        <w:rPr>
          <w:sz w:val="22"/>
          <w:szCs w:val="22"/>
        </w:rPr>
        <w:t>Is it an appropriate use of taxpayer funds, leading to best delivery of services for a given level of public funding?</w:t>
      </w:r>
    </w:p>
    <w:p w14:paraId="07894263" w14:textId="77777777" w:rsidR="005878E0" w:rsidRPr="0047639B" w:rsidRDefault="005878E0" w:rsidP="007B203D">
      <w:pPr>
        <w:pStyle w:val="ListParagraph"/>
        <w:numPr>
          <w:ilvl w:val="0"/>
          <w:numId w:val="3"/>
        </w:numPr>
        <w:spacing w:before="60" w:after="60" w:line="240" w:lineRule="auto"/>
        <w:ind w:hanging="357"/>
        <w:contextualSpacing w:val="0"/>
        <w:rPr>
          <w:sz w:val="22"/>
          <w:szCs w:val="22"/>
        </w:rPr>
      </w:pPr>
      <w:r w:rsidRPr="0047639B">
        <w:rPr>
          <w:sz w:val="22"/>
          <w:szCs w:val="22"/>
        </w:rPr>
        <w:t xml:space="preserve">Is the proposed option </w:t>
      </w:r>
      <w:r w:rsidRPr="0047639B">
        <w:rPr>
          <w:b/>
          <w:sz w:val="22"/>
          <w:szCs w:val="22"/>
        </w:rPr>
        <w:t>Equitable</w:t>
      </w:r>
      <w:r w:rsidRPr="0047639B">
        <w:rPr>
          <w:sz w:val="22"/>
          <w:szCs w:val="22"/>
        </w:rPr>
        <w:t>?</w:t>
      </w:r>
    </w:p>
    <w:p w14:paraId="37C47594" w14:textId="77777777" w:rsidR="005878E0" w:rsidRPr="0047639B" w:rsidRDefault="005878E0" w:rsidP="007B203D">
      <w:pPr>
        <w:pStyle w:val="ListParagraph"/>
        <w:numPr>
          <w:ilvl w:val="1"/>
          <w:numId w:val="3"/>
        </w:numPr>
        <w:spacing w:before="60" w:after="60" w:line="240" w:lineRule="auto"/>
        <w:ind w:hanging="357"/>
        <w:contextualSpacing w:val="0"/>
        <w:rPr>
          <w:sz w:val="22"/>
          <w:szCs w:val="22"/>
        </w:rPr>
      </w:pPr>
      <w:r w:rsidRPr="0047639B">
        <w:rPr>
          <w:sz w:val="22"/>
          <w:szCs w:val="22"/>
        </w:rPr>
        <w:t xml:space="preserve">Does the option unfairly bias against some consumers, providers, or other stakeholders? </w:t>
      </w:r>
    </w:p>
    <w:p w14:paraId="06DF8FA7" w14:textId="77777777" w:rsidR="005878E0" w:rsidRPr="0047639B" w:rsidRDefault="005878E0" w:rsidP="007B203D">
      <w:pPr>
        <w:pStyle w:val="ListParagraph"/>
        <w:numPr>
          <w:ilvl w:val="0"/>
          <w:numId w:val="3"/>
        </w:numPr>
        <w:spacing w:before="60" w:after="60" w:line="240" w:lineRule="auto"/>
        <w:ind w:hanging="357"/>
        <w:contextualSpacing w:val="0"/>
        <w:rPr>
          <w:sz w:val="22"/>
          <w:szCs w:val="22"/>
        </w:rPr>
      </w:pPr>
      <w:r w:rsidRPr="0047639B">
        <w:rPr>
          <w:sz w:val="22"/>
          <w:szCs w:val="22"/>
        </w:rPr>
        <w:t xml:space="preserve">Is the proposed option </w:t>
      </w:r>
      <w:r w:rsidRPr="0047639B">
        <w:rPr>
          <w:b/>
          <w:sz w:val="22"/>
          <w:szCs w:val="22"/>
        </w:rPr>
        <w:t>Sustainable</w:t>
      </w:r>
      <w:r w:rsidRPr="0047639B">
        <w:rPr>
          <w:sz w:val="22"/>
          <w:szCs w:val="22"/>
        </w:rPr>
        <w:t>?</w:t>
      </w:r>
    </w:p>
    <w:p w14:paraId="4996A7D3" w14:textId="77777777" w:rsidR="005878E0" w:rsidRPr="00E13FE5" w:rsidRDefault="005878E0" w:rsidP="007B203D">
      <w:pPr>
        <w:pStyle w:val="ListParagraph"/>
        <w:numPr>
          <w:ilvl w:val="1"/>
          <w:numId w:val="3"/>
        </w:numPr>
        <w:spacing w:before="60" w:after="60" w:line="240" w:lineRule="auto"/>
        <w:ind w:hanging="357"/>
        <w:contextualSpacing w:val="0"/>
        <w:rPr>
          <w:sz w:val="22"/>
          <w:szCs w:val="22"/>
        </w:rPr>
      </w:pPr>
      <w:r w:rsidRPr="0047639B">
        <w:rPr>
          <w:sz w:val="22"/>
          <w:szCs w:val="22"/>
        </w:rPr>
        <w:t>Is the option able to be implem</w:t>
      </w:r>
      <w:r w:rsidRPr="00E13FE5">
        <w:rPr>
          <w:sz w:val="22"/>
          <w:szCs w:val="22"/>
        </w:rPr>
        <w:t>ented, and maintained, into the future?</w:t>
      </w:r>
    </w:p>
    <w:p w14:paraId="33B11F4C" w14:textId="77777777" w:rsidR="005878E0" w:rsidRPr="007B203D" w:rsidRDefault="005878E0" w:rsidP="007B203D">
      <w:pPr>
        <w:pStyle w:val="Heading2"/>
        <w:rPr>
          <w:sz w:val="28"/>
          <w:szCs w:val="28"/>
        </w:rPr>
      </w:pPr>
      <w:bookmarkStart w:id="39" w:name="_Toc57901100"/>
      <w:r w:rsidRPr="007B203D">
        <w:rPr>
          <w:sz w:val="28"/>
          <w:szCs w:val="28"/>
        </w:rPr>
        <w:t>Options analysis</w:t>
      </w:r>
      <w:bookmarkEnd w:id="39"/>
    </w:p>
    <w:p w14:paraId="2D0A71B0" w14:textId="5671EA76" w:rsidR="005878E0" w:rsidRDefault="005878E0" w:rsidP="005878E0">
      <w:pPr>
        <w:spacing w:before="120" w:after="120" w:line="240" w:lineRule="auto"/>
        <w:rPr>
          <w:sz w:val="22"/>
          <w:szCs w:val="22"/>
        </w:rPr>
      </w:pPr>
      <w:r>
        <w:rPr>
          <w:sz w:val="22"/>
          <w:szCs w:val="22"/>
        </w:rPr>
        <w:t>The Panel has undertaken a primary analysis of five possible policy approaches based on research and data available from the administration of the Program</w:t>
      </w:r>
      <w:r w:rsidRPr="00E13FE5">
        <w:rPr>
          <w:sz w:val="22"/>
          <w:szCs w:val="22"/>
        </w:rPr>
        <w:t xml:space="preserve">. </w:t>
      </w:r>
      <w:r>
        <w:rPr>
          <w:sz w:val="22"/>
          <w:szCs w:val="22"/>
        </w:rPr>
        <w:t>In the broad they either provide financial incentives to industry, or on establishing new service delivery channels to consumers. The five approaches are</w:t>
      </w:r>
      <w:r w:rsidRPr="00E13FE5">
        <w:rPr>
          <w:sz w:val="22"/>
          <w:szCs w:val="22"/>
        </w:rPr>
        <w:t xml:space="preserve"> summarised in </w:t>
      </w:r>
      <w:r w:rsidR="0083673B">
        <w:rPr>
          <w:sz w:val="22"/>
          <w:szCs w:val="22"/>
        </w:rPr>
        <w:fldChar w:fldCharType="begin"/>
      </w:r>
      <w:r w:rsidR="0083673B">
        <w:rPr>
          <w:sz w:val="22"/>
          <w:szCs w:val="22"/>
        </w:rPr>
        <w:instrText xml:space="preserve"> REF _Ref57376297 \h </w:instrText>
      </w:r>
      <w:r w:rsidR="0083673B">
        <w:rPr>
          <w:sz w:val="22"/>
          <w:szCs w:val="22"/>
        </w:rPr>
      </w:r>
      <w:r w:rsidR="0083673B">
        <w:rPr>
          <w:sz w:val="22"/>
          <w:szCs w:val="22"/>
        </w:rPr>
        <w:fldChar w:fldCharType="separate"/>
      </w:r>
      <w:r w:rsidR="00DD11FB" w:rsidRPr="00E13FE5">
        <w:rPr>
          <w:sz w:val="22"/>
          <w:szCs w:val="22"/>
        </w:rPr>
        <w:t xml:space="preserve">Table </w:t>
      </w:r>
      <w:r w:rsidR="00DD11FB">
        <w:rPr>
          <w:noProof/>
          <w:sz w:val="22"/>
          <w:szCs w:val="22"/>
        </w:rPr>
        <w:t>3</w:t>
      </w:r>
      <w:r w:rsidR="0083673B">
        <w:rPr>
          <w:sz w:val="22"/>
          <w:szCs w:val="22"/>
        </w:rPr>
        <w:fldChar w:fldCharType="end"/>
      </w:r>
      <w:r>
        <w:rPr>
          <w:sz w:val="22"/>
          <w:szCs w:val="22"/>
        </w:rPr>
        <w:t>, noting that the implementation approaches presented may not be</w:t>
      </w:r>
      <w:r w:rsidRPr="00E13FE5">
        <w:rPr>
          <w:sz w:val="22"/>
          <w:szCs w:val="22"/>
        </w:rPr>
        <w:t xml:space="preserve"> mutually exclusive.</w:t>
      </w:r>
    </w:p>
    <w:p w14:paraId="04B846EE" w14:textId="5DD39880" w:rsidR="005878E0" w:rsidRPr="00E13FE5" w:rsidRDefault="005878E0" w:rsidP="005878E0">
      <w:pPr>
        <w:pStyle w:val="Caption"/>
        <w:keepNext/>
        <w:spacing w:before="120" w:after="120"/>
        <w:rPr>
          <w:sz w:val="22"/>
          <w:szCs w:val="22"/>
        </w:rPr>
      </w:pPr>
      <w:bookmarkStart w:id="40" w:name="_Ref57376297"/>
      <w:bookmarkStart w:id="41" w:name="_Toc57387629"/>
      <w:r w:rsidRPr="00E13FE5">
        <w:rPr>
          <w:sz w:val="22"/>
          <w:szCs w:val="22"/>
        </w:rPr>
        <w:t xml:space="preserve">Table </w:t>
      </w:r>
      <w:r w:rsidRPr="00E13FE5">
        <w:rPr>
          <w:sz w:val="22"/>
          <w:szCs w:val="22"/>
        </w:rPr>
        <w:fldChar w:fldCharType="begin"/>
      </w:r>
      <w:r w:rsidRPr="00E13FE5">
        <w:rPr>
          <w:sz w:val="22"/>
          <w:szCs w:val="22"/>
        </w:rPr>
        <w:instrText xml:space="preserve"> SEQ Table \* ARABIC </w:instrText>
      </w:r>
      <w:r w:rsidRPr="00E13FE5">
        <w:rPr>
          <w:sz w:val="22"/>
          <w:szCs w:val="22"/>
        </w:rPr>
        <w:fldChar w:fldCharType="separate"/>
      </w:r>
      <w:r w:rsidR="00DD11FB">
        <w:rPr>
          <w:noProof/>
          <w:sz w:val="22"/>
          <w:szCs w:val="22"/>
        </w:rPr>
        <w:t>3</w:t>
      </w:r>
      <w:r w:rsidRPr="00E13FE5">
        <w:rPr>
          <w:sz w:val="22"/>
          <w:szCs w:val="22"/>
        </w:rPr>
        <w:fldChar w:fldCharType="end"/>
      </w:r>
      <w:bookmarkEnd w:id="40"/>
      <w:r w:rsidRPr="00E13FE5">
        <w:rPr>
          <w:sz w:val="22"/>
          <w:szCs w:val="22"/>
        </w:rPr>
        <w:t xml:space="preserve">: Summary of options suggested to support </w:t>
      </w:r>
      <w:r>
        <w:rPr>
          <w:sz w:val="22"/>
          <w:szCs w:val="22"/>
        </w:rPr>
        <w:t>the implementation</w:t>
      </w:r>
      <w:r w:rsidRPr="00E13FE5" w:rsidDel="00191741">
        <w:rPr>
          <w:sz w:val="22"/>
          <w:szCs w:val="22"/>
        </w:rPr>
        <w:t>.</w:t>
      </w:r>
      <w:bookmarkEnd w:id="41"/>
    </w:p>
    <w:tbl>
      <w:tblPr>
        <w:tblStyle w:val="TableGrid"/>
        <w:tblW w:w="0" w:type="auto"/>
        <w:tblLook w:val="04A0" w:firstRow="1" w:lastRow="0" w:firstColumn="1" w:lastColumn="0" w:noHBand="0" w:noVBand="1"/>
        <w:tblCaption w:val="Table 3"/>
        <w:tblDescription w:val="This table provides a listed summary of suggested options to support the implementation."/>
      </w:tblPr>
      <w:tblGrid>
        <w:gridCol w:w="1129"/>
        <w:gridCol w:w="7656"/>
      </w:tblGrid>
      <w:tr w:rsidR="005878E0" w:rsidRPr="00256F40" w14:paraId="15AFB5E5" w14:textId="77777777" w:rsidTr="00603828">
        <w:trPr>
          <w:cantSplit/>
          <w:tblHeader/>
        </w:trPr>
        <w:tc>
          <w:tcPr>
            <w:tcW w:w="1129" w:type="dxa"/>
            <w:shd w:val="clear" w:color="auto" w:fill="ED7D31" w:themeFill="accent2"/>
            <w:vAlign w:val="center"/>
          </w:tcPr>
          <w:p w14:paraId="2C85D1B5" w14:textId="77777777" w:rsidR="005878E0" w:rsidRPr="00256F40" w:rsidRDefault="005878E0" w:rsidP="00603828">
            <w:pPr>
              <w:rPr>
                <w:b/>
                <w:color w:val="FFFFFF" w:themeColor="background1"/>
                <w:sz w:val="22"/>
                <w:szCs w:val="22"/>
              </w:rPr>
            </w:pPr>
            <w:r w:rsidRPr="00256F40">
              <w:rPr>
                <w:b/>
                <w:color w:val="FFFFFF" w:themeColor="background1"/>
                <w:sz w:val="22"/>
                <w:szCs w:val="22"/>
              </w:rPr>
              <w:t>Option ID</w:t>
            </w:r>
          </w:p>
        </w:tc>
        <w:tc>
          <w:tcPr>
            <w:tcW w:w="7656" w:type="dxa"/>
            <w:shd w:val="clear" w:color="auto" w:fill="ED7D31" w:themeFill="accent2"/>
            <w:vAlign w:val="center"/>
          </w:tcPr>
          <w:p w14:paraId="24CADDE7" w14:textId="77777777" w:rsidR="005878E0" w:rsidRPr="00256F40" w:rsidRDefault="005878E0" w:rsidP="00603828">
            <w:pPr>
              <w:rPr>
                <w:b/>
                <w:color w:val="FFFFFF" w:themeColor="background1"/>
                <w:sz w:val="22"/>
                <w:szCs w:val="22"/>
              </w:rPr>
            </w:pPr>
            <w:r w:rsidRPr="00256F40">
              <w:rPr>
                <w:b/>
                <w:color w:val="FFFFFF" w:themeColor="background1"/>
                <w:sz w:val="22"/>
                <w:szCs w:val="22"/>
              </w:rPr>
              <w:t>Details</w:t>
            </w:r>
          </w:p>
        </w:tc>
      </w:tr>
      <w:tr w:rsidR="005878E0" w:rsidRPr="00256F40" w14:paraId="2AE021FD" w14:textId="77777777" w:rsidTr="00603828">
        <w:trPr>
          <w:cantSplit/>
        </w:trPr>
        <w:tc>
          <w:tcPr>
            <w:tcW w:w="1129" w:type="dxa"/>
            <w:vAlign w:val="center"/>
          </w:tcPr>
          <w:p w14:paraId="10E1D6E7" w14:textId="77777777" w:rsidR="005878E0" w:rsidRPr="0047639B" w:rsidRDefault="005878E0" w:rsidP="00603828">
            <w:pPr>
              <w:rPr>
                <w:sz w:val="22"/>
                <w:szCs w:val="22"/>
              </w:rPr>
            </w:pPr>
            <w:r w:rsidRPr="0047639B">
              <w:rPr>
                <w:sz w:val="22"/>
                <w:szCs w:val="22"/>
              </w:rPr>
              <w:t>1</w:t>
            </w:r>
          </w:p>
        </w:tc>
        <w:tc>
          <w:tcPr>
            <w:tcW w:w="7656" w:type="dxa"/>
            <w:vAlign w:val="center"/>
          </w:tcPr>
          <w:p w14:paraId="42FE250C" w14:textId="77777777" w:rsidR="005878E0" w:rsidRPr="00E13FE5" w:rsidRDefault="005878E0" w:rsidP="00603828">
            <w:pPr>
              <w:rPr>
                <w:sz w:val="22"/>
                <w:szCs w:val="22"/>
              </w:rPr>
            </w:pPr>
            <w:r w:rsidRPr="006801EB">
              <w:rPr>
                <w:sz w:val="22"/>
                <w:szCs w:val="22"/>
              </w:rPr>
              <w:t>Loading on service items (claims)</w:t>
            </w:r>
            <w:r>
              <w:rPr>
                <w:sz w:val="22"/>
                <w:szCs w:val="22"/>
              </w:rPr>
              <w:t xml:space="preserve"> delivered in rural and remote areas</w:t>
            </w:r>
          </w:p>
        </w:tc>
      </w:tr>
      <w:tr w:rsidR="005878E0" w:rsidRPr="00256F40" w14:paraId="1CA3A4DF" w14:textId="77777777" w:rsidTr="00603828">
        <w:trPr>
          <w:cantSplit/>
        </w:trPr>
        <w:tc>
          <w:tcPr>
            <w:tcW w:w="1129" w:type="dxa"/>
            <w:vAlign w:val="center"/>
          </w:tcPr>
          <w:p w14:paraId="7384BE93" w14:textId="77777777" w:rsidR="005878E0" w:rsidRPr="0047639B" w:rsidRDefault="005878E0" w:rsidP="00603828">
            <w:pPr>
              <w:rPr>
                <w:sz w:val="22"/>
                <w:szCs w:val="22"/>
              </w:rPr>
            </w:pPr>
            <w:r w:rsidRPr="0047639B">
              <w:rPr>
                <w:sz w:val="22"/>
                <w:szCs w:val="22"/>
              </w:rPr>
              <w:t>2</w:t>
            </w:r>
          </w:p>
        </w:tc>
        <w:tc>
          <w:tcPr>
            <w:tcW w:w="7656" w:type="dxa"/>
            <w:vAlign w:val="center"/>
          </w:tcPr>
          <w:p w14:paraId="468FFB2C" w14:textId="77777777" w:rsidR="005878E0" w:rsidRPr="006801EB" w:rsidRDefault="005878E0" w:rsidP="00603828">
            <w:pPr>
              <w:rPr>
                <w:sz w:val="22"/>
                <w:szCs w:val="22"/>
              </w:rPr>
            </w:pPr>
            <w:r w:rsidRPr="006801EB">
              <w:rPr>
                <w:sz w:val="22"/>
                <w:szCs w:val="22"/>
              </w:rPr>
              <w:t>Loading on providers and/or sites</w:t>
            </w:r>
            <w:r>
              <w:rPr>
                <w:sz w:val="22"/>
                <w:szCs w:val="22"/>
              </w:rPr>
              <w:t xml:space="preserve"> operating in rural and remote areas</w:t>
            </w:r>
          </w:p>
        </w:tc>
      </w:tr>
      <w:tr w:rsidR="005878E0" w:rsidRPr="00256F40" w14:paraId="5F0622AB" w14:textId="77777777" w:rsidTr="00603828">
        <w:trPr>
          <w:cantSplit/>
        </w:trPr>
        <w:tc>
          <w:tcPr>
            <w:tcW w:w="1129" w:type="dxa"/>
            <w:vAlign w:val="center"/>
          </w:tcPr>
          <w:p w14:paraId="4CF8C957" w14:textId="77777777" w:rsidR="005878E0" w:rsidRPr="0047639B" w:rsidRDefault="005878E0" w:rsidP="00603828">
            <w:pPr>
              <w:rPr>
                <w:sz w:val="22"/>
                <w:szCs w:val="22"/>
              </w:rPr>
            </w:pPr>
            <w:r w:rsidRPr="0047639B">
              <w:rPr>
                <w:sz w:val="22"/>
                <w:szCs w:val="22"/>
              </w:rPr>
              <w:t>3</w:t>
            </w:r>
          </w:p>
        </w:tc>
        <w:tc>
          <w:tcPr>
            <w:tcW w:w="7656" w:type="dxa"/>
            <w:vAlign w:val="center"/>
          </w:tcPr>
          <w:p w14:paraId="7F50EFA2" w14:textId="77777777" w:rsidR="005878E0" w:rsidRPr="00E13FE5" w:rsidRDefault="005878E0" w:rsidP="00603828">
            <w:pPr>
              <w:rPr>
                <w:sz w:val="22"/>
                <w:szCs w:val="22"/>
              </w:rPr>
            </w:pPr>
            <w:r>
              <w:rPr>
                <w:sz w:val="22"/>
                <w:szCs w:val="22"/>
              </w:rPr>
              <w:t>Additional loading paid annually to support small and medium providers</w:t>
            </w:r>
          </w:p>
        </w:tc>
      </w:tr>
      <w:tr w:rsidR="005878E0" w:rsidRPr="00256F40" w14:paraId="6F0588F8" w14:textId="77777777" w:rsidTr="00603828">
        <w:trPr>
          <w:cantSplit/>
        </w:trPr>
        <w:tc>
          <w:tcPr>
            <w:tcW w:w="1129" w:type="dxa"/>
            <w:vAlign w:val="center"/>
          </w:tcPr>
          <w:p w14:paraId="096CEE0A" w14:textId="77777777" w:rsidR="005878E0" w:rsidRPr="0047639B" w:rsidRDefault="005878E0" w:rsidP="00603828">
            <w:pPr>
              <w:rPr>
                <w:sz w:val="22"/>
                <w:szCs w:val="22"/>
              </w:rPr>
            </w:pPr>
            <w:r w:rsidRPr="0047639B">
              <w:rPr>
                <w:sz w:val="22"/>
                <w:szCs w:val="22"/>
              </w:rPr>
              <w:t>4</w:t>
            </w:r>
          </w:p>
        </w:tc>
        <w:tc>
          <w:tcPr>
            <w:tcW w:w="7656" w:type="dxa"/>
            <w:vAlign w:val="center"/>
          </w:tcPr>
          <w:p w14:paraId="32F4A909" w14:textId="77777777" w:rsidR="005878E0" w:rsidRPr="00E13FE5" w:rsidRDefault="005878E0" w:rsidP="00603828">
            <w:pPr>
              <w:rPr>
                <w:sz w:val="22"/>
                <w:szCs w:val="22"/>
              </w:rPr>
            </w:pPr>
            <w:r w:rsidRPr="00E13FE5">
              <w:rPr>
                <w:sz w:val="22"/>
                <w:szCs w:val="22"/>
              </w:rPr>
              <w:t xml:space="preserve">Some rules relating to </w:t>
            </w:r>
            <w:proofErr w:type="spellStart"/>
            <w:r w:rsidRPr="00E13FE5">
              <w:rPr>
                <w:sz w:val="22"/>
                <w:szCs w:val="22"/>
              </w:rPr>
              <w:t>teleaudiology</w:t>
            </w:r>
            <w:proofErr w:type="spellEnd"/>
            <w:r w:rsidRPr="00E13FE5">
              <w:rPr>
                <w:sz w:val="22"/>
                <w:szCs w:val="22"/>
              </w:rPr>
              <w:t xml:space="preserve"> were relaxed in response to COVID-19. These could be continued, or expanded upon, to </w:t>
            </w:r>
            <w:r>
              <w:rPr>
                <w:sz w:val="22"/>
                <w:szCs w:val="22"/>
              </w:rPr>
              <w:t>enhance</w:t>
            </w:r>
            <w:r w:rsidRPr="00E13FE5">
              <w:rPr>
                <w:sz w:val="22"/>
                <w:szCs w:val="22"/>
              </w:rPr>
              <w:t xml:space="preserve"> the offering of </w:t>
            </w:r>
            <w:proofErr w:type="spellStart"/>
            <w:r w:rsidRPr="00E13FE5">
              <w:rPr>
                <w:sz w:val="22"/>
                <w:szCs w:val="22"/>
              </w:rPr>
              <w:t>teleaudiology</w:t>
            </w:r>
            <w:proofErr w:type="spellEnd"/>
            <w:r w:rsidRPr="00E13FE5">
              <w:rPr>
                <w:sz w:val="22"/>
                <w:szCs w:val="22"/>
              </w:rPr>
              <w:t xml:space="preserve"> services</w:t>
            </w:r>
          </w:p>
        </w:tc>
      </w:tr>
      <w:tr w:rsidR="005878E0" w:rsidRPr="00256F40" w14:paraId="74FBCB2F" w14:textId="77777777" w:rsidTr="00603828">
        <w:trPr>
          <w:cantSplit/>
        </w:trPr>
        <w:tc>
          <w:tcPr>
            <w:tcW w:w="1129" w:type="dxa"/>
            <w:vAlign w:val="center"/>
          </w:tcPr>
          <w:p w14:paraId="426495F8" w14:textId="77777777" w:rsidR="005878E0" w:rsidRPr="0047639B" w:rsidRDefault="005878E0" w:rsidP="00603828">
            <w:pPr>
              <w:rPr>
                <w:sz w:val="22"/>
                <w:szCs w:val="22"/>
              </w:rPr>
            </w:pPr>
            <w:r w:rsidRPr="0047639B">
              <w:rPr>
                <w:sz w:val="22"/>
                <w:szCs w:val="22"/>
              </w:rPr>
              <w:t>5</w:t>
            </w:r>
          </w:p>
        </w:tc>
        <w:tc>
          <w:tcPr>
            <w:tcW w:w="7656" w:type="dxa"/>
            <w:vAlign w:val="center"/>
          </w:tcPr>
          <w:p w14:paraId="27DA18F2" w14:textId="77777777" w:rsidR="005878E0" w:rsidRPr="00E13FE5" w:rsidRDefault="005878E0" w:rsidP="00603828">
            <w:pPr>
              <w:rPr>
                <w:sz w:val="22"/>
                <w:szCs w:val="22"/>
              </w:rPr>
            </w:pPr>
            <w:r w:rsidRPr="00E13FE5">
              <w:rPr>
                <w:sz w:val="22"/>
                <w:szCs w:val="22"/>
              </w:rPr>
              <w:t>Partner with existing allied health providers (e.g. bush nurses</w:t>
            </w:r>
            <w:r>
              <w:rPr>
                <w:sz w:val="22"/>
                <w:szCs w:val="22"/>
              </w:rPr>
              <w:t>, pharmacists</w:t>
            </w:r>
            <w:r w:rsidRPr="00E13FE5">
              <w:rPr>
                <w:sz w:val="22"/>
                <w:szCs w:val="22"/>
              </w:rPr>
              <w:t xml:space="preserve">) to </w:t>
            </w:r>
            <w:r>
              <w:rPr>
                <w:sz w:val="22"/>
                <w:szCs w:val="22"/>
              </w:rPr>
              <w:t xml:space="preserve">have them trained to </w:t>
            </w:r>
            <w:r w:rsidRPr="00E13FE5">
              <w:rPr>
                <w:sz w:val="22"/>
                <w:szCs w:val="22"/>
              </w:rPr>
              <w:t>deliver audiology through a ‘hub and spoke’ model into rural and remote areas</w:t>
            </w:r>
          </w:p>
        </w:tc>
      </w:tr>
    </w:tbl>
    <w:p w14:paraId="1F958BE7" w14:textId="77777777" w:rsidR="005878E0" w:rsidRPr="007B203D" w:rsidRDefault="005878E0" w:rsidP="007B203D">
      <w:pPr>
        <w:pStyle w:val="Heading3"/>
      </w:pPr>
      <w:bookmarkStart w:id="42" w:name="_Ref57376347"/>
      <w:bookmarkStart w:id="43" w:name="_Ref57376360"/>
      <w:bookmarkStart w:id="44" w:name="_Ref57376417"/>
      <w:bookmarkStart w:id="45" w:name="_Toc57901101"/>
      <w:r w:rsidRPr="00E80D58">
        <w:t>Option #1 – Rural and Remote loading on serv</w:t>
      </w:r>
      <w:r w:rsidRPr="000D199E">
        <w:t>ices</w:t>
      </w:r>
      <w:bookmarkEnd w:id="42"/>
      <w:bookmarkEnd w:id="43"/>
      <w:bookmarkEnd w:id="44"/>
      <w:bookmarkEnd w:id="45"/>
    </w:p>
    <w:p w14:paraId="4724E3BA" w14:textId="7C72D796" w:rsidR="005878E0" w:rsidRPr="00E13FE5" w:rsidRDefault="005878E0" w:rsidP="005878E0">
      <w:pPr>
        <w:spacing w:before="120" w:after="120" w:line="240" w:lineRule="auto"/>
        <w:rPr>
          <w:sz w:val="22"/>
          <w:szCs w:val="22"/>
        </w:rPr>
      </w:pPr>
      <w:r w:rsidRPr="00E13FE5">
        <w:rPr>
          <w:sz w:val="22"/>
          <w:szCs w:val="22"/>
        </w:rPr>
        <w:t>This option</w:t>
      </w:r>
      <w:r>
        <w:rPr>
          <w:sz w:val="22"/>
          <w:szCs w:val="22"/>
        </w:rPr>
        <w:t xml:space="preserve"> provides </w:t>
      </w:r>
      <w:r w:rsidRPr="00E13FE5">
        <w:rPr>
          <w:sz w:val="22"/>
          <w:szCs w:val="22"/>
        </w:rPr>
        <w:t xml:space="preserve">additional loading </w:t>
      </w:r>
      <w:r>
        <w:rPr>
          <w:sz w:val="22"/>
          <w:szCs w:val="22"/>
        </w:rPr>
        <w:t xml:space="preserve">payments </w:t>
      </w:r>
      <w:r w:rsidRPr="00E13FE5">
        <w:rPr>
          <w:sz w:val="22"/>
          <w:szCs w:val="22"/>
        </w:rPr>
        <w:t>to be applied to</w:t>
      </w:r>
      <w:r>
        <w:rPr>
          <w:sz w:val="22"/>
          <w:szCs w:val="22"/>
        </w:rPr>
        <w:t xml:space="preserve"> </w:t>
      </w:r>
      <w:r w:rsidRPr="00E13FE5">
        <w:rPr>
          <w:sz w:val="22"/>
          <w:szCs w:val="22"/>
        </w:rPr>
        <w:t xml:space="preserve">Voucher Scheme claim payments where the </w:t>
      </w:r>
      <w:r>
        <w:rPr>
          <w:sz w:val="22"/>
          <w:szCs w:val="22"/>
        </w:rPr>
        <w:t>location of the services is in targeted regions (MM 3 – MM 7)</w:t>
      </w:r>
      <w:r w:rsidRPr="00E13FE5">
        <w:rPr>
          <w:sz w:val="22"/>
          <w:szCs w:val="22"/>
        </w:rPr>
        <w:t xml:space="preserve">. </w:t>
      </w:r>
      <w:r>
        <w:rPr>
          <w:sz w:val="22"/>
          <w:szCs w:val="22"/>
        </w:rPr>
        <w:t>The loading</w:t>
      </w:r>
      <w:r w:rsidRPr="00E13FE5">
        <w:rPr>
          <w:sz w:val="22"/>
          <w:szCs w:val="22"/>
        </w:rPr>
        <w:t xml:space="preserve"> would provide </w:t>
      </w:r>
      <w:r>
        <w:rPr>
          <w:sz w:val="22"/>
          <w:szCs w:val="22"/>
        </w:rPr>
        <w:t>a financial</w:t>
      </w:r>
      <w:r w:rsidRPr="00E13FE5">
        <w:rPr>
          <w:sz w:val="22"/>
          <w:szCs w:val="22"/>
        </w:rPr>
        <w:t xml:space="preserve"> incentive for services to </w:t>
      </w:r>
      <w:r>
        <w:rPr>
          <w:sz w:val="22"/>
          <w:szCs w:val="22"/>
        </w:rPr>
        <w:t>remain in, or be newly</w:t>
      </w:r>
      <w:r w:rsidRPr="00E13FE5">
        <w:rPr>
          <w:sz w:val="22"/>
          <w:szCs w:val="22"/>
        </w:rPr>
        <w:t xml:space="preserve"> delivered in</w:t>
      </w:r>
      <w:r>
        <w:rPr>
          <w:sz w:val="22"/>
          <w:szCs w:val="22"/>
        </w:rPr>
        <w:t>,</w:t>
      </w:r>
      <w:r w:rsidRPr="00E13FE5">
        <w:rPr>
          <w:sz w:val="22"/>
          <w:szCs w:val="22"/>
        </w:rPr>
        <w:t xml:space="preserve"> these markets, which may not otherwise </w:t>
      </w:r>
      <w:r>
        <w:rPr>
          <w:sz w:val="22"/>
          <w:szCs w:val="22"/>
        </w:rPr>
        <w:t xml:space="preserve">continue to </w:t>
      </w:r>
      <w:r w:rsidRPr="00E13FE5">
        <w:rPr>
          <w:sz w:val="22"/>
          <w:szCs w:val="22"/>
        </w:rPr>
        <w:t>be financially viable.</w:t>
      </w:r>
      <w:r>
        <w:rPr>
          <w:sz w:val="22"/>
          <w:szCs w:val="22"/>
        </w:rPr>
        <w:t xml:space="preserve"> </w:t>
      </w:r>
      <w:r w:rsidRPr="00283FC1">
        <w:rPr>
          <w:sz w:val="22"/>
          <w:szCs w:val="22"/>
        </w:rPr>
        <w:t xml:space="preserve">This option is broadly similar to the Workforce Incentive Program </w:t>
      </w:r>
      <w:sdt>
        <w:sdtPr>
          <w:rPr>
            <w:sz w:val="22"/>
            <w:szCs w:val="22"/>
          </w:rPr>
          <w:id w:val="-899283854"/>
          <w:citation/>
        </w:sdtPr>
        <w:sdtEndPr/>
        <w:sdtContent>
          <w:r w:rsidRPr="00283FC1">
            <w:rPr>
              <w:sz w:val="22"/>
              <w:szCs w:val="22"/>
            </w:rPr>
            <w:fldChar w:fldCharType="begin"/>
          </w:r>
          <w:r w:rsidRPr="00283FC1">
            <w:rPr>
              <w:sz w:val="22"/>
              <w:szCs w:val="22"/>
              <w:vertAlign w:val="superscript"/>
            </w:rPr>
            <w:instrText xml:space="preserve"> CITATION Aus19 \l 3081 </w:instrText>
          </w:r>
          <w:r w:rsidRPr="00283FC1">
            <w:rPr>
              <w:sz w:val="22"/>
              <w:szCs w:val="22"/>
            </w:rPr>
            <w:fldChar w:fldCharType="separate"/>
          </w:r>
          <w:r w:rsidR="0083673B" w:rsidRPr="0083673B">
            <w:rPr>
              <w:noProof/>
              <w:sz w:val="22"/>
              <w:szCs w:val="22"/>
            </w:rPr>
            <w:t>(Australian Government Department of Health, 2019)</w:t>
          </w:r>
          <w:r w:rsidRPr="00283FC1">
            <w:rPr>
              <w:sz w:val="22"/>
              <w:szCs w:val="22"/>
            </w:rPr>
            <w:fldChar w:fldCharType="end"/>
          </w:r>
        </w:sdtContent>
      </w:sdt>
      <w:r w:rsidRPr="00283FC1">
        <w:rPr>
          <w:sz w:val="22"/>
          <w:szCs w:val="22"/>
        </w:rPr>
        <w:t>, which provides targeted financial incentives to encourage doctors to deliver services in rural and remote areas.</w:t>
      </w:r>
    </w:p>
    <w:p w14:paraId="6D4122FF" w14:textId="77777777" w:rsidR="005878E0" w:rsidRPr="00E13FE5" w:rsidRDefault="005878E0" w:rsidP="005878E0">
      <w:pPr>
        <w:spacing w:before="120" w:after="120" w:line="240" w:lineRule="auto"/>
        <w:rPr>
          <w:sz w:val="22"/>
          <w:szCs w:val="22"/>
        </w:rPr>
      </w:pPr>
      <w:r w:rsidRPr="00E13FE5">
        <w:rPr>
          <w:sz w:val="22"/>
          <w:szCs w:val="22"/>
        </w:rPr>
        <w:t xml:space="preserve">If this option were to be implemented, </w:t>
      </w:r>
      <w:r>
        <w:rPr>
          <w:sz w:val="22"/>
          <w:szCs w:val="22"/>
        </w:rPr>
        <w:t>i</w:t>
      </w:r>
      <w:r w:rsidRPr="00E13FE5">
        <w:rPr>
          <w:sz w:val="22"/>
          <w:szCs w:val="22"/>
        </w:rPr>
        <w:t xml:space="preserve">t may also </w:t>
      </w:r>
      <w:r>
        <w:rPr>
          <w:sz w:val="22"/>
          <w:szCs w:val="22"/>
        </w:rPr>
        <w:t>encourage</w:t>
      </w:r>
      <w:r w:rsidRPr="00E13FE5">
        <w:rPr>
          <w:sz w:val="22"/>
          <w:szCs w:val="22"/>
        </w:rPr>
        <w:t xml:space="preserve"> major providers with national reach and economies of scale to move into rural and remote areas to compete against existing providers in these markets</w:t>
      </w:r>
      <w:r>
        <w:rPr>
          <w:sz w:val="22"/>
          <w:szCs w:val="22"/>
        </w:rPr>
        <w:t>. There is a balance between the benefits to consumers from having increased choices of providers compared to having access to smaller and more agile providers</w:t>
      </w:r>
      <w:r w:rsidRPr="00E13FE5">
        <w:rPr>
          <w:sz w:val="22"/>
          <w:szCs w:val="22"/>
        </w:rPr>
        <w:t>.</w:t>
      </w:r>
    </w:p>
    <w:p w14:paraId="76E874F6" w14:textId="77777777" w:rsidR="005878E0" w:rsidRPr="00E13FE5" w:rsidRDefault="005878E0" w:rsidP="002E7C67">
      <w:pPr>
        <w:keepNext/>
        <w:keepLines/>
        <w:pageBreakBefore/>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rPr>
          <w:sz w:val="22"/>
          <w:szCs w:val="22"/>
        </w:rPr>
      </w:pPr>
      <w:r w:rsidRPr="00E13FE5">
        <w:rPr>
          <w:b/>
          <w:sz w:val="22"/>
          <w:szCs w:val="22"/>
        </w:rPr>
        <w:t xml:space="preserve">Assessment of Option #1 – </w:t>
      </w:r>
      <w:r>
        <w:rPr>
          <w:b/>
          <w:sz w:val="22"/>
          <w:szCs w:val="22"/>
        </w:rPr>
        <w:t xml:space="preserve">Rural and Remote </w:t>
      </w:r>
      <w:r w:rsidRPr="00E13FE5">
        <w:rPr>
          <w:b/>
          <w:sz w:val="22"/>
          <w:szCs w:val="22"/>
        </w:rPr>
        <w:t>loading on services</w:t>
      </w:r>
    </w:p>
    <w:p w14:paraId="4EDC09F6" w14:textId="1EF3887E" w:rsidR="005878E0"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rPr>
          <w:sz w:val="22"/>
          <w:szCs w:val="22"/>
        </w:rPr>
      </w:pPr>
      <w:r w:rsidRPr="002524F6">
        <w:rPr>
          <w:sz w:val="22"/>
          <w:szCs w:val="22"/>
        </w:rPr>
        <w:t xml:space="preserve">Option 1 would be an </w:t>
      </w:r>
      <w:r w:rsidRPr="00ED146F">
        <w:rPr>
          <w:sz w:val="22"/>
          <w:szCs w:val="22"/>
        </w:rPr>
        <w:t>effective</w:t>
      </w:r>
      <w:r w:rsidRPr="002524F6">
        <w:rPr>
          <w:sz w:val="22"/>
          <w:szCs w:val="22"/>
        </w:rPr>
        <w:t xml:space="preserve"> means of ensuring that, in the light of the </w:t>
      </w:r>
      <w:r w:rsidR="0083673B">
        <w:rPr>
          <w:sz w:val="22"/>
          <w:szCs w:val="22"/>
        </w:rPr>
        <w:fldChar w:fldCharType="begin"/>
      </w:r>
      <w:r w:rsidR="0083673B">
        <w:rPr>
          <w:sz w:val="22"/>
          <w:szCs w:val="22"/>
        </w:rPr>
        <w:instrText xml:space="preserve"> REF _Ref57376323 \h  \* MERGEFORMAT </w:instrText>
      </w:r>
      <w:r w:rsidR="0083673B">
        <w:rPr>
          <w:sz w:val="22"/>
          <w:szCs w:val="22"/>
        </w:rPr>
      </w:r>
      <w:r w:rsidR="0083673B">
        <w:rPr>
          <w:sz w:val="22"/>
          <w:szCs w:val="22"/>
        </w:rPr>
        <w:fldChar w:fldCharType="separate"/>
      </w:r>
      <w:r w:rsidR="00DD11FB" w:rsidRPr="00DD11FB">
        <w:rPr>
          <w:sz w:val="22"/>
          <w:szCs w:val="22"/>
        </w:rPr>
        <w:t>FY2020-21 Federal Budget announcements</w:t>
      </w:r>
      <w:r w:rsidR="0083673B">
        <w:rPr>
          <w:sz w:val="22"/>
          <w:szCs w:val="22"/>
        </w:rPr>
        <w:fldChar w:fldCharType="end"/>
      </w:r>
      <w:r w:rsidRPr="002524F6">
        <w:rPr>
          <w:sz w:val="22"/>
          <w:szCs w:val="22"/>
        </w:rPr>
        <w:t xml:space="preserve">, there is ongoing access to hearing services for consumers in rural and remote areas. However, it may </w:t>
      </w:r>
      <w:r>
        <w:rPr>
          <w:sz w:val="22"/>
          <w:szCs w:val="22"/>
        </w:rPr>
        <w:t>impact on the business models of some providers in terms of metropolitan versus regional service delivery</w:t>
      </w:r>
      <w:r w:rsidRPr="002524F6">
        <w:rPr>
          <w:sz w:val="22"/>
          <w:szCs w:val="22"/>
        </w:rPr>
        <w:t xml:space="preserve"> unless the rules and policies </w:t>
      </w:r>
      <w:r>
        <w:rPr>
          <w:sz w:val="22"/>
          <w:szCs w:val="22"/>
        </w:rPr>
        <w:t>are</w:t>
      </w:r>
      <w:r w:rsidRPr="002524F6">
        <w:rPr>
          <w:sz w:val="22"/>
          <w:szCs w:val="22"/>
        </w:rPr>
        <w:t xml:space="preserve"> carefully calibrated and maintained. </w:t>
      </w:r>
    </w:p>
    <w:p w14:paraId="6A77014D" w14:textId="77777777" w:rsidR="005878E0"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rPr>
          <w:sz w:val="22"/>
          <w:szCs w:val="22"/>
        </w:rPr>
      </w:pPr>
      <w:r w:rsidRPr="002524F6">
        <w:rPr>
          <w:sz w:val="22"/>
          <w:szCs w:val="22"/>
        </w:rPr>
        <w:t xml:space="preserve">There are similar issues with regards to the </w:t>
      </w:r>
      <w:r w:rsidRPr="00ED146F">
        <w:rPr>
          <w:sz w:val="22"/>
          <w:szCs w:val="22"/>
        </w:rPr>
        <w:t>equity</w:t>
      </w:r>
      <w:r w:rsidRPr="00EC299D">
        <w:rPr>
          <w:sz w:val="22"/>
          <w:szCs w:val="22"/>
        </w:rPr>
        <w:t xml:space="preserve"> </w:t>
      </w:r>
      <w:r w:rsidRPr="002524F6">
        <w:rPr>
          <w:sz w:val="22"/>
          <w:szCs w:val="22"/>
        </w:rPr>
        <w:t xml:space="preserve">and </w:t>
      </w:r>
      <w:r w:rsidRPr="00ED146F">
        <w:rPr>
          <w:sz w:val="22"/>
          <w:szCs w:val="22"/>
        </w:rPr>
        <w:t>sustainability</w:t>
      </w:r>
      <w:r w:rsidRPr="00EC299D">
        <w:rPr>
          <w:sz w:val="22"/>
          <w:szCs w:val="22"/>
        </w:rPr>
        <w:t xml:space="preserve"> </w:t>
      </w:r>
      <w:r w:rsidRPr="002524F6">
        <w:rPr>
          <w:sz w:val="22"/>
          <w:szCs w:val="22"/>
        </w:rPr>
        <w:t xml:space="preserve">of this option – it would introduce some inequity in order to offset the disadvantages of providing services in these </w:t>
      </w:r>
      <w:r w:rsidRPr="00EC299D">
        <w:rPr>
          <w:sz w:val="22"/>
          <w:szCs w:val="22"/>
        </w:rPr>
        <w:t xml:space="preserve">geographic </w:t>
      </w:r>
      <w:r w:rsidRPr="002524F6">
        <w:rPr>
          <w:sz w:val="22"/>
          <w:szCs w:val="22"/>
        </w:rPr>
        <w:t>areas. Administering</w:t>
      </w:r>
      <w:r w:rsidRPr="002524F6" w:rsidDel="006801EB">
        <w:rPr>
          <w:sz w:val="22"/>
          <w:szCs w:val="22"/>
        </w:rPr>
        <w:t xml:space="preserve"> </w:t>
      </w:r>
      <w:r>
        <w:rPr>
          <w:sz w:val="22"/>
          <w:szCs w:val="22"/>
        </w:rPr>
        <w:t>the loading</w:t>
      </w:r>
      <w:r w:rsidRPr="002524F6">
        <w:rPr>
          <w:sz w:val="22"/>
          <w:szCs w:val="22"/>
        </w:rPr>
        <w:t xml:space="preserve"> would require further overheads for implementation and maintenance, and also to complete the necessary audit and compliance activities inherent to the Program.</w:t>
      </w:r>
    </w:p>
    <w:p w14:paraId="45032FEF" w14:textId="70B22313" w:rsidR="004303EC" w:rsidRPr="004303EC" w:rsidRDefault="005878E0" w:rsidP="004303EC">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rPr>
          <w:sz w:val="22"/>
          <w:szCs w:val="22"/>
        </w:rPr>
      </w:pPr>
      <w:r w:rsidRPr="003114B1">
        <w:rPr>
          <w:sz w:val="22"/>
          <w:szCs w:val="22"/>
        </w:rPr>
        <w:t>The efficiency of this option would be dependent upon the precise nature of the implementation. It is expected that appropriate loading incentives would be calculated to efficiently balance public health outcomes and fiscal costs.</w:t>
      </w:r>
    </w:p>
    <w:p w14:paraId="44B2D40D" w14:textId="7DA884FF" w:rsidR="005878E0" w:rsidRPr="000D199E" w:rsidRDefault="005878E0" w:rsidP="007B203D">
      <w:pPr>
        <w:pStyle w:val="Heading3"/>
      </w:pPr>
      <w:bookmarkStart w:id="46" w:name="_Toc57901102"/>
      <w:r w:rsidRPr="00E80D58">
        <w:t>Option #2 – Rural and Remote loading on providers or sites</w:t>
      </w:r>
      <w:bookmarkEnd w:id="46"/>
    </w:p>
    <w:p w14:paraId="1B7DDE80" w14:textId="66401E41" w:rsidR="005878E0" w:rsidRPr="00943EFD" w:rsidRDefault="005878E0" w:rsidP="005878E0">
      <w:pPr>
        <w:spacing w:before="120" w:after="120" w:line="240" w:lineRule="auto"/>
        <w:rPr>
          <w:sz w:val="22"/>
          <w:szCs w:val="22"/>
        </w:rPr>
      </w:pPr>
      <w:r w:rsidRPr="00943EFD">
        <w:rPr>
          <w:sz w:val="22"/>
          <w:szCs w:val="22"/>
        </w:rPr>
        <w:t xml:space="preserve">Rather than placing a loading on </w:t>
      </w:r>
      <w:r w:rsidRPr="00074118">
        <w:rPr>
          <w:sz w:val="22"/>
          <w:szCs w:val="22"/>
        </w:rPr>
        <w:t>service</w:t>
      </w:r>
      <w:r>
        <w:rPr>
          <w:sz w:val="22"/>
          <w:szCs w:val="22"/>
        </w:rPr>
        <w:t xml:space="preserve"> item</w:t>
      </w:r>
      <w:r w:rsidRPr="00074118">
        <w:rPr>
          <w:sz w:val="22"/>
          <w:szCs w:val="22"/>
        </w:rPr>
        <w:t xml:space="preserve">s (refer </w:t>
      </w:r>
      <w:r w:rsidR="0083673B">
        <w:rPr>
          <w:sz w:val="22"/>
          <w:szCs w:val="22"/>
        </w:rPr>
        <w:fldChar w:fldCharType="begin"/>
      </w:r>
      <w:r w:rsidR="0083673B">
        <w:rPr>
          <w:sz w:val="22"/>
          <w:szCs w:val="22"/>
        </w:rPr>
        <w:instrText xml:space="preserve"> REF _Ref57376347 \h  \* MERGEFORMAT </w:instrText>
      </w:r>
      <w:r w:rsidR="0083673B">
        <w:rPr>
          <w:sz w:val="22"/>
          <w:szCs w:val="22"/>
        </w:rPr>
      </w:r>
      <w:r w:rsidR="0083673B">
        <w:rPr>
          <w:sz w:val="22"/>
          <w:szCs w:val="22"/>
        </w:rPr>
        <w:fldChar w:fldCharType="separate"/>
      </w:r>
      <w:r w:rsidR="00DD11FB" w:rsidRPr="00DD11FB">
        <w:rPr>
          <w:sz w:val="22"/>
          <w:szCs w:val="22"/>
        </w:rPr>
        <w:t>Option #1 – Rural and Remote loading on services</w:t>
      </w:r>
      <w:r w:rsidR="0083673B">
        <w:rPr>
          <w:sz w:val="22"/>
          <w:szCs w:val="22"/>
        </w:rPr>
        <w:fldChar w:fldCharType="end"/>
      </w:r>
      <w:r w:rsidRPr="00074118">
        <w:rPr>
          <w:sz w:val="22"/>
          <w:szCs w:val="22"/>
        </w:rPr>
        <w:t xml:space="preserve">), </w:t>
      </w:r>
      <w:r>
        <w:rPr>
          <w:sz w:val="22"/>
          <w:szCs w:val="22"/>
        </w:rPr>
        <w:t>a second option is to apply</w:t>
      </w:r>
      <w:r w:rsidRPr="00074118">
        <w:rPr>
          <w:sz w:val="22"/>
          <w:szCs w:val="22"/>
        </w:rPr>
        <w:t xml:space="preserve"> loading</w:t>
      </w:r>
      <w:r>
        <w:rPr>
          <w:sz w:val="22"/>
          <w:szCs w:val="22"/>
        </w:rPr>
        <w:t>s</w:t>
      </w:r>
      <w:r w:rsidRPr="00074118">
        <w:rPr>
          <w:sz w:val="22"/>
          <w:szCs w:val="22"/>
        </w:rPr>
        <w:t xml:space="preserve"> on either (a) service provider</w:t>
      </w:r>
      <w:r>
        <w:rPr>
          <w:sz w:val="22"/>
          <w:szCs w:val="22"/>
        </w:rPr>
        <w:t xml:space="preserve">s, or (b) provider sites </w:t>
      </w:r>
      <w:r w:rsidRPr="00074118">
        <w:rPr>
          <w:sz w:val="22"/>
          <w:szCs w:val="22"/>
        </w:rPr>
        <w:t xml:space="preserve">operating in </w:t>
      </w:r>
      <w:r>
        <w:rPr>
          <w:sz w:val="22"/>
          <w:szCs w:val="22"/>
        </w:rPr>
        <w:t>particular locations</w:t>
      </w:r>
      <w:r w:rsidRPr="00943EFD">
        <w:rPr>
          <w:sz w:val="22"/>
          <w:szCs w:val="22"/>
        </w:rPr>
        <w:t>.</w:t>
      </w:r>
    </w:p>
    <w:p w14:paraId="46CD9DEE" w14:textId="5BFD5703" w:rsidR="005878E0" w:rsidRPr="00943EFD" w:rsidRDefault="005878E0" w:rsidP="005878E0">
      <w:pPr>
        <w:spacing w:before="120" w:after="120" w:line="240" w:lineRule="auto"/>
        <w:rPr>
          <w:sz w:val="22"/>
          <w:szCs w:val="22"/>
        </w:rPr>
      </w:pPr>
      <w:r w:rsidRPr="00943EFD">
        <w:rPr>
          <w:sz w:val="22"/>
          <w:szCs w:val="22"/>
        </w:rPr>
        <w:t>Broadly, this option has the same positive and negative trait</w:t>
      </w:r>
      <w:r w:rsidRPr="00074118">
        <w:rPr>
          <w:sz w:val="22"/>
          <w:szCs w:val="22"/>
        </w:rPr>
        <w:t xml:space="preserve">s as </w:t>
      </w:r>
      <w:r w:rsidR="0083673B">
        <w:rPr>
          <w:sz w:val="22"/>
          <w:szCs w:val="22"/>
        </w:rPr>
        <w:fldChar w:fldCharType="begin"/>
      </w:r>
      <w:r w:rsidR="0083673B">
        <w:rPr>
          <w:sz w:val="22"/>
          <w:szCs w:val="22"/>
        </w:rPr>
        <w:instrText xml:space="preserve"> REF _Ref57376360 \h  \* MERGEFORMAT </w:instrText>
      </w:r>
      <w:r w:rsidR="0083673B">
        <w:rPr>
          <w:sz w:val="22"/>
          <w:szCs w:val="22"/>
        </w:rPr>
      </w:r>
      <w:r w:rsidR="0083673B">
        <w:rPr>
          <w:sz w:val="22"/>
          <w:szCs w:val="22"/>
        </w:rPr>
        <w:fldChar w:fldCharType="separate"/>
      </w:r>
      <w:r w:rsidR="00DD11FB" w:rsidRPr="00DD11FB">
        <w:rPr>
          <w:sz w:val="22"/>
          <w:szCs w:val="22"/>
        </w:rPr>
        <w:t>Option #1 – Rural and Remote loading on services</w:t>
      </w:r>
      <w:r w:rsidR="0083673B">
        <w:rPr>
          <w:sz w:val="22"/>
          <w:szCs w:val="22"/>
        </w:rPr>
        <w:fldChar w:fldCharType="end"/>
      </w:r>
      <w:r w:rsidRPr="00074118">
        <w:rPr>
          <w:sz w:val="22"/>
          <w:szCs w:val="22"/>
        </w:rPr>
        <w:t xml:space="preserve">. The key difference is that the </w:t>
      </w:r>
      <w:r>
        <w:rPr>
          <w:sz w:val="22"/>
          <w:szCs w:val="22"/>
        </w:rPr>
        <w:t>incentives would be based on service availability rather than service volumes</w:t>
      </w:r>
      <w:r w:rsidRPr="00943EFD">
        <w:rPr>
          <w:sz w:val="22"/>
          <w:szCs w:val="22"/>
        </w:rPr>
        <w:t xml:space="preserve">. </w:t>
      </w:r>
      <w:r>
        <w:rPr>
          <w:sz w:val="22"/>
          <w:szCs w:val="22"/>
        </w:rPr>
        <w:t xml:space="preserve">There may need to be mitigation strategies established to ensure that </w:t>
      </w:r>
      <w:r w:rsidRPr="00943EFD">
        <w:rPr>
          <w:sz w:val="22"/>
          <w:szCs w:val="22"/>
        </w:rPr>
        <w:t xml:space="preserve">market participants </w:t>
      </w:r>
      <w:r>
        <w:rPr>
          <w:sz w:val="22"/>
          <w:szCs w:val="22"/>
        </w:rPr>
        <w:t>are unable to ‘</w:t>
      </w:r>
      <w:r w:rsidRPr="00943EFD">
        <w:rPr>
          <w:sz w:val="22"/>
          <w:szCs w:val="22"/>
        </w:rPr>
        <w:t>game</w:t>
      </w:r>
      <w:r>
        <w:rPr>
          <w:sz w:val="22"/>
          <w:szCs w:val="22"/>
        </w:rPr>
        <w:t>’</w:t>
      </w:r>
      <w:r w:rsidRPr="00943EFD">
        <w:rPr>
          <w:sz w:val="22"/>
          <w:szCs w:val="22"/>
        </w:rPr>
        <w:t xml:space="preserve"> the system, such as by opening multiple ‘visiting’ sites in regional areas</w:t>
      </w:r>
      <w:r>
        <w:rPr>
          <w:sz w:val="22"/>
          <w:szCs w:val="22"/>
        </w:rPr>
        <w:t xml:space="preserve"> in order to meet the minimum requirements for realising the loading payment</w:t>
      </w:r>
      <w:r w:rsidRPr="00943EFD">
        <w:rPr>
          <w:sz w:val="22"/>
          <w:szCs w:val="22"/>
        </w:rPr>
        <w:t xml:space="preserve">. </w:t>
      </w:r>
      <w:r>
        <w:rPr>
          <w:sz w:val="22"/>
          <w:szCs w:val="22"/>
        </w:rPr>
        <w:t>Such activity</w:t>
      </w:r>
      <w:r w:rsidRPr="00943EFD">
        <w:rPr>
          <w:sz w:val="22"/>
          <w:szCs w:val="22"/>
        </w:rPr>
        <w:t xml:space="preserve"> may not lead to </w:t>
      </w:r>
      <w:r w:rsidR="002E7C67">
        <w:rPr>
          <w:sz w:val="22"/>
          <w:szCs w:val="22"/>
        </w:rPr>
        <w:t>best community health outcomes.</w:t>
      </w:r>
    </w:p>
    <w:p w14:paraId="59308D99" w14:textId="77777777" w:rsidR="005878E0" w:rsidRPr="00943EFD" w:rsidRDefault="005878E0" w:rsidP="00FE28DA">
      <w:pPr>
        <w:spacing w:before="120" w:after="120" w:line="240" w:lineRule="auto"/>
        <w:rPr>
          <w:sz w:val="22"/>
          <w:szCs w:val="22"/>
        </w:rPr>
      </w:pPr>
      <w:r w:rsidRPr="00943EFD">
        <w:rPr>
          <w:sz w:val="22"/>
          <w:szCs w:val="22"/>
        </w:rPr>
        <w:t xml:space="preserve">Any </w:t>
      </w:r>
      <w:r>
        <w:rPr>
          <w:sz w:val="22"/>
          <w:szCs w:val="22"/>
        </w:rPr>
        <w:t>l</w:t>
      </w:r>
      <w:r w:rsidRPr="00943EFD">
        <w:rPr>
          <w:sz w:val="22"/>
          <w:szCs w:val="22"/>
        </w:rPr>
        <w:t>oading would require careful design and implementat</w:t>
      </w:r>
      <w:r>
        <w:rPr>
          <w:sz w:val="22"/>
          <w:szCs w:val="22"/>
        </w:rPr>
        <w:t>ion to ensure that it encourages</w:t>
      </w:r>
      <w:r w:rsidRPr="00943EFD">
        <w:rPr>
          <w:sz w:val="22"/>
          <w:szCs w:val="22"/>
        </w:rPr>
        <w:t xml:space="preserve"> desired behaviours and community health outcomes. This complexity would necessitate additional administrative overheads, including audit and compliance activities</w:t>
      </w:r>
      <w:r>
        <w:rPr>
          <w:sz w:val="22"/>
          <w:szCs w:val="22"/>
        </w:rPr>
        <w:t>, because of the requirements to validate and audit location data relating to providers and sites during the operational period of the loading</w:t>
      </w:r>
      <w:r w:rsidRPr="0044628B">
        <w:rPr>
          <w:sz w:val="22"/>
          <w:szCs w:val="22"/>
          <w:vertAlign w:val="superscript"/>
        </w:rPr>
        <w:footnoteReference w:id="9"/>
      </w:r>
      <w:r w:rsidRPr="00943EFD">
        <w:rPr>
          <w:sz w:val="22"/>
          <w:szCs w:val="22"/>
        </w:rPr>
        <w:t>.</w:t>
      </w:r>
    </w:p>
    <w:p w14:paraId="662C7EB4" w14:textId="77777777" w:rsidR="00991246" w:rsidRDefault="00991246">
      <w:pPr>
        <w:rPr>
          <w:b/>
          <w:sz w:val="22"/>
          <w:szCs w:val="22"/>
        </w:rPr>
      </w:pPr>
      <w:r>
        <w:rPr>
          <w:b/>
          <w:sz w:val="22"/>
          <w:szCs w:val="22"/>
        </w:rPr>
        <w:br w:type="page"/>
      </w:r>
    </w:p>
    <w:p w14:paraId="36B51421" w14:textId="5A2C079A" w:rsidR="005878E0" w:rsidRPr="0044628B"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b/>
          <w:sz w:val="22"/>
          <w:szCs w:val="22"/>
        </w:rPr>
      </w:pPr>
      <w:r w:rsidRPr="0044628B">
        <w:rPr>
          <w:b/>
          <w:sz w:val="22"/>
          <w:szCs w:val="22"/>
        </w:rPr>
        <w:t>Assessment of Option #</w:t>
      </w:r>
      <w:r>
        <w:rPr>
          <w:b/>
          <w:sz w:val="22"/>
          <w:szCs w:val="22"/>
        </w:rPr>
        <w:t xml:space="preserve">2 </w:t>
      </w:r>
      <w:r w:rsidRPr="0044628B">
        <w:rPr>
          <w:b/>
          <w:sz w:val="22"/>
          <w:szCs w:val="22"/>
        </w:rPr>
        <w:t xml:space="preserve">– </w:t>
      </w:r>
      <w:r>
        <w:rPr>
          <w:b/>
          <w:sz w:val="22"/>
          <w:szCs w:val="22"/>
        </w:rPr>
        <w:t xml:space="preserve">Rural and Remote </w:t>
      </w:r>
      <w:r w:rsidRPr="0044628B">
        <w:rPr>
          <w:b/>
          <w:sz w:val="22"/>
          <w:szCs w:val="22"/>
        </w:rPr>
        <w:t>loading on providers or sites</w:t>
      </w:r>
    </w:p>
    <w:p w14:paraId="5BD1FEE4" w14:textId="77777777" w:rsidR="005878E0" w:rsidRPr="00943EFD"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943EFD">
        <w:rPr>
          <w:sz w:val="22"/>
          <w:szCs w:val="22"/>
        </w:rPr>
        <w:t xml:space="preserve">Overall, the </w:t>
      </w:r>
      <w:r>
        <w:rPr>
          <w:sz w:val="22"/>
          <w:szCs w:val="22"/>
        </w:rPr>
        <w:t>e</w:t>
      </w:r>
      <w:r w:rsidRPr="00943EFD">
        <w:rPr>
          <w:sz w:val="22"/>
          <w:szCs w:val="22"/>
        </w:rPr>
        <w:t xml:space="preserve">ffectiveness of this option </w:t>
      </w:r>
      <w:r>
        <w:rPr>
          <w:sz w:val="22"/>
          <w:szCs w:val="22"/>
        </w:rPr>
        <w:t>is</w:t>
      </w:r>
      <w:r w:rsidRPr="00943EFD">
        <w:rPr>
          <w:sz w:val="22"/>
          <w:szCs w:val="22"/>
        </w:rPr>
        <w:t xml:space="preserve"> highly dependent upon the precise details and implementation. However, at a high level, this could be an effective way of ensuring access to hearing services.</w:t>
      </w:r>
    </w:p>
    <w:p w14:paraId="222C66EB" w14:textId="3D4A02B2" w:rsidR="005878E0"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943EFD">
        <w:rPr>
          <w:sz w:val="22"/>
          <w:szCs w:val="22"/>
        </w:rPr>
        <w:t>Th</w:t>
      </w:r>
      <w:r>
        <w:rPr>
          <w:sz w:val="22"/>
          <w:szCs w:val="22"/>
        </w:rPr>
        <w:t>is</w:t>
      </w:r>
      <w:r w:rsidRPr="00943EFD">
        <w:rPr>
          <w:sz w:val="22"/>
          <w:szCs w:val="22"/>
        </w:rPr>
        <w:t xml:space="preserve"> </w:t>
      </w:r>
      <w:r w:rsidRPr="00074118">
        <w:rPr>
          <w:sz w:val="22"/>
          <w:szCs w:val="22"/>
        </w:rPr>
        <w:t xml:space="preserve">option has the same outcomes in terms of </w:t>
      </w:r>
      <w:r>
        <w:rPr>
          <w:sz w:val="22"/>
          <w:szCs w:val="22"/>
        </w:rPr>
        <w:t>e</w:t>
      </w:r>
      <w:r w:rsidRPr="00074118">
        <w:rPr>
          <w:sz w:val="22"/>
          <w:szCs w:val="22"/>
        </w:rPr>
        <w:t xml:space="preserve">quity as in </w:t>
      </w:r>
      <w:r w:rsidR="0083673B">
        <w:rPr>
          <w:sz w:val="22"/>
          <w:szCs w:val="22"/>
        </w:rPr>
        <w:fldChar w:fldCharType="begin"/>
      </w:r>
      <w:r w:rsidR="0083673B">
        <w:rPr>
          <w:sz w:val="22"/>
          <w:szCs w:val="22"/>
        </w:rPr>
        <w:instrText xml:space="preserve"> REF _Ref57376417 \h  \* MERGEFORMAT </w:instrText>
      </w:r>
      <w:r w:rsidR="0083673B">
        <w:rPr>
          <w:sz w:val="22"/>
          <w:szCs w:val="22"/>
        </w:rPr>
      </w:r>
      <w:r w:rsidR="0083673B">
        <w:rPr>
          <w:sz w:val="22"/>
          <w:szCs w:val="22"/>
        </w:rPr>
        <w:fldChar w:fldCharType="separate"/>
      </w:r>
      <w:r w:rsidR="00DD11FB" w:rsidRPr="00DD11FB">
        <w:rPr>
          <w:sz w:val="22"/>
          <w:szCs w:val="22"/>
        </w:rPr>
        <w:t>Option #1 – Rural and Remote loading on services</w:t>
      </w:r>
      <w:r w:rsidR="0083673B">
        <w:rPr>
          <w:sz w:val="22"/>
          <w:szCs w:val="22"/>
        </w:rPr>
        <w:fldChar w:fldCharType="end"/>
      </w:r>
      <w:r w:rsidRPr="00074118">
        <w:rPr>
          <w:sz w:val="22"/>
          <w:szCs w:val="22"/>
        </w:rPr>
        <w:t xml:space="preserve">, in that it </w:t>
      </w:r>
      <w:r>
        <w:rPr>
          <w:sz w:val="22"/>
          <w:szCs w:val="22"/>
        </w:rPr>
        <w:t xml:space="preserve">may introduce some inequity in order to </w:t>
      </w:r>
      <w:r w:rsidRPr="00074118">
        <w:rPr>
          <w:sz w:val="22"/>
          <w:szCs w:val="22"/>
        </w:rPr>
        <w:t xml:space="preserve">offset the disadvantages of providing services in these areas. </w:t>
      </w:r>
      <w:r>
        <w:rPr>
          <w:sz w:val="22"/>
          <w:szCs w:val="22"/>
        </w:rPr>
        <w:t>Similarly, by introducing differential payments there would be additional administrative overheads t</w:t>
      </w:r>
      <w:r w:rsidRPr="00074118">
        <w:rPr>
          <w:sz w:val="22"/>
          <w:szCs w:val="22"/>
        </w:rPr>
        <w:t xml:space="preserve">o implement this option, and its </w:t>
      </w:r>
      <w:r w:rsidRPr="00ED146F">
        <w:rPr>
          <w:sz w:val="22"/>
          <w:szCs w:val="22"/>
        </w:rPr>
        <w:t>sustainability</w:t>
      </w:r>
      <w:r w:rsidRPr="00EC299D">
        <w:rPr>
          <w:sz w:val="22"/>
          <w:szCs w:val="22"/>
        </w:rPr>
        <w:t xml:space="preserve"> </w:t>
      </w:r>
      <w:r w:rsidRPr="00074118">
        <w:rPr>
          <w:sz w:val="22"/>
          <w:szCs w:val="22"/>
        </w:rPr>
        <w:t>would be dependent on the design and rollout.</w:t>
      </w:r>
    </w:p>
    <w:p w14:paraId="5C38F313" w14:textId="2FD27504" w:rsidR="004303EC" w:rsidRPr="004303EC" w:rsidRDefault="005878E0" w:rsidP="004303EC">
      <w:pPr>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195E0A">
        <w:rPr>
          <w:sz w:val="22"/>
          <w:szCs w:val="22"/>
        </w:rPr>
        <w:t xml:space="preserve">The efficiency of this option </w:t>
      </w:r>
      <w:r>
        <w:rPr>
          <w:sz w:val="22"/>
          <w:szCs w:val="22"/>
        </w:rPr>
        <w:t>is less certain, in that applying the loading to sites rather than services is a less precise targeting of funding to the intended beneficiaries – that is consumers of services in these areas</w:t>
      </w:r>
      <w:r w:rsidRPr="00195E0A">
        <w:rPr>
          <w:sz w:val="22"/>
          <w:szCs w:val="22"/>
        </w:rPr>
        <w:t xml:space="preserve">. </w:t>
      </w:r>
    </w:p>
    <w:p w14:paraId="50025CEA" w14:textId="43E5A6B3" w:rsidR="005878E0" w:rsidRPr="000D199E" w:rsidRDefault="005878E0" w:rsidP="007B203D">
      <w:pPr>
        <w:pStyle w:val="Heading3"/>
      </w:pPr>
      <w:bookmarkStart w:id="47" w:name="_Toc57901103"/>
      <w:r w:rsidRPr="00E80D58">
        <w:t>Option #3 – Loading on small and medium providers</w:t>
      </w:r>
      <w:bookmarkEnd w:id="47"/>
    </w:p>
    <w:p w14:paraId="05B36563" w14:textId="77777777" w:rsidR="005878E0" w:rsidRPr="0047639B" w:rsidRDefault="005878E0" w:rsidP="005878E0">
      <w:pPr>
        <w:spacing w:before="120" w:after="120" w:line="240" w:lineRule="auto"/>
        <w:rPr>
          <w:sz w:val="22"/>
          <w:szCs w:val="22"/>
        </w:rPr>
      </w:pPr>
      <w:r>
        <w:rPr>
          <w:sz w:val="22"/>
          <w:szCs w:val="22"/>
        </w:rPr>
        <w:t>A third option is to apply an annual loading to support small and medium sized providers who, in the main, may be more affected by the Program changes. This would protect the viability of these businesses during the first two years post-implementation where the impact on provider revenue is most concentrated. It would not b</w:t>
      </w:r>
      <w:r w:rsidRPr="0047639B">
        <w:rPr>
          <w:sz w:val="22"/>
          <w:szCs w:val="22"/>
        </w:rPr>
        <w:t>e a permanent support mechanism, but instead be a focussed and time-bound support measure to defend small and medium enterprises through an adjustment period.</w:t>
      </w:r>
    </w:p>
    <w:p w14:paraId="4E453B6A" w14:textId="673E686C" w:rsidR="005878E0" w:rsidRDefault="005878E0" w:rsidP="005878E0">
      <w:pPr>
        <w:spacing w:before="120" w:after="120" w:line="240" w:lineRule="auto"/>
        <w:rPr>
          <w:sz w:val="22"/>
          <w:szCs w:val="22"/>
        </w:rPr>
      </w:pPr>
      <w:r w:rsidRPr="0047639B">
        <w:rPr>
          <w:sz w:val="22"/>
          <w:szCs w:val="22"/>
        </w:rPr>
        <w:t>The hearing services market is relatively concentrated, with the top ten providers by Voucher Scheme revenue representing 78.9</w:t>
      </w:r>
      <w:r>
        <w:rPr>
          <w:sz w:val="22"/>
          <w:szCs w:val="22"/>
        </w:rPr>
        <w:t xml:space="preserve"> percent</w:t>
      </w:r>
      <w:r w:rsidRPr="0047639B">
        <w:rPr>
          <w:sz w:val="22"/>
          <w:szCs w:val="22"/>
        </w:rPr>
        <w:t xml:space="preserve"> of the total Program revenue in FY2019-20</w:t>
      </w:r>
      <w:sdt>
        <w:sdtPr>
          <w:rPr>
            <w:sz w:val="22"/>
            <w:szCs w:val="22"/>
          </w:rPr>
          <w:id w:val="-1601631883"/>
          <w:citation/>
        </w:sdtPr>
        <w:sdtEndPr/>
        <w:sdtContent>
          <w:r w:rsidRPr="0047639B">
            <w:rPr>
              <w:sz w:val="22"/>
              <w:szCs w:val="22"/>
            </w:rPr>
            <w:fldChar w:fldCharType="begin"/>
          </w:r>
          <w:r w:rsidRPr="0047639B">
            <w:rPr>
              <w:sz w:val="22"/>
              <w:szCs w:val="22"/>
            </w:rPr>
            <w:instrText xml:space="preserve"> CITATION AnnualStatsHSP \l 3081 </w:instrText>
          </w:r>
          <w:r w:rsidRPr="0047639B">
            <w:rPr>
              <w:sz w:val="22"/>
              <w:szCs w:val="22"/>
            </w:rPr>
            <w:fldChar w:fldCharType="separate"/>
          </w:r>
          <w:r w:rsidR="0083673B">
            <w:rPr>
              <w:noProof/>
              <w:sz w:val="22"/>
              <w:szCs w:val="22"/>
            </w:rPr>
            <w:t xml:space="preserve"> </w:t>
          </w:r>
          <w:r w:rsidR="0083673B" w:rsidRPr="0083673B">
            <w:rPr>
              <w:noProof/>
              <w:sz w:val="22"/>
              <w:szCs w:val="22"/>
            </w:rPr>
            <w:t>(Hearing Services Program, 2020)</w:t>
          </w:r>
          <w:r w:rsidRPr="0047639B">
            <w:rPr>
              <w:sz w:val="22"/>
              <w:szCs w:val="22"/>
            </w:rPr>
            <w:fldChar w:fldCharType="end"/>
          </w:r>
        </w:sdtContent>
      </w:sdt>
      <w:r w:rsidRPr="0047639B">
        <w:rPr>
          <w:sz w:val="22"/>
          <w:szCs w:val="22"/>
        </w:rPr>
        <w:t xml:space="preserve">. This means </w:t>
      </w:r>
      <w:r>
        <w:rPr>
          <w:sz w:val="22"/>
          <w:szCs w:val="22"/>
        </w:rPr>
        <w:t>that there is a long tail of relatively small providers, such as the 81 providers who received less than $10,000 of revenue each from the Program in FY2019-20.</w:t>
      </w:r>
    </w:p>
    <w:p w14:paraId="5105310A" w14:textId="77777777" w:rsidR="005878E0" w:rsidRPr="00943EFD" w:rsidRDefault="005878E0" w:rsidP="005878E0">
      <w:pPr>
        <w:spacing w:before="120" w:after="120" w:line="240" w:lineRule="auto"/>
        <w:rPr>
          <w:sz w:val="22"/>
          <w:szCs w:val="22"/>
        </w:rPr>
      </w:pPr>
      <w:r>
        <w:rPr>
          <w:sz w:val="22"/>
          <w:szCs w:val="22"/>
        </w:rPr>
        <w:t>Nevertheless, providing a targeted loading to support small and medium businesses would be aligned with other government programs and act as a form of risk mitigation against the impact of the changes on these enterprises. There are some risks, such as those large businesses that operate a franchisee model being unduly affected, and the potential for other businesses to restructure in order to maximise their loading payments. However, these challenges are not insurmountable and can be addressed through Program policy and operational settings.</w:t>
      </w:r>
    </w:p>
    <w:p w14:paraId="4F373D2D" w14:textId="77777777" w:rsidR="005878E0"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b/>
          <w:sz w:val="22"/>
          <w:szCs w:val="22"/>
        </w:rPr>
      </w:pPr>
      <w:r w:rsidRPr="0044628B">
        <w:rPr>
          <w:b/>
          <w:sz w:val="22"/>
          <w:szCs w:val="22"/>
        </w:rPr>
        <w:t>Assessment of Option #</w:t>
      </w:r>
      <w:r>
        <w:rPr>
          <w:b/>
          <w:sz w:val="22"/>
          <w:szCs w:val="22"/>
        </w:rPr>
        <w:t>3</w:t>
      </w:r>
      <w:r w:rsidRPr="0044628B">
        <w:rPr>
          <w:b/>
          <w:sz w:val="22"/>
          <w:szCs w:val="22"/>
        </w:rPr>
        <w:t xml:space="preserve"> – </w:t>
      </w:r>
      <w:r w:rsidRPr="00F50998">
        <w:rPr>
          <w:b/>
          <w:sz w:val="22"/>
          <w:szCs w:val="22"/>
        </w:rPr>
        <w:t xml:space="preserve">Loading on small and medium providers </w:t>
      </w:r>
    </w:p>
    <w:p w14:paraId="1532BA72" w14:textId="77777777" w:rsidR="005878E0" w:rsidRPr="00074118"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Pr>
          <w:sz w:val="22"/>
          <w:szCs w:val="22"/>
        </w:rPr>
        <w:t>Providin</w:t>
      </w:r>
      <w:r w:rsidRPr="009C2261">
        <w:rPr>
          <w:sz w:val="22"/>
          <w:szCs w:val="22"/>
        </w:rPr>
        <w:t>g a loading to specifically support small and medium providers would be an e</w:t>
      </w:r>
      <w:r w:rsidRPr="00ED146F">
        <w:rPr>
          <w:sz w:val="22"/>
          <w:szCs w:val="22"/>
        </w:rPr>
        <w:t>ffective</w:t>
      </w:r>
      <w:r w:rsidRPr="009C2261">
        <w:rPr>
          <w:sz w:val="22"/>
          <w:szCs w:val="22"/>
        </w:rPr>
        <w:t xml:space="preserve"> means of supporting these enterprises through the most significant period of adjustment post-implementation. Given the relatively small market share of these providers, a modest loading would also be an </w:t>
      </w:r>
      <w:r w:rsidRPr="00ED146F">
        <w:rPr>
          <w:sz w:val="22"/>
          <w:szCs w:val="22"/>
        </w:rPr>
        <w:t>efficient</w:t>
      </w:r>
      <w:r w:rsidRPr="009C2261">
        <w:rPr>
          <w:sz w:val="22"/>
          <w:szCs w:val="22"/>
        </w:rPr>
        <w:t xml:space="preserve"> use of taxpayer resources, and would come at a relatively modest </w:t>
      </w:r>
      <w:r>
        <w:rPr>
          <w:sz w:val="22"/>
          <w:szCs w:val="22"/>
        </w:rPr>
        <w:t>fiscal</w:t>
      </w:r>
      <w:r w:rsidRPr="009C2261">
        <w:rPr>
          <w:sz w:val="22"/>
          <w:szCs w:val="22"/>
        </w:rPr>
        <w:t xml:space="preserve"> cost.</w:t>
      </w:r>
    </w:p>
    <w:p w14:paraId="56276BBF" w14:textId="77777777" w:rsidR="005878E0" w:rsidRPr="009C2261"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9C2261">
        <w:rPr>
          <w:sz w:val="22"/>
          <w:szCs w:val="22"/>
        </w:rPr>
        <w:t xml:space="preserve">This proposal would create some level of </w:t>
      </w:r>
      <w:r w:rsidRPr="00ED146F">
        <w:rPr>
          <w:sz w:val="22"/>
          <w:szCs w:val="22"/>
        </w:rPr>
        <w:t>inequality</w:t>
      </w:r>
      <w:r w:rsidRPr="009C2261">
        <w:rPr>
          <w:sz w:val="22"/>
          <w:szCs w:val="22"/>
        </w:rPr>
        <w:t xml:space="preserve"> in the </w:t>
      </w:r>
      <w:r>
        <w:rPr>
          <w:sz w:val="22"/>
          <w:szCs w:val="22"/>
        </w:rPr>
        <w:t>P</w:t>
      </w:r>
      <w:r w:rsidRPr="009C2261">
        <w:rPr>
          <w:sz w:val="22"/>
          <w:szCs w:val="22"/>
        </w:rPr>
        <w:t>rogram, mostly between the larger businesses not eligible for the loading, and the others who are. This may create some unexpected behaviour as businesses change structures and operations in order to maximise their payments, and has the possibility to create inequalities between similar services.</w:t>
      </w:r>
    </w:p>
    <w:p w14:paraId="397AD020" w14:textId="7B066737" w:rsidR="004303EC" w:rsidRPr="004303EC" w:rsidRDefault="005878E0" w:rsidP="004303EC">
      <w:pPr>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9C2261">
        <w:rPr>
          <w:sz w:val="22"/>
          <w:szCs w:val="22"/>
        </w:rPr>
        <w:t xml:space="preserve">There are some additional challenges in terms of the </w:t>
      </w:r>
      <w:r w:rsidRPr="00ED146F">
        <w:rPr>
          <w:sz w:val="22"/>
          <w:szCs w:val="22"/>
        </w:rPr>
        <w:t>sustainability</w:t>
      </w:r>
      <w:r w:rsidRPr="009C2261">
        <w:rPr>
          <w:sz w:val="22"/>
          <w:szCs w:val="22"/>
        </w:rPr>
        <w:t xml:space="preserve"> of this proposal, given that it would create a new payment mechanism between the Program and those qualifying providers</w:t>
      </w:r>
      <w:r>
        <w:rPr>
          <w:sz w:val="22"/>
          <w:szCs w:val="22"/>
        </w:rPr>
        <w:t>. T</w:t>
      </w:r>
      <w:r w:rsidRPr="009C2261">
        <w:rPr>
          <w:sz w:val="22"/>
          <w:szCs w:val="22"/>
        </w:rPr>
        <w:t>he proposed short-term nature of the loading would limit the ability to automate these payments. However, these are not insurmountable issues and could be overcome with</w:t>
      </w:r>
      <w:r>
        <w:rPr>
          <w:sz w:val="22"/>
          <w:szCs w:val="22"/>
        </w:rPr>
        <w:t xml:space="preserve"> appropriate resourcing, policy settings, and operational implementation.</w:t>
      </w:r>
    </w:p>
    <w:p w14:paraId="38D44F4A" w14:textId="4B633F28" w:rsidR="005878E0" w:rsidRPr="000D199E" w:rsidRDefault="005878E0" w:rsidP="007B203D">
      <w:pPr>
        <w:pStyle w:val="Heading3"/>
      </w:pPr>
      <w:bookmarkStart w:id="48" w:name="_Toc57901104"/>
      <w:r w:rsidRPr="00E80D58">
        <w:t xml:space="preserve">Option #4 – Expanded </w:t>
      </w:r>
      <w:proofErr w:type="spellStart"/>
      <w:r w:rsidRPr="00E80D58">
        <w:t>teleaudiology</w:t>
      </w:r>
      <w:proofErr w:type="spellEnd"/>
      <w:r w:rsidRPr="00E80D58">
        <w:t xml:space="preserve"> offering</w:t>
      </w:r>
      <w:bookmarkEnd w:id="48"/>
    </w:p>
    <w:p w14:paraId="43F29FAD" w14:textId="77777777" w:rsidR="005878E0" w:rsidRPr="007B203D" w:rsidRDefault="005878E0" w:rsidP="005878E0">
      <w:pPr>
        <w:spacing w:before="120" w:after="120" w:line="240" w:lineRule="auto"/>
        <w:rPr>
          <w:b/>
          <w:sz w:val="22"/>
          <w:szCs w:val="22"/>
        </w:rPr>
      </w:pPr>
      <w:r w:rsidRPr="007B203D">
        <w:rPr>
          <w:b/>
          <w:sz w:val="22"/>
          <w:szCs w:val="22"/>
        </w:rPr>
        <w:t xml:space="preserve">Current status of </w:t>
      </w:r>
      <w:proofErr w:type="spellStart"/>
      <w:r w:rsidRPr="007B203D">
        <w:rPr>
          <w:b/>
          <w:sz w:val="22"/>
          <w:szCs w:val="22"/>
        </w:rPr>
        <w:t>teleaudiology</w:t>
      </w:r>
      <w:proofErr w:type="spellEnd"/>
    </w:p>
    <w:p w14:paraId="4DE488DD" w14:textId="77777777" w:rsidR="005878E0" w:rsidRDefault="005878E0" w:rsidP="005878E0">
      <w:pPr>
        <w:spacing w:before="120" w:after="120" w:line="240" w:lineRule="auto"/>
        <w:rPr>
          <w:sz w:val="22"/>
          <w:szCs w:val="22"/>
        </w:rPr>
      </w:pPr>
      <w:r w:rsidRPr="00E13FE5">
        <w:rPr>
          <w:sz w:val="22"/>
          <w:szCs w:val="22"/>
        </w:rPr>
        <w:t xml:space="preserve">In March 2020, the Departmental Program administrators notified providers of a relaxation of Program rules in response to the COVID-19 pandemic to allow certain services to be provided by telehealth. </w:t>
      </w:r>
      <w:proofErr w:type="spellStart"/>
      <w:r w:rsidRPr="00E13FE5">
        <w:rPr>
          <w:sz w:val="22"/>
          <w:szCs w:val="22"/>
        </w:rPr>
        <w:t>T</w:t>
      </w:r>
      <w:r>
        <w:rPr>
          <w:sz w:val="22"/>
          <w:szCs w:val="22"/>
        </w:rPr>
        <w:t>eleaudiology</w:t>
      </w:r>
      <w:proofErr w:type="spellEnd"/>
      <w:r>
        <w:rPr>
          <w:sz w:val="22"/>
          <w:szCs w:val="22"/>
        </w:rPr>
        <w:t xml:space="preserve"> </w:t>
      </w:r>
      <w:r w:rsidRPr="00E13FE5">
        <w:rPr>
          <w:sz w:val="22"/>
          <w:szCs w:val="22"/>
        </w:rPr>
        <w:t>included hearing aid fittings, rehabilitation services and annual client reviews. Some services, such as assessments – which is the testing of the consumer’s hearing</w:t>
      </w:r>
      <w:r>
        <w:rPr>
          <w:sz w:val="22"/>
          <w:szCs w:val="22"/>
        </w:rPr>
        <w:t xml:space="preserve"> in a clinical setting –</w:t>
      </w:r>
      <w:r w:rsidRPr="00E13FE5">
        <w:rPr>
          <w:sz w:val="22"/>
          <w:szCs w:val="22"/>
        </w:rPr>
        <w:t xml:space="preserve"> were not permitted to be carried out via telehealth.</w:t>
      </w:r>
    </w:p>
    <w:p w14:paraId="25350B44" w14:textId="62257AF7" w:rsidR="005878E0" w:rsidRPr="004303EC" w:rsidRDefault="005878E0" w:rsidP="004303EC">
      <w:pPr>
        <w:spacing w:before="120" w:after="120" w:line="240" w:lineRule="auto"/>
        <w:rPr>
          <w:sz w:val="22"/>
          <w:szCs w:val="22"/>
        </w:rPr>
      </w:pPr>
      <w:proofErr w:type="spellStart"/>
      <w:r>
        <w:rPr>
          <w:sz w:val="22"/>
          <w:szCs w:val="22"/>
        </w:rPr>
        <w:t>Teleaudiology</w:t>
      </w:r>
      <w:proofErr w:type="spellEnd"/>
      <w:r>
        <w:rPr>
          <w:sz w:val="22"/>
          <w:szCs w:val="22"/>
        </w:rPr>
        <w:t xml:space="preserve"> was made available to all providers, noting that it may have a particular benefit for consumers in thin markets such as rural and remote locations or other consumers with particular needs or preferences which may not be able to be met by their nearby providers.</w:t>
      </w:r>
    </w:p>
    <w:p w14:paraId="7EFDF9CE" w14:textId="1522748D" w:rsidR="005878E0" w:rsidRPr="0083673B" w:rsidRDefault="005878E0" w:rsidP="007B203D">
      <w:pPr>
        <w:rPr>
          <w:b/>
          <w:sz w:val="22"/>
          <w:szCs w:val="22"/>
        </w:rPr>
      </w:pPr>
      <w:r w:rsidRPr="0083673B">
        <w:rPr>
          <w:b/>
          <w:sz w:val="22"/>
          <w:szCs w:val="22"/>
        </w:rPr>
        <w:t>Feedback from providers</w:t>
      </w:r>
    </w:p>
    <w:p w14:paraId="70654653" w14:textId="77777777" w:rsidR="005878E0" w:rsidRPr="00E13FE5" w:rsidRDefault="005878E0" w:rsidP="005878E0">
      <w:pPr>
        <w:spacing w:before="120" w:after="120" w:line="240" w:lineRule="auto"/>
        <w:rPr>
          <w:sz w:val="22"/>
          <w:szCs w:val="22"/>
        </w:rPr>
      </w:pPr>
      <w:r w:rsidRPr="00E13FE5">
        <w:rPr>
          <w:sz w:val="22"/>
          <w:szCs w:val="22"/>
        </w:rPr>
        <w:t xml:space="preserve">The feedback from providers regarding the </w:t>
      </w:r>
      <w:r>
        <w:rPr>
          <w:sz w:val="22"/>
          <w:szCs w:val="22"/>
        </w:rPr>
        <w:t>costs and benefits</w:t>
      </w:r>
      <w:r w:rsidRPr="00E13FE5">
        <w:rPr>
          <w:sz w:val="22"/>
          <w:szCs w:val="22"/>
        </w:rPr>
        <w:t xml:space="preserve"> of </w:t>
      </w:r>
      <w:proofErr w:type="spellStart"/>
      <w:r w:rsidRPr="00E13FE5">
        <w:rPr>
          <w:sz w:val="22"/>
          <w:szCs w:val="22"/>
        </w:rPr>
        <w:t>teleaudiology</w:t>
      </w:r>
      <w:proofErr w:type="spellEnd"/>
      <w:r>
        <w:rPr>
          <w:sz w:val="22"/>
          <w:szCs w:val="22"/>
        </w:rPr>
        <w:t xml:space="preserve"> included the following</w:t>
      </w:r>
      <w:r w:rsidRPr="00E13FE5">
        <w:rPr>
          <w:sz w:val="22"/>
          <w:szCs w:val="22"/>
        </w:rPr>
        <w:t>:</w:t>
      </w:r>
    </w:p>
    <w:p w14:paraId="7847CCF8" w14:textId="77777777" w:rsidR="005878E0" w:rsidRPr="002524F6" w:rsidRDefault="005878E0" w:rsidP="007B203D">
      <w:pPr>
        <w:pStyle w:val="ListParagraph"/>
        <w:numPr>
          <w:ilvl w:val="0"/>
          <w:numId w:val="11"/>
        </w:numPr>
        <w:spacing w:before="60" w:after="60" w:line="240" w:lineRule="auto"/>
        <w:ind w:left="714" w:hanging="357"/>
        <w:contextualSpacing w:val="0"/>
        <w:rPr>
          <w:sz w:val="22"/>
          <w:szCs w:val="22"/>
        </w:rPr>
      </w:pPr>
      <w:r w:rsidRPr="002524F6">
        <w:rPr>
          <w:sz w:val="22"/>
          <w:szCs w:val="22"/>
        </w:rPr>
        <w:t xml:space="preserve">Providers find being able to provide services via </w:t>
      </w:r>
      <w:proofErr w:type="spellStart"/>
      <w:r w:rsidRPr="002524F6">
        <w:rPr>
          <w:sz w:val="22"/>
          <w:szCs w:val="22"/>
        </w:rPr>
        <w:t>teleaudiology</w:t>
      </w:r>
      <w:proofErr w:type="spellEnd"/>
      <w:r w:rsidRPr="002524F6">
        <w:rPr>
          <w:sz w:val="22"/>
          <w:szCs w:val="22"/>
        </w:rPr>
        <w:t xml:space="preserve"> gives them flexibility to meet consumers</w:t>
      </w:r>
      <w:r>
        <w:rPr>
          <w:sz w:val="22"/>
          <w:szCs w:val="22"/>
        </w:rPr>
        <w:t>’</w:t>
      </w:r>
      <w:r w:rsidRPr="002524F6">
        <w:rPr>
          <w:sz w:val="22"/>
          <w:szCs w:val="22"/>
        </w:rPr>
        <w:t xml:space="preserve"> needs. They would like </w:t>
      </w:r>
      <w:proofErr w:type="spellStart"/>
      <w:r w:rsidRPr="002524F6">
        <w:rPr>
          <w:sz w:val="22"/>
          <w:szCs w:val="22"/>
        </w:rPr>
        <w:t>teleaudiology</w:t>
      </w:r>
      <w:proofErr w:type="spellEnd"/>
      <w:r w:rsidRPr="002524F6">
        <w:rPr>
          <w:sz w:val="22"/>
          <w:szCs w:val="22"/>
        </w:rPr>
        <w:t xml:space="preserve"> to stay in place post the Program’s response to C</w:t>
      </w:r>
      <w:r>
        <w:rPr>
          <w:sz w:val="22"/>
          <w:szCs w:val="22"/>
        </w:rPr>
        <w:t>OVID</w:t>
      </w:r>
      <w:r w:rsidRPr="002524F6">
        <w:rPr>
          <w:sz w:val="22"/>
          <w:szCs w:val="22"/>
        </w:rPr>
        <w:t>-19</w:t>
      </w:r>
      <w:r>
        <w:rPr>
          <w:sz w:val="22"/>
          <w:szCs w:val="22"/>
        </w:rPr>
        <w:t>.</w:t>
      </w:r>
    </w:p>
    <w:p w14:paraId="758F38CE" w14:textId="4C0EF4DC" w:rsidR="005878E0" w:rsidRPr="002524F6" w:rsidRDefault="005878E0" w:rsidP="007B203D">
      <w:pPr>
        <w:pStyle w:val="ListParagraph"/>
        <w:numPr>
          <w:ilvl w:val="0"/>
          <w:numId w:val="11"/>
        </w:numPr>
        <w:spacing w:before="60" w:after="60" w:line="240" w:lineRule="auto"/>
        <w:ind w:left="714" w:hanging="357"/>
        <w:contextualSpacing w:val="0"/>
        <w:rPr>
          <w:sz w:val="22"/>
          <w:szCs w:val="22"/>
        </w:rPr>
      </w:pPr>
      <w:r w:rsidRPr="002524F6">
        <w:rPr>
          <w:sz w:val="22"/>
          <w:szCs w:val="22"/>
        </w:rPr>
        <w:t xml:space="preserve">Infrastructure can be a barrier to the provision of services via </w:t>
      </w:r>
      <w:proofErr w:type="spellStart"/>
      <w:r w:rsidRPr="002524F6">
        <w:rPr>
          <w:sz w:val="22"/>
          <w:szCs w:val="22"/>
        </w:rPr>
        <w:t>teleaudiology</w:t>
      </w:r>
      <w:proofErr w:type="spellEnd"/>
      <w:r w:rsidRPr="002524F6">
        <w:rPr>
          <w:sz w:val="22"/>
          <w:szCs w:val="22"/>
        </w:rPr>
        <w:t xml:space="preserve"> – particularly in rural and remote areas where internet connection can be poor.</w:t>
      </w:r>
    </w:p>
    <w:p w14:paraId="12833AA3" w14:textId="77777777" w:rsidR="005878E0" w:rsidRPr="002524F6" w:rsidRDefault="005878E0" w:rsidP="007B203D">
      <w:pPr>
        <w:pStyle w:val="ListParagraph"/>
        <w:numPr>
          <w:ilvl w:val="0"/>
          <w:numId w:val="11"/>
        </w:numPr>
        <w:spacing w:before="60" w:after="60" w:line="240" w:lineRule="auto"/>
        <w:ind w:left="714" w:hanging="357"/>
        <w:contextualSpacing w:val="0"/>
        <w:rPr>
          <w:sz w:val="22"/>
          <w:szCs w:val="22"/>
        </w:rPr>
      </w:pPr>
      <w:r w:rsidRPr="002524F6">
        <w:rPr>
          <w:sz w:val="22"/>
          <w:szCs w:val="22"/>
        </w:rPr>
        <w:t xml:space="preserve">Not all services can be provided via </w:t>
      </w:r>
      <w:proofErr w:type="spellStart"/>
      <w:r w:rsidRPr="002524F6">
        <w:rPr>
          <w:sz w:val="22"/>
          <w:szCs w:val="22"/>
        </w:rPr>
        <w:t>teleaudiology</w:t>
      </w:r>
      <w:proofErr w:type="spellEnd"/>
      <w:r w:rsidRPr="002524F6">
        <w:rPr>
          <w:sz w:val="22"/>
          <w:szCs w:val="22"/>
        </w:rPr>
        <w:t>. This may be due to:</w:t>
      </w:r>
    </w:p>
    <w:p w14:paraId="4F6D462C" w14:textId="77777777" w:rsidR="005878E0" w:rsidRPr="002524F6" w:rsidRDefault="005878E0" w:rsidP="007B203D">
      <w:pPr>
        <w:pStyle w:val="ListParagraph"/>
        <w:numPr>
          <w:ilvl w:val="1"/>
          <w:numId w:val="11"/>
        </w:numPr>
        <w:spacing w:before="60" w:after="60" w:line="240" w:lineRule="auto"/>
        <w:contextualSpacing w:val="0"/>
        <w:rPr>
          <w:sz w:val="22"/>
          <w:szCs w:val="22"/>
        </w:rPr>
      </w:pPr>
      <w:r w:rsidRPr="002524F6">
        <w:rPr>
          <w:sz w:val="22"/>
          <w:szCs w:val="22"/>
        </w:rPr>
        <w:t xml:space="preserve">The nature of the service – e.g. </w:t>
      </w:r>
      <w:r>
        <w:rPr>
          <w:sz w:val="22"/>
          <w:szCs w:val="22"/>
        </w:rPr>
        <w:t xml:space="preserve">clinical level </w:t>
      </w:r>
      <w:r w:rsidRPr="002524F6">
        <w:rPr>
          <w:sz w:val="22"/>
          <w:szCs w:val="22"/>
        </w:rPr>
        <w:t xml:space="preserve">assessments are currently not approved for provision via </w:t>
      </w:r>
      <w:proofErr w:type="spellStart"/>
      <w:r w:rsidRPr="002524F6">
        <w:rPr>
          <w:sz w:val="22"/>
          <w:szCs w:val="22"/>
        </w:rPr>
        <w:t>teleaudiology</w:t>
      </w:r>
      <w:proofErr w:type="spellEnd"/>
    </w:p>
    <w:p w14:paraId="2E29E059" w14:textId="77777777" w:rsidR="005878E0" w:rsidRPr="002524F6" w:rsidRDefault="005878E0" w:rsidP="007B203D">
      <w:pPr>
        <w:pStyle w:val="ListParagraph"/>
        <w:numPr>
          <w:ilvl w:val="1"/>
          <w:numId w:val="11"/>
        </w:numPr>
        <w:spacing w:before="60" w:after="60" w:line="240" w:lineRule="auto"/>
        <w:contextualSpacing w:val="0"/>
        <w:rPr>
          <w:sz w:val="22"/>
          <w:szCs w:val="22"/>
        </w:rPr>
      </w:pPr>
      <w:r w:rsidRPr="002524F6">
        <w:rPr>
          <w:sz w:val="22"/>
          <w:szCs w:val="22"/>
        </w:rPr>
        <w:t xml:space="preserve">The hearing device the client </w:t>
      </w:r>
      <w:r>
        <w:rPr>
          <w:sz w:val="22"/>
          <w:szCs w:val="22"/>
        </w:rPr>
        <w:t xml:space="preserve">has will not allow </w:t>
      </w:r>
      <w:r w:rsidRPr="002524F6">
        <w:rPr>
          <w:sz w:val="22"/>
          <w:szCs w:val="22"/>
        </w:rPr>
        <w:t xml:space="preserve">connectivity to </w:t>
      </w:r>
      <w:r>
        <w:rPr>
          <w:sz w:val="22"/>
          <w:szCs w:val="22"/>
        </w:rPr>
        <w:t>support</w:t>
      </w:r>
      <w:r w:rsidRPr="002524F6">
        <w:rPr>
          <w:sz w:val="22"/>
          <w:szCs w:val="22"/>
        </w:rPr>
        <w:t xml:space="preserve"> remote programming – this can be particularly true of </w:t>
      </w:r>
      <w:r>
        <w:rPr>
          <w:sz w:val="22"/>
          <w:szCs w:val="22"/>
        </w:rPr>
        <w:t xml:space="preserve">many </w:t>
      </w:r>
      <w:r w:rsidRPr="002524F6">
        <w:rPr>
          <w:sz w:val="22"/>
          <w:szCs w:val="22"/>
        </w:rPr>
        <w:t>fully subsidised devices</w:t>
      </w:r>
    </w:p>
    <w:p w14:paraId="1790926C" w14:textId="77777777" w:rsidR="005878E0" w:rsidRPr="002524F6" w:rsidRDefault="005878E0" w:rsidP="007B203D">
      <w:pPr>
        <w:pStyle w:val="ListParagraph"/>
        <w:numPr>
          <w:ilvl w:val="1"/>
          <w:numId w:val="11"/>
        </w:numPr>
        <w:spacing w:before="60" w:after="60" w:line="240" w:lineRule="auto"/>
        <w:contextualSpacing w:val="0"/>
        <w:rPr>
          <w:sz w:val="22"/>
          <w:szCs w:val="22"/>
        </w:rPr>
      </w:pPr>
      <w:r w:rsidRPr="002524F6">
        <w:rPr>
          <w:sz w:val="22"/>
          <w:szCs w:val="22"/>
        </w:rPr>
        <w:t>The consumer prefer</w:t>
      </w:r>
      <w:r>
        <w:rPr>
          <w:sz w:val="22"/>
          <w:szCs w:val="22"/>
        </w:rPr>
        <w:t>ring</w:t>
      </w:r>
      <w:r w:rsidRPr="002524F6">
        <w:rPr>
          <w:sz w:val="22"/>
          <w:szCs w:val="22"/>
        </w:rPr>
        <w:t xml:space="preserve"> face-to-face services</w:t>
      </w:r>
    </w:p>
    <w:p w14:paraId="204DF5C7" w14:textId="77777777" w:rsidR="005878E0" w:rsidRPr="002524F6" w:rsidRDefault="005878E0" w:rsidP="007B203D">
      <w:pPr>
        <w:pStyle w:val="ListParagraph"/>
        <w:numPr>
          <w:ilvl w:val="1"/>
          <w:numId w:val="11"/>
        </w:numPr>
        <w:spacing w:before="60" w:after="60" w:line="240" w:lineRule="auto"/>
        <w:contextualSpacing w:val="0"/>
        <w:rPr>
          <w:sz w:val="22"/>
          <w:szCs w:val="22"/>
        </w:rPr>
      </w:pPr>
      <w:r w:rsidRPr="002524F6">
        <w:rPr>
          <w:sz w:val="22"/>
          <w:szCs w:val="22"/>
        </w:rPr>
        <w:t>The consumer ha</w:t>
      </w:r>
      <w:r>
        <w:rPr>
          <w:sz w:val="22"/>
          <w:szCs w:val="22"/>
        </w:rPr>
        <w:t>ving</w:t>
      </w:r>
      <w:r w:rsidRPr="002524F6">
        <w:rPr>
          <w:sz w:val="22"/>
          <w:szCs w:val="22"/>
        </w:rPr>
        <w:t xml:space="preserve"> particular needs which are not well met through </w:t>
      </w:r>
      <w:proofErr w:type="spellStart"/>
      <w:r w:rsidRPr="002524F6">
        <w:rPr>
          <w:sz w:val="22"/>
          <w:szCs w:val="22"/>
        </w:rPr>
        <w:t>teleaudiology</w:t>
      </w:r>
      <w:proofErr w:type="spellEnd"/>
    </w:p>
    <w:p w14:paraId="03D7D28C" w14:textId="1F466AFA" w:rsidR="005878E0" w:rsidRPr="003806E7" w:rsidRDefault="005878E0" w:rsidP="003806E7">
      <w:pPr>
        <w:pStyle w:val="ListParagraph"/>
        <w:numPr>
          <w:ilvl w:val="1"/>
          <w:numId w:val="11"/>
        </w:numPr>
        <w:spacing w:before="120" w:after="120" w:line="240" w:lineRule="auto"/>
        <w:contextualSpacing w:val="0"/>
        <w:rPr>
          <w:sz w:val="22"/>
          <w:szCs w:val="22"/>
        </w:rPr>
      </w:pPr>
      <w:r w:rsidRPr="003806E7">
        <w:rPr>
          <w:sz w:val="22"/>
          <w:szCs w:val="22"/>
        </w:rPr>
        <w:t>Smaller providers</w:t>
      </w:r>
      <w:r w:rsidRPr="003806E7" w:rsidDel="00287BB0">
        <w:rPr>
          <w:sz w:val="22"/>
          <w:szCs w:val="22"/>
        </w:rPr>
        <w:t xml:space="preserve"> </w:t>
      </w:r>
      <w:r w:rsidRPr="003806E7">
        <w:rPr>
          <w:sz w:val="22"/>
          <w:szCs w:val="22"/>
        </w:rPr>
        <w:t xml:space="preserve">not being able to make full use of </w:t>
      </w:r>
      <w:proofErr w:type="spellStart"/>
      <w:r w:rsidRPr="003806E7">
        <w:rPr>
          <w:sz w:val="22"/>
          <w:szCs w:val="22"/>
        </w:rPr>
        <w:t>teleaudiology</w:t>
      </w:r>
      <w:proofErr w:type="spellEnd"/>
      <w:r w:rsidRPr="003806E7">
        <w:rPr>
          <w:sz w:val="22"/>
          <w:szCs w:val="22"/>
        </w:rPr>
        <w:t xml:space="preserve"> due to the required investment and training in equipment and technology.   Further feedback will be obtained from providers regarding </w:t>
      </w:r>
      <w:proofErr w:type="spellStart"/>
      <w:r w:rsidRPr="003806E7">
        <w:rPr>
          <w:sz w:val="22"/>
          <w:szCs w:val="22"/>
        </w:rPr>
        <w:t>teleaudiology</w:t>
      </w:r>
      <w:proofErr w:type="spellEnd"/>
      <w:r w:rsidRPr="003806E7">
        <w:rPr>
          <w:sz w:val="22"/>
          <w:szCs w:val="22"/>
        </w:rPr>
        <w:t xml:space="preserve"> through submissions to the </w:t>
      </w:r>
      <w:hyperlink r:id="rId18" w:history="1">
        <w:r w:rsidRPr="003806E7">
          <w:rPr>
            <w:sz w:val="22"/>
            <w:szCs w:val="22"/>
          </w:rPr>
          <w:t>Hearing Services Review Consultation Paper</w:t>
        </w:r>
      </w:hyperlink>
      <w:r w:rsidRPr="003806E7">
        <w:rPr>
          <w:sz w:val="22"/>
          <w:szCs w:val="22"/>
        </w:rPr>
        <w:t xml:space="preserve"> (submissions close 4 December 2020), a </w:t>
      </w:r>
      <w:proofErr w:type="spellStart"/>
      <w:r w:rsidRPr="003806E7">
        <w:rPr>
          <w:sz w:val="22"/>
          <w:szCs w:val="22"/>
        </w:rPr>
        <w:t>teleaudiology</w:t>
      </w:r>
      <w:proofErr w:type="spellEnd"/>
      <w:r w:rsidRPr="003806E7">
        <w:rPr>
          <w:sz w:val="22"/>
          <w:szCs w:val="22"/>
        </w:rPr>
        <w:t xml:space="preserve"> survey the Department has partially funded, and other engagements with the sector.</w:t>
      </w:r>
    </w:p>
    <w:p w14:paraId="09B4F3B1" w14:textId="77777777" w:rsidR="005878E0" w:rsidRPr="007B203D" w:rsidRDefault="005878E0" w:rsidP="005878E0">
      <w:pPr>
        <w:spacing w:before="120" w:after="120" w:line="240" w:lineRule="auto"/>
        <w:rPr>
          <w:b/>
          <w:sz w:val="22"/>
          <w:szCs w:val="22"/>
        </w:rPr>
      </w:pPr>
      <w:r w:rsidRPr="007B203D">
        <w:rPr>
          <w:b/>
          <w:sz w:val="22"/>
          <w:szCs w:val="22"/>
        </w:rPr>
        <w:t xml:space="preserve">Need for </w:t>
      </w:r>
      <w:proofErr w:type="spellStart"/>
      <w:r w:rsidRPr="007B203D">
        <w:rPr>
          <w:b/>
          <w:sz w:val="22"/>
          <w:szCs w:val="22"/>
        </w:rPr>
        <w:t>teleaudiology</w:t>
      </w:r>
      <w:proofErr w:type="spellEnd"/>
      <w:r w:rsidRPr="007B203D">
        <w:rPr>
          <w:b/>
          <w:sz w:val="22"/>
          <w:szCs w:val="22"/>
        </w:rPr>
        <w:t xml:space="preserve"> standards</w:t>
      </w:r>
    </w:p>
    <w:p w14:paraId="531FD8C8" w14:textId="12ED6143" w:rsidR="005878E0" w:rsidRPr="00E13FE5" w:rsidRDefault="005878E0" w:rsidP="00642180">
      <w:pPr>
        <w:spacing w:before="120" w:after="120" w:line="240" w:lineRule="auto"/>
        <w:rPr>
          <w:sz w:val="22"/>
          <w:szCs w:val="22"/>
        </w:rPr>
      </w:pPr>
      <w:r w:rsidRPr="00E13FE5">
        <w:rPr>
          <w:sz w:val="22"/>
          <w:szCs w:val="22"/>
        </w:rPr>
        <w:t xml:space="preserve">There </w:t>
      </w:r>
      <w:r>
        <w:rPr>
          <w:sz w:val="22"/>
          <w:szCs w:val="22"/>
        </w:rPr>
        <w:t>is</w:t>
      </w:r>
      <w:r w:rsidRPr="00E13FE5">
        <w:rPr>
          <w:sz w:val="22"/>
          <w:szCs w:val="22"/>
        </w:rPr>
        <w:t xml:space="preserve"> currently no industry accepted set of </w:t>
      </w:r>
      <w:proofErr w:type="spellStart"/>
      <w:r w:rsidRPr="00E13FE5">
        <w:rPr>
          <w:sz w:val="22"/>
          <w:szCs w:val="22"/>
        </w:rPr>
        <w:t>teleaudiology</w:t>
      </w:r>
      <w:proofErr w:type="spellEnd"/>
      <w:r w:rsidRPr="00E13FE5">
        <w:rPr>
          <w:sz w:val="22"/>
          <w:szCs w:val="22"/>
        </w:rPr>
        <w:t xml:space="preserve"> standards. The </w:t>
      </w:r>
      <w:r>
        <w:rPr>
          <w:sz w:val="22"/>
          <w:szCs w:val="22"/>
        </w:rPr>
        <w:t xml:space="preserve">Government </w:t>
      </w:r>
      <w:r w:rsidRPr="00E13FE5">
        <w:rPr>
          <w:sz w:val="22"/>
          <w:szCs w:val="22"/>
        </w:rPr>
        <w:t xml:space="preserve">is supporting industry to develop standards by funding an initial scoping study. Furthermore, </w:t>
      </w:r>
      <w:r w:rsidRPr="00166E0D">
        <w:rPr>
          <w:sz w:val="22"/>
          <w:szCs w:val="22"/>
        </w:rPr>
        <w:t>the</w:t>
      </w:r>
      <w:r w:rsidR="00E17736" w:rsidRPr="00166E0D">
        <w:rPr>
          <w:sz w:val="22"/>
          <w:szCs w:val="22"/>
        </w:rPr>
        <w:t xml:space="preserve"> </w:t>
      </w:r>
      <w:r w:rsidR="00166E0D" w:rsidRPr="00166E0D">
        <w:rPr>
          <w:sz w:val="22"/>
          <w:szCs w:val="22"/>
        </w:rPr>
        <w:t>2020</w:t>
      </w:r>
      <w:r w:rsidR="00166E0D" w:rsidRPr="00166E0D">
        <w:rPr>
          <w:sz w:val="22"/>
          <w:szCs w:val="22"/>
        </w:rPr>
        <w:noBreakHyphen/>
        <w:t>21</w:t>
      </w:r>
      <w:r w:rsidRPr="00166E0D">
        <w:rPr>
          <w:sz w:val="22"/>
          <w:szCs w:val="22"/>
        </w:rPr>
        <w:t xml:space="preserve"> Federal Budget included $400,000 in funding for the development and adoption of new</w:t>
      </w:r>
      <w:r w:rsidRPr="009978A9">
        <w:rPr>
          <w:color w:val="FF0000"/>
          <w:sz w:val="22"/>
          <w:szCs w:val="22"/>
        </w:rPr>
        <w:t xml:space="preserve"> </w:t>
      </w:r>
      <w:proofErr w:type="spellStart"/>
      <w:r w:rsidRPr="00E13FE5">
        <w:rPr>
          <w:sz w:val="22"/>
          <w:szCs w:val="22"/>
        </w:rPr>
        <w:t>teleaudiology</w:t>
      </w:r>
      <w:proofErr w:type="spellEnd"/>
      <w:r w:rsidRPr="00E13FE5">
        <w:rPr>
          <w:sz w:val="22"/>
          <w:szCs w:val="22"/>
        </w:rPr>
        <w:t xml:space="preserve"> standards for </w:t>
      </w:r>
      <w:r>
        <w:rPr>
          <w:sz w:val="22"/>
          <w:szCs w:val="22"/>
        </w:rPr>
        <w:t xml:space="preserve">the </w:t>
      </w:r>
      <w:r w:rsidRPr="00E13FE5">
        <w:rPr>
          <w:sz w:val="22"/>
          <w:szCs w:val="22"/>
        </w:rPr>
        <w:t>hearing services</w:t>
      </w:r>
      <w:r>
        <w:rPr>
          <w:sz w:val="22"/>
          <w:szCs w:val="22"/>
        </w:rPr>
        <w:t xml:space="preserve"> sector</w:t>
      </w:r>
      <w:r w:rsidRPr="00E13FE5">
        <w:rPr>
          <w:sz w:val="22"/>
          <w:szCs w:val="22"/>
        </w:rPr>
        <w:t>.</w:t>
      </w:r>
    </w:p>
    <w:p w14:paraId="73492963" w14:textId="5C0A5403" w:rsidR="009A3BA8" w:rsidRPr="00E13FE5" w:rsidRDefault="005878E0" w:rsidP="005878E0">
      <w:pPr>
        <w:spacing w:before="120" w:after="120" w:line="240" w:lineRule="auto"/>
        <w:rPr>
          <w:sz w:val="22"/>
          <w:szCs w:val="22"/>
        </w:rPr>
      </w:pPr>
      <w:r w:rsidRPr="00E13FE5">
        <w:rPr>
          <w:sz w:val="22"/>
          <w:szCs w:val="22"/>
        </w:rPr>
        <w:t xml:space="preserve">Whilst </w:t>
      </w:r>
      <w:proofErr w:type="spellStart"/>
      <w:r w:rsidRPr="00E13FE5">
        <w:rPr>
          <w:sz w:val="22"/>
          <w:szCs w:val="22"/>
        </w:rPr>
        <w:t>teleaudiology</w:t>
      </w:r>
      <w:proofErr w:type="spellEnd"/>
      <w:r w:rsidRPr="00E13FE5">
        <w:rPr>
          <w:sz w:val="22"/>
          <w:szCs w:val="22"/>
        </w:rPr>
        <w:t xml:space="preserve"> will not always be the best option for a client, </w:t>
      </w:r>
      <w:r>
        <w:rPr>
          <w:sz w:val="22"/>
          <w:szCs w:val="22"/>
        </w:rPr>
        <w:t xml:space="preserve">or be suitable for all services, </w:t>
      </w:r>
      <w:r w:rsidRPr="00E13FE5">
        <w:rPr>
          <w:sz w:val="22"/>
          <w:szCs w:val="22"/>
        </w:rPr>
        <w:t>retaining it as a service delivery option will enable greater flexibility to meet consumers</w:t>
      </w:r>
      <w:r>
        <w:rPr>
          <w:sz w:val="22"/>
          <w:szCs w:val="22"/>
        </w:rPr>
        <w:t>’</w:t>
      </w:r>
      <w:r w:rsidRPr="00E13FE5">
        <w:rPr>
          <w:sz w:val="22"/>
          <w:szCs w:val="22"/>
        </w:rPr>
        <w:t xml:space="preserve"> needs. With appropriate infrastructure, </w:t>
      </w:r>
      <w:proofErr w:type="spellStart"/>
      <w:r w:rsidRPr="00E13FE5">
        <w:rPr>
          <w:sz w:val="22"/>
          <w:szCs w:val="22"/>
        </w:rPr>
        <w:t>teleaudiology</w:t>
      </w:r>
      <w:proofErr w:type="spellEnd"/>
      <w:r w:rsidRPr="00E13FE5">
        <w:rPr>
          <w:sz w:val="22"/>
          <w:szCs w:val="22"/>
        </w:rPr>
        <w:t xml:space="preserve"> can be used to break down barriers for accessing services by consumers who are unable to attend the clinic due to issues such as distance, inability, or difficulty leaving a care facility, </w:t>
      </w:r>
      <w:r>
        <w:rPr>
          <w:sz w:val="22"/>
          <w:szCs w:val="22"/>
        </w:rPr>
        <w:t xml:space="preserve">not having an appropriate clinic nearby </w:t>
      </w:r>
      <w:r w:rsidRPr="00E13FE5">
        <w:rPr>
          <w:sz w:val="22"/>
          <w:szCs w:val="22"/>
        </w:rPr>
        <w:t>or being immunocompromised.</w:t>
      </w:r>
    </w:p>
    <w:p w14:paraId="03ADD22A" w14:textId="77777777" w:rsidR="004303EC" w:rsidRDefault="004303EC">
      <w:pPr>
        <w:rPr>
          <w:b/>
          <w:sz w:val="22"/>
          <w:szCs w:val="22"/>
        </w:rPr>
      </w:pPr>
      <w:r>
        <w:rPr>
          <w:b/>
          <w:sz w:val="22"/>
          <w:szCs w:val="22"/>
        </w:rPr>
        <w:br w:type="page"/>
      </w:r>
    </w:p>
    <w:p w14:paraId="463B3A50" w14:textId="7DF38E7A" w:rsidR="005878E0" w:rsidRPr="00E13FE5" w:rsidRDefault="005878E0" w:rsidP="004303EC">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rPr>
          <w:sz w:val="22"/>
          <w:szCs w:val="22"/>
        </w:rPr>
      </w:pPr>
      <w:r w:rsidRPr="00E13FE5">
        <w:rPr>
          <w:b/>
          <w:sz w:val="22"/>
          <w:szCs w:val="22"/>
        </w:rPr>
        <w:t>Assessment of Option #</w:t>
      </w:r>
      <w:r>
        <w:rPr>
          <w:b/>
          <w:sz w:val="22"/>
          <w:szCs w:val="22"/>
        </w:rPr>
        <w:t>4</w:t>
      </w:r>
      <w:r w:rsidRPr="00E13FE5">
        <w:rPr>
          <w:b/>
          <w:sz w:val="22"/>
          <w:szCs w:val="22"/>
        </w:rPr>
        <w:t xml:space="preserve"> – Expanded </w:t>
      </w:r>
      <w:proofErr w:type="spellStart"/>
      <w:r w:rsidRPr="00E13FE5">
        <w:rPr>
          <w:b/>
          <w:sz w:val="22"/>
          <w:szCs w:val="22"/>
        </w:rPr>
        <w:t>teleaudiology</w:t>
      </w:r>
      <w:proofErr w:type="spellEnd"/>
      <w:r w:rsidRPr="00E13FE5">
        <w:rPr>
          <w:b/>
          <w:sz w:val="22"/>
          <w:szCs w:val="22"/>
        </w:rPr>
        <w:t xml:space="preserve"> offering</w:t>
      </w:r>
    </w:p>
    <w:p w14:paraId="6938EF45" w14:textId="77777777" w:rsidR="005878E0" w:rsidRPr="00E13FE5" w:rsidRDefault="005878E0" w:rsidP="004303EC">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rPr>
          <w:sz w:val="22"/>
          <w:szCs w:val="22"/>
        </w:rPr>
      </w:pPr>
      <w:r w:rsidRPr="00E13FE5">
        <w:rPr>
          <w:sz w:val="22"/>
          <w:szCs w:val="22"/>
        </w:rPr>
        <w:t xml:space="preserve">Expanding the use of </w:t>
      </w:r>
      <w:proofErr w:type="spellStart"/>
      <w:r w:rsidRPr="00E13FE5">
        <w:rPr>
          <w:sz w:val="22"/>
          <w:szCs w:val="22"/>
        </w:rPr>
        <w:t>teleaudiology</w:t>
      </w:r>
      <w:proofErr w:type="spellEnd"/>
      <w:r w:rsidRPr="00E13FE5">
        <w:rPr>
          <w:sz w:val="22"/>
          <w:szCs w:val="22"/>
        </w:rPr>
        <w:t xml:space="preserve"> to deliver services in the Program would be an </w:t>
      </w:r>
      <w:r w:rsidRPr="00ED146F">
        <w:rPr>
          <w:sz w:val="22"/>
          <w:szCs w:val="22"/>
        </w:rPr>
        <w:t>effective</w:t>
      </w:r>
      <w:r w:rsidRPr="00D53D92">
        <w:rPr>
          <w:sz w:val="22"/>
          <w:szCs w:val="22"/>
        </w:rPr>
        <w:t xml:space="preserve"> </w:t>
      </w:r>
      <w:r w:rsidRPr="00E13FE5">
        <w:rPr>
          <w:sz w:val="22"/>
          <w:szCs w:val="22"/>
        </w:rPr>
        <w:t xml:space="preserve">means of improving access to services for </w:t>
      </w:r>
      <w:r>
        <w:rPr>
          <w:sz w:val="22"/>
          <w:szCs w:val="22"/>
        </w:rPr>
        <w:t xml:space="preserve">the majority of </w:t>
      </w:r>
      <w:r w:rsidRPr="00E13FE5">
        <w:rPr>
          <w:sz w:val="22"/>
          <w:szCs w:val="22"/>
        </w:rPr>
        <w:t>consumers</w:t>
      </w:r>
      <w:r>
        <w:rPr>
          <w:sz w:val="22"/>
          <w:szCs w:val="22"/>
        </w:rPr>
        <w:t xml:space="preserve"> and particularly those</w:t>
      </w:r>
      <w:r w:rsidRPr="00E13FE5">
        <w:rPr>
          <w:sz w:val="22"/>
          <w:szCs w:val="22"/>
        </w:rPr>
        <w:t xml:space="preserve"> in thin markets</w:t>
      </w:r>
      <w:r>
        <w:rPr>
          <w:sz w:val="22"/>
          <w:szCs w:val="22"/>
        </w:rPr>
        <w:t xml:space="preserve">, and would assist in addressing the revenue impacts from the 2020-21 Federal Budget measures. </w:t>
      </w:r>
      <w:r w:rsidRPr="00E13FE5">
        <w:rPr>
          <w:sz w:val="22"/>
          <w:szCs w:val="22"/>
        </w:rPr>
        <w:t xml:space="preserve">The precise details of the implementation, and particularly the applicable fees and quality controls, would impact on the </w:t>
      </w:r>
      <w:r w:rsidRPr="00ED146F">
        <w:rPr>
          <w:sz w:val="22"/>
          <w:szCs w:val="22"/>
        </w:rPr>
        <w:t>efficiency</w:t>
      </w:r>
      <w:r w:rsidRPr="00D53D92">
        <w:rPr>
          <w:sz w:val="22"/>
          <w:szCs w:val="22"/>
        </w:rPr>
        <w:t xml:space="preserve"> </w:t>
      </w:r>
      <w:r w:rsidRPr="00E13FE5">
        <w:rPr>
          <w:sz w:val="22"/>
          <w:szCs w:val="22"/>
        </w:rPr>
        <w:t>of this option in terms of value to taxpayers. However, a well-designed proposal could deliver the desired effectiveness in an efficient manner.</w:t>
      </w:r>
    </w:p>
    <w:p w14:paraId="48400C99" w14:textId="77777777" w:rsidR="005878E0" w:rsidRPr="00E13FE5" w:rsidRDefault="005878E0" w:rsidP="004303EC">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rPr>
          <w:sz w:val="22"/>
          <w:szCs w:val="22"/>
        </w:rPr>
      </w:pPr>
      <w:r w:rsidRPr="00E13FE5">
        <w:rPr>
          <w:sz w:val="22"/>
          <w:szCs w:val="22"/>
        </w:rPr>
        <w:t xml:space="preserve">As some </w:t>
      </w:r>
      <w:proofErr w:type="spellStart"/>
      <w:r w:rsidRPr="00E13FE5">
        <w:rPr>
          <w:sz w:val="22"/>
          <w:szCs w:val="22"/>
        </w:rPr>
        <w:t>teleaudiology</w:t>
      </w:r>
      <w:proofErr w:type="spellEnd"/>
      <w:r w:rsidRPr="00E13FE5">
        <w:rPr>
          <w:sz w:val="22"/>
          <w:szCs w:val="22"/>
        </w:rPr>
        <w:t xml:space="preserve"> services are already in place, expanding this offering could be </w:t>
      </w:r>
      <w:r>
        <w:rPr>
          <w:sz w:val="22"/>
          <w:szCs w:val="22"/>
        </w:rPr>
        <w:t>undertaken</w:t>
      </w:r>
      <w:r w:rsidRPr="00E13FE5">
        <w:rPr>
          <w:sz w:val="22"/>
          <w:szCs w:val="22"/>
        </w:rPr>
        <w:t xml:space="preserve"> in a </w:t>
      </w:r>
      <w:r w:rsidRPr="00ED146F">
        <w:rPr>
          <w:sz w:val="22"/>
          <w:szCs w:val="22"/>
        </w:rPr>
        <w:t>sustainable</w:t>
      </w:r>
      <w:r w:rsidRPr="00D53D92">
        <w:rPr>
          <w:sz w:val="22"/>
          <w:szCs w:val="22"/>
        </w:rPr>
        <w:t xml:space="preserve"> </w:t>
      </w:r>
      <w:r w:rsidRPr="00E13FE5">
        <w:rPr>
          <w:sz w:val="22"/>
          <w:szCs w:val="22"/>
        </w:rPr>
        <w:t xml:space="preserve">manner, both in terms of implementation and ongoing maintenance and quality control. It would also help to address </w:t>
      </w:r>
      <w:r w:rsidRPr="00ED146F">
        <w:rPr>
          <w:sz w:val="22"/>
          <w:szCs w:val="22"/>
        </w:rPr>
        <w:t>equity</w:t>
      </w:r>
      <w:r w:rsidRPr="00D53D92">
        <w:rPr>
          <w:sz w:val="22"/>
          <w:szCs w:val="22"/>
        </w:rPr>
        <w:t xml:space="preserve"> </w:t>
      </w:r>
      <w:r w:rsidRPr="00E13FE5">
        <w:rPr>
          <w:sz w:val="22"/>
          <w:szCs w:val="22"/>
        </w:rPr>
        <w:t>concerns, particularly for those consumers who are particularly vulnerable and</w:t>
      </w:r>
      <w:r>
        <w:rPr>
          <w:sz w:val="22"/>
          <w:szCs w:val="22"/>
        </w:rPr>
        <w:t xml:space="preserve"> for their providers who</w:t>
      </w:r>
      <w:r w:rsidRPr="00E13FE5">
        <w:rPr>
          <w:sz w:val="22"/>
          <w:szCs w:val="22"/>
        </w:rPr>
        <w:t xml:space="preserve"> may be unduly impacted by the </w:t>
      </w:r>
      <w:r>
        <w:rPr>
          <w:sz w:val="22"/>
          <w:szCs w:val="22"/>
        </w:rPr>
        <w:t xml:space="preserve">2020-21 </w:t>
      </w:r>
      <w:r w:rsidRPr="00E13FE5">
        <w:rPr>
          <w:sz w:val="22"/>
          <w:szCs w:val="22"/>
        </w:rPr>
        <w:t xml:space="preserve">Budget </w:t>
      </w:r>
      <w:r>
        <w:rPr>
          <w:sz w:val="22"/>
          <w:szCs w:val="22"/>
        </w:rPr>
        <w:t>measures</w:t>
      </w:r>
      <w:r w:rsidRPr="00E13FE5">
        <w:rPr>
          <w:sz w:val="22"/>
          <w:szCs w:val="22"/>
        </w:rPr>
        <w:t>.</w:t>
      </w:r>
    </w:p>
    <w:p w14:paraId="5C301DF3" w14:textId="530BABA7" w:rsidR="005878E0" w:rsidRPr="000D199E" w:rsidRDefault="005878E0" w:rsidP="007B203D">
      <w:pPr>
        <w:pStyle w:val="Heading3"/>
      </w:pPr>
      <w:bookmarkStart w:id="49" w:name="_Toc57901105"/>
      <w:r w:rsidRPr="00E80D58">
        <w:t>Option #5 – Hub and spoke model</w:t>
      </w:r>
      <w:bookmarkEnd w:id="49"/>
    </w:p>
    <w:p w14:paraId="3CF9E159" w14:textId="77777777" w:rsidR="005878E0" w:rsidRPr="00AA1223" w:rsidRDefault="005878E0" w:rsidP="005878E0">
      <w:pPr>
        <w:spacing w:before="120" w:after="120" w:line="240" w:lineRule="auto"/>
        <w:rPr>
          <w:sz w:val="22"/>
          <w:szCs w:val="22"/>
        </w:rPr>
      </w:pPr>
      <w:r w:rsidRPr="00AA1223">
        <w:rPr>
          <w:sz w:val="22"/>
          <w:szCs w:val="22"/>
        </w:rPr>
        <w:t xml:space="preserve">Current service delivery channels under the Program are focussed on a one-to-one interaction between a consumer and their practitioner. In rural and remote areas, this </w:t>
      </w:r>
      <w:r>
        <w:rPr>
          <w:sz w:val="22"/>
          <w:szCs w:val="22"/>
        </w:rPr>
        <w:t>can be</w:t>
      </w:r>
      <w:r w:rsidRPr="00AA1223">
        <w:rPr>
          <w:sz w:val="22"/>
          <w:szCs w:val="22"/>
        </w:rPr>
        <w:t xml:space="preserve"> ineffective due to geographic distances, limited skilled practitioner workforce</w:t>
      </w:r>
      <w:r>
        <w:rPr>
          <w:sz w:val="22"/>
          <w:szCs w:val="22"/>
        </w:rPr>
        <w:t>,</w:t>
      </w:r>
      <w:r w:rsidRPr="00AA1223">
        <w:rPr>
          <w:sz w:val="22"/>
          <w:szCs w:val="22"/>
        </w:rPr>
        <w:t xml:space="preserve"> or similar barriers to accessing hearing services. </w:t>
      </w:r>
      <w:r>
        <w:rPr>
          <w:sz w:val="22"/>
          <w:szCs w:val="22"/>
        </w:rPr>
        <w:t>This</w:t>
      </w:r>
      <w:r w:rsidRPr="00AA1223">
        <w:rPr>
          <w:sz w:val="22"/>
          <w:szCs w:val="22"/>
        </w:rPr>
        <w:t xml:space="preserve"> option </w:t>
      </w:r>
      <w:r>
        <w:rPr>
          <w:sz w:val="22"/>
          <w:szCs w:val="22"/>
        </w:rPr>
        <w:t>proposes establishing</w:t>
      </w:r>
      <w:r w:rsidRPr="00AA1223">
        <w:rPr>
          <w:sz w:val="22"/>
          <w:szCs w:val="22"/>
        </w:rPr>
        <w:t xml:space="preserve"> a new ‘hub and spoke’ </w:t>
      </w:r>
      <w:r>
        <w:rPr>
          <w:sz w:val="22"/>
          <w:szCs w:val="22"/>
        </w:rPr>
        <w:t xml:space="preserve">service delivery </w:t>
      </w:r>
      <w:r w:rsidRPr="00AA1223">
        <w:rPr>
          <w:sz w:val="22"/>
          <w:szCs w:val="22"/>
        </w:rPr>
        <w:t xml:space="preserve">channel through which local allied health providers </w:t>
      </w:r>
      <w:r>
        <w:rPr>
          <w:sz w:val="22"/>
          <w:szCs w:val="22"/>
        </w:rPr>
        <w:t>(</w:t>
      </w:r>
      <w:r w:rsidRPr="00AA1223">
        <w:rPr>
          <w:sz w:val="22"/>
          <w:szCs w:val="22"/>
        </w:rPr>
        <w:t>such as bush nurses or pharmacists</w:t>
      </w:r>
      <w:r>
        <w:rPr>
          <w:sz w:val="22"/>
          <w:szCs w:val="22"/>
        </w:rPr>
        <w:t>)</w:t>
      </w:r>
      <w:r w:rsidRPr="00AA1223">
        <w:rPr>
          <w:sz w:val="22"/>
          <w:szCs w:val="22"/>
        </w:rPr>
        <w:t xml:space="preserve"> could facilitate hearing services delivery with an audiology practitioner providing guidance and direction remotely, such as through a </w:t>
      </w:r>
      <w:proofErr w:type="spellStart"/>
      <w:r w:rsidRPr="00AA1223">
        <w:rPr>
          <w:sz w:val="22"/>
          <w:szCs w:val="22"/>
        </w:rPr>
        <w:t>teleaudiology</w:t>
      </w:r>
      <w:proofErr w:type="spellEnd"/>
      <w:r w:rsidRPr="00AA1223">
        <w:rPr>
          <w:sz w:val="22"/>
          <w:szCs w:val="22"/>
        </w:rPr>
        <w:t xml:space="preserve"> service.</w:t>
      </w:r>
    </w:p>
    <w:p w14:paraId="5946E6A7" w14:textId="77777777" w:rsidR="005878E0" w:rsidRPr="00AA1223" w:rsidRDefault="005878E0" w:rsidP="005878E0">
      <w:pPr>
        <w:spacing w:before="120" w:after="120" w:line="240" w:lineRule="auto"/>
        <w:rPr>
          <w:sz w:val="22"/>
          <w:szCs w:val="22"/>
        </w:rPr>
      </w:pPr>
      <w:r w:rsidRPr="00AA1223">
        <w:rPr>
          <w:sz w:val="22"/>
          <w:szCs w:val="22"/>
        </w:rPr>
        <w:t xml:space="preserve">Under this proposed </w:t>
      </w:r>
      <w:r>
        <w:rPr>
          <w:sz w:val="22"/>
          <w:szCs w:val="22"/>
        </w:rPr>
        <w:t>channel</w:t>
      </w:r>
      <w:r w:rsidRPr="00AA1223">
        <w:rPr>
          <w:sz w:val="22"/>
          <w:szCs w:val="22"/>
        </w:rPr>
        <w:t xml:space="preserve">, </w:t>
      </w:r>
      <w:r>
        <w:rPr>
          <w:sz w:val="22"/>
          <w:szCs w:val="22"/>
        </w:rPr>
        <w:t>a provider may</w:t>
      </w:r>
      <w:r w:rsidRPr="00AA1223">
        <w:rPr>
          <w:sz w:val="22"/>
          <w:szCs w:val="22"/>
        </w:rPr>
        <w:t xml:space="preserve"> </w:t>
      </w:r>
      <w:r>
        <w:rPr>
          <w:sz w:val="22"/>
          <w:szCs w:val="22"/>
        </w:rPr>
        <w:t xml:space="preserve">reach out directly to other health professionals or </w:t>
      </w:r>
      <w:r w:rsidRPr="00AA1223">
        <w:rPr>
          <w:sz w:val="22"/>
          <w:szCs w:val="22"/>
        </w:rPr>
        <w:t xml:space="preserve">be assigned </w:t>
      </w:r>
      <w:r>
        <w:rPr>
          <w:sz w:val="22"/>
          <w:szCs w:val="22"/>
        </w:rPr>
        <w:t xml:space="preserve">a </w:t>
      </w:r>
      <w:r w:rsidRPr="00AA1223">
        <w:rPr>
          <w:sz w:val="22"/>
          <w:szCs w:val="22"/>
        </w:rPr>
        <w:t>catchment area</w:t>
      </w:r>
      <w:r w:rsidRPr="003D437F">
        <w:rPr>
          <w:sz w:val="22"/>
          <w:szCs w:val="22"/>
          <w:vertAlign w:val="superscript"/>
        </w:rPr>
        <w:footnoteReference w:id="10"/>
      </w:r>
      <w:r w:rsidRPr="00AA1223">
        <w:rPr>
          <w:sz w:val="22"/>
          <w:szCs w:val="22"/>
        </w:rPr>
        <w:t xml:space="preserve"> where they would be able to partner with existing </w:t>
      </w:r>
      <w:r>
        <w:rPr>
          <w:sz w:val="22"/>
          <w:szCs w:val="22"/>
        </w:rPr>
        <w:t>on the ground</w:t>
      </w:r>
      <w:r w:rsidRPr="00AA1223">
        <w:rPr>
          <w:sz w:val="22"/>
          <w:szCs w:val="22"/>
        </w:rPr>
        <w:t xml:space="preserve"> allied health services. </w:t>
      </w:r>
      <w:r>
        <w:rPr>
          <w:sz w:val="22"/>
          <w:szCs w:val="22"/>
        </w:rPr>
        <w:t>Providers could</w:t>
      </w:r>
      <w:r w:rsidRPr="00AA1223">
        <w:rPr>
          <w:sz w:val="22"/>
          <w:szCs w:val="22"/>
        </w:rPr>
        <w:t xml:space="preserve"> reach </w:t>
      </w:r>
      <w:r>
        <w:rPr>
          <w:sz w:val="22"/>
          <w:szCs w:val="22"/>
        </w:rPr>
        <w:t>new</w:t>
      </w:r>
      <w:r w:rsidRPr="00AA1223">
        <w:rPr>
          <w:sz w:val="22"/>
          <w:szCs w:val="22"/>
        </w:rPr>
        <w:t xml:space="preserve"> markets and consumer segments that are not currently viable</w:t>
      </w:r>
      <w:r>
        <w:rPr>
          <w:sz w:val="22"/>
          <w:szCs w:val="22"/>
        </w:rPr>
        <w:t>,</w:t>
      </w:r>
      <w:r w:rsidRPr="00AA1223">
        <w:rPr>
          <w:sz w:val="22"/>
          <w:szCs w:val="22"/>
        </w:rPr>
        <w:t xml:space="preserve"> </w:t>
      </w:r>
      <w:r>
        <w:rPr>
          <w:sz w:val="22"/>
          <w:szCs w:val="22"/>
        </w:rPr>
        <w:t>providing</w:t>
      </w:r>
      <w:r w:rsidRPr="00AA1223">
        <w:rPr>
          <w:sz w:val="22"/>
          <w:szCs w:val="22"/>
        </w:rPr>
        <w:t xml:space="preserve"> hearing services to these currently underserviced groups.</w:t>
      </w:r>
    </w:p>
    <w:p w14:paraId="1D8C5D7D" w14:textId="72EEF026" w:rsidR="009A3BA8" w:rsidRDefault="005878E0" w:rsidP="005878E0">
      <w:pPr>
        <w:spacing w:before="120" w:after="120" w:line="240" w:lineRule="auto"/>
        <w:rPr>
          <w:sz w:val="22"/>
          <w:szCs w:val="22"/>
        </w:rPr>
      </w:pPr>
      <w:r>
        <w:rPr>
          <w:sz w:val="22"/>
          <w:szCs w:val="22"/>
        </w:rPr>
        <w:t>T</w:t>
      </w:r>
      <w:r w:rsidRPr="00AA1223">
        <w:rPr>
          <w:sz w:val="22"/>
          <w:szCs w:val="22"/>
        </w:rPr>
        <w:t>his option would require additional financial support to be viable, given the cost of equipment, training (for on the ground allied health staff), and to ensure that best clinical outcomes for consumers are protected.</w:t>
      </w:r>
      <w:r>
        <w:rPr>
          <w:sz w:val="22"/>
          <w:szCs w:val="22"/>
        </w:rPr>
        <w:t xml:space="preserve"> It is also likely that this option would take significant time to implement. Thus, given that the new changes will be implemented in July 2021 it is not practical to address the early impact of the budget changes through this option.</w:t>
      </w:r>
    </w:p>
    <w:p w14:paraId="4A92FC65" w14:textId="77777777" w:rsidR="004303EC" w:rsidRDefault="004303EC">
      <w:pPr>
        <w:rPr>
          <w:b/>
          <w:sz w:val="22"/>
          <w:szCs w:val="22"/>
        </w:rPr>
      </w:pPr>
      <w:r>
        <w:rPr>
          <w:b/>
          <w:sz w:val="22"/>
          <w:szCs w:val="22"/>
        </w:rPr>
        <w:br w:type="page"/>
      </w:r>
    </w:p>
    <w:p w14:paraId="218443EF" w14:textId="260FE362" w:rsidR="005878E0" w:rsidRPr="003D437F"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b/>
          <w:sz w:val="22"/>
          <w:szCs w:val="22"/>
        </w:rPr>
      </w:pPr>
      <w:r w:rsidRPr="003D437F">
        <w:rPr>
          <w:b/>
          <w:sz w:val="22"/>
          <w:szCs w:val="22"/>
        </w:rPr>
        <w:t>Assessment of Option #</w:t>
      </w:r>
      <w:r>
        <w:rPr>
          <w:b/>
          <w:sz w:val="22"/>
          <w:szCs w:val="22"/>
        </w:rPr>
        <w:t>5</w:t>
      </w:r>
      <w:r w:rsidRPr="003D437F">
        <w:rPr>
          <w:b/>
          <w:sz w:val="22"/>
          <w:szCs w:val="22"/>
        </w:rPr>
        <w:t xml:space="preserve"> – Hub and spoke model</w:t>
      </w:r>
    </w:p>
    <w:p w14:paraId="6A2EFBD1" w14:textId="6B708ADF" w:rsidR="005878E0" w:rsidRPr="00AA1223"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spacing w:before="120" w:after="120" w:line="240" w:lineRule="auto"/>
        <w:rPr>
          <w:sz w:val="22"/>
          <w:szCs w:val="22"/>
        </w:rPr>
      </w:pPr>
      <w:r w:rsidRPr="00AA1223">
        <w:rPr>
          <w:sz w:val="22"/>
          <w:szCs w:val="22"/>
        </w:rPr>
        <w:t xml:space="preserve">This option </w:t>
      </w:r>
      <w:r>
        <w:rPr>
          <w:sz w:val="22"/>
          <w:szCs w:val="22"/>
        </w:rPr>
        <w:t>may not</w:t>
      </w:r>
      <w:r w:rsidRPr="00AA1223">
        <w:rPr>
          <w:sz w:val="22"/>
          <w:szCs w:val="22"/>
        </w:rPr>
        <w:t xml:space="preserve"> be an </w:t>
      </w:r>
      <w:r w:rsidRPr="00ED146F">
        <w:rPr>
          <w:sz w:val="22"/>
          <w:szCs w:val="22"/>
        </w:rPr>
        <w:t>effective</w:t>
      </w:r>
      <w:r w:rsidRPr="00AA1223">
        <w:rPr>
          <w:sz w:val="22"/>
          <w:szCs w:val="22"/>
        </w:rPr>
        <w:t xml:space="preserve"> means of extending access to hearing services </w:t>
      </w:r>
      <w:r>
        <w:rPr>
          <w:sz w:val="22"/>
          <w:szCs w:val="22"/>
        </w:rPr>
        <w:t xml:space="preserve">to address the time-specific impacts of the </w:t>
      </w:r>
      <w:r w:rsidR="0083673B">
        <w:rPr>
          <w:sz w:val="22"/>
          <w:szCs w:val="22"/>
        </w:rPr>
        <w:fldChar w:fldCharType="begin"/>
      </w:r>
      <w:r w:rsidR="0083673B">
        <w:rPr>
          <w:sz w:val="22"/>
          <w:szCs w:val="22"/>
        </w:rPr>
        <w:instrText xml:space="preserve"> REF _Ref57376474 \h  \* MERGEFORMAT </w:instrText>
      </w:r>
      <w:r w:rsidR="0083673B">
        <w:rPr>
          <w:sz w:val="22"/>
          <w:szCs w:val="22"/>
        </w:rPr>
      </w:r>
      <w:r w:rsidR="0083673B">
        <w:rPr>
          <w:sz w:val="22"/>
          <w:szCs w:val="22"/>
        </w:rPr>
        <w:fldChar w:fldCharType="separate"/>
      </w:r>
      <w:r w:rsidR="00DD11FB" w:rsidRPr="00DD11FB">
        <w:rPr>
          <w:sz w:val="22"/>
          <w:szCs w:val="22"/>
        </w:rPr>
        <w:t>FY2020-21 Federal Budget announcements</w:t>
      </w:r>
      <w:r w:rsidR="0083673B">
        <w:rPr>
          <w:sz w:val="22"/>
          <w:szCs w:val="22"/>
        </w:rPr>
        <w:fldChar w:fldCharType="end"/>
      </w:r>
      <w:r w:rsidRPr="00E72C38">
        <w:rPr>
          <w:sz w:val="22"/>
          <w:szCs w:val="22"/>
        </w:rPr>
        <w:t xml:space="preserve"> </w:t>
      </w:r>
      <w:r>
        <w:rPr>
          <w:sz w:val="22"/>
          <w:szCs w:val="22"/>
        </w:rPr>
        <w:t>which are</w:t>
      </w:r>
      <w:r w:rsidRPr="00E72C38">
        <w:rPr>
          <w:sz w:val="22"/>
          <w:szCs w:val="22"/>
        </w:rPr>
        <w:t xml:space="preserve"> concentrated in the first two years post-implementation</w:t>
      </w:r>
      <w:r w:rsidRPr="00D53D92">
        <w:rPr>
          <w:sz w:val="22"/>
          <w:szCs w:val="22"/>
        </w:rPr>
        <w:t>.</w:t>
      </w:r>
      <w:r w:rsidRPr="00AA1223">
        <w:rPr>
          <w:sz w:val="22"/>
          <w:szCs w:val="22"/>
        </w:rPr>
        <w:t xml:space="preserve"> </w:t>
      </w:r>
      <w:r>
        <w:rPr>
          <w:sz w:val="22"/>
          <w:szCs w:val="22"/>
        </w:rPr>
        <w:t>Th</w:t>
      </w:r>
      <w:r w:rsidRPr="005A7131">
        <w:rPr>
          <w:sz w:val="22"/>
          <w:szCs w:val="22"/>
        </w:rPr>
        <w:t>is is primarily due to the requirement to locate, contract, upskill, and equip the on-the-ground allied health staff to facilitate with the consumers in person</w:t>
      </w:r>
      <w:r>
        <w:rPr>
          <w:sz w:val="22"/>
          <w:szCs w:val="22"/>
        </w:rPr>
        <w:t xml:space="preserve">. In a longer term context this option may be effective </w:t>
      </w:r>
      <w:r w:rsidRPr="00AA1223">
        <w:rPr>
          <w:sz w:val="22"/>
          <w:szCs w:val="22"/>
        </w:rPr>
        <w:t xml:space="preserve">as </w:t>
      </w:r>
      <w:r>
        <w:rPr>
          <w:sz w:val="22"/>
          <w:szCs w:val="22"/>
        </w:rPr>
        <w:t>most areas</w:t>
      </w:r>
      <w:r w:rsidRPr="00AA1223">
        <w:rPr>
          <w:sz w:val="22"/>
          <w:szCs w:val="22"/>
        </w:rPr>
        <w:t xml:space="preserve"> already have some form of other allied health services targeted to those groups. However, the </w:t>
      </w:r>
      <w:r w:rsidRPr="00D53D92">
        <w:rPr>
          <w:sz w:val="22"/>
          <w:szCs w:val="22"/>
        </w:rPr>
        <w:t>efficiency</w:t>
      </w:r>
      <w:r w:rsidRPr="00AA1223">
        <w:rPr>
          <w:sz w:val="22"/>
          <w:szCs w:val="22"/>
        </w:rPr>
        <w:t xml:space="preserve"> of using th</w:t>
      </w:r>
      <w:r>
        <w:rPr>
          <w:sz w:val="22"/>
          <w:szCs w:val="22"/>
        </w:rPr>
        <w:t xml:space="preserve">is proposed new </w:t>
      </w:r>
      <w:r w:rsidRPr="00AA1223">
        <w:rPr>
          <w:sz w:val="22"/>
          <w:szCs w:val="22"/>
        </w:rPr>
        <w:t xml:space="preserve">channel is less clear </w:t>
      </w:r>
      <w:r>
        <w:rPr>
          <w:sz w:val="22"/>
          <w:szCs w:val="22"/>
        </w:rPr>
        <w:t xml:space="preserve">with it being </w:t>
      </w:r>
      <w:r w:rsidRPr="00AA1223">
        <w:rPr>
          <w:sz w:val="22"/>
          <w:szCs w:val="22"/>
        </w:rPr>
        <w:t>likely that</w:t>
      </w:r>
      <w:r>
        <w:rPr>
          <w:sz w:val="22"/>
          <w:szCs w:val="22"/>
        </w:rPr>
        <w:t xml:space="preserve"> this option would increase provider costs</w:t>
      </w:r>
      <w:r w:rsidRPr="003D437F">
        <w:rPr>
          <w:sz w:val="22"/>
          <w:szCs w:val="22"/>
          <w:vertAlign w:val="superscript"/>
        </w:rPr>
        <w:footnoteReference w:id="11"/>
      </w:r>
      <w:r w:rsidRPr="00AA1223">
        <w:rPr>
          <w:sz w:val="22"/>
          <w:szCs w:val="22"/>
        </w:rPr>
        <w:t>.</w:t>
      </w:r>
    </w:p>
    <w:p w14:paraId="277F7285" w14:textId="77777777" w:rsidR="005878E0"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AA1223">
        <w:rPr>
          <w:sz w:val="22"/>
          <w:szCs w:val="22"/>
        </w:rPr>
        <w:t xml:space="preserve">The </w:t>
      </w:r>
      <w:r w:rsidRPr="00ED146F">
        <w:rPr>
          <w:sz w:val="22"/>
          <w:szCs w:val="22"/>
        </w:rPr>
        <w:t>equity</w:t>
      </w:r>
      <w:r w:rsidRPr="00A36636">
        <w:rPr>
          <w:i/>
          <w:sz w:val="22"/>
          <w:szCs w:val="22"/>
        </w:rPr>
        <w:t xml:space="preserve"> </w:t>
      </w:r>
      <w:r w:rsidRPr="00AA1223">
        <w:rPr>
          <w:sz w:val="22"/>
          <w:szCs w:val="22"/>
        </w:rPr>
        <w:t xml:space="preserve">of this option would also be dependent on the specific design of the new channel, but broadly it is likely that any services would be equitable to all consumers as the model does not introduce new biases. </w:t>
      </w:r>
    </w:p>
    <w:p w14:paraId="5F5919E1" w14:textId="77777777" w:rsidR="005878E0" w:rsidRDefault="005878E0" w:rsidP="005878E0">
      <w:pPr>
        <w:pBdr>
          <w:top w:val="single" w:sz="4" w:space="1" w:color="auto"/>
          <w:left w:val="single" w:sz="4" w:space="4" w:color="auto"/>
          <w:bottom w:val="single" w:sz="4" w:space="1" w:color="auto"/>
          <w:right w:val="single" w:sz="4" w:space="4" w:color="auto"/>
        </w:pBdr>
        <w:shd w:val="clear" w:color="auto" w:fill="DEEAF6" w:themeFill="accent1" w:themeFillTint="33"/>
        <w:rPr>
          <w:sz w:val="22"/>
          <w:szCs w:val="22"/>
        </w:rPr>
      </w:pPr>
      <w:r w:rsidRPr="00AA1223">
        <w:rPr>
          <w:sz w:val="22"/>
          <w:szCs w:val="22"/>
        </w:rPr>
        <w:t xml:space="preserve">Finally, the </w:t>
      </w:r>
      <w:r w:rsidRPr="00ED146F">
        <w:rPr>
          <w:sz w:val="22"/>
          <w:szCs w:val="22"/>
        </w:rPr>
        <w:t>sustainability</w:t>
      </w:r>
      <w:r w:rsidRPr="00AA1223">
        <w:rPr>
          <w:sz w:val="22"/>
          <w:szCs w:val="22"/>
        </w:rPr>
        <w:t xml:space="preserve"> of </w:t>
      </w:r>
      <w:r>
        <w:rPr>
          <w:sz w:val="22"/>
          <w:szCs w:val="22"/>
        </w:rPr>
        <w:t>this option for the longer term may be of concern, depending on the additional costs of service delivery and the benefits that would be realised.</w:t>
      </w:r>
    </w:p>
    <w:p w14:paraId="7FB7687F" w14:textId="77777777" w:rsidR="005878E0" w:rsidRDefault="005878E0">
      <w:pPr>
        <w:rPr>
          <w:rFonts w:asciiTheme="majorHAnsi" w:eastAsiaTheme="majorEastAsia" w:hAnsiTheme="majorHAnsi" w:cstheme="majorBidi"/>
          <w:color w:val="2E74B5" w:themeColor="accent1" w:themeShade="BF"/>
          <w:sz w:val="32"/>
          <w:szCs w:val="32"/>
        </w:rPr>
      </w:pPr>
      <w:r>
        <w:br w:type="page"/>
      </w:r>
    </w:p>
    <w:p w14:paraId="5123B7EE" w14:textId="13460195" w:rsidR="005878E0" w:rsidRPr="00E13FE5" w:rsidRDefault="005878E0" w:rsidP="005878E0">
      <w:pPr>
        <w:pStyle w:val="Heading1"/>
        <w:spacing w:before="120" w:after="120" w:line="240" w:lineRule="auto"/>
      </w:pPr>
      <w:bookmarkStart w:id="50" w:name="_Toc57901106"/>
      <w:r w:rsidRPr="00E13FE5">
        <w:t>Conclusion</w:t>
      </w:r>
      <w:bookmarkEnd w:id="50"/>
      <w:r>
        <w:t xml:space="preserve"> </w:t>
      </w:r>
    </w:p>
    <w:p w14:paraId="625400DF" w14:textId="77777777" w:rsidR="005878E0" w:rsidRDefault="005878E0" w:rsidP="005878E0">
      <w:pPr>
        <w:spacing w:before="120" w:after="120" w:line="240" w:lineRule="auto"/>
        <w:rPr>
          <w:sz w:val="22"/>
          <w:szCs w:val="22"/>
        </w:rPr>
      </w:pPr>
      <w:r>
        <w:rPr>
          <w:sz w:val="22"/>
          <w:szCs w:val="22"/>
        </w:rPr>
        <w:t xml:space="preserve">In summary, this advice confirms the drop in Voucher Scheme revenue for some service providers as a result of the implementation of the Government’s 2020 Budget decisions will impact services and consumers. The Panel has found that the two years from the start of the implementation of changes will have the largest impact with respect to Program revenue for service providers, which could lead to the loss of access to services for consumers. The potential for this impact is higher in rural and remote areas where access to alternative services is likely to be lowest. </w:t>
      </w:r>
    </w:p>
    <w:p w14:paraId="4BB25BEE" w14:textId="441752B2" w:rsidR="005878E0" w:rsidRPr="00E13FE5" w:rsidRDefault="005878E0" w:rsidP="005878E0">
      <w:pPr>
        <w:spacing w:before="120" w:after="120" w:line="240" w:lineRule="auto"/>
        <w:rPr>
          <w:sz w:val="22"/>
          <w:szCs w:val="22"/>
        </w:rPr>
      </w:pPr>
      <w:r>
        <w:rPr>
          <w:sz w:val="22"/>
          <w:szCs w:val="22"/>
        </w:rPr>
        <w:t>Without detailed data on financial viability for service providers, it is not possible to draw any conclusive view of the impact of the Budget changes in these markets. However, t</w:t>
      </w:r>
      <w:r w:rsidRPr="00E13FE5">
        <w:rPr>
          <w:sz w:val="22"/>
          <w:szCs w:val="22"/>
        </w:rPr>
        <w:t xml:space="preserve">o </w:t>
      </w:r>
      <w:r>
        <w:rPr>
          <w:sz w:val="22"/>
          <w:szCs w:val="22"/>
        </w:rPr>
        <w:t>ensure that consumers continue to have access to hearing services, in line with their clinical needs, the Panel suggests it undertake some further analysis and consultation with the sector and community on the following policy approaches</w:t>
      </w:r>
      <w:r w:rsidRPr="00E13FE5">
        <w:rPr>
          <w:sz w:val="22"/>
          <w:szCs w:val="22"/>
        </w:rPr>
        <w:t>:</w:t>
      </w:r>
    </w:p>
    <w:p w14:paraId="147D890A" w14:textId="39191951" w:rsidR="005878E0" w:rsidRDefault="009A3BA8" w:rsidP="007B203D">
      <w:pPr>
        <w:pStyle w:val="ListParagraph"/>
        <w:numPr>
          <w:ilvl w:val="0"/>
          <w:numId w:val="20"/>
        </w:numPr>
        <w:spacing w:before="60" w:after="60" w:line="240" w:lineRule="auto"/>
        <w:ind w:left="714" w:hanging="357"/>
        <w:contextualSpacing w:val="0"/>
        <w:rPr>
          <w:sz w:val="22"/>
          <w:szCs w:val="22"/>
        </w:rPr>
      </w:pPr>
      <w:r>
        <w:rPr>
          <w:sz w:val="22"/>
          <w:szCs w:val="22"/>
        </w:rPr>
        <w:t xml:space="preserve">Provide a </w:t>
      </w:r>
      <w:r w:rsidR="005878E0">
        <w:rPr>
          <w:sz w:val="22"/>
          <w:szCs w:val="22"/>
        </w:rPr>
        <w:t xml:space="preserve">loading on service items delivered in </w:t>
      </w:r>
      <w:r>
        <w:rPr>
          <w:sz w:val="22"/>
          <w:szCs w:val="22"/>
        </w:rPr>
        <w:t xml:space="preserve">rural and remote </w:t>
      </w:r>
      <w:r w:rsidR="005878E0">
        <w:rPr>
          <w:sz w:val="22"/>
          <w:szCs w:val="22"/>
        </w:rPr>
        <w:t xml:space="preserve">regions </w:t>
      </w:r>
      <w:r>
        <w:rPr>
          <w:sz w:val="22"/>
          <w:szCs w:val="22"/>
        </w:rPr>
        <w:t>(</w:t>
      </w:r>
      <w:r w:rsidR="005878E0">
        <w:rPr>
          <w:sz w:val="22"/>
          <w:szCs w:val="22"/>
        </w:rPr>
        <w:t>MM 3-7</w:t>
      </w:r>
      <w:r>
        <w:rPr>
          <w:sz w:val="22"/>
          <w:szCs w:val="22"/>
        </w:rPr>
        <w:t>)</w:t>
      </w:r>
    </w:p>
    <w:p w14:paraId="2EFEF45D" w14:textId="38DA4886" w:rsidR="005878E0" w:rsidRDefault="009A3BA8" w:rsidP="007B203D">
      <w:pPr>
        <w:pStyle w:val="ListParagraph"/>
        <w:numPr>
          <w:ilvl w:val="0"/>
          <w:numId w:val="20"/>
        </w:numPr>
        <w:spacing w:before="60" w:after="60" w:line="240" w:lineRule="auto"/>
        <w:ind w:left="714" w:hanging="357"/>
        <w:contextualSpacing w:val="0"/>
        <w:rPr>
          <w:sz w:val="22"/>
          <w:szCs w:val="22"/>
        </w:rPr>
      </w:pPr>
      <w:r>
        <w:rPr>
          <w:sz w:val="22"/>
          <w:szCs w:val="22"/>
        </w:rPr>
        <w:t>Provide a</w:t>
      </w:r>
      <w:r w:rsidR="005878E0">
        <w:rPr>
          <w:sz w:val="22"/>
          <w:szCs w:val="22"/>
        </w:rPr>
        <w:t xml:space="preserve"> loading on </w:t>
      </w:r>
      <w:r>
        <w:rPr>
          <w:sz w:val="22"/>
          <w:szCs w:val="22"/>
        </w:rPr>
        <w:t xml:space="preserve">service items delivered by </w:t>
      </w:r>
      <w:r w:rsidR="005878E0">
        <w:rPr>
          <w:sz w:val="22"/>
          <w:szCs w:val="22"/>
        </w:rPr>
        <w:t>small and medium service providers</w:t>
      </w:r>
    </w:p>
    <w:p w14:paraId="05F16250" w14:textId="1E13348B" w:rsidR="005878E0" w:rsidRPr="001B3F3A" w:rsidRDefault="009A3BA8" w:rsidP="007B203D">
      <w:pPr>
        <w:pStyle w:val="ListParagraph"/>
        <w:numPr>
          <w:ilvl w:val="0"/>
          <w:numId w:val="20"/>
        </w:numPr>
        <w:spacing w:before="60" w:after="60" w:line="240" w:lineRule="auto"/>
        <w:ind w:left="714" w:hanging="357"/>
        <w:contextualSpacing w:val="0"/>
        <w:rPr>
          <w:sz w:val="22"/>
          <w:szCs w:val="22"/>
        </w:rPr>
      </w:pPr>
      <w:r>
        <w:rPr>
          <w:sz w:val="22"/>
          <w:szCs w:val="22"/>
        </w:rPr>
        <w:t xml:space="preserve">Expand </w:t>
      </w:r>
      <w:proofErr w:type="spellStart"/>
      <w:r w:rsidR="005878E0">
        <w:rPr>
          <w:sz w:val="22"/>
          <w:szCs w:val="22"/>
        </w:rPr>
        <w:t>teleaudiology</w:t>
      </w:r>
      <w:proofErr w:type="spellEnd"/>
      <w:r w:rsidR="005878E0">
        <w:rPr>
          <w:sz w:val="22"/>
          <w:szCs w:val="22"/>
        </w:rPr>
        <w:t xml:space="preserve"> services available through the Program</w:t>
      </w:r>
    </w:p>
    <w:p w14:paraId="18555854" w14:textId="48DEA873" w:rsidR="005878E0" w:rsidRDefault="005878E0" w:rsidP="005878E0">
      <w:pPr>
        <w:spacing w:before="120" w:after="120" w:line="240" w:lineRule="auto"/>
        <w:rPr>
          <w:sz w:val="22"/>
          <w:szCs w:val="22"/>
        </w:rPr>
      </w:pPr>
      <w:r>
        <w:rPr>
          <w:sz w:val="22"/>
          <w:szCs w:val="22"/>
        </w:rPr>
        <w:t>These options would provide varying levels of adjustment supp</w:t>
      </w:r>
      <w:r w:rsidRPr="0047639B">
        <w:rPr>
          <w:sz w:val="22"/>
          <w:szCs w:val="22"/>
        </w:rPr>
        <w:t xml:space="preserve">ort to the hearing services market and help mitigate the impacts of the </w:t>
      </w:r>
      <w:r w:rsidR="0083673B">
        <w:rPr>
          <w:sz w:val="22"/>
          <w:szCs w:val="22"/>
        </w:rPr>
        <w:fldChar w:fldCharType="begin"/>
      </w:r>
      <w:r w:rsidR="0083673B">
        <w:rPr>
          <w:sz w:val="22"/>
          <w:szCs w:val="22"/>
        </w:rPr>
        <w:instrText xml:space="preserve"> REF _Ref57376498 \h  \* MERGEFORMAT </w:instrText>
      </w:r>
      <w:r w:rsidR="0083673B">
        <w:rPr>
          <w:sz w:val="22"/>
          <w:szCs w:val="22"/>
        </w:rPr>
      </w:r>
      <w:r w:rsidR="0083673B">
        <w:rPr>
          <w:sz w:val="22"/>
          <w:szCs w:val="22"/>
        </w:rPr>
        <w:fldChar w:fldCharType="separate"/>
      </w:r>
      <w:r w:rsidR="00DD11FB" w:rsidRPr="00DD11FB">
        <w:rPr>
          <w:sz w:val="22"/>
          <w:szCs w:val="22"/>
        </w:rPr>
        <w:t>FY2020-21 Federal Budget announcements</w:t>
      </w:r>
      <w:r w:rsidR="0083673B">
        <w:rPr>
          <w:sz w:val="22"/>
          <w:szCs w:val="22"/>
        </w:rPr>
        <w:fldChar w:fldCharType="end"/>
      </w:r>
      <w:r w:rsidRPr="0047639B">
        <w:rPr>
          <w:sz w:val="22"/>
          <w:szCs w:val="22"/>
        </w:rPr>
        <w:t xml:space="preserve"> on providers and therefore their consumers</w:t>
      </w:r>
      <w:r>
        <w:rPr>
          <w:sz w:val="22"/>
          <w:szCs w:val="22"/>
        </w:rPr>
        <w:t>,</w:t>
      </w:r>
      <w:r w:rsidRPr="0047639B">
        <w:rPr>
          <w:sz w:val="22"/>
          <w:szCs w:val="22"/>
        </w:rPr>
        <w:t xml:space="preserve"> for the two year period of FY2021-22 and FY2022-23.</w:t>
      </w:r>
    </w:p>
    <w:p w14:paraId="1D2A4A03" w14:textId="77777777" w:rsidR="005878E0" w:rsidRDefault="005878E0" w:rsidP="005878E0">
      <w:pPr>
        <w:spacing w:before="120" w:after="120" w:line="240" w:lineRule="auto"/>
        <w:rPr>
          <w:sz w:val="22"/>
          <w:szCs w:val="22"/>
        </w:rPr>
      </w:pPr>
      <w:r>
        <w:rPr>
          <w:sz w:val="22"/>
          <w:szCs w:val="22"/>
        </w:rPr>
        <w:t>The policy approaches set out in this advice are preliminary and need further exploration and consultation. This is planned for later 2020 and early 2021. It is anticipated that further discussion and feedback through the submission to the review will help inform further advice from the Panel to Government in March 2021.</w:t>
      </w:r>
    </w:p>
    <w:p w14:paraId="7A66111B" w14:textId="77777777" w:rsidR="005878E0" w:rsidRPr="00A5525B" w:rsidRDefault="005878E0" w:rsidP="005878E0">
      <w:pPr>
        <w:rPr>
          <w:sz w:val="22"/>
          <w:szCs w:val="22"/>
        </w:rPr>
      </w:pPr>
    </w:p>
    <w:p w14:paraId="38AB259B" w14:textId="77777777" w:rsidR="005878E0" w:rsidRPr="00A5525B" w:rsidRDefault="005878E0" w:rsidP="005878E0">
      <w:pPr>
        <w:rPr>
          <w:sz w:val="22"/>
          <w:szCs w:val="22"/>
        </w:rPr>
      </w:pPr>
    </w:p>
    <w:p w14:paraId="18CE7B43" w14:textId="77777777" w:rsidR="005878E0" w:rsidRPr="00E13FE5" w:rsidRDefault="005878E0" w:rsidP="005878E0">
      <w:pPr>
        <w:rPr>
          <w:sz w:val="22"/>
          <w:szCs w:val="22"/>
        </w:rPr>
      </w:pPr>
      <w:r w:rsidRPr="00E13FE5">
        <w:rPr>
          <w:sz w:val="22"/>
          <w:szCs w:val="22"/>
        </w:rPr>
        <w:br w:type="page"/>
      </w:r>
    </w:p>
    <w:bookmarkStart w:id="51" w:name="_Toc57901107" w:displacedByCustomXml="next"/>
    <w:sdt>
      <w:sdtPr>
        <w:rPr>
          <w:rFonts w:asciiTheme="minorHAnsi" w:eastAsiaTheme="minorHAnsi" w:hAnsiTheme="minorHAnsi" w:cstheme="minorHAnsi"/>
          <w:color w:val="auto"/>
          <w:sz w:val="24"/>
          <w:szCs w:val="24"/>
        </w:rPr>
        <w:id w:val="542719185"/>
        <w:docPartObj>
          <w:docPartGallery w:val="Bibliographies"/>
          <w:docPartUnique/>
        </w:docPartObj>
      </w:sdtPr>
      <w:sdtEndPr/>
      <w:sdtContent>
        <w:p w14:paraId="445B658C" w14:textId="77777777" w:rsidR="005878E0" w:rsidRDefault="005878E0" w:rsidP="005878E0">
          <w:pPr>
            <w:pStyle w:val="Heading1"/>
          </w:pPr>
          <w:r>
            <w:t>Bibliography</w:t>
          </w:r>
          <w:bookmarkEnd w:id="51"/>
        </w:p>
        <w:sdt>
          <w:sdtPr>
            <w:id w:val="1850060619"/>
            <w:bibliography/>
          </w:sdtPr>
          <w:sdtEndPr/>
          <w:sdtContent>
            <w:p w14:paraId="106A7414" w14:textId="77777777" w:rsidR="0083673B" w:rsidRPr="00686C5B" w:rsidRDefault="005878E0" w:rsidP="00686C5B">
              <w:pPr>
                <w:pStyle w:val="Bibliography"/>
                <w:spacing w:after="100"/>
                <w:ind w:left="720" w:hanging="720"/>
                <w:rPr>
                  <w:noProof/>
                  <w:sz w:val="22"/>
                  <w:szCs w:val="22"/>
                </w:rPr>
              </w:pPr>
              <w:r w:rsidRPr="00686C5B">
                <w:rPr>
                  <w:sz w:val="22"/>
                  <w:szCs w:val="22"/>
                </w:rPr>
                <w:fldChar w:fldCharType="begin"/>
              </w:r>
              <w:r w:rsidRPr="00686C5B">
                <w:rPr>
                  <w:sz w:val="22"/>
                  <w:szCs w:val="22"/>
                </w:rPr>
                <w:instrText xml:space="preserve"> BIBLIOGRAPHY </w:instrText>
              </w:r>
              <w:r w:rsidRPr="00686C5B">
                <w:rPr>
                  <w:sz w:val="22"/>
                  <w:szCs w:val="22"/>
                </w:rPr>
                <w:fldChar w:fldCharType="separate"/>
              </w:r>
              <w:r w:rsidR="0083673B" w:rsidRPr="00686C5B">
                <w:rPr>
                  <w:noProof/>
                  <w:sz w:val="22"/>
                  <w:szCs w:val="22"/>
                </w:rPr>
                <w:t xml:space="preserve">Australian Bureau of Statistics. (2018, March 27). </w:t>
              </w:r>
              <w:r w:rsidR="0083673B" w:rsidRPr="00686C5B">
                <w:rPr>
                  <w:i/>
                  <w:iCs/>
                  <w:noProof/>
                  <w:sz w:val="22"/>
                  <w:szCs w:val="22"/>
                </w:rPr>
                <w:t>Census of Population and Housing: Reflecting Australia - Stories from the Census 2015 - Socio-Economic Advantage and Disadvantage.</w:t>
              </w:r>
              <w:r w:rsidR="0083673B" w:rsidRPr="00686C5B">
                <w:rPr>
                  <w:noProof/>
                  <w:sz w:val="22"/>
                  <w:szCs w:val="22"/>
                </w:rPr>
                <w:t xml:space="preserve"> Retrieved November 17, 2020, from abs.gov.au: https://www.abs.gov.au/ausstats/abs@.nsf/Lookup/by%20Subject/2071.0~2016~Main%20Features~Socio-Economic%20Advantage%20and%20Disadvantage~123</w:t>
              </w:r>
            </w:p>
            <w:p w14:paraId="5EF3EDE5"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Australian Government Department of Health. (2019, October). </w:t>
              </w:r>
              <w:r w:rsidRPr="00686C5B">
                <w:rPr>
                  <w:i/>
                  <w:iCs/>
                  <w:noProof/>
                  <w:sz w:val="22"/>
                  <w:szCs w:val="22"/>
                </w:rPr>
                <w:t>Workforce Incentive Program (WIP).</w:t>
              </w:r>
              <w:r w:rsidRPr="00686C5B">
                <w:rPr>
                  <w:noProof/>
                  <w:sz w:val="22"/>
                  <w:szCs w:val="22"/>
                </w:rPr>
                <w:t xml:space="preserve"> Retrieved November 10, 2020, from Department of Health: https://www1.health.gov.au/internet/main/publishing.nsf/Content/2B5AFC2D41B4C6C3CA2583840075D4A3/$File/Factsheet%20-%20WIP%20-%20October%202019.pdf </w:t>
              </w:r>
            </w:p>
            <w:p w14:paraId="4EFA40BC"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Australian Institute of Health and Welfare. (2020, July 23). </w:t>
              </w:r>
              <w:r w:rsidRPr="00686C5B">
                <w:rPr>
                  <w:i/>
                  <w:iCs/>
                  <w:noProof/>
                  <w:sz w:val="22"/>
                  <w:szCs w:val="22"/>
                </w:rPr>
                <w:t>Rural and Remote Health</w:t>
              </w:r>
              <w:r w:rsidRPr="00686C5B">
                <w:rPr>
                  <w:noProof/>
                  <w:sz w:val="22"/>
                  <w:szCs w:val="22"/>
                </w:rPr>
                <w:t>. Retrieved from Australian Government - Australian Institute of Health and Welfare: https://www.aihw.gov.au/reports/australias-health/rural-and-remote-health</w:t>
              </w:r>
            </w:p>
            <w:p w14:paraId="71923E44"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David, D. a. (2015, December 7). Stigma Regarding Hearing Loss and Hearing Aids: A Scoping Review. </w:t>
              </w:r>
              <w:r w:rsidRPr="00686C5B">
                <w:rPr>
                  <w:i/>
                  <w:iCs/>
                  <w:noProof/>
                  <w:sz w:val="22"/>
                  <w:szCs w:val="22"/>
                </w:rPr>
                <w:t>Stigma and Health</w:t>
              </w:r>
              <w:r w:rsidRPr="00686C5B">
                <w:rPr>
                  <w:noProof/>
                  <w:sz w:val="22"/>
                  <w:szCs w:val="22"/>
                </w:rPr>
                <w:t>. doi:10.1037/sah0000022</w:t>
              </w:r>
            </w:p>
            <w:p w14:paraId="126BABF8"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Davis, A. (1995). </w:t>
              </w:r>
              <w:r w:rsidRPr="00686C5B">
                <w:rPr>
                  <w:i/>
                  <w:iCs/>
                  <w:noProof/>
                  <w:sz w:val="22"/>
                  <w:szCs w:val="22"/>
                </w:rPr>
                <w:t>Hearing in Adults: The Prevalence and Distribution of Hearing Impairment and Reported Hearing Disability in the MRC Institute of Hearing Research's National Study of Hearing.</w:t>
              </w:r>
              <w:r w:rsidRPr="00686C5B">
                <w:rPr>
                  <w:noProof/>
                  <w:sz w:val="22"/>
                  <w:szCs w:val="22"/>
                </w:rPr>
                <w:t xml:space="preserve"> Whurr.</w:t>
              </w:r>
            </w:p>
            <w:p w14:paraId="47B106E9"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Department of Health. (2019, June 28). </w:t>
              </w:r>
              <w:r w:rsidRPr="00686C5B">
                <w:rPr>
                  <w:i/>
                  <w:iCs/>
                  <w:noProof/>
                  <w:sz w:val="22"/>
                  <w:szCs w:val="22"/>
                </w:rPr>
                <w:t>Modified Monash Model - fact sheet .</w:t>
              </w:r>
              <w:r w:rsidRPr="00686C5B">
                <w:rPr>
                  <w:noProof/>
                  <w:sz w:val="22"/>
                  <w:szCs w:val="22"/>
                </w:rPr>
                <w:t xml:space="preserve"> Retrieved from Australian Government - Department of Health: https://www.health.gov.au/resources/publications/modified-monash-model-fact-sheet</w:t>
              </w:r>
            </w:p>
            <w:p w14:paraId="6D62ECDD"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Department of Health. (2020, November 6). </w:t>
              </w:r>
              <w:r w:rsidRPr="00686C5B">
                <w:rPr>
                  <w:i/>
                  <w:iCs/>
                  <w:noProof/>
                  <w:sz w:val="22"/>
                  <w:szCs w:val="22"/>
                </w:rPr>
                <w:t>Workforce Incentive Program Factsheet.</w:t>
              </w:r>
              <w:r w:rsidRPr="00686C5B">
                <w:rPr>
                  <w:noProof/>
                  <w:sz w:val="22"/>
                  <w:szCs w:val="22"/>
                </w:rPr>
                <w:t xml:space="preserve"> Retrieved November 10, 2020, from Australian Government - Department of Health: https://www1.health.gov.au/internet/main/publishing.nsf/Content/work-pr-wip-factsheet </w:t>
              </w:r>
            </w:p>
            <w:p w14:paraId="0725BA6C"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Department of Health. (n.d.). </w:t>
              </w:r>
              <w:r w:rsidRPr="00686C5B">
                <w:rPr>
                  <w:i/>
                  <w:iCs/>
                  <w:noProof/>
                  <w:sz w:val="22"/>
                  <w:szCs w:val="22"/>
                </w:rPr>
                <w:t>Rural Bulk Billing Incentives.</w:t>
              </w:r>
              <w:r w:rsidRPr="00686C5B">
                <w:rPr>
                  <w:noProof/>
                  <w:sz w:val="22"/>
                  <w:szCs w:val="22"/>
                </w:rPr>
                <w:t xml:space="preserve"> Retrieved from Australian Government - Department of Health: https://www.health.gov.au/sites/default/files/download-pdf.pdf</w:t>
              </w:r>
            </w:p>
            <w:p w14:paraId="4D6D7682"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Department of Health. (n.d.). </w:t>
              </w:r>
              <w:r w:rsidRPr="00686C5B">
                <w:rPr>
                  <w:i/>
                  <w:iCs/>
                  <w:noProof/>
                  <w:sz w:val="22"/>
                  <w:szCs w:val="22"/>
                </w:rPr>
                <w:t>The Bonded Medical Program New Arrangement</w:t>
              </w:r>
              <w:r w:rsidRPr="00686C5B">
                <w:rPr>
                  <w:noProof/>
                  <w:sz w:val="22"/>
                  <w:szCs w:val="22"/>
                </w:rPr>
                <w:t>. Retrieved from Australian Government - Department of Health: https://www1.health.gov.au/internet/main/publishing.nsf/Content/reformed-bonded-programs</w:t>
              </w:r>
            </w:p>
            <w:p w14:paraId="7B6838AF"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Emmett SD, F. H. (2015, March). The socioeconomic impact of hearing loss in U.S. adults. </w:t>
              </w:r>
              <w:r w:rsidRPr="00686C5B">
                <w:rPr>
                  <w:i/>
                  <w:iCs/>
                  <w:noProof/>
                  <w:sz w:val="22"/>
                  <w:szCs w:val="22"/>
                </w:rPr>
                <w:t>Otol Neurotol, 36</w:t>
              </w:r>
              <w:r w:rsidRPr="00686C5B">
                <w:rPr>
                  <w:noProof/>
                  <w:sz w:val="22"/>
                  <w:szCs w:val="22"/>
                </w:rPr>
                <w:t xml:space="preserve">(3), 545-550. doi:10.1097/MAO.0000000000000562. </w:t>
              </w:r>
            </w:p>
            <w:p w14:paraId="68537B25"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Fischer, M. C. (2011, August). Determinants of hearing aid acquisition in older adults. </w:t>
              </w:r>
              <w:r w:rsidRPr="00686C5B">
                <w:rPr>
                  <w:i/>
                  <w:iCs/>
                  <w:noProof/>
                  <w:sz w:val="22"/>
                  <w:szCs w:val="22"/>
                </w:rPr>
                <w:t>American journal of public health, 101</w:t>
              </w:r>
              <w:r w:rsidRPr="00686C5B">
                <w:rPr>
                  <w:noProof/>
                  <w:sz w:val="22"/>
                  <w:szCs w:val="22"/>
                </w:rPr>
                <w:t>(8), 1449-1455. doi:https://dx.doi.org/10.2105%2FAJPH.2010.300078</w:t>
              </w:r>
            </w:p>
            <w:p w14:paraId="65A83818"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Hearing Care Industry Association. (2017). </w:t>
              </w:r>
              <w:r w:rsidRPr="00686C5B">
                <w:rPr>
                  <w:i/>
                  <w:iCs/>
                  <w:noProof/>
                  <w:sz w:val="22"/>
                  <w:szCs w:val="22"/>
                </w:rPr>
                <w:t>The Social and Economic Cost of Hearing Loss in Australia.</w:t>
              </w:r>
              <w:r w:rsidRPr="00686C5B">
                <w:rPr>
                  <w:noProof/>
                  <w:sz w:val="22"/>
                  <w:szCs w:val="22"/>
                </w:rPr>
                <w:t xml:space="preserve"> Retrieved from http://www.hcia.com.au/hcia-wp/wp-content/uploads/2015/05/Social-and-Economic-Cost-of-Hearing-Health-in-Australia_June-2017.pdf</w:t>
              </w:r>
            </w:p>
            <w:p w14:paraId="017CE204"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Hearing Services Program. (2020, November 10). </w:t>
              </w:r>
              <w:r w:rsidRPr="00686C5B">
                <w:rPr>
                  <w:i/>
                  <w:iCs/>
                  <w:noProof/>
                  <w:sz w:val="22"/>
                  <w:szCs w:val="22"/>
                </w:rPr>
                <w:t>About the Program</w:t>
              </w:r>
              <w:r w:rsidRPr="00686C5B">
                <w:rPr>
                  <w:noProof/>
                  <w:sz w:val="22"/>
                  <w:szCs w:val="22"/>
                </w:rPr>
                <w:t>. Retrieved from Hearing Services Program, Department of Health: www.hearingservices.gov.au/wps/portal/hso/site/about/whoarewe/about_aghsp/</w:t>
              </w:r>
            </w:p>
            <w:p w14:paraId="2EF75925"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Hearing Services Program. (2020, November 10). </w:t>
              </w:r>
              <w:r w:rsidRPr="00686C5B">
                <w:rPr>
                  <w:i/>
                  <w:iCs/>
                  <w:noProof/>
                  <w:sz w:val="22"/>
                  <w:szCs w:val="22"/>
                </w:rPr>
                <w:t>Annual Program Statistics 2019-2020</w:t>
              </w:r>
              <w:r w:rsidRPr="00686C5B">
                <w:rPr>
                  <w:noProof/>
                  <w:sz w:val="22"/>
                  <w:szCs w:val="22"/>
                </w:rPr>
                <w:t xml:space="preserve">. Retrieved from Hearing Services Program, Department of Health: www.hearingservices.gov.au/wps/portal/hso/site/about/program_stats/annual-program-stats/ </w:t>
              </w:r>
            </w:p>
            <w:p w14:paraId="6223A1EE"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Hearing Services Program. (2020). </w:t>
              </w:r>
              <w:r w:rsidRPr="00686C5B">
                <w:rPr>
                  <w:i/>
                  <w:iCs/>
                  <w:noProof/>
                  <w:sz w:val="22"/>
                  <w:szCs w:val="22"/>
                </w:rPr>
                <w:t>Ensuring a Sustainable Hearing Services Program: Regulation Impact Statement - Department of Health.</w:t>
              </w:r>
              <w:r w:rsidRPr="00686C5B">
                <w:rPr>
                  <w:noProof/>
                  <w:sz w:val="22"/>
                  <w:szCs w:val="22"/>
                </w:rPr>
                <w:t xml:space="preserve"> Department of the Prime Minister and Cabinet, Australian Government. Retrieved from https://ris.pmc.gov.au/2020/10/22/ensuring-sustainable-hearing-services-program</w:t>
              </w:r>
            </w:p>
            <w:p w14:paraId="0C08035D"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Hearing Services Program. (2020, November 10). </w:t>
              </w:r>
              <w:r w:rsidRPr="00686C5B">
                <w:rPr>
                  <w:i/>
                  <w:iCs/>
                  <w:noProof/>
                  <w:sz w:val="22"/>
                  <w:szCs w:val="22"/>
                </w:rPr>
                <w:t>Provider Factsheet - Government Announcement of Changes to the Hearing Services Program</w:t>
              </w:r>
              <w:r w:rsidRPr="00686C5B">
                <w:rPr>
                  <w:noProof/>
                  <w:sz w:val="22"/>
                  <w:szCs w:val="22"/>
                </w:rPr>
                <w:t>. Retrieved from Hearing Services Program, Department of Health: http://www.hearingservices.gov.au/wps/wcm/connect/hso+content/public/home/hearing_professionals/deliveringservices/provider_factsheets/government+announcement+of+changes+to+the+hearing+services+program</w:t>
              </w:r>
            </w:p>
            <w:p w14:paraId="2A75C521"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Office of Best Practice Regulation. (2020, October 22). </w:t>
              </w:r>
              <w:r w:rsidRPr="00686C5B">
                <w:rPr>
                  <w:i/>
                  <w:iCs/>
                  <w:noProof/>
                  <w:sz w:val="22"/>
                  <w:szCs w:val="22"/>
                </w:rPr>
                <w:t>ENSURING A SUSTAINABLE HEARING SERVICES PROGRAM.</w:t>
              </w:r>
              <w:r w:rsidRPr="00686C5B">
                <w:rPr>
                  <w:noProof/>
                  <w:sz w:val="22"/>
                  <w:szCs w:val="22"/>
                </w:rPr>
                <w:t xml:space="preserve"> Retrieved from ris.pmc.gov.au: https://ris.pmc.gov.au/2020/10/22/ensuring-sustainable-hearing-services-program</w:t>
              </w:r>
            </w:p>
            <w:p w14:paraId="03183B43"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Scholes S, B. J. (2018, February 1). Socioeconomic differences in hearing among middle-aged and older adults: cross-sectional analyses using the Health Survey for England. </w:t>
              </w:r>
              <w:r w:rsidRPr="00686C5B">
                <w:rPr>
                  <w:i/>
                  <w:iCs/>
                  <w:noProof/>
                  <w:sz w:val="22"/>
                  <w:szCs w:val="22"/>
                </w:rPr>
                <w:t>British Medical Journal, 8</w:t>
              </w:r>
              <w:r w:rsidRPr="00686C5B">
                <w:rPr>
                  <w:noProof/>
                  <w:sz w:val="22"/>
                  <w:szCs w:val="22"/>
                </w:rPr>
                <w:t>. doi:10.1136/bmjopen-2017-019615</w:t>
              </w:r>
            </w:p>
            <w:p w14:paraId="53A63CA0" w14:textId="77777777" w:rsidR="0083673B" w:rsidRPr="00686C5B" w:rsidRDefault="0083673B" w:rsidP="00686C5B">
              <w:pPr>
                <w:pStyle w:val="Bibliography"/>
                <w:spacing w:after="100"/>
                <w:ind w:left="720" w:hanging="720"/>
                <w:rPr>
                  <w:noProof/>
                  <w:sz w:val="22"/>
                  <w:szCs w:val="22"/>
                </w:rPr>
              </w:pPr>
              <w:r w:rsidRPr="00686C5B">
                <w:rPr>
                  <w:noProof/>
                  <w:sz w:val="22"/>
                  <w:szCs w:val="22"/>
                </w:rPr>
                <w:t xml:space="preserve">Specsavers. (2020, November 17). </w:t>
              </w:r>
              <w:r w:rsidRPr="00686C5B">
                <w:rPr>
                  <w:i/>
                  <w:iCs/>
                  <w:noProof/>
                  <w:sz w:val="22"/>
                  <w:szCs w:val="22"/>
                </w:rPr>
                <w:t>Joint venture partnership</w:t>
              </w:r>
              <w:r w:rsidRPr="00686C5B">
                <w:rPr>
                  <w:noProof/>
                  <w:sz w:val="22"/>
                  <w:szCs w:val="22"/>
                </w:rPr>
                <w:t>. Retrieved from Specsavers: https://join.specsavers.com/uk/explore-careers/partnership-at-specsavers/</w:t>
              </w:r>
            </w:p>
            <w:p w14:paraId="2F3764E1" w14:textId="77777777" w:rsidR="005878E0" w:rsidRDefault="005878E0" w:rsidP="00686C5B">
              <w:pPr>
                <w:spacing w:after="100"/>
              </w:pPr>
              <w:r w:rsidRPr="00686C5B">
                <w:rPr>
                  <w:b/>
                  <w:bCs/>
                  <w:noProof/>
                  <w:sz w:val="22"/>
                  <w:szCs w:val="22"/>
                </w:rPr>
                <w:fldChar w:fldCharType="end"/>
              </w:r>
            </w:p>
          </w:sdtContent>
        </w:sdt>
      </w:sdtContent>
    </w:sdt>
    <w:p w14:paraId="7B25E0A1" w14:textId="77777777" w:rsidR="005878E0" w:rsidRPr="00E13FE5" w:rsidRDefault="005878E0" w:rsidP="005878E0">
      <w:pPr>
        <w:rPr>
          <w:sz w:val="22"/>
          <w:szCs w:val="22"/>
        </w:rPr>
      </w:pPr>
    </w:p>
    <w:p w14:paraId="772778F8" w14:textId="77777777" w:rsidR="005878E0" w:rsidRPr="00E13FE5" w:rsidRDefault="005878E0" w:rsidP="005878E0">
      <w:pPr>
        <w:rPr>
          <w:rFonts w:eastAsiaTheme="majorEastAsia"/>
          <w:color w:val="2E74B5" w:themeColor="accent1" w:themeShade="BF"/>
          <w:sz w:val="22"/>
          <w:szCs w:val="22"/>
        </w:rPr>
      </w:pPr>
      <w:r w:rsidRPr="00E13FE5">
        <w:rPr>
          <w:sz w:val="22"/>
          <w:szCs w:val="22"/>
        </w:rPr>
        <w:br w:type="page"/>
      </w:r>
    </w:p>
    <w:p w14:paraId="4058C54B" w14:textId="77777777" w:rsidR="005878E0" w:rsidRPr="00E13FE5" w:rsidRDefault="005878E0" w:rsidP="005878E0">
      <w:pPr>
        <w:pStyle w:val="Heading1"/>
      </w:pPr>
      <w:bookmarkStart w:id="52" w:name="_Ref57362867"/>
      <w:bookmarkStart w:id="53" w:name="_Toc57901108"/>
      <w:r w:rsidRPr="00E13FE5">
        <w:t xml:space="preserve">Appendix </w:t>
      </w:r>
      <w:proofErr w:type="gramStart"/>
      <w:r w:rsidRPr="00E13FE5">
        <w:t>A</w:t>
      </w:r>
      <w:proofErr w:type="gramEnd"/>
      <w:r w:rsidRPr="00E13FE5">
        <w:t xml:space="preserve"> – Stakeholders</w:t>
      </w:r>
      <w:bookmarkEnd w:id="52"/>
      <w:bookmarkEnd w:id="53"/>
    </w:p>
    <w:p w14:paraId="2895AA2F" w14:textId="77777777" w:rsidR="005878E0" w:rsidRPr="00E13FE5" w:rsidRDefault="005878E0" w:rsidP="005878E0">
      <w:pPr>
        <w:spacing w:before="120" w:after="120" w:line="240" w:lineRule="auto"/>
        <w:rPr>
          <w:b/>
          <w:sz w:val="22"/>
          <w:szCs w:val="22"/>
        </w:rPr>
      </w:pPr>
      <w:r w:rsidRPr="00E13FE5">
        <w:rPr>
          <w:b/>
          <w:sz w:val="22"/>
          <w:szCs w:val="22"/>
        </w:rPr>
        <w:t>Consumers</w:t>
      </w:r>
    </w:p>
    <w:p w14:paraId="10AEA20C" w14:textId="77777777" w:rsidR="005878E0" w:rsidRPr="007B203D" w:rsidRDefault="005878E0" w:rsidP="007B203D">
      <w:pPr>
        <w:pStyle w:val="ListParagraph"/>
        <w:numPr>
          <w:ilvl w:val="0"/>
          <w:numId w:val="32"/>
        </w:numPr>
        <w:spacing w:before="60" w:after="60" w:line="240" w:lineRule="auto"/>
        <w:rPr>
          <w:sz w:val="22"/>
          <w:szCs w:val="22"/>
        </w:rPr>
      </w:pPr>
      <w:r w:rsidRPr="007B203D">
        <w:rPr>
          <w:sz w:val="22"/>
          <w:szCs w:val="22"/>
        </w:rPr>
        <w:t>People who are experiencing hearing loss. In general, these consumers receive a hearing assessment and may be fitted with a hearing device if sufficient hearing loss is present.</w:t>
      </w:r>
    </w:p>
    <w:p w14:paraId="168B5917" w14:textId="77777777" w:rsidR="005878E0" w:rsidRPr="007B203D" w:rsidRDefault="005878E0" w:rsidP="007B203D">
      <w:pPr>
        <w:pStyle w:val="ListParagraph"/>
        <w:numPr>
          <w:ilvl w:val="0"/>
          <w:numId w:val="32"/>
        </w:numPr>
        <w:spacing w:before="60" w:after="60" w:line="240" w:lineRule="auto"/>
        <w:rPr>
          <w:sz w:val="22"/>
          <w:szCs w:val="22"/>
        </w:rPr>
      </w:pPr>
      <w:r w:rsidRPr="007B203D">
        <w:rPr>
          <w:sz w:val="22"/>
          <w:szCs w:val="22"/>
        </w:rPr>
        <w:t>There are an estimated 3.7 million Australians with hearing loss. While approximately 4.5 million Australians are eligible to receive services, only about 25 percent of those people access services. In FY2019-20, the Program delivered services to 751,052 consumers.</w:t>
      </w:r>
    </w:p>
    <w:p w14:paraId="7AE579B4" w14:textId="77777777" w:rsidR="005878E0" w:rsidRPr="00E13FE5" w:rsidRDefault="005878E0" w:rsidP="005878E0">
      <w:pPr>
        <w:spacing w:before="120" w:after="120" w:line="240" w:lineRule="auto"/>
        <w:rPr>
          <w:b/>
          <w:sz w:val="22"/>
          <w:szCs w:val="22"/>
        </w:rPr>
      </w:pPr>
      <w:r w:rsidRPr="00E13FE5">
        <w:rPr>
          <w:b/>
          <w:sz w:val="22"/>
          <w:szCs w:val="22"/>
        </w:rPr>
        <w:t>Practitioners</w:t>
      </w:r>
    </w:p>
    <w:p w14:paraId="507AF0FD" w14:textId="77777777" w:rsidR="005878E0" w:rsidRPr="007B203D" w:rsidRDefault="005878E0" w:rsidP="007B203D">
      <w:pPr>
        <w:pStyle w:val="ListParagraph"/>
        <w:numPr>
          <w:ilvl w:val="0"/>
          <w:numId w:val="33"/>
        </w:numPr>
        <w:spacing w:before="60" w:after="60" w:line="240" w:lineRule="auto"/>
        <w:rPr>
          <w:sz w:val="22"/>
          <w:szCs w:val="22"/>
        </w:rPr>
      </w:pPr>
      <w:r w:rsidRPr="007B203D">
        <w:rPr>
          <w:sz w:val="22"/>
          <w:szCs w:val="22"/>
        </w:rPr>
        <w:t xml:space="preserve">There are two categories of allied health professionals who deliver services to consumers through the Program - audiologists and </w:t>
      </w:r>
      <w:proofErr w:type="spellStart"/>
      <w:r w:rsidRPr="007B203D">
        <w:rPr>
          <w:sz w:val="22"/>
          <w:szCs w:val="22"/>
        </w:rPr>
        <w:t>audiometrists</w:t>
      </w:r>
      <w:proofErr w:type="spellEnd"/>
      <w:r w:rsidRPr="007B203D">
        <w:rPr>
          <w:sz w:val="22"/>
          <w:szCs w:val="22"/>
        </w:rPr>
        <w:t>. Practitioners must be linked to a provider to be able to deliver services.</w:t>
      </w:r>
    </w:p>
    <w:p w14:paraId="177C0AD4" w14:textId="77777777" w:rsidR="005878E0" w:rsidRPr="007B203D" w:rsidRDefault="005878E0" w:rsidP="007B203D">
      <w:pPr>
        <w:pStyle w:val="ListParagraph"/>
        <w:numPr>
          <w:ilvl w:val="0"/>
          <w:numId w:val="33"/>
        </w:numPr>
        <w:spacing w:before="60" w:after="60" w:line="240" w:lineRule="auto"/>
        <w:rPr>
          <w:sz w:val="22"/>
          <w:szCs w:val="22"/>
        </w:rPr>
      </w:pPr>
      <w:r w:rsidRPr="007B203D">
        <w:rPr>
          <w:sz w:val="22"/>
          <w:szCs w:val="22"/>
        </w:rPr>
        <w:t xml:space="preserve">Audiologists are required to hold a </w:t>
      </w:r>
      <w:proofErr w:type="spellStart"/>
      <w:r w:rsidRPr="007B203D">
        <w:rPr>
          <w:sz w:val="22"/>
          <w:szCs w:val="22"/>
        </w:rPr>
        <w:t>Masters</w:t>
      </w:r>
      <w:proofErr w:type="spellEnd"/>
      <w:r w:rsidRPr="007B203D">
        <w:rPr>
          <w:sz w:val="22"/>
          <w:szCs w:val="22"/>
        </w:rPr>
        <w:t xml:space="preserve"> Degree in Audiology. </w:t>
      </w:r>
      <w:proofErr w:type="spellStart"/>
      <w:r w:rsidRPr="007B203D">
        <w:rPr>
          <w:sz w:val="22"/>
          <w:szCs w:val="22"/>
        </w:rPr>
        <w:t>Audiometrists</w:t>
      </w:r>
      <w:proofErr w:type="spellEnd"/>
      <w:r w:rsidRPr="007B203D">
        <w:rPr>
          <w:sz w:val="22"/>
          <w:szCs w:val="22"/>
        </w:rPr>
        <w:t xml:space="preserve"> are required to complete a diploma course in hearing aid prescription and evaluation. </w:t>
      </w:r>
    </w:p>
    <w:p w14:paraId="0CB83698" w14:textId="767FB1EA" w:rsidR="005878E0" w:rsidRPr="007B203D" w:rsidRDefault="005878E0" w:rsidP="007B203D">
      <w:pPr>
        <w:pStyle w:val="ListParagraph"/>
        <w:numPr>
          <w:ilvl w:val="0"/>
          <w:numId w:val="33"/>
        </w:numPr>
        <w:spacing w:before="60" w:after="60" w:line="240" w:lineRule="auto"/>
        <w:rPr>
          <w:sz w:val="22"/>
          <w:szCs w:val="22"/>
        </w:rPr>
      </w:pPr>
      <w:r w:rsidRPr="007B203D">
        <w:rPr>
          <w:sz w:val="22"/>
          <w:szCs w:val="22"/>
        </w:rPr>
        <w:t>All practitioners using the Program must hold an appropriate membership with an approved p</w:t>
      </w:r>
      <w:r w:rsidR="00A352B9">
        <w:rPr>
          <w:sz w:val="22"/>
          <w:szCs w:val="22"/>
        </w:rPr>
        <w:t>ractitioner</w:t>
      </w:r>
      <w:r w:rsidRPr="007B203D">
        <w:rPr>
          <w:sz w:val="22"/>
          <w:szCs w:val="22"/>
        </w:rPr>
        <w:t xml:space="preserve"> professional body (PPB) that requires engagement with a continuing education program. </w:t>
      </w:r>
    </w:p>
    <w:p w14:paraId="121314F4" w14:textId="77777777" w:rsidR="005878E0" w:rsidRPr="007B203D" w:rsidRDefault="005878E0" w:rsidP="007B203D">
      <w:pPr>
        <w:pStyle w:val="ListParagraph"/>
        <w:numPr>
          <w:ilvl w:val="0"/>
          <w:numId w:val="33"/>
        </w:numPr>
        <w:spacing w:before="60" w:after="60" w:line="240" w:lineRule="auto"/>
        <w:rPr>
          <w:sz w:val="22"/>
          <w:szCs w:val="22"/>
        </w:rPr>
      </w:pPr>
      <w:r w:rsidRPr="007B203D">
        <w:rPr>
          <w:sz w:val="22"/>
          <w:szCs w:val="22"/>
        </w:rPr>
        <w:t xml:space="preserve">Under the current Program settings, there is very little difference in the services offered by audiologists and </w:t>
      </w:r>
      <w:proofErr w:type="spellStart"/>
      <w:r w:rsidRPr="007B203D">
        <w:rPr>
          <w:sz w:val="22"/>
          <w:szCs w:val="22"/>
        </w:rPr>
        <w:t>audiometrists</w:t>
      </w:r>
      <w:proofErr w:type="spellEnd"/>
      <w:r w:rsidRPr="007B203D">
        <w:rPr>
          <w:sz w:val="22"/>
          <w:szCs w:val="22"/>
        </w:rPr>
        <w:t>.</w:t>
      </w:r>
    </w:p>
    <w:p w14:paraId="01177CCE" w14:textId="0340142D" w:rsidR="005878E0" w:rsidRPr="007B203D" w:rsidRDefault="005878E0" w:rsidP="007B203D">
      <w:pPr>
        <w:pStyle w:val="ListParagraph"/>
        <w:numPr>
          <w:ilvl w:val="0"/>
          <w:numId w:val="33"/>
        </w:numPr>
        <w:spacing w:before="60" w:after="60" w:line="240" w:lineRule="auto"/>
        <w:rPr>
          <w:sz w:val="22"/>
          <w:szCs w:val="22"/>
        </w:rPr>
      </w:pPr>
      <w:r w:rsidRPr="007B203D">
        <w:rPr>
          <w:sz w:val="22"/>
          <w:szCs w:val="22"/>
        </w:rPr>
        <w:t xml:space="preserve">In FY2019-20, services were delivered by 2,413 practitioners (1,914 audiologists and 499 </w:t>
      </w:r>
      <w:proofErr w:type="spellStart"/>
      <w:r w:rsidRPr="007B203D">
        <w:rPr>
          <w:sz w:val="22"/>
          <w:szCs w:val="22"/>
        </w:rPr>
        <w:t>audiometrists</w:t>
      </w:r>
      <w:proofErr w:type="spellEnd"/>
      <w:r w:rsidRPr="007B203D">
        <w:rPr>
          <w:sz w:val="22"/>
          <w:szCs w:val="22"/>
        </w:rPr>
        <w:t>).</w:t>
      </w:r>
    </w:p>
    <w:p w14:paraId="7D1BAC18" w14:textId="77777777" w:rsidR="005878E0" w:rsidRPr="00E13FE5" w:rsidRDefault="005878E0" w:rsidP="005878E0">
      <w:pPr>
        <w:spacing w:before="120" w:after="120" w:line="240" w:lineRule="auto"/>
        <w:rPr>
          <w:b/>
          <w:sz w:val="22"/>
          <w:szCs w:val="22"/>
        </w:rPr>
      </w:pPr>
      <w:r w:rsidRPr="00E13FE5">
        <w:rPr>
          <w:b/>
          <w:sz w:val="22"/>
          <w:szCs w:val="22"/>
        </w:rPr>
        <w:t>Providers</w:t>
      </w:r>
    </w:p>
    <w:p w14:paraId="29A61CF1" w14:textId="77777777" w:rsidR="005878E0" w:rsidRPr="007B203D" w:rsidRDefault="005878E0" w:rsidP="007B203D">
      <w:pPr>
        <w:pStyle w:val="ListParagraph"/>
        <w:numPr>
          <w:ilvl w:val="0"/>
          <w:numId w:val="34"/>
        </w:numPr>
        <w:spacing w:before="60" w:after="60" w:line="240" w:lineRule="auto"/>
        <w:rPr>
          <w:sz w:val="22"/>
          <w:szCs w:val="22"/>
        </w:rPr>
      </w:pPr>
      <w:r w:rsidRPr="007B203D">
        <w:rPr>
          <w:sz w:val="22"/>
          <w:szCs w:val="22"/>
        </w:rPr>
        <w:t>Program services are delivered by a network of businesses (providers) in addition to Hearing Australia, which is the ‘public provider’</w:t>
      </w:r>
      <w:r w:rsidRPr="00E13FE5">
        <w:rPr>
          <w:rStyle w:val="FootnoteReference"/>
          <w:sz w:val="22"/>
          <w:szCs w:val="22"/>
        </w:rPr>
        <w:footnoteReference w:id="12"/>
      </w:r>
      <w:r w:rsidRPr="007B203D">
        <w:rPr>
          <w:sz w:val="22"/>
          <w:szCs w:val="22"/>
        </w:rPr>
        <w:t xml:space="preserve">. Providers may operate one or more sites (clinics), including both permanent and visiting locations. </w:t>
      </w:r>
    </w:p>
    <w:p w14:paraId="64B1111B" w14:textId="77777777" w:rsidR="005878E0" w:rsidRPr="007B203D" w:rsidRDefault="005878E0" w:rsidP="007B203D">
      <w:pPr>
        <w:pStyle w:val="ListParagraph"/>
        <w:numPr>
          <w:ilvl w:val="0"/>
          <w:numId w:val="34"/>
        </w:numPr>
        <w:spacing w:before="60" w:after="60" w:line="240" w:lineRule="auto"/>
        <w:rPr>
          <w:sz w:val="22"/>
          <w:szCs w:val="22"/>
        </w:rPr>
      </w:pPr>
      <w:r w:rsidRPr="007B203D">
        <w:rPr>
          <w:sz w:val="22"/>
          <w:szCs w:val="22"/>
        </w:rPr>
        <w:t>Since the inception of the Voucher Scheme in November 1997, when Hearing Australia had 100 percent of the market, the provider focus has shifted from a clinical care business model to a retail business model. In FY2019-20, 292 providers delivered services through the Program. The market is quite centralised into a small number of major providers with a national reach – the top ten providers have approximately 80 percent market share between them.</w:t>
      </w:r>
    </w:p>
    <w:p w14:paraId="77EA248D" w14:textId="77777777" w:rsidR="005878E0" w:rsidRDefault="005878E0" w:rsidP="005878E0">
      <w:pPr>
        <w:rPr>
          <w:b/>
          <w:sz w:val="22"/>
          <w:szCs w:val="22"/>
        </w:rPr>
      </w:pPr>
      <w:r>
        <w:rPr>
          <w:b/>
          <w:sz w:val="22"/>
          <w:szCs w:val="22"/>
        </w:rPr>
        <w:br w:type="page"/>
      </w:r>
    </w:p>
    <w:p w14:paraId="6C893D11" w14:textId="77777777" w:rsidR="005878E0" w:rsidRPr="00E13FE5" w:rsidRDefault="005878E0" w:rsidP="005878E0">
      <w:pPr>
        <w:spacing w:before="120" w:after="120" w:line="240" w:lineRule="auto"/>
        <w:rPr>
          <w:b/>
          <w:sz w:val="22"/>
          <w:szCs w:val="22"/>
        </w:rPr>
      </w:pPr>
      <w:r w:rsidRPr="00E13FE5">
        <w:rPr>
          <w:b/>
          <w:sz w:val="22"/>
          <w:szCs w:val="22"/>
        </w:rPr>
        <w:t>Manufacturers</w:t>
      </w:r>
    </w:p>
    <w:p w14:paraId="67F89B27" w14:textId="77777777" w:rsidR="005878E0" w:rsidRPr="007B203D" w:rsidRDefault="005878E0" w:rsidP="007B203D">
      <w:pPr>
        <w:pStyle w:val="ListParagraph"/>
        <w:numPr>
          <w:ilvl w:val="0"/>
          <w:numId w:val="35"/>
        </w:numPr>
        <w:spacing w:before="120" w:after="120" w:line="240" w:lineRule="auto"/>
        <w:rPr>
          <w:sz w:val="22"/>
          <w:szCs w:val="22"/>
        </w:rPr>
      </w:pPr>
      <w:r w:rsidRPr="007B203D">
        <w:rPr>
          <w:sz w:val="22"/>
          <w:szCs w:val="22"/>
        </w:rPr>
        <w:t>Businesses who build and market hearing devices (hearing aids). The Program does not explicitly support manufacturers, as all payments are funnelled through providers.</w:t>
      </w:r>
    </w:p>
    <w:p w14:paraId="47650940" w14:textId="77777777" w:rsidR="005878E0" w:rsidRPr="007B203D" w:rsidRDefault="005878E0" w:rsidP="007B203D">
      <w:pPr>
        <w:pStyle w:val="ListParagraph"/>
        <w:numPr>
          <w:ilvl w:val="0"/>
          <w:numId w:val="35"/>
        </w:numPr>
        <w:spacing w:before="120" w:after="120" w:line="240" w:lineRule="auto"/>
        <w:rPr>
          <w:sz w:val="22"/>
          <w:szCs w:val="22"/>
        </w:rPr>
      </w:pPr>
      <w:r w:rsidRPr="007B203D">
        <w:rPr>
          <w:sz w:val="22"/>
          <w:szCs w:val="22"/>
        </w:rPr>
        <w:t>There is a significant level of integration between manufacturers and providers, which can take the form of ownership, or contractual obligations and preferred pricing arrangements.</w:t>
      </w:r>
    </w:p>
    <w:p w14:paraId="0A20AD2D" w14:textId="77777777" w:rsidR="005878E0" w:rsidRPr="007B203D" w:rsidRDefault="005878E0" w:rsidP="007B203D">
      <w:pPr>
        <w:pStyle w:val="ListParagraph"/>
        <w:numPr>
          <w:ilvl w:val="0"/>
          <w:numId w:val="35"/>
        </w:numPr>
        <w:spacing w:before="120" w:after="120" w:line="240" w:lineRule="auto"/>
        <w:rPr>
          <w:sz w:val="22"/>
          <w:szCs w:val="22"/>
        </w:rPr>
      </w:pPr>
      <w:r w:rsidRPr="007B203D">
        <w:rPr>
          <w:sz w:val="22"/>
          <w:szCs w:val="22"/>
        </w:rPr>
        <w:t>In FY2019-20, devices from 17 manufacturers were fitted to clients.</w:t>
      </w:r>
    </w:p>
    <w:p w14:paraId="22A0516B" w14:textId="77777777" w:rsidR="005878E0" w:rsidRPr="00E13FE5" w:rsidRDefault="005878E0" w:rsidP="005878E0">
      <w:pPr>
        <w:spacing w:before="120" w:after="120" w:line="240" w:lineRule="auto"/>
        <w:rPr>
          <w:b/>
          <w:sz w:val="22"/>
          <w:szCs w:val="22"/>
        </w:rPr>
      </w:pPr>
      <w:r w:rsidRPr="00E13FE5">
        <w:rPr>
          <w:b/>
          <w:sz w:val="22"/>
          <w:szCs w:val="22"/>
        </w:rPr>
        <w:t>Consumer advocacy, community, and education groups</w:t>
      </w:r>
    </w:p>
    <w:p w14:paraId="7B6046F1" w14:textId="77777777" w:rsidR="005878E0" w:rsidRPr="007B203D" w:rsidRDefault="005878E0" w:rsidP="007B203D">
      <w:pPr>
        <w:pStyle w:val="ListParagraph"/>
        <w:numPr>
          <w:ilvl w:val="0"/>
          <w:numId w:val="36"/>
        </w:numPr>
        <w:spacing w:before="120" w:after="120" w:line="240" w:lineRule="auto"/>
        <w:rPr>
          <w:sz w:val="22"/>
          <w:szCs w:val="22"/>
        </w:rPr>
      </w:pPr>
      <w:r w:rsidRPr="007B203D">
        <w:rPr>
          <w:sz w:val="22"/>
          <w:szCs w:val="22"/>
        </w:rPr>
        <w:t>Groups created to lobby on behalf of consumers and the wider community. These groups give voice and representation to consumers, who at the individual level have low levels of influence. There are multiple groups in this category, although none have a financial relationship with the Program’s normal operations.</w:t>
      </w:r>
    </w:p>
    <w:p w14:paraId="378E79EC" w14:textId="77777777" w:rsidR="005878E0" w:rsidRPr="00E13FE5" w:rsidRDefault="005878E0" w:rsidP="005878E0">
      <w:pPr>
        <w:spacing w:before="120" w:after="120" w:line="240" w:lineRule="auto"/>
        <w:rPr>
          <w:b/>
          <w:sz w:val="22"/>
          <w:szCs w:val="22"/>
        </w:rPr>
      </w:pPr>
      <w:r w:rsidRPr="00E13FE5">
        <w:rPr>
          <w:b/>
          <w:sz w:val="22"/>
          <w:szCs w:val="22"/>
        </w:rPr>
        <w:t>Professional bodies</w:t>
      </w:r>
    </w:p>
    <w:p w14:paraId="6FE81BA3" w14:textId="37935CDF" w:rsidR="005878E0" w:rsidRPr="007B203D" w:rsidRDefault="005878E0" w:rsidP="007B203D">
      <w:pPr>
        <w:pStyle w:val="ListParagraph"/>
        <w:numPr>
          <w:ilvl w:val="0"/>
          <w:numId w:val="36"/>
        </w:numPr>
        <w:spacing w:before="120" w:after="120" w:line="240" w:lineRule="auto"/>
        <w:rPr>
          <w:sz w:val="22"/>
          <w:szCs w:val="22"/>
        </w:rPr>
      </w:pPr>
      <w:r w:rsidRPr="007B203D">
        <w:rPr>
          <w:sz w:val="22"/>
          <w:szCs w:val="22"/>
        </w:rPr>
        <w:t xml:space="preserve">Represent the practitioners. They ensure practitioners within the Program are engaging in continuing education. Program requirements that practitioners be a member of </w:t>
      </w:r>
      <w:r w:rsidR="006262B7" w:rsidRPr="007B203D">
        <w:rPr>
          <w:sz w:val="22"/>
          <w:szCs w:val="22"/>
        </w:rPr>
        <w:t xml:space="preserve">one of </w:t>
      </w:r>
      <w:r w:rsidRPr="007B203D">
        <w:rPr>
          <w:sz w:val="22"/>
          <w:szCs w:val="22"/>
        </w:rPr>
        <w:t xml:space="preserve">the </w:t>
      </w:r>
      <w:r w:rsidR="001F515B" w:rsidRPr="007B203D">
        <w:rPr>
          <w:sz w:val="22"/>
          <w:szCs w:val="22"/>
        </w:rPr>
        <w:t xml:space="preserve">Practitioner </w:t>
      </w:r>
      <w:r w:rsidR="006262B7" w:rsidRPr="007B203D">
        <w:rPr>
          <w:sz w:val="22"/>
          <w:szCs w:val="22"/>
        </w:rPr>
        <w:t>Professional Bodies</w:t>
      </w:r>
      <w:r w:rsidR="001F515B">
        <w:rPr>
          <w:sz w:val="22"/>
          <w:szCs w:val="22"/>
        </w:rPr>
        <w:t>,</w:t>
      </w:r>
      <w:r w:rsidRPr="007B203D">
        <w:rPr>
          <w:sz w:val="22"/>
          <w:szCs w:val="22"/>
        </w:rPr>
        <w:t xml:space="preserve"> provides a level of surety to the Program given audiology is a non-regulated industry.</w:t>
      </w:r>
      <w:r w:rsidRPr="007B203D" w:rsidDel="0030436A">
        <w:rPr>
          <w:sz w:val="22"/>
          <w:szCs w:val="22"/>
        </w:rPr>
        <w:t xml:space="preserve"> </w:t>
      </w:r>
    </w:p>
    <w:p w14:paraId="3679324E" w14:textId="77777777" w:rsidR="005878E0" w:rsidRPr="00E13FE5" w:rsidRDefault="005878E0" w:rsidP="005878E0">
      <w:pPr>
        <w:spacing w:before="120" w:after="120" w:line="240" w:lineRule="auto"/>
        <w:rPr>
          <w:b/>
          <w:color w:val="2E74B5" w:themeColor="accent1" w:themeShade="BF"/>
          <w:sz w:val="22"/>
          <w:szCs w:val="22"/>
        </w:rPr>
      </w:pPr>
      <w:r w:rsidRPr="00E13FE5">
        <w:rPr>
          <w:b/>
          <w:sz w:val="22"/>
          <w:szCs w:val="22"/>
        </w:rPr>
        <w:t>Researchers</w:t>
      </w:r>
    </w:p>
    <w:p w14:paraId="628B9800" w14:textId="0D16638C" w:rsidR="005878E0" w:rsidRPr="007B203D" w:rsidRDefault="005878E0" w:rsidP="007B203D">
      <w:pPr>
        <w:pStyle w:val="ListParagraph"/>
        <w:numPr>
          <w:ilvl w:val="0"/>
          <w:numId w:val="36"/>
        </w:numPr>
        <w:spacing w:before="120" w:after="120" w:line="240" w:lineRule="auto"/>
        <w:rPr>
          <w:sz w:val="22"/>
          <w:szCs w:val="22"/>
        </w:rPr>
      </w:pPr>
      <w:r w:rsidRPr="007B203D">
        <w:rPr>
          <w:sz w:val="22"/>
          <w:szCs w:val="22"/>
        </w:rPr>
        <w:t>Researchers, and research organisations that operate in the hearing sector. This includes universities, and the National Acoustic Laborator</w:t>
      </w:r>
      <w:r w:rsidR="001F515B">
        <w:rPr>
          <w:sz w:val="22"/>
          <w:szCs w:val="22"/>
        </w:rPr>
        <w:t>ies</w:t>
      </w:r>
      <w:r w:rsidRPr="007B203D">
        <w:rPr>
          <w:sz w:val="22"/>
          <w:szCs w:val="22"/>
        </w:rPr>
        <w:t xml:space="preserve"> (NAL). The NAL has been funded as a part of the Program since its inception and is used to complete research into areas relevant to the Program and the hearing health outcomes of Australians.</w:t>
      </w:r>
    </w:p>
    <w:p w14:paraId="205324A6" w14:textId="77777777" w:rsidR="005878E0" w:rsidRPr="007B203D" w:rsidRDefault="005878E0" w:rsidP="007B203D">
      <w:pPr>
        <w:pStyle w:val="ListParagraph"/>
        <w:numPr>
          <w:ilvl w:val="0"/>
          <w:numId w:val="36"/>
        </w:numPr>
        <w:spacing w:before="120" w:after="120" w:line="240" w:lineRule="auto"/>
        <w:rPr>
          <w:sz w:val="22"/>
          <w:szCs w:val="22"/>
        </w:rPr>
      </w:pPr>
      <w:r w:rsidRPr="007B203D">
        <w:rPr>
          <w:sz w:val="22"/>
          <w:szCs w:val="22"/>
        </w:rPr>
        <w:t>In addition to the Program, funding for hearing research is sourced through National Health and Medical Research Council (NHMRC), private organisations, and foundations.</w:t>
      </w:r>
    </w:p>
    <w:p w14:paraId="30B1B651" w14:textId="77777777" w:rsidR="005878E0" w:rsidRDefault="005878E0" w:rsidP="005878E0"/>
    <w:p w14:paraId="2CAC1C3E" w14:textId="77777777" w:rsidR="005878E0" w:rsidRDefault="005878E0" w:rsidP="005878E0">
      <w:pPr>
        <w:rPr>
          <w:rFonts w:eastAsiaTheme="majorEastAsia"/>
          <w:color w:val="2E74B5" w:themeColor="accent1" w:themeShade="BF"/>
          <w:sz w:val="22"/>
          <w:szCs w:val="22"/>
        </w:rPr>
      </w:pPr>
      <w:r>
        <w:rPr>
          <w:sz w:val="22"/>
          <w:szCs w:val="22"/>
        </w:rPr>
        <w:br w:type="page"/>
      </w:r>
    </w:p>
    <w:p w14:paraId="3D073109" w14:textId="6A3E3C13" w:rsidR="005878E0" w:rsidRPr="00E13FE5" w:rsidRDefault="005878E0" w:rsidP="005878E0">
      <w:pPr>
        <w:pStyle w:val="Heading1"/>
        <w:spacing w:before="120" w:after="120" w:line="240" w:lineRule="auto"/>
      </w:pPr>
      <w:bookmarkStart w:id="54" w:name="_Toc57901109"/>
      <w:r w:rsidRPr="00E13FE5">
        <w:t xml:space="preserve">Appendix </w:t>
      </w:r>
      <w:r w:rsidR="009439E1">
        <w:t>B</w:t>
      </w:r>
      <w:r w:rsidRPr="00E13FE5">
        <w:t xml:space="preserve"> - </w:t>
      </w:r>
      <w:r>
        <w:t>R</w:t>
      </w:r>
      <w:r w:rsidRPr="00E13FE5">
        <w:t xml:space="preserve">ural and </w:t>
      </w:r>
      <w:r>
        <w:t>r</w:t>
      </w:r>
      <w:r w:rsidRPr="00E13FE5">
        <w:t>emote consumers</w:t>
      </w:r>
      <w:bookmarkEnd w:id="54"/>
    </w:p>
    <w:p w14:paraId="57F0FCF6" w14:textId="4CFA3AE6" w:rsidR="005878E0" w:rsidRPr="0047639B" w:rsidRDefault="005878E0" w:rsidP="005878E0">
      <w:pPr>
        <w:spacing w:before="120" w:after="120" w:line="240" w:lineRule="auto"/>
        <w:rPr>
          <w:sz w:val="22"/>
          <w:szCs w:val="22"/>
        </w:rPr>
      </w:pPr>
      <w:proofErr w:type="spellStart"/>
      <w:r w:rsidRPr="0047639B">
        <w:rPr>
          <w:sz w:val="22"/>
          <w:szCs w:val="22"/>
        </w:rPr>
        <w:t>Regionality</w:t>
      </w:r>
      <w:proofErr w:type="spellEnd"/>
      <w:r w:rsidRPr="0047639B">
        <w:rPr>
          <w:sz w:val="22"/>
          <w:szCs w:val="22"/>
        </w:rPr>
        <w:t>, in the context of the Program, is determined by the Modified Monash Model (MM). The model was developed to better target health workforce programs to attract health professionals to more remote and smaller communities. The MM classifies metropolitan, regional, rural and remote areas according to geographical remoteness, as defined by the Australian Bureau of Statistics (ABS), and town size. The MM is used to determine eligibility for a range of health workforce programs, such as rural Bulk Billing Incentives</w:t>
      </w:r>
      <w:sdt>
        <w:sdtPr>
          <w:rPr>
            <w:sz w:val="22"/>
            <w:szCs w:val="22"/>
          </w:rPr>
          <w:id w:val="913442069"/>
          <w:citation/>
        </w:sdtPr>
        <w:sdtEndPr/>
        <w:sdtContent>
          <w:r w:rsidRPr="0047639B">
            <w:rPr>
              <w:sz w:val="22"/>
              <w:szCs w:val="22"/>
            </w:rPr>
            <w:fldChar w:fldCharType="begin"/>
          </w:r>
          <w:r w:rsidRPr="0047639B">
            <w:rPr>
              <w:sz w:val="22"/>
              <w:szCs w:val="22"/>
            </w:rPr>
            <w:instrText xml:space="preserve"> CITATION Dep1 \l 3081 </w:instrText>
          </w:r>
          <w:r w:rsidRPr="0047639B">
            <w:rPr>
              <w:sz w:val="22"/>
              <w:szCs w:val="22"/>
            </w:rPr>
            <w:fldChar w:fldCharType="separate"/>
          </w:r>
          <w:r w:rsidR="0083673B">
            <w:rPr>
              <w:noProof/>
              <w:sz w:val="22"/>
              <w:szCs w:val="22"/>
            </w:rPr>
            <w:t xml:space="preserve"> </w:t>
          </w:r>
          <w:r w:rsidR="0083673B" w:rsidRPr="0083673B">
            <w:rPr>
              <w:noProof/>
              <w:sz w:val="22"/>
              <w:szCs w:val="22"/>
            </w:rPr>
            <w:t>(Department of Health)</w:t>
          </w:r>
          <w:r w:rsidRPr="0047639B">
            <w:rPr>
              <w:sz w:val="22"/>
              <w:szCs w:val="22"/>
            </w:rPr>
            <w:fldChar w:fldCharType="end"/>
          </w:r>
        </w:sdtContent>
      </w:sdt>
      <w:r w:rsidRPr="0047639B">
        <w:rPr>
          <w:sz w:val="22"/>
          <w:szCs w:val="22"/>
        </w:rPr>
        <w:t>, Workforce Incentive Program</w:t>
      </w:r>
      <w:sdt>
        <w:sdtPr>
          <w:rPr>
            <w:sz w:val="22"/>
            <w:szCs w:val="22"/>
          </w:rPr>
          <w:id w:val="1107704198"/>
          <w:citation/>
        </w:sdtPr>
        <w:sdtEndPr/>
        <w:sdtContent>
          <w:r w:rsidRPr="0047639B">
            <w:rPr>
              <w:sz w:val="22"/>
              <w:szCs w:val="22"/>
            </w:rPr>
            <w:fldChar w:fldCharType="begin"/>
          </w:r>
          <w:r w:rsidRPr="0047639B">
            <w:rPr>
              <w:sz w:val="22"/>
              <w:szCs w:val="22"/>
            </w:rPr>
            <w:instrText xml:space="preserve"> CITATION Dep20 \l 3081 </w:instrText>
          </w:r>
          <w:r w:rsidRPr="0047639B">
            <w:rPr>
              <w:sz w:val="22"/>
              <w:szCs w:val="22"/>
            </w:rPr>
            <w:fldChar w:fldCharType="separate"/>
          </w:r>
          <w:r w:rsidR="0083673B">
            <w:rPr>
              <w:noProof/>
              <w:sz w:val="22"/>
              <w:szCs w:val="22"/>
            </w:rPr>
            <w:t xml:space="preserve"> </w:t>
          </w:r>
          <w:r w:rsidR="0083673B" w:rsidRPr="0083673B">
            <w:rPr>
              <w:noProof/>
              <w:sz w:val="22"/>
              <w:szCs w:val="22"/>
            </w:rPr>
            <w:t>(Department of Health, 2020)</w:t>
          </w:r>
          <w:r w:rsidRPr="0047639B">
            <w:rPr>
              <w:sz w:val="22"/>
              <w:szCs w:val="22"/>
            </w:rPr>
            <w:fldChar w:fldCharType="end"/>
          </w:r>
        </w:sdtContent>
      </w:sdt>
      <w:r w:rsidRPr="0047639B">
        <w:rPr>
          <w:sz w:val="22"/>
          <w:szCs w:val="22"/>
        </w:rPr>
        <w:t>, and Bonded Medical Program</w:t>
      </w:r>
      <w:sdt>
        <w:sdtPr>
          <w:rPr>
            <w:sz w:val="22"/>
            <w:szCs w:val="22"/>
          </w:rPr>
          <w:id w:val="311525321"/>
          <w:citation/>
        </w:sdtPr>
        <w:sdtEndPr/>
        <w:sdtContent>
          <w:r w:rsidRPr="0047639B">
            <w:rPr>
              <w:sz w:val="22"/>
              <w:szCs w:val="22"/>
            </w:rPr>
            <w:fldChar w:fldCharType="begin"/>
          </w:r>
          <w:r w:rsidRPr="0047639B">
            <w:rPr>
              <w:sz w:val="22"/>
              <w:szCs w:val="22"/>
            </w:rPr>
            <w:instrText xml:space="preserve"> CITATION Dep \l 3081 </w:instrText>
          </w:r>
          <w:r w:rsidRPr="0047639B">
            <w:rPr>
              <w:sz w:val="22"/>
              <w:szCs w:val="22"/>
            </w:rPr>
            <w:fldChar w:fldCharType="separate"/>
          </w:r>
          <w:r w:rsidR="0083673B">
            <w:rPr>
              <w:noProof/>
              <w:sz w:val="22"/>
              <w:szCs w:val="22"/>
            </w:rPr>
            <w:t xml:space="preserve"> </w:t>
          </w:r>
          <w:r w:rsidR="0083673B" w:rsidRPr="0083673B">
            <w:rPr>
              <w:noProof/>
              <w:sz w:val="22"/>
              <w:szCs w:val="22"/>
            </w:rPr>
            <w:t>(Department of Health, n.d.)</w:t>
          </w:r>
          <w:r w:rsidRPr="0047639B">
            <w:rPr>
              <w:sz w:val="22"/>
              <w:szCs w:val="22"/>
            </w:rPr>
            <w:fldChar w:fldCharType="end"/>
          </w:r>
        </w:sdtContent>
      </w:sdt>
      <w:r w:rsidRPr="0047639B">
        <w:rPr>
          <w:sz w:val="22"/>
          <w:szCs w:val="22"/>
        </w:rPr>
        <w:t>.</w:t>
      </w:r>
    </w:p>
    <w:p w14:paraId="438EBD05" w14:textId="2379B094" w:rsidR="004D5E43" w:rsidRDefault="004D5E43" w:rsidP="007B203D">
      <w:pPr>
        <w:pStyle w:val="Caption"/>
        <w:keepNext/>
      </w:pPr>
      <w:bookmarkStart w:id="55" w:name="_Toc57387630"/>
      <w:r>
        <w:t xml:space="preserve">Table </w:t>
      </w:r>
      <w:fldSimple w:instr=" SEQ Table \* ARABIC ">
        <w:r w:rsidR="00DD11FB">
          <w:rPr>
            <w:noProof/>
          </w:rPr>
          <w:t>4</w:t>
        </w:r>
      </w:fldSimple>
      <w:r>
        <w:t xml:space="preserve">: </w:t>
      </w:r>
      <w:r w:rsidRPr="002A2534">
        <w:t>Summary of Modified Monash Model (MM) classifications (Department of Health, 2019)</w:t>
      </w:r>
      <w:bookmarkEnd w:id="55"/>
    </w:p>
    <w:tbl>
      <w:tblPr>
        <w:tblStyle w:val="TableGrid"/>
        <w:tblW w:w="9016" w:type="dxa"/>
        <w:tblLook w:val="04A0" w:firstRow="1" w:lastRow="0" w:firstColumn="1" w:lastColumn="0" w:noHBand="0" w:noVBand="1"/>
        <w:tblCaption w:val="Table 4"/>
        <w:tblDescription w:val="This table provides a list of the Monash Model classifications used by the Department of Health 2019"/>
      </w:tblPr>
      <w:tblGrid>
        <w:gridCol w:w="2122"/>
        <w:gridCol w:w="6894"/>
      </w:tblGrid>
      <w:tr w:rsidR="005878E0" w:rsidRPr="00256F40" w14:paraId="7E3D540E" w14:textId="77777777" w:rsidTr="00603828">
        <w:trPr>
          <w:cantSplit/>
          <w:tblHeader/>
        </w:trPr>
        <w:tc>
          <w:tcPr>
            <w:tcW w:w="2122" w:type="dxa"/>
            <w:shd w:val="clear" w:color="auto" w:fill="ED7D31" w:themeFill="accent2"/>
            <w:vAlign w:val="center"/>
          </w:tcPr>
          <w:p w14:paraId="5878EF73" w14:textId="77777777" w:rsidR="005878E0" w:rsidRPr="005F41E3" w:rsidRDefault="005878E0" w:rsidP="00603828">
            <w:pPr>
              <w:jc w:val="center"/>
              <w:rPr>
                <w:b/>
                <w:color w:val="FFFFFF" w:themeColor="background1"/>
                <w:sz w:val="22"/>
                <w:szCs w:val="22"/>
              </w:rPr>
            </w:pPr>
            <w:r w:rsidRPr="005F41E3">
              <w:rPr>
                <w:b/>
                <w:color w:val="FFFFFF" w:themeColor="background1"/>
                <w:sz w:val="22"/>
                <w:szCs w:val="22"/>
              </w:rPr>
              <w:t xml:space="preserve">Modified Monash </w:t>
            </w:r>
            <w:r w:rsidRPr="005F41E3">
              <w:rPr>
                <w:b/>
                <w:color w:val="FFFFFF" w:themeColor="background1"/>
                <w:sz w:val="22"/>
                <w:szCs w:val="22"/>
              </w:rPr>
              <w:br/>
              <w:t>Category (MM 2019)</w:t>
            </w:r>
          </w:p>
        </w:tc>
        <w:tc>
          <w:tcPr>
            <w:tcW w:w="6894" w:type="dxa"/>
            <w:shd w:val="clear" w:color="auto" w:fill="ED7D31" w:themeFill="accent2"/>
            <w:vAlign w:val="center"/>
          </w:tcPr>
          <w:p w14:paraId="3286F3A2" w14:textId="77777777" w:rsidR="005878E0" w:rsidRPr="005F41E3" w:rsidRDefault="005878E0" w:rsidP="00603828">
            <w:pPr>
              <w:rPr>
                <w:b/>
                <w:color w:val="FFFFFF" w:themeColor="background1"/>
                <w:sz w:val="22"/>
                <w:szCs w:val="22"/>
              </w:rPr>
            </w:pPr>
            <w:r w:rsidRPr="005F41E3">
              <w:rPr>
                <w:b/>
                <w:color w:val="FFFFFF" w:themeColor="background1"/>
                <w:sz w:val="22"/>
                <w:szCs w:val="22"/>
              </w:rPr>
              <w:t>Description (including the Australian Statistical Geography Standard – Remoteness Area (2016)</w:t>
            </w:r>
          </w:p>
        </w:tc>
      </w:tr>
      <w:tr w:rsidR="005878E0" w:rsidRPr="00256F40" w14:paraId="292B74EF" w14:textId="77777777" w:rsidTr="00603828">
        <w:trPr>
          <w:cantSplit/>
        </w:trPr>
        <w:tc>
          <w:tcPr>
            <w:tcW w:w="2122" w:type="dxa"/>
            <w:vAlign w:val="center"/>
          </w:tcPr>
          <w:p w14:paraId="11CEA4DC" w14:textId="77777777" w:rsidR="005878E0" w:rsidRPr="005F41E3" w:rsidRDefault="005878E0" w:rsidP="00603828">
            <w:pPr>
              <w:jc w:val="center"/>
              <w:rPr>
                <w:sz w:val="22"/>
                <w:szCs w:val="22"/>
              </w:rPr>
            </w:pPr>
            <w:r w:rsidRPr="005F41E3">
              <w:rPr>
                <w:sz w:val="22"/>
                <w:szCs w:val="22"/>
              </w:rPr>
              <w:t>MM 1</w:t>
            </w:r>
          </w:p>
        </w:tc>
        <w:tc>
          <w:tcPr>
            <w:tcW w:w="6894" w:type="dxa"/>
            <w:vAlign w:val="center"/>
          </w:tcPr>
          <w:p w14:paraId="3F97447E" w14:textId="77777777" w:rsidR="005878E0" w:rsidRPr="005F41E3" w:rsidRDefault="005878E0" w:rsidP="00603828">
            <w:pPr>
              <w:spacing w:after="40"/>
              <w:rPr>
                <w:sz w:val="22"/>
                <w:szCs w:val="22"/>
              </w:rPr>
            </w:pPr>
            <w:r w:rsidRPr="005F41E3">
              <w:rPr>
                <w:b/>
                <w:sz w:val="22"/>
                <w:szCs w:val="22"/>
              </w:rPr>
              <w:t>Metropolitan areas:</w:t>
            </w:r>
            <w:r w:rsidRPr="005F41E3">
              <w:rPr>
                <w:sz w:val="22"/>
                <w:szCs w:val="22"/>
              </w:rPr>
              <w:t xml:space="preserve"> Major cities accounting for 70% of Australia’s population. All areas categorised ASGS-RA1.</w:t>
            </w:r>
          </w:p>
        </w:tc>
      </w:tr>
      <w:tr w:rsidR="005878E0" w:rsidRPr="00256F40" w14:paraId="076E6B14" w14:textId="77777777" w:rsidTr="00603828">
        <w:trPr>
          <w:cantSplit/>
        </w:trPr>
        <w:tc>
          <w:tcPr>
            <w:tcW w:w="2122" w:type="dxa"/>
            <w:vAlign w:val="center"/>
          </w:tcPr>
          <w:p w14:paraId="0331C287" w14:textId="77777777" w:rsidR="005878E0" w:rsidRPr="005F41E3" w:rsidRDefault="005878E0" w:rsidP="00603828">
            <w:pPr>
              <w:jc w:val="center"/>
              <w:rPr>
                <w:sz w:val="22"/>
                <w:szCs w:val="22"/>
              </w:rPr>
            </w:pPr>
            <w:r w:rsidRPr="005F41E3">
              <w:rPr>
                <w:sz w:val="22"/>
                <w:szCs w:val="22"/>
              </w:rPr>
              <w:t>MM 2</w:t>
            </w:r>
          </w:p>
        </w:tc>
        <w:tc>
          <w:tcPr>
            <w:tcW w:w="6894" w:type="dxa"/>
            <w:vAlign w:val="center"/>
          </w:tcPr>
          <w:p w14:paraId="27007662" w14:textId="77777777" w:rsidR="005878E0" w:rsidRPr="005F41E3" w:rsidRDefault="005878E0" w:rsidP="00603828">
            <w:pPr>
              <w:spacing w:after="40"/>
              <w:rPr>
                <w:sz w:val="22"/>
                <w:szCs w:val="22"/>
              </w:rPr>
            </w:pPr>
            <w:r w:rsidRPr="005F41E3">
              <w:rPr>
                <w:b/>
                <w:sz w:val="22"/>
                <w:szCs w:val="22"/>
              </w:rPr>
              <w:t>Regional centres:</w:t>
            </w:r>
            <w:r w:rsidRPr="005F41E3">
              <w:rPr>
                <w:sz w:val="22"/>
                <w:szCs w:val="22"/>
              </w:rPr>
              <w:t xml:space="preserve"> Inner (ASGS-RA 2) and Outer Regional (ASGS-RA 3) areas that are in, or within a 20km drive of a town with over 50,000 residents.</w:t>
            </w:r>
          </w:p>
          <w:p w14:paraId="57CA5010" w14:textId="77777777" w:rsidR="005878E0" w:rsidRPr="005F41E3" w:rsidRDefault="005878E0" w:rsidP="00603828">
            <w:pPr>
              <w:spacing w:after="40"/>
              <w:rPr>
                <w:sz w:val="22"/>
                <w:szCs w:val="22"/>
              </w:rPr>
            </w:pPr>
            <w:r w:rsidRPr="005F41E3">
              <w:rPr>
                <w:sz w:val="22"/>
                <w:szCs w:val="22"/>
              </w:rPr>
              <w:t>For example: Ballarat, Mackay, Toowoomba, Kiama, Albury, Bunbury.</w:t>
            </w:r>
          </w:p>
        </w:tc>
      </w:tr>
      <w:tr w:rsidR="005878E0" w:rsidRPr="00256F40" w14:paraId="7DC3703D" w14:textId="77777777" w:rsidTr="00603828">
        <w:trPr>
          <w:cantSplit/>
        </w:trPr>
        <w:tc>
          <w:tcPr>
            <w:tcW w:w="2122" w:type="dxa"/>
            <w:vAlign w:val="center"/>
          </w:tcPr>
          <w:p w14:paraId="320E9C02" w14:textId="77777777" w:rsidR="005878E0" w:rsidRPr="005F41E3" w:rsidRDefault="005878E0" w:rsidP="00603828">
            <w:pPr>
              <w:jc w:val="center"/>
              <w:rPr>
                <w:sz w:val="22"/>
                <w:szCs w:val="22"/>
              </w:rPr>
            </w:pPr>
            <w:r w:rsidRPr="005F41E3">
              <w:rPr>
                <w:sz w:val="22"/>
                <w:szCs w:val="22"/>
              </w:rPr>
              <w:t>MM 3</w:t>
            </w:r>
          </w:p>
        </w:tc>
        <w:tc>
          <w:tcPr>
            <w:tcW w:w="6894" w:type="dxa"/>
            <w:vAlign w:val="center"/>
          </w:tcPr>
          <w:p w14:paraId="7583C5FA" w14:textId="77777777" w:rsidR="005878E0" w:rsidRPr="005F41E3" w:rsidRDefault="005878E0" w:rsidP="00603828">
            <w:pPr>
              <w:spacing w:after="40"/>
              <w:rPr>
                <w:sz w:val="22"/>
                <w:szCs w:val="22"/>
              </w:rPr>
            </w:pPr>
            <w:r w:rsidRPr="005F41E3">
              <w:rPr>
                <w:b/>
                <w:sz w:val="22"/>
                <w:szCs w:val="22"/>
              </w:rPr>
              <w:t xml:space="preserve">Large rural towns: </w:t>
            </w:r>
            <w:r w:rsidRPr="005F41E3">
              <w:rPr>
                <w:sz w:val="22"/>
                <w:szCs w:val="22"/>
              </w:rPr>
              <w:t xml:space="preserve">Inner (ASGS-RA 2) and Outer Regional (ASGS-RA 3) areas that are not MM 2 and are in, or within a 15km drive of a town between 15,000 to 50,000 residents. </w:t>
            </w:r>
          </w:p>
          <w:p w14:paraId="5B4EEC13" w14:textId="77777777" w:rsidR="005878E0" w:rsidRPr="005F41E3" w:rsidRDefault="005878E0" w:rsidP="00603828">
            <w:pPr>
              <w:spacing w:after="40"/>
              <w:rPr>
                <w:sz w:val="22"/>
                <w:szCs w:val="22"/>
              </w:rPr>
            </w:pPr>
            <w:r w:rsidRPr="005F41E3">
              <w:rPr>
                <w:sz w:val="22"/>
                <w:szCs w:val="22"/>
              </w:rPr>
              <w:t>For example: Dubbo, Lismore, Yeppoon, Busselton.</w:t>
            </w:r>
          </w:p>
        </w:tc>
      </w:tr>
      <w:tr w:rsidR="005878E0" w:rsidRPr="00256F40" w14:paraId="564DD0FA" w14:textId="77777777" w:rsidTr="00603828">
        <w:trPr>
          <w:cantSplit/>
        </w:trPr>
        <w:tc>
          <w:tcPr>
            <w:tcW w:w="2122" w:type="dxa"/>
            <w:vAlign w:val="center"/>
          </w:tcPr>
          <w:p w14:paraId="4DB5BE1C" w14:textId="77777777" w:rsidR="005878E0" w:rsidRPr="005F41E3" w:rsidRDefault="005878E0" w:rsidP="00603828">
            <w:pPr>
              <w:jc w:val="center"/>
              <w:rPr>
                <w:sz w:val="22"/>
                <w:szCs w:val="22"/>
              </w:rPr>
            </w:pPr>
            <w:r w:rsidRPr="005F41E3">
              <w:rPr>
                <w:sz w:val="22"/>
                <w:szCs w:val="22"/>
              </w:rPr>
              <w:t>MM 4</w:t>
            </w:r>
          </w:p>
        </w:tc>
        <w:tc>
          <w:tcPr>
            <w:tcW w:w="6894" w:type="dxa"/>
            <w:vAlign w:val="center"/>
          </w:tcPr>
          <w:p w14:paraId="504B0C04" w14:textId="77777777" w:rsidR="005878E0" w:rsidRPr="005F41E3" w:rsidRDefault="005878E0" w:rsidP="00603828">
            <w:pPr>
              <w:spacing w:after="40"/>
              <w:rPr>
                <w:sz w:val="22"/>
                <w:szCs w:val="22"/>
              </w:rPr>
            </w:pPr>
            <w:r w:rsidRPr="005F41E3">
              <w:rPr>
                <w:b/>
                <w:sz w:val="22"/>
                <w:szCs w:val="22"/>
              </w:rPr>
              <w:t>Medium rural towns:</w:t>
            </w:r>
            <w:r w:rsidRPr="005F41E3">
              <w:rPr>
                <w:sz w:val="22"/>
                <w:szCs w:val="22"/>
              </w:rPr>
              <w:t xml:space="preserve"> Inner (ASGS-RA 2) and Outer Regional (ASGS-RA 3) areas that are not MM 2 or MM 3, and are in, or within a 10km drive of a town with between 5,000 to 15,000 residents. </w:t>
            </w:r>
          </w:p>
          <w:p w14:paraId="6A18D91B" w14:textId="77777777" w:rsidR="005878E0" w:rsidRPr="005F41E3" w:rsidRDefault="005878E0" w:rsidP="00603828">
            <w:pPr>
              <w:spacing w:after="40"/>
              <w:rPr>
                <w:sz w:val="22"/>
                <w:szCs w:val="22"/>
              </w:rPr>
            </w:pPr>
            <w:r w:rsidRPr="005F41E3">
              <w:rPr>
                <w:sz w:val="22"/>
                <w:szCs w:val="22"/>
              </w:rPr>
              <w:t xml:space="preserve">For example: Port Augusta, Charters Towers, </w:t>
            </w:r>
            <w:proofErr w:type="gramStart"/>
            <w:r w:rsidRPr="005F41E3">
              <w:rPr>
                <w:sz w:val="22"/>
                <w:szCs w:val="22"/>
              </w:rPr>
              <w:t>Moree</w:t>
            </w:r>
            <w:proofErr w:type="gramEnd"/>
            <w:r w:rsidRPr="005F41E3">
              <w:rPr>
                <w:sz w:val="22"/>
                <w:szCs w:val="22"/>
              </w:rPr>
              <w:t>.</w:t>
            </w:r>
          </w:p>
        </w:tc>
      </w:tr>
      <w:tr w:rsidR="005878E0" w:rsidRPr="00256F40" w14:paraId="4ADD452F" w14:textId="77777777" w:rsidTr="00603828">
        <w:trPr>
          <w:cantSplit/>
        </w:trPr>
        <w:tc>
          <w:tcPr>
            <w:tcW w:w="2122" w:type="dxa"/>
            <w:vAlign w:val="center"/>
          </w:tcPr>
          <w:p w14:paraId="0256DD71" w14:textId="77777777" w:rsidR="005878E0" w:rsidRPr="005F41E3" w:rsidRDefault="005878E0" w:rsidP="00603828">
            <w:pPr>
              <w:jc w:val="center"/>
              <w:rPr>
                <w:sz w:val="22"/>
                <w:szCs w:val="22"/>
              </w:rPr>
            </w:pPr>
            <w:r w:rsidRPr="005F41E3">
              <w:rPr>
                <w:sz w:val="22"/>
                <w:szCs w:val="22"/>
              </w:rPr>
              <w:t>MM 5</w:t>
            </w:r>
          </w:p>
        </w:tc>
        <w:tc>
          <w:tcPr>
            <w:tcW w:w="6894" w:type="dxa"/>
            <w:vAlign w:val="center"/>
          </w:tcPr>
          <w:p w14:paraId="5979EAA0" w14:textId="77777777" w:rsidR="005878E0" w:rsidRPr="005F41E3" w:rsidRDefault="005878E0" w:rsidP="00603828">
            <w:pPr>
              <w:spacing w:after="40"/>
              <w:rPr>
                <w:sz w:val="22"/>
                <w:szCs w:val="22"/>
              </w:rPr>
            </w:pPr>
            <w:r w:rsidRPr="005F41E3">
              <w:rPr>
                <w:b/>
                <w:sz w:val="22"/>
                <w:szCs w:val="22"/>
              </w:rPr>
              <w:t xml:space="preserve">Small rural towns: </w:t>
            </w:r>
            <w:r w:rsidRPr="005F41E3">
              <w:rPr>
                <w:sz w:val="22"/>
                <w:szCs w:val="22"/>
              </w:rPr>
              <w:t xml:space="preserve">All remaining Inner (ASGS-RA 2) and Outer Regional </w:t>
            </w:r>
            <w:r w:rsidRPr="005F41E3">
              <w:rPr>
                <w:sz w:val="22"/>
                <w:szCs w:val="22"/>
              </w:rPr>
              <w:br/>
              <w:t xml:space="preserve">(ASGS-RA 3) areas. </w:t>
            </w:r>
          </w:p>
          <w:p w14:paraId="352AED45" w14:textId="77777777" w:rsidR="005878E0" w:rsidRPr="005F41E3" w:rsidRDefault="005878E0" w:rsidP="00603828">
            <w:pPr>
              <w:spacing w:after="40"/>
              <w:rPr>
                <w:sz w:val="22"/>
                <w:szCs w:val="22"/>
              </w:rPr>
            </w:pPr>
            <w:r w:rsidRPr="005F41E3">
              <w:rPr>
                <w:sz w:val="22"/>
                <w:szCs w:val="22"/>
              </w:rPr>
              <w:t xml:space="preserve">For example: Mount Buller, Moruya, Renmark, </w:t>
            </w:r>
            <w:proofErr w:type="gramStart"/>
            <w:r w:rsidRPr="005F41E3">
              <w:rPr>
                <w:sz w:val="22"/>
                <w:szCs w:val="22"/>
              </w:rPr>
              <w:t>Condamine</w:t>
            </w:r>
            <w:proofErr w:type="gramEnd"/>
            <w:r w:rsidRPr="005F41E3">
              <w:rPr>
                <w:sz w:val="22"/>
                <w:szCs w:val="22"/>
              </w:rPr>
              <w:t>.</w:t>
            </w:r>
          </w:p>
        </w:tc>
      </w:tr>
      <w:tr w:rsidR="005878E0" w:rsidRPr="00256F40" w14:paraId="1724FCDC" w14:textId="77777777" w:rsidTr="00603828">
        <w:trPr>
          <w:cantSplit/>
        </w:trPr>
        <w:tc>
          <w:tcPr>
            <w:tcW w:w="2122" w:type="dxa"/>
            <w:vAlign w:val="center"/>
          </w:tcPr>
          <w:p w14:paraId="25B4031A" w14:textId="77777777" w:rsidR="005878E0" w:rsidRPr="005F41E3" w:rsidRDefault="005878E0" w:rsidP="00603828">
            <w:pPr>
              <w:jc w:val="center"/>
              <w:rPr>
                <w:sz w:val="22"/>
                <w:szCs w:val="22"/>
              </w:rPr>
            </w:pPr>
            <w:r w:rsidRPr="005F41E3">
              <w:rPr>
                <w:sz w:val="22"/>
                <w:szCs w:val="22"/>
              </w:rPr>
              <w:t>MM 6</w:t>
            </w:r>
          </w:p>
        </w:tc>
        <w:tc>
          <w:tcPr>
            <w:tcW w:w="6894" w:type="dxa"/>
            <w:vAlign w:val="center"/>
          </w:tcPr>
          <w:p w14:paraId="05E7CCEC" w14:textId="77777777" w:rsidR="005878E0" w:rsidRPr="005F41E3" w:rsidRDefault="005878E0" w:rsidP="00603828">
            <w:pPr>
              <w:spacing w:after="40"/>
              <w:rPr>
                <w:sz w:val="22"/>
                <w:szCs w:val="22"/>
              </w:rPr>
            </w:pPr>
            <w:r w:rsidRPr="005F41E3">
              <w:rPr>
                <w:b/>
                <w:sz w:val="22"/>
                <w:szCs w:val="22"/>
              </w:rPr>
              <w:t>Remote communities:</w:t>
            </w:r>
            <w:r w:rsidRPr="005F41E3">
              <w:rPr>
                <w:sz w:val="22"/>
                <w:szCs w:val="22"/>
              </w:rPr>
              <w:t xml:space="preserve"> Remote mainland areas (ASGS-RA 4) AND remote islands less than 5kms offshore. For example: Cape Tribulation, Lightning Ridge, Alice Springs, Mallacoota, </w:t>
            </w:r>
            <w:proofErr w:type="gramStart"/>
            <w:r w:rsidRPr="005F41E3">
              <w:rPr>
                <w:sz w:val="22"/>
                <w:szCs w:val="22"/>
              </w:rPr>
              <w:t>Port</w:t>
            </w:r>
            <w:proofErr w:type="gramEnd"/>
            <w:r w:rsidRPr="005F41E3">
              <w:rPr>
                <w:sz w:val="22"/>
                <w:szCs w:val="22"/>
              </w:rPr>
              <w:t xml:space="preserve"> Hedland. Additionally, islands that have an MM 5 classification with a population of less than 1,000 without bridges to the mainland will now be classified as MM 6.</w:t>
            </w:r>
          </w:p>
          <w:p w14:paraId="28AD305C" w14:textId="77777777" w:rsidR="005878E0" w:rsidRPr="005F41E3" w:rsidRDefault="005878E0" w:rsidP="00603828">
            <w:pPr>
              <w:spacing w:after="40"/>
              <w:rPr>
                <w:sz w:val="22"/>
                <w:szCs w:val="22"/>
              </w:rPr>
            </w:pPr>
            <w:r w:rsidRPr="005F41E3">
              <w:rPr>
                <w:sz w:val="22"/>
                <w:szCs w:val="22"/>
              </w:rPr>
              <w:t xml:space="preserve">For example: </w:t>
            </w:r>
            <w:proofErr w:type="spellStart"/>
            <w:r w:rsidRPr="005F41E3">
              <w:rPr>
                <w:sz w:val="22"/>
                <w:szCs w:val="22"/>
              </w:rPr>
              <w:t>Bruny</w:t>
            </w:r>
            <w:proofErr w:type="spellEnd"/>
            <w:r w:rsidRPr="005F41E3">
              <w:rPr>
                <w:sz w:val="22"/>
                <w:szCs w:val="22"/>
              </w:rPr>
              <w:t xml:space="preserve"> Island.</w:t>
            </w:r>
          </w:p>
        </w:tc>
      </w:tr>
      <w:tr w:rsidR="005878E0" w:rsidRPr="00256F40" w14:paraId="6B0A4748" w14:textId="77777777" w:rsidTr="00603828">
        <w:trPr>
          <w:cantSplit/>
        </w:trPr>
        <w:tc>
          <w:tcPr>
            <w:tcW w:w="2122" w:type="dxa"/>
            <w:vAlign w:val="center"/>
          </w:tcPr>
          <w:p w14:paraId="010549AF" w14:textId="77777777" w:rsidR="005878E0" w:rsidRPr="005F41E3" w:rsidRDefault="005878E0" w:rsidP="00603828">
            <w:pPr>
              <w:jc w:val="center"/>
              <w:rPr>
                <w:sz w:val="22"/>
                <w:szCs w:val="22"/>
              </w:rPr>
            </w:pPr>
            <w:r w:rsidRPr="005F41E3">
              <w:rPr>
                <w:sz w:val="22"/>
                <w:szCs w:val="22"/>
              </w:rPr>
              <w:t>MM 7</w:t>
            </w:r>
          </w:p>
        </w:tc>
        <w:tc>
          <w:tcPr>
            <w:tcW w:w="6894" w:type="dxa"/>
            <w:vAlign w:val="center"/>
          </w:tcPr>
          <w:p w14:paraId="42E8762C" w14:textId="77777777" w:rsidR="005878E0" w:rsidRPr="005F41E3" w:rsidRDefault="005878E0" w:rsidP="00603828">
            <w:pPr>
              <w:spacing w:after="40"/>
              <w:rPr>
                <w:sz w:val="22"/>
                <w:szCs w:val="22"/>
              </w:rPr>
            </w:pPr>
            <w:r w:rsidRPr="005F41E3">
              <w:rPr>
                <w:b/>
                <w:sz w:val="22"/>
                <w:szCs w:val="22"/>
              </w:rPr>
              <w:t xml:space="preserve">Very remote communities: </w:t>
            </w:r>
            <w:r w:rsidRPr="005F41E3">
              <w:rPr>
                <w:sz w:val="22"/>
                <w:szCs w:val="22"/>
              </w:rPr>
              <w:t>Very remote areas (ASGS-RA 5). For example: Longreach, Coober Pedy, Thursday Island and all other remote island areas more than 5kms offshore.</w:t>
            </w:r>
          </w:p>
        </w:tc>
      </w:tr>
    </w:tbl>
    <w:p w14:paraId="045D7D89" w14:textId="77777777" w:rsidR="005878E0" w:rsidRPr="00E13FE5" w:rsidRDefault="005878E0" w:rsidP="005878E0">
      <w:pPr>
        <w:spacing w:before="120" w:after="120" w:line="240" w:lineRule="auto"/>
        <w:rPr>
          <w:sz w:val="22"/>
          <w:szCs w:val="22"/>
        </w:rPr>
      </w:pPr>
      <w:r w:rsidRPr="00E13FE5">
        <w:rPr>
          <w:sz w:val="22"/>
          <w:szCs w:val="22"/>
        </w:rPr>
        <w:t xml:space="preserve">The Hearing Review </w:t>
      </w:r>
      <w:r>
        <w:rPr>
          <w:sz w:val="22"/>
          <w:szCs w:val="22"/>
        </w:rPr>
        <w:t>Panel</w:t>
      </w:r>
      <w:r w:rsidRPr="00E13FE5">
        <w:rPr>
          <w:sz w:val="22"/>
          <w:szCs w:val="22"/>
        </w:rPr>
        <w:t xml:space="preserve"> considers, for the purposes of this analysis, Modified Monash Model categories </w:t>
      </w:r>
      <w:r>
        <w:rPr>
          <w:sz w:val="22"/>
          <w:szCs w:val="22"/>
        </w:rPr>
        <w:t>3</w:t>
      </w:r>
      <w:r w:rsidRPr="00E13FE5">
        <w:rPr>
          <w:sz w:val="22"/>
          <w:szCs w:val="22"/>
        </w:rPr>
        <w:t xml:space="preserve"> to 7 inclusive to be within the scope of the ‘Rural and Remote’ thin market.</w:t>
      </w:r>
    </w:p>
    <w:p w14:paraId="11A5A54C" w14:textId="77777777" w:rsidR="005878E0" w:rsidRPr="001A4F89" w:rsidRDefault="005878E0" w:rsidP="005878E0">
      <w:pPr>
        <w:pStyle w:val="Heading2"/>
        <w:spacing w:before="120" w:after="120" w:line="240" w:lineRule="auto"/>
        <w:rPr>
          <w:sz w:val="28"/>
          <w:szCs w:val="28"/>
        </w:rPr>
      </w:pPr>
      <w:bookmarkStart w:id="56" w:name="_Toc57901110"/>
      <w:r w:rsidRPr="001A4F89">
        <w:rPr>
          <w:sz w:val="28"/>
          <w:szCs w:val="28"/>
        </w:rPr>
        <w:t>How geographic data is captured</w:t>
      </w:r>
      <w:bookmarkEnd w:id="56"/>
    </w:p>
    <w:p w14:paraId="1AC314C0" w14:textId="77777777" w:rsidR="005878E0" w:rsidRPr="00E13FE5" w:rsidRDefault="005878E0" w:rsidP="005878E0">
      <w:pPr>
        <w:spacing w:before="120" w:after="120" w:line="240" w:lineRule="auto"/>
        <w:rPr>
          <w:sz w:val="22"/>
          <w:szCs w:val="22"/>
        </w:rPr>
      </w:pPr>
      <w:r w:rsidRPr="00E13FE5">
        <w:rPr>
          <w:sz w:val="22"/>
          <w:szCs w:val="22"/>
        </w:rPr>
        <w:t xml:space="preserve">Within this analysis, </w:t>
      </w:r>
      <w:proofErr w:type="spellStart"/>
      <w:r w:rsidRPr="00E13FE5">
        <w:rPr>
          <w:sz w:val="22"/>
          <w:szCs w:val="22"/>
        </w:rPr>
        <w:t>regionality</w:t>
      </w:r>
      <w:proofErr w:type="spellEnd"/>
      <w:r w:rsidRPr="00E13FE5">
        <w:rPr>
          <w:sz w:val="22"/>
          <w:szCs w:val="22"/>
        </w:rPr>
        <w:t xml:space="preserve"> and Modified Monash Model categories are determined based on postcodes. As a part of submitting claims through the Hearing Services Portal, address data – including postcodes – are captured. These are mapped to Modified Monash Model regions using existing Departmental datasets. </w:t>
      </w:r>
    </w:p>
    <w:p w14:paraId="48FFCFCF" w14:textId="2EA09046" w:rsidR="005878E0" w:rsidRDefault="005878E0" w:rsidP="005878E0">
      <w:pPr>
        <w:spacing w:before="120" w:after="120" w:line="240" w:lineRule="auto"/>
        <w:rPr>
          <w:sz w:val="22"/>
          <w:szCs w:val="22"/>
        </w:rPr>
      </w:pPr>
      <w:r w:rsidRPr="00E13FE5">
        <w:rPr>
          <w:sz w:val="22"/>
          <w:szCs w:val="22"/>
        </w:rPr>
        <w:t xml:space="preserve">The </w:t>
      </w:r>
      <w:r w:rsidR="006262B7">
        <w:rPr>
          <w:sz w:val="22"/>
          <w:szCs w:val="22"/>
        </w:rPr>
        <w:t xml:space="preserve">Program’s </w:t>
      </w:r>
      <w:r w:rsidRPr="00E13FE5">
        <w:rPr>
          <w:sz w:val="22"/>
          <w:szCs w:val="22"/>
        </w:rPr>
        <w:t>Hearing Services Portal</w:t>
      </w:r>
      <w:r w:rsidR="006262B7">
        <w:rPr>
          <w:sz w:val="22"/>
          <w:szCs w:val="22"/>
        </w:rPr>
        <w:t>,</w:t>
      </w:r>
      <w:r w:rsidRPr="00E13FE5">
        <w:rPr>
          <w:sz w:val="22"/>
          <w:szCs w:val="22"/>
        </w:rPr>
        <w:t xml:space="preserve"> captures postcode data for each consumer, each provider (based on their postal address), and each site (clinic). Unless explicitly stated otherwise, all analysis of </w:t>
      </w:r>
      <w:proofErr w:type="spellStart"/>
      <w:r w:rsidRPr="00E13FE5">
        <w:rPr>
          <w:sz w:val="22"/>
          <w:szCs w:val="22"/>
        </w:rPr>
        <w:t>regionality</w:t>
      </w:r>
      <w:proofErr w:type="spellEnd"/>
      <w:r w:rsidRPr="00E13FE5">
        <w:rPr>
          <w:sz w:val="22"/>
          <w:szCs w:val="22"/>
        </w:rPr>
        <w:t xml:space="preserve"> is based on the client data, rather than provider or clinic locations. This rule ensures that the analysis is based on consumers, and recognises that there is often significant geographic distance between a consumer’s home, the location of their clinic, and the head office of the provider.</w:t>
      </w:r>
    </w:p>
    <w:p w14:paraId="18D40BAC" w14:textId="77777777" w:rsidR="005878E0" w:rsidRPr="001A4F89" w:rsidRDefault="005878E0" w:rsidP="005878E0">
      <w:pPr>
        <w:pStyle w:val="Heading2"/>
        <w:spacing w:before="120" w:after="120" w:line="240" w:lineRule="auto"/>
        <w:rPr>
          <w:sz w:val="28"/>
          <w:szCs w:val="28"/>
        </w:rPr>
      </w:pPr>
      <w:bookmarkStart w:id="57" w:name="_Toc57901111"/>
      <w:r w:rsidRPr="001A4F89">
        <w:rPr>
          <w:sz w:val="28"/>
          <w:szCs w:val="28"/>
        </w:rPr>
        <w:t>Conversion of data between SA-2, postcode, and MM geographic regions</w:t>
      </w:r>
      <w:bookmarkEnd w:id="57"/>
    </w:p>
    <w:p w14:paraId="19D0864D" w14:textId="18A09501" w:rsidR="005878E0" w:rsidRPr="0047639B" w:rsidRDefault="005878E0" w:rsidP="005878E0">
      <w:pPr>
        <w:spacing w:before="120" w:after="120" w:line="240" w:lineRule="auto"/>
        <w:rPr>
          <w:sz w:val="22"/>
          <w:szCs w:val="22"/>
        </w:rPr>
      </w:pPr>
      <w:r w:rsidRPr="0047639B">
        <w:rPr>
          <w:sz w:val="22"/>
          <w:szCs w:val="22"/>
        </w:rPr>
        <w:t>The Australian Bureau of Statistics (ABS) provides population projections based on Statistical Area 2 (SA</w:t>
      </w:r>
      <w:r w:rsidR="0070787D">
        <w:rPr>
          <w:sz w:val="22"/>
          <w:szCs w:val="22"/>
        </w:rPr>
        <w:t>-</w:t>
      </w:r>
      <w:r w:rsidRPr="0047639B">
        <w:rPr>
          <w:sz w:val="22"/>
          <w:szCs w:val="22"/>
        </w:rPr>
        <w:t>2) regions. These regions have a complex, many-to-many relationship with postcodes, which is the primary geographic information that is collected by the Program. This difference in geographic layer causes some issues for the analysis herein, wherein total populations are available only in SA2 sizes, but Program-based populations are available only in postcode sizes</w:t>
      </w:r>
      <w:r w:rsidRPr="00956E6D">
        <w:footnoteReference w:id="13"/>
      </w:r>
      <w:r w:rsidRPr="0047639B">
        <w:rPr>
          <w:sz w:val="22"/>
          <w:szCs w:val="22"/>
        </w:rPr>
        <w:t>.</w:t>
      </w:r>
    </w:p>
    <w:p w14:paraId="6FBCF004" w14:textId="60B85EFC" w:rsidR="005878E0" w:rsidRPr="0047639B" w:rsidRDefault="005878E0" w:rsidP="005878E0">
      <w:pPr>
        <w:spacing w:before="120" w:after="120" w:line="240" w:lineRule="auto"/>
        <w:rPr>
          <w:sz w:val="22"/>
          <w:szCs w:val="22"/>
        </w:rPr>
      </w:pPr>
      <w:r w:rsidRPr="0047639B">
        <w:rPr>
          <w:sz w:val="22"/>
          <w:szCs w:val="22"/>
        </w:rPr>
        <w:t>To address this issue, and in particular where these two data sources interact (</w:t>
      </w:r>
      <w:r w:rsidR="00956E6D">
        <w:rPr>
          <w:sz w:val="22"/>
          <w:szCs w:val="22"/>
        </w:rPr>
        <w:fldChar w:fldCharType="begin"/>
      </w:r>
      <w:r w:rsidR="00956E6D">
        <w:rPr>
          <w:sz w:val="22"/>
          <w:szCs w:val="22"/>
        </w:rPr>
        <w:instrText xml:space="preserve"> REF _Ref57375995 \h  \* MERGEFORMAT </w:instrText>
      </w:r>
      <w:r w:rsidR="00956E6D">
        <w:rPr>
          <w:sz w:val="22"/>
          <w:szCs w:val="22"/>
        </w:rPr>
      </w:r>
      <w:r w:rsidR="00956E6D">
        <w:rPr>
          <w:sz w:val="22"/>
          <w:szCs w:val="22"/>
        </w:rPr>
        <w:fldChar w:fldCharType="separate"/>
      </w:r>
      <w:r w:rsidR="00DD11FB" w:rsidRPr="00E13FE5">
        <w:rPr>
          <w:sz w:val="22"/>
          <w:szCs w:val="22"/>
        </w:rPr>
        <w:t xml:space="preserve">Figure </w:t>
      </w:r>
      <w:r w:rsidR="00DD11FB">
        <w:rPr>
          <w:sz w:val="22"/>
          <w:szCs w:val="22"/>
        </w:rPr>
        <w:t>2</w:t>
      </w:r>
      <w:r w:rsidR="00956E6D">
        <w:rPr>
          <w:sz w:val="22"/>
          <w:szCs w:val="22"/>
        </w:rPr>
        <w:fldChar w:fldCharType="end"/>
      </w:r>
      <w:r w:rsidRPr="0047639B">
        <w:rPr>
          <w:sz w:val="22"/>
          <w:szCs w:val="22"/>
        </w:rPr>
        <w:t xml:space="preserve">, </w:t>
      </w:r>
      <w:r w:rsidR="00956E6D">
        <w:rPr>
          <w:sz w:val="22"/>
          <w:szCs w:val="22"/>
        </w:rPr>
        <w:fldChar w:fldCharType="begin"/>
      </w:r>
      <w:r w:rsidR="00956E6D">
        <w:rPr>
          <w:sz w:val="22"/>
          <w:szCs w:val="22"/>
        </w:rPr>
        <w:instrText xml:space="preserve"> REF _Ref57376033 \h  \* MERGEFORMAT </w:instrText>
      </w:r>
      <w:r w:rsidR="00956E6D">
        <w:rPr>
          <w:sz w:val="22"/>
          <w:szCs w:val="22"/>
        </w:rPr>
      </w:r>
      <w:r w:rsidR="00956E6D">
        <w:rPr>
          <w:sz w:val="22"/>
          <w:szCs w:val="22"/>
        </w:rPr>
        <w:fldChar w:fldCharType="separate"/>
      </w:r>
      <w:r w:rsidR="00DD11FB" w:rsidRPr="00E13FE5">
        <w:rPr>
          <w:sz w:val="22"/>
          <w:szCs w:val="22"/>
        </w:rPr>
        <w:t xml:space="preserve">Table </w:t>
      </w:r>
      <w:r w:rsidR="00DD11FB">
        <w:rPr>
          <w:sz w:val="22"/>
          <w:szCs w:val="22"/>
        </w:rPr>
        <w:t>1</w:t>
      </w:r>
      <w:r w:rsidR="00956E6D">
        <w:rPr>
          <w:sz w:val="22"/>
          <w:szCs w:val="22"/>
        </w:rPr>
        <w:fldChar w:fldCharType="end"/>
      </w:r>
      <w:r w:rsidRPr="0047639B">
        <w:rPr>
          <w:sz w:val="22"/>
          <w:szCs w:val="22"/>
        </w:rPr>
        <w:t>), all geographic data layers in this analysis have been mapped to Modified Monash Model regions. This presents the analysis in a consistent form that is aligned with the best practices within the Department.</w:t>
      </w:r>
    </w:p>
    <w:p w14:paraId="3E50C490" w14:textId="77777777" w:rsidR="005878E0" w:rsidRPr="0047639B" w:rsidRDefault="005878E0" w:rsidP="005878E0">
      <w:pPr>
        <w:spacing w:before="120" w:after="120" w:line="240" w:lineRule="auto"/>
        <w:rPr>
          <w:sz w:val="22"/>
          <w:szCs w:val="22"/>
        </w:rPr>
      </w:pPr>
      <w:r w:rsidRPr="0047639B">
        <w:rPr>
          <w:sz w:val="22"/>
          <w:szCs w:val="22"/>
        </w:rPr>
        <w:t xml:space="preserve">As with the other geographic layers, there is no one-to-one relationship between MM regions and either SA-2 or postcode layers. There are many instances where one postcode maps to more than one MM region, or where one SA-2 area maps to multiple MM regions. To address this, all of the analysis in this report maps both postcodes and SA-2 areas to the </w:t>
      </w:r>
      <w:r w:rsidRPr="00956E6D">
        <w:rPr>
          <w:sz w:val="22"/>
          <w:szCs w:val="22"/>
        </w:rPr>
        <w:t>most regional</w:t>
      </w:r>
      <w:r w:rsidRPr="0047639B">
        <w:rPr>
          <w:sz w:val="22"/>
          <w:szCs w:val="22"/>
        </w:rPr>
        <w:t xml:space="preserve"> MM region that applies to that area. </w:t>
      </w:r>
    </w:p>
    <w:p w14:paraId="3B918C93" w14:textId="1EDD8DA8" w:rsidR="005878E0" w:rsidRPr="0047639B" w:rsidRDefault="005878E0" w:rsidP="005878E0">
      <w:pPr>
        <w:spacing w:before="120" w:after="120" w:line="240" w:lineRule="auto"/>
        <w:rPr>
          <w:sz w:val="22"/>
          <w:szCs w:val="22"/>
        </w:rPr>
      </w:pPr>
      <w:r w:rsidRPr="0047639B">
        <w:rPr>
          <w:sz w:val="22"/>
          <w:szCs w:val="22"/>
        </w:rPr>
        <w:t xml:space="preserve">As an example of this, consider postcode </w:t>
      </w:r>
      <w:r>
        <w:rPr>
          <w:sz w:val="22"/>
          <w:szCs w:val="22"/>
        </w:rPr>
        <w:t>‘</w:t>
      </w:r>
      <w:r w:rsidRPr="0047639B">
        <w:rPr>
          <w:sz w:val="22"/>
          <w:szCs w:val="22"/>
        </w:rPr>
        <w:t>2325</w:t>
      </w:r>
      <w:r>
        <w:rPr>
          <w:sz w:val="22"/>
          <w:szCs w:val="22"/>
        </w:rPr>
        <w:t>’</w:t>
      </w:r>
      <w:r w:rsidRPr="0047639B">
        <w:rPr>
          <w:sz w:val="22"/>
          <w:szCs w:val="22"/>
        </w:rPr>
        <w:t xml:space="preserve"> which is located to the west of Newcastle in New South Wales (</w:t>
      </w:r>
      <w:r w:rsidR="00956E6D">
        <w:rPr>
          <w:sz w:val="22"/>
          <w:szCs w:val="22"/>
        </w:rPr>
        <w:fldChar w:fldCharType="begin"/>
      </w:r>
      <w:r w:rsidR="00956E6D">
        <w:rPr>
          <w:sz w:val="22"/>
          <w:szCs w:val="22"/>
        </w:rPr>
        <w:instrText xml:space="preserve"> REF _Ref57376640 \h  \* MERGEFORMAT </w:instrText>
      </w:r>
      <w:r w:rsidR="00956E6D">
        <w:rPr>
          <w:sz w:val="22"/>
          <w:szCs w:val="22"/>
        </w:rPr>
      </w:r>
      <w:r w:rsidR="00956E6D">
        <w:rPr>
          <w:sz w:val="22"/>
          <w:szCs w:val="22"/>
        </w:rPr>
        <w:fldChar w:fldCharType="separate"/>
      </w:r>
      <w:r w:rsidR="00DD11FB" w:rsidRPr="00DD11FB">
        <w:rPr>
          <w:sz w:val="22"/>
          <w:szCs w:val="22"/>
        </w:rPr>
        <w:t>Figure 5</w:t>
      </w:r>
      <w:r w:rsidR="00956E6D">
        <w:rPr>
          <w:sz w:val="22"/>
          <w:szCs w:val="22"/>
        </w:rPr>
        <w:fldChar w:fldCharType="end"/>
      </w:r>
      <w:r w:rsidRPr="0047639B">
        <w:rPr>
          <w:sz w:val="22"/>
          <w:szCs w:val="22"/>
        </w:rPr>
        <w:t>). This single postcode encompasses suburbs that are in MM 2, MM 3, and MM</w:t>
      </w:r>
      <w:r w:rsidR="0070787D">
        <w:rPr>
          <w:sz w:val="22"/>
          <w:szCs w:val="22"/>
        </w:rPr>
        <w:t> </w:t>
      </w:r>
      <w:r w:rsidRPr="0047639B">
        <w:rPr>
          <w:sz w:val="22"/>
          <w:szCs w:val="22"/>
        </w:rPr>
        <w:t>5 regions (</w:t>
      </w:r>
      <w:r w:rsidR="00956E6D">
        <w:rPr>
          <w:sz w:val="22"/>
          <w:szCs w:val="22"/>
        </w:rPr>
        <w:fldChar w:fldCharType="begin"/>
      </w:r>
      <w:r w:rsidR="00956E6D">
        <w:rPr>
          <w:sz w:val="22"/>
          <w:szCs w:val="22"/>
        </w:rPr>
        <w:instrText xml:space="preserve"> REF _Ref57376659 \h  \* MERGEFORMAT </w:instrText>
      </w:r>
      <w:r w:rsidR="00956E6D">
        <w:rPr>
          <w:sz w:val="22"/>
          <w:szCs w:val="22"/>
        </w:rPr>
      </w:r>
      <w:r w:rsidR="00956E6D">
        <w:rPr>
          <w:sz w:val="22"/>
          <w:szCs w:val="22"/>
        </w:rPr>
        <w:fldChar w:fldCharType="separate"/>
      </w:r>
      <w:r w:rsidR="00DD11FB" w:rsidRPr="00DD11FB">
        <w:rPr>
          <w:sz w:val="22"/>
          <w:szCs w:val="22"/>
        </w:rPr>
        <w:t>Table 5</w:t>
      </w:r>
      <w:r w:rsidR="00956E6D">
        <w:rPr>
          <w:sz w:val="22"/>
          <w:szCs w:val="22"/>
        </w:rPr>
        <w:fldChar w:fldCharType="end"/>
      </w:r>
      <w:r w:rsidRPr="0047639B">
        <w:rPr>
          <w:sz w:val="22"/>
          <w:szCs w:val="22"/>
        </w:rPr>
        <w:t xml:space="preserve">). Because postcode data is </w:t>
      </w:r>
      <w:r>
        <w:rPr>
          <w:sz w:val="22"/>
          <w:szCs w:val="22"/>
        </w:rPr>
        <w:t>used to classify locations</w:t>
      </w:r>
      <w:r w:rsidRPr="0047639B">
        <w:rPr>
          <w:sz w:val="22"/>
          <w:szCs w:val="22"/>
        </w:rPr>
        <w:t>, all consumers with this postcode (2325) have been mapped to MM 5 as the most regional value within this area.</w:t>
      </w:r>
    </w:p>
    <w:p w14:paraId="59CAA916" w14:textId="77777777" w:rsidR="005878E0" w:rsidRDefault="005878E0" w:rsidP="005878E0">
      <w:pPr>
        <w:keepNext/>
      </w:pPr>
      <w:r>
        <w:rPr>
          <w:noProof/>
          <w:lang w:eastAsia="en-AU"/>
        </w:rPr>
        <w:drawing>
          <wp:inline distT="0" distB="0" distL="0" distR="0" wp14:anchorId="54B92171" wp14:editId="5020A150">
            <wp:extent cx="5731510" cy="3470275"/>
            <wp:effectExtent l="0" t="0" r="2540" b="0"/>
            <wp:docPr id="11" name="Picture 11" descr="This figure is a map of postcode 2325 which is located to the west of Newcastle, New South Wale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731510" cy="3470275"/>
                    </a:xfrm>
                    <a:prstGeom prst="rect">
                      <a:avLst/>
                    </a:prstGeom>
                  </pic:spPr>
                </pic:pic>
              </a:graphicData>
            </a:graphic>
          </wp:inline>
        </w:drawing>
      </w:r>
    </w:p>
    <w:p w14:paraId="4EC587FC" w14:textId="544F3F43" w:rsidR="005878E0" w:rsidRDefault="005878E0" w:rsidP="005878E0">
      <w:pPr>
        <w:pStyle w:val="Caption"/>
      </w:pPr>
      <w:bookmarkStart w:id="58" w:name="_Ref57376640"/>
      <w:bookmarkStart w:id="59" w:name="_Toc57387626"/>
      <w:r>
        <w:t xml:space="preserve">Figure </w:t>
      </w:r>
      <w:r>
        <w:fldChar w:fldCharType="begin"/>
      </w:r>
      <w:r>
        <w:instrText>SEQ Figure \* ARABIC</w:instrText>
      </w:r>
      <w:r>
        <w:fldChar w:fldCharType="separate"/>
      </w:r>
      <w:r w:rsidR="00DD11FB">
        <w:rPr>
          <w:noProof/>
        </w:rPr>
        <w:t>5</w:t>
      </w:r>
      <w:r>
        <w:fldChar w:fldCharType="end"/>
      </w:r>
      <w:bookmarkEnd w:id="58"/>
      <w:r>
        <w:t>: Map of postcode 2325 - located to the west of Newcastle, New South Wales.</w:t>
      </w:r>
      <w:bookmarkEnd w:id="59"/>
    </w:p>
    <w:p w14:paraId="65875F33" w14:textId="7EB13164" w:rsidR="004D5E43" w:rsidRDefault="004D5E43" w:rsidP="007B203D">
      <w:pPr>
        <w:pStyle w:val="Caption"/>
        <w:keepNext/>
      </w:pPr>
      <w:bookmarkStart w:id="60" w:name="_Ref57376659"/>
      <w:bookmarkStart w:id="61" w:name="_Toc57387631"/>
      <w:r>
        <w:t xml:space="preserve">Table </w:t>
      </w:r>
      <w:fldSimple w:instr=" SEQ Table \* ARABIC ">
        <w:r w:rsidR="00DD11FB">
          <w:rPr>
            <w:noProof/>
          </w:rPr>
          <w:t>5</w:t>
        </w:r>
      </w:fldSimple>
      <w:bookmarkEnd w:id="60"/>
      <w:r>
        <w:t xml:space="preserve">: </w:t>
      </w:r>
      <w:r w:rsidRPr="00916D93">
        <w:t>Three sample suburbs within the 2325 postcode</w:t>
      </w:r>
      <w:bookmarkEnd w:id="61"/>
    </w:p>
    <w:tbl>
      <w:tblPr>
        <w:tblStyle w:val="TableGrid"/>
        <w:tblW w:w="0" w:type="auto"/>
        <w:tblLook w:val="04A0" w:firstRow="1" w:lastRow="0" w:firstColumn="1" w:lastColumn="0" w:noHBand="0" w:noVBand="1"/>
        <w:tblCaption w:val="Table 5"/>
        <w:tblDescription w:val="This table is a list of the three sample suburbs and their Monash Model region number within the 2325 postcode"/>
      </w:tblPr>
      <w:tblGrid>
        <w:gridCol w:w="3005"/>
        <w:gridCol w:w="3005"/>
        <w:gridCol w:w="3006"/>
      </w:tblGrid>
      <w:tr w:rsidR="005878E0" w14:paraId="0EC9F9C1" w14:textId="77777777" w:rsidTr="000B69AE">
        <w:trPr>
          <w:tblHeader/>
        </w:trPr>
        <w:tc>
          <w:tcPr>
            <w:tcW w:w="3005" w:type="dxa"/>
            <w:shd w:val="clear" w:color="auto" w:fill="ED7D31" w:themeFill="accent2"/>
          </w:tcPr>
          <w:p w14:paraId="65E51744" w14:textId="77777777" w:rsidR="005878E0" w:rsidRPr="0047639B" w:rsidRDefault="005878E0" w:rsidP="00603828">
            <w:pPr>
              <w:rPr>
                <w:b/>
                <w:color w:val="FFFFFF" w:themeColor="background1"/>
                <w:sz w:val="22"/>
                <w:szCs w:val="22"/>
              </w:rPr>
            </w:pPr>
            <w:r w:rsidRPr="0047639B">
              <w:rPr>
                <w:b/>
                <w:color w:val="FFFFFF" w:themeColor="background1"/>
                <w:sz w:val="22"/>
                <w:szCs w:val="22"/>
              </w:rPr>
              <w:t>Postcode</w:t>
            </w:r>
          </w:p>
        </w:tc>
        <w:tc>
          <w:tcPr>
            <w:tcW w:w="3005" w:type="dxa"/>
            <w:shd w:val="clear" w:color="auto" w:fill="ED7D31" w:themeFill="accent2"/>
          </w:tcPr>
          <w:p w14:paraId="20BA720F" w14:textId="77777777" w:rsidR="005878E0" w:rsidRPr="0047639B" w:rsidRDefault="005878E0" w:rsidP="00603828">
            <w:pPr>
              <w:rPr>
                <w:b/>
                <w:color w:val="FFFFFF" w:themeColor="background1"/>
                <w:sz w:val="22"/>
                <w:szCs w:val="22"/>
              </w:rPr>
            </w:pPr>
            <w:r w:rsidRPr="0047639B">
              <w:rPr>
                <w:b/>
                <w:color w:val="FFFFFF" w:themeColor="background1"/>
                <w:sz w:val="22"/>
                <w:szCs w:val="22"/>
              </w:rPr>
              <w:t>Suburb</w:t>
            </w:r>
          </w:p>
        </w:tc>
        <w:tc>
          <w:tcPr>
            <w:tcW w:w="3006" w:type="dxa"/>
            <w:shd w:val="clear" w:color="auto" w:fill="ED7D31" w:themeFill="accent2"/>
          </w:tcPr>
          <w:p w14:paraId="2BB66192" w14:textId="77777777" w:rsidR="005878E0" w:rsidRPr="0047639B" w:rsidRDefault="005878E0" w:rsidP="00603828">
            <w:pPr>
              <w:rPr>
                <w:b/>
                <w:color w:val="FFFFFF" w:themeColor="background1"/>
                <w:sz w:val="22"/>
                <w:szCs w:val="22"/>
              </w:rPr>
            </w:pPr>
            <w:r w:rsidRPr="0047639B">
              <w:rPr>
                <w:b/>
                <w:color w:val="FFFFFF" w:themeColor="background1"/>
                <w:sz w:val="22"/>
                <w:szCs w:val="22"/>
              </w:rPr>
              <w:t>MM region</w:t>
            </w:r>
          </w:p>
        </w:tc>
      </w:tr>
      <w:tr w:rsidR="005878E0" w14:paraId="204DFC5C" w14:textId="77777777" w:rsidTr="00603828">
        <w:tc>
          <w:tcPr>
            <w:tcW w:w="3005" w:type="dxa"/>
          </w:tcPr>
          <w:p w14:paraId="757F212D" w14:textId="77777777" w:rsidR="005878E0" w:rsidRPr="0047639B" w:rsidRDefault="005878E0" w:rsidP="00603828">
            <w:pPr>
              <w:rPr>
                <w:sz w:val="22"/>
                <w:szCs w:val="22"/>
              </w:rPr>
            </w:pPr>
            <w:r w:rsidRPr="0047639B">
              <w:rPr>
                <w:sz w:val="22"/>
                <w:szCs w:val="22"/>
              </w:rPr>
              <w:t>2325</w:t>
            </w:r>
          </w:p>
        </w:tc>
        <w:tc>
          <w:tcPr>
            <w:tcW w:w="3005" w:type="dxa"/>
          </w:tcPr>
          <w:p w14:paraId="2928A0CD" w14:textId="77777777" w:rsidR="005878E0" w:rsidRPr="0047639B" w:rsidRDefault="005878E0" w:rsidP="00603828">
            <w:pPr>
              <w:rPr>
                <w:sz w:val="22"/>
                <w:szCs w:val="22"/>
              </w:rPr>
            </w:pPr>
            <w:r w:rsidRPr="0047639B">
              <w:rPr>
                <w:sz w:val="22"/>
                <w:szCs w:val="22"/>
              </w:rPr>
              <w:t>Lovedale</w:t>
            </w:r>
          </w:p>
        </w:tc>
        <w:tc>
          <w:tcPr>
            <w:tcW w:w="3006" w:type="dxa"/>
          </w:tcPr>
          <w:p w14:paraId="16ADB037" w14:textId="77777777" w:rsidR="005878E0" w:rsidRPr="0047639B" w:rsidRDefault="005878E0" w:rsidP="00603828">
            <w:pPr>
              <w:rPr>
                <w:sz w:val="22"/>
                <w:szCs w:val="22"/>
              </w:rPr>
            </w:pPr>
            <w:r w:rsidRPr="0047639B">
              <w:rPr>
                <w:sz w:val="22"/>
                <w:szCs w:val="22"/>
              </w:rPr>
              <w:t>2</w:t>
            </w:r>
          </w:p>
        </w:tc>
      </w:tr>
      <w:tr w:rsidR="005878E0" w14:paraId="024D77B1" w14:textId="77777777" w:rsidTr="00603828">
        <w:tc>
          <w:tcPr>
            <w:tcW w:w="3005" w:type="dxa"/>
          </w:tcPr>
          <w:p w14:paraId="6AD708BF" w14:textId="77777777" w:rsidR="005878E0" w:rsidRPr="0047639B" w:rsidRDefault="005878E0" w:rsidP="00603828">
            <w:pPr>
              <w:rPr>
                <w:sz w:val="22"/>
                <w:szCs w:val="22"/>
              </w:rPr>
            </w:pPr>
            <w:r w:rsidRPr="0047639B">
              <w:rPr>
                <w:sz w:val="22"/>
                <w:szCs w:val="22"/>
              </w:rPr>
              <w:t>2325</w:t>
            </w:r>
          </w:p>
        </w:tc>
        <w:tc>
          <w:tcPr>
            <w:tcW w:w="3005" w:type="dxa"/>
          </w:tcPr>
          <w:p w14:paraId="5677717C" w14:textId="77777777" w:rsidR="005878E0" w:rsidRPr="0047639B" w:rsidRDefault="005878E0" w:rsidP="00603828">
            <w:pPr>
              <w:rPr>
                <w:sz w:val="22"/>
                <w:szCs w:val="22"/>
              </w:rPr>
            </w:pPr>
            <w:r w:rsidRPr="0047639B">
              <w:rPr>
                <w:sz w:val="22"/>
                <w:szCs w:val="22"/>
              </w:rPr>
              <w:t>Ellalong</w:t>
            </w:r>
          </w:p>
        </w:tc>
        <w:tc>
          <w:tcPr>
            <w:tcW w:w="3006" w:type="dxa"/>
          </w:tcPr>
          <w:p w14:paraId="3F4983AE" w14:textId="77777777" w:rsidR="005878E0" w:rsidRPr="0047639B" w:rsidRDefault="005878E0" w:rsidP="00603828">
            <w:pPr>
              <w:rPr>
                <w:sz w:val="22"/>
                <w:szCs w:val="22"/>
              </w:rPr>
            </w:pPr>
            <w:r w:rsidRPr="0047639B">
              <w:rPr>
                <w:sz w:val="22"/>
                <w:szCs w:val="22"/>
              </w:rPr>
              <w:t>3</w:t>
            </w:r>
          </w:p>
        </w:tc>
      </w:tr>
      <w:tr w:rsidR="005878E0" w14:paraId="2FA8E099" w14:textId="77777777" w:rsidTr="00603828">
        <w:tc>
          <w:tcPr>
            <w:tcW w:w="3005" w:type="dxa"/>
          </w:tcPr>
          <w:p w14:paraId="70F56DBB" w14:textId="77777777" w:rsidR="005878E0" w:rsidRPr="0047639B" w:rsidRDefault="005878E0" w:rsidP="00603828">
            <w:pPr>
              <w:rPr>
                <w:sz w:val="22"/>
                <w:szCs w:val="22"/>
              </w:rPr>
            </w:pPr>
            <w:r w:rsidRPr="0047639B">
              <w:rPr>
                <w:sz w:val="22"/>
                <w:szCs w:val="22"/>
              </w:rPr>
              <w:t>2325</w:t>
            </w:r>
          </w:p>
        </w:tc>
        <w:tc>
          <w:tcPr>
            <w:tcW w:w="3005" w:type="dxa"/>
          </w:tcPr>
          <w:p w14:paraId="127F9420" w14:textId="77777777" w:rsidR="005878E0" w:rsidRPr="0047639B" w:rsidRDefault="005878E0" w:rsidP="00603828">
            <w:pPr>
              <w:rPr>
                <w:sz w:val="22"/>
                <w:szCs w:val="22"/>
              </w:rPr>
            </w:pPr>
            <w:r w:rsidRPr="0047639B">
              <w:rPr>
                <w:sz w:val="22"/>
                <w:szCs w:val="22"/>
              </w:rPr>
              <w:t>Laguna</w:t>
            </w:r>
          </w:p>
        </w:tc>
        <w:tc>
          <w:tcPr>
            <w:tcW w:w="3006" w:type="dxa"/>
          </w:tcPr>
          <w:p w14:paraId="43625D7A" w14:textId="77777777" w:rsidR="005878E0" w:rsidRPr="0047639B" w:rsidRDefault="005878E0" w:rsidP="00603828">
            <w:pPr>
              <w:rPr>
                <w:sz w:val="22"/>
                <w:szCs w:val="22"/>
              </w:rPr>
            </w:pPr>
            <w:r w:rsidRPr="0047639B">
              <w:rPr>
                <w:sz w:val="22"/>
                <w:szCs w:val="22"/>
              </w:rPr>
              <w:t>5</w:t>
            </w:r>
          </w:p>
        </w:tc>
      </w:tr>
    </w:tbl>
    <w:p w14:paraId="7AE1227A" w14:textId="77777777" w:rsidR="005878E0" w:rsidRPr="001A4F89" w:rsidRDefault="005878E0" w:rsidP="005878E0">
      <w:pPr>
        <w:pStyle w:val="Heading2"/>
        <w:spacing w:before="120" w:after="120" w:line="240" w:lineRule="auto"/>
        <w:rPr>
          <w:sz w:val="28"/>
          <w:szCs w:val="28"/>
        </w:rPr>
      </w:pPr>
      <w:bookmarkStart w:id="62" w:name="_Ref57376169"/>
      <w:bookmarkStart w:id="63" w:name="_Toc57901112"/>
      <w:r w:rsidRPr="001A4F89">
        <w:rPr>
          <w:sz w:val="28"/>
          <w:szCs w:val="28"/>
        </w:rPr>
        <w:t>Communities dependent on a single provider</w:t>
      </w:r>
      <w:bookmarkEnd w:id="62"/>
      <w:bookmarkEnd w:id="63"/>
    </w:p>
    <w:p w14:paraId="29F4AED0" w14:textId="77777777" w:rsidR="005878E0" w:rsidRPr="00E13FE5" w:rsidRDefault="005878E0" w:rsidP="005878E0">
      <w:pPr>
        <w:spacing w:before="120" w:after="120" w:line="240" w:lineRule="auto"/>
        <w:rPr>
          <w:sz w:val="22"/>
          <w:szCs w:val="22"/>
        </w:rPr>
      </w:pPr>
      <w:r w:rsidRPr="00E13FE5">
        <w:rPr>
          <w:sz w:val="22"/>
          <w:szCs w:val="22"/>
        </w:rPr>
        <w:t>Analysis of Program claims data in FY2019-20 has identified 51 communities that are dependent upon a single provider for hearing services. This analysis explicitly excludes Hearing Australia sites, as these often service CSO clients and are not a like-for-like comparator for commercial providers, nor direct competitors for the same market of consumers.</w:t>
      </w:r>
      <w:r>
        <w:rPr>
          <w:sz w:val="22"/>
          <w:szCs w:val="22"/>
        </w:rPr>
        <w:t xml:space="preserve"> Note that visiting sites tend to operate from temporary accommodation and are not open for full business hours. </w:t>
      </w:r>
    </w:p>
    <w:p w14:paraId="2AE32B38" w14:textId="77777777" w:rsidR="005878E0" w:rsidRPr="00E13FE5" w:rsidRDefault="005878E0" w:rsidP="005878E0">
      <w:pPr>
        <w:spacing w:before="120" w:after="120" w:line="240" w:lineRule="auto"/>
        <w:rPr>
          <w:sz w:val="22"/>
          <w:szCs w:val="22"/>
        </w:rPr>
      </w:pPr>
      <w:r w:rsidRPr="00E13FE5">
        <w:rPr>
          <w:sz w:val="22"/>
          <w:szCs w:val="22"/>
        </w:rPr>
        <w:t>For the purposes of this analysis, a community is determined to be dependent on a single provider based on the following conditions;</w:t>
      </w:r>
    </w:p>
    <w:p w14:paraId="67FDCC06" w14:textId="77777777" w:rsidR="005878E0" w:rsidRPr="00E13FE5" w:rsidRDefault="005878E0" w:rsidP="005878E0">
      <w:pPr>
        <w:pStyle w:val="ListParagraph"/>
        <w:numPr>
          <w:ilvl w:val="0"/>
          <w:numId w:val="15"/>
        </w:numPr>
        <w:spacing w:before="120" w:after="120" w:line="240" w:lineRule="auto"/>
        <w:contextualSpacing w:val="0"/>
        <w:rPr>
          <w:sz w:val="22"/>
          <w:szCs w:val="22"/>
        </w:rPr>
      </w:pPr>
      <w:r w:rsidRPr="00E13FE5">
        <w:rPr>
          <w:sz w:val="22"/>
          <w:szCs w:val="22"/>
        </w:rPr>
        <w:t>For each site (clinic) that delivered services in FY2019-20, we calculate the geographic distance to all other sites (given the same criteria)</w:t>
      </w:r>
    </w:p>
    <w:p w14:paraId="0E88E35D" w14:textId="77777777" w:rsidR="005878E0" w:rsidRPr="0047639B" w:rsidRDefault="005878E0" w:rsidP="005878E0">
      <w:pPr>
        <w:pStyle w:val="ListParagraph"/>
        <w:numPr>
          <w:ilvl w:val="1"/>
          <w:numId w:val="15"/>
        </w:numPr>
        <w:spacing w:before="120" w:after="120" w:line="240" w:lineRule="auto"/>
        <w:ind w:left="1434" w:hanging="357"/>
        <w:contextualSpacing w:val="0"/>
        <w:rPr>
          <w:sz w:val="22"/>
          <w:szCs w:val="22"/>
        </w:rPr>
      </w:pPr>
      <w:r w:rsidRPr="0047639B">
        <w:rPr>
          <w:sz w:val="22"/>
          <w:szCs w:val="22"/>
        </w:rPr>
        <w:t>Excluding all sites (clinics) from Hearing Australia</w:t>
      </w:r>
    </w:p>
    <w:p w14:paraId="348730D1" w14:textId="77777777" w:rsidR="005878E0" w:rsidRPr="00E13FE5" w:rsidRDefault="005878E0" w:rsidP="005878E0">
      <w:pPr>
        <w:pStyle w:val="ListParagraph"/>
        <w:numPr>
          <w:ilvl w:val="1"/>
          <w:numId w:val="15"/>
        </w:numPr>
        <w:spacing w:before="120" w:after="120" w:line="240" w:lineRule="auto"/>
        <w:ind w:left="1434" w:hanging="357"/>
        <w:contextualSpacing w:val="0"/>
        <w:rPr>
          <w:sz w:val="22"/>
          <w:szCs w:val="22"/>
        </w:rPr>
      </w:pPr>
      <w:r w:rsidRPr="0047639B">
        <w:rPr>
          <w:sz w:val="22"/>
          <w:szCs w:val="22"/>
        </w:rPr>
        <w:t>Excluding sites from the</w:t>
      </w:r>
      <w:r w:rsidRPr="00E13FE5">
        <w:rPr>
          <w:sz w:val="22"/>
          <w:szCs w:val="22"/>
        </w:rPr>
        <w:t xml:space="preserve"> same provider</w:t>
      </w:r>
    </w:p>
    <w:p w14:paraId="41688716" w14:textId="77777777" w:rsidR="005878E0" w:rsidRPr="00E13FE5" w:rsidRDefault="005878E0" w:rsidP="005878E0">
      <w:pPr>
        <w:pStyle w:val="ListParagraph"/>
        <w:numPr>
          <w:ilvl w:val="0"/>
          <w:numId w:val="15"/>
        </w:numPr>
        <w:spacing w:before="120" w:after="120" w:line="240" w:lineRule="auto"/>
        <w:contextualSpacing w:val="0"/>
        <w:rPr>
          <w:sz w:val="22"/>
          <w:szCs w:val="22"/>
        </w:rPr>
      </w:pPr>
      <w:r w:rsidRPr="00E13FE5">
        <w:rPr>
          <w:sz w:val="22"/>
          <w:szCs w:val="22"/>
        </w:rPr>
        <w:t xml:space="preserve">If the nearest site that meets these criteria was more than 50km </w:t>
      </w:r>
      <w:r>
        <w:rPr>
          <w:sz w:val="22"/>
          <w:szCs w:val="22"/>
        </w:rPr>
        <w:t>from the site</w:t>
      </w:r>
      <w:r w:rsidRPr="00E13FE5">
        <w:rPr>
          <w:sz w:val="22"/>
          <w:szCs w:val="22"/>
        </w:rPr>
        <w:t>, then that site’s location was determined to be a community dependent on a single provider.</w:t>
      </w:r>
    </w:p>
    <w:p w14:paraId="62132391" w14:textId="08392C07" w:rsidR="005878E0" w:rsidRPr="00956E6D" w:rsidRDefault="005878E0" w:rsidP="005878E0">
      <w:pPr>
        <w:spacing w:before="120" w:after="120" w:line="240" w:lineRule="auto"/>
        <w:rPr>
          <w:sz w:val="22"/>
          <w:szCs w:val="22"/>
        </w:rPr>
      </w:pPr>
      <w:r w:rsidRPr="00E13FE5">
        <w:rPr>
          <w:sz w:val="22"/>
          <w:szCs w:val="22"/>
        </w:rPr>
        <w:t xml:space="preserve">The 51 communities </w:t>
      </w:r>
      <w:r>
        <w:rPr>
          <w:sz w:val="22"/>
          <w:szCs w:val="22"/>
        </w:rPr>
        <w:t xml:space="preserve">in this group </w:t>
      </w:r>
      <w:r w:rsidRPr="00E13FE5">
        <w:rPr>
          <w:sz w:val="22"/>
          <w:szCs w:val="22"/>
        </w:rPr>
        <w:t>are su</w:t>
      </w:r>
      <w:r w:rsidRPr="00956E6D">
        <w:rPr>
          <w:sz w:val="22"/>
          <w:szCs w:val="22"/>
        </w:rPr>
        <w:t xml:space="preserve">mmarised in </w:t>
      </w:r>
      <w:r w:rsidR="00956E6D" w:rsidRPr="00956E6D">
        <w:rPr>
          <w:sz w:val="22"/>
          <w:szCs w:val="22"/>
        </w:rPr>
        <w:fldChar w:fldCharType="begin"/>
      </w:r>
      <w:r w:rsidR="00956E6D" w:rsidRPr="00956E6D">
        <w:rPr>
          <w:sz w:val="22"/>
          <w:szCs w:val="22"/>
        </w:rPr>
        <w:instrText xml:space="preserve"> REF _Ref57376725 \h </w:instrText>
      </w:r>
      <w:r w:rsidR="00956E6D">
        <w:rPr>
          <w:sz w:val="22"/>
          <w:szCs w:val="22"/>
        </w:rPr>
        <w:instrText xml:space="preserve"> \* MERGEFORMAT </w:instrText>
      </w:r>
      <w:r w:rsidR="00956E6D" w:rsidRPr="00956E6D">
        <w:rPr>
          <w:sz w:val="22"/>
          <w:szCs w:val="22"/>
        </w:rPr>
      </w:r>
      <w:r w:rsidR="00956E6D" w:rsidRPr="00956E6D">
        <w:rPr>
          <w:sz w:val="22"/>
          <w:szCs w:val="22"/>
        </w:rPr>
        <w:fldChar w:fldCharType="separate"/>
      </w:r>
      <w:r w:rsidR="00DD11FB" w:rsidRPr="00DD11FB">
        <w:rPr>
          <w:sz w:val="22"/>
          <w:szCs w:val="22"/>
        </w:rPr>
        <w:t xml:space="preserve">Table </w:t>
      </w:r>
      <w:r w:rsidR="00DD11FB" w:rsidRPr="00DD11FB">
        <w:rPr>
          <w:noProof/>
          <w:sz w:val="22"/>
          <w:szCs w:val="22"/>
        </w:rPr>
        <w:t>6</w:t>
      </w:r>
      <w:r w:rsidR="00956E6D" w:rsidRPr="00956E6D">
        <w:rPr>
          <w:sz w:val="22"/>
          <w:szCs w:val="22"/>
        </w:rPr>
        <w:fldChar w:fldCharType="end"/>
      </w:r>
      <w:r w:rsidRPr="00956E6D">
        <w:rPr>
          <w:sz w:val="22"/>
          <w:szCs w:val="22"/>
        </w:rPr>
        <w:t>.</w:t>
      </w:r>
    </w:p>
    <w:p w14:paraId="53D2B475" w14:textId="3A423481" w:rsidR="004D5E43" w:rsidRDefault="004D5E43" w:rsidP="007B203D">
      <w:pPr>
        <w:pStyle w:val="Caption"/>
        <w:keepNext/>
      </w:pPr>
      <w:bookmarkStart w:id="64" w:name="_Ref57376725"/>
      <w:bookmarkStart w:id="65" w:name="_Toc57387632"/>
      <w:r>
        <w:t xml:space="preserve">Table </w:t>
      </w:r>
      <w:fldSimple w:instr=" SEQ Table \* ARABIC ">
        <w:r w:rsidR="00DD11FB">
          <w:rPr>
            <w:noProof/>
          </w:rPr>
          <w:t>6</w:t>
        </w:r>
      </w:fldSimple>
      <w:bookmarkEnd w:id="64"/>
      <w:r>
        <w:t xml:space="preserve">: </w:t>
      </w:r>
      <w:r w:rsidRPr="00CE11C7">
        <w:t>51 communities identified as being dependent on a single provider in FY2019-20. Note that St Helens (TAS) and Karratha (WA) had two sites from the same provider, and hence these 51 communities represent 53 individual sites.</w:t>
      </w:r>
      <w:bookmarkEnd w:id="65"/>
    </w:p>
    <w:tbl>
      <w:tblPr>
        <w:tblW w:w="9410" w:type="dxa"/>
        <w:tblLook w:val="04A0" w:firstRow="1" w:lastRow="0" w:firstColumn="1" w:lastColumn="0" w:noHBand="0" w:noVBand="1"/>
      </w:tblPr>
      <w:tblGrid>
        <w:gridCol w:w="692"/>
        <w:gridCol w:w="1571"/>
        <w:gridCol w:w="1055"/>
        <w:gridCol w:w="1212"/>
        <w:gridCol w:w="4880"/>
      </w:tblGrid>
      <w:tr w:rsidR="005878E0" w:rsidRPr="003651F3" w14:paraId="733E5A7D" w14:textId="77777777" w:rsidTr="00603828">
        <w:trPr>
          <w:trHeight w:val="300"/>
          <w:tblHeader/>
        </w:trPr>
        <w:tc>
          <w:tcPr>
            <w:tcW w:w="692"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B2EEE77" w14:textId="77777777" w:rsidR="005878E0" w:rsidRPr="00E13FE5" w:rsidRDefault="005878E0" w:rsidP="00603828">
            <w:pPr>
              <w:spacing w:after="0" w:line="240" w:lineRule="auto"/>
              <w:rPr>
                <w:rFonts w:eastAsia="Times New Roman"/>
                <w:b/>
                <w:color w:val="FFFFFF"/>
                <w:sz w:val="22"/>
                <w:szCs w:val="22"/>
                <w:lang w:eastAsia="en-AU"/>
              </w:rPr>
            </w:pPr>
            <w:r w:rsidRPr="00E13FE5">
              <w:rPr>
                <w:rFonts w:eastAsia="Times New Roman"/>
                <w:b/>
                <w:color w:val="FFFFFF"/>
                <w:sz w:val="22"/>
                <w:szCs w:val="22"/>
                <w:lang w:eastAsia="en-AU"/>
              </w:rPr>
              <w:t>State</w:t>
            </w:r>
          </w:p>
        </w:tc>
        <w:tc>
          <w:tcPr>
            <w:tcW w:w="1571" w:type="dxa"/>
            <w:tcBorders>
              <w:top w:val="single" w:sz="4" w:space="0" w:color="auto"/>
              <w:left w:val="nil"/>
              <w:bottom w:val="single" w:sz="4" w:space="0" w:color="auto"/>
              <w:right w:val="single" w:sz="4" w:space="0" w:color="auto"/>
            </w:tcBorders>
            <w:shd w:val="clear" w:color="000000" w:fill="ED7D31"/>
            <w:noWrap/>
            <w:vAlign w:val="bottom"/>
            <w:hideMark/>
          </w:tcPr>
          <w:p w14:paraId="327F23DF" w14:textId="77777777" w:rsidR="005878E0" w:rsidRPr="00E13FE5" w:rsidRDefault="005878E0" w:rsidP="00603828">
            <w:pPr>
              <w:spacing w:after="0" w:line="240" w:lineRule="auto"/>
              <w:rPr>
                <w:rFonts w:eastAsia="Times New Roman"/>
                <w:b/>
                <w:color w:val="FFFFFF"/>
                <w:sz w:val="22"/>
                <w:szCs w:val="22"/>
                <w:lang w:eastAsia="en-AU"/>
              </w:rPr>
            </w:pPr>
            <w:r w:rsidRPr="00E13FE5">
              <w:rPr>
                <w:rFonts w:eastAsia="Times New Roman"/>
                <w:b/>
                <w:color w:val="FFFFFF"/>
                <w:sz w:val="22"/>
                <w:szCs w:val="22"/>
                <w:lang w:eastAsia="en-AU"/>
              </w:rPr>
              <w:t>Suburb</w:t>
            </w:r>
          </w:p>
        </w:tc>
        <w:tc>
          <w:tcPr>
            <w:tcW w:w="1055" w:type="dxa"/>
            <w:tcBorders>
              <w:top w:val="single" w:sz="4" w:space="0" w:color="auto"/>
              <w:left w:val="nil"/>
              <w:bottom w:val="single" w:sz="4" w:space="0" w:color="auto"/>
              <w:right w:val="single" w:sz="4" w:space="0" w:color="auto"/>
            </w:tcBorders>
            <w:shd w:val="clear" w:color="000000" w:fill="ED7D31"/>
            <w:noWrap/>
            <w:vAlign w:val="bottom"/>
            <w:hideMark/>
          </w:tcPr>
          <w:p w14:paraId="528FF748" w14:textId="77777777" w:rsidR="005878E0" w:rsidRPr="00E13FE5" w:rsidRDefault="005878E0" w:rsidP="00603828">
            <w:pPr>
              <w:spacing w:after="0" w:line="240" w:lineRule="auto"/>
              <w:rPr>
                <w:rFonts w:eastAsia="Times New Roman"/>
                <w:b/>
                <w:color w:val="FFFFFF"/>
                <w:sz w:val="22"/>
                <w:szCs w:val="22"/>
                <w:lang w:eastAsia="en-AU"/>
              </w:rPr>
            </w:pPr>
            <w:r w:rsidRPr="00E13FE5">
              <w:rPr>
                <w:rFonts w:eastAsia="Times New Roman"/>
                <w:b/>
                <w:color w:val="FFFFFF"/>
                <w:sz w:val="22"/>
                <w:szCs w:val="22"/>
                <w:lang w:eastAsia="en-AU"/>
              </w:rPr>
              <w:t>Postcode</w:t>
            </w:r>
          </w:p>
        </w:tc>
        <w:tc>
          <w:tcPr>
            <w:tcW w:w="1212" w:type="dxa"/>
            <w:tcBorders>
              <w:top w:val="single" w:sz="4" w:space="0" w:color="auto"/>
              <w:left w:val="nil"/>
              <w:bottom w:val="single" w:sz="4" w:space="0" w:color="auto"/>
              <w:right w:val="single" w:sz="4" w:space="0" w:color="auto"/>
            </w:tcBorders>
            <w:shd w:val="clear" w:color="000000" w:fill="ED7D31"/>
            <w:noWrap/>
            <w:vAlign w:val="bottom"/>
            <w:hideMark/>
          </w:tcPr>
          <w:p w14:paraId="780E53C1" w14:textId="77777777" w:rsidR="005878E0" w:rsidRPr="00E13FE5" w:rsidRDefault="005878E0" w:rsidP="00603828">
            <w:pPr>
              <w:spacing w:after="0" w:line="240" w:lineRule="auto"/>
              <w:rPr>
                <w:rFonts w:eastAsia="Times New Roman"/>
                <w:b/>
                <w:color w:val="FFFFFF"/>
                <w:sz w:val="22"/>
                <w:szCs w:val="22"/>
                <w:lang w:eastAsia="en-AU"/>
              </w:rPr>
            </w:pPr>
            <w:r w:rsidRPr="00E13FE5">
              <w:rPr>
                <w:rFonts w:eastAsia="Times New Roman"/>
                <w:b/>
                <w:color w:val="FFFFFF"/>
                <w:sz w:val="22"/>
                <w:szCs w:val="22"/>
                <w:lang w:eastAsia="en-AU"/>
              </w:rPr>
              <w:t>Site Type</w:t>
            </w:r>
          </w:p>
        </w:tc>
        <w:tc>
          <w:tcPr>
            <w:tcW w:w="4880" w:type="dxa"/>
            <w:tcBorders>
              <w:top w:val="single" w:sz="4" w:space="0" w:color="auto"/>
              <w:left w:val="nil"/>
              <w:bottom w:val="single" w:sz="4" w:space="0" w:color="auto"/>
              <w:right w:val="single" w:sz="4" w:space="0" w:color="auto"/>
            </w:tcBorders>
            <w:shd w:val="clear" w:color="000000" w:fill="ED7D31"/>
            <w:noWrap/>
            <w:vAlign w:val="bottom"/>
            <w:hideMark/>
          </w:tcPr>
          <w:p w14:paraId="58B001B5" w14:textId="77777777" w:rsidR="005878E0" w:rsidRPr="00E13FE5" w:rsidRDefault="005878E0" w:rsidP="00603828">
            <w:pPr>
              <w:spacing w:after="0" w:line="240" w:lineRule="auto"/>
              <w:rPr>
                <w:rFonts w:eastAsia="Times New Roman"/>
                <w:b/>
                <w:color w:val="FFFFFF"/>
                <w:sz w:val="22"/>
                <w:szCs w:val="22"/>
                <w:lang w:eastAsia="en-AU"/>
              </w:rPr>
            </w:pPr>
            <w:r w:rsidRPr="00E13FE5">
              <w:rPr>
                <w:rFonts w:eastAsia="Times New Roman"/>
                <w:b/>
                <w:color w:val="FFFFFF"/>
                <w:sz w:val="22"/>
                <w:szCs w:val="22"/>
                <w:lang w:eastAsia="en-AU"/>
              </w:rPr>
              <w:t>Provider name</w:t>
            </w:r>
          </w:p>
        </w:tc>
      </w:tr>
      <w:tr w:rsidR="005878E0" w:rsidRPr="003651F3" w14:paraId="3DB893BB"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3A22502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516A44A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Balranald</w:t>
            </w:r>
          </w:p>
        </w:tc>
        <w:tc>
          <w:tcPr>
            <w:tcW w:w="1055" w:type="dxa"/>
            <w:tcBorders>
              <w:top w:val="nil"/>
              <w:left w:val="nil"/>
              <w:bottom w:val="single" w:sz="4" w:space="0" w:color="auto"/>
              <w:right w:val="single" w:sz="4" w:space="0" w:color="auto"/>
            </w:tcBorders>
            <w:shd w:val="clear" w:color="auto" w:fill="auto"/>
            <w:noWrap/>
            <w:vAlign w:val="bottom"/>
            <w:hideMark/>
          </w:tcPr>
          <w:p w14:paraId="74D9B6DA"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2715</w:t>
            </w:r>
          </w:p>
        </w:tc>
        <w:tc>
          <w:tcPr>
            <w:tcW w:w="1212" w:type="dxa"/>
            <w:tcBorders>
              <w:top w:val="nil"/>
              <w:left w:val="nil"/>
              <w:bottom w:val="single" w:sz="4" w:space="0" w:color="auto"/>
              <w:right w:val="single" w:sz="4" w:space="0" w:color="auto"/>
            </w:tcBorders>
            <w:shd w:val="clear" w:color="auto" w:fill="auto"/>
            <w:noWrap/>
            <w:vAlign w:val="bottom"/>
            <w:hideMark/>
          </w:tcPr>
          <w:p w14:paraId="5F48BBC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0457F758"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Sunraysia</w:t>
            </w:r>
            <w:proofErr w:type="spellEnd"/>
            <w:r w:rsidRPr="00E13FE5">
              <w:rPr>
                <w:rFonts w:eastAsia="Times New Roman"/>
                <w:color w:val="000000"/>
                <w:sz w:val="22"/>
                <w:szCs w:val="22"/>
                <w:lang w:eastAsia="en-AU"/>
              </w:rPr>
              <w:t xml:space="preserve"> Hearing Clinic Pty Ltd</w:t>
            </w:r>
          </w:p>
        </w:tc>
      </w:tr>
      <w:tr w:rsidR="005878E0" w:rsidRPr="003651F3" w14:paraId="1118D597"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D083F94"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707BF804"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Barraba</w:t>
            </w:r>
          </w:p>
        </w:tc>
        <w:tc>
          <w:tcPr>
            <w:tcW w:w="1055" w:type="dxa"/>
            <w:tcBorders>
              <w:top w:val="nil"/>
              <w:left w:val="nil"/>
              <w:bottom w:val="single" w:sz="4" w:space="0" w:color="auto"/>
              <w:right w:val="single" w:sz="4" w:space="0" w:color="auto"/>
            </w:tcBorders>
            <w:shd w:val="clear" w:color="auto" w:fill="auto"/>
            <w:noWrap/>
            <w:vAlign w:val="bottom"/>
            <w:hideMark/>
          </w:tcPr>
          <w:p w14:paraId="5EE696FB"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2347</w:t>
            </w:r>
          </w:p>
        </w:tc>
        <w:tc>
          <w:tcPr>
            <w:tcW w:w="1212" w:type="dxa"/>
            <w:tcBorders>
              <w:top w:val="nil"/>
              <w:left w:val="nil"/>
              <w:bottom w:val="single" w:sz="4" w:space="0" w:color="auto"/>
              <w:right w:val="single" w:sz="4" w:space="0" w:color="auto"/>
            </w:tcBorders>
            <w:shd w:val="clear" w:color="auto" w:fill="auto"/>
            <w:noWrap/>
            <w:vAlign w:val="bottom"/>
            <w:hideMark/>
          </w:tcPr>
          <w:p w14:paraId="4F3AF9D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248EB094"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Sharon King Hearing Centres Pty Ltd</w:t>
            </w:r>
          </w:p>
        </w:tc>
      </w:tr>
      <w:tr w:rsidR="005878E0" w:rsidRPr="003651F3" w14:paraId="6940A987"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00C6C1B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64019A3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Bingara</w:t>
            </w:r>
          </w:p>
        </w:tc>
        <w:tc>
          <w:tcPr>
            <w:tcW w:w="1055" w:type="dxa"/>
            <w:tcBorders>
              <w:top w:val="nil"/>
              <w:left w:val="nil"/>
              <w:bottom w:val="single" w:sz="4" w:space="0" w:color="auto"/>
              <w:right w:val="single" w:sz="4" w:space="0" w:color="auto"/>
            </w:tcBorders>
            <w:shd w:val="clear" w:color="auto" w:fill="auto"/>
            <w:noWrap/>
            <w:vAlign w:val="bottom"/>
            <w:hideMark/>
          </w:tcPr>
          <w:p w14:paraId="2C85ED93"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2404</w:t>
            </w:r>
          </w:p>
        </w:tc>
        <w:tc>
          <w:tcPr>
            <w:tcW w:w="1212" w:type="dxa"/>
            <w:tcBorders>
              <w:top w:val="nil"/>
              <w:left w:val="nil"/>
              <w:bottom w:val="single" w:sz="4" w:space="0" w:color="auto"/>
              <w:right w:val="single" w:sz="4" w:space="0" w:color="auto"/>
            </w:tcBorders>
            <w:shd w:val="clear" w:color="auto" w:fill="auto"/>
            <w:noWrap/>
            <w:vAlign w:val="bottom"/>
            <w:hideMark/>
          </w:tcPr>
          <w:p w14:paraId="28F7EB2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4A06283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Sharon King Hearing Centres Pty Ltd</w:t>
            </w:r>
          </w:p>
        </w:tc>
      </w:tr>
      <w:tr w:rsidR="005878E0" w:rsidRPr="003651F3" w14:paraId="5459A888"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0B4960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5AED742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Bombala</w:t>
            </w:r>
          </w:p>
        </w:tc>
        <w:tc>
          <w:tcPr>
            <w:tcW w:w="1055" w:type="dxa"/>
            <w:tcBorders>
              <w:top w:val="nil"/>
              <w:left w:val="nil"/>
              <w:bottom w:val="single" w:sz="4" w:space="0" w:color="auto"/>
              <w:right w:val="single" w:sz="4" w:space="0" w:color="auto"/>
            </w:tcBorders>
            <w:shd w:val="clear" w:color="auto" w:fill="auto"/>
            <w:noWrap/>
            <w:vAlign w:val="bottom"/>
            <w:hideMark/>
          </w:tcPr>
          <w:p w14:paraId="628DA05B"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2632</w:t>
            </w:r>
          </w:p>
        </w:tc>
        <w:tc>
          <w:tcPr>
            <w:tcW w:w="1212" w:type="dxa"/>
            <w:tcBorders>
              <w:top w:val="nil"/>
              <w:left w:val="nil"/>
              <w:bottom w:val="single" w:sz="4" w:space="0" w:color="auto"/>
              <w:right w:val="single" w:sz="4" w:space="0" w:color="auto"/>
            </w:tcBorders>
            <w:shd w:val="clear" w:color="auto" w:fill="auto"/>
            <w:noWrap/>
            <w:vAlign w:val="bottom"/>
            <w:hideMark/>
          </w:tcPr>
          <w:p w14:paraId="6E4DB8F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36BEE4BB"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Audika</w:t>
            </w:r>
            <w:proofErr w:type="spellEnd"/>
            <w:r w:rsidRPr="00E13FE5">
              <w:rPr>
                <w:rFonts w:eastAsia="Times New Roman"/>
                <w:color w:val="000000"/>
                <w:sz w:val="22"/>
                <w:szCs w:val="22"/>
                <w:lang w:eastAsia="en-AU"/>
              </w:rPr>
              <w:t xml:space="preserve"> Australia Pty Ltd</w:t>
            </w:r>
          </w:p>
        </w:tc>
      </w:tr>
      <w:tr w:rsidR="005878E0" w:rsidRPr="003651F3" w14:paraId="5A5BDF69"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0EA3580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2B73D5B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Cobar</w:t>
            </w:r>
          </w:p>
        </w:tc>
        <w:tc>
          <w:tcPr>
            <w:tcW w:w="1055" w:type="dxa"/>
            <w:tcBorders>
              <w:top w:val="nil"/>
              <w:left w:val="nil"/>
              <w:bottom w:val="single" w:sz="4" w:space="0" w:color="auto"/>
              <w:right w:val="single" w:sz="4" w:space="0" w:color="auto"/>
            </w:tcBorders>
            <w:shd w:val="clear" w:color="auto" w:fill="auto"/>
            <w:noWrap/>
            <w:vAlign w:val="bottom"/>
            <w:hideMark/>
          </w:tcPr>
          <w:p w14:paraId="15DB700E"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2835</w:t>
            </w:r>
          </w:p>
        </w:tc>
        <w:tc>
          <w:tcPr>
            <w:tcW w:w="1212" w:type="dxa"/>
            <w:tcBorders>
              <w:top w:val="nil"/>
              <w:left w:val="nil"/>
              <w:bottom w:val="single" w:sz="4" w:space="0" w:color="auto"/>
              <w:right w:val="single" w:sz="4" w:space="0" w:color="auto"/>
            </w:tcBorders>
            <w:shd w:val="clear" w:color="auto" w:fill="auto"/>
            <w:noWrap/>
            <w:vAlign w:val="bottom"/>
            <w:hideMark/>
          </w:tcPr>
          <w:p w14:paraId="1E668C0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F159757"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Sonova</w:t>
            </w:r>
            <w:proofErr w:type="spellEnd"/>
            <w:r w:rsidRPr="00E13FE5">
              <w:rPr>
                <w:rFonts w:eastAsia="Times New Roman"/>
                <w:color w:val="000000"/>
                <w:sz w:val="22"/>
                <w:szCs w:val="22"/>
                <w:lang w:eastAsia="en-AU"/>
              </w:rPr>
              <w:t xml:space="preserve"> </w:t>
            </w:r>
            <w:proofErr w:type="spellStart"/>
            <w:r w:rsidRPr="00E13FE5">
              <w:rPr>
                <w:rFonts w:eastAsia="Times New Roman"/>
                <w:color w:val="000000"/>
                <w:sz w:val="22"/>
                <w:szCs w:val="22"/>
                <w:lang w:eastAsia="en-AU"/>
              </w:rPr>
              <w:t>Audiological</w:t>
            </w:r>
            <w:proofErr w:type="spellEnd"/>
            <w:r w:rsidRPr="00E13FE5">
              <w:rPr>
                <w:rFonts w:eastAsia="Times New Roman"/>
                <w:color w:val="000000"/>
                <w:sz w:val="22"/>
                <w:szCs w:val="22"/>
                <w:lang w:eastAsia="en-AU"/>
              </w:rPr>
              <w:t xml:space="preserve"> Care Australia Pty Ltd</w:t>
            </w:r>
          </w:p>
        </w:tc>
      </w:tr>
      <w:tr w:rsidR="005878E0" w:rsidRPr="003651F3" w14:paraId="5E698557"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196B43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5D8B3E4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Condobolin</w:t>
            </w:r>
          </w:p>
        </w:tc>
        <w:tc>
          <w:tcPr>
            <w:tcW w:w="1055" w:type="dxa"/>
            <w:tcBorders>
              <w:top w:val="nil"/>
              <w:left w:val="nil"/>
              <w:bottom w:val="single" w:sz="4" w:space="0" w:color="auto"/>
              <w:right w:val="single" w:sz="4" w:space="0" w:color="auto"/>
            </w:tcBorders>
            <w:shd w:val="clear" w:color="auto" w:fill="auto"/>
            <w:noWrap/>
            <w:vAlign w:val="bottom"/>
            <w:hideMark/>
          </w:tcPr>
          <w:p w14:paraId="41E0DD0B"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2877</w:t>
            </w:r>
          </w:p>
        </w:tc>
        <w:tc>
          <w:tcPr>
            <w:tcW w:w="1212" w:type="dxa"/>
            <w:tcBorders>
              <w:top w:val="nil"/>
              <w:left w:val="nil"/>
              <w:bottom w:val="single" w:sz="4" w:space="0" w:color="auto"/>
              <w:right w:val="single" w:sz="4" w:space="0" w:color="auto"/>
            </w:tcBorders>
            <w:shd w:val="clear" w:color="auto" w:fill="auto"/>
            <w:noWrap/>
            <w:vAlign w:val="bottom"/>
            <w:hideMark/>
          </w:tcPr>
          <w:p w14:paraId="6A8CD22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Permanent</w:t>
            </w:r>
          </w:p>
        </w:tc>
        <w:tc>
          <w:tcPr>
            <w:tcW w:w="4880" w:type="dxa"/>
            <w:tcBorders>
              <w:top w:val="nil"/>
              <w:left w:val="nil"/>
              <w:bottom w:val="single" w:sz="4" w:space="0" w:color="auto"/>
              <w:right w:val="single" w:sz="4" w:space="0" w:color="auto"/>
            </w:tcBorders>
            <w:shd w:val="clear" w:color="auto" w:fill="auto"/>
            <w:noWrap/>
            <w:vAlign w:val="bottom"/>
            <w:hideMark/>
          </w:tcPr>
          <w:p w14:paraId="3765FB6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 xml:space="preserve">National Hearing Centres P/L </w:t>
            </w:r>
            <w:proofErr w:type="spellStart"/>
            <w:r w:rsidRPr="00E13FE5">
              <w:rPr>
                <w:rFonts w:eastAsia="Times New Roman"/>
                <w:color w:val="000000"/>
                <w:sz w:val="22"/>
                <w:szCs w:val="22"/>
                <w:lang w:eastAsia="en-AU"/>
              </w:rPr>
              <w:t>Atf</w:t>
            </w:r>
            <w:proofErr w:type="spellEnd"/>
            <w:r w:rsidRPr="00E13FE5">
              <w:rPr>
                <w:rFonts w:eastAsia="Times New Roman"/>
                <w:color w:val="000000"/>
                <w:sz w:val="22"/>
                <w:szCs w:val="22"/>
                <w:lang w:eastAsia="en-AU"/>
              </w:rPr>
              <w:t xml:space="preserve"> </w:t>
            </w:r>
            <w:proofErr w:type="spellStart"/>
            <w:r w:rsidRPr="00E13FE5">
              <w:rPr>
                <w:rFonts w:eastAsia="Times New Roman"/>
                <w:color w:val="000000"/>
                <w:sz w:val="22"/>
                <w:szCs w:val="22"/>
                <w:lang w:eastAsia="en-AU"/>
              </w:rPr>
              <w:t>Nhc</w:t>
            </w:r>
            <w:proofErr w:type="spellEnd"/>
            <w:r w:rsidRPr="00E13FE5">
              <w:rPr>
                <w:rFonts w:eastAsia="Times New Roman"/>
                <w:color w:val="000000"/>
                <w:sz w:val="22"/>
                <w:szCs w:val="22"/>
                <w:lang w:eastAsia="en-AU"/>
              </w:rPr>
              <w:t xml:space="preserve"> Unit Trust</w:t>
            </w:r>
          </w:p>
        </w:tc>
      </w:tr>
      <w:tr w:rsidR="005878E0" w:rsidRPr="003651F3" w14:paraId="436EF1F1"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12D30E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0DBAB12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Gilgandra</w:t>
            </w:r>
          </w:p>
        </w:tc>
        <w:tc>
          <w:tcPr>
            <w:tcW w:w="1055" w:type="dxa"/>
            <w:tcBorders>
              <w:top w:val="nil"/>
              <w:left w:val="nil"/>
              <w:bottom w:val="single" w:sz="4" w:space="0" w:color="auto"/>
              <w:right w:val="single" w:sz="4" w:space="0" w:color="auto"/>
            </w:tcBorders>
            <w:shd w:val="clear" w:color="auto" w:fill="auto"/>
            <w:noWrap/>
            <w:vAlign w:val="bottom"/>
            <w:hideMark/>
          </w:tcPr>
          <w:p w14:paraId="4E2B7385"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2827</w:t>
            </w:r>
          </w:p>
        </w:tc>
        <w:tc>
          <w:tcPr>
            <w:tcW w:w="1212" w:type="dxa"/>
            <w:tcBorders>
              <w:top w:val="nil"/>
              <w:left w:val="nil"/>
              <w:bottom w:val="single" w:sz="4" w:space="0" w:color="auto"/>
              <w:right w:val="single" w:sz="4" w:space="0" w:color="auto"/>
            </w:tcBorders>
            <w:shd w:val="clear" w:color="auto" w:fill="auto"/>
            <w:noWrap/>
            <w:vAlign w:val="bottom"/>
            <w:hideMark/>
          </w:tcPr>
          <w:p w14:paraId="73FB984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160E736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Graham Rathbone Pty Ltd</w:t>
            </w:r>
          </w:p>
        </w:tc>
      </w:tr>
      <w:tr w:rsidR="005878E0" w:rsidRPr="003651F3" w14:paraId="5939EFC9"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244801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68F3E95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Quirindi</w:t>
            </w:r>
          </w:p>
        </w:tc>
        <w:tc>
          <w:tcPr>
            <w:tcW w:w="1055" w:type="dxa"/>
            <w:tcBorders>
              <w:top w:val="nil"/>
              <w:left w:val="nil"/>
              <w:bottom w:val="single" w:sz="4" w:space="0" w:color="auto"/>
              <w:right w:val="single" w:sz="4" w:space="0" w:color="auto"/>
            </w:tcBorders>
            <w:shd w:val="clear" w:color="auto" w:fill="auto"/>
            <w:noWrap/>
            <w:vAlign w:val="bottom"/>
            <w:hideMark/>
          </w:tcPr>
          <w:p w14:paraId="704CBF9E"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2343</w:t>
            </w:r>
          </w:p>
        </w:tc>
        <w:tc>
          <w:tcPr>
            <w:tcW w:w="1212" w:type="dxa"/>
            <w:tcBorders>
              <w:top w:val="nil"/>
              <w:left w:val="nil"/>
              <w:bottom w:val="single" w:sz="4" w:space="0" w:color="auto"/>
              <w:right w:val="single" w:sz="4" w:space="0" w:color="auto"/>
            </w:tcBorders>
            <w:shd w:val="clear" w:color="auto" w:fill="auto"/>
            <w:noWrap/>
            <w:vAlign w:val="bottom"/>
            <w:hideMark/>
          </w:tcPr>
          <w:p w14:paraId="4B6015F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4038AC62"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Audika</w:t>
            </w:r>
            <w:proofErr w:type="spellEnd"/>
            <w:r w:rsidRPr="00E13FE5">
              <w:rPr>
                <w:rFonts w:eastAsia="Times New Roman"/>
                <w:color w:val="000000"/>
                <w:sz w:val="22"/>
                <w:szCs w:val="22"/>
                <w:lang w:eastAsia="en-AU"/>
              </w:rPr>
              <w:t xml:space="preserve"> Australia Pty Ltd</w:t>
            </w:r>
          </w:p>
        </w:tc>
      </w:tr>
      <w:tr w:rsidR="005878E0" w:rsidRPr="003651F3" w14:paraId="75EC1FB9"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EB0D71A"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0138B53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Walcha</w:t>
            </w:r>
          </w:p>
        </w:tc>
        <w:tc>
          <w:tcPr>
            <w:tcW w:w="1055" w:type="dxa"/>
            <w:tcBorders>
              <w:top w:val="nil"/>
              <w:left w:val="nil"/>
              <w:bottom w:val="single" w:sz="4" w:space="0" w:color="auto"/>
              <w:right w:val="single" w:sz="4" w:space="0" w:color="auto"/>
            </w:tcBorders>
            <w:shd w:val="clear" w:color="auto" w:fill="auto"/>
            <w:noWrap/>
            <w:vAlign w:val="bottom"/>
            <w:hideMark/>
          </w:tcPr>
          <w:p w14:paraId="778C1434"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2354</w:t>
            </w:r>
          </w:p>
        </w:tc>
        <w:tc>
          <w:tcPr>
            <w:tcW w:w="1212" w:type="dxa"/>
            <w:tcBorders>
              <w:top w:val="nil"/>
              <w:left w:val="nil"/>
              <w:bottom w:val="single" w:sz="4" w:space="0" w:color="auto"/>
              <w:right w:val="single" w:sz="4" w:space="0" w:color="auto"/>
            </w:tcBorders>
            <w:shd w:val="clear" w:color="auto" w:fill="auto"/>
            <w:noWrap/>
            <w:vAlign w:val="bottom"/>
            <w:hideMark/>
          </w:tcPr>
          <w:p w14:paraId="53F0155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3C6E7E3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Sharon King Hearing Centres Pty Ltd</w:t>
            </w:r>
          </w:p>
        </w:tc>
      </w:tr>
      <w:tr w:rsidR="005878E0" w:rsidRPr="003651F3" w14:paraId="03923179"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E89FB0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NSW</w:t>
            </w:r>
          </w:p>
        </w:tc>
        <w:tc>
          <w:tcPr>
            <w:tcW w:w="1571" w:type="dxa"/>
            <w:tcBorders>
              <w:top w:val="nil"/>
              <w:left w:val="nil"/>
              <w:bottom w:val="single" w:sz="4" w:space="0" w:color="auto"/>
              <w:right w:val="single" w:sz="4" w:space="0" w:color="auto"/>
            </w:tcBorders>
            <w:shd w:val="clear" w:color="auto" w:fill="auto"/>
            <w:noWrap/>
            <w:vAlign w:val="bottom"/>
            <w:hideMark/>
          </w:tcPr>
          <w:p w14:paraId="0E715C3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Warialda</w:t>
            </w:r>
          </w:p>
        </w:tc>
        <w:tc>
          <w:tcPr>
            <w:tcW w:w="1055" w:type="dxa"/>
            <w:tcBorders>
              <w:top w:val="nil"/>
              <w:left w:val="nil"/>
              <w:bottom w:val="single" w:sz="4" w:space="0" w:color="auto"/>
              <w:right w:val="single" w:sz="4" w:space="0" w:color="auto"/>
            </w:tcBorders>
            <w:shd w:val="clear" w:color="auto" w:fill="auto"/>
            <w:noWrap/>
            <w:vAlign w:val="bottom"/>
            <w:hideMark/>
          </w:tcPr>
          <w:p w14:paraId="2DEBAE3B"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2402</w:t>
            </w:r>
          </w:p>
        </w:tc>
        <w:tc>
          <w:tcPr>
            <w:tcW w:w="1212" w:type="dxa"/>
            <w:tcBorders>
              <w:top w:val="nil"/>
              <w:left w:val="nil"/>
              <w:bottom w:val="single" w:sz="4" w:space="0" w:color="auto"/>
              <w:right w:val="single" w:sz="4" w:space="0" w:color="auto"/>
            </w:tcBorders>
            <w:shd w:val="clear" w:color="auto" w:fill="auto"/>
            <w:noWrap/>
            <w:vAlign w:val="bottom"/>
            <w:hideMark/>
          </w:tcPr>
          <w:p w14:paraId="4587D7C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076D34E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Sharon King Hearing Centres Pty Ltd</w:t>
            </w:r>
          </w:p>
        </w:tc>
      </w:tr>
      <w:tr w:rsidR="005878E0" w:rsidRPr="003651F3" w14:paraId="01E4370B"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A8095F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NT</w:t>
            </w:r>
          </w:p>
        </w:tc>
        <w:tc>
          <w:tcPr>
            <w:tcW w:w="1571" w:type="dxa"/>
            <w:tcBorders>
              <w:top w:val="nil"/>
              <w:left w:val="nil"/>
              <w:bottom w:val="single" w:sz="4" w:space="0" w:color="auto"/>
              <w:right w:val="single" w:sz="4" w:space="0" w:color="auto"/>
            </w:tcBorders>
            <w:shd w:val="clear" w:color="auto" w:fill="auto"/>
            <w:noWrap/>
            <w:vAlign w:val="bottom"/>
            <w:hideMark/>
          </w:tcPr>
          <w:p w14:paraId="52072377"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Alice Springs</w:t>
            </w:r>
          </w:p>
        </w:tc>
        <w:tc>
          <w:tcPr>
            <w:tcW w:w="1055" w:type="dxa"/>
            <w:tcBorders>
              <w:top w:val="nil"/>
              <w:left w:val="nil"/>
              <w:bottom w:val="single" w:sz="4" w:space="0" w:color="auto"/>
              <w:right w:val="single" w:sz="4" w:space="0" w:color="auto"/>
            </w:tcBorders>
            <w:shd w:val="clear" w:color="auto" w:fill="auto"/>
            <w:noWrap/>
            <w:vAlign w:val="bottom"/>
            <w:hideMark/>
          </w:tcPr>
          <w:p w14:paraId="76E85F2C"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0870</w:t>
            </w:r>
          </w:p>
        </w:tc>
        <w:tc>
          <w:tcPr>
            <w:tcW w:w="1212" w:type="dxa"/>
            <w:tcBorders>
              <w:top w:val="nil"/>
              <w:left w:val="nil"/>
              <w:bottom w:val="single" w:sz="4" w:space="0" w:color="auto"/>
              <w:right w:val="single" w:sz="4" w:space="0" w:color="auto"/>
            </w:tcBorders>
            <w:shd w:val="clear" w:color="auto" w:fill="auto"/>
            <w:noWrap/>
            <w:vAlign w:val="bottom"/>
            <w:hideMark/>
          </w:tcPr>
          <w:p w14:paraId="4B981E1C"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Permanent</w:t>
            </w:r>
          </w:p>
        </w:tc>
        <w:tc>
          <w:tcPr>
            <w:tcW w:w="4880" w:type="dxa"/>
            <w:tcBorders>
              <w:top w:val="nil"/>
              <w:left w:val="nil"/>
              <w:bottom w:val="single" w:sz="4" w:space="0" w:color="auto"/>
              <w:right w:val="single" w:sz="4" w:space="0" w:color="auto"/>
            </w:tcBorders>
            <w:shd w:val="clear" w:color="auto" w:fill="auto"/>
            <w:noWrap/>
            <w:vAlign w:val="bottom"/>
            <w:hideMark/>
          </w:tcPr>
          <w:p w14:paraId="25C7ED3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Desert Ear Pty Ltd</w:t>
            </w:r>
          </w:p>
        </w:tc>
      </w:tr>
      <w:tr w:rsidR="005878E0" w:rsidRPr="003651F3" w14:paraId="541EE7D2"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B204F3A"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NT</w:t>
            </w:r>
          </w:p>
        </w:tc>
        <w:tc>
          <w:tcPr>
            <w:tcW w:w="1571" w:type="dxa"/>
            <w:tcBorders>
              <w:top w:val="nil"/>
              <w:left w:val="nil"/>
              <w:bottom w:val="single" w:sz="4" w:space="0" w:color="auto"/>
              <w:right w:val="single" w:sz="4" w:space="0" w:color="auto"/>
            </w:tcBorders>
            <w:shd w:val="clear" w:color="auto" w:fill="auto"/>
            <w:noWrap/>
            <w:vAlign w:val="bottom"/>
            <w:hideMark/>
          </w:tcPr>
          <w:p w14:paraId="118C40B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Katherine</w:t>
            </w:r>
          </w:p>
        </w:tc>
        <w:tc>
          <w:tcPr>
            <w:tcW w:w="1055" w:type="dxa"/>
            <w:tcBorders>
              <w:top w:val="nil"/>
              <w:left w:val="nil"/>
              <w:bottom w:val="single" w:sz="4" w:space="0" w:color="auto"/>
              <w:right w:val="single" w:sz="4" w:space="0" w:color="auto"/>
            </w:tcBorders>
            <w:shd w:val="clear" w:color="auto" w:fill="auto"/>
            <w:noWrap/>
            <w:vAlign w:val="bottom"/>
            <w:hideMark/>
          </w:tcPr>
          <w:p w14:paraId="4C9A5789"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0850</w:t>
            </w:r>
          </w:p>
        </w:tc>
        <w:tc>
          <w:tcPr>
            <w:tcW w:w="1212" w:type="dxa"/>
            <w:tcBorders>
              <w:top w:val="nil"/>
              <w:left w:val="nil"/>
              <w:bottom w:val="single" w:sz="4" w:space="0" w:color="auto"/>
              <w:right w:val="single" w:sz="4" w:space="0" w:color="auto"/>
            </w:tcBorders>
            <w:shd w:val="clear" w:color="auto" w:fill="auto"/>
            <w:noWrap/>
            <w:vAlign w:val="bottom"/>
            <w:hideMark/>
          </w:tcPr>
          <w:p w14:paraId="581CF41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Permanent</w:t>
            </w:r>
          </w:p>
        </w:tc>
        <w:tc>
          <w:tcPr>
            <w:tcW w:w="4880" w:type="dxa"/>
            <w:tcBorders>
              <w:top w:val="nil"/>
              <w:left w:val="nil"/>
              <w:bottom w:val="single" w:sz="4" w:space="0" w:color="auto"/>
              <w:right w:val="single" w:sz="4" w:space="0" w:color="auto"/>
            </w:tcBorders>
            <w:shd w:val="clear" w:color="auto" w:fill="auto"/>
            <w:noWrap/>
            <w:vAlign w:val="bottom"/>
            <w:hideMark/>
          </w:tcPr>
          <w:p w14:paraId="69CC0D1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 xml:space="preserve">National Hearing Centres P/L </w:t>
            </w:r>
            <w:proofErr w:type="spellStart"/>
            <w:r w:rsidRPr="00E13FE5">
              <w:rPr>
                <w:rFonts w:eastAsia="Times New Roman"/>
                <w:color w:val="000000"/>
                <w:sz w:val="22"/>
                <w:szCs w:val="22"/>
                <w:lang w:eastAsia="en-AU"/>
              </w:rPr>
              <w:t>Atf</w:t>
            </w:r>
            <w:proofErr w:type="spellEnd"/>
            <w:r w:rsidRPr="00E13FE5">
              <w:rPr>
                <w:rFonts w:eastAsia="Times New Roman"/>
                <w:color w:val="000000"/>
                <w:sz w:val="22"/>
                <w:szCs w:val="22"/>
                <w:lang w:eastAsia="en-AU"/>
              </w:rPr>
              <w:t xml:space="preserve"> </w:t>
            </w:r>
            <w:proofErr w:type="spellStart"/>
            <w:r w:rsidRPr="00E13FE5">
              <w:rPr>
                <w:rFonts w:eastAsia="Times New Roman"/>
                <w:color w:val="000000"/>
                <w:sz w:val="22"/>
                <w:szCs w:val="22"/>
                <w:lang w:eastAsia="en-AU"/>
              </w:rPr>
              <w:t>Nhc</w:t>
            </w:r>
            <w:proofErr w:type="spellEnd"/>
            <w:r w:rsidRPr="00E13FE5">
              <w:rPr>
                <w:rFonts w:eastAsia="Times New Roman"/>
                <w:color w:val="000000"/>
                <w:sz w:val="22"/>
                <w:szCs w:val="22"/>
                <w:lang w:eastAsia="en-AU"/>
              </w:rPr>
              <w:t xml:space="preserve"> Unit Trust</w:t>
            </w:r>
          </w:p>
        </w:tc>
      </w:tr>
      <w:tr w:rsidR="005878E0" w:rsidRPr="003651F3" w14:paraId="2A46ED95"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0B0538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478165F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Barcaldine</w:t>
            </w:r>
          </w:p>
        </w:tc>
        <w:tc>
          <w:tcPr>
            <w:tcW w:w="1055" w:type="dxa"/>
            <w:tcBorders>
              <w:top w:val="nil"/>
              <w:left w:val="nil"/>
              <w:bottom w:val="single" w:sz="4" w:space="0" w:color="auto"/>
              <w:right w:val="single" w:sz="4" w:space="0" w:color="auto"/>
            </w:tcBorders>
            <w:shd w:val="clear" w:color="auto" w:fill="auto"/>
            <w:noWrap/>
            <w:vAlign w:val="bottom"/>
            <w:hideMark/>
          </w:tcPr>
          <w:p w14:paraId="4A329618"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4725</w:t>
            </w:r>
          </w:p>
        </w:tc>
        <w:tc>
          <w:tcPr>
            <w:tcW w:w="1212" w:type="dxa"/>
            <w:tcBorders>
              <w:top w:val="nil"/>
              <w:left w:val="nil"/>
              <w:bottom w:val="single" w:sz="4" w:space="0" w:color="auto"/>
              <w:right w:val="single" w:sz="4" w:space="0" w:color="auto"/>
            </w:tcBorders>
            <w:shd w:val="clear" w:color="auto" w:fill="auto"/>
            <w:noWrap/>
            <w:vAlign w:val="bottom"/>
            <w:hideMark/>
          </w:tcPr>
          <w:p w14:paraId="11B4E1E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634A08F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0AB21631"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E153EA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1011582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Charleville</w:t>
            </w:r>
          </w:p>
        </w:tc>
        <w:tc>
          <w:tcPr>
            <w:tcW w:w="1055" w:type="dxa"/>
            <w:tcBorders>
              <w:top w:val="nil"/>
              <w:left w:val="nil"/>
              <w:bottom w:val="single" w:sz="4" w:space="0" w:color="auto"/>
              <w:right w:val="single" w:sz="4" w:space="0" w:color="auto"/>
            </w:tcBorders>
            <w:shd w:val="clear" w:color="auto" w:fill="auto"/>
            <w:noWrap/>
            <w:vAlign w:val="bottom"/>
            <w:hideMark/>
          </w:tcPr>
          <w:p w14:paraId="046E73CF"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4470</w:t>
            </w:r>
          </w:p>
        </w:tc>
        <w:tc>
          <w:tcPr>
            <w:tcW w:w="1212" w:type="dxa"/>
            <w:tcBorders>
              <w:top w:val="nil"/>
              <w:left w:val="nil"/>
              <w:bottom w:val="single" w:sz="4" w:space="0" w:color="auto"/>
              <w:right w:val="single" w:sz="4" w:space="0" w:color="auto"/>
            </w:tcBorders>
            <w:shd w:val="clear" w:color="auto" w:fill="auto"/>
            <w:noWrap/>
            <w:vAlign w:val="bottom"/>
            <w:hideMark/>
          </w:tcPr>
          <w:p w14:paraId="1C5D77C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48CA0F1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073567DD"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D09FCB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332FD03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Collinsville</w:t>
            </w:r>
          </w:p>
        </w:tc>
        <w:tc>
          <w:tcPr>
            <w:tcW w:w="1055" w:type="dxa"/>
            <w:tcBorders>
              <w:top w:val="nil"/>
              <w:left w:val="nil"/>
              <w:bottom w:val="single" w:sz="4" w:space="0" w:color="auto"/>
              <w:right w:val="single" w:sz="4" w:space="0" w:color="auto"/>
            </w:tcBorders>
            <w:shd w:val="clear" w:color="auto" w:fill="auto"/>
            <w:noWrap/>
            <w:vAlign w:val="bottom"/>
            <w:hideMark/>
          </w:tcPr>
          <w:p w14:paraId="4C52C323"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4804</w:t>
            </w:r>
          </w:p>
        </w:tc>
        <w:tc>
          <w:tcPr>
            <w:tcW w:w="1212" w:type="dxa"/>
            <w:tcBorders>
              <w:top w:val="nil"/>
              <w:left w:val="nil"/>
              <w:bottom w:val="single" w:sz="4" w:space="0" w:color="auto"/>
              <w:right w:val="single" w:sz="4" w:space="0" w:color="auto"/>
            </w:tcBorders>
            <w:shd w:val="clear" w:color="auto" w:fill="auto"/>
            <w:noWrap/>
            <w:vAlign w:val="bottom"/>
            <w:hideMark/>
          </w:tcPr>
          <w:p w14:paraId="1E14FFAA"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26A0F074"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73B83B42"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6DE34F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35A2E3F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Cunnamulla</w:t>
            </w:r>
          </w:p>
        </w:tc>
        <w:tc>
          <w:tcPr>
            <w:tcW w:w="1055" w:type="dxa"/>
            <w:tcBorders>
              <w:top w:val="nil"/>
              <w:left w:val="nil"/>
              <w:bottom w:val="single" w:sz="4" w:space="0" w:color="auto"/>
              <w:right w:val="single" w:sz="4" w:space="0" w:color="auto"/>
            </w:tcBorders>
            <w:shd w:val="clear" w:color="auto" w:fill="auto"/>
            <w:noWrap/>
            <w:vAlign w:val="bottom"/>
            <w:hideMark/>
          </w:tcPr>
          <w:p w14:paraId="4510345A"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4490</w:t>
            </w:r>
          </w:p>
        </w:tc>
        <w:tc>
          <w:tcPr>
            <w:tcW w:w="1212" w:type="dxa"/>
            <w:tcBorders>
              <w:top w:val="nil"/>
              <w:left w:val="nil"/>
              <w:bottom w:val="single" w:sz="4" w:space="0" w:color="auto"/>
              <w:right w:val="single" w:sz="4" w:space="0" w:color="auto"/>
            </w:tcBorders>
            <w:shd w:val="clear" w:color="auto" w:fill="auto"/>
            <w:noWrap/>
            <w:vAlign w:val="bottom"/>
            <w:hideMark/>
          </w:tcPr>
          <w:p w14:paraId="19B52E5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6BEE08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79D0031B"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DC6573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3D0D167A"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Hughenden</w:t>
            </w:r>
          </w:p>
        </w:tc>
        <w:tc>
          <w:tcPr>
            <w:tcW w:w="1055" w:type="dxa"/>
            <w:tcBorders>
              <w:top w:val="nil"/>
              <w:left w:val="nil"/>
              <w:bottom w:val="single" w:sz="4" w:space="0" w:color="auto"/>
              <w:right w:val="single" w:sz="4" w:space="0" w:color="auto"/>
            </w:tcBorders>
            <w:shd w:val="clear" w:color="auto" w:fill="auto"/>
            <w:noWrap/>
            <w:vAlign w:val="bottom"/>
            <w:hideMark/>
          </w:tcPr>
          <w:p w14:paraId="3A240808"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4821</w:t>
            </w:r>
          </w:p>
        </w:tc>
        <w:tc>
          <w:tcPr>
            <w:tcW w:w="1212" w:type="dxa"/>
            <w:tcBorders>
              <w:top w:val="nil"/>
              <w:left w:val="nil"/>
              <w:bottom w:val="single" w:sz="4" w:space="0" w:color="auto"/>
              <w:right w:val="single" w:sz="4" w:space="0" w:color="auto"/>
            </w:tcBorders>
            <w:shd w:val="clear" w:color="auto" w:fill="auto"/>
            <w:noWrap/>
            <w:vAlign w:val="bottom"/>
            <w:hideMark/>
          </w:tcPr>
          <w:p w14:paraId="1355003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3EF5E14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12870723"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3C142A5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6CA9AF2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Inglewood</w:t>
            </w:r>
          </w:p>
        </w:tc>
        <w:tc>
          <w:tcPr>
            <w:tcW w:w="1055" w:type="dxa"/>
            <w:tcBorders>
              <w:top w:val="nil"/>
              <w:left w:val="nil"/>
              <w:bottom w:val="single" w:sz="4" w:space="0" w:color="auto"/>
              <w:right w:val="single" w:sz="4" w:space="0" w:color="auto"/>
            </w:tcBorders>
            <w:shd w:val="clear" w:color="auto" w:fill="auto"/>
            <w:noWrap/>
            <w:vAlign w:val="bottom"/>
            <w:hideMark/>
          </w:tcPr>
          <w:p w14:paraId="44B1AA63"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4387</w:t>
            </w:r>
          </w:p>
        </w:tc>
        <w:tc>
          <w:tcPr>
            <w:tcW w:w="1212" w:type="dxa"/>
            <w:tcBorders>
              <w:top w:val="nil"/>
              <w:left w:val="nil"/>
              <w:bottom w:val="single" w:sz="4" w:space="0" w:color="auto"/>
              <w:right w:val="single" w:sz="4" w:space="0" w:color="auto"/>
            </w:tcBorders>
            <w:shd w:val="clear" w:color="auto" w:fill="auto"/>
            <w:noWrap/>
            <w:vAlign w:val="bottom"/>
            <w:hideMark/>
          </w:tcPr>
          <w:p w14:paraId="6EE2606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7D99DB82"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Kendan</w:t>
            </w:r>
            <w:proofErr w:type="spellEnd"/>
            <w:r w:rsidRPr="00E13FE5">
              <w:rPr>
                <w:rFonts w:eastAsia="Times New Roman"/>
                <w:color w:val="000000"/>
                <w:sz w:val="22"/>
                <w:szCs w:val="22"/>
                <w:lang w:eastAsia="en-AU"/>
              </w:rPr>
              <w:t xml:space="preserve"> Pty Ltd</w:t>
            </w:r>
          </w:p>
        </w:tc>
      </w:tr>
      <w:tr w:rsidR="005878E0" w:rsidRPr="003651F3" w14:paraId="6777A919"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129756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0E899FE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Longreach</w:t>
            </w:r>
          </w:p>
        </w:tc>
        <w:tc>
          <w:tcPr>
            <w:tcW w:w="1055" w:type="dxa"/>
            <w:tcBorders>
              <w:top w:val="nil"/>
              <w:left w:val="nil"/>
              <w:bottom w:val="single" w:sz="4" w:space="0" w:color="auto"/>
              <w:right w:val="single" w:sz="4" w:space="0" w:color="auto"/>
            </w:tcBorders>
            <w:shd w:val="clear" w:color="auto" w:fill="auto"/>
            <w:noWrap/>
            <w:vAlign w:val="bottom"/>
            <w:hideMark/>
          </w:tcPr>
          <w:p w14:paraId="50C900B8"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4730</w:t>
            </w:r>
          </w:p>
        </w:tc>
        <w:tc>
          <w:tcPr>
            <w:tcW w:w="1212" w:type="dxa"/>
            <w:tcBorders>
              <w:top w:val="nil"/>
              <w:left w:val="nil"/>
              <w:bottom w:val="single" w:sz="4" w:space="0" w:color="auto"/>
              <w:right w:val="single" w:sz="4" w:space="0" w:color="auto"/>
            </w:tcBorders>
            <w:shd w:val="clear" w:color="auto" w:fill="auto"/>
            <w:noWrap/>
            <w:vAlign w:val="bottom"/>
            <w:hideMark/>
          </w:tcPr>
          <w:p w14:paraId="4A2D607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49DABC5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5F00756F"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49F01F7"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131B516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Mitchell</w:t>
            </w:r>
          </w:p>
        </w:tc>
        <w:tc>
          <w:tcPr>
            <w:tcW w:w="1055" w:type="dxa"/>
            <w:tcBorders>
              <w:top w:val="nil"/>
              <w:left w:val="nil"/>
              <w:bottom w:val="single" w:sz="4" w:space="0" w:color="auto"/>
              <w:right w:val="single" w:sz="4" w:space="0" w:color="auto"/>
            </w:tcBorders>
            <w:shd w:val="clear" w:color="auto" w:fill="auto"/>
            <w:noWrap/>
            <w:vAlign w:val="bottom"/>
            <w:hideMark/>
          </w:tcPr>
          <w:p w14:paraId="1A0F7D45"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4465</w:t>
            </w:r>
          </w:p>
        </w:tc>
        <w:tc>
          <w:tcPr>
            <w:tcW w:w="1212" w:type="dxa"/>
            <w:tcBorders>
              <w:top w:val="nil"/>
              <w:left w:val="nil"/>
              <w:bottom w:val="single" w:sz="4" w:space="0" w:color="auto"/>
              <w:right w:val="single" w:sz="4" w:space="0" w:color="auto"/>
            </w:tcBorders>
            <w:shd w:val="clear" w:color="auto" w:fill="auto"/>
            <w:noWrap/>
            <w:vAlign w:val="bottom"/>
            <w:hideMark/>
          </w:tcPr>
          <w:p w14:paraId="5F457C2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07B8FE4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6443F1AA"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FA61CA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12A54F9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Mundubbera</w:t>
            </w:r>
          </w:p>
        </w:tc>
        <w:tc>
          <w:tcPr>
            <w:tcW w:w="1055" w:type="dxa"/>
            <w:tcBorders>
              <w:top w:val="nil"/>
              <w:left w:val="nil"/>
              <w:bottom w:val="single" w:sz="4" w:space="0" w:color="auto"/>
              <w:right w:val="single" w:sz="4" w:space="0" w:color="auto"/>
            </w:tcBorders>
            <w:shd w:val="clear" w:color="auto" w:fill="auto"/>
            <w:noWrap/>
            <w:vAlign w:val="bottom"/>
            <w:hideMark/>
          </w:tcPr>
          <w:p w14:paraId="6AEC0EED"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4626</w:t>
            </w:r>
          </w:p>
        </w:tc>
        <w:tc>
          <w:tcPr>
            <w:tcW w:w="1212" w:type="dxa"/>
            <w:tcBorders>
              <w:top w:val="nil"/>
              <w:left w:val="nil"/>
              <w:bottom w:val="single" w:sz="4" w:space="0" w:color="auto"/>
              <w:right w:val="single" w:sz="4" w:space="0" w:color="auto"/>
            </w:tcBorders>
            <w:shd w:val="clear" w:color="auto" w:fill="auto"/>
            <w:noWrap/>
            <w:vAlign w:val="bottom"/>
            <w:hideMark/>
          </w:tcPr>
          <w:p w14:paraId="7D059294"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9D53AF7"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Bay Audio Pty Ltd</w:t>
            </w:r>
          </w:p>
        </w:tc>
      </w:tr>
      <w:tr w:rsidR="005878E0" w:rsidRPr="003651F3" w14:paraId="6E3B11FA"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D9B021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5EAC057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Quilpie</w:t>
            </w:r>
          </w:p>
        </w:tc>
        <w:tc>
          <w:tcPr>
            <w:tcW w:w="1055" w:type="dxa"/>
            <w:tcBorders>
              <w:top w:val="nil"/>
              <w:left w:val="nil"/>
              <w:bottom w:val="single" w:sz="4" w:space="0" w:color="auto"/>
              <w:right w:val="single" w:sz="4" w:space="0" w:color="auto"/>
            </w:tcBorders>
            <w:shd w:val="clear" w:color="auto" w:fill="auto"/>
            <w:noWrap/>
            <w:vAlign w:val="bottom"/>
            <w:hideMark/>
          </w:tcPr>
          <w:p w14:paraId="0859BF22"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4480</w:t>
            </w:r>
          </w:p>
        </w:tc>
        <w:tc>
          <w:tcPr>
            <w:tcW w:w="1212" w:type="dxa"/>
            <w:tcBorders>
              <w:top w:val="nil"/>
              <w:left w:val="nil"/>
              <w:bottom w:val="single" w:sz="4" w:space="0" w:color="auto"/>
              <w:right w:val="single" w:sz="4" w:space="0" w:color="auto"/>
            </w:tcBorders>
            <w:shd w:val="clear" w:color="auto" w:fill="auto"/>
            <w:noWrap/>
            <w:vAlign w:val="bottom"/>
            <w:hideMark/>
          </w:tcPr>
          <w:p w14:paraId="7606313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669B488C"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65795088"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B2D8BF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4D5F9584"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Richmond</w:t>
            </w:r>
          </w:p>
        </w:tc>
        <w:tc>
          <w:tcPr>
            <w:tcW w:w="1055" w:type="dxa"/>
            <w:tcBorders>
              <w:top w:val="nil"/>
              <w:left w:val="nil"/>
              <w:bottom w:val="single" w:sz="4" w:space="0" w:color="auto"/>
              <w:right w:val="single" w:sz="4" w:space="0" w:color="auto"/>
            </w:tcBorders>
            <w:shd w:val="clear" w:color="auto" w:fill="auto"/>
            <w:noWrap/>
            <w:vAlign w:val="bottom"/>
            <w:hideMark/>
          </w:tcPr>
          <w:p w14:paraId="66F7BC7F"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4822</w:t>
            </w:r>
          </w:p>
        </w:tc>
        <w:tc>
          <w:tcPr>
            <w:tcW w:w="1212" w:type="dxa"/>
            <w:tcBorders>
              <w:top w:val="nil"/>
              <w:left w:val="nil"/>
              <w:bottom w:val="single" w:sz="4" w:space="0" w:color="auto"/>
              <w:right w:val="single" w:sz="4" w:space="0" w:color="auto"/>
            </w:tcBorders>
            <w:shd w:val="clear" w:color="auto" w:fill="auto"/>
            <w:noWrap/>
            <w:vAlign w:val="bottom"/>
            <w:hideMark/>
          </w:tcPr>
          <w:p w14:paraId="4907424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36869E7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7D338244"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A13586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53346ACC"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Roma</w:t>
            </w:r>
          </w:p>
        </w:tc>
        <w:tc>
          <w:tcPr>
            <w:tcW w:w="1055" w:type="dxa"/>
            <w:tcBorders>
              <w:top w:val="nil"/>
              <w:left w:val="nil"/>
              <w:bottom w:val="single" w:sz="4" w:space="0" w:color="auto"/>
              <w:right w:val="single" w:sz="4" w:space="0" w:color="auto"/>
            </w:tcBorders>
            <w:shd w:val="clear" w:color="auto" w:fill="auto"/>
            <w:noWrap/>
            <w:vAlign w:val="bottom"/>
            <w:hideMark/>
          </w:tcPr>
          <w:p w14:paraId="1CF1F13F"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4455</w:t>
            </w:r>
          </w:p>
        </w:tc>
        <w:tc>
          <w:tcPr>
            <w:tcW w:w="1212" w:type="dxa"/>
            <w:tcBorders>
              <w:top w:val="nil"/>
              <w:left w:val="nil"/>
              <w:bottom w:val="single" w:sz="4" w:space="0" w:color="auto"/>
              <w:right w:val="single" w:sz="4" w:space="0" w:color="auto"/>
            </w:tcBorders>
            <w:shd w:val="clear" w:color="auto" w:fill="auto"/>
            <w:noWrap/>
            <w:vAlign w:val="bottom"/>
            <w:hideMark/>
          </w:tcPr>
          <w:p w14:paraId="08C0CF4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67DBFAD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Clarity Hearing Solutions Pty Ltd</w:t>
            </w:r>
          </w:p>
        </w:tc>
      </w:tr>
      <w:tr w:rsidR="005878E0" w:rsidRPr="003651F3" w14:paraId="70A3A87C"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3C195B5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33D132E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St George</w:t>
            </w:r>
          </w:p>
        </w:tc>
        <w:tc>
          <w:tcPr>
            <w:tcW w:w="1055" w:type="dxa"/>
            <w:tcBorders>
              <w:top w:val="nil"/>
              <w:left w:val="nil"/>
              <w:bottom w:val="single" w:sz="4" w:space="0" w:color="auto"/>
              <w:right w:val="single" w:sz="4" w:space="0" w:color="auto"/>
            </w:tcBorders>
            <w:shd w:val="clear" w:color="auto" w:fill="auto"/>
            <w:noWrap/>
            <w:vAlign w:val="bottom"/>
            <w:hideMark/>
          </w:tcPr>
          <w:p w14:paraId="7B9B9BA4"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4487</w:t>
            </w:r>
          </w:p>
        </w:tc>
        <w:tc>
          <w:tcPr>
            <w:tcW w:w="1212" w:type="dxa"/>
            <w:tcBorders>
              <w:top w:val="nil"/>
              <w:left w:val="nil"/>
              <w:bottom w:val="single" w:sz="4" w:space="0" w:color="auto"/>
              <w:right w:val="single" w:sz="4" w:space="0" w:color="auto"/>
            </w:tcBorders>
            <w:shd w:val="clear" w:color="auto" w:fill="auto"/>
            <w:noWrap/>
            <w:vAlign w:val="bottom"/>
            <w:hideMark/>
          </w:tcPr>
          <w:p w14:paraId="1BAED1D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1CB541A2"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Kendan</w:t>
            </w:r>
            <w:proofErr w:type="spellEnd"/>
            <w:r w:rsidRPr="00E13FE5">
              <w:rPr>
                <w:rFonts w:eastAsia="Times New Roman"/>
                <w:color w:val="000000"/>
                <w:sz w:val="22"/>
                <w:szCs w:val="22"/>
                <w:lang w:eastAsia="en-AU"/>
              </w:rPr>
              <w:t xml:space="preserve"> Pty Ltd</w:t>
            </w:r>
          </w:p>
        </w:tc>
      </w:tr>
      <w:tr w:rsidR="005878E0" w:rsidRPr="003651F3" w14:paraId="4598AA0F"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183859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QLD</w:t>
            </w:r>
          </w:p>
        </w:tc>
        <w:tc>
          <w:tcPr>
            <w:tcW w:w="1571" w:type="dxa"/>
            <w:tcBorders>
              <w:top w:val="nil"/>
              <w:left w:val="nil"/>
              <w:bottom w:val="single" w:sz="4" w:space="0" w:color="auto"/>
              <w:right w:val="single" w:sz="4" w:space="0" w:color="auto"/>
            </w:tcBorders>
            <w:shd w:val="clear" w:color="auto" w:fill="auto"/>
            <w:noWrap/>
            <w:vAlign w:val="bottom"/>
            <w:hideMark/>
          </w:tcPr>
          <w:p w14:paraId="3DA81AD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Theodore</w:t>
            </w:r>
          </w:p>
        </w:tc>
        <w:tc>
          <w:tcPr>
            <w:tcW w:w="1055" w:type="dxa"/>
            <w:tcBorders>
              <w:top w:val="nil"/>
              <w:left w:val="nil"/>
              <w:bottom w:val="single" w:sz="4" w:space="0" w:color="auto"/>
              <w:right w:val="single" w:sz="4" w:space="0" w:color="auto"/>
            </w:tcBorders>
            <w:shd w:val="clear" w:color="auto" w:fill="auto"/>
            <w:noWrap/>
            <w:vAlign w:val="bottom"/>
            <w:hideMark/>
          </w:tcPr>
          <w:p w14:paraId="751B6E8B"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4719</w:t>
            </w:r>
          </w:p>
        </w:tc>
        <w:tc>
          <w:tcPr>
            <w:tcW w:w="1212" w:type="dxa"/>
            <w:tcBorders>
              <w:top w:val="nil"/>
              <w:left w:val="nil"/>
              <w:bottom w:val="single" w:sz="4" w:space="0" w:color="auto"/>
              <w:right w:val="single" w:sz="4" w:space="0" w:color="auto"/>
            </w:tcBorders>
            <w:shd w:val="clear" w:color="auto" w:fill="auto"/>
            <w:noWrap/>
            <w:vAlign w:val="bottom"/>
            <w:hideMark/>
          </w:tcPr>
          <w:p w14:paraId="386CB7A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3DCEE7A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799BF345"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0CC0DF7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SA</w:t>
            </w:r>
          </w:p>
        </w:tc>
        <w:tc>
          <w:tcPr>
            <w:tcW w:w="1571" w:type="dxa"/>
            <w:tcBorders>
              <w:top w:val="nil"/>
              <w:left w:val="nil"/>
              <w:bottom w:val="single" w:sz="4" w:space="0" w:color="auto"/>
              <w:right w:val="single" w:sz="4" w:space="0" w:color="auto"/>
            </w:tcBorders>
            <w:shd w:val="clear" w:color="auto" w:fill="auto"/>
            <w:noWrap/>
            <w:vAlign w:val="bottom"/>
            <w:hideMark/>
          </w:tcPr>
          <w:p w14:paraId="5E4A705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Ceduna</w:t>
            </w:r>
          </w:p>
        </w:tc>
        <w:tc>
          <w:tcPr>
            <w:tcW w:w="1055" w:type="dxa"/>
            <w:tcBorders>
              <w:top w:val="nil"/>
              <w:left w:val="nil"/>
              <w:bottom w:val="single" w:sz="4" w:space="0" w:color="auto"/>
              <w:right w:val="single" w:sz="4" w:space="0" w:color="auto"/>
            </w:tcBorders>
            <w:shd w:val="clear" w:color="auto" w:fill="auto"/>
            <w:noWrap/>
            <w:vAlign w:val="bottom"/>
            <w:hideMark/>
          </w:tcPr>
          <w:p w14:paraId="68C385DA"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5690</w:t>
            </w:r>
          </w:p>
        </w:tc>
        <w:tc>
          <w:tcPr>
            <w:tcW w:w="1212" w:type="dxa"/>
            <w:tcBorders>
              <w:top w:val="nil"/>
              <w:left w:val="nil"/>
              <w:bottom w:val="single" w:sz="4" w:space="0" w:color="auto"/>
              <w:right w:val="single" w:sz="4" w:space="0" w:color="auto"/>
            </w:tcBorders>
            <w:shd w:val="clear" w:color="auto" w:fill="auto"/>
            <w:noWrap/>
            <w:vAlign w:val="bottom"/>
            <w:hideMark/>
          </w:tcPr>
          <w:p w14:paraId="2FF2DF67"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137138C7"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Hearing Matters Pty Ltd</w:t>
            </w:r>
          </w:p>
        </w:tc>
      </w:tr>
      <w:tr w:rsidR="005878E0" w:rsidRPr="003651F3" w14:paraId="69C55462"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ED09B1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SA</w:t>
            </w:r>
          </w:p>
        </w:tc>
        <w:tc>
          <w:tcPr>
            <w:tcW w:w="1571" w:type="dxa"/>
            <w:tcBorders>
              <w:top w:val="nil"/>
              <w:left w:val="nil"/>
              <w:bottom w:val="single" w:sz="4" w:space="0" w:color="auto"/>
              <w:right w:val="single" w:sz="4" w:space="0" w:color="auto"/>
            </w:tcBorders>
            <w:shd w:val="clear" w:color="auto" w:fill="auto"/>
            <w:noWrap/>
            <w:vAlign w:val="bottom"/>
            <w:hideMark/>
          </w:tcPr>
          <w:p w14:paraId="53DBD43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Cleve</w:t>
            </w:r>
          </w:p>
        </w:tc>
        <w:tc>
          <w:tcPr>
            <w:tcW w:w="1055" w:type="dxa"/>
            <w:tcBorders>
              <w:top w:val="nil"/>
              <w:left w:val="nil"/>
              <w:bottom w:val="single" w:sz="4" w:space="0" w:color="auto"/>
              <w:right w:val="single" w:sz="4" w:space="0" w:color="auto"/>
            </w:tcBorders>
            <w:shd w:val="clear" w:color="auto" w:fill="auto"/>
            <w:noWrap/>
            <w:vAlign w:val="bottom"/>
            <w:hideMark/>
          </w:tcPr>
          <w:p w14:paraId="336A4297"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5640</w:t>
            </w:r>
          </w:p>
        </w:tc>
        <w:tc>
          <w:tcPr>
            <w:tcW w:w="1212" w:type="dxa"/>
            <w:tcBorders>
              <w:top w:val="nil"/>
              <w:left w:val="nil"/>
              <w:bottom w:val="single" w:sz="4" w:space="0" w:color="auto"/>
              <w:right w:val="single" w:sz="4" w:space="0" w:color="auto"/>
            </w:tcBorders>
            <w:shd w:val="clear" w:color="auto" w:fill="auto"/>
            <w:noWrap/>
            <w:vAlign w:val="bottom"/>
            <w:hideMark/>
          </w:tcPr>
          <w:p w14:paraId="0E895C3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46A2ACA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7C723A5E"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24320C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SA</w:t>
            </w:r>
          </w:p>
        </w:tc>
        <w:tc>
          <w:tcPr>
            <w:tcW w:w="1571" w:type="dxa"/>
            <w:tcBorders>
              <w:top w:val="nil"/>
              <w:left w:val="nil"/>
              <w:bottom w:val="single" w:sz="4" w:space="0" w:color="auto"/>
              <w:right w:val="single" w:sz="4" w:space="0" w:color="auto"/>
            </w:tcBorders>
            <w:shd w:val="clear" w:color="auto" w:fill="auto"/>
            <w:noWrap/>
            <w:vAlign w:val="bottom"/>
            <w:hideMark/>
          </w:tcPr>
          <w:p w14:paraId="744D185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Cowell</w:t>
            </w:r>
          </w:p>
        </w:tc>
        <w:tc>
          <w:tcPr>
            <w:tcW w:w="1055" w:type="dxa"/>
            <w:tcBorders>
              <w:top w:val="nil"/>
              <w:left w:val="nil"/>
              <w:bottom w:val="single" w:sz="4" w:space="0" w:color="auto"/>
              <w:right w:val="single" w:sz="4" w:space="0" w:color="auto"/>
            </w:tcBorders>
            <w:shd w:val="clear" w:color="auto" w:fill="auto"/>
            <w:noWrap/>
            <w:vAlign w:val="bottom"/>
            <w:hideMark/>
          </w:tcPr>
          <w:p w14:paraId="4CAC3F63"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5602</w:t>
            </w:r>
          </w:p>
        </w:tc>
        <w:tc>
          <w:tcPr>
            <w:tcW w:w="1212" w:type="dxa"/>
            <w:tcBorders>
              <w:top w:val="nil"/>
              <w:left w:val="nil"/>
              <w:bottom w:val="single" w:sz="4" w:space="0" w:color="auto"/>
              <w:right w:val="single" w:sz="4" w:space="0" w:color="auto"/>
            </w:tcBorders>
            <w:shd w:val="clear" w:color="auto" w:fill="auto"/>
            <w:noWrap/>
            <w:vAlign w:val="bottom"/>
            <w:hideMark/>
          </w:tcPr>
          <w:p w14:paraId="07089B3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7036AC0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09968B9D"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536206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SA</w:t>
            </w:r>
          </w:p>
        </w:tc>
        <w:tc>
          <w:tcPr>
            <w:tcW w:w="1571" w:type="dxa"/>
            <w:tcBorders>
              <w:top w:val="nil"/>
              <w:left w:val="nil"/>
              <w:bottom w:val="single" w:sz="4" w:space="0" w:color="auto"/>
              <w:right w:val="single" w:sz="4" w:space="0" w:color="auto"/>
            </w:tcBorders>
            <w:shd w:val="clear" w:color="auto" w:fill="auto"/>
            <w:noWrap/>
            <w:vAlign w:val="bottom"/>
            <w:hideMark/>
          </w:tcPr>
          <w:p w14:paraId="48862427"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Elliston</w:t>
            </w:r>
          </w:p>
        </w:tc>
        <w:tc>
          <w:tcPr>
            <w:tcW w:w="1055" w:type="dxa"/>
            <w:tcBorders>
              <w:top w:val="nil"/>
              <w:left w:val="nil"/>
              <w:bottom w:val="single" w:sz="4" w:space="0" w:color="auto"/>
              <w:right w:val="single" w:sz="4" w:space="0" w:color="auto"/>
            </w:tcBorders>
            <w:shd w:val="clear" w:color="auto" w:fill="auto"/>
            <w:noWrap/>
            <w:vAlign w:val="bottom"/>
            <w:hideMark/>
          </w:tcPr>
          <w:p w14:paraId="5D25B4FF"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5670</w:t>
            </w:r>
          </w:p>
        </w:tc>
        <w:tc>
          <w:tcPr>
            <w:tcW w:w="1212" w:type="dxa"/>
            <w:tcBorders>
              <w:top w:val="nil"/>
              <w:left w:val="nil"/>
              <w:bottom w:val="single" w:sz="4" w:space="0" w:color="auto"/>
              <w:right w:val="single" w:sz="4" w:space="0" w:color="auto"/>
            </w:tcBorders>
            <w:shd w:val="clear" w:color="auto" w:fill="auto"/>
            <w:noWrap/>
            <w:vAlign w:val="bottom"/>
            <w:hideMark/>
          </w:tcPr>
          <w:p w14:paraId="0A9D89C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8BA994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 xml:space="preserve">Eyre Hearing Pty Ltd </w:t>
            </w:r>
            <w:proofErr w:type="spellStart"/>
            <w:r w:rsidRPr="00E13FE5">
              <w:rPr>
                <w:rFonts w:eastAsia="Times New Roman"/>
                <w:color w:val="000000"/>
                <w:sz w:val="22"/>
                <w:szCs w:val="22"/>
                <w:lang w:eastAsia="en-AU"/>
              </w:rPr>
              <w:t>Atf</w:t>
            </w:r>
            <w:proofErr w:type="spellEnd"/>
            <w:r w:rsidRPr="00E13FE5">
              <w:rPr>
                <w:rFonts w:eastAsia="Times New Roman"/>
                <w:color w:val="000000"/>
                <w:sz w:val="22"/>
                <w:szCs w:val="22"/>
                <w:lang w:eastAsia="en-AU"/>
              </w:rPr>
              <w:t xml:space="preserve"> Eyre Hearing Trading Trust</w:t>
            </w:r>
          </w:p>
        </w:tc>
      </w:tr>
      <w:tr w:rsidR="005878E0" w:rsidRPr="003651F3" w14:paraId="441D33F0"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F76CB9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SA</w:t>
            </w:r>
          </w:p>
        </w:tc>
        <w:tc>
          <w:tcPr>
            <w:tcW w:w="1571" w:type="dxa"/>
            <w:tcBorders>
              <w:top w:val="nil"/>
              <w:left w:val="nil"/>
              <w:bottom w:val="single" w:sz="4" w:space="0" w:color="auto"/>
              <w:right w:val="single" w:sz="4" w:space="0" w:color="auto"/>
            </w:tcBorders>
            <w:shd w:val="clear" w:color="auto" w:fill="auto"/>
            <w:noWrap/>
            <w:vAlign w:val="bottom"/>
            <w:hideMark/>
          </w:tcPr>
          <w:p w14:paraId="3B6C691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Lameroo</w:t>
            </w:r>
          </w:p>
        </w:tc>
        <w:tc>
          <w:tcPr>
            <w:tcW w:w="1055" w:type="dxa"/>
            <w:tcBorders>
              <w:top w:val="nil"/>
              <w:left w:val="nil"/>
              <w:bottom w:val="single" w:sz="4" w:space="0" w:color="auto"/>
              <w:right w:val="single" w:sz="4" w:space="0" w:color="auto"/>
            </w:tcBorders>
            <w:shd w:val="clear" w:color="auto" w:fill="auto"/>
            <w:noWrap/>
            <w:vAlign w:val="bottom"/>
            <w:hideMark/>
          </w:tcPr>
          <w:p w14:paraId="49089B74"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5302</w:t>
            </w:r>
          </w:p>
        </w:tc>
        <w:tc>
          <w:tcPr>
            <w:tcW w:w="1212" w:type="dxa"/>
            <w:tcBorders>
              <w:top w:val="nil"/>
              <w:left w:val="nil"/>
              <w:bottom w:val="single" w:sz="4" w:space="0" w:color="auto"/>
              <w:right w:val="single" w:sz="4" w:space="0" w:color="auto"/>
            </w:tcBorders>
            <w:shd w:val="clear" w:color="auto" w:fill="auto"/>
            <w:noWrap/>
            <w:vAlign w:val="bottom"/>
            <w:hideMark/>
          </w:tcPr>
          <w:p w14:paraId="6A4093E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4A76A177"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3F57C64C"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F5E52A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SA</w:t>
            </w:r>
          </w:p>
        </w:tc>
        <w:tc>
          <w:tcPr>
            <w:tcW w:w="1571" w:type="dxa"/>
            <w:tcBorders>
              <w:top w:val="nil"/>
              <w:left w:val="nil"/>
              <w:bottom w:val="single" w:sz="4" w:space="0" w:color="auto"/>
              <w:right w:val="single" w:sz="4" w:space="0" w:color="auto"/>
            </w:tcBorders>
            <w:shd w:val="clear" w:color="auto" w:fill="auto"/>
            <w:noWrap/>
            <w:vAlign w:val="bottom"/>
            <w:hideMark/>
          </w:tcPr>
          <w:p w14:paraId="5094DF87"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Lock</w:t>
            </w:r>
          </w:p>
        </w:tc>
        <w:tc>
          <w:tcPr>
            <w:tcW w:w="1055" w:type="dxa"/>
            <w:tcBorders>
              <w:top w:val="nil"/>
              <w:left w:val="nil"/>
              <w:bottom w:val="single" w:sz="4" w:space="0" w:color="auto"/>
              <w:right w:val="single" w:sz="4" w:space="0" w:color="auto"/>
            </w:tcBorders>
            <w:shd w:val="clear" w:color="auto" w:fill="auto"/>
            <w:noWrap/>
            <w:vAlign w:val="bottom"/>
            <w:hideMark/>
          </w:tcPr>
          <w:p w14:paraId="7A500D3D"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5633</w:t>
            </w:r>
          </w:p>
        </w:tc>
        <w:tc>
          <w:tcPr>
            <w:tcW w:w="1212" w:type="dxa"/>
            <w:tcBorders>
              <w:top w:val="nil"/>
              <w:left w:val="nil"/>
              <w:bottom w:val="single" w:sz="4" w:space="0" w:color="auto"/>
              <w:right w:val="single" w:sz="4" w:space="0" w:color="auto"/>
            </w:tcBorders>
            <w:shd w:val="clear" w:color="auto" w:fill="auto"/>
            <w:noWrap/>
            <w:vAlign w:val="bottom"/>
            <w:hideMark/>
          </w:tcPr>
          <w:p w14:paraId="6C18DD2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10E86AD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4ECA628B"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55F25A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SA</w:t>
            </w:r>
          </w:p>
        </w:tc>
        <w:tc>
          <w:tcPr>
            <w:tcW w:w="1571" w:type="dxa"/>
            <w:tcBorders>
              <w:top w:val="nil"/>
              <w:left w:val="nil"/>
              <w:bottom w:val="single" w:sz="4" w:space="0" w:color="auto"/>
              <w:right w:val="single" w:sz="4" w:space="0" w:color="auto"/>
            </w:tcBorders>
            <w:shd w:val="clear" w:color="auto" w:fill="auto"/>
            <w:noWrap/>
            <w:vAlign w:val="bottom"/>
            <w:hideMark/>
          </w:tcPr>
          <w:p w14:paraId="4E35566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Streaky Bay</w:t>
            </w:r>
          </w:p>
        </w:tc>
        <w:tc>
          <w:tcPr>
            <w:tcW w:w="1055" w:type="dxa"/>
            <w:tcBorders>
              <w:top w:val="nil"/>
              <w:left w:val="nil"/>
              <w:bottom w:val="single" w:sz="4" w:space="0" w:color="auto"/>
              <w:right w:val="single" w:sz="4" w:space="0" w:color="auto"/>
            </w:tcBorders>
            <w:shd w:val="clear" w:color="auto" w:fill="auto"/>
            <w:noWrap/>
            <w:vAlign w:val="bottom"/>
            <w:hideMark/>
          </w:tcPr>
          <w:p w14:paraId="6F40B795"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5680</w:t>
            </w:r>
          </w:p>
        </w:tc>
        <w:tc>
          <w:tcPr>
            <w:tcW w:w="1212" w:type="dxa"/>
            <w:tcBorders>
              <w:top w:val="nil"/>
              <w:left w:val="nil"/>
              <w:bottom w:val="single" w:sz="4" w:space="0" w:color="auto"/>
              <w:right w:val="single" w:sz="4" w:space="0" w:color="auto"/>
            </w:tcBorders>
            <w:shd w:val="clear" w:color="auto" w:fill="auto"/>
            <w:noWrap/>
            <w:vAlign w:val="bottom"/>
            <w:hideMark/>
          </w:tcPr>
          <w:p w14:paraId="20CFCD3C"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F01453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68252B48"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533547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SA</w:t>
            </w:r>
          </w:p>
        </w:tc>
        <w:tc>
          <w:tcPr>
            <w:tcW w:w="1571" w:type="dxa"/>
            <w:tcBorders>
              <w:top w:val="nil"/>
              <w:left w:val="nil"/>
              <w:bottom w:val="single" w:sz="4" w:space="0" w:color="auto"/>
              <w:right w:val="single" w:sz="4" w:space="0" w:color="auto"/>
            </w:tcBorders>
            <w:shd w:val="clear" w:color="auto" w:fill="auto"/>
            <w:noWrap/>
            <w:vAlign w:val="bottom"/>
            <w:hideMark/>
          </w:tcPr>
          <w:p w14:paraId="5D3C87F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Wudinna</w:t>
            </w:r>
          </w:p>
        </w:tc>
        <w:tc>
          <w:tcPr>
            <w:tcW w:w="1055" w:type="dxa"/>
            <w:tcBorders>
              <w:top w:val="nil"/>
              <w:left w:val="nil"/>
              <w:bottom w:val="single" w:sz="4" w:space="0" w:color="auto"/>
              <w:right w:val="single" w:sz="4" w:space="0" w:color="auto"/>
            </w:tcBorders>
            <w:shd w:val="clear" w:color="auto" w:fill="auto"/>
            <w:noWrap/>
            <w:vAlign w:val="bottom"/>
            <w:hideMark/>
          </w:tcPr>
          <w:p w14:paraId="7638D8AF"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5652</w:t>
            </w:r>
          </w:p>
        </w:tc>
        <w:tc>
          <w:tcPr>
            <w:tcW w:w="1212" w:type="dxa"/>
            <w:tcBorders>
              <w:top w:val="nil"/>
              <w:left w:val="nil"/>
              <w:bottom w:val="single" w:sz="4" w:space="0" w:color="auto"/>
              <w:right w:val="single" w:sz="4" w:space="0" w:color="auto"/>
            </w:tcBorders>
            <w:shd w:val="clear" w:color="auto" w:fill="auto"/>
            <w:noWrap/>
            <w:vAlign w:val="bottom"/>
            <w:hideMark/>
          </w:tcPr>
          <w:p w14:paraId="7DDD962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38D540D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 xml:space="preserve">Eyre Hearing Pty Ltd </w:t>
            </w:r>
            <w:proofErr w:type="spellStart"/>
            <w:r w:rsidRPr="00E13FE5">
              <w:rPr>
                <w:rFonts w:eastAsia="Times New Roman"/>
                <w:color w:val="000000"/>
                <w:sz w:val="22"/>
                <w:szCs w:val="22"/>
                <w:lang w:eastAsia="en-AU"/>
              </w:rPr>
              <w:t>Atf</w:t>
            </w:r>
            <w:proofErr w:type="spellEnd"/>
            <w:r w:rsidRPr="00E13FE5">
              <w:rPr>
                <w:rFonts w:eastAsia="Times New Roman"/>
                <w:color w:val="000000"/>
                <w:sz w:val="22"/>
                <w:szCs w:val="22"/>
                <w:lang w:eastAsia="en-AU"/>
              </w:rPr>
              <w:t xml:space="preserve"> Eyre Hearing Trading Trust</w:t>
            </w:r>
          </w:p>
        </w:tc>
      </w:tr>
      <w:tr w:rsidR="005878E0" w:rsidRPr="003651F3" w14:paraId="023FA963"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4FA455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TAS</w:t>
            </w:r>
          </w:p>
        </w:tc>
        <w:tc>
          <w:tcPr>
            <w:tcW w:w="1571" w:type="dxa"/>
            <w:tcBorders>
              <w:top w:val="nil"/>
              <w:left w:val="nil"/>
              <w:bottom w:val="single" w:sz="4" w:space="0" w:color="auto"/>
              <w:right w:val="single" w:sz="4" w:space="0" w:color="auto"/>
            </w:tcBorders>
            <w:shd w:val="clear" w:color="auto" w:fill="auto"/>
            <w:noWrap/>
            <w:vAlign w:val="bottom"/>
            <w:hideMark/>
          </w:tcPr>
          <w:p w14:paraId="40421E4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St Helens</w:t>
            </w:r>
            <w:r>
              <w:rPr>
                <w:rFonts w:eastAsia="Times New Roman"/>
                <w:color w:val="000000"/>
                <w:sz w:val="22"/>
                <w:szCs w:val="22"/>
                <w:lang w:eastAsia="en-AU"/>
              </w:rPr>
              <w:t>*</w:t>
            </w:r>
          </w:p>
        </w:tc>
        <w:tc>
          <w:tcPr>
            <w:tcW w:w="1055" w:type="dxa"/>
            <w:tcBorders>
              <w:top w:val="nil"/>
              <w:left w:val="nil"/>
              <w:bottom w:val="single" w:sz="4" w:space="0" w:color="auto"/>
              <w:right w:val="single" w:sz="4" w:space="0" w:color="auto"/>
            </w:tcBorders>
            <w:shd w:val="clear" w:color="auto" w:fill="auto"/>
            <w:noWrap/>
            <w:vAlign w:val="bottom"/>
            <w:hideMark/>
          </w:tcPr>
          <w:p w14:paraId="43913CC6"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7216</w:t>
            </w:r>
          </w:p>
        </w:tc>
        <w:tc>
          <w:tcPr>
            <w:tcW w:w="1212" w:type="dxa"/>
            <w:tcBorders>
              <w:top w:val="nil"/>
              <w:left w:val="nil"/>
              <w:bottom w:val="single" w:sz="4" w:space="0" w:color="auto"/>
              <w:right w:val="single" w:sz="4" w:space="0" w:color="auto"/>
            </w:tcBorders>
            <w:shd w:val="clear" w:color="auto" w:fill="auto"/>
            <w:noWrap/>
            <w:vAlign w:val="bottom"/>
            <w:hideMark/>
          </w:tcPr>
          <w:p w14:paraId="35D558B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4BA183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 xml:space="preserve">Aaron </w:t>
            </w:r>
            <w:proofErr w:type="spellStart"/>
            <w:r w:rsidRPr="00E13FE5">
              <w:rPr>
                <w:rFonts w:eastAsia="Times New Roman"/>
                <w:color w:val="000000"/>
                <w:sz w:val="22"/>
                <w:szCs w:val="22"/>
                <w:lang w:eastAsia="en-AU"/>
              </w:rPr>
              <w:t>Sph</w:t>
            </w:r>
            <w:proofErr w:type="spellEnd"/>
            <w:r w:rsidRPr="00E13FE5">
              <w:rPr>
                <w:rFonts w:eastAsia="Times New Roman"/>
                <w:color w:val="000000"/>
                <w:sz w:val="22"/>
                <w:szCs w:val="22"/>
                <w:lang w:eastAsia="en-AU"/>
              </w:rPr>
              <w:t xml:space="preserve"> Pty Ltd</w:t>
            </w:r>
          </w:p>
        </w:tc>
      </w:tr>
      <w:tr w:rsidR="005878E0" w:rsidRPr="003651F3" w14:paraId="5CF212C4"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F51DF4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62F090D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Casterton</w:t>
            </w:r>
          </w:p>
        </w:tc>
        <w:tc>
          <w:tcPr>
            <w:tcW w:w="1055" w:type="dxa"/>
            <w:tcBorders>
              <w:top w:val="nil"/>
              <w:left w:val="nil"/>
              <w:bottom w:val="single" w:sz="4" w:space="0" w:color="auto"/>
              <w:right w:val="single" w:sz="4" w:space="0" w:color="auto"/>
            </w:tcBorders>
            <w:shd w:val="clear" w:color="auto" w:fill="auto"/>
            <w:noWrap/>
            <w:vAlign w:val="bottom"/>
            <w:hideMark/>
          </w:tcPr>
          <w:p w14:paraId="41F1B9B0"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3311</w:t>
            </w:r>
          </w:p>
        </w:tc>
        <w:tc>
          <w:tcPr>
            <w:tcW w:w="1212" w:type="dxa"/>
            <w:tcBorders>
              <w:top w:val="nil"/>
              <w:left w:val="nil"/>
              <w:bottom w:val="single" w:sz="4" w:space="0" w:color="auto"/>
              <w:right w:val="single" w:sz="4" w:space="0" w:color="auto"/>
            </w:tcBorders>
            <w:shd w:val="clear" w:color="auto" w:fill="auto"/>
            <w:noWrap/>
            <w:vAlign w:val="bottom"/>
            <w:hideMark/>
          </w:tcPr>
          <w:p w14:paraId="716D5B2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0B4E7BDA"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All Digital Hearing Pty Ltd</w:t>
            </w:r>
          </w:p>
        </w:tc>
      </w:tr>
      <w:tr w:rsidR="005878E0" w:rsidRPr="003651F3" w14:paraId="4674086B"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DC6C85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5E01657C"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Corryong</w:t>
            </w:r>
          </w:p>
        </w:tc>
        <w:tc>
          <w:tcPr>
            <w:tcW w:w="1055" w:type="dxa"/>
            <w:tcBorders>
              <w:top w:val="nil"/>
              <w:left w:val="nil"/>
              <w:bottom w:val="single" w:sz="4" w:space="0" w:color="auto"/>
              <w:right w:val="single" w:sz="4" w:space="0" w:color="auto"/>
            </w:tcBorders>
            <w:shd w:val="clear" w:color="auto" w:fill="auto"/>
            <w:noWrap/>
            <w:vAlign w:val="bottom"/>
            <w:hideMark/>
          </w:tcPr>
          <w:p w14:paraId="769F2DBF"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3707</w:t>
            </w:r>
          </w:p>
        </w:tc>
        <w:tc>
          <w:tcPr>
            <w:tcW w:w="1212" w:type="dxa"/>
            <w:tcBorders>
              <w:top w:val="nil"/>
              <w:left w:val="nil"/>
              <w:bottom w:val="single" w:sz="4" w:space="0" w:color="auto"/>
              <w:right w:val="single" w:sz="4" w:space="0" w:color="auto"/>
            </w:tcBorders>
            <w:shd w:val="clear" w:color="auto" w:fill="auto"/>
            <w:noWrap/>
            <w:vAlign w:val="bottom"/>
            <w:hideMark/>
          </w:tcPr>
          <w:p w14:paraId="53AAE13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D8EB2F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Essence Audiology Pty Ltd</w:t>
            </w:r>
          </w:p>
        </w:tc>
      </w:tr>
      <w:tr w:rsidR="005878E0" w:rsidRPr="003651F3" w14:paraId="1DACDF23"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C73B92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2E93D80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Edenhope</w:t>
            </w:r>
          </w:p>
        </w:tc>
        <w:tc>
          <w:tcPr>
            <w:tcW w:w="1055" w:type="dxa"/>
            <w:tcBorders>
              <w:top w:val="nil"/>
              <w:left w:val="nil"/>
              <w:bottom w:val="single" w:sz="4" w:space="0" w:color="auto"/>
              <w:right w:val="single" w:sz="4" w:space="0" w:color="auto"/>
            </w:tcBorders>
            <w:shd w:val="clear" w:color="auto" w:fill="auto"/>
            <w:noWrap/>
            <w:vAlign w:val="bottom"/>
            <w:hideMark/>
          </w:tcPr>
          <w:p w14:paraId="78D4495B"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3318</w:t>
            </w:r>
          </w:p>
        </w:tc>
        <w:tc>
          <w:tcPr>
            <w:tcW w:w="1212" w:type="dxa"/>
            <w:tcBorders>
              <w:top w:val="nil"/>
              <w:left w:val="nil"/>
              <w:bottom w:val="single" w:sz="4" w:space="0" w:color="auto"/>
              <w:right w:val="single" w:sz="4" w:space="0" w:color="auto"/>
            </w:tcBorders>
            <w:shd w:val="clear" w:color="auto" w:fill="auto"/>
            <w:noWrap/>
            <w:vAlign w:val="bottom"/>
            <w:hideMark/>
          </w:tcPr>
          <w:p w14:paraId="030F11B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74272B1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4CC44672"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0BF8FAB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69B7E0E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Mallacoota</w:t>
            </w:r>
          </w:p>
        </w:tc>
        <w:tc>
          <w:tcPr>
            <w:tcW w:w="1055" w:type="dxa"/>
            <w:tcBorders>
              <w:top w:val="nil"/>
              <w:left w:val="nil"/>
              <w:bottom w:val="single" w:sz="4" w:space="0" w:color="auto"/>
              <w:right w:val="single" w:sz="4" w:space="0" w:color="auto"/>
            </w:tcBorders>
            <w:shd w:val="clear" w:color="auto" w:fill="auto"/>
            <w:noWrap/>
            <w:vAlign w:val="bottom"/>
            <w:hideMark/>
          </w:tcPr>
          <w:p w14:paraId="4E3BD941"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3892</w:t>
            </w:r>
          </w:p>
        </w:tc>
        <w:tc>
          <w:tcPr>
            <w:tcW w:w="1212" w:type="dxa"/>
            <w:tcBorders>
              <w:top w:val="nil"/>
              <w:left w:val="nil"/>
              <w:bottom w:val="single" w:sz="4" w:space="0" w:color="auto"/>
              <w:right w:val="single" w:sz="4" w:space="0" w:color="auto"/>
            </w:tcBorders>
            <w:shd w:val="clear" w:color="auto" w:fill="auto"/>
            <w:noWrap/>
            <w:vAlign w:val="bottom"/>
            <w:hideMark/>
          </w:tcPr>
          <w:p w14:paraId="690A7C8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2597402"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Audika</w:t>
            </w:r>
            <w:proofErr w:type="spellEnd"/>
            <w:r w:rsidRPr="00E13FE5">
              <w:rPr>
                <w:rFonts w:eastAsia="Times New Roman"/>
                <w:color w:val="000000"/>
                <w:sz w:val="22"/>
                <w:szCs w:val="22"/>
                <w:lang w:eastAsia="en-AU"/>
              </w:rPr>
              <w:t xml:space="preserve"> Australia Pty Ltd</w:t>
            </w:r>
          </w:p>
        </w:tc>
      </w:tr>
      <w:tr w:rsidR="005878E0" w:rsidRPr="003651F3" w14:paraId="7F73D7E8"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0CF557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4D0E65BC"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Nhill</w:t>
            </w:r>
          </w:p>
        </w:tc>
        <w:tc>
          <w:tcPr>
            <w:tcW w:w="1055" w:type="dxa"/>
            <w:tcBorders>
              <w:top w:val="nil"/>
              <w:left w:val="nil"/>
              <w:bottom w:val="single" w:sz="4" w:space="0" w:color="auto"/>
              <w:right w:val="single" w:sz="4" w:space="0" w:color="auto"/>
            </w:tcBorders>
            <w:shd w:val="clear" w:color="auto" w:fill="auto"/>
            <w:noWrap/>
            <w:vAlign w:val="bottom"/>
            <w:hideMark/>
          </w:tcPr>
          <w:p w14:paraId="3C61BD48"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3418</w:t>
            </w:r>
          </w:p>
        </w:tc>
        <w:tc>
          <w:tcPr>
            <w:tcW w:w="1212" w:type="dxa"/>
            <w:tcBorders>
              <w:top w:val="nil"/>
              <w:left w:val="nil"/>
              <w:bottom w:val="single" w:sz="4" w:space="0" w:color="auto"/>
              <w:right w:val="single" w:sz="4" w:space="0" w:color="auto"/>
            </w:tcBorders>
            <w:shd w:val="clear" w:color="auto" w:fill="auto"/>
            <w:noWrap/>
            <w:vAlign w:val="bottom"/>
            <w:hideMark/>
          </w:tcPr>
          <w:p w14:paraId="0CA740C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076D1964"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355DBEFD"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A2EE38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13DBA2D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Ouyen</w:t>
            </w:r>
          </w:p>
        </w:tc>
        <w:tc>
          <w:tcPr>
            <w:tcW w:w="1055" w:type="dxa"/>
            <w:tcBorders>
              <w:top w:val="nil"/>
              <w:left w:val="nil"/>
              <w:bottom w:val="single" w:sz="4" w:space="0" w:color="auto"/>
              <w:right w:val="single" w:sz="4" w:space="0" w:color="auto"/>
            </w:tcBorders>
            <w:shd w:val="clear" w:color="auto" w:fill="auto"/>
            <w:noWrap/>
            <w:vAlign w:val="bottom"/>
            <w:hideMark/>
          </w:tcPr>
          <w:p w14:paraId="6C01C733"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3490</w:t>
            </w:r>
          </w:p>
        </w:tc>
        <w:tc>
          <w:tcPr>
            <w:tcW w:w="1212" w:type="dxa"/>
            <w:tcBorders>
              <w:top w:val="nil"/>
              <w:left w:val="nil"/>
              <w:bottom w:val="single" w:sz="4" w:space="0" w:color="auto"/>
              <w:right w:val="single" w:sz="4" w:space="0" w:color="auto"/>
            </w:tcBorders>
            <w:shd w:val="clear" w:color="auto" w:fill="auto"/>
            <w:noWrap/>
            <w:vAlign w:val="bottom"/>
            <w:hideMark/>
          </w:tcPr>
          <w:p w14:paraId="1B43CDD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133D6524"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Sunraysia</w:t>
            </w:r>
            <w:proofErr w:type="spellEnd"/>
            <w:r w:rsidRPr="00E13FE5">
              <w:rPr>
                <w:rFonts w:eastAsia="Times New Roman"/>
                <w:color w:val="000000"/>
                <w:sz w:val="22"/>
                <w:szCs w:val="22"/>
                <w:lang w:eastAsia="en-AU"/>
              </w:rPr>
              <w:t xml:space="preserve"> Hearing Clinic Pty Ltd</w:t>
            </w:r>
          </w:p>
        </w:tc>
      </w:tr>
      <w:tr w:rsidR="005878E0" w:rsidRPr="003651F3" w14:paraId="2A174156"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874D07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646F50C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Robinvale</w:t>
            </w:r>
          </w:p>
        </w:tc>
        <w:tc>
          <w:tcPr>
            <w:tcW w:w="1055" w:type="dxa"/>
            <w:tcBorders>
              <w:top w:val="nil"/>
              <w:left w:val="nil"/>
              <w:bottom w:val="single" w:sz="4" w:space="0" w:color="auto"/>
              <w:right w:val="single" w:sz="4" w:space="0" w:color="auto"/>
            </w:tcBorders>
            <w:shd w:val="clear" w:color="auto" w:fill="auto"/>
            <w:noWrap/>
            <w:vAlign w:val="bottom"/>
            <w:hideMark/>
          </w:tcPr>
          <w:p w14:paraId="1D7AEEC9"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3549</w:t>
            </w:r>
          </w:p>
        </w:tc>
        <w:tc>
          <w:tcPr>
            <w:tcW w:w="1212" w:type="dxa"/>
            <w:tcBorders>
              <w:top w:val="nil"/>
              <w:left w:val="nil"/>
              <w:bottom w:val="single" w:sz="4" w:space="0" w:color="auto"/>
              <w:right w:val="single" w:sz="4" w:space="0" w:color="auto"/>
            </w:tcBorders>
            <w:shd w:val="clear" w:color="auto" w:fill="auto"/>
            <w:noWrap/>
            <w:vAlign w:val="bottom"/>
            <w:hideMark/>
          </w:tcPr>
          <w:p w14:paraId="10275E9A"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164FBA8"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Sunraysia</w:t>
            </w:r>
            <w:proofErr w:type="spellEnd"/>
            <w:r w:rsidRPr="00E13FE5">
              <w:rPr>
                <w:rFonts w:eastAsia="Times New Roman"/>
                <w:color w:val="000000"/>
                <w:sz w:val="22"/>
                <w:szCs w:val="22"/>
                <w:lang w:eastAsia="en-AU"/>
              </w:rPr>
              <w:t xml:space="preserve"> Hearing Clinic Pty Ltd</w:t>
            </w:r>
          </w:p>
        </w:tc>
      </w:tr>
      <w:tr w:rsidR="005878E0" w:rsidRPr="003651F3" w14:paraId="5264BC8B"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93249E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7949C53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Sea Lake</w:t>
            </w:r>
          </w:p>
        </w:tc>
        <w:tc>
          <w:tcPr>
            <w:tcW w:w="1055" w:type="dxa"/>
            <w:tcBorders>
              <w:top w:val="nil"/>
              <w:left w:val="nil"/>
              <w:bottom w:val="single" w:sz="4" w:space="0" w:color="auto"/>
              <w:right w:val="single" w:sz="4" w:space="0" w:color="auto"/>
            </w:tcBorders>
            <w:shd w:val="clear" w:color="auto" w:fill="auto"/>
            <w:noWrap/>
            <w:vAlign w:val="bottom"/>
            <w:hideMark/>
          </w:tcPr>
          <w:p w14:paraId="1E206FFB"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3533</w:t>
            </w:r>
          </w:p>
        </w:tc>
        <w:tc>
          <w:tcPr>
            <w:tcW w:w="1212" w:type="dxa"/>
            <w:tcBorders>
              <w:top w:val="nil"/>
              <w:left w:val="nil"/>
              <w:bottom w:val="single" w:sz="4" w:space="0" w:color="auto"/>
              <w:right w:val="single" w:sz="4" w:space="0" w:color="auto"/>
            </w:tcBorders>
            <w:shd w:val="clear" w:color="auto" w:fill="auto"/>
            <w:noWrap/>
            <w:vAlign w:val="bottom"/>
            <w:hideMark/>
          </w:tcPr>
          <w:p w14:paraId="5D74BA49"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621B7502"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Syanda</w:t>
            </w:r>
            <w:proofErr w:type="spellEnd"/>
            <w:r w:rsidRPr="00E13FE5">
              <w:rPr>
                <w:rFonts w:eastAsia="Times New Roman"/>
                <w:color w:val="000000"/>
                <w:sz w:val="22"/>
                <w:szCs w:val="22"/>
                <w:lang w:eastAsia="en-AU"/>
              </w:rPr>
              <w:t xml:space="preserve"> Pty Ltd </w:t>
            </w:r>
            <w:proofErr w:type="spellStart"/>
            <w:r w:rsidRPr="00E13FE5">
              <w:rPr>
                <w:rFonts w:eastAsia="Times New Roman"/>
                <w:color w:val="000000"/>
                <w:sz w:val="22"/>
                <w:szCs w:val="22"/>
                <w:lang w:eastAsia="en-AU"/>
              </w:rPr>
              <w:t>Atf</w:t>
            </w:r>
            <w:proofErr w:type="spellEnd"/>
            <w:r w:rsidRPr="00E13FE5">
              <w:rPr>
                <w:rFonts w:eastAsia="Times New Roman"/>
                <w:color w:val="000000"/>
                <w:sz w:val="22"/>
                <w:szCs w:val="22"/>
                <w:lang w:eastAsia="en-AU"/>
              </w:rPr>
              <w:t xml:space="preserve"> N &amp; M </w:t>
            </w:r>
            <w:proofErr w:type="spellStart"/>
            <w:r w:rsidRPr="00E13FE5">
              <w:rPr>
                <w:rFonts w:eastAsia="Times New Roman"/>
                <w:color w:val="000000"/>
                <w:sz w:val="22"/>
                <w:szCs w:val="22"/>
                <w:lang w:eastAsia="en-AU"/>
              </w:rPr>
              <w:t>Transton</w:t>
            </w:r>
            <w:proofErr w:type="spellEnd"/>
            <w:r w:rsidRPr="00E13FE5">
              <w:rPr>
                <w:rFonts w:eastAsia="Times New Roman"/>
                <w:color w:val="000000"/>
                <w:sz w:val="22"/>
                <w:szCs w:val="22"/>
                <w:lang w:eastAsia="en-AU"/>
              </w:rPr>
              <w:t xml:space="preserve"> Family Trust</w:t>
            </w:r>
          </w:p>
        </w:tc>
      </w:tr>
      <w:tr w:rsidR="005878E0" w:rsidRPr="003651F3" w14:paraId="3C20B0EF"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7DA2132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4DC4FC1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Warracknabeal</w:t>
            </w:r>
          </w:p>
        </w:tc>
        <w:tc>
          <w:tcPr>
            <w:tcW w:w="1055" w:type="dxa"/>
            <w:tcBorders>
              <w:top w:val="nil"/>
              <w:left w:val="nil"/>
              <w:bottom w:val="single" w:sz="4" w:space="0" w:color="auto"/>
              <w:right w:val="single" w:sz="4" w:space="0" w:color="auto"/>
            </w:tcBorders>
            <w:shd w:val="clear" w:color="auto" w:fill="auto"/>
            <w:noWrap/>
            <w:vAlign w:val="bottom"/>
            <w:hideMark/>
          </w:tcPr>
          <w:p w14:paraId="19088249"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3393</w:t>
            </w:r>
          </w:p>
        </w:tc>
        <w:tc>
          <w:tcPr>
            <w:tcW w:w="1212" w:type="dxa"/>
            <w:tcBorders>
              <w:top w:val="nil"/>
              <w:left w:val="nil"/>
              <w:bottom w:val="single" w:sz="4" w:space="0" w:color="auto"/>
              <w:right w:val="single" w:sz="4" w:space="0" w:color="auto"/>
            </w:tcBorders>
            <w:shd w:val="clear" w:color="auto" w:fill="auto"/>
            <w:noWrap/>
            <w:vAlign w:val="bottom"/>
            <w:hideMark/>
          </w:tcPr>
          <w:p w14:paraId="767AE24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634729E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Active Hearing Pty Ltd</w:t>
            </w:r>
          </w:p>
        </w:tc>
      </w:tr>
      <w:tr w:rsidR="005878E0" w:rsidRPr="003651F3" w14:paraId="130A746E"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D308502"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VIC</w:t>
            </w:r>
          </w:p>
        </w:tc>
        <w:tc>
          <w:tcPr>
            <w:tcW w:w="1571" w:type="dxa"/>
            <w:tcBorders>
              <w:top w:val="nil"/>
              <w:left w:val="nil"/>
              <w:bottom w:val="single" w:sz="4" w:space="0" w:color="auto"/>
              <w:right w:val="single" w:sz="4" w:space="0" w:color="auto"/>
            </w:tcBorders>
            <w:shd w:val="clear" w:color="auto" w:fill="auto"/>
            <w:noWrap/>
            <w:vAlign w:val="bottom"/>
            <w:hideMark/>
          </w:tcPr>
          <w:p w14:paraId="596B82C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Woomelang</w:t>
            </w:r>
          </w:p>
        </w:tc>
        <w:tc>
          <w:tcPr>
            <w:tcW w:w="1055" w:type="dxa"/>
            <w:tcBorders>
              <w:top w:val="nil"/>
              <w:left w:val="nil"/>
              <w:bottom w:val="single" w:sz="4" w:space="0" w:color="auto"/>
              <w:right w:val="single" w:sz="4" w:space="0" w:color="auto"/>
            </w:tcBorders>
            <w:shd w:val="clear" w:color="auto" w:fill="auto"/>
            <w:noWrap/>
            <w:vAlign w:val="bottom"/>
            <w:hideMark/>
          </w:tcPr>
          <w:p w14:paraId="0C85F3F4"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3485</w:t>
            </w:r>
          </w:p>
        </w:tc>
        <w:tc>
          <w:tcPr>
            <w:tcW w:w="1212" w:type="dxa"/>
            <w:tcBorders>
              <w:top w:val="nil"/>
              <w:left w:val="nil"/>
              <w:bottom w:val="single" w:sz="4" w:space="0" w:color="auto"/>
              <w:right w:val="single" w:sz="4" w:space="0" w:color="auto"/>
            </w:tcBorders>
            <w:shd w:val="clear" w:color="auto" w:fill="auto"/>
            <w:noWrap/>
            <w:vAlign w:val="bottom"/>
            <w:hideMark/>
          </w:tcPr>
          <w:p w14:paraId="09EC865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51E9D7D9"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Syanda</w:t>
            </w:r>
            <w:proofErr w:type="spellEnd"/>
            <w:r w:rsidRPr="00E13FE5">
              <w:rPr>
                <w:rFonts w:eastAsia="Times New Roman"/>
                <w:color w:val="000000"/>
                <w:sz w:val="22"/>
                <w:szCs w:val="22"/>
                <w:lang w:eastAsia="en-AU"/>
              </w:rPr>
              <w:t xml:space="preserve"> Pty Ltd </w:t>
            </w:r>
            <w:proofErr w:type="spellStart"/>
            <w:r w:rsidRPr="00E13FE5">
              <w:rPr>
                <w:rFonts w:eastAsia="Times New Roman"/>
                <w:color w:val="000000"/>
                <w:sz w:val="22"/>
                <w:szCs w:val="22"/>
                <w:lang w:eastAsia="en-AU"/>
              </w:rPr>
              <w:t>Atf</w:t>
            </w:r>
            <w:proofErr w:type="spellEnd"/>
            <w:r w:rsidRPr="00E13FE5">
              <w:rPr>
                <w:rFonts w:eastAsia="Times New Roman"/>
                <w:color w:val="000000"/>
                <w:sz w:val="22"/>
                <w:szCs w:val="22"/>
                <w:lang w:eastAsia="en-AU"/>
              </w:rPr>
              <w:t xml:space="preserve"> N &amp; M </w:t>
            </w:r>
            <w:proofErr w:type="spellStart"/>
            <w:r w:rsidRPr="00E13FE5">
              <w:rPr>
                <w:rFonts w:eastAsia="Times New Roman"/>
                <w:color w:val="000000"/>
                <w:sz w:val="22"/>
                <w:szCs w:val="22"/>
                <w:lang w:eastAsia="en-AU"/>
              </w:rPr>
              <w:t>Transton</w:t>
            </w:r>
            <w:proofErr w:type="spellEnd"/>
            <w:r w:rsidRPr="00E13FE5">
              <w:rPr>
                <w:rFonts w:eastAsia="Times New Roman"/>
                <w:color w:val="000000"/>
                <w:sz w:val="22"/>
                <w:szCs w:val="22"/>
                <w:lang w:eastAsia="en-AU"/>
              </w:rPr>
              <w:t xml:space="preserve"> Family Trust</w:t>
            </w:r>
          </w:p>
        </w:tc>
      </w:tr>
      <w:tr w:rsidR="005878E0" w:rsidRPr="003651F3" w14:paraId="2B1BEB72"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1321563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w:t>
            </w:r>
          </w:p>
        </w:tc>
        <w:tc>
          <w:tcPr>
            <w:tcW w:w="1571" w:type="dxa"/>
            <w:tcBorders>
              <w:top w:val="nil"/>
              <w:left w:val="nil"/>
              <w:bottom w:val="single" w:sz="4" w:space="0" w:color="auto"/>
              <w:right w:val="single" w:sz="4" w:space="0" w:color="auto"/>
            </w:tcBorders>
            <w:shd w:val="clear" w:color="auto" w:fill="auto"/>
            <w:noWrap/>
            <w:vAlign w:val="bottom"/>
            <w:hideMark/>
          </w:tcPr>
          <w:p w14:paraId="00F51C94"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Broome</w:t>
            </w:r>
          </w:p>
        </w:tc>
        <w:tc>
          <w:tcPr>
            <w:tcW w:w="1055" w:type="dxa"/>
            <w:tcBorders>
              <w:top w:val="nil"/>
              <w:left w:val="nil"/>
              <w:bottom w:val="single" w:sz="4" w:space="0" w:color="auto"/>
              <w:right w:val="single" w:sz="4" w:space="0" w:color="auto"/>
            </w:tcBorders>
            <w:shd w:val="clear" w:color="auto" w:fill="auto"/>
            <w:noWrap/>
            <w:vAlign w:val="bottom"/>
            <w:hideMark/>
          </w:tcPr>
          <w:p w14:paraId="56560DC4"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6725</w:t>
            </w:r>
          </w:p>
        </w:tc>
        <w:tc>
          <w:tcPr>
            <w:tcW w:w="1212" w:type="dxa"/>
            <w:tcBorders>
              <w:top w:val="nil"/>
              <w:left w:val="nil"/>
              <w:bottom w:val="single" w:sz="4" w:space="0" w:color="auto"/>
              <w:right w:val="single" w:sz="4" w:space="0" w:color="auto"/>
            </w:tcBorders>
            <w:shd w:val="clear" w:color="auto" w:fill="auto"/>
            <w:noWrap/>
            <w:vAlign w:val="bottom"/>
            <w:hideMark/>
          </w:tcPr>
          <w:p w14:paraId="3E5AF44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425AA941"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Audika</w:t>
            </w:r>
            <w:proofErr w:type="spellEnd"/>
            <w:r w:rsidRPr="00E13FE5">
              <w:rPr>
                <w:rFonts w:eastAsia="Times New Roman"/>
                <w:color w:val="000000"/>
                <w:sz w:val="22"/>
                <w:szCs w:val="22"/>
                <w:lang w:eastAsia="en-AU"/>
              </w:rPr>
              <w:t xml:space="preserve"> Australia Pty Ltd</w:t>
            </w:r>
          </w:p>
        </w:tc>
      </w:tr>
      <w:tr w:rsidR="005878E0" w:rsidRPr="003651F3" w14:paraId="138A8C84"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69243D2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w:t>
            </w:r>
          </w:p>
        </w:tc>
        <w:tc>
          <w:tcPr>
            <w:tcW w:w="1571" w:type="dxa"/>
            <w:tcBorders>
              <w:top w:val="nil"/>
              <w:left w:val="nil"/>
              <w:bottom w:val="single" w:sz="4" w:space="0" w:color="auto"/>
              <w:right w:val="single" w:sz="4" w:space="0" w:color="auto"/>
            </w:tcBorders>
            <w:shd w:val="clear" w:color="auto" w:fill="auto"/>
            <w:noWrap/>
            <w:vAlign w:val="bottom"/>
            <w:hideMark/>
          </w:tcPr>
          <w:p w14:paraId="2E4B82C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Corrigin</w:t>
            </w:r>
          </w:p>
        </w:tc>
        <w:tc>
          <w:tcPr>
            <w:tcW w:w="1055" w:type="dxa"/>
            <w:tcBorders>
              <w:top w:val="nil"/>
              <w:left w:val="nil"/>
              <w:bottom w:val="single" w:sz="4" w:space="0" w:color="auto"/>
              <w:right w:val="single" w:sz="4" w:space="0" w:color="auto"/>
            </w:tcBorders>
            <w:shd w:val="clear" w:color="auto" w:fill="auto"/>
            <w:noWrap/>
            <w:vAlign w:val="bottom"/>
            <w:hideMark/>
          </w:tcPr>
          <w:p w14:paraId="21E4ABD7"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6375</w:t>
            </w:r>
          </w:p>
        </w:tc>
        <w:tc>
          <w:tcPr>
            <w:tcW w:w="1212" w:type="dxa"/>
            <w:tcBorders>
              <w:top w:val="nil"/>
              <w:left w:val="nil"/>
              <w:bottom w:val="single" w:sz="4" w:space="0" w:color="auto"/>
              <w:right w:val="single" w:sz="4" w:space="0" w:color="auto"/>
            </w:tcBorders>
            <w:shd w:val="clear" w:color="auto" w:fill="auto"/>
            <w:noWrap/>
            <w:vAlign w:val="bottom"/>
            <w:hideMark/>
          </w:tcPr>
          <w:p w14:paraId="5CA11CA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2BD488A3"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Waves Hearing Pty Ltd</w:t>
            </w:r>
          </w:p>
        </w:tc>
      </w:tr>
      <w:tr w:rsidR="005878E0" w:rsidRPr="003651F3" w14:paraId="38817969"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453D596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w:t>
            </w:r>
          </w:p>
        </w:tc>
        <w:tc>
          <w:tcPr>
            <w:tcW w:w="1571" w:type="dxa"/>
            <w:tcBorders>
              <w:top w:val="nil"/>
              <w:left w:val="nil"/>
              <w:bottom w:val="single" w:sz="4" w:space="0" w:color="auto"/>
              <w:right w:val="single" w:sz="4" w:space="0" w:color="auto"/>
            </w:tcBorders>
            <w:shd w:val="clear" w:color="auto" w:fill="auto"/>
            <w:noWrap/>
            <w:vAlign w:val="bottom"/>
            <w:hideMark/>
          </w:tcPr>
          <w:p w14:paraId="5D9AA545"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Karratha</w:t>
            </w:r>
            <w:r>
              <w:rPr>
                <w:rFonts w:eastAsia="Times New Roman"/>
                <w:color w:val="000000"/>
                <w:sz w:val="22"/>
                <w:szCs w:val="22"/>
                <w:lang w:eastAsia="en-AU"/>
              </w:rPr>
              <w:t>*</w:t>
            </w:r>
          </w:p>
        </w:tc>
        <w:tc>
          <w:tcPr>
            <w:tcW w:w="1055" w:type="dxa"/>
            <w:tcBorders>
              <w:top w:val="nil"/>
              <w:left w:val="nil"/>
              <w:bottom w:val="single" w:sz="4" w:space="0" w:color="auto"/>
              <w:right w:val="single" w:sz="4" w:space="0" w:color="auto"/>
            </w:tcBorders>
            <w:shd w:val="clear" w:color="auto" w:fill="auto"/>
            <w:noWrap/>
            <w:vAlign w:val="bottom"/>
            <w:hideMark/>
          </w:tcPr>
          <w:p w14:paraId="10C32967"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6714</w:t>
            </w:r>
          </w:p>
        </w:tc>
        <w:tc>
          <w:tcPr>
            <w:tcW w:w="1212" w:type="dxa"/>
            <w:tcBorders>
              <w:top w:val="nil"/>
              <w:left w:val="nil"/>
              <w:bottom w:val="single" w:sz="4" w:space="0" w:color="auto"/>
              <w:right w:val="single" w:sz="4" w:space="0" w:color="auto"/>
            </w:tcBorders>
            <w:shd w:val="clear" w:color="auto" w:fill="auto"/>
            <w:noWrap/>
            <w:vAlign w:val="bottom"/>
            <w:hideMark/>
          </w:tcPr>
          <w:p w14:paraId="2A180606"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76ABD11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Hearing And Audiology Pty Ltd</w:t>
            </w:r>
          </w:p>
        </w:tc>
      </w:tr>
      <w:tr w:rsidR="005878E0" w:rsidRPr="003651F3" w14:paraId="465B827F"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5A1B760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w:t>
            </w:r>
          </w:p>
        </w:tc>
        <w:tc>
          <w:tcPr>
            <w:tcW w:w="1571" w:type="dxa"/>
            <w:tcBorders>
              <w:top w:val="nil"/>
              <w:left w:val="nil"/>
              <w:bottom w:val="single" w:sz="4" w:space="0" w:color="auto"/>
              <w:right w:val="single" w:sz="4" w:space="0" w:color="auto"/>
            </w:tcBorders>
            <w:shd w:val="clear" w:color="auto" w:fill="auto"/>
            <w:noWrap/>
            <w:vAlign w:val="bottom"/>
            <w:hideMark/>
          </w:tcPr>
          <w:p w14:paraId="6A8ADB6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Lancelin</w:t>
            </w:r>
          </w:p>
        </w:tc>
        <w:tc>
          <w:tcPr>
            <w:tcW w:w="1055" w:type="dxa"/>
            <w:tcBorders>
              <w:top w:val="nil"/>
              <w:left w:val="nil"/>
              <w:bottom w:val="single" w:sz="4" w:space="0" w:color="auto"/>
              <w:right w:val="single" w:sz="4" w:space="0" w:color="auto"/>
            </w:tcBorders>
            <w:shd w:val="clear" w:color="auto" w:fill="auto"/>
            <w:noWrap/>
            <w:vAlign w:val="bottom"/>
            <w:hideMark/>
          </w:tcPr>
          <w:p w14:paraId="6C10E758"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6044</w:t>
            </w:r>
          </w:p>
        </w:tc>
        <w:tc>
          <w:tcPr>
            <w:tcW w:w="1212" w:type="dxa"/>
            <w:tcBorders>
              <w:top w:val="nil"/>
              <w:left w:val="nil"/>
              <w:bottom w:val="single" w:sz="4" w:space="0" w:color="auto"/>
              <w:right w:val="single" w:sz="4" w:space="0" w:color="auto"/>
            </w:tcBorders>
            <w:shd w:val="clear" w:color="auto" w:fill="auto"/>
            <w:noWrap/>
            <w:vAlign w:val="bottom"/>
            <w:hideMark/>
          </w:tcPr>
          <w:p w14:paraId="5F8819BF"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03509B1E"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Ear Science Institute Australia Incorporated</w:t>
            </w:r>
          </w:p>
        </w:tc>
      </w:tr>
      <w:tr w:rsidR="005878E0" w:rsidRPr="003651F3" w14:paraId="20670701"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3FAA2F9C"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w:t>
            </w:r>
          </w:p>
        </w:tc>
        <w:tc>
          <w:tcPr>
            <w:tcW w:w="1571" w:type="dxa"/>
            <w:tcBorders>
              <w:top w:val="nil"/>
              <w:left w:val="nil"/>
              <w:bottom w:val="single" w:sz="4" w:space="0" w:color="auto"/>
              <w:right w:val="single" w:sz="4" w:space="0" w:color="auto"/>
            </w:tcBorders>
            <w:shd w:val="clear" w:color="auto" w:fill="auto"/>
            <w:noWrap/>
            <w:vAlign w:val="bottom"/>
            <w:hideMark/>
          </w:tcPr>
          <w:p w14:paraId="7EF14C9C"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Port Denison</w:t>
            </w:r>
          </w:p>
        </w:tc>
        <w:tc>
          <w:tcPr>
            <w:tcW w:w="1055" w:type="dxa"/>
            <w:tcBorders>
              <w:top w:val="nil"/>
              <w:left w:val="nil"/>
              <w:bottom w:val="single" w:sz="4" w:space="0" w:color="auto"/>
              <w:right w:val="single" w:sz="4" w:space="0" w:color="auto"/>
            </w:tcBorders>
            <w:shd w:val="clear" w:color="auto" w:fill="auto"/>
            <w:noWrap/>
            <w:vAlign w:val="bottom"/>
            <w:hideMark/>
          </w:tcPr>
          <w:p w14:paraId="0A14EDD1"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6525</w:t>
            </w:r>
          </w:p>
        </w:tc>
        <w:tc>
          <w:tcPr>
            <w:tcW w:w="1212" w:type="dxa"/>
            <w:tcBorders>
              <w:top w:val="nil"/>
              <w:left w:val="nil"/>
              <w:bottom w:val="single" w:sz="4" w:space="0" w:color="auto"/>
              <w:right w:val="single" w:sz="4" w:space="0" w:color="auto"/>
            </w:tcBorders>
            <w:shd w:val="clear" w:color="auto" w:fill="auto"/>
            <w:noWrap/>
            <w:vAlign w:val="bottom"/>
            <w:hideMark/>
          </w:tcPr>
          <w:p w14:paraId="5FF42931"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34DD1478" w14:textId="77777777" w:rsidR="005878E0" w:rsidRPr="00E13FE5" w:rsidRDefault="005878E0" w:rsidP="00603828">
            <w:pPr>
              <w:spacing w:after="0" w:line="240" w:lineRule="auto"/>
              <w:rPr>
                <w:rFonts w:eastAsia="Times New Roman"/>
                <w:color w:val="000000"/>
                <w:sz w:val="22"/>
                <w:szCs w:val="22"/>
                <w:lang w:eastAsia="en-AU"/>
              </w:rPr>
            </w:pPr>
            <w:proofErr w:type="spellStart"/>
            <w:r w:rsidRPr="00E13FE5">
              <w:rPr>
                <w:rFonts w:eastAsia="Times New Roman"/>
                <w:color w:val="000000"/>
                <w:sz w:val="22"/>
                <w:szCs w:val="22"/>
                <w:lang w:eastAsia="en-AU"/>
              </w:rPr>
              <w:t>Sonova</w:t>
            </w:r>
            <w:proofErr w:type="spellEnd"/>
            <w:r w:rsidRPr="00E13FE5">
              <w:rPr>
                <w:rFonts w:eastAsia="Times New Roman"/>
                <w:color w:val="000000"/>
                <w:sz w:val="22"/>
                <w:szCs w:val="22"/>
                <w:lang w:eastAsia="en-AU"/>
              </w:rPr>
              <w:t xml:space="preserve"> </w:t>
            </w:r>
            <w:proofErr w:type="spellStart"/>
            <w:r w:rsidRPr="00E13FE5">
              <w:rPr>
                <w:rFonts w:eastAsia="Times New Roman"/>
                <w:color w:val="000000"/>
                <w:sz w:val="22"/>
                <w:szCs w:val="22"/>
                <w:lang w:eastAsia="en-AU"/>
              </w:rPr>
              <w:t>Audiological</w:t>
            </w:r>
            <w:proofErr w:type="spellEnd"/>
            <w:r w:rsidRPr="00E13FE5">
              <w:rPr>
                <w:rFonts w:eastAsia="Times New Roman"/>
                <w:color w:val="000000"/>
                <w:sz w:val="22"/>
                <w:szCs w:val="22"/>
                <w:lang w:eastAsia="en-AU"/>
              </w:rPr>
              <w:t xml:space="preserve"> Care Australia Pty Ltd</w:t>
            </w:r>
          </w:p>
        </w:tc>
      </w:tr>
      <w:tr w:rsidR="005878E0" w:rsidRPr="003651F3" w14:paraId="7F49252A" w14:textId="77777777" w:rsidTr="00603828">
        <w:trPr>
          <w:trHeight w:val="30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14:paraId="2B8468D0"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w:t>
            </w:r>
          </w:p>
        </w:tc>
        <w:tc>
          <w:tcPr>
            <w:tcW w:w="1571" w:type="dxa"/>
            <w:tcBorders>
              <w:top w:val="nil"/>
              <w:left w:val="nil"/>
              <w:bottom w:val="single" w:sz="4" w:space="0" w:color="auto"/>
              <w:right w:val="single" w:sz="4" w:space="0" w:color="auto"/>
            </w:tcBorders>
            <w:shd w:val="clear" w:color="auto" w:fill="auto"/>
            <w:noWrap/>
            <w:vAlign w:val="bottom"/>
            <w:hideMark/>
          </w:tcPr>
          <w:p w14:paraId="11B5B6ED"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Walpole</w:t>
            </w:r>
          </w:p>
        </w:tc>
        <w:tc>
          <w:tcPr>
            <w:tcW w:w="1055" w:type="dxa"/>
            <w:tcBorders>
              <w:top w:val="nil"/>
              <w:left w:val="nil"/>
              <w:bottom w:val="single" w:sz="4" w:space="0" w:color="auto"/>
              <w:right w:val="single" w:sz="4" w:space="0" w:color="auto"/>
            </w:tcBorders>
            <w:shd w:val="clear" w:color="auto" w:fill="auto"/>
            <w:noWrap/>
            <w:vAlign w:val="bottom"/>
            <w:hideMark/>
          </w:tcPr>
          <w:p w14:paraId="033760E4" w14:textId="77777777" w:rsidR="005878E0" w:rsidRPr="00E13FE5" w:rsidRDefault="005878E0" w:rsidP="00603828">
            <w:pPr>
              <w:spacing w:after="0" w:line="240" w:lineRule="auto"/>
              <w:jc w:val="right"/>
              <w:rPr>
                <w:rFonts w:eastAsia="Times New Roman"/>
                <w:color w:val="000000"/>
                <w:sz w:val="22"/>
                <w:szCs w:val="22"/>
                <w:lang w:eastAsia="en-AU"/>
              </w:rPr>
            </w:pPr>
            <w:r w:rsidRPr="00E13FE5">
              <w:rPr>
                <w:rFonts w:eastAsia="Times New Roman"/>
                <w:color w:val="000000"/>
                <w:sz w:val="22"/>
                <w:szCs w:val="22"/>
                <w:lang w:eastAsia="en-AU"/>
              </w:rPr>
              <w:t>6398</w:t>
            </w:r>
          </w:p>
        </w:tc>
        <w:tc>
          <w:tcPr>
            <w:tcW w:w="1212" w:type="dxa"/>
            <w:tcBorders>
              <w:top w:val="nil"/>
              <w:left w:val="nil"/>
              <w:bottom w:val="single" w:sz="4" w:space="0" w:color="auto"/>
              <w:right w:val="single" w:sz="4" w:space="0" w:color="auto"/>
            </w:tcBorders>
            <w:shd w:val="clear" w:color="auto" w:fill="auto"/>
            <w:noWrap/>
            <w:vAlign w:val="bottom"/>
            <w:hideMark/>
          </w:tcPr>
          <w:p w14:paraId="7E8CC68B"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Visiting</w:t>
            </w:r>
          </w:p>
        </w:tc>
        <w:tc>
          <w:tcPr>
            <w:tcW w:w="4880" w:type="dxa"/>
            <w:tcBorders>
              <w:top w:val="nil"/>
              <w:left w:val="nil"/>
              <w:bottom w:val="single" w:sz="4" w:space="0" w:color="auto"/>
              <w:right w:val="single" w:sz="4" w:space="0" w:color="auto"/>
            </w:tcBorders>
            <w:shd w:val="clear" w:color="auto" w:fill="auto"/>
            <w:noWrap/>
            <w:vAlign w:val="bottom"/>
            <w:hideMark/>
          </w:tcPr>
          <w:p w14:paraId="79A9B9C8" w14:textId="77777777" w:rsidR="005878E0" w:rsidRPr="00E13FE5" w:rsidRDefault="005878E0" w:rsidP="00603828">
            <w:pPr>
              <w:spacing w:after="0" w:line="240" w:lineRule="auto"/>
              <w:rPr>
                <w:rFonts w:eastAsia="Times New Roman"/>
                <w:color w:val="000000"/>
                <w:sz w:val="22"/>
                <w:szCs w:val="22"/>
                <w:lang w:eastAsia="en-AU"/>
              </w:rPr>
            </w:pPr>
            <w:r w:rsidRPr="00E13FE5">
              <w:rPr>
                <w:rFonts w:eastAsia="Times New Roman"/>
                <w:color w:val="000000"/>
                <w:sz w:val="22"/>
                <w:szCs w:val="22"/>
                <w:lang w:eastAsia="en-AU"/>
              </w:rPr>
              <w:t xml:space="preserve">Biota Pty Ltd </w:t>
            </w:r>
            <w:proofErr w:type="spellStart"/>
            <w:r w:rsidRPr="00E13FE5">
              <w:rPr>
                <w:rFonts w:eastAsia="Times New Roman"/>
                <w:color w:val="000000"/>
                <w:sz w:val="22"/>
                <w:szCs w:val="22"/>
                <w:lang w:eastAsia="en-AU"/>
              </w:rPr>
              <w:t>Atf</w:t>
            </w:r>
            <w:proofErr w:type="spellEnd"/>
            <w:r w:rsidRPr="00E13FE5">
              <w:rPr>
                <w:rFonts w:eastAsia="Times New Roman"/>
                <w:color w:val="000000"/>
                <w:sz w:val="22"/>
                <w:szCs w:val="22"/>
                <w:lang w:eastAsia="en-AU"/>
              </w:rPr>
              <w:t xml:space="preserve"> The </w:t>
            </w:r>
            <w:proofErr w:type="spellStart"/>
            <w:r w:rsidRPr="00E13FE5">
              <w:rPr>
                <w:rFonts w:eastAsia="Times New Roman"/>
                <w:color w:val="000000"/>
                <w:sz w:val="22"/>
                <w:szCs w:val="22"/>
                <w:lang w:eastAsia="en-AU"/>
              </w:rPr>
              <w:t>Norgaard</w:t>
            </w:r>
            <w:proofErr w:type="spellEnd"/>
            <w:r w:rsidRPr="00E13FE5">
              <w:rPr>
                <w:rFonts w:eastAsia="Times New Roman"/>
                <w:color w:val="000000"/>
                <w:sz w:val="22"/>
                <w:szCs w:val="22"/>
                <w:lang w:eastAsia="en-AU"/>
              </w:rPr>
              <w:t xml:space="preserve"> Family Trust</w:t>
            </w:r>
          </w:p>
        </w:tc>
      </w:tr>
    </w:tbl>
    <w:p w14:paraId="3423B1AC" w14:textId="77777777" w:rsidR="005878E0" w:rsidRPr="00E13FE5" w:rsidRDefault="005878E0" w:rsidP="005878E0">
      <w:pPr>
        <w:rPr>
          <w:sz w:val="22"/>
          <w:szCs w:val="22"/>
        </w:rPr>
      </w:pPr>
    </w:p>
    <w:p w14:paraId="5863DF3C" w14:textId="77777777" w:rsidR="005878E0" w:rsidRPr="00E13FE5" w:rsidRDefault="005878E0" w:rsidP="005878E0">
      <w:pPr>
        <w:rPr>
          <w:rFonts w:eastAsiaTheme="majorEastAsia"/>
          <w:color w:val="2E74B5" w:themeColor="accent1" w:themeShade="BF"/>
          <w:sz w:val="22"/>
          <w:szCs w:val="22"/>
        </w:rPr>
      </w:pPr>
    </w:p>
    <w:p w14:paraId="5C039C1F" w14:textId="6DE01A6C" w:rsidR="00230BDB" w:rsidRPr="00E13FE5" w:rsidRDefault="00230BDB">
      <w:pPr>
        <w:rPr>
          <w:rFonts w:eastAsiaTheme="majorEastAsia"/>
          <w:color w:val="2E74B5" w:themeColor="accent1" w:themeShade="BF"/>
          <w:sz w:val="22"/>
          <w:szCs w:val="22"/>
        </w:rPr>
      </w:pPr>
      <w:bookmarkStart w:id="66" w:name="_Toc55830257"/>
      <w:bookmarkStart w:id="67" w:name="_Toc55905551"/>
      <w:bookmarkStart w:id="68" w:name="_Toc55988667"/>
      <w:bookmarkStart w:id="69" w:name="_Toc55988870"/>
      <w:bookmarkStart w:id="70" w:name="_Toc55999071"/>
      <w:bookmarkStart w:id="71" w:name="_Toc56000470"/>
      <w:bookmarkStart w:id="72" w:name="_Toc56000678"/>
      <w:bookmarkStart w:id="73" w:name="_Toc56515205"/>
      <w:bookmarkStart w:id="74" w:name="_Toc57121151"/>
      <w:bookmarkStart w:id="75" w:name="_Toc57305993"/>
      <w:bookmarkStart w:id="76" w:name="_Toc55830258"/>
      <w:bookmarkStart w:id="77" w:name="_Toc55905552"/>
      <w:bookmarkStart w:id="78" w:name="_Toc55988668"/>
      <w:bookmarkStart w:id="79" w:name="_Toc55988871"/>
      <w:bookmarkStart w:id="80" w:name="_Toc55999072"/>
      <w:bookmarkStart w:id="81" w:name="_Toc56000471"/>
      <w:bookmarkStart w:id="82" w:name="_Toc56000679"/>
      <w:bookmarkStart w:id="83" w:name="_Toc56515206"/>
      <w:bookmarkStart w:id="84" w:name="_Toc57121152"/>
      <w:bookmarkStart w:id="85" w:name="_Toc57305994"/>
      <w:bookmarkStart w:id="86" w:name="_Toc57305996"/>
      <w:bookmarkStart w:id="87" w:name="_Toc57305999"/>
      <w:bookmarkStart w:id="88" w:name="_Toc57306000"/>
      <w:bookmarkStart w:id="89" w:name="_Toc57306002"/>
      <w:bookmarkStart w:id="90" w:name="_Toc57306008"/>
      <w:bookmarkStart w:id="91" w:name="_Toc55485207"/>
      <w:bookmarkStart w:id="92" w:name="_Toc55485272"/>
      <w:bookmarkStart w:id="93" w:name="_Toc55561436"/>
      <w:bookmarkStart w:id="94" w:name="_Toc55561514"/>
      <w:bookmarkStart w:id="95" w:name="_Toc55568468"/>
      <w:bookmarkStart w:id="96" w:name="_Toc55830262"/>
      <w:bookmarkStart w:id="97" w:name="_Toc55905556"/>
      <w:bookmarkStart w:id="98" w:name="_Toc55988672"/>
      <w:bookmarkStart w:id="99" w:name="_Toc55988875"/>
      <w:bookmarkStart w:id="100" w:name="_Toc55999075"/>
      <w:bookmarkStart w:id="101" w:name="_Toc56000474"/>
      <w:bookmarkStart w:id="102" w:name="_Toc56000682"/>
      <w:bookmarkStart w:id="103" w:name="_Toc56515209"/>
      <w:bookmarkStart w:id="104" w:name="_Toc57121155"/>
      <w:bookmarkStart w:id="105" w:name="_Toc55397386"/>
      <w:bookmarkStart w:id="106" w:name="_Toc55485211"/>
      <w:bookmarkStart w:id="107" w:name="_Toc55485276"/>
      <w:bookmarkStart w:id="108" w:name="_Toc55561440"/>
      <w:bookmarkStart w:id="109" w:name="_Toc55561518"/>
      <w:bookmarkStart w:id="110" w:name="_Toc55397397"/>
      <w:bookmarkStart w:id="111" w:name="_Toc55485222"/>
      <w:bookmarkStart w:id="112" w:name="_Toc55485287"/>
      <w:bookmarkStart w:id="113" w:name="_Toc55561451"/>
      <w:bookmarkStart w:id="114" w:name="_Toc55561529"/>
      <w:bookmarkStart w:id="115" w:name="_Toc55568479"/>
      <w:bookmarkStart w:id="116" w:name="_Toc55397399"/>
      <w:bookmarkStart w:id="117" w:name="_Toc55485224"/>
      <w:bookmarkStart w:id="118" w:name="_Toc55485289"/>
      <w:bookmarkStart w:id="119" w:name="_Toc55561453"/>
      <w:bookmarkStart w:id="120" w:name="_Toc55561531"/>
      <w:bookmarkStart w:id="121" w:name="_Toc55568482"/>
      <w:bookmarkStart w:id="122" w:name="_Toc55830275"/>
      <w:bookmarkStart w:id="123" w:name="_Toc55905569"/>
      <w:bookmarkStart w:id="124" w:name="_Toc55397400"/>
      <w:bookmarkStart w:id="125" w:name="_Toc55485225"/>
      <w:bookmarkStart w:id="126" w:name="_Toc55485290"/>
      <w:bookmarkStart w:id="127" w:name="_Toc55561458"/>
      <w:bookmarkStart w:id="128" w:name="_Toc55561536"/>
      <w:bookmarkStart w:id="129" w:name="_Toc55397405"/>
      <w:bookmarkStart w:id="130" w:name="_Toc55485230"/>
      <w:bookmarkStart w:id="131" w:name="_Toc55485295"/>
      <w:bookmarkStart w:id="132" w:name="_Toc55561459"/>
      <w:bookmarkStart w:id="133" w:name="_Toc55561537"/>
      <w:bookmarkStart w:id="134" w:name="_Toc55568484"/>
      <w:bookmarkStart w:id="135" w:name="_Toc55830277"/>
      <w:bookmarkStart w:id="136" w:name="_Toc55905571"/>
      <w:bookmarkStart w:id="137" w:name="_Toc55397407"/>
      <w:bookmarkStart w:id="138" w:name="_Toc55485232"/>
      <w:bookmarkStart w:id="139" w:name="_Toc55485297"/>
      <w:bookmarkStart w:id="140" w:name="_Toc55397424"/>
      <w:bookmarkStart w:id="141" w:name="_Toc55485247"/>
      <w:bookmarkStart w:id="142" w:name="_Toc55485312"/>
      <w:bookmarkStart w:id="143" w:name="_Toc55561476"/>
      <w:bookmarkStart w:id="144" w:name="_Toc55561554"/>
      <w:bookmarkStart w:id="145" w:name="_Toc55568494"/>
      <w:bookmarkStart w:id="146" w:name="_Toc55830287"/>
      <w:bookmarkStart w:id="147" w:name="_Toc55905581"/>
      <w:bookmarkStart w:id="148" w:name="_Toc56525357"/>
      <w:bookmarkStart w:id="149" w:name="_Toc57121168"/>
      <w:bookmarkStart w:id="150" w:name="_Toc57306011"/>
      <w:bookmarkStart w:id="151" w:name="_Toc56515222"/>
      <w:bookmarkStart w:id="152" w:name="_Toc55397426"/>
      <w:bookmarkStart w:id="153" w:name="_Toc55485249"/>
      <w:bookmarkStart w:id="154" w:name="_Toc55485314"/>
      <w:bookmarkStart w:id="155" w:name="_Toc55561478"/>
      <w:bookmarkStart w:id="156" w:name="_Toc55561556"/>
      <w:bookmarkStart w:id="157" w:name="_Toc55568496"/>
      <w:bookmarkStart w:id="158" w:name="_Toc55830289"/>
      <w:bookmarkStart w:id="159" w:name="_Toc55905583"/>
      <w:bookmarkStart w:id="160" w:name="_Toc55988687"/>
      <w:bookmarkStart w:id="161" w:name="_Toc55988890"/>
      <w:bookmarkStart w:id="162" w:name="_Ref55992793"/>
      <w:bookmarkStart w:id="163" w:name="_Ref55992902"/>
      <w:bookmarkStart w:id="164" w:name="_Toc55999090"/>
      <w:bookmarkStart w:id="165" w:name="_Toc56000697"/>
      <w:bookmarkStart w:id="166" w:name="_Toc55397427"/>
      <w:bookmarkStart w:id="167" w:name="_Toc55485250"/>
      <w:bookmarkStart w:id="168" w:name="_Toc55485315"/>
      <w:bookmarkStart w:id="169" w:name="_Toc55561479"/>
      <w:bookmarkStart w:id="170" w:name="_Toc55561557"/>
      <w:bookmarkStart w:id="171" w:name="_Toc55568497"/>
      <w:bookmarkStart w:id="172" w:name="_Toc55830290"/>
      <w:bookmarkStart w:id="173" w:name="_Toc55905584"/>
      <w:bookmarkStart w:id="174" w:name="_Toc55397428"/>
      <w:bookmarkStart w:id="175" w:name="_Toc55485251"/>
      <w:bookmarkStart w:id="176" w:name="_Toc55485316"/>
      <w:bookmarkStart w:id="177" w:name="_Toc55561480"/>
      <w:bookmarkStart w:id="178" w:name="_Toc55561558"/>
      <w:bookmarkStart w:id="179" w:name="_Toc55568498"/>
      <w:bookmarkStart w:id="180" w:name="_Toc55830291"/>
      <w:bookmarkStart w:id="181" w:name="_Toc55905585"/>
      <w:bookmarkStart w:id="182" w:name="_Toc55397430"/>
      <w:bookmarkStart w:id="183" w:name="_Toc55485253"/>
      <w:bookmarkStart w:id="184" w:name="_Toc55485318"/>
      <w:bookmarkStart w:id="185" w:name="_Toc55561482"/>
      <w:bookmarkStart w:id="186" w:name="_Toc55561560"/>
      <w:bookmarkStart w:id="187" w:name="_Toc55568500"/>
      <w:bookmarkStart w:id="188" w:name="_Toc55830293"/>
      <w:bookmarkStart w:id="189" w:name="_Toc55905587"/>
      <w:bookmarkStart w:id="190" w:name="_Toc55397431"/>
      <w:bookmarkStart w:id="191" w:name="_Toc55485254"/>
      <w:bookmarkStart w:id="192" w:name="_Toc55485319"/>
      <w:bookmarkStart w:id="193" w:name="_Toc55561483"/>
      <w:bookmarkStart w:id="194" w:name="_Toc55561561"/>
      <w:bookmarkStart w:id="195" w:name="_Toc55568501"/>
      <w:bookmarkStart w:id="196" w:name="_Toc55830294"/>
      <w:bookmarkStart w:id="197" w:name="_Toc55905588"/>
      <w:bookmarkStart w:id="198" w:name="_Toc55397433"/>
      <w:bookmarkStart w:id="199" w:name="_Toc55485256"/>
      <w:bookmarkStart w:id="200" w:name="_Toc55485321"/>
      <w:bookmarkStart w:id="201" w:name="_Toc55561485"/>
      <w:bookmarkStart w:id="202" w:name="_Toc55561563"/>
      <w:bookmarkStart w:id="203" w:name="_Toc55568503"/>
      <w:bookmarkStart w:id="204" w:name="_Toc55830296"/>
      <w:bookmarkStart w:id="205" w:name="_Toc55905590"/>
      <w:bookmarkStart w:id="206" w:name="_Toc55397436"/>
      <w:bookmarkStart w:id="207" w:name="_Toc55485259"/>
      <w:bookmarkStart w:id="208" w:name="_Toc55485324"/>
      <w:bookmarkStart w:id="209" w:name="_Toc55561488"/>
      <w:bookmarkStart w:id="210" w:name="_Toc55561566"/>
      <w:bookmarkStart w:id="211" w:name="_Toc55568506"/>
      <w:bookmarkStart w:id="212" w:name="_Toc55830299"/>
      <w:bookmarkStart w:id="213" w:name="_Toc55905593"/>
      <w:bookmarkStart w:id="214" w:name="_Toc57300277"/>
      <w:bookmarkStart w:id="215" w:name="_Toc57305956"/>
      <w:bookmarkStart w:id="216" w:name="_Toc57306019"/>
      <w:bookmarkStart w:id="217" w:name="_Toc56515231"/>
      <w:bookmarkStart w:id="218" w:name="_Toc57121175"/>
      <w:bookmarkStart w:id="219" w:name="_Toc57306020"/>
      <w:bookmarkStart w:id="220" w:name="_Toc56515195"/>
      <w:bookmarkStart w:id="221" w:name="_Toc57121198"/>
      <w:bookmarkStart w:id="222" w:name="_Toc56515232"/>
      <w:bookmarkStart w:id="223" w:name="_Toc57121176"/>
      <w:bookmarkStart w:id="224" w:name="_Toc57306021"/>
      <w:bookmarkStart w:id="225" w:name="_Toc55988689"/>
      <w:bookmarkStart w:id="226" w:name="_Toc55988892"/>
      <w:bookmarkStart w:id="227" w:name="_Toc55999092"/>
      <w:bookmarkStart w:id="228" w:name="_Toc56000699"/>
      <w:bookmarkStart w:id="229" w:name="_Toc55485262"/>
      <w:bookmarkStart w:id="230" w:name="_Toc55485327"/>
      <w:bookmarkStart w:id="231" w:name="_Toc55397439"/>
      <w:bookmarkStart w:id="232" w:name="_Toc57189304"/>
      <w:bookmarkStart w:id="233" w:name="_Toc57306026"/>
      <w:bookmarkStart w:id="234" w:name="_Toc55397441"/>
      <w:bookmarkStart w:id="235" w:name="_Ref55986750"/>
      <w:bookmarkStart w:id="236" w:name="_Toc55988691"/>
      <w:bookmarkStart w:id="237" w:name="_Toc55988894"/>
      <w:bookmarkStart w:id="238" w:name="_Toc55999094"/>
      <w:bookmarkStart w:id="239" w:name="_Toc56000701"/>
      <w:bookmarkStart w:id="240" w:name="_Toc56515236"/>
      <w:bookmarkStart w:id="241" w:name="_Toc57121182"/>
      <w:bookmarkStart w:id="242" w:name="_Toc56515237"/>
      <w:bookmarkStart w:id="243" w:name="_Toc57121183"/>
      <w:bookmarkStart w:id="244" w:name="_Toc57306027"/>
      <w:bookmarkStart w:id="245" w:name="_Toc55485264"/>
      <w:bookmarkStart w:id="246" w:name="_Toc55485329"/>
      <w:bookmarkStart w:id="247" w:name="_Toc55561498"/>
      <w:bookmarkStart w:id="248" w:name="_Toc55561576"/>
      <w:bookmarkStart w:id="249" w:name="_Toc55568515"/>
      <w:bookmarkStart w:id="250" w:name="_Toc55830308"/>
      <w:bookmarkStart w:id="251" w:name="_Toc55905602"/>
      <w:bookmarkStart w:id="252" w:name="_Ref55987712"/>
      <w:bookmarkStart w:id="253" w:name="_Toc55988692"/>
      <w:bookmarkStart w:id="254" w:name="_Toc55988895"/>
      <w:bookmarkStart w:id="255" w:name="_Toc55999095"/>
      <w:bookmarkStart w:id="256" w:name="_Toc56000702"/>
      <w:bookmarkStart w:id="257" w:name="_Toc5539744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sectPr w:rsidR="00230BDB" w:rsidRPr="00E13FE5" w:rsidSect="004D5E43">
      <w:footerReference w:type="default" r:id="rId20"/>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A0122" w14:textId="77777777" w:rsidR="003806E7" w:rsidRDefault="003806E7" w:rsidP="009F60D4">
      <w:pPr>
        <w:spacing w:after="0" w:line="240" w:lineRule="auto"/>
      </w:pPr>
      <w:r>
        <w:separator/>
      </w:r>
    </w:p>
    <w:p w14:paraId="75CA522F" w14:textId="77777777" w:rsidR="003806E7" w:rsidRDefault="003806E7"/>
  </w:endnote>
  <w:endnote w:type="continuationSeparator" w:id="0">
    <w:p w14:paraId="73B3731F" w14:textId="77777777" w:rsidR="003806E7" w:rsidRDefault="003806E7" w:rsidP="009F60D4">
      <w:pPr>
        <w:spacing w:after="0" w:line="240" w:lineRule="auto"/>
      </w:pPr>
      <w:r>
        <w:continuationSeparator/>
      </w:r>
    </w:p>
    <w:p w14:paraId="4654577C" w14:textId="77777777" w:rsidR="003806E7" w:rsidRDefault="003806E7"/>
  </w:endnote>
  <w:endnote w:type="continuationNotice" w:id="1">
    <w:p w14:paraId="04F99FCC" w14:textId="77777777" w:rsidR="003806E7" w:rsidRDefault="003806E7">
      <w:pPr>
        <w:spacing w:after="0" w:line="240" w:lineRule="auto"/>
      </w:pPr>
    </w:p>
    <w:p w14:paraId="7774030A" w14:textId="77777777" w:rsidR="003806E7" w:rsidRDefault="003806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4C9C4" w14:textId="273C9137" w:rsidR="003806E7" w:rsidRDefault="003806E7">
    <w:pPr>
      <w:pStyle w:val="Footer"/>
    </w:pPr>
    <w:r>
      <w:tab/>
    </w:r>
    <w:r>
      <w:tab/>
    </w:r>
    <w:r>
      <w:fldChar w:fldCharType="begin"/>
    </w:r>
    <w:r>
      <w:instrText xml:space="preserve"> PAGE   \* MERGEFORMAT </w:instrText>
    </w:r>
    <w:r>
      <w:fldChar w:fldCharType="separate"/>
    </w:r>
    <w:r w:rsidR="00DD11FB">
      <w:rPr>
        <w:noProof/>
      </w:rPr>
      <w:t>19</w:t>
    </w:r>
    <w:r>
      <w:rPr>
        <w:noProof/>
      </w:rPr>
      <w:fldChar w:fldCharType="end"/>
    </w:r>
  </w:p>
  <w:p w14:paraId="2D0D5C3D" w14:textId="77777777" w:rsidR="003806E7" w:rsidRDefault="003806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1E0A9" w14:textId="77777777" w:rsidR="003806E7" w:rsidRDefault="003806E7" w:rsidP="009F60D4">
      <w:pPr>
        <w:spacing w:after="0" w:line="240" w:lineRule="auto"/>
      </w:pPr>
      <w:r>
        <w:separator/>
      </w:r>
    </w:p>
    <w:p w14:paraId="1F845DCE" w14:textId="77777777" w:rsidR="003806E7" w:rsidRDefault="003806E7"/>
  </w:footnote>
  <w:footnote w:type="continuationSeparator" w:id="0">
    <w:p w14:paraId="50D4E831" w14:textId="77777777" w:rsidR="003806E7" w:rsidRDefault="003806E7" w:rsidP="009F60D4">
      <w:pPr>
        <w:spacing w:after="0" w:line="240" w:lineRule="auto"/>
      </w:pPr>
      <w:r>
        <w:continuationSeparator/>
      </w:r>
    </w:p>
    <w:p w14:paraId="12DC8D6D" w14:textId="77777777" w:rsidR="003806E7" w:rsidRDefault="003806E7"/>
  </w:footnote>
  <w:footnote w:type="continuationNotice" w:id="1">
    <w:p w14:paraId="18B755C7" w14:textId="77777777" w:rsidR="003806E7" w:rsidRDefault="003806E7">
      <w:pPr>
        <w:spacing w:after="0" w:line="240" w:lineRule="auto"/>
      </w:pPr>
    </w:p>
    <w:p w14:paraId="4C627155" w14:textId="77777777" w:rsidR="003806E7" w:rsidRDefault="003806E7"/>
  </w:footnote>
  <w:footnote w:id="2">
    <w:p w14:paraId="03D8D33D" w14:textId="467D1B52" w:rsidR="003806E7" w:rsidRDefault="003806E7" w:rsidP="005878E0">
      <w:pPr>
        <w:pStyle w:val="FootnoteText"/>
      </w:pPr>
      <w:r>
        <w:rPr>
          <w:rStyle w:val="FootnoteReference"/>
        </w:rPr>
        <w:footnoteRef/>
      </w:r>
      <w:r>
        <w:t xml:space="preserve"> </w:t>
      </w:r>
      <w:r w:rsidRPr="00580A51">
        <w:t xml:space="preserve">Note that this data includes some consumers who </w:t>
      </w:r>
      <w:r>
        <w:t>have</w:t>
      </w:r>
      <w:r w:rsidRPr="00580A51">
        <w:t xml:space="preserve"> since deceased.</w:t>
      </w:r>
      <w:r>
        <w:t xml:space="preserve"> The Program does not complete any data matching to account for mortality.</w:t>
      </w:r>
    </w:p>
  </w:footnote>
  <w:footnote w:id="3">
    <w:p w14:paraId="302C8BC0" w14:textId="77777777" w:rsidR="003806E7" w:rsidRDefault="003806E7" w:rsidP="005878E0">
      <w:pPr>
        <w:pStyle w:val="FootnoteText"/>
      </w:pPr>
      <w:r>
        <w:rPr>
          <w:rStyle w:val="FootnoteReference"/>
        </w:rPr>
        <w:footnoteRef/>
      </w:r>
      <w:r>
        <w:t xml:space="preserve"> For example, a First Nations Australian aged 52 years old is eligible for the CSO Scheme. They may receive a hearing assessment, which determines that they do not have any hearing loss. In this instance, they would be counted in the total consumer figures.</w:t>
      </w:r>
    </w:p>
  </w:footnote>
  <w:footnote w:id="4">
    <w:p w14:paraId="37FA0E41" w14:textId="77777777" w:rsidR="003806E7" w:rsidRDefault="003806E7" w:rsidP="005878E0">
      <w:pPr>
        <w:pStyle w:val="FootnoteText"/>
      </w:pPr>
      <w:r>
        <w:rPr>
          <w:rStyle w:val="FootnoteReference"/>
        </w:rPr>
        <w:footnoteRef/>
      </w:r>
      <w:r>
        <w:t xml:space="preserve"> The Program also notes that some consumers are eligible for both the Voucher and CSO Schemes (e.g. a First Nations Australian who is also a DVA Gold cardholder). In those instances, consumers may receive their devices through either of the CSO or Voucher Schemes.</w:t>
      </w:r>
    </w:p>
  </w:footnote>
  <w:footnote w:id="5">
    <w:p w14:paraId="0F01B4B9" w14:textId="77777777" w:rsidR="003806E7" w:rsidRDefault="003806E7" w:rsidP="005878E0">
      <w:pPr>
        <w:pStyle w:val="FootnoteText"/>
      </w:pPr>
      <w:r>
        <w:rPr>
          <w:rStyle w:val="FootnoteReference"/>
        </w:rPr>
        <w:footnoteRef/>
      </w:r>
      <w:r>
        <w:t xml:space="preserve"> Consumer’s regions are based on the postcode that is entered in their client record in the Hearing Services Online (HSO) portal. Postcodes are checked for validity, but are not audited.</w:t>
      </w:r>
    </w:p>
  </w:footnote>
  <w:footnote w:id="6">
    <w:p w14:paraId="4F7EE044" w14:textId="0A7842A2" w:rsidR="003806E7" w:rsidRDefault="003806E7" w:rsidP="005878E0">
      <w:pPr>
        <w:pStyle w:val="FootnoteText"/>
      </w:pPr>
      <w:r>
        <w:rPr>
          <w:rStyle w:val="FootnoteReference"/>
        </w:rPr>
        <w:footnoteRef/>
      </w:r>
      <w:r>
        <w:t xml:space="preserve"> Defined as only having one provider organisation who delivered hearing services in the Voucher scheme, at any point in the FY2019-20 year, within a 50km distance. Note that this excludes Hearing Australia sites but includes private provider visiting sites, and (in some cases) multiple sites within that distance from the same provider. See </w:t>
      </w:r>
      <w:r w:rsidRPr="00A03249">
        <w:t>Communities dependent on a single provider.</w:t>
      </w:r>
    </w:p>
  </w:footnote>
  <w:footnote w:id="7">
    <w:p w14:paraId="516E8058" w14:textId="77777777" w:rsidR="003806E7" w:rsidRDefault="003806E7" w:rsidP="005878E0">
      <w:pPr>
        <w:pStyle w:val="FootnoteText"/>
      </w:pPr>
      <w:r>
        <w:rPr>
          <w:rStyle w:val="FootnoteReference"/>
        </w:rPr>
        <w:footnoteRef/>
      </w:r>
      <w:r>
        <w:t xml:space="preserve"> This doesn’t mean that all people living in disadvantaged rural and remote local government areas have a low socio-economic status. </w:t>
      </w:r>
    </w:p>
  </w:footnote>
  <w:footnote w:id="8">
    <w:p w14:paraId="173EA289" w14:textId="0492FB47" w:rsidR="003806E7" w:rsidRDefault="003806E7" w:rsidP="005878E0">
      <w:pPr>
        <w:pStyle w:val="FootnoteText"/>
      </w:pPr>
      <w:r>
        <w:rPr>
          <w:rStyle w:val="FootnoteReference"/>
        </w:rPr>
        <w:footnoteRef/>
      </w:r>
      <w:r>
        <w:t xml:space="preserve"> At the time of analysis, ‘franchises’ refers to sites operated by </w:t>
      </w:r>
      <w:proofErr w:type="spellStart"/>
      <w:r>
        <w:t>Specsavers</w:t>
      </w:r>
      <w:proofErr w:type="spellEnd"/>
      <w:r>
        <w:t>. This provider has a different operating model to the other large providers, in that it does not operate as a conglomerate and hence does not cross-subsidise across site locations</w:t>
      </w:r>
      <w:sdt>
        <w:sdtPr>
          <w:id w:val="1262188181"/>
          <w:citation/>
        </w:sdtPr>
        <w:sdtEndPr/>
        <w:sdtContent>
          <w:r>
            <w:fldChar w:fldCharType="begin"/>
          </w:r>
          <w:r>
            <w:instrText xml:space="preserve"> CITATION Spe20 \l 3081 </w:instrText>
          </w:r>
          <w:r>
            <w:fldChar w:fldCharType="separate"/>
          </w:r>
          <w:r>
            <w:rPr>
              <w:noProof/>
            </w:rPr>
            <w:t xml:space="preserve"> (Specsavers, 2020)</w:t>
          </w:r>
          <w:r>
            <w:fldChar w:fldCharType="end"/>
          </w:r>
        </w:sdtContent>
      </w:sdt>
      <w:r>
        <w:t>.</w:t>
      </w:r>
    </w:p>
  </w:footnote>
  <w:footnote w:id="9">
    <w:p w14:paraId="44E21352" w14:textId="77777777" w:rsidR="003806E7" w:rsidRDefault="003806E7" w:rsidP="005878E0">
      <w:pPr>
        <w:pStyle w:val="FootnoteText"/>
      </w:pPr>
      <w:r>
        <w:rPr>
          <w:rStyle w:val="FootnoteReference"/>
        </w:rPr>
        <w:footnoteRef/>
      </w:r>
      <w:r w:rsidDel="00287BB0">
        <w:t xml:space="preserve"> </w:t>
      </w:r>
      <w:r>
        <w:t>Some of these issues may be addressed in policy and solution design, but at a minimum there would be a requirement for additional verification of address data, and spot-checks of service delivery, relating to all services that attract the loading payment.</w:t>
      </w:r>
    </w:p>
  </w:footnote>
  <w:footnote w:id="10">
    <w:p w14:paraId="300C078F" w14:textId="77777777" w:rsidR="003806E7" w:rsidRDefault="003806E7" w:rsidP="005878E0">
      <w:pPr>
        <w:pStyle w:val="FootnoteText"/>
      </w:pPr>
      <w:r>
        <w:rPr>
          <w:rStyle w:val="FootnoteReference"/>
        </w:rPr>
        <w:footnoteRef/>
      </w:r>
      <w:r>
        <w:t xml:space="preserve"> Possibly based on the locations of their traditional sites (clinics), although this is one of several potential options.</w:t>
      </w:r>
    </w:p>
  </w:footnote>
  <w:footnote w:id="11">
    <w:p w14:paraId="588AB976" w14:textId="6B0157FA" w:rsidR="003806E7" w:rsidRDefault="003806E7" w:rsidP="005878E0">
      <w:pPr>
        <w:pStyle w:val="FootnoteText"/>
      </w:pPr>
      <w:r>
        <w:rPr>
          <w:rStyle w:val="FootnoteReference"/>
        </w:rPr>
        <w:footnoteRef/>
      </w:r>
      <w:r>
        <w:t xml:space="preserve"> Due to the additional layer of the other allied health professional, and the need to financially support this additional layer.</w:t>
      </w:r>
    </w:p>
  </w:footnote>
  <w:footnote w:id="12">
    <w:p w14:paraId="60080C89" w14:textId="77777777" w:rsidR="003806E7" w:rsidRDefault="003806E7" w:rsidP="005878E0">
      <w:pPr>
        <w:pStyle w:val="FootnoteText"/>
      </w:pPr>
      <w:r>
        <w:rPr>
          <w:rStyle w:val="FootnoteReference"/>
        </w:rPr>
        <w:footnoteRef/>
      </w:r>
      <w:r>
        <w:t>Hearing Australia is now a Statutory Body. It was previously a public provider with sole ownership of the publicly subsidised hearing services market.</w:t>
      </w:r>
    </w:p>
  </w:footnote>
  <w:footnote w:id="13">
    <w:p w14:paraId="35F779EC" w14:textId="77777777" w:rsidR="003806E7" w:rsidRDefault="003806E7" w:rsidP="005878E0">
      <w:pPr>
        <w:pStyle w:val="FootnoteText"/>
      </w:pPr>
      <w:r w:rsidRPr="00756C97">
        <w:rPr>
          <w:rStyle w:val="FootnoteReference"/>
        </w:rPr>
        <w:footnoteRef/>
      </w:r>
      <w:r w:rsidRPr="00756C97">
        <w:rPr>
          <w:rStyle w:val="FootnoteReference"/>
        </w:rPr>
        <w:t xml:space="preserve"> </w:t>
      </w:r>
      <w:r>
        <w:t>Noting that the Program does capture address data, but that investigations have demonstrated that this information is of variable quality and not suited for this analysis.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42C8"/>
    <w:multiLevelType w:val="hybridMultilevel"/>
    <w:tmpl w:val="8D266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F1176C"/>
    <w:multiLevelType w:val="hybridMultilevel"/>
    <w:tmpl w:val="5A76B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51A47"/>
    <w:multiLevelType w:val="hybridMultilevel"/>
    <w:tmpl w:val="C7E2C1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D31EC5"/>
    <w:multiLevelType w:val="hybridMultilevel"/>
    <w:tmpl w:val="34C86B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A4D670E"/>
    <w:multiLevelType w:val="hybridMultilevel"/>
    <w:tmpl w:val="B2526A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E4DAA"/>
    <w:multiLevelType w:val="hybridMultilevel"/>
    <w:tmpl w:val="632861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FA436B2"/>
    <w:multiLevelType w:val="hybridMultilevel"/>
    <w:tmpl w:val="31224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1F1E21"/>
    <w:multiLevelType w:val="hybridMultilevel"/>
    <w:tmpl w:val="3E5C9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26072E"/>
    <w:multiLevelType w:val="hybridMultilevel"/>
    <w:tmpl w:val="7E420A14"/>
    <w:lvl w:ilvl="0" w:tplc="97F2A320">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F607AF"/>
    <w:multiLevelType w:val="hybridMultilevel"/>
    <w:tmpl w:val="AE487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3D457E"/>
    <w:multiLevelType w:val="hybridMultilevel"/>
    <w:tmpl w:val="7E18BE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C10E2C"/>
    <w:multiLevelType w:val="hybridMultilevel"/>
    <w:tmpl w:val="D256D8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4D24BA"/>
    <w:multiLevelType w:val="hybridMultilevel"/>
    <w:tmpl w:val="7C10F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D00D60"/>
    <w:multiLevelType w:val="hybridMultilevel"/>
    <w:tmpl w:val="75465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5D065E"/>
    <w:multiLevelType w:val="hybridMultilevel"/>
    <w:tmpl w:val="924E275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3C6CCE"/>
    <w:multiLevelType w:val="hybridMultilevel"/>
    <w:tmpl w:val="CF58E5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BC0E7B"/>
    <w:multiLevelType w:val="hybridMultilevel"/>
    <w:tmpl w:val="4A2CE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297E16"/>
    <w:multiLevelType w:val="hybridMultilevel"/>
    <w:tmpl w:val="161A2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840C2F"/>
    <w:multiLevelType w:val="hybridMultilevel"/>
    <w:tmpl w:val="362A5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487B0A"/>
    <w:multiLevelType w:val="hybridMultilevel"/>
    <w:tmpl w:val="E3E66B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BD5631"/>
    <w:multiLevelType w:val="hybridMultilevel"/>
    <w:tmpl w:val="9E8E2D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104ABE"/>
    <w:multiLevelType w:val="hybridMultilevel"/>
    <w:tmpl w:val="51E0596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47DA321F"/>
    <w:multiLevelType w:val="hybridMultilevel"/>
    <w:tmpl w:val="F32ED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835F00"/>
    <w:multiLevelType w:val="hybridMultilevel"/>
    <w:tmpl w:val="7F7AD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EC18CE"/>
    <w:multiLevelType w:val="hybridMultilevel"/>
    <w:tmpl w:val="82660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F00DFE"/>
    <w:multiLevelType w:val="hybridMultilevel"/>
    <w:tmpl w:val="696E3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D55ACD"/>
    <w:multiLevelType w:val="hybridMultilevel"/>
    <w:tmpl w:val="60868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5359C8"/>
    <w:multiLevelType w:val="hybridMultilevel"/>
    <w:tmpl w:val="855ED1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9D0736"/>
    <w:multiLevelType w:val="hybridMultilevel"/>
    <w:tmpl w:val="8E70F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FB14AF5"/>
    <w:multiLevelType w:val="hybridMultilevel"/>
    <w:tmpl w:val="D92877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AA4F02"/>
    <w:multiLevelType w:val="hybridMultilevel"/>
    <w:tmpl w:val="6D4A0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F15E5C"/>
    <w:multiLevelType w:val="hybridMultilevel"/>
    <w:tmpl w:val="81D2D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711317E"/>
    <w:multiLevelType w:val="hybridMultilevel"/>
    <w:tmpl w:val="F956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0C177B"/>
    <w:multiLevelType w:val="hybridMultilevel"/>
    <w:tmpl w:val="14AA25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5F7999"/>
    <w:multiLevelType w:val="hybridMultilevel"/>
    <w:tmpl w:val="7542F85C"/>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5" w15:restartNumberingAfterBreak="0">
    <w:nsid w:val="7AB37272"/>
    <w:multiLevelType w:val="hybridMultilevel"/>
    <w:tmpl w:val="52D05C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12"/>
  </w:num>
  <w:num w:numId="3">
    <w:abstractNumId w:val="14"/>
  </w:num>
  <w:num w:numId="4">
    <w:abstractNumId w:val="2"/>
  </w:num>
  <w:num w:numId="5">
    <w:abstractNumId w:val="6"/>
  </w:num>
  <w:num w:numId="6">
    <w:abstractNumId w:val="1"/>
  </w:num>
  <w:num w:numId="7">
    <w:abstractNumId w:val="32"/>
  </w:num>
  <w:num w:numId="8">
    <w:abstractNumId w:val="13"/>
  </w:num>
  <w:num w:numId="9">
    <w:abstractNumId w:val="22"/>
  </w:num>
  <w:num w:numId="10">
    <w:abstractNumId w:val="26"/>
  </w:num>
  <w:num w:numId="11">
    <w:abstractNumId w:val="9"/>
  </w:num>
  <w:num w:numId="12">
    <w:abstractNumId w:val="34"/>
  </w:num>
  <w:num w:numId="13">
    <w:abstractNumId w:val="7"/>
  </w:num>
  <w:num w:numId="14">
    <w:abstractNumId w:val="17"/>
  </w:num>
  <w:num w:numId="15">
    <w:abstractNumId w:val="15"/>
  </w:num>
  <w:num w:numId="16">
    <w:abstractNumId w:val="4"/>
  </w:num>
  <w:num w:numId="17">
    <w:abstractNumId w:val="33"/>
  </w:num>
  <w:num w:numId="18">
    <w:abstractNumId w:val="20"/>
  </w:num>
  <w:num w:numId="19">
    <w:abstractNumId w:val="10"/>
  </w:num>
  <w:num w:numId="20">
    <w:abstractNumId w:val="11"/>
  </w:num>
  <w:num w:numId="21">
    <w:abstractNumId w:val="8"/>
  </w:num>
  <w:num w:numId="22">
    <w:abstractNumId w:val="27"/>
  </w:num>
  <w:num w:numId="23">
    <w:abstractNumId w:val="16"/>
  </w:num>
  <w:num w:numId="24">
    <w:abstractNumId w:val="29"/>
  </w:num>
  <w:num w:numId="25">
    <w:abstractNumId w:val="31"/>
  </w:num>
  <w:num w:numId="26">
    <w:abstractNumId w:val="21"/>
  </w:num>
  <w:num w:numId="27">
    <w:abstractNumId w:val="3"/>
  </w:num>
  <w:num w:numId="28">
    <w:abstractNumId w:val="23"/>
  </w:num>
  <w:num w:numId="29">
    <w:abstractNumId w:val="5"/>
  </w:num>
  <w:num w:numId="30">
    <w:abstractNumId w:val="24"/>
  </w:num>
  <w:num w:numId="31">
    <w:abstractNumId w:val="35"/>
  </w:num>
  <w:num w:numId="32">
    <w:abstractNumId w:val="19"/>
  </w:num>
  <w:num w:numId="33">
    <w:abstractNumId w:val="28"/>
  </w:num>
  <w:num w:numId="34">
    <w:abstractNumId w:val="30"/>
  </w:num>
  <w:num w:numId="35">
    <w:abstractNumId w:val="0"/>
  </w:num>
  <w:num w:numId="36">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D0F"/>
    <w:rsid w:val="00002F1A"/>
    <w:rsid w:val="0000433D"/>
    <w:rsid w:val="00004BEB"/>
    <w:rsid w:val="00005A5A"/>
    <w:rsid w:val="000067D5"/>
    <w:rsid w:val="00006E6C"/>
    <w:rsid w:val="00007968"/>
    <w:rsid w:val="0001071E"/>
    <w:rsid w:val="00010F97"/>
    <w:rsid w:val="00011458"/>
    <w:rsid w:val="000115F5"/>
    <w:rsid w:val="00012C33"/>
    <w:rsid w:val="0001438A"/>
    <w:rsid w:val="00014E77"/>
    <w:rsid w:val="000150D9"/>
    <w:rsid w:val="00017434"/>
    <w:rsid w:val="00020C8F"/>
    <w:rsid w:val="00024009"/>
    <w:rsid w:val="0002468D"/>
    <w:rsid w:val="000247FA"/>
    <w:rsid w:val="000251D4"/>
    <w:rsid w:val="0002580F"/>
    <w:rsid w:val="000260A6"/>
    <w:rsid w:val="00026476"/>
    <w:rsid w:val="00026705"/>
    <w:rsid w:val="00027C72"/>
    <w:rsid w:val="0003043D"/>
    <w:rsid w:val="00030849"/>
    <w:rsid w:val="00031DBB"/>
    <w:rsid w:val="000344DA"/>
    <w:rsid w:val="00034FDD"/>
    <w:rsid w:val="00035F6C"/>
    <w:rsid w:val="000365BF"/>
    <w:rsid w:val="000402D0"/>
    <w:rsid w:val="000411CC"/>
    <w:rsid w:val="00042671"/>
    <w:rsid w:val="00042F6F"/>
    <w:rsid w:val="00051A5F"/>
    <w:rsid w:val="0005216E"/>
    <w:rsid w:val="00055E7F"/>
    <w:rsid w:val="000561F6"/>
    <w:rsid w:val="00057A80"/>
    <w:rsid w:val="0006018B"/>
    <w:rsid w:val="0006183E"/>
    <w:rsid w:val="0006203F"/>
    <w:rsid w:val="000627FD"/>
    <w:rsid w:val="00062DA0"/>
    <w:rsid w:val="00063873"/>
    <w:rsid w:val="00064474"/>
    <w:rsid w:val="00064931"/>
    <w:rsid w:val="0006497A"/>
    <w:rsid w:val="00066AC0"/>
    <w:rsid w:val="0007153B"/>
    <w:rsid w:val="000723A5"/>
    <w:rsid w:val="00072B8B"/>
    <w:rsid w:val="00074118"/>
    <w:rsid w:val="000742DC"/>
    <w:rsid w:val="00074F08"/>
    <w:rsid w:val="0007570E"/>
    <w:rsid w:val="00075926"/>
    <w:rsid w:val="0007656D"/>
    <w:rsid w:val="00077120"/>
    <w:rsid w:val="000777FA"/>
    <w:rsid w:val="00081641"/>
    <w:rsid w:val="00082CE9"/>
    <w:rsid w:val="00083F75"/>
    <w:rsid w:val="00085855"/>
    <w:rsid w:val="00086117"/>
    <w:rsid w:val="00086479"/>
    <w:rsid w:val="000916EB"/>
    <w:rsid w:val="00091BC3"/>
    <w:rsid w:val="00096FE4"/>
    <w:rsid w:val="000A06C5"/>
    <w:rsid w:val="000A20BF"/>
    <w:rsid w:val="000A2B87"/>
    <w:rsid w:val="000A2F75"/>
    <w:rsid w:val="000A45D4"/>
    <w:rsid w:val="000A4E74"/>
    <w:rsid w:val="000A665B"/>
    <w:rsid w:val="000B0948"/>
    <w:rsid w:val="000B1641"/>
    <w:rsid w:val="000B2B2D"/>
    <w:rsid w:val="000B3FB6"/>
    <w:rsid w:val="000B4D1E"/>
    <w:rsid w:val="000B5092"/>
    <w:rsid w:val="000B58A3"/>
    <w:rsid w:val="000B58C8"/>
    <w:rsid w:val="000B60D1"/>
    <w:rsid w:val="000B60F9"/>
    <w:rsid w:val="000B69AE"/>
    <w:rsid w:val="000B7A3B"/>
    <w:rsid w:val="000B7F42"/>
    <w:rsid w:val="000C0F29"/>
    <w:rsid w:val="000C11F1"/>
    <w:rsid w:val="000C44E8"/>
    <w:rsid w:val="000C6E3E"/>
    <w:rsid w:val="000C72F2"/>
    <w:rsid w:val="000C75BB"/>
    <w:rsid w:val="000D006F"/>
    <w:rsid w:val="000D199E"/>
    <w:rsid w:val="000D2DEC"/>
    <w:rsid w:val="000D2F4A"/>
    <w:rsid w:val="000D55E0"/>
    <w:rsid w:val="000D6437"/>
    <w:rsid w:val="000D6D03"/>
    <w:rsid w:val="000D74DE"/>
    <w:rsid w:val="000E0066"/>
    <w:rsid w:val="000E0864"/>
    <w:rsid w:val="000E163B"/>
    <w:rsid w:val="000E17ED"/>
    <w:rsid w:val="000E1BA8"/>
    <w:rsid w:val="000E30DB"/>
    <w:rsid w:val="000E3CCE"/>
    <w:rsid w:val="000E4356"/>
    <w:rsid w:val="000E495E"/>
    <w:rsid w:val="000E6B6A"/>
    <w:rsid w:val="000E7B2A"/>
    <w:rsid w:val="000F1C16"/>
    <w:rsid w:val="000F2CD2"/>
    <w:rsid w:val="000F318A"/>
    <w:rsid w:val="000F3FC1"/>
    <w:rsid w:val="000F46A1"/>
    <w:rsid w:val="000F5A82"/>
    <w:rsid w:val="000F682B"/>
    <w:rsid w:val="000F6F4E"/>
    <w:rsid w:val="000F74F7"/>
    <w:rsid w:val="001006D2"/>
    <w:rsid w:val="00101C1E"/>
    <w:rsid w:val="00102024"/>
    <w:rsid w:val="001022A0"/>
    <w:rsid w:val="00102B56"/>
    <w:rsid w:val="00102BDB"/>
    <w:rsid w:val="00104563"/>
    <w:rsid w:val="00104A96"/>
    <w:rsid w:val="00104B17"/>
    <w:rsid w:val="00105844"/>
    <w:rsid w:val="00106861"/>
    <w:rsid w:val="00106927"/>
    <w:rsid w:val="00110406"/>
    <w:rsid w:val="0011060B"/>
    <w:rsid w:val="001107B1"/>
    <w:rsid w:val="00114F03"/>
    <w:rsid w:val="00115F16"/>
    <w:rsid w:val="00116B1F"/>
    <w:rsid w:val="00117DCC"/>
    <w:rsid w:val="00120818"/>
    <w:rsid w:val="0012179D"/>
    <w:rsid w:val="00122926"/>
    <w:rsid w:val="001234F9"/>
    <w:rsid w:val="00123676"/>
    <w:rsid w:val="00123F63"/>
    <w:rsid w:val="0012401F"/>
    <w:rsid w:val="001245B7"/>
    <w:rsid w:val="0012686C"/>
    <w:rsid w:val="00127B97"/>
    <w:rsid w:val="00127D8A"/>
    <w:rsid w:val="00130587"/>
    <w:rsid w:val="001310A1"/>
    <w:rsid w:val="00132432"/>
    <w:rsid w:val="001332EF"/>
    <w:rsid w:val="00133375"/>
    <w:rsid w:val="00133BFF"/>
    <w:rsid w:val="00134539"/>
    <w:rsid w:val="00134CEC"/>
    <w:rsid w:val="00135855"/>
    <w:rsid w:val="00136355"/>
    <w:rsid w:val="0014005D"/>
    <w:rsid w:val="00144C2D"/>
    <w:rsid w:val="00144D29"/>
    <w:rsid w:val="0014529D"/>
    <w:rsid w:val="001462B8"/>
    <w:rsid w:val="00150890"/>
    <w:rsid w:val="001520BE"/>
    <w:rsid w:val="00155011"/>
    <w:rsid w:val="001564FC"/>
    <w:rsid w:val="001569D8"/>
    <w:rsid w:val="001601C5"/>
    <w:rsid w:val="00160D25"/>
    <w:rsid w:val="0016148B"/>
    <w:rsid w:val="00161ADB"/>
    <w:rsid w:val="0016462C"/>
    <w:rsid w:val="00164721"/>
    <w:rsid w:val="00166229"/>
    <w:rsid w:val="001668C1"/>
    <w:rsid w:val="00166E0D"/>
    <w:rsid w:val="00167880"/>
    <w:rsid w:val="00167A10"/>
    <w:rsid w:val="0017018F"/>
    <w:rsid w:val="00172FA7"/>
    <w:rsid w:val="001733FC"/>
    <w:rsid w:val="00175044"/>
    <w:rsid w:val="00175225"/>
    <w:rsid w:val="001767B2"/>
    <w:rsid w:val="00176E40"/>
    <w:rsid w:val="00182F00"/>
    <w:rsid w:val="00183E06"/>
    <w:rsid w:val="001845AD"/>
    <w:rsid w:val="0018687A"/>
    <w:rsid w:val="0018731F"/>
    <w:rsid w:val="00187399"/>
    <w:rsid w:val="00187480"/>
    <w:rsid w:val="001905A4"/>
    <w:rsid w:val="00191741"/>
    <w:rsid w:val="0019192B"/>
    <w:rsid w:val="00193081"/>
    <w:rsid w:val="00194370"/>
    <w:rsid w:val="0019509A"/>
    <w:rsid w:val="001954FC"/>
    <w:rsid w:val="0019553C"/>
    <w:rsid w:val="0019653A"/>
    <w:rsid w:val="001A0CDD"/>
    <w:rsid w:val="001A2DFD"/>
    <w:rsid w:val="001A3710"/>
    <w:rsid w:val="001A4A1C"/>
    <w:rsid w:val="001A4F89"/>
    <w:rsid w:val="001A5791"/>
    <w:rsid w:val="001A637C"/>
    <w:rsid w:val="001A72FF"/>
    <w:rsid w:val="001B03EA"/>
    <w:rsid w:val="001B234A"/>
    <w:rsid w:val="001B29A2"/>
    <w:rsid w:val="001B49C4"/>
    <w:rsid w:val="001B52E0"/>
    <w:rsid w:val="001B71C9"/>
    <w:rsid w:val="001B750D"/>
    <w:rsid w:val="001B7DD9"/>
    <w:rsid w:val="001C17A6"/>
    <w:rsid w:val="001C242C"/>
    <w:rsid w:val="001C2E4B"/>
    <w:rsid w:val="001C394F"/>
    <w:rsid w:val="001C4382"/>
    <w:rsid w:val="001C63B0"/>
    <w:rsid w:val="001D0413"/>
    <w:rsid w:val="001D1506"/>
    <w:rsid w:val="001D41FD"/>
    <w:rsid w:val="001D5286"/>
    <w:rsid w:val="001E0036"/>
    <w:rsid w:val="001E0E93"/>
    <w:rsid w:val="001E2331"/>
    <w:rsid w:val="001E410F"/>
    <w:rsid w:val="001E4A94"/>
    <w:rsid w:val="001F181A"/>
    <w:rsid w:val="001F2172"/>
    <w:rsid w:val="001F495E"/>
    <w:rsid w:val="001F4A7B"/>
    <w:rsid w:val="001F515B"/>
    <w:rsid w:val="001F5428"/>
    <w:rsid w:val="001F627E"/>
    <w:rsid w:val="001F7251"/>
    <w:rsid w:val="001F72FF"/>
    <w:rsid w:val="002008A4"/>
    <w:rsid w:val="00200A48"/>
    <w:rsid w:val="00200FAD"/>
    <w:rsid w:val="002010F5"/>
    <w:rsid w:val="00202414"/>
    <w:rsid w:val="0020520B"/>
    <w:rsid w:val="00205A0E"/>
    <w:rsid w:val="00205E02"/>
    <w:rsid w:val="00205E7F"/>
    <w:rsid w:val="0020659E"/>
    <w:rsid w:val="00206FDA"/>
    <w:rsid w:val="002075C0"/>
    <w:rsid w:val="002102DE"/>
    <w:rsid w:val="00210980"/>
    <w:rsid w:val="002113E0"/>
    <w:rsid w:val="00211A85"/>
    <w:rsid w:val="002120DD"/>
    <w:rsid w:val="00213BB8"/>
    <w:rsid w:val="00213FB8"/>
    <w:rsid w:val="002149C8"/>
    <w:rsid w:val="00214A2D"/>
    <w:rsid w:val="00220D46"/>
    <w:rsid w:val="00222A97"/>
    <w:rsid w:val="0022309B"/>
    <w:rsid w:val="00224AAD"/>
    <w:rsid w:val="002304AE"/>
    <w:rsid w:val="00230BDB"/>
    <w:rsid w:val="00231E26"/>
    <w:rsid w:val="0023236D"/>
    <w:rsid w:val="0023242D"/>
    <w:rsid w:val="00232C01"/>
    <w:rsid w:val="00232F1F"/>
    <w:rsid w:val="00233A77"/>
    <w:rsid w:val="00236301"/>
    <w:rsid w:val="0023643E"/>
    <w:rsid w:val="002367CF"/>
    <w:rsid w:val="002412D9"/>
    <w:rsid w:val="00241D2E"/>
    <w:rsid w:val="002426E6"/>
    <w:rsid w:val="00247D56"/>
    <w:rsid w:val="0025094A"/>
    <w:rsid w:val="002518CE"/>
    <w:rsid w:val="00251A0C"/>
    <w:rsid w:val="002521D8"/>
    <w:rsid w:val="002524F6"/>
    <w:rsid w:val="00254C85"/>
    <w:rsid w:val="00255B9A"/>
    <w:rsid w:val="00256CB7"/>
    <w:rsid w:val="00256F40"/>
    <w:rsid w:val="002570EE"/>
    <w:rsid w:val="002572B3"/>
    <w:rsid w:val="00257E17"/>
    <w:rsid w:val="00260606"/>
    <w:rsid w:val="00261184"/>
    <w:rsid w:val="00262DB4"/>
    <w:rsid w:val="00263082"/>
    <w:rsid w:val="00263FF3"/>
    <w:rsid w:val="00264009"/>
    <w:rsid w:val="002650A1"/>
    <w:rsid w:val="00270005"/>
    <w:rsid w:val="00271D6D"/>
    <w:rsid w:val="00274B1A"/>
    <w:rsid w:val="00274CE5"/>
    <w:rsid w:val="002756F8"/>
    <w:rsid w:val="00275853"/>
    <w:rsid w:val="00275A0D"/>
    <w:rsid w:val="00275A9B"/>
    <w:rsid w:val="00280050"/>
    <w:rsid w:val="00282FE7"/>
    <w:rsid w:val="002835E8"/>
    <w:rsid w:val="00283CCF"/>
    <w:rsid w:val="0028447A"/>
    <w:rsid w:val="00285752"/>
    <w:rsid w:val="002870C3"/>
    <w:rsid w:val="002877C6"/>
    <w:rsid w:val="00287BB0"/>
    <w:rsid w:val="00293194"/>
    <w:rsid w:val="002934B8"/>
    <w:rsid w:val="002935B2"/>
    <w:rsid w:val="00296DC8"/>
    <w:rsid w:val="002974D7"/>
    <w:rsid w:val="002977E3"/>
    <w:rsid w:val="002A05B6"/>
    <w:rsid w:val="002A0639"/>
    <w:rsid w:val="002A0BA4"/>
    <w:rsid w:val="002A1391"/>
    <w:rsid w:val="002A4337"/>
    <w:rsid w:val="002A5365"/>
    <w:rsid w:val="002A5ECD"/>
    <w:rsid w:val="002A6907"/>
    <w:rsid w:val="002A70D6"/>
    <w:rsid w:val="002A7679"/>
    <w:rsid w:val="002B01B8"/>
    <w:rsid w:val="002B1CEE"/>
    <w:rsid w:val="002B2219"/>
    <w:rsid w:val="002B30D0"/>
    <w:rsid w:val="002B3539"/>
    <w:rsid w:val="002B6CDA"/>
    <w:rsid w:val="002B75D0"/>
    <w:rsid w:val="002C02F7"/>
    <w:rsid w:val="002C17F4"/>
    <w:rsid w:val="002C37E1"/>
    <w:rsid w:val="002C473C"/>
    <w:rsid w:val="002C5BF1"/>
    <w:rsid w:val="002D04F7"/>
    <w:rsid w:val="002D07EA"/>
    <w:rsid w:val="002D52C0"/>
    <w:rsid w:val="002D5AE8"/>
    <w:rsid w:val="002D5CF8"/>
    <w:rsid w:val="002D7600"/>
    <w:rsid w:val="002E0FEA"/>
    <w:rsid w:val="002E12E6"/>
    <w:rsid w:val="002E1516"/>
    <w:rsid w:val="002E30F2"/>
    <w:rsid w:val="002E38DB"/>
    <w:rsid w:val="002E3B59"/>
    <w:rsid w:val="002E44E4"/>
    <w:rsid w:val="002E5318"/>
    <w:rsid w:val="002E5525"/>
    <w:rsid w:val="002E57CC"/>
    <w:rsid w:val="002E6E19"/>
    <w:rsid w:val="002E7C67"/>
    <w:rsid w:val="002F05D1"/>
    <w:rsid w:val="002F22BE"/>
    <w:rsid w:val="002F2F03"/>
    <w:rsid w:val="002F32BF"/>
    <w:rsid w:val="002F32C4"/>
    <w:rsid w:val="002F6143"/>
    <w:rsid w:val="002F6364"/>
    <w:rsid w:val="002F6AAB"/>
    <w:rsid w:val="002F7516"/>
    <w:rsid w:val="0030013D"/>
    <w:rsid w:val="0030106F"/>
    <w:rsid w:val="00301FA7"/>
    <w:rsid w:val="0030208E"/>
    <w:rsid w:val="0030277D"/>
    <w:rsid w:val="00302A1C"/>
    <w:rsid w:val="0030361F"/>
    <w:rsid w:val="0030436A"/>
    <w:rsid w:val="00304FC5"/>
    <w:rsid w:val="00305C6C"/>
    <w:rsid w:val="00306BB4"/>
    <w:rsid w:val="003071E2"/>
    <w:rsid w:val="0030755A"/>
    <w:rsid w:val="003106D0"/>
    <w:rsid w:val="00310D8F"/>
    <w:rsid w:val="00311079"/>
    <w:rsid w:val="003114B1"/>
    <w:rsid w:val="00312D59"/>
    <w:rsid w:val="00313020"/>
    <w:rsid w:val="003133BB"/>
    <w:rsid w:val="00313454"/>
    <w:rsid w:val="003145B8"/>
    <w:rsid w:val="00314A51"/>
    <w:rsid w:val="00315757"/>
    <w:rsid w:val="00316EAA"/>
    <w:rsid w:val="00317512"/>
    <w:rsid w:val="00317DF4"/>
    <w:rsid w:val="0032100C"/>
    <w:rsid w:val="0032218A"/>
    <w:rsid w:val="00322671"/>
    <w:rsid w:val="00322B39"/>
    <w:rsid w:val="003255AE"/>
    <w:rsid w:val="00325951"/>
    <w:rsid w:val="00330507"/>
    <w:rsid w:val="003309BD"/>
    <w:rsid w:val="00334DC5"/>
    <w:rsid w:val="00335745"/>
    <w:rsid w:val="00340ED0"/>
    <w:rsid w:val="00342D06"/>
    <w:rsid w:val="003443C0"/>
    <w:rsid w:val="003450AB"/>
    <w:rsid w:val="0034654D"/>
    <w:rsid w:val="003470E6"/>
    <w:rsid w:val="003527A4"/>
    <w:rsid w:val="00352F9A"/>
    <w:rsid w:val="003531B5"/>
    <w:rsid w:val="00353713"/>
    <w:rsid w:val="003539A3"/>
    <w:rsid w:val="00354140"/>
    <w:rsid w:val="00354981"/>
    <w:rsid w:val="00354E41"/>
    <w:rsid w:val="00356066"/>
    <w:rsid w:val="00356FE1"/>
    <w:rsid w:val="0036040C"/>
    <w:rsid w:val="00360D1B"/>
    <w:rsid w:val="0036148B"/>
    <w:rsid w:val="003617A7"/>
    <w:rsid w:val="00361AE9"/>
    <w:rsid w:val="00362DBF"/>
    <w:rsid w:val="00364AE9"/>
    <w:rsid w:val="003651F3"/>
    <w:rsid w:val="00365561"/>
    <w:rsid w:val="003655A4"/>
    <w:rsid w:val="003665E1"/>
    <w:rsid w:val="003670EA"/>
    <w:rsid w:val="003674A2"/>
    <w:rsid w:val="00367D9C"/>
    <w:rsid w:val="00371664"/>
    <w:rsid w:val="00373212"/>
    <w:rsid w:val="003734CD"/>
    <w:rsid w:val="00373B24"/>
    <w:rsid w:val="00373BFD"/>
    <w:rsid w:val="00374A78"/>
    <w:rsid w:val="00374D58"/>
    <w:rsid w:val="0037697B"/>
    <w:rsid w:val="003771A7"/>
    <w:rsid w:val="00380530"/>
    <w:rsid w:val="003806E7"/>
    <w:rsid w:val="00380B00"/>
    <w:rsid w:val="00382EDE"/>
    <w:rsid w:val="00383ECE"/>
    <w:rsid w:val="00386759"/>
    <w:rsid w:val="00386AC1"/>
    <w:rsid w:val="00387BED"/>
    <w:rsid w:val="00390034"/>
    <w:rsid w:val="003966F7"/>
    <w:rsid w:val="0039777C"/>
    <w:rsid w:val="00397FB5"/>
    <w:rsid w:val="003A2751"/>
    <w:rsid w:val="003A3534"/>
    <w:rsid w:val="003A3620"/>
    <w:rsid w:val="003A4DF1"/>
    <w:rsid w:val="003A608D"/>
    <w:rsid w:val="003B0C2E"/>
    <w:rsid w:val="003B1AA5"/>
    <w:rsid w:val="003B32D2"/>
    <w:rsid w:val="003B3528"/>
    <w:rsid w:val="003B3A0F"/>
    <w:rsid w:val="003B4626"/>
    <w:rsid w:val="003B6C3A"/>
    <w:rsid w:val="003B72C2"/>
    <w:rsid w:val="003B7CB1"/>
    <w:rsid w:val="003C00DA"/>
    <w:rsid w:val="003C0BF1"/>
    <w:rsid w:val="003C343F"/>
    <w:rsid w:val="003C351B"/>
    <w:rsid w:val="003C46AA"/>
    <w:rsid w:val="003D0CAF"/>
    <w:rsid w:val="003D119E"/>
    <w:rsid w:val="003D20D7"/>
    <w:rsid w:val="003D248C"/>
    <w:rsid w:val="003D28B0"/>
    <w:rsid w:val="003D33BE"/>
    <w:rsid w:val="003D392A"/>
    <w:rsid w:val="003D39E1"/>
    <w:rsid w:val="003D3B81"/>
    <w:rsid w:val="003D437F"/>
    <w:rsid w:val="003D53EC"/>
    <w:rsid w:val="003D5E6E"/>
    <w:rsid w:val="003D65C2"/>
    <w:rsid w:val="003D711D"/>
    <w:rsid w:val="003D774A"/>
    <w:rsid w:val="003D7E88"/>
    <w:rsid w:val="003D7F33"/>
    <w:rsid w:val="003E02FE"/>
    <w:rsid w:val="003E0B2C"/>
    <w:rsid w:val="003E3E48"/>
    <w:rsid w:val="003E451F"/>
    <w:rsid w:val="003E619C"/>
    <w:rsid w:val="003E6286"/>
    <w:rsid w:val="003E63BE"/>
    <w:rsid w:val="003E7594"/>
    <w:rsid w:val="003F0AC1"/>
    <w:rsid w:val="003F0DE9"/>
    <w:rsid w:val="003F366A"/>
    <w:rsid w:val="003F378F"/>
    <w:rsid w:val="003F3D89"/>
    <w:rsid w:val="003F6800"/>
    <w:rsid w:val="003F6E73"/>
    <w:rsid w:val="004001CC"/>
    <w:rsid w:val="0040024D"/>
    <w:rsid w:val="00400C31"/>
    <w:rsid w:val="00401A56"/>
    <w:rsid w:val="00402A81"/>
    <w:rsid w:val="004059DE"/>
    <w:rsid w:val="004064BB"/>
    <w:rsid w:val="00410240"/>
    <w:rsid w:val="004104D3"/>
    <w:rsid w:val="004111A2"/>
    <w:rsid w:val="00412C74"/>
    <w:rsid w:val="00413F1D"/>
    <w:rsid w:val="0041498E"/>
    <w:rsid w:val="00416BB1"/>
    <w:rsid w:val="00417504"/>
    <w:rsid w:val="00417BEA"/>
    <w:rsid w:val="00420B46"/>
    <w:rsid w:val="00420B64"/>
    <w:rsid w:val="00420D22"/>
    <w:rsid w:val="00420DDE"/>
    <w:rsid w:val="0042283F"/>
    <w:rsid w:val="00426D1F"/>
    <w:rsid w:val="004301D9"/>
    <w:rsid w:val="004303EC"/>
    <w:rsid w:val="00430A93"/>
    <w:rsid w:val="00433D99"/>
    <w:rsid w:val="00434B77"/>
    <w:rsid w:val="00435112"/>
    <w:rsid w:val="00437783"/>
    <w:rsid w:val="004377D4"/>
    <w:rsid w:val="004402F9"/>
    <w:rsid w:val="00441405"/>
    <w:rsid w:val="00442009"/>
    <w:rsid w:val="004458B4"/>
    <w:rsid w:val="0044628B"/>
    <w:rsid w:val="00447A35"/>
    <w:rsid w:val="0045235D"/>
    <w:rsid w:val="00452BDB"/>
    <w:rsid w:val="0045332D"/>
    <w:rsid w:val="00453A06"/>
    <w:rsid w:val="004569F7"/>
    <w:rsid w:val="00456F76"/>
    <w:rsid w:val="00457485"/>
    <w:rsid w:val="00457A72"/>
    <w:rsid w:val="00457C33"/>
    <w:rsid w:val="00461060"/>
    <w:rsid w:val="00461AEB"/>
    <w:rsid w:val="00461D2D"/>
    <w:rsid w:val="00462BD0"/>
    <w:rsid w:val="00463E33"/>
    <w:rsid w:val="00467504"/>
    <w:rsid w:val="0046758B"/>
    <w:rsid w:val="004704DB"/>
    <w:rsid w:val="0047296D"/>
    <w:rsid w:val="00472F3F"/>
    <w:rsid w:val="00472F45"/>
    <w:rsid w:val="00473AF5"/>
    <w:rsid w:val="00473EF1"/>
    <w:rsid w:val="004743C6"/>
    <w:rsid w:val="004746BB"/>
    <w:rsid w:val="0047639B"/>
    <w:rsid w:val="00481A7D"/>
    <w:rsid w:val="00482F31"/>
    <w:rsid w:val="00483B58"/>
    <w:rsid w:val="0048449E"/>
    <w:rsid w:val="0048459F"/>
    <w:rsid w:val="0048663B"/>
    <w:rsid w:val="00486677"/>
    <w:rsid w:val="004910E4"/>
    <w:rsid w:val="004923A7"/>
    <w:rsid w:val="00492D37"/>
    <w:rsid w:val="00496B71"/>
    <w:rsid w:val="004970A7"/>
    <w:rsid w:val="00497B08"/>
    <w:rsid w:val="004A150C"/>
    <w:rsid w:val="004A1A79"/>
    <w:rsid w:val="004A1C0F"/>
    <w:rsid w:val="004A31BE"/>
    <w:rsid w:val="004A3269"/>
    <w:rsid w:val="004A34E5"/>
    <w:rsid w:val="004A35FB"/>
    <w:rsid w:val="004A43C8"/>
    <w:rsid w:val="004A476B"/>
    <w:rsid w:val="004A626F"/>
    <w:rsid w:val="004B3082"/>
    <w:rsid w:val="004B337F"/>
    <w:rsid w:val="004B4D84"/>
    <w:rsid w:val="004B735D"/>
    <w:rsid w:val="004B7CE3"/>
    <w:rsid w:val="004C1871"/>
    <w:rsid w:val="004C1B51"/>
    <w:rsid w:val="004C354F"/>
    <w:rsid w:val="004C3E04"/>
    <w:rsid w:val="004C4B04"/>
    <w:rsid w:val="004C50A9"/>
    <w:rsid w:val="004C5941"/>
    <w:rsid w:val="004C5BD7"/>
    <w:rsid w:val="004C5DB2"/>
    <w:rsid w:val="004C6198"/>
    <w:rsid w:val="004C7C8C"/>
    <w:rsid w:val="004D209F"/>
    <w:rsid w:val="004D259A"/>
    <w:rsid w:val="004D2B47"/>
    <w:rsid w:val="004D3009"/>
    <w:rsid w:val="004D44C3"/>
    <w:rsid w:val="004D5E43"/>
    <w:rsid w:val="004D64A0"/>
    <w:rsid w:val="004D7A85"/>
    <w:rsid w:val="004D7DCC"/>
    <w:rsid w:val="004E036B"/>
    <w:rsid w:val="004E0ADE"/>
    <w:rsid w:val="004E0FDD"/>
    <w:rsid w:val="004E18F8"/>
    <w:rsid w:val="004E1C04"/>
    <w:rsid w:val="004E2568"/>
    <w:rsid w:val="004E266B"/>
    <w:rsid w:val="004E2FCB"/>
    <w:rsid w:val="004E5613"/>
    <w:rsid w:val="004E5AFF"/>
    <w:rsid w:val="004E5BF4"/>
    <w:rsid w:val="004E6075"/>
    <w:rsid w:val="004F203A"/>
    <w:rsid w:val="004F219E"/>
    <w:rsid w:val="004F2BD0"/>
    <w:rsid w:val="004F306A"/>
    <w:rsid w:val="004F3CB2"/>
    <w:rsid w:val="004F3FE5"/>
    <w:rsid w:val="004F4CE4"/>
    <w:rsid w:val="004F5FCB"/>
    <w:rsid w:val="004F765A"/>
    <w:rsid w:val="004F7A03"/>
    <w:rsid w:val="004F7CB2"/>
    <w:rsid w:val="00500402"/>
    <w:rsid w:val="00501895"/>
    <w:rsid w:val="00501B28"/>
    <w:rsid w:val="00501D9D"/>
    <w:rsid w:val="005048C9"/>
    <w:rsid w:val="00504B09"/>
    <w:rsid w:val="00505EF5"/>
    <w:rsid w:val="005063EE"/>
    <w:rsid w:val="005071A4"/>
    <w:rsid w:val="0050792D"/>
    <w:rsid w:val="00507BB8"/>
    <w:rsid w:val="0051167E"/>
    <w:rsid w:val="00511A07"/>
    <w:rsid w:val="005120CA"/>
    <w:rsid w:val="00512DD3"/>
    <w:rsid w:val="00515066"/>
    <w:rsid w:val="0051537E"/>
    <w:rsid w:val="005156C8"/>
    <w:rsid w:val="00516074"/>
    <w:rsid w:val="00516BAF"/>
    <w:rsid w:val="00517D99"/>
    <w:rsid w:val="005205CE"/>
    <w:rsid w:val="005209BC"/>
    <w:rsid w:val="00520DFD"/>
    <w:rsid w:val="0052183C"/>
    <w:rsid w:val="00522B30"/>
    <w:rsid w:val="005252B5"/>
    <w:rsid w:val="0052576E"/>
    <w:rsid w:val="00525C83"/>
    <w:rsid w:val="005273A0"/>
    <w:rsid w:val="00527D4A"/>
    <w:rsid w:val="005335F8"/>
    <w:rsid w:val="00533901"/>
    <w:rsid w:val="00533D61"/>
    <w:rsid w:val="0053408A"/>
    <w:rsid w:val="00536E9E"/>
    <w:rsid w:val="00540CDC"/>
    <w:rsid w:val="00542F74"/>
    <w:rsid w:val="00544171"/>
    <w:rsid w:val="00544A35"/>
    <w:rsid w:val="00545A02"/>
    <w:rsid w:val="00545F75"/>
    <w:rsid w:val="0054744C"/>
    <w:rsid w:val="00547B06"/>
    <w:rsid w:val="005517B6"/>
    <w:rsid w:val="005539EF"/>
    <w:rsid w:val="00553DE6"/>
    <w:rsid w:val="0055444D"/>
    <w:rsid w:val="00555B53"/>
    <w:rsid w:val="00555B60"/>
    <w:rsid w:val="00555D5A"/>
    <w:rsid w:val="00556233"/>
    <w:rsid w:val="00557077"/>
    <w:rsid w:val="00561B3A"/>
    <w:rsid w:val="00562925"/>
    <w:rsid w:val="00563F6B"/>
    <w:rsid w:val="00565843"/>
    <w:rsid w:val="005663A3"/>
    <w:rsid w:val="005666CD"/>
    <w:rsid w:val="00567271"/>
    <w:rsid w:val="005705BF"/>
    <w:rsid w:val="0057119F"/>
    <w:rsid w:val="005711D7"/>
    <w:rsid w:val="00571757"/>
    <w:rsid w:val="00574CFA"/>
    <w:rsid w:val="00575083"/>
    <w:rsid w:val="00577498"/>
    <w:rsid w:val="00580A51"/>
    <w:rsid w:val="00581489"/>
    <w:rsid w:val="00581F46"/>
    <w:rsid w:val="00584251"/>
    <w:rsid w:val="00586214"/>
    <w:rsid w:val="005869ED"/>
    <w:rsid w:val="00587147"/>
    <w:rsid w:val="005878E0"/>
    <w:rsid w:val="00587AA7"/>
    <w:rsid w:val="00591A1A"/>
    <w:rsid w:val="0059291A"/>
    <w:rsid w:val="00593E0F"/>
    <w:rsid w:val="00594682"/>
    <w:rsid w:val="00594DE4"/>
    <w:rsid w:val="00595C63"/>
    <w:rsid w:val="00597D38"/>
    <w:rsid w:val="005A1D6F"/>
    <w:rsid w:val="005A2EE6"/>
    <w:rsid w:val="005A306E"/>
    <w:rsid w:val="005A351D"/>
    <w:rsid w:val="005A3B97"/>
    <w:rsid w:val="005A41CD"/>
    <w:rsid w:val="005A4555"/>
    <w:rsid w:val="005A7131"/>
    <w:rsid w:val="005A7757"/>
    <w:rsid w:val="005A7AC3"/>
    <w:rsid w:val="005B09A8"/>
    <w:rsid w:val="005B10D0"/>
    <w:rsid w:val="005B1164"/>
    <w:rsid w:val="005B304B"/>
    <w:rsid w:val="005B4EDA"/>
    <w:rsid w:val="005B623F"/>
    <w:rsid w:val="005B6333"/>
    <w:rsid w:val="005B6A53"/>
    <w:rsid w:val="005B7D91"/>
    <w:rsid w:val="005C1F3C"/>
    <w:rsid w:val="005C2171"/>
    <w:rsid w:val="005C3CCC"/>
    <w:rsid w:val="005C4BA0"/>
    <w:rsid w:val="005C528C"/>
    <w:rsid w:val="005C5D64"/>
    <w:rsid w:val="005C617C"/>
    <w:rsid w:val="005C78AA"/>
    <w:rsid w:val="005D052A"/>
    <w:rsid w:val="005D0703"/>
    <w:rsid w:val="005D20E2"/>
    <w:rsid w:val="005D24F7"/>
    <w:rsid w:val="005D2D43"/>
    <w:rsid w:val="005D3E40"/>
    <w:rsid w:val="005D6F27"/>
    <w:rsid w:val="005D7B32"/>
    <w:rsid w:val="005E00B5"/>
    <w:rsid w:val="005E23B0"/>
    <w:rsid w:val="005E24DA"/>
    <w:rsid w:val="005E3D4F"/>
    <w:rsid w:val="005E3F9E"/>
    <w:rsid w:val="005E4EBD"/>
    <w:rsid w:val="005E64E2"/>
    <w:rsid w:val="005E7684"/>
    <w:rsid w:val="005F250F"/>
    <w:rsid w:val="005F3A65"/>
    <w:rsid w:val="005F3F55"/>
    <w:rsid w:val="005F41E3"/>
    <w:rsid w:val="005F4E6A"/>
    <w:rsid w:val="005F60B8"/>
    <w:rsid w:val="005F6BB7"/>
    <w:rsid w:val="005F6D72"/>
    <w:rsid w:val="0060023B"/>
    <w:rsid w:val="00603828"/>
    <w:rsid w:val="00603DA4"/>
    <w:rsid w:val="00603E65"/>
    <w:rsid w:val="006041BC"/>
    <w:rsid w:val="00605DAB"/>
    <w:rsid w:val="00606B45"/>
    <w:rsid w:val="00606BD1"/>
    <w:rsid w:val="00606D2A"/>
    <w:rsid w:val="00606D58"/>
    <w:rsid w:val="0060783E"/>
    <w:rsid w:val="00610BE9"/>
    <w:rsid w:val="00612282"/>
    <w:rsid w:val="00612776"/>
    <w:rsid w:val="0061400E"/>
    <w:rsid w:val="00614094"/>
    <w:rsid w:val="006142C5"/>
    <w:rsid w:val="00614BA9"/>
    <w:rsid w:val="00615641"/>
    <w:rsid w:val="0062008B"/>
    <w:rsid w:val="00620370"/>
    <w:rsid w:val="006204E5"/>
    <w:rsid w:val="00621778"/>
    <w:rsid w:val="00622CF4"/>
    <w:rsid w:val="00623E1C"/>
    <w:rsid w:val="006250BC"/>
    <w:rsid w:val="006262B7"/>
    <w:rsid w:val="00627EB7"/>
    <w:rsid w:val="00630989"/>
    <w:rsid w:val="00632AAB"/>
    <w:rsid w:val="006335F8"/>
    <w:rsid w:val="0063476B"/>
    <w:rsid w:val="00636032"/>
    <w:rsid w:val="006361D1"/>
    <w:rsid w:val="006364C3"/>
    <w:rsid w:val="0063691A"/>
    <w:rsid w:val="00636E54"/>
    <w:rsid w:val="006378AE"/>
    <w:rsid w:val="00637CDC"/>
    <w:rsid w:val="00640255"/>
    <w:rsid w:val="006408B2"/>
    <w:rsid w:val="00642180"/>
    <w:rsid w:val="00644CF6"/>
    <w:rsid w:val="00645798"/>
    <w:rsid w:val="006458C2"/>
    <w:rsid w:val="0064595E"/>
    <w:rsid w:val="00646570"/>
    <w:rsid w:val="006479BE"/>
    <w:rsid w:val="00647BE6"/>
    <w:rsid w:val="00650331"/>
    <w:rsid w:val="00651D9D"/>
    <w:rsid w:val="0065202F"/>
    <w:rsid w:val="006532C5"/>
    <w:rsid w:val="0065676C"/>
    <w:rsid w:val="00656A26"/>
    <w:rsid w:val="00657BF7"/>
    <w:rsid w:val="00660A5A"/>
    <w:rsid w:val="00660AD3"/>
    <w:rsid w:val="00660F53"/>
    <w:rsid w:val="00661901"/>
    <w:rsid w:val="00663215"/>
    <w:rsid w:val="00663787"/>
    <w:rsid w:val="00665C24"/>
    <w:rsid w:val="0066685B"/>
    <w:rsid w:val="006702FE"/>
    <w:rsid w:val="00672346"/>
    <w:rsid w:val="006744A8"/>
    <w:rsid w:val="0067589B"/>
    <w:rsid w:val="00676C86"/>
    <w:rsid w:val="00677B01"/>
    <w:rsid w:val="006801EB"/>
    <w:rsid w:val="00680852"/>
    <w:rsid w:val="00682186"/>
    <w:rsid w:val="0068311A"/>
    <w:rsid w:val="00683680"/>
    <w:rsid w:val="00684119"/>
    <w:rsid w:val="00685A3F"/>
    <w:rsid w:val="00686C5B"/>
    <w:rsid w:val="00687482"/>
    <w:rsid w:val="00691BF2"/>
    <w:rsid w:val="00691DE3"/>
    <w:rsid w:val="0069203D"/>
    <w:rsid w:val="00693BFC"/>
    <w:rsid w:val="00694323"/>
    <w:rsid w:val="006950DB"/>
    <w:rsid w:val="00695E0E"/>
    <w:rsid w:val="00695F97"/>
    <w:rsid w:val="00696302"/>
    <w:rsid w:val="0069673B"/>
    <w:rsid w:val="006A20E5"/>
    <w:rsid w:val="006A504B"/>
    <w:rsid w:val="006B0623"/>
    <w:rsid w:val="006B0CA7"/>
    <w:rsid w:val="006B1971"/>
    <w:rsid w:val="006B26AB"/>
    <w:rsid w:val="006B3087"/>
    <w:rsid w:val="006B4586"/>
    <w:rsid w:val="006B6009"/>
    <w:rsid w:val="006B60F9"/>
    <w:rsid w:val="006B62F8"/>
    <w:rsid w:val="006B644F"/>
    <w:rsid w:val="006C07ED"/>
    <w:rsid w:val="006C1104"/>
    <w:rsid w:val="006C31F8"/>
    <w:rsid w:val="006C35FF"/>
    <w:rsid w:val="006C38E3"/>
    <w:rsid w:val="006C447C"/>
    <w:rsid w:val="006C6563"/>
    <w:rsid w:val="006D0322"/>
    <w:rsid w:val="006D0E80"/>
    <w:rsid w:val="006D1C3A"/>
    <w:rsid w:val="006D4194"/>
    <w:rsid w:val="006D5787"/>
    <w:rsid w:val="006D6ECB"/>
    <w:rsid w:val="006D7C0E"/>
    <w:rsid w:val="006E039D"/>
    <w:rsid w:val="006E0D01"/>
    <w:rsid w:val="006E1A61"/>
    <w:rsid w:val="006E1DCE"/>
    <w:rsid w:val="006E1EF3"/>
    <w:rsid w:val="006E4214"/>
    <w:rsid w:val="006E5986"/>
    <w:rsid w:val="006E5E56"/>
    <w:rsid w:val="006E619F"/>
    <w:rsid w:val="006E6F03"/>
    <w:rsid w:val="006E7A39"/>
    <w:rsid w:val="006E7F08"/>
    <w:rsid w:val="006F0E61"/>
    <w:rsid w:val="006F40F5"/>
    <w:rsid w:val="006F5916"/>
    <w:rsid w:val="006F76B8"/>
    <w:rsid w:val="006F7EBF"/>
    <w:rsid w:val="00700011"/>
    <w:rsid w:val="00700887"/>
    <w:rsid w:val="00702FAE"/>
    <w:rsid w:val="00704170"/>
    <w:rsid w:val="00704758"/>
    <w:rsid w:val="00704BE2"/>
    <w:rsid w:val="00706FAD"/>
    <w:rsid w:val="0070787D"/>
    <w:rsid w:val="00710085"/>
    <w:rsid w:val="007103CB"/>
    <w:rsid w:val="00710B51"/>
    <w:rsid w:val="00710C5F"/>
    <w:rsid w:val="00712968"/>
    <w:rsid w:val="00713758"/>
    <w:rsid w:val="00713AA6"/>
    <w:rsid w:val="00713C62"/>
    <w:rsid w:val="0071438C"/>
    <w:rsid w:val="00714B39"/>
    <w:rsid w:val="0071532B"/>
    <w:rsid w:val="00715477"/>
    <w:rsid w:val="007166C0"/>
    <w:rsid w:val="00717DDE"/>
    <w:rsid w:val="007213F8"/>
    <w:rsid w:val="0072285E"/>
    <w:rsid w:val="00724F89"/>
    <w:rsid w:val="00726F59"/>
    <w:rsid w:val="007275F6"/>
    <w:rsid w:val="007319D3"/>
    <w:rsid w:val="007324E9"/>
    <w:rsid w:val="00733CD5"/>
    <w:rsid w:val="00733E18"/>
    <w:rsid w:val="00734578"/>
    <w:rsid w:val="00735504"/>
    <w:rsid w:val="007357F0"/>
    <w:rsid w:val="00736D46"/>
    <w:rsid w:val="007373C3"/>
    <w:rsid w:val="00740053"/>
    <w:rsid w:val="007402C2"/>
    <w:rsid w:val="007404F9"/>
    <w:rsid w:val="0074067D"/>
    <w:rsid w:val="007416C3"/>
    <w:rsid w:val="007419B3"/>
    <w:rsid w:val="00743BE8"/>
    <w:rsid w:val="00745650"/>
    <w:rsid w:val="00746645"/>
    <w:rsid w:val="007514DA"/>
    <w:rsid w:val="00751E16"/>
    <w:rsid w:val="00751FBD"/>
    <w:rsid w:val="0075299E"/>
    <w:rsid w:val="00752DC3"/>
    <w:rsid w:val="00753297"/>
    <w:rsid w:val="00754205"/>
    <w:rsid w:val="00754234"/>
    <w:rsid w:val="00756C97"/>
    <w:rsid w:val="00757387"/>
    <w:rsid w:val="0076307F"/>
    <w:rsid w:val="007632C6"/>
    <w:rsid w:val="007670F9"/>
    <w:rsid w:val="00770504"/>
    <w:rsid w:val="007706A3"/>
    <w:rsid w:val="00770756"/>
    <w:rsid w:val="00770A06"/>
    <w:rsid w:val="007710AC"/>
    <w:rsid w:val="00771814"/>
    <w:rsid w:val="007720E3"/>
    <w:rsid w:val="007724C2"/>
    <w:rsid w:val="0077424B"/>
    <w:rsid w:val="00776573"/>
    <w:rsid w:val="00777920"/>
    <w:rsid w:val="00782031"/>
    <w:rsid w:val="007836B1"/>
    <w:rsid w:val="007836F1"/>
    <w:rsid w:val="00784B79"/>
    <w:rsid w:val="00785955"/>
    <w:rsid w:val="00785BB8"/>
    <w:rsid w:val="0078613E"/>
    <w:rsid w:val="007901CD"/>
    <w:rsid w:val="007912E0"/>
    <w:rsid w:val="00791A99"/>
    <w:rsid w:val="007932D4"/>
    <w:rsid w:val="007949EF"/>
    <w:rsid w:val="0079575F"/>
    <w:rsid w:val="007963C8"/>
    <w:rsid w:val="00796E51"/>
    <w:rsid w:val="00797C18"/>
    <w:rsid w:val="007A0569"/>
    <w:rsid w:val="007A0A7A"/>
    <w:rsid w:val="007A1062"/>
    <w:rsid w:val="007A206A"/>
    <w:rsid w:val="007A24E0"/>
    <w:rsid w:val="007A54B3"/>
    <w:rsid w:val="007A61F9"/>
    <w:rsid w:val="007B0752"/>
    <w:rsid w:val="007B14F1"/>
    <w:rsid w:val="007B203D"/>
    <w:rsid w:val="007B382A"/>
    <w:rsid w:val="007B58EA"/>
    <w:rsid w:val="007C00BE"/>
    <w:rsid w:val="007C1A90"/>
    <w:rsid w:val="007C1E94"/>
    <w:rsid w:val="007C23AC"/>
    <w:rsid w:val="007C24B9"/>
    <w:rsid w:val="007C2DB2"/>
    <w:rsid w:val="007C2DDB"/>
    <w:rsid w:val="007C64DD"/>
    <w:rsid w:val="007C72C9"/>
    <w:rsid w:val="007D0E60"/>
    <w:rsid w:val="007D1682"/>
    <w:rsid w:val="007D2F78"/>
    <w:rsid w:val="007D53B3"/>
    <w:rsid w:val="007D574D"/>
    <w:rsid w:val="007D68B9"/>
    <w:rsid w:val="007D740F"/>
    <w:rsid w:val="007D7876"/>
    <w:rsid w:val="007D7C66"/>
    <w:rsid w:val="007D7FB7"/>
    <w:rsid w:val="007E0A60"/>
    <w:rsid w:val="007E1F42"/>
    <w:rsid w:val="007E23F1"/>
    <w:rsid w:val="007E2C39"/>
    <w:rsid w:val="007E4B54"/>
    <w:rsid w:val="007E5384"/>
    <w:rsid w:val="007E5B1F"/>
    <w:rsid w:val="007E5B78"/>
    <w:rsid w:val="007E642E"/>
    <w:rsid w:val="007E66C1"/>
    <w:rsid w:val="007F057D"/>
    <w:rsid w:val="007F15B7"/>
    <w:rsid w:val="007F30CD"/>
    <w:rsid w:val="007F4427"/>
    <w:rsid w:val="007F7788"/>
    <w:rsid w:val="00803748"/>
    <w:rsid w:val="0080468F"/>
    <w:rsid w:val="00804E7B"/>
    <w:rsid w:val="00806528"/>
    <w:rsid w:val="00806EC2"/>
    <w:rsid w:val="00807A67"/>
    <w:rsid w:val="00810DEB"/>
    <w:rsid w:val="00810FFB"/>
    <w:rsid w:val="00812A89"/>
    <w:rsid w:val="00814D1F"/>
    <w:rsid w:val="0081577C"/>
    <w:rsid w:val="00815ADC"/>
    <w:rsid w:val="00815B00"/>
    <w:rsid w:val="0081652F"/>
    <w:rsid w:val="00816E48"/>
    <w:rsid w:val="008174AC"/>
    <w:rsid w:val="00817C03"/>
    <w:rsid w:val="008239FE"/>
    <w:rsid w:val="008242C5"/>
    <w:rsid w:val="00825597"/>
    <w:rsid w:val="00825FCB"/>
    <w:rsid w:val="00826A42"/>
    <w:rsid w:val="0083075C"/>
    <w:rsid w:val="00830CCF"/>
    <w:rsid w:val="008315EE"/>
    <w:rsid w:val="00832188"/>
    <w:rsid w:val="00835116"/>
    <w:rsid w:val="008364C4"/>
    <w:rsid w:val="00836551"/>
    <w:rsid w:val="0083673B"/>
    <w:rsid w:val="00836F26"/>
    <w:rsid w:val="00840A7E"/>
    <w:rsid w:val="00840AA6"/>
    <w:rsid w:val="00840F4B"/>
    <w:rsid w:val="008412BE"/>
    <w:rsid w:val="00841326"/>
    <w:rsid w:val="00841FC7"/>
    <w:rsid w:val="00843D5B"/>
    <w:rsid w:val="00845E7C"/>
    <w:rsid w:val="008473CB"/>
    <w:rsid w:val="00847737"/>
    <w:rsid w:val="00847F0A"/>
    <w:rsid w:val="0085026E"/>
    <w:rsid w:val="00852478"/>
    <w:rsid w:val="00852E1E"/>
    <w:rsid w:val="00852E3B"/>
    <w:rsid w:val="00853022"/>
    <w:rsid w:val="008530F4"/>
    <w:rsid w:val="00854B64"/>
    <w:rsid w:val="00854B74"/>
    <w:rsid w:val="00855219"/>
    <w:rsid w:val="00855470"/>
    <w:rsid w:val="00855AE4"/>
    <w:rsid w:val="00855F27"/>
    <w:rsid w:val="008568AD"/>
    <w:rsid w:val="00860BDD"/>
    <w:rsid w:val="00861D4D"/>
    <w:rsid w:val="00861FE4"/>
    <w:rsid w:val="00863D18"/>
    <w:rsid w:val="00864751"/>
    <w:rsid w:val="00864BB1"/>
    <w:rsid w:val="008650DB"/>
    <w:rsid w:val="00865790"/>
    <w:rsid w:val="008713FE"/>
    <w:rsid w:val="00872084"/>
    <w:rsid w:val="008722E5"/>
    <w:rsid w:val="00873499"/>
    <w:rsid w:val="00873F04"/>
    <w:rsid w:val="00874DCE"/>
    <w:rsid w:val="008759AB"/>
    <w:rsid w:val="00875FC1"/>
    <w:rsid w:val="00876F27"/>
    <w:rsid w:val="00880F1E"/>
    <w:rsid w:val="00881A21"/>
    <w:rsid w:val="008824A6"/>
    <w:rsid w:val="00883026"/>
    <w:rsid w:val="00883525"/>
    <w:rsid w:val="00884EBF"/>
    <w:rsid w:val="00886F0A"/>
    <w:rsid w:val="008872F1"/>
    <w:rsid w:val="008917AD"/>
    <w:rsid w:val="008926CA"/>
    <w:rsid w:val="00892DE4"/>
    <w:rsid w:val="00894B06"/>
    <w:rsid w:val="00894B0E"/>
    <w:rsid w:val="00894FA8"/>
    <w:rsid w:val="00895BDC"/>
    <w:rsid w:val="00895F77"/>
    <w:rsid w:val="00896C4F"/>
    <w:rsid w:val="00896D10"/>
    <w:rsid w:val="008970F6"/>
    <w:rsid w:val="008973B7"/>
    <w:rsid w:val="008A0084"/>
    <w:rsid w:val="008A0888"/>
    <w:rsid w:val="008A24C9"/>
    <w:rsid w:val="008A31C5"/>
    <w:rsid w:val="008A3404"/>
    <w:rsid w:val="008A440B"/>
    <w:rsid w:val="008A4734"/>
    <w:rsid w:val="008A4FB3"/>
    <w:rsid w:val="008A5143"/>
    <w:rsid w:val="008A6B3B"/>
    <w:rsid w:val="008B089D"/>
    <w:rsid w:val="008B15AE"/>
    <w:rsid w:val="008B49E9"/>
    <w:rsid w:val="008B52DE"/>
    <w:rsid w:val="008B5626"/>
    <w:rsid w:val="008B763B"/>
    <w:rsid w:val="008B7B20"/>
    <w:rsid w:val="008B7D2D"/>
    <w:rsid w:val="008C0882"/>
    <w:rsid w:val="008C359C"/>
    <w:rsid w:val="008C421D"/>
    <w:rsid w:val="008C4C59"/>
    <w:rsid w:val="008C50F7"/>
    <w:rsid w:val="008C5281"/>
    <w:rsid w:val="008C7E1C"/>
    <w:rsid w:val="008D005E"/>
    <w:rsid w:val="008D1E46"/>
    <w:rsid w:val="008D320C"/>
    <w:rsid w:val="008D4C1E"/>
    <w:rsid w:val="008D733A"/>
    <w:rsid w:val="008D7529"/>
    <w:rsid w:val="008D7A5A"/>
    <w:rsid w:val="008E266A"/>
    <w:rsid w:val="008E26D6"/>
    <w:rsid w:val="008E4A4A"/>
    <w:rsid w:val="008E501B"/>
    <w:rsid w:val="008E5CAD"/>
    <w:rsid w:val="008E6866"/>
    <w:rsid w:val="008F022E"/>
    <w:rsid w:val="008F1BC0"/>
    <w:rsid w:val="008F1BEB"/>
    <w:rsid w:val="008F25D8"/>
    <w:rsid w:val="008F41A5"/>
    <w:rsid w:val="008F44C7"/>
    <w:rsid w:val="008F6549"/>
    <w:rsid w:val="008F7CF8"/>
    <w:rsid w:val="0090027D"/>
    <w:rsid w:val="00901995"/>
    <w:rsid w:val="00902839"/>
    <w:rsid w:val="00902A0A"/>
    <w:rsid w:val="00902D6F"/>
    <w:rsid w:val="00906B4C"/>
    <w:rsid w:val="0090718C"/>
    <w:rsid w:val="00910BF3"/>
    <w:rsid w:val="00912696"/>
    <w:rsid w:val="00912FAD"/>
    <w:rsid w:val="009132D3"/>
    <w:rsid w:val="00913768"/>
    <w:rsid w:val="00916C8D"/>
    <w:rsid w:val="00916CCC"/>
    <w:rsid w:val="00916E65"/>
    <w:rsid w:val="00917488"/>
    <w:rsid w:val="00920084"/>
    <w:rsid w:val="009227C2"/>
    <w:rsid w:val="00923843"/>
    <w:rsid w:val="00923F2A"/>
    <w:rsid w:val="00925B18"/>
    <w:rsid w:val="00926096"/>
    <w:rsid w:val="00926498"/>
    <w:rsid w:val="009266D5"/>
    <w:rsid w:val="00926EFD"/>
    <w:rsid w:val="0092746A"/>
    <w:rsid w:val="00932C9E"/>
    <w:rsid w:val="00935013"/>
    <w:rsid w:val="009357E6"/>
    <w:rsid w:val="00935B03"/>
    <w:rsid w:val="00935F12"/>
    <w:rsid w:val="009368BD"/>
    <w:rsid w:val="009375F4"/>
    <w:rsid w:val="0093792A"/>
    <w:rsid w:val="00937BF6"/>
    <w:rsid w:val="00940DB8"/>
    <w:rsid w:val="00941A34"/>
    <w:rsid w:val="00941C8C"/>
    <w:rsid w:val="009428AD"/>
    <w:rsid w:val="009439E1"/>
    <w:rsid w:val="00943EFD"/>
    <w:rsid w:val="0094706F"/>
    <w:rsid w:val="00951313"/>
    <w:rsid w:val="0095140D"/>
    <w:rsid w:val="00952559"/>
    <w:rsid w:val="00954021"/>
    <w:rsid w:val="00955BD6"/>
    <w:rsid w:val="009565C4"/>
    <w:rsid w:val="009568B5"/>
    <w:rsid w:val="00956B33"/>
    <w:rsid w:val="00956E6D"/>
    <w:rsid w:val="0096341F"/>
    <w:rsid w:val="00964B09"/>
    <w:rsid w:val="00965CFC"/>
    <w:rsid w:val="00966202"/>
    <w:rsid w:val="009675A0"/>
    <w:rsid w:val="00967727"/>
    <w:rsid w:val="00967E66"/>
    <w:rsid w:val="0097017B"/>
    <w:rsid w:val="00971A8B"/>
    <w:rsid w:val="009723F0"/>
    <w:rsid w:val="00973A16"/>
    <w:rsid w:val="00973CB2"/>
    <w:rsid w:val="00974CF0"/>
    <w:rsid w:val="00977AB5"/>
    <w:rsid w:val="00980FD5"/>
    <w:rsid w:val="00981EBE"/>
    <w:rsid w:val="009823EA"/>
    <w:rsid w:val="009824C2"/>
    <w:rsid w:val="00985F6B"/>
    <w:rsid w:val="00986028"/>
    <w:rsid w:val="00986EB4"/>
    <w:rsid w:val="00987623"/>
    <w:rsid w:val="009877CA"/>
    <w:rsid w:val="00987C9A"/>
    <w:rsid w:val="009910D7"/>
    <w:rsid w:val="00991246"/>
    <w:rsid w:val="00991B36"/>
    <w:rsid w:val="00993653"/>
    <w:rsid w:val="00994663"/>
    <w:rsid w:val="00994BE4"/>
    <w:rsid w:val="009950F3"/>
    <w:rsid w:val="00996021"/>
    <w:rsid w:val="009978A9"/>
    <w:rsid w:val="009A0EF3"/>
    <w:rsid w:val="009A24F2"/>
    <w:rsid w:val="009A391C"/>
    <w:rsid w:val="009A3BA8"/>
    <w:rsid w:val="009A4797"/>
    <w:rsid w:val="009A4B5C"/>
    <w:rsid w:val="009A4BBD"/>
    <w:rsid w:val="009A624E"/>
    <w:rsid w:val="009B0E46"/>
    <w:rsid w:val="009B196C"/>
    <w:rsid w:val="009B222F"/>
    <w:rsid w:val="009B2C4E"/>
    <w:rsid w:val="009B51BD"/>
    <w:rsid w:val="009B5FA7"/>
    <w:rsid w:val="009B6FF5"/>
    <w:rsid w:val="009B75F9"/>
    <w:rsid w:val="009B76A4"/>
    <w:rsid w:val="009C0DC5"/>
    <w:rsid w:val="009C2261"/>
    <w:rsid w:val="009C284E"/>
    <w:rsid w:val="009C4222"/>
    <w:rsid w:val="009C44CB"/>
    <w:rsid w:val="009C4B5C"/>
    <w:rsid w:val="009C6022"/>
    <w:rsid w:val="009C6C8E"/>
    <w:rsid w:val="009C7BDB"/>
    <w:rsid w:val="009D18AD"/>
    <w:rsid w:val="009D56D0"/>
    <w:rsid w:val="009D58CB"/>
    <w:rsid w:val="009D6B19"/>
    <w:rsid w:val="009E1526"/>
    <w:rsid w:val="009E22EB"/>
    <w:rsid w:val="009E257F"/>
    <w:rsid w:val="009E2C0F"/>
    <w:rsid w:val="009E4474"/>
    <w:rsid w:val="009E54C3"/>
    <w:rsid w:val="009E5B8C"/>
    <w:rsid w:val="009E6E3A"/>
    <w:rsid w:val="009E72B5"/>
    <w:rsid w:val="009E7A51"/>
    <w:rsid w:val="009E7C13"/>
    <w:rsid w:val="009F0AFA"/>
    <w:rsid w:val="009F246A"/>
    <w:rsid w:val="009F4350"/>
    <w:rsid w:val="009F44F7"/>
    <w:rsid w:val="009F47F8"/>
    <w:rsid w:val="009F50EF"/>
    <w:rsid w:val="009F60D4"/>
    <w:rsid w:val="009F6AE8"/>
    <w:rsid w:val="00A03249"/>
    <w:rsid w:val="00A0425A"/>
    <w:rsid w:val="00A04337"/>
    <w:rsid w:val="00A06DAF"/>
    <w:rsid w:val="00A11832"/>
    <w:rsid w:val="00A13F2B"/>
    <w:rsid w:val="00A14246"/>
    <w:rsid w:val="00A1580A"/>
    <w:rsid w:val="00A163E0"/>
    <w:rsid w:val="00A167E3"/>
    <w:rsid w:val="00A1762A"/>
    <w:rsid w:val="00A1776F"/>
    <w:rsid w:val="00A2001A"/>
    <w:rsid w:val="00A20529"/>
    <w:rsid w:val="00A20F3C"/>
    <w:rsid w:val="00A22DB3"/>
    <w:rsid w:val="00A24968"/>
    <w:rsid w:val="00A25564"/>
    <w:rsid w:val="00A26028"/>
    <w:rsid w:val="00A26038"/>
    <w:rsid w:val="00A2704D"/>
    <w:rsid w:val="00A27625"/>
    <w:rsid w:val="00A31752"/>
    <w:rsid w:val="00A32208"/>
    <w:rsid w:val="00A32920"/>
    <w:rsid w:val="00A335C6"/>
    <w:rsid w:val="00A33F04"/>
    <w:rsid w:val="00A34075"/>
    <w:rsid w:val="00A3476B"/>
    <w:rsid w:val="00A34949"/>
    <w:rsid w:val="00A352B9"/>
    <w:rsid w:val="00A36636"/>
    <w:rsid w:val="00A37568"/>
    <w:rsid w:val="00A40BB8"/>
    <w:rsid w:val="00A40C40"/>
    <w:rsid w:val="00A40F47"/>
    <w:rsid w:val="00A430B5"/>
    <w:rsid w:val="00A432A2"/>
    <w:rsid w:val="00A43C10"/>
    <w:rsid w:val="00A44054"/>
    <w:rsid w:val="00A44AC5"/>
    <w:rsid w:val="00A45714"/>
    <w:rsid w:val="00A47307"/>
    <w:rsid w:val="00A478BF"/>
    <w:rsid w:val="00A52454"/>
    <w:rsid w:val="00A52C11"/>
    <w:rsid w:val="00A5323E"/>
    <w:rsid w:val="00A53D7F"/>
    <w:rsid w:val="00A5525B"/>
    <w:rsid w:val="00A55EA2"/>
    <w:rsid w:val="00A55FB8"/>
    <w:rsid w:val="00A56753"/>
    <w:rsid w:val="00A567CC"/>
    <w:rsid w:val="00A6356F"/>
    <w:rsid w:val="00A64246"/>
    <w:rsid w:val="00A64C31"/>
    <w:rsid w:val="00A6515F"/>
    <w:rsid w:val="00A653F9"/>
    <w:rsid w:val="00A65761"/>
    <w:rsid w:val="00A657EA"/>
    <w:rsid w:val="00A65E77"/>
    <w:rsid w:val="00A67298"/>
    <w:rsid w:val="00A67579"/>
    <w:rsid w:val="00A74ABA"/>
    <w:rsid w:val="00A753F6"/>
    <w:rsid w:val="00A76085"/>
    <w:rsid w:val="00A765C5"/>
    <w:rsid w:val="00A76D3C"/>
    <w:rsid w:val="00A7769A"/>
    <w:rsid w:val="00A77830"/>
    <w:rsid w:val="00A77A24"/>
    <w:rsid w:val="00A82715"/>
    <w:rsid w:val="00A8345B"/>
    <w:rsid w:val="00A85509"/>
    <w:rsid w:val="00A85631"/>
    <w:rsid w:val="00A85AC2"/>
    <w:rsid w:val="00A85BBE"/>
    <w:rsid w:val="00A85E98"/>
    <w:rsid w:val="00A8661C"/>
    <w:rsid w:val="00A90286"/>
    <w:rsid w:val="00A90CE6"/>
    <w:rsid w:val="00A92829"/>
    <w:rsid w:val="00A94997"/>
    <w:rsid w:val="00A96AF5"/>
    <w:rsid w:val="00A97EDB"/>
    <w:rsid w:val="00AA097C"/>
    <w:rsid w:val="00AA0D0B"/>
    <w:rsid w:val="00AA1223"/>
    <w:rsid w:val="00AA1299"/>
    <w:rsid w:val="00AA2960"/>
    <w:rsid w:val="00AA3A0F"/>
    <w:rsid w:val="00AA3C82"/>
    <w:rsid w:val="00AA5145"/>
    <w:rsid w:val="00AA56EA"/>
    <w:rsid w:val="00AA59B4"/>
    <w:rsid w:val="00AA6141"/>
    <w:rsid w:val="00AA62EC"/>
    <w:rsid w:val="00AB00C9"/>
    <w:rsid w:val="00AB065A"/>
    <w:rsid w:val="00AB15AD"/>
    <w:rsid w:val="00AB3038"/>
    <w:rsid w:val="00AB3445"/>
    <w:rsid w:val="00AB3867"/>
    <w:rsid w:val="00AB6580"/>
    <w:rsid w:val="00AB6BBD"/>
    <w:rsid w:val="00AC0070"/>
    <w:rsid w:val="00AC01D8"/>
    <w:rsid w:val="00AC0261"/>
    <w:rsid w:val="00AC07F9"/>
    <w:rsid w:val="00AC0969"/>
    <w:rsid w:val="00AC340E"/>
    <w:rsid w:val="00AC3CE8"/>
    <w:rsid w:val="00AC544C"/>
    <w:rsid w:val="00AC7763"/>
    <w:rsid w:val="00AC7D66"/>
    <w:rsid w:val="00AD0F57"/>
    <w:rsid w:val="00AD2CF8"/>
    <w:rsid w:val="00AD6B10"/>
    <w:rsid w:val="00AE0418"/>
    <w:rsid w:val="00AE23B2"/>
    <w:rsid w:val="00AE383F"/>
    <w:rsid w:val="00AE424E"/>
    <w:rsid w:val="00AE4B56"/>
    <w:rsid w:val="00AF031E"/>
    <w:rsid w:val="00AF4F9C"/>
    <w:rsid w:val="00B000D3"/>
    <w:rsid w:val="00B01708"/>
    <w:rsid w:val="00B018F5"/>
    <w:rsid w:val="00B01D8E"/>
    <w:rsid w:val="00B0276C"/>
    <w:rsid w:val="00B02C42"/>
    <w:rsid w:val="00B03900"/>
    <w:rsid w:val="00B03A3D"/>
    <w:rsid w:val="00B046AD"/>
    <w:rsid w:val="00B04BB0"/>
    <w:rsid w:val="00B0529E"/>
    <w:rsid w:val="00B05CF5"/>
    <w:rsid w:val="00B067EA"/>
    <w:rsid w:val="00B06EC2"/>
    <w:rsid w:val="00B072A8"/>
    <w:rsid w:val="00B07674"/>
    <w:rsid w:val="00B107FA"/>
    <w:rsid w:val="00B1088B"/>
    <w:rsid w:val="00B10FDE"/>
    <w:rsid w:val="00B12574"/>
    <w:rsid w:val="00B14141"/>
    <w:rsid w:val="00B144F9"/>
    <w:rsid w:val="00B16168"/>
    <w:rsid w:val="00B16558"/>
    <w:rsid w:val="00B17A12"/>
    <w:rsid w:val="00B207E2"/>
    <w:rsid w:val="00B20872"/>
    <w:rsid w:val="00B2155A"/>
    <w:rsid w:val="00B226AF"/>
    <w:rsid w:val="00B23093"/>
    <w:rsid w:val="00B243EC"/>
    <w:rsid w:val="00B2476F"/>
    <w:rsid w:val="00B253B9"/>
    <w:rsid w:val="00B259CA"/>
    <w:rsid w:val="00B26882"/>
    <w:rsid w:val="00B26E81"/>
    <w:rsid w:val="00B318F5"/>
    <w:rsid w:val="00B32B82"/>
    <w:rsid w:val="00B33108"/>
    <w:rsid w:val="00B33B75"/>
    <w:rsid w:val="00B3459E"/>
    <w:rsid w:val="00B37414"/>
    <w:rsid w:val="00B37811"/>
    <w:rsid w:val="00B37DDB"/>
    <w:rsid w:val="00B40AFF"/>
    <w:rsid w:val="00B42F47"/>
    <w:rsid w:val="00B42F53"/>
    <w:rsid w:val="00B4587A"/>
    <w:rsid w:val="00B460A4"/>
    <w:rsid w:val="00B4632E"/>
    <w:rsid w:val="00B46C68"/>
    <w:rsid w:val="00B47995"/>
    <w:rsid w:val="00B531DD"/>
    <w:rsid w:val="00B53583"/>
    <w:rsid w:val="00B53D24"/>
    <w:rsid w:val="00B54078"/>
    <w:rsid w:val="00B540C0"/>
    <w:rsid w:val="00B548C7"/>
    <w:rsid w:val="00B5547F"/>
    <w:rsid w:val="00B56289"/>
    <w:rsid w:val="00B5640E"/>
    <w:rsid w:val="00B56591"/>
    <w:rsid w:val="00B61543"/>
    <w:rsid w:val="00B619E2"/>
    <w:rsid w:val="00B6431A"/>
    <w:rsid w:val="00B65218"/>
    <w:rsid w:val="00B654DE"/>
    <w:rsid w:val="00B71C15"/>
    <w:rsid w:val="00B72222"/>
    <w:rsid w:val="00B72662"/>
    <w:rsid w:val="00B7292A"/>
    <w:rsid w:val="00B72A08"/>
    <w:rsid w:val="00B72DA3"/>
    <w:rsid w:val="00B7361D"/>
    <w:rsid w:val="00B75A6A"/>
    <w:rsid w:val="00B75AED"/>
    <w:rsid w:val="00B76D2E"/>
    <w:rsid w:val="00B7773C"/>
    <w:rsid w:val="00B77891"/>
    <w:rsid w:val="00B77B59"/>
    <w:rsid w:val="00B8038A"/>
    <w:rsid w:val="00B80BC2"/>
    <w:rsid w:val="00B812B4"/>
    <w:rsid w:val="00B8293C"/>
    <w:rsid w:val="00B83B63"/>
    <w:rsid w:val="00B8718D"/>
    <w:rsid w:val="00B874AE"/>
    <w:rsid w:val="00B906D5"/>
    <w:rsid w:val="00B9132C"/>
    <w:rsid w:val="00B91C4B"/>
    <w:rsid w:val="00B92C81"/>
    <w:rsid w:val="00B9330A"/>
    <w:rsid w:val="00B9360C"/>
    <w:rsid w:val="00B93F1F"/>
    <w:rsid w:val="00B9401A"/>
    <w:rsid w:val="00B9451C"/>
    <w:rsid w:val="00BA08E8"/>
    <w:rsid w:val="00BA193D"/>
    <w:rsid w:val="00BA4E5B"/>
    <w:rsid w:val="00BA506E"/>
    <w:rsid w:val="00BA5DA0"/>
    <w:rsid w:val="00BA613D"/>
    <w:rsid w:val="00BA758F"/>
    <w:rsid w:val="00BA7F3D"/>
    <w:rsid w:val="00BB0A02"/>
    <w:rsid w:val="00BB137A"/>
    <w:rsid w:val="00BB2331"/>
    <w:rsid w:val="00BB34E6"/>
    <w:rsid w:val="00BB6F68"/>
    <w:rsid w:val="00BB7F87"/>
    <w:rsid w:val="00BC25E2"/>
    <w:rsid w:val="00BC2A28"/>
    <w:rsid w:val="00BC330A"/>
    <w:rsid w:val="00BC39C2"/>
    <w:rsid w:val="00BC4D14"/>
    <w:rsid w:val="00BC6982"/>
    <w:rsid w:val="00BC6E31"/>
    <w:rsid w:val="00BD107D"/>
    <w:rsid w:val="00BD1405"/>
    <w:rsid w:val="00BD260C"/>
    <w:rsid w:val="00BD3001"/>
    <w:rsid w:val="00BD394C"/>
    <w:rsid w:val="00BD4988"/>
    <w:rsid w:val="00BD50BA"/>
    <w:rsid w:val="00BE01AA"/>
    <w:rsid w:val="00BE0789"/>
    <w:rsid w:val="00BE0AF4"/>
    <w:rsid w:val="00BE1F71"/>
    <w:rsid w:val="00BE292F"/>
    <w:rsid w:val="00BE3E1F"/>
    <w:rsid w:val="00BE4A05"/>
    <w:rsid w:val="00BE4E70"/>
    <w:rsid w:val="00BE5833"/>
    <w:rsid w:val="00BE626E"/>
    <w:rsid w:val="00BE666C"/>
    <w:rsid w:val="00BE776A"/>
    <w:rsid w:val="00BE7B01"/>
    <w:rsid w:val="00BF01B1"/>
    <w:rsid w:val="00BF09CE"/>
    <w:rsid w:val="00BF1FD2"/>
    <w:rsid w:val="00BF2D07"/>
    <w:rsid w:val="00BF4DB1"/>
    <w:rsid w:val="00BF6F6C"/>
    <w:rsid w:val="00C01AC8"/>
    <w:rsid w:val="00C01F42"/>
    <w:rsid w:val="00C02D74"/>
    <w:rsid w:val="00C047A2"/>
    <w:rsid w:val="00C048B2"/>
    <w:rsid w:val="00C04B24"/>
    <w:rsid w:val="00C04E88"/>
    <w:rsid w:val="00C07D5C"/>
    <w:rsid w:val="00C1076C"/>
    <w:rsid w:val="00C11694"/>
    <w:rsid w:val="00C12F1F"/>
    <w:rsid w:val="00C144BC"/>
    <w:rsid w:val="00C14D5F"/>
    <w:rsid w:val="00C158C3"/>
    <w:rsid w:val="00C16A66"/>
    <w:rsid w:val="00C1773D"/>
    <w:rsid w:val="00C17802"/>
    <w:rsid w:val="00C207B2"/>
    <w:rsid w:val="00C2186B"/>
    <w:rsid w:val="00C21E43"/>
    <w:rsid w:val="00C223EB"/>
    <w:rsid w:val="00C2247C"/>
    <w:rsid w:val="00C23318"/>
    <w:rsid w:val="00C23B6C"/>
    <w:rsid w:val="00C2425A"/>
    <w:rsid w:val="00C259BE"/>
    <w:rsid w:val="00C269CD"/>
    <w:rsid w:val="00C26E75"/>
    <w:rsid w:val="00C275A6"/>
    <w:rsid w:val="00C27F62"/>
    <w:rsid w:val="00C304DE"/>
    <w:rsid w:val="00C30810"/>
    <w:rsid w:val="00C3093A"/>
    <w:rsid w:val="00C31F73"/>
    <w:rsid w:val="00C33452"/>
    <w:rsid w:val="00C33D0D"/>
    <w:rsid w:val="00C342F5"/>
    <w:rsid w:val="00C34557"/>
    <w:rsid w:val="00C35B20"/>
    <w:rsid w:val="00C35E33"/>
    <w:rsid w:val="00C364A3"/>
    <w:rsid w:val="00C36C6C"/>
    <w:rsid w:val="00C374AA"/>
    <w:rsid w:val="00C37E50"/>
    <w:rsid w:val="00C40D29"/>
    <w:rsid w:val="00C4299D"/>
    <w:rsid w:val="00C445DD"/>
    <w:rsid w:val="00C44826"/>
    <w:rsid w:val="00C4623C"/>
    <w:rsid w:val="00C465C2"/>
    <w:rsid w:val="00C47BC6"/>
    <w:rsid w:val="00C5324B"/>
    <w:rsid w:val="00C53429"/>
    <w:rsid w:val="00C535BF"/>
    <w:rsid w:val="00C54E9B"/>
    <w:rsid w:val="00C553B6"/>
    <w:rsid w:val="00C56A42"/>
    <w:rsid w:val="00C57744"/>
    <w:rsid w:val="00C600EE"/>
    <w:rsid w:val="00C62244"/>
    <w:rsid w:val="00C62350"/>
    <w:rsid w:val="00C6273D"/>
    <w:rsid w:val="00C6312C"/>
    <w:rsid w:val="00C641EA"/>
    <w:rsid w:val="00C647F6"/>
    <w:rsid w:val="00C65947"/>
    <w:rsid w:val="00C659CA"/>
    <w:rsid w:val="00C66214"/>
    <w:rsid w:val="00C6698E"/>
    <w:rsid w:val="00C66FDF"/>
    <w:rsid w:val="00C70265"/>
    <w:rsid w:val="00C70C5A"/>
    <w:rsid w:val="00C70D03"/>
    <w:rsid w:val="00C7210C"/>
    <w:rsid w:val="00C73DA4"/>
    <w:rsid w:val="00C74130"/>
    <w:rsid w:val="00C742E3"/>
    <w:rsid w:val="00C74963"/>
    <w:rsid w:val="00C74FDA"/>
    <w:rsid w:val="00C75203"/>
    <w:rsid w:val="00C75642"/>
    <w:rsid w:val="00C75D99"/>
    <w:rsid w:val="00C764A7"/>
    <w:rsid w:val="00C77A11"/>
    <w:rsid w:val="00C77E42"/>
    <w:rsid w:val="00C83484"/>
    <w:rsid w:val="00C8392D"/>
    <w:rsid w:val="00C864B3"/>
    <w:rsid w:val="00C87669"/>
    <w:rsid w:val="00C910D9"/>
    <w:rsid w:val="00C92618"/>
    <w:rsid w:val="00C92B3D"/>
    <w:rsid w:val="00C9493A"/>
    <w:rsid w:val="00C95F37"/>
    <w:rsid w:val="00CA01D2"/>
    <w:rsid w:val="00CA31C9"/>
    <w:rsid w:val="00CA53D2"/>
    <w:rsid w:val="00CA5FB2"/>
    <w:rsid w:val="00CA6D21"/>
    <w:rsid w:val="00CA7C53"/>
    <w:rsid w:val="00CB01FB"/>
    <w:rsid w:val="00CB029B"/>
    <w:rsid w:val="00CB1900"/>
    <w:rsid w:val="00CB31F1"/>
    <w:rsid w:val="00CB418D"/>
    <w:rsid w:val="00CB422A"/>
    <w:rsid w:val="00CB4D0F"/>
    <w:rsid w:val="00CB5332"/>
    <w:rsid w:val="00CB5BFF"/>
    <w:rsid w:val="00CB7210"/>
    <w:rsid w:val="00CC0264"/>
    <w:rsid w:val="00CC0865"/>
    <w:rsid w:val="00CC112B"/>
    <w:rsid w:val="00CC170A"/>
    <w:rsid w:val="00CC1C74"/>
    <w:rsid w:val="00CC2B02"/>
    <w:rsid w:val="00CC6CD9"/>
    <w:rsid w:val="00CC6FB2"/>
    <w:rsid w:val="00CD0A55"/>
    <w:rsid w:val="00CD0C66"/>
    <w:rsid w:val="00CD13F2"/>
    <w:rsid w:val="00CD21DE"/>
    <w:rsid w:val="00CD2FE4"/>
    <w:rsid w:val="00CD6DDC"/>
    <w:rsid w:val="00CE0892"/>
    <w:rsid w:val="00CE0C91"/>
    <w:rsid w:val="00CE1F34"/>
    <w:rsid w:val="00CE2CDF"/>
    <w:rsid w:val="00CE3219"/>
    <w:rsid w:val="00CE3669"/>
    <w:rsid w:val="00CE3BBF"/>
    <w:rsid w:val="00CE5AFE"/>
    <w:rsid w:val="00CE61BA"/>
    <w:rsid w:val="00CF0EFE"/>
    <w:rsid w:val="00CF2898"/>
    <w:rsid w:val="00CF3150"/>
    <w:rsid w:val="00CF3A47"/>
    <w:rsid w:val="00CF3E03"/>
    <w:rsid w:val="00CF45D0"/>
    <w:rsid w:val="00CF50E7"/>
    <w:rsid w:val="00CF527E"/>
    <w:rsid w:val="00CF6D7B"/>
    <w:rsid w:val="00CF73BD"/>
    <w:rsid w:val="00CF7788"/>
    <w:rsid w:val="00D0394C"/>
    <w:rsid w:val="00D050E8"/>
    <w:rsid w:val="00D05803"/>
    <w:rsid w:val="00D0631D"/>
    <w:rsid w:val="00D073BE"/>
    <w:rsid w:val="00D076EF"/>
    <w:rsid w:val="00D07AFB"/>
    <w:rsid w:val="00D12D4A"/>
    <w:rsid w:val="00D12F3A"/>
    <w:rsid w:val="00D13AD7"/>
    <w:rsid w:val="00D1461F"/>
    <w:rsid w:val="00D14721"/>
    <w:rsid w:val="00D1598A"/>
    <w:rsid w:val="00D16A8F"/>
    <w:rsid w:val="00D17535"/>
    <w:rsid w:val="00D210F9"/>
    <w:rsid w:val="00D21181"/>
    <w:rsid w:val="00D2118D"/>
    <w:rsid w:val="00D21280"/>
    <w:rsid w:val="00D21755"/>
    <w:rsid w:val="00D21913"/>
    <w:rsid w:val="00D22987"/>
    <w:rsid w:val="00D229D9"/>
    <w:rsid w:val="00D23362"/>
    <w:rsid w:val="00D2740B"/>
    <w:rsid w:val="00D27B63"/>
    <w:rsid w:val="00D27F40"/>
    <w:rsid w:val="00D303E5"/>
    <w:rsid w:val="00D31011"/>
    <w:rsid w:val="00D3136E"/>
    <w:rsid w:val="00D32DD1"/>
    <w:rsid w:val="00D34018"/>
    <w:rsid w:val="00D34BB4"/>
    <w:rsid w:val="00D34F43"/>
    <w:rsid w:val="00D35728"/>
    <w:rsid w:val="00D361D0"/>
    <w:rsid w:val="00D369A0"/>
    <w:rsid w:val="00D37786"/>
    <w:rsid w:val="00D4076A"/>
    <w:rsid w:val="00D4079E"/>
    <w:rsid w:val="00D408BB"/>
    <w:rsid w:val="00D410E0"/>
    <w:rsid w:val="00D4152E"/>
    <w:rsid w:val="00D43705"/>
    <w:rsid w:val="00D44A29"/>
    <w:rsid w:val="00D45F84"/>
    <w:rsid w:val="00D46268"/>
    <w:rsid w:val="00D50273"/>
    <w:rsid w:val="00D50CE9"/>
    <w:rsid w:val="00D5190F"/>
    <w:rsid w:val="00D5312C"/>
    <w:rsid w:val="00D53866"/>
    <w:rsid w:val="00D53D92"/>
    <w:rsid w:val="00D56A2D"/>
    <w:rsid w:val="00D56FE8"/>
    <w:rsid w:val="00D57F29"/>
    <w:rsid w:val="00D57FBE"/>
    <w:rsid w:val="00D61A18"/>
    <w:rsid w:val="00D61B1D"/>
    <w:rsid w:val="00D62A25"/>
    <w:rsid w:val="00D62DC4"/>
    <w:rsid w:val="00D65255"/>
    <w:rsid w:val="00D65C3E"/>
    <w:rsid w:val="00D6762C"/>
    <w:rsid w:val="00D67678"/>
    <w:rsid w:val="00D67D56"/>
    <w:rsid w:val="00D70FE2"/>
    <w:rsid w:val="00D716D9"/>
    <w:rsid w:val="00D73191"/>
    <w:rsid w:val="00D742CA"/>
    <w:rsid w:val="00D74886"/>
    <w:rsid w:val="00D75666"/>
    <w:rsid w:val="00D758C7"/>
    <w:rsid w:val="00D76520"/>
    <w:rsid w:val="00D77A3B"/>
    <w:rsid w:val="00D808C4"/>
    <w:rsid w:val="00D81F0E"/>
    <w:rsid w:val="00D84844"/>
    <w:rsid w:val="00D84CB6"/>
    <w:rsid w:val="00D8778D"/>
    <w:rsid w:val="00D87B64"/>
    <w:rsid w:val="00D87CDF"/>
    <w:rsid w:val="00D9025B"/>
    <w:rsid w:val="00D913DA"/>
    <w:rsid w:val="00D934D0"/>
    <w:rsid w:val="00DA07F8"/>
    <w:rsid w:val="00DA0A28"/>
    <w:rsid w:val="00DA0C38"/>
    <w:rsid w:val="00DA0C68"/>
    <w:rsid w:val="00DA0FC4"/>
    <w:rsid w:val="00DA221E"/>
    <w:rsid w:val="00DA2D54"/>
    <w:rsid w:val="00DA31DD"/>
    <w:rsid w:val="00DA3FF9"/>
    <w:rsid w:val="00DA529A"/>
    <w:rsid w:val="00DA5A4E"/>
    <w:rsid w:val="00DA64DA"/>
    <w:rsid w:val="00DA7D75"/>
    <w:rsid w:val="00DA7F32"/>
    <w:rsid w:val="00DB2946"/>
    <w:rsid w:val="00DB45DB"/>
    <w:rsid w:val="00DB60B8"/>
    <w:rsid w:val="00DB68BF"/>
    <w:rsid w:val="00DB7273"/>
    <w:rsid w:val="00DC010D"/>
    <w:rsid w:val="00DC2915"/>
    <w:rsid w:val="00DC6F0D"/>
    <w:rsid w:val="00DC769F"/>
    <w:rsid w:val="00DC76E9"/>
    <w:rsid w:val="00DD11FB"/>
    <w:rsid w:val="00DD134B"/>
    <w:rsid w:val="00DD77C4"/>
    <w:rsid w:val="00DE0FB0"/>
    <w:rsid w:val="00DE1A99"/>
    <w:rsid w:val="00DE24F8"/>
    <w:rsid w:val="00DE37CD"/>
    <w:rsid w:val="00DE4CE1"/>
    <w:rsid w:val="00DE5953"/>
    <w:rsid w:val="00DE6379"/>
    <w:rsid w:val="00DF08E7"/>
    <w:rsid w:val="00DF0A44"/>
    <w:rsid w:val="00DF0E7F"/>
    <w:rsid w:val="00DF1032"/>
    <w:rsid w:val="00DF18F2"/>
    <w:rsid w:val="00DF25FB"/>
    <w:rsid w:val="00DF4F5B"/>
    <w:rsid w:val="00DF5337"/>
    <w:rsid w:val="00DF5BE0"/>
    <w:rsid w:val="00DF69A8"/>
    <w:rsid w:val="00DF6B04"/>
    <w:rsid w:val="00DF7BAA"/>
    <w:rsid w:val="00E0080D"/>
    <w:rsid w:val="00E011AC"/>
    <w:rsid w:val="00E01668"/>
    <w:rsid w:val="00E062BB"/>
    <w:rsid w:val="00E065C8"/>
    <w:rsid w:val="00E109AB"/>
    <w:rsid w:val="00E10A4C"/>
    <w:rsid w:val="00E1110B"/>
    <w:rsid w:val="00E119ED"/>
    <w:rsid w:val="00E13BAF"/>
    <w:rsid w:val="00E13F7F"/>
    <w:rsid w:val="00E13FE5"/>
    <w:rsid w:val="00E16B5B"/>
    <w:rsid w:val="00E17736"/>
    <w:rsid w:val="00E17CCD"/>
    <w:rsid w:val="00E21A0C"/>
    <w:rsid w:val="00E26092"/>
    <w:rsid w:val="00E262FC"/>
    <w:rsid w:val="00E27584"/>
    <w:rsid w:val="00E275D7"/>
    <w:rsid w:val="00E27703"/>
    <w:rsid w:val="00E3001D"/>
    <w:rsid w:val="00E30D79"/>
    <w:rsid w:val="00E31031"/>
    <w:rsid w:val="00E32FD7"/>
    <w:rsid w:val="00E34258"/>
    <w:rsid w:val="00E34470"/>
    <w:rsid w:val="00E41FF3"/>
    <w:rsid w:val="00E42DAC"/>
    <w:rsid w:val="00E450B5"/>
    <w:rsid w:val="00E46155"/>
    <w:rsid w:val="00E47086"/>
    <w:rsid w:val="00E474CF"/>
    <w:rsid w:val="00E50425"/>
    <w:rsid w:val="00E50801"/>
    <w:rsid w:val="00E517A7"/>
    <w:rsid w:val="00E51844"/>
    <w:rsid w:val="00E52E5A"/>
    <w:rsid w:val="00E549D1"/>
    <w:rsid w:val="00E54DFE"/>
    <w:rsid w:val="00E562BD"/>
    <w:rsid w:val="00E57100"/>
    <w:rsid w:val="00E577CB"/>
    <w:rsid w:val="00E62D71"/>
    <w:rsid w:val="00E62EA3"/>
    <w:rsid w:val="00E6315F"/>
    <w:rsid w:val="00E63D0D"/>
    <w:rsid w:val="00E6509F"/>
    <w:rsid w:val="00E65FFF"/>
    <w:rsid w:val="00E67CE2"/>
    <w:rsid w:val="00E72912"/>
    <w:rsid w:val="00E72AD6"/>
    <w:rsid w:val="00E72C38"/>
    <w:rsid w:val="00E75C17"/>
    <w:rsid w:val="00E75F9C"/>
    <w:rsid w:val="00E7666D"/>
    <w:rsid w:val="00E80C35"/>
    <w:rsid w:val="00E80D58"/>
    <w:rsid w:val="00E811F5"/>
    <w:rsid w:val="00E82A9C"/>
    <w:rsid w:val="00E83BC8"/>
    <w:rsid w:val="00E83F26"/>
    <w:rsid w:val="00E84845"/>
    <w:rsid w:val="00E84E91"/>
    <w:rsid w:val="00E85216"/>
    <w:rsid w:val="00E92293"/>
    <w:rsid w:val="00E9262F"/>
    <w:rsid w:val="00E92F68"/>
    <w:rsid w:val="00E93E13"/>
    <w:rsid w:val="00E97469"/>
    <w:rsid w:val="00EA0811"/>
    <w:rsid w:val="00EA1C33"/>
    <w:rsid w:val="00EA2AD3"/>
    <w:rsid w:val="00EA5D9E"/>
    <w:rsid w:val="00EB036B"/>
    <w:rsid w:val="00EB28EC"/>
    <w:rsid w:val="00EB3770"/>
    <w:rsid w:val="00EB39A9"/>
    <w:rsid w:val="00EB40C4"/>
    <w:rsid w:val="00EB746F"/>
    <w:rsid w:val="00EC09C3"/>
    <w:rsid w:val="00EC1684"/>
    <w:rsid w:val="00EC1858"/>
    <w:rsid w:val="00EC299D"/>
    <w:rsid w:val="00EC2DE1"/>
    <w:rsid w:val="00EC3980"/>
    <w:rsid w:val="00EC4341"/>
    <w:rsid w:val="00EC531A"/>
    <w:rsid w:val="00EC567D"/>
    <w:rsid w:val="00EC6405"/>
    <w:rsid w:val="00EC6667"/>
    <w:rsid w:val="00EC674D"/>
    <w:rsid w:val="00ED0139"/>
    <w:rsid w:val="00ED16B7"/>
    <w:rsid w:val="00ED2481"/>
    <w:rsid w:val="00ED34EA"/>
    <w:rsid w:val="00ED3611"/>
    <w:rsid w:val="00ED552C"/>
    <w:rsid w:val="00ED5DF2"/>
    <w:rsid w:val="00ED68BC"/>
    <w:rsid w:val="00ED7D21"/>
    <w:rsid w:val="00EE2D70"/>
    <w:rsid w:val="00EE3B25"/>
    <w:rsid w:val="00EE48E5"/>
    <w:rsid w:val="00EE4937"/>
    <w:rsid w:val="00EE534B"/>
    <w:rsid w:val="00EE5FC2"/>
    <w:rsid w:val="00EE748F"/>
    <w:rsid w:val="00EF0071"/>
    <w:rsid w:val="00EF1037"/>
    <w:rsid w:val="00EF2E99"/>
    <w:rsid w:val="00EF42E3"/>
    <w:rsid w:val="00EF5380"/>
    <w:rsid w:val="00EF617C"/>
    <w:rsid w:val="00EF66D9"/>
    <w:rsid w:val="00EF6856"/>
    <w:rsid w:val="00EF6981"/>
    <w:rsid w:val="00EF6D4A"/>
    <w:rsid w:val="00F00BF0"/>
    <w:rsid w:val="00F00E0D"/>
    <w:rsid w:val="00F02624"/>
    <w:rsid w:val="00F041AD"/>
    <w:rsid w:val="00F04768"/>
    <w:rsid w:val="00F05538"/>
    <w:rsid w:val="00F06849"/>
    <w:rsid w:val="00F12633"/>
    <w:rsid w:val="00F14386"/>
    <w:rsid w:val="00F14487"/>
    <w:rsid w:val="00F145AD"/>
    <w:rsid w:val="00F14680"/>
    <w:rsid w:val="00F14D6C"/>
    <w:rsid w:val="00F16619"/>
    <w:rsid w:val="00F17939"/>
    <w:rsid w:val="00F17947"/>
    <w:rsid w:val="00F20D78"/>
    <w:rsid w:val="00F20E3A"/>
    <w:rsid w:val="00F217E8"/>
    <w:rsid w:val="00F21CEB"/>
    <w:rsid w:val="00F23989"/>
    <w:rsid w:val="00F249EA"/>
    <w:rsid w:val="00F25E50"/>
    <w:rsid w:val="00F26787"/>
    <w:rsid w:val="00F269FF"/>
    <w:rsid w:val="00F26DE7"/>
    <w:rsid w:val="00F30B8A"/>
    <w:rsid w:val="00F328BA"/>
    <w:rsid w:val="00F32DDC"/>
    <w:rsid w:val="00F32E2F"/>
    <w:rsid w:val="00F33456"/>
    <w:rsid w:val="00F3370B"/>
    <w:rsid w:val="00F3464B"/>
    <w:rsid w:val="00F37825"/>
    <w:rsid w:val="00F405D3"/>
    <w:rsid w:val="00F409BF"/>
    <w:rsid w:val="00F40DE0"/>
    <w:rsid w:val="00F44538"/>
    <w:rsid w:val="00F46112"/>
    <w:rsid w:val="00F47B58"/>
    <w:rsid w:val="00F50092"/>
    <w:rsid w:val="00F50998"/>
    <w:rsid w:val="00F50EC6"/>
    <w:rsid w:val="00F511A1"/>
    <w:rsid w:val="00F5190B"/>
    <w:rsid w:val="00F5255C"/>
    <w:rsid w:val="00F52F85"/>
    <w:rsid w:val="00F530E2"/>
    <w:rsid w:val="00F60ADD"/>
    <w:rsid w:val="00F60E5B"/>
    <w:rsid w:val="00F61118"/>
    <w:rsid w:val="00F62A66"/>
    <w:rsid w:val="00F64EAF"/>
    <w:rsid w:val="00F650F5"/>
    <w:rsid w:val="00F652BB"/>
    <w:rsid w:val="00F6545D"/>
    <w:rsid w:val="00F65D32"/>
    <w:rsid w:val="00F65F20"/>
    <w:rsid w:val="00F65FC0"/>
    <w:rsid w:val="00F71143"/>
    <w:rsid w:val="00F728EC"/>
    <w:rsid w:val="00F72BD4"/>
    <w:rsid w:val="00F7377F"/>
    <w:rsid w:val="00F7609F"/>
    <w:rsid w:val="00F800B2"/>
    <w:rsid w:val="00F80238"/>
    <w:rsid w:val="00F81D22"/>
    <w:rsid w:val="00F84401"/>
    <w:rsid w:val="00F844D4"/>
    <w:rsid w:val="00F84A7C"/>
    <w:rsid w:val="00F84CD9"/>
    <w:rsid w:val="00F87295"/>
    <w:rsid w:val="00F876EA"/>
    <w:rsid w:val="00F87A70"/>
    <w:rsid w:val="00F87EA5"/>
    <w:rsid w:val="00F90A9C"/>
    <w:rsid w:val="00F9321B"/>
    <w:rsid w:val="00F965EB"/>
    <w:rsid w:val="00FA0D13"/>
    <w:rsid w:val="00FA1157"/>
    <w:rsid w:val="00FA3AC8"/>
    <w:rsid w:val="00FA4589"/>
    <w:rsid w:val="00FA46C4"/>
    <w:rsid w:val="00FA53F1"/>
    <w:rsid w:val="00FA55A5"/>
    <w:rsid w:val="00FA6D4D"/>
    <w:rsid w:val="00FA7714"/>
    <w:rsid w:val="00FB0A6D"/>
    <w:rsid w:val="00FB0D20"/>
    <w:rsid w:val="00FB15CB"/>
    <w:rsid w:val="00FB1F1E"/>
    <w:rsid w:val="00FB2146"/>
    <w:rsid w:val="00FB32DB"/>
    <w:rsid w:val="00FB3B35"/>
    <w:rsid w:val="00FB5393"/>
    <w:rsid w:val="00FB5F8B"/>
    <w:rsid w:val="00FB7B69"/>
    <w:rsid w:val="00FC2268"/>
    <w:rsid w:val="00FC2D86"/>
    <w:rsid w:val="00FC31BB"/>
    <w:rsid w:val="00FC33D2"/>
    <w:rsid w:val="00FC3AFB"/>
    <w:rsid w:val="00FC3BF0"/>
    <w:rsid w:val="00FC425D"/>
    <w:rsid w:val="00FC443D"/>
    <w:rsid w:val="00FC48E0"/>
    <w:rsid w:val="00FC4903"/>
    <w:rsid w:val="00FC4E39"/>
    <w:rsid w:val="00FC5964"/>
    <w:rsid w:val="00FC6E1F"/>
    <w:rsid w:val="00FC7C87"/>
    <w:rsid w:val="00FD08D9"/>
    <w:rsid w:val="00FD27AD"/>
    <w:rsid w:val="00FD3104"/>
    <w:rsid w:val="00FD3264"/>
    <w:rsid w:val="00FD3AC6"/>
    <w:rsid w:val="00FD42AB"/>
    <w:rsid w:val="00FD4F8B"/>
    <w:rsid w:val="00FD5996"/>
    <w:rsid w:val="00FD6443"/>
    <w:rsid w:val="00FD725F"/>
    <w:rsid w:val="00FE0431"/>
    <w:rsid w:val="00FE28DA"/>
    <w:rsid w:val="00FE3CCF"/>
    <w:rsid w:val="00FE6049"/>
    <w:rsid w:val="00FE61BE"/>
    <w:rsid w:val="00FE796B"/>
    <w:rsid w:val="00FF03B8"/>
    <w:rsid w:val="00FF09A9"/>
    <w:rsid w:val="00FF1103"/>
    <w:rsid w:val="00FF2F18"/>
    <w:rsid w:val="00FF31CD"/>
    <w:rsid w:val="00FF4D38"/>
    <w:rsid w:val="00FF573B"/>
    <w:rsid w:val="00FF5FE1"/>
    <w:rsid w:val="00FF61FA"/>
    <w:rsid w:val="00FF6217"/>
    <w:rsid w:val="00FF69EF"/>
    <w:rsid w:val="00FF6BB7"/>
    <w:rsid w:val="00FF7344"/>
    <w:rsid w:val="00FF73EE"/>
    <w:rsid w:val="0888A839"/>
    <w:rsid w:val="08AFAA2B"/>
    <w:rsid w:val="08D4ADB1"/>
    <w:rsid w:val="097925AD"/>
    <w:rsid w:val="0F25A5DE"/>
    <w:rsid w:val="10138F96"/>
    <w:rsid w:val="117D3BB0"/>
    <w:rsid w:val="15672B41"/>
    <w:rsid w:val="16798D66"/>
    <w:rsid w:val="25C1170A"/>
    <w:rsid w:val="2C7B8603"/>
    <w:rsid w:val="40EF8A47"/>
    <w:rsid w:val="442860B7"/>
    <w:rsid w:val="5868B288"/>
    <w:rsid w:val="6C9111AA"/>
    <w:rsid w:val="7186A8B2"/>
    <w:rsid w:val="786A96E8"/>
    <w:rsid w:val="7B3156BF"/>
    <w:rsid w:val="7D59AA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E920E37"/>
  <w15:chartTrackingRefBased/>
  <w15:docId w15:val="{C9CA1227-03A7-485B-B169-773AD92B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757"/>
    <w:rPr>
      <w:rFonts w:asciiTheme="minorHAnsi" w:hAnsiTheme="minorHAnsi" w:cstheme="minorHAnsi"/>
    </w:rPr>
  </w:style>
  <w:style w:type="paragraph" w:styleId="Heading1">
    <w:name w:val="heading 1"/>
    <w:basedOn w:val="Normal"/>
    <w:next w:val="Normal"/>
    <w:link w:val="Heading1Char"/>
    <w:uiPriority w:val="9"/>
    <w:qFormat/>
    <w:rsid w:val="00205E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5E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uiPriority w:val="9"/>
    <w:unhideWhenUsed/>
    <w:qFormat/>
    <w:rsid w:val="002E7C67"/>
    <w:pPr>
      <w:spacing w:before="120" w:after="120" w:line="240" w:lineRule="auto"/>
      <w:outlineLvl w:val="2"/>
    </w:pPr>
    <w:rPr>
      <w:rFonts w:ascii="Calibri" w:hAnsi="Calibri"/>
      <w:b/>
      <w:color w:val="auto"/>
      <w:sz w:val="24"/>
    </w:rPr>
  </w:style>
  <w:style w:type="paragraph" w:styleId="Heading4">
    <w:name w:val="heading 4"/>
    <w:basedOn w:val="Normal"/>
    <w:next w:val="Normal"/>
    <w:link w:val="Heading4Char"/>
    <w:uiPriority w:val="9"/>
    <w:unhideWhenUsed/>
    <w:qFormat/>
    <w:rsid w:val="005A77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568B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D0F"/>
    <w:pPr>
      <w:ind w:left="720"/>
      <w:contextualSpacing/>
    </w:pPr>
  </w:style>
  <w:style w:type="character" w:customStyle="1" w:styleId="Heading1Char">
    <w:name w:val="Heading 1 Char"/>
    <w:basedOn w:val="DefaultParagraphFont"/>
    <w:link w:val="Heading1"/>
    <w:uiPriority w:val="9"/>
    <w:rsid w:val="00205E7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05E7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E7C67"/>
    <w:rPr>
      <w:rFonts w:ascii="Calibri" w:eastAsiaTheme="majorEastAsia" w:hAnsi="Calibri" w:cstheme="majorBidi"/>
      <w:b/>
      <w:szCs w:val="26"/>
    </w:rPr>
  </w:style>
  <w:style w:type="paragraph" w:styleId="TOCHeading">
    <w:name w:val="TOC Heading"/>
    <w:basedOn w:val="Heading1"/>
    <w:next w:val="Normal"/>
    <w:uiPriority w:val="39"/>
    <w:unhideWhenUsed/>
    <w:qFormat/>
    <w:rsid w:val="005A7757"/>
    <w:pPr>
      <w:outlineLvl w:val="9"/>
    </w:pPr>
    <w:rPr>
      <w:lang w:val="en-US"/>
    </w:rPr>
  </w:style>
  <w:style w:type="paragraph" w:styleId="TOC1">
    <w:name w:val="toc 1"/>
    <w:basedOn w:val="Normal"/>
    <w:next w:val="Normal"/>
    <w:autoRedefine/>
    <w:uiPriority w:val="39"/>
    <w:unhideWhenUsed/>
    <w:rsid w:val="0096341F"/>
    <w:pPr>
      <w:tabs>
        <w:tab w:val="right" w:leader="dot" w:pos="9016"/>
      </w:tabs>
      <w:spacing w:after="100"/>
    </w:pPr>
  </w:style>
  <w:style w:type="paragraph" w:styleId="TOC2">
    <w:name w:val="toc 2"/>
    <w:basedOn w:val="Normal"/>
    <w:next w:val="Normal"/>
    <w:autoRedefine/>
    <w:uiPriority w:val="39"/>
    <w:unhideWhenUsed/>
    <w:rsid w:val="00C56A42"/>
    <w:pPr>
      <w:tabs>
        <w:tab w:val="right" w:leader="dot" w:pos="9016"/>
      </w:tabs>
      <w:spacing w:after="100"/>
      <w:ind w:left="240"/>
    </w:pPr>
  </w:style>
  <w:style w:type="paragraph" w:styleId="TOC3">
    <w:name w:val="toc 3"/>
    <w:basedOn w:val="Normal"/>
    <w:next w:val="Normal"/>
    <w:autoRedefine/>
    <w:uiPriority w:val="39"/>
    <w:unhideWhenUsed/>
    <w:rsid w:val="005A7757"/>
    <w:pPr>
      <w:spacing w:after="100"/>
      <w:ind w:left="480"/>
    </w:pPr>
  </w:style>
  <w:style w:type="character" w:styleId="Hyperlink">
    <w:name w:val="Hyperlink"/>
    <w:basedOn w:val="DefaultParagraphFont"/>
    <w:uiPriority w:val="99"/>
    <w:unhideWhenUsed/>
    <w:rsid w:val="005A7757"/>
    <w:rPr>
      <w:color w:val="0563C1" w:themeColor="hyperlink"/>
      <w:u w:val="single"/>
    </w:rPr>
  </w:style>
  <w:style w:type="character" w:customStyle="1" w:styleId="Heading4Char">
    <w:name w:val="Heading 4 Char"/>
    <w:basedOn w:val="DefaultParagraphFont"/>
    <w:link w:val="Heading4"/>
    <w:uiPriority w:val="9"/>
    <w:rsid w:val="005A7757"/>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9F60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60D4"/>
    <w:rPr>
      <w:rFonts w:asciiTheme="minorHAnsi" w:hAnsiTheme="minorHAnsi" w:cstheme="minorHAnsi"/>
      <w:sz w:val="20"/>
      <w:szCs w:val="20"/>
    </w:rPr>
  </w:style>
  <w:style w:type="character" w:styleId="FootnoteReference">
    <w:name w:val="footnote reference"/>
    <w:basedOn w:val="DefaultParagraphFont"/>
    <w:uiPriority w:val="99"/>
    <w:semiHidden/>
    <w:unhideWhenUsed/>
    <w:rsid w:val="009F60D4"/>
    <w:rPr>
      <w:vertAlign w:val="superscript"/>
    </w:rPr>
  </w:style>
  <w:style w:type="character" w:customStyle="1" w:styleId="Heading5Char">
    <w:name w:val="Heading 5 Char"/>
    <w:basedOn w:val="DefaultParagraphFont"/>
    <w:link w:val="Heading5"/>
    <w:uiPriority w:val="9"/>
    <w:rsid w:val="009568B5"/>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277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703"/>
    <w:rPr>
      <w:rFonts w:asciiTheme="minorHAnsi" w:hAnsiTheme="minorHAnsi" w:cstheme="minorHAnsi"/>
    </w:rPr>
  </w:style>
  <w:style w:type="paragraph" w:styleId="Footer">
    <w:name w:val="footer"/>
    <w:basedOn w:val="Normal"/>
    <w:link w:val="FooterChar"/>
    <w:uiPriority w:val="99"/>
    <w:unhideWhenUsed/>
    <w:rsid w:val="00E277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703"/>
    <w:rPr>
      <w:rFonts w:asciiTheme="minorHAnsi" w:hAnsiTheme="minorHAnsi" w:cstheme="minorHAnsi"/>
    </w:rPr>
  </w:style>
  <w:style w:type="paragraph" w:styleId="Title">
    <w:name w:val="Title"/>
    <w:basedOn w:val="Normal"/>
    <w:next w:val="Normal"/>
    <w:link w:val="TitleChar"/>
    <w:uiPriority w:val="10"/>
    <w:qFormat/>
    <w:rsid w:val="00175225"/>
    <w:pPr>
      <w:spacing w:before="720" w:after="120" w:line="240" w:lineRule="auto"/>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175225"/>
    <w:rPr>
      <w:rFonts w:asciiTheme="majorHAnsi" w:eastAsiaTheme="majorEastAsia" w:hAnsiTheme="majorHAnsi" w:cstheme="majorBidi"/>
      <w:spacing w:val="-10"/>
      <w:kern w:val="28"/>
      <w:sz w:val="72"/>
      <w:szCs w:val="56"/>
    </w:rPr>
  </w:style>
  <w:style w:type="table" w:styleId="GridTable5Dark-Accent3">
    <w:name w:val="Grid Table 5 Dark Accent 3"/>
    <w:basedOn w:val="TableNormal"/>
    <w:uiPriority w:val="50"/>
    <w:rsid w:val="00D212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Grid">
    <w:name w:val="Table Grid"/>
    <w:basedOn w:val="TableNormal"/>
    <w:uiPriority w:val="39"/>
    <w:rsid w:val="00D21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33B75"/>
    <w:rPr>
      <w:sz w:val="16"/>
      <w:szCs w:val="16"/>
    </w:rPr>
  </w:style>
  <w:style w:type="paragraph" w:styleId="CommentText">
    <w:name w:val="annotation text"/>
    <w:basedOn w:val="Normal"/>
    <w:link w:val="CommentTextChar"/>
    <w:uiPriority w:val="99"/>
    <w:unhideWhenUsed/>
    <w:rsid w:val="00B33B75"/>
    <w:pPr>
      <w:spacing w:line="240" w:lineRule="auto"/>
    </w:pPr>
    <w:rPr>
      <w:sz w:val="20"/>
      <w:szCs w:val="20"/>
    </w:rPr>
  </w:style>
  <w:style w:type="character" w:customStyle="1" w:styleId="CommentTextChar">
    <w:name w:val="Comment Text Char"/>
    <w:basedOn w:val="DefaultParagraphFont"/>
    <w:link w:val="CommentText"/>
    <w:uiPriority w:val="99"/>
    <w:rsid w:val="00B33B75"/>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B33B75"/>
    <w:rPr>
      <w:b/>
      <w:bCs/>
    </w:rPr>
  </w:style>
  <w:style w:type="character" w:customStyle="1" w:styleId="CommentSubjectChar">
    <w:name w:val="Comment Subject Char"/>
    <w:basedOn w:val="CommentTextChar"/>
    <w:link w:val="CommentSubject"/>
    <w:uiPriority w:val="99"/>
    <w:semiHidden/>
    <w:rsid w:val="00B33B75"/>
    <w:rPr>
      <w:rFonts w:asciiTheme="minorHAnsi" w:hAnsiTheme="minorHAnsi" w:cstheme="minorHAnsi"/>
      <w:b/>
      <w:bCs/>
      <w:sz w:val="20"/>
      <w:szCs w:val="20"/>
    </w:rPr>
  </w:style>
  <w:style w:type="paragraph" w:styleId="BalloonText">
    <w:name w:val="Balloon Text"/>
    <w:basedOn w:val="Normal"/>
    <w:link w:val="BalloonTextChar"/>
    <w:uiPriority w:val="99"/>
    <w:semiHidden/>
    <w:unhideWhenUsed/>
    <w:rsid w:val="00B33B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B75"/>
    <w:rPr>
      <w:rFonts w:ascii="Segoe UI" w:hAnsi="Segoe UI" w:cs="Segoe UI"/>
      <w:sz w:val="18"/>
      <w:szCs w:val="18"/>
    </w:rPr>
  </w:style>
  <w:style w:type="paragraph" w:styleId="Revision">
    <w:name w:val="Revision"/>
    <w:hidden/>
    <w:uiPriority w:val="99"/>
    <w:semiHidden/>
    <w:rsid w:val="00DB2946"/>
    <w:pPr>
      <w:spacing w:after="0" w:line="240" w:lineRule="auto"/>
    </w:pPr>
    <w:rPr>
      <w:rFonts w:asciiTheme="minorHAnsi" w:hAnsiTheme="minorHAnsi" w:cstheme="minorHAnsi"/>
    </w:rPr>
  </w:style>
  <w:style w:type="character" w:styleId="FollowedHyperlink">
    <w:name w:val="FollowedHyperlink"/>
    <w:basedOn w:val="DefaultParagraphFont"/>
    <w:uiPriority w:val="99"/>
    <w:semiHidden/>
    <w:unhideWhenUsed/>
    <w:rsid w:val="007A54B3"/>
    <w:rPr>
      <w:color w:val="954F72" w:themeColor="followedHyperlink"/>
      <w:u w:val="single"/>
    </w:rPr>
  </w:style>
  <w:style w:type="paragraph" w:styleId="Bibliography">
    <w:name w:val="Bibliography"/>
    <w:basedOn w:val="Normal"/>
    <w:next w:val="Normal"/>
    <w:uiPriority w:val="37"/>
    <w:unhideWhenUsed/>
    <w:rsid w:val="00C31F73"/>
  </w:style>
  <w:style w:type="paragraph" w:styleId="Caption">
    <w:name w:val="caption"/>
    <w:basedOn w:val="Normal"/>
    <w:next w:val="Normal"/>
    <w:uiPriority w:val="35"/>
    <w:unhideWhenUsed/>
    <w:qFormat/>
    <w:rsid w:val="00482F31"/>
    <w:pPr>
      <w:spacing w:after="200" w:line="240" w:lineRule="auto"/>
    </w:pPr>
    <w:rPr>
      <w:i/>
      <w:iCs/>
      <w:color w:val="44546A" w:themeColor="text2"/>
      <w:sz w:val="18"/>
      <w:szCs w:val="18"/>
    </w:rPr>
  </w:style>
  <w:style w:type="paragraph" w:styleId="NormalWeb">
    <w:name w:val="Normal (Web)"/>
    <w:basedOn w:val="Normal"/>
    <w:uiPriority w:val="99"/>
    <w:unhideWhenUsed/>
    <w:rsid w:val="004F4CE4"/>
    <w:pPr>
      <w:shd w:val="clear" w:color="auto" w:fill="FFFFFF"/>
      <w:spacing w:before="100" w:beforeAutospacing="1" w:after="100" w:afterAutospacing="1" w:line="240" w:lineRule="auto"/>
    </w:pPr>
    <w:rPr>
      <w:rFonts w:eastAsia="Times New Roman"/>
      <w:lang w:eastAsia="en-AU"/>
    </w:rPr>
  </w:style>
  <w:style w:type="character" w:styleId="Strong">
    <w:name w:val="Strong"/>
    <w:basedOn w:val="DefaultParagraphFont"/>
    <w:uiPriority w:val="22"/>
    <w:qFormat/>
    <w:rsid w:val="004F4CE4"/>
    <w:rPr>
      <w:b/>
      <w:bCs/>
    </w:rPr>
  </w:style>
  <w:style w:type="paragraph" w:styleId="TableofFigures">
    <w:name w:val="table of figures"/>
    <w:basedOn w:val="Normal"/>
    <w:next w:val="Normal"/>
    <w:uiPriority w:val="99"/>
    <w:unhideWhenUsed/>
    <w:rsid w:val="00F16619"/>
    <w:pPr>
      <w:spacing w:after="0"/>
    </w:pPr>
  </w:style>
  <w:style w:type="paragraph" w:styleId="NoSpacing">
    <w:name w:val="No Spacing"/>
    <w:link w:val="NoSpacingChar"/>
    <w:uiPriority w:val="1"/>
    <w:qFormat/>
    <w:rsid w:val="005878E0"/>
    <w:pPr>
      <w:spacing w:after="0" w:line="240" w:lineRule="auto"/>
    </w:pPr>
    <w:rPr>
      <w:rFonts w:asciiTheme="minorHAnsi" w:hAnsiTheme="minorHAnsi" w:cstheme="minorHAnsi"/>
    </w:rPr>
  </w:style>
  <w:style w:type="character" w:customStyle="1" w:styleId="NoSpacingChar">
    <w:name w:val="No Spacing Char"/>
    <w:basedOn w:val="DefaultParagraphFont"/>
    <w:link w:val="NoSpacing"/>
    <w:uiPriority w:val="1"/>
    <w:rsid w:val="00BC25E2"/>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573">
      <w:bodyDiv w:val="1"/>
      <w:marLeft w:val="0"/>
      <w:marRight w:val="0"/>
      <w:marTop w:val="0"/>
      <w:marBottom w:val="0"/>
      <w:divBdr>
        <w:top w:val="none" w:sz="0" w:space="0" w:color="auto"/>
        <w:left w:val="none" w:sz="0" w:space="0" w:color="auto"/>
        <w:bottom w:val="none" w:sz="0" w:space="0" w:color="auto"/>
        <w:right w:val="none" w:sz="0" w:space="0" w:color="auto"/>
      </w:divBdr>
    </w:div>
    <w:div w:id="9724579">
      <w:bodyDiv w:val="1"/>
      <w:marLeft w:val="0"/>
      <w:marRight w:val="0"/>
      <w:marTop w:val="0"/>
      <w:marBottom w:val="0"/>
      <w:divBdr>
        <w:top w:val="none" w:sz="0" w:space="0" w:color="auto"/>
        <w:left w:val="none" w:sz="0" w:space="0" w:color="auto"/>
        <w:bottom w:val="none" w:sz="0" w:space="0" w:color="auto"/>
        <w:right w:val="none" w:sz="0" w:space="0" w:color="auto"/>
      </w:divBdr>
    </w:div>
    <w:div w:id="11231600">
      <w:bodyDiv w:val="1"/>
      <w:marLeft w:val="0"/>
      <w:marRight w:val="0"/>
      <w:marTop w:val="0"/>
      <w:marBottom w:val="0"/>
      <w:divBdr>
        <w:top w:val="none" w:sz="0" w:space="0" w:color="auto"/>
        <w:left w:val="none" w:sz="0" w:space="0" w:color="auto"/>
        <w:bottom w:val="none" w:sz="0" w:space="0" w:color="auto"/>
        <w:right w:val="none" w:sz="0" w:space="0" w:color="auto"/>
      </w:divBdr>
    </w:div>
    <w:div w:id="11341231">
      <w:bodyDiv w:val="1"/>
      <w:marLeft w:val="0"/>
      <w:marRight w:val="0"/>
      <w:marTop w:val="0"/>
      <w:marBottom w:val="0"/>
      <w:divBdr>
        <w:top w:val="none" w:sz="0" w:space="0" w:color="auto"/>
        <w:left w:val="none" w:sz="0" w:space="0" w:color="auto"/>
        <w:bottom w:val="none" w:sz="0" w:space="0" w:color="auto"/>
        <w:right w:val="none" w:sz="0" w:space="0" w:color="auto"/>
      </w:divBdr>
    </w:div>
    <w:div w:id="13461280">
      <w:bodyDiv w:val="1"/>
      <w:marLeft w:val="0"/>
      <w:marRight w:val="0"/>
      <w:marTop w:val="0"/>
      <w:marBottom w:val="0"/>
      <w:divBdr>
        <w:top w:val="none" w:sz="0" w:space="0" w:color="auto"/>
        <w:left w:val="none" w:sz="0" w:space="0" w:color="auto"/>
        <w:bottom w:val="none" w:sz="0" w:space="0" w:color="auto"/>
        <w:right w:val="none" w:sz="0" w:space="0" w:color="auto"/>
      </w:divBdr>
    </w:div>
    <w:div w:id="15540326">
      <w:bodyDiv w:val="1"/>
      <w:marLeft w:val="0"/>
      <w:marRight w:val="0"/>
      <w:marTop w:val="0"/>
      <w:marBottom w:val="0"/>
      <w:divBdr>
        <w:top w:val="none" w:sz="0" w:space="0" w:color="auto"/>
        <w:left w:val="none" w:sz="0" w:space="0" w:color="auto"/>
        <w:bottom w:val="none" w:sz="0" w:space="0" w:color="auto"/>
        <w:right w:val="none" w:sz="0" w:space="0" w:color="auto"/>
      </w:divBdr>
    </w:div>
    <w:div w:id="18548458">
      <w:bodyDiv w:val="1"/>
      <w:marLeft w:val="0"/>
      <w:marRight w:val="0"/>
      <w:marTop w:val="0"/>
      <w:marBottom w:val="0"/>
      <w:divBdr>
        <w:top w:val="none" w:sz="0" w:space="0" w:color="auto"/>
        <w:left w:val="none" w:sz="0" w:space="0" w:color="auto"/>
        <w:bottom w:val="none" w:sz="0" w:space="0" w:color="auto"/>
        <w:right w:val="none" w:sz="0" w:space="0" w:color="auto"/>
      </w:divBdr>
    </w:div>
    <w:div w:id="24671781">
      <w:bodyDiv w:val="1"/>
      <w:marLeft w:val="0"/>
      <w:marRight w:val="0"/>
      <w:marTop w:val="0"/>
      <w:marBottom w:val="0"/>
      <w:divBdr>
        <w:top w:val="none" w:sz="0" w:space="0" w:color="auto"/>
        <w:left w:val="none" w:sz="0" w:space="0" w:color="auto"/>
        <w:bottom w:val="none" w:sz="0" w:space="0" w:color="auto"/>
        <w:right w:val="none" w:sz="0" w:space="0" w:color="auto"/>
      </w:divBdr>
    </w:div>
    <w:div w:id="26831652">
      <w:bodyDiv w:val="1"/>
      <w:marLeft w:val="0"/>
      <w:marRight w:val="0"/>
      <w:marTop w:val="0"/>
      <w:marBottom w:val="0"/>
      <w:divBdr>
        <w:top w:val="none" w:sz="0" w:space="0" w:color="auto"/>
        <w:left w:val="none" w:sz="0" w:space="0" w:color="auto"/>
        <w:bottom w:val="none" w:sz="0" w:space="0" w:color="auto"/>
        <w:right w:val="none" w:sz="0" w:space="0" w:color="auto"/>
      </w:divBdr>
    </w:div>
    <w:div w:id="27099052">
      <w:bodyDiv w:val="1"/>
      <w:marLeft w:val="0"/>
      <w:marRight w:val="0"/>
      <w:marTop w:val="0"/>
      <w:marBottom w:val="0"/>
      <w:divBdr>
        <w:top w:val="none" w:sz="0" w:space="0" w:color="auto"/>
        <w:left w:val="none" w:sz="0" w:space="0" w:color="auto"/>
        <w:bottom w:val="none" w:sz="0" w:space="0" w:color="auto"/>
        <w:right w:val="none" w:sz="0" w:space="0" w:color="auto"/>
      </w:divBdr>
    </w:div>
    <w:div w:id="27417335">
      <w:bodyDiv w:val="1"/>
      <w:marLeft w:val="0"/>
      <w:marRight w:val="0"/>
      <w:marTop w:val="0"/>
      <w:marBottom w:val="0"/>
      <w:divBdr>
        <w:top w:val="none" w:sz="0" w:space="0" w:color="auto"/>
        <w:left w:val="none" w:sz="0" w:space="0" w:color="auto"/>
        <w:bottom w:val="none" w:sz="0" w:space="0" w:color="auto"/>
        <w:right w:val="none" w:sz="0" w:space="0" w:color="auto"/>
      </w:divBdr>
    </w:div>
    <w:div w:id="30226625">
      <w:bodyDiv w:val="1"/>
      <w:marLeft w:val="0"/>
      <w:marRight w:val="0"/>
      <w:marTop w:val="0"/>
      <w:marBottom w:val="0"/>
      <w:divBdr>
        <w:top w:val="none" w:sz="0" w:space="0" w:color="auto"/>
        <w:left w:val="none" w:sz="0" w:space="0" w:color="auto"/>
        <w:bottom w:val="none" w:sz="0" w:space="0" w:color="auto"/>
        <w:right w:val="none" w:sz="0" w:space="0" w:color="auto"/>
      </w:divBdr>
    </w:div>
    <w:div w:id="36780102">
      <w:bodyDiv w:val="1"/>
      <w:marLeft w:val="0"/>
      <w:marRight w:val="0"/>
      <w:marTop w:val="0"/>
      <w:marBottom w:val="0"/>
      <w:divBdr>
        <w:top w:val="none" w:sz="0" w:space="0" w:color="auto"/>
        <w:left w:val="none" w:sz="0" w:space="0" w:color="auto"/>
        <w:bottom w:val="none" w:sz="0" w:space="0" w:color="auto"/>
        <w:right w:val="none" w:sz="0" w:space="0" w:color="auto"/>
      </w:divBdr>
    </w:div>
    <w:div w:id="40373011">
      <w:bodyDiv w:val="1"/>
      <w:marLeft w:val="0"/>
      <w:marRight w:val="0"/>
      <w:marTop w:val="0"/>
      <w:marBottom w:val="0"/>
      <w:divBdr>
        <w:top w:val="none" w:sz="0" w:space="0" w:color="auto"/>
        <w:left w:val="none" w:sz="0" w:space="0" w:color="auto"/>
        <w:bottom w:val="none" w:sz="0" w:space="0" w:color="auto"/>
        <w:right w:val="none" w:sz="0" w:space="0" w:color="auto"/>
      </w:divBdr>
    </w:div>
    <w:div w:id="42142424">
      <w:bodyDiv w:val="1"/>
      <w:marLeft w:val="0"/>
      <w:marRight w:val="0"/>
      <w:marTop w:val="0"/>
      <w:marBottom w:val="0"/>
      <w:divBdr>
        <w:top w:val="none" w:sz="0" w:space="0" w:color="auto"/>
        <w:left w:val="none" w:sz="0" w:space="0" w:color="auto"/>
        <w:bottom w:val="none" w:sz="0" w:space="0" w:color="auto"/>
        <w:right w:val="none" w:sz="0" w:space="0" w:color="auto"/>
      </w:divBdr>
    </w:div>
    <w:div w:id="43912735">
      <w:bodyDiv w:val="1"/>
      <w:marLeft w:val="0"/>
      <w:marRight w:val="0"/>
      <w:marTop w:val="0"/>
      <w:marBottom w:val="0"/>
      <w:divBdr>
        <w:top w:val="none" w:sz="0" w:space="0" w:color="auto"/>
        <w:left w:val="none" w:sz="0" w:space="0" w:color="auto"/>
        <w:bottom w:val="none" w:sz="0" w:space="0" w:color="auto"/>
        <w:right w:val="none" w:sz="0" w:space="0" w:color="auto"/>
      </w:divBdr>
    </w:div>
    <w:div w:id="46876388">
      <w:bodyDiv w:val="1"/>
      <w:marLeft w:val="0"/>
      <w:marRight w:val="0"/>
      <w:marTop w:val="0"/>
      <w:marBottom w:val="0"/>
      <w:divBdr>
        <w:top w:val="none" w:sz="0" w:space="0" w:color="auto"/>
        <w:left w:val="none" w:sz="0" w:space="0" w:color="auto"/>
        <w:bottom w:val="none" w:sz="0" w:space="0" w:color="auto"/>
        <w:right w:val="none" w:sz="0" w:space="0" w:color="auto"/>
      </w:divBdr>
    </w:div>
    <w:div w:id="49310222">
      <w:bodyDiv w:val="1"/>
      <w:marLeft w:val="0"/>
      <w:marRight w:val="0"/>
      <w:marTop w:val="0"/>
      <w:marBottom w:val="0"/>
      <w:divBdr>
        <w:top w:val="none" w:sz="0" w:space="0" w:color="auto"/>
        <w:left w:val="none" w:sz="0" w:space="0" w:color="auto"/>
        <w:bottom w:val="none" w:sz="0" w:space="0" w:color="auto"/>
        <w:right w:val="none" w:sz="0" w:space="0" w:color="auto"/>
      </w:divBdr>
    </w:div>
    <w:div w:id="49504614">
      <w:bodyDiv w:val="1"/>
      <w:marLeft w:val="0"/>
      <w:marRight w:val="0"/>
      <w:marTop w:val="0"/>
      <w:marBottom w:val="0"/>
      <w:divBdr>
        <w:top w:val="none" w:sz="0" w:space="0" w:color="auto"/>
        <w:left w:val="none" w:sz="0" w:space="0" w:color="auto"/>
        <w:bottom w:val="none" w:sz="0" w:space="0" w:color="auto"/>
        <w:right w:val="none" w:sz="0" w:space="0" w:color="auto"/>
      </w:divBdr>
    </w:div>
    <w:div w:id="52235308">
      <w:bodyDiv w:val="1"/>
      <w:marLeft w:val="0"/>
      <w:marRight w:val="0"/>
      <w:marTop w:val="0"/>
      <w:marBottom w:val="0"/>
      <w:divBdr>
        <w:top w:val="none" w:sz="0" w:space="0" w:color="auto"/>
        <w:left w:val="none" w:sz="0" w:space="0" w:color="auto"/>
        <w:bottom w:val="none" w:sz="0" w:space="0" w:color="auto"/>
        <w:right w:val="none" w:sz="0" w:space="0" w:color="auto"/>
      </w:divBdr>
    </w:div>
    <w:div w:id="55514472">
      <w:bodyDiv w:val="1"/>
      <w:marLeft w:val="0"/>
      <w:marRight w:val="0"/>
      <w:marTop w:val="0"/>
      <w:marBottom w:val="0"/>
      <w:divBdr>
        <w:top w:val="none" w:sz="0" w:space="0" w:color="auto"/>
        <w:left w:val="none" w:sz="0" w:space="0" w:color="auto"/>
        <w:bottom w:val="none" w:sz="0" w:space="0" w:color="auto"/>
        <w:right w:val="none" w:sz="0" w:space="0" w:color="auto"/>
      </w:divBdr>
    </w:div>
    <w:div w:id="56977962">
      <w:bodyDiv w:val="1"/>
      <w:marLeft w:val="0"/>
      <w:marRight w:val="0"/>
      <w:marTop w:val="0"/>
      <w:marBottom w:val="0"/>
      <w:divBdr>
        <w:top w:val="none" w:sz="0" w:space="0" w:color="auto"/>
        <w:left w:val="none" w:sz="0" w:space="0" w:color="auto"/>
        <w:bottom w:val="none" w:sz="0" w:space="0" w:color="auto"/>
        <w:right w:val="none" w:sz="0" w:space="0" w:color="auto"/>
      </w:divBdr>
    </w:div>
    <w:div w:id="60300452">
      <w:bodyDiv w:val="1"/>
      <w:marLeft w:val="0"/>
      <w:marRight w:val="0"/>
      <w:marTop w:val="0"/>
      <w:marBottom w:val="0"/>
      <w:divBdr>
        <w:top w:val="none" w:sz="0" w:space="0" w:color="auto"/>
        <w:left w:val="none" w:sz="0" w:space="0" w:color="auto"/>
        <w:bottom w:val="none" w:sz="0" w:space="0" w:color="auto"/>
        <w:right w:val="none" w:sz="0" w:space="0" w:color="auto"/>
      </w:divBdr>
    </w:div>
    <w:div w:id="60644422">
      <w:bodyDiv w:val="1"/>
      <w:marLeft w:val="0"/>
      <w:marRight w:val="0"/>
      <w:marTop w:val="0"/>
      <w:marBottom w:val="0"/>
      <w:divBdr>
        <w:top w:val="none" w:sz="0" w:space="0" w:color="auto"/>
        <w:left w:val="none" w:sz="0" w:space="0" w:color="auto"/>
        <w:bottom w:val="none" w:sz="0" w:space="0" w:color="auto"/>
        <w:right w:val="none" w:sz="0" w:space="0" w:color="auto"/>
      </w:divBdr>
    </w:div>
    <w:div w:id="61103003">
      <w:bodyDiv w:val="1"/>
      <w:marLeft w:val="0"/>
      <w:marRight w:val="0"/>
      <w:marTop w:val="0"/>
      <w:marBottom w:val="0"/>
      <w:divBdr>
        <w:top w:val="none" w:sz="0" w:space="0" w:color="auto"/>
        <w:left w:val="none" w:sz="0" w:space="0" w:color="auto"/>
        <w:bottom w:val="none" w:sz="0" w:space="0" w:color="auto"/>
        <w:right w:val="none" w:sz="0" w:space="0" w:color="auto"/>
      </w:divBdr>
    </w:div>
    <w:div w:id="63266012">
      <w:bodyDiv w:val="1"/>
      <w:marLeft w:val="0"/>
      <w:marRight w:val="0"/>
      <w:marTop w:val="0"/>
      <w:marBottom w:val="0"/>
      <w:divBdr>
        <w:top w:val="none" w:sz="0" w:space="0" w:color="auto"/>
        <w:left w:val="none" w:sz="0" w:space="0" w:color="auto"/>
        <w:bottom w:val="none" w:sz="0" w:space="0" w:color="auto"/>
        <w:right w:val="none" w:sz="0" w:space="0" w:color="auto"/>
      </w:divBdr>
    </w:div>
    <w:div w:id="63650381">
      <w:bodyDiv w:val="1"/>
      <w:marLeft w:val="0"/>
      <w:marRight w:val="0"/>
      <w:marTop w:val="0"/>
      <w:marBottom w:val="0"/>
      <w:divBdr>
        <w:top w:val="none" w:sz="0" w:space="0" w:color="auto"/>
        <w:left w:val="none" w:sz="0" w:space="0" w:color="auto"/>
        <w:bottom w:val="none" w:sz="0" w:space="0" w:color="auto"/>
        <w:right w:val="none" w:sz="0" w:space="0" w:color="auto"/>
      </w:divBdr>
    </w:div>
    <w:div w:id="74980744">
      <w:bodyDiv w:val="1"/>
      <w:marLeft w:val="0"/>
      <w:marRight w:val="0"/>
      <w:marTop w:val="0"/>
      <w:marBottom w:val="0"/>
      <w:divBdr>
        <w:top w:val="none" w:sz="0" w:space="0" w:color="auto"/>
        <w:left w:val="none" w:sz="0" w:space="0" w:color="auto"/>
        <w:bottom w:val="none" w:sz="0" w:space="0" w:color="auto"/>
        <w:right w:val="none" w:sz="0" w:space="0" w:color="auto"/>
      </w:divBdr>
    </w:div>
    <w:div w:id="76371276">
      <w:bodyDiv w:val="1"/>
      <w:marLeft w:val="0"/>
      <w:marRight w:val="0"/>
      <w:marTop w:val="0"/>
      <w:marBottom w:val="0"/>
      <w:divBdr>
        <w:top w:val="none" w:sz="0" w:space="0" w:color="auto"/>
        <w:left w:val="none" w:sz="0" w:space="0" w:color="auto"/>
        <w:bottom w:val="none" w:sz="0" w:space="0" w:color="auto"/>
        <w:right w:val="none" w:sz="0" w:space="0" w:color="auto"/>
      </w:divBdr>
    </w:div>
    <w:div w:id="77411814">
      <w:bodyDiv w:val="1"/>
      <w:marLeft w:val="0"/>
      <w:marRight w:val="0"/>
      <w:marTop w:val="0"/>
      <w:marBottom w:val="0"/>
      <w:divBdr>
        <w:top w:val="none" w:sz="0" w:space="0" w:color="auto"/>
        <w:left w:val="none" w:sz="0" w:space="0" w:color="auto"/>
        <w:bottom w:val="none" w:sz="0" w:space="0" w:color="auto"/>
        <w:right w:val="none" w:sz="0" w:space="0" w:color="auto"/>
      </w:divBdr>
    </w:div>
    <w:div w:id="79837109">
      <w:bodyDiv w:val="1"/>
      <w:marLeft w:val="0"/>
      <w:marRight w:val="0"/>
      <w:marTop w:val="0"/>
      <w:marBottom w:val="0"/>
      <w:divBdr>
        <w:top w:val="none" w:sz="0" w:space="0" w:color="auto"/>
        <w:left w:val="none" w:sz="0" w:space="0" w:color="auto"/>
        <w:bottom w:val="none" w:sz="0" w:space="0" w:color="auto"/>
        <w:right w:val="none" w:sz="0" w:space="0" w:color="auto"/>
      </w:divBdr>
    </w:div>
    <w:div w:id="80177397">
      <w:bodyDiv w:val="1"/>
      <w:marLeft w:val="0"/>
      <w:marRight w:val="0"/>
      <w:marTop w:val="0"/>
      <w:marBottom w:val="0"/>
      <w:divBdr>
        <w:top w:val="none" w:sz="0" w:space="0" w:color="auto"/>
        <w:left w:val="none" w:sz="0" w:space="0" w:color="auto"/>
        <w:bottom w:val="none" w:sz="0" w:space="0" w:color="auto"/>
        <w:right w:val="none" w:sz="0" w:space="0" w:color="auto"/>
      </w:divBdr>
    </w:div>
    <w:div w:id="83186335">
      <w:bodyDiv w:val="1"/>
      <w:marLeft w:val="0"/>
      <w:marRight w:val="0"/>
      <w:marTop w:val="0"/>
      <w:marBottom w:val="0"/>
      <w:divBdr>
        <w:top w:val="none" w:sz="0" w:space="0" w:color="auto"/>
        <w:left w:val="none" w:sz="0" w:space="0" w:color="auto"/>
        <w:bottom w:val="none" w:sz="0" w:space="0" w:color="auto"/>
        <w:right w:val="none" w:sz="0" w:space="0" w:color="auto"/>
      </w:divBdr>
    </w:div>
    <w:div w:id="87124792">
      <w:bodyDiv w:val="1"/>
      <w:marLeft w:val="0"/>
      <w:marRight w:val="0"/>
      <w:marTop w:val="0"/>
      <w:marBottom w:val="0"/>
      <w:divBdr>
        <w:top w:val="none" w:sz="0" w:space="0" w:color="auto"/>
        <w:left w:val="none" w:sz="0" w:space="0" w:color="auto"/>
        <w:bottom w:val="none" w:sz="0" w:space="0" w:color="auto"/>
        <w:right w:val="none" w:sz="0" w:space="0" w:color="auto"/>
      </w:divBdr>
    </w:div>
    <w:div w:id="88625967">
      <w:bodyDiv w:val="1"/>
      <w:marLeft w:val="0"/>
      <w:marRight w:val="0"/>
      <w:marTop w:val="0"/>
      <w:marBottom w:val="0"/>
      <w:divBdr>
        <w:top w:val="none" w:sz="0" w:space="0" w:color="auto"/>
        <w:left w:val="none" w:sz="0" w:space="0" w:color="auto"/>
        <w:bottom w:val="none" w:sz="0" w:space="0" w:color="auto"/>
        <w:right w:val="none" w:sz="0" w:space="0" w:color="auto"/>
      </w:divBdr>
    </w:div>
    <w:div w:id="90470878">
      <w:bodyDiv w:val="1"/>
      <w:marLeft w:val="0"/>
      <w:marRight w:val="0"/>
      <w:marTop w:val="0"/>
      <w:marBottom w:val="0"/>
      <w:divBdr>
        <w:top w:val="none" w:sz="0" w:space="0" w:color="auto"/>
        <w:left w:val="none" w:sz="0" w:space="0" w:color="auto"/>
        <w:bottom w:val="none" w:sz="0" w:space="0" w:color="auto"/>
        <w:right w:val="none" w:sz="0" w:space="0" w:color="auto"/>
      </w:divBdr>
    </w:div>
    <w:div w:id="98835950">
      <w:bodyDiv w:val="1"/>
      <w:marLeft w:val="0"/>
      <w:marRight w:val="0"/>
      <w:marTop w:val="0"/>
      <w:marBottom w:val="0"/>
      <w:divBdr>
        <w:top w:val="none" w:sz="0" w:space="0" w:color="auto"/>
        <w:left w:val="none" w:sz="0" w:space="0" w:color="auto"/>
        <w:bottom w:val="none" w:sz="0" w:space="0" w:color="auto"/>
        <w:right w:val="none" w:sz="0" w:space="0" w:color="auto"/>
      </w:divBdr>
    </w:div>
    <w:div w:id="103621453">
      <w:bodyDiv w:val="1"/>
      <w:marLeft w:val="0"/>
      <w:marRight w:val="0"/>
      <w:marTop w:val="0"/>
      <w:marBottom w:val="0"/>
      <w:divBdr>
        <w:top w:val="none" w:sz="0" w:space="0" w:color="auto"/>
        <w:left w:val="none" w:sz="0" w:space="0" w:color="auto"/>
        <w:bottom w:val="none" w:sz="0" w:space="0" w:color="auto"/>
        <w:right w:val="none" w:sz="0" w:space="0" w:color="auto"/>
      </w:divBdr>
    </w:div>
    <w:div w:id="103814851">
      <w:bodyDiv w:val="1"/>
      <w:marLeft w:val="0"/>
      <w:marRight w:val="0"/>
      <w:marTop w:val="0"/>
      <w:marBottom w:val="0"/>
      <w:divBdr>
        <w:top w:val="none" w:sz="0" w:space="0" w:color="auto"/>
        <w:left w:val="none" w:sz="0" w:space="0" w:color="auto"/>
        <w:bottom w:val="none" w:sz="0" w:space="0" w:color="auto"/>
        <w:right w:val="none" w:sz="0" w:space="0" w:color="auto"/>
      </w:divBdr>
    </w:div>
    <w:div w:id="107705457">
      <w:bodyDiv w:val="1"/>
      <w:marLeft w:val="0"/>
      <w:marRight w:val="0"/>
      <w:marTop w:val="0"/>
      <w:marBottom w:val="0"/>
      <w:divBdr>
        <w:top w:val="none" w:sz="0" w:space="0" w:color="auto"/>
        <w:left w:val="none" w:sz="0" w:space="0" w:color="auto"/>
        <w:bottom w:val="none" w:sz="0" w:space="0" w:color="auto"/>
        <w:right w:val="none" w:sz="0" w:space="0" w:color="auto"/>
      </w:divBdr>
    </w:div>
    <w:div w:id="108817494">
      <w:bodyDiv w:val="1"/>
      <w:marLeft w:val="0"/>
      <w:marRight w:val="0"/>
      <w:marTop w:val="0"/>
      <w:marBottom w:val="0"/>
      <w:divBdr>
        <w:top w:val="none" w:sz="0" w:space="0" w:color="auto"/>
        <w:left w:val="none" w:sz="0" w:space="0" w:color="auto"/>
        <w:bottom w:val="none" w:sz="0" w:space="0" w:color="auto"/>
        <w:right w:val="none" w:sz="0" w:space="0" w:color="auto"/>
      </w:divBdr>
    </w:div>
    <w:div w:id="116219258">
      <w:bodyDiv w:val="1"/>
      <w:marLeft w:val="0"/>
      <w:marRight w:val="0"/>
      <w:marTop w:val="0"/>
      <w:marBottom w:val="0"/>
      <w:divBdr>
        <w:top w:val="none" w:sz="0" w:space="0" w:color="auto"/>
        <w:left w:val="none" w:sz="0" w:space="0" w:color="auto"/>
        <w:bottom w:val="none" w:sz="0" w:space="0" w:color="auto"/>
        <w:right w:val="none" w:sz="0" w:space="0" w:color="auto"/>
      </w:divBdr>
    </w:div>
    <w:div w:id="119762942">
      <w:bodyDiv w:val="1"/>
      <w:marLeft w:val="0"/>
      <w:marRight w:val="0"/>
      <w:marTop w:val="0"/>
      <w:marBottom w:val="0"/>
      <w:divBdr>
        <w:top w:val="none" w:sz="0" w:space="0" w:color="auto"/>
        <w:left w:val="none" w:sz="0" w:space="0" w:color="auto"/>
        <w:bottom w:val="none" w:sz="0" w:space="0" w:color="auto"/>
        <w:right w:val="none" w:sz="0" w:space="0" w:color="auto"/>
      </w:divBdr>
    </w:div>
    <w:div w:id="126510395">
      <w:bodyDiv w:val="1"/>
      <w:marLeft w:val="0"/>
      <w:marRight w:val="0"/>
      <w:marTop w:val="0"/>
      <w:marBottom w:val="0"/>
      <w:divBdr>
        <w:top w:val="none" w:sz="0" w:space="0" w:color="auto"/>
        <w:left w:val="none" w:sz="0" w:space="0" w:color="auto"/>
        <w:bottom w:val="none" w:sz="0" w:space="0" w:color="auto"/>
        <w:right w:val="none" w:sz="0" w:space="0" w:color="auto"/>
      </w:divBdr>
    </w:div>
    <w:div w:id="134690554">
      <w:bodyDiv w:val="1"/>
      <w:marLeft w:val="0"/>
      <w:marRight w:val="0"/>
      <w:marTop w:val="0"/>
      <w:marBottom w:val="0"/>
      <w:divBdr>
        <w:top w:val="none" w:sz="0" w:space="0" w:color="auto"/>
        <w:left w:val="none" w:sz="0" w:space="0" w:color="auto"/>
        <w:bottom w:val="none" w:sz="0" w:space="0" w:color="auto"/>
        <w:right w:val="none" w:sz="0" w:space="0" w:color="auto"/>
      </w:divBdr>
    </w:div>
    <w:div w:id="140312657">
      <w:bodyDiv w:val="1"/>
      <w:marLeft w:val="0"/>
      <w:marRight w:val="0"/>
      <w:marTop w:val="0"/>
      <w:marBottom w:val="0"/>
      <w:divBdr>
        <w:top w:val="none" w:sz="0" w:space="0" w:color="auto"/>
        <w:left w:val="none" w:sz="0" w:space="0" w:color="auto"/>
        <w:bottom w:val="none" w:sz="0" w:space="0" w:color="auto"/>
        <w:right w:val="none" w:sz="0" w:space="0" w:color="auto"/>
      </w:divBdr>
    </w:div>
    <w:div w:id="142161856">
      <w:bodyDiv w:val="1"/>
      <w:marLeft w:val="0"/>
      <w:marRight w:val="0"/>
      <w:marTop w:val="0"/>
      <w:marBottom w:val="0"/>
      <w:divBdr>
        <w:top w:val="none" w:sz="0" w:space="0" w:color="auto"/>
        <w:left w:val="none" w:sz="0" w:space="0" w:color="auto"/>
        <w:bottom w:val="none" w:sz="0" w:space="0" w:color="auto"/>
        <w:right w:val="none" w:sz="0" w:space="0" w:color="auto"/>
      </w:divBdr>
    </w:div>
    <w:div w:id="146479749">
      <w:bodyDiv w:val="1"/>
      <w:marLeft w:val="0"/>
      <w:marRight w:val="0"/>
      <w:marTop w:val="0"/>
      <w:marBottom w:val="0"/>
      <w:divBdr>
        <w:top w:val="none" w:sz="0" w:space="0" w:color="auto"/>
        <w:left w:val="none" w:sz="0" w:space="0" w:color="auto"/>
        <w:bottom w:val="none" w:sz="0" w:space="0" w:color="auto"/>
        <w:right w:val="none" w:sz="0" w:space="0" w:color="auto"/>
      </w:divBdr>
    </w:div>
    <w:div w:id="151340219">
      <w:bodyDiv w:val="1"/>
      <w:marLeft w:val="0"/>
      <w:marRight w:val="0"/>
      <w:marTop w:val="0"/>
      <w:marBottom w:val="0"/>
      <w:divBdr>
        <w:top w:val="none" w:sz="0" w:space="0" w:color="auto"/>
        <w:left w:val="none" w:sz="0" w:space="0" w:color="auto"/>
        <w:bottom w:val="none" w:sz="0" w:space="0" w:color="auto"/>
        <w:right w:val="none" w:sz="0" w:space="0" w:color="auto"/>
      </w:divBdr>
    </w:div>
    <w:div w:id="151532248">
      <w:bodyDiv w:val="1"/>
      <w:marLeft w:val="0"/>
      <w:marRight w:val="0"/>
      <w:marTop w:val="0"/>
      <w:marBottom w:val="0"/>
      <w:divBdr>
        <w:top w:val="none" w:sz="0" w:space="0" w:color="auto"/>
        <w:left w:val="none" w:sz="0" w:space="0" w:color="auto"/>
        <w:bottom w:val="none" w:sz="0" w:space="0" w:color="auto"/>
        <w:right w:val="none" w:sz="0" w:space="0" w:color="auto"/>
      </w:divBdr>
    </w:div>
    <w:div w:id="156113281">
      <w:bodyDiv w:val="1"/>
      <w:marLeft w:val="0"/>
      <w:marRight w:val="0"/>
      <w:marTop w:val="0"/>
      <w:marBottom w:val="0"/>
      <w:divBdr>
        <w:top w:val="none" w:sz="0" w:space="0" w:color="auto"/>
        <w:left w:val="none" w:sz="0" w:space="0" w:color="auto"/>
        <w:bottom w:val="none" w:sz="0" w:space="0" w:color="auto"/>
        <w:right w:val="none" w:sz="0" w:space="0" w:color="auto"/>
      </w:divBdr>
    </w:div>
    <w:div w:id="163471100">
      <w:bodyDiv w:val="1"/>
      <w:marLeft w:val="0"/>
      <w:marRight w:val="0"/>
      <w:marTop w:val="0"/>
      <w:marBottom w:val="0"/>
      <w:divBdr>
        <w:top w:val="none" w:sz="0" w:space="0" w:color="auto"/>
        <w:left w:val="none" w:sz="0" w:space="0" w:color="auto"/>
        <w:bottom w:val="none" w:sz="0" w:space="0" w:color="auto"/>
        <w:right w:val="none" w:sz="0" w:space="0" w:color="auto"/>
      </w:divBdr>
    </w:div>
    <w:div w:id="165756330">
      <w:bodyDiv w:val="1"/>
      <w:marLeft w:val="0"/>
      <w:marRight w:val="0"/>
      <w:marTop w:val="0"/>
      <w:marBottom w:val="0"/>
      <w:divBdr>
        <w:top w:val="none" w:sz="0" w:space="0" w:color="auto"/>
        <w:left w:val="none" w:sz="0" w:space="0" w:color="auto"/>
        <w:bottom w:val="none" w:sz="0" w:space="0" w:color="auto"/>
        <w:right w:val="none" w:sz="0" w:space="0" w:color="auto"/>
      </w:divBdr>
    </w:div>
    <w:div w:id="166291664">
      <w:bodyDiv w:val="1"/>
      <w:marLeft w:val="0"/>
      <w:marRight w:val="0"/>
      <w:marTop w:val="0"/>
      <w:marBottom w:val="0"/>
      <w:divBdr>
        <w:top w:val="none" w:sz="0" w:space="0" w:color="auto"/>
        <w:left w:val="none" w:sz="0" w:space="0" w:color="auto"/>
        <w:bottom w:val="none" w:sz="0" w:space="0" w:color="auto"/>
        <w:right w:val="none" w:sz="0" w:space="0" w:color="auto"/>
      </w:divBdr>
    </w:div>
    <w:div w:id="167910478">
      <w:bodyDiv w:val="1"/>
      <w:marLeft w:val="0"/>
      <w:marRight w:val="0"/>
      <w:marTop w:val="0"/>
      <w:marBottom w:val="0"/>
      <w:divBdr>
        <w:top w:val="none" w:sz="0" w:space="0" w:color="auto"/>
        <w:left w:val="none" w:sz="0" w:space="0" w:color="auto"/>
        <w:bottom w:val="none" w:sz="0" w:space="0" w:color="auto"/>
        <w:right w:val="none" w:sz="0" w:space="0" w:color="auto"/>
      </w:divBdr>
    </w:div>
    <w:div w:id="172963773">
      <w:bodyDiv w:val="1"/>
      <w:marLeft w:val="0"/>
      <w:marRight w:val="0"/>
      <w:marTop w:val="0"/>
      <w:marBottom w:val="0"/>
      <w:divBdr>
        <w:top w:val="none" w:sz="0" w:space="0" w:color="auto"/>
        <w:left w:val="none" w:sz="0" w:space="0" w:color="auto"/>
        <w:bottom w:val="none" w:sz="0" w:space="0" w:color="auto"/>
        <w:right w:val="none" w:sz="0" w:space="0" w:color="auto"/>
      </w:divBdr>
    </w:div>
    <w:div w:id="175390604">
      <w:bodyDiv w:val="1"/>
      <w:marLeft w:val="0"/>
      <w:marRight w:val="0"/>
      <w:marTop w:val="0"/>
      <w:marBottom w:val="0"/>
      <w:divBdr>
        <w:top w:val="none" w:sz="0" w:space="0" w:color="auto"/>
        <w:left w:val="none" w:sz="0" w:space="0" w:color="auto"/>
        <w:bottom w:val="none" w:sz="0" w:space="0" w:color="auto"/>
        <w:right w:val="none" w:sz="0" w:space="0" w:color="auto"/>
      </w:divBdr>
    </w:div>
    <w:div w:id="183597483">
      <w:bodyDiv w:val="1"/>
      <w:marLeft w:val="0"/>
      <w:marRight w:val="0"/>
      <w:marTop w:val="0"/>
      <w:marBottom w:val="0"/>
      <w:divBdr>
        <w:top w:val="none" w:sz="0" w:space="0" w:color="auto"/>
        <w:left w:val="none" w:sz="0" w:space="0" w:color="auto"/>
        <w:bottom w:val="none" w:sz="0" w:space="0" w:color="auto"/>
        <w:right w:val="none" w:sz="0" w:space="0" w:color="auto"/>
      </w:divBdr>
    </w:div>
    <w:div w:id="190535346">
      <w:bodyDiv w:val="1"/>
      <w:marLeft w:val="0"/>
      <w:marRight w:val="0"/>
      <w:marTop w:val="0"/>
      <w:marBottom w:val="0"/>
      <w:divBdr>
        <w:top w:val="none" w:sz="0" w:space="0" w:color="auto"/>
        <w:left w:val="none" w:sz="0" w:space="0" w:color="auto"/>
        <w:bottom w:val="none" w:sz="0" w:space="0" w:color="auto"/>
        <w:right w:val="none" w:sz="0" w:space="0" w:color="auto"/>
      </w:divBdr>
    </w:div>
    <w:div w:id="197666505">
      <w:bodyDiv w:val="1"/>
      <w:marLeft w:val="0"/>
      <w:marRight w:val="0"/>
      <w:marTop w:val="0"/>
      <w:marBottom w:val="0"/>
      <w:divBdr>
        <w:top w:val="none" w:sz="0" w:space="0" w:color="auto"/>
        <w:left w:val="none" w:sz="0" w:space="0" w:color="auto"/>
        <w:bottom w:val="none" w:sz="0" w:space="0" w:color="auto"/>
        <w:right w:val="none" w:sz="0" w:space="0" w:color="auto"/>
      </w:divBdr>
    </w:div>
    <w:div w:id="198014802">
      <w:bodyDiv w:val="1"/>
      <w:marLeft w:val="0"/>
      <w:marRight w:val="0"/>
      <w:marTop w:val="0"/>
      <w:marBottom w:val="0"/>
      <w:divBdr>
        <w:top w:val="none" w:sz="0" w:space="0" w:color="auto"/>
        <w:left w:val="none" w:sz="0" w:space="0" w:color="auto"/>
        <w:bottom w:val="none" w:sz="0" w:space="0" w:color="auto"/>
        <w:right w:val="none" w:sz="0" w:space="0" w:color="auto"/>
      </w:divBdr>
    </w:div>
    <w:div w:id="198200023">
      <w:bodyDiv w:val="1"/>
      <w:marLeft w:val="0"/>
      <w:marRight w:val="0"/>
      <w:marTop w:val="0"/>
      <w:marBottom w:val="0"/>
      <w:divBdr>
        <w:top w:val="none" w:sz="0" w:space="0" w:color="auto"/>
        <w:left w:val="none" w:sz="0" w:space="0" w:color="auto"/>
        <w:bottom w:val="none" w:sz="0" w:space="0" w:color="auto"/>
        <w:right w:val="none" w:sz="0" w:space="0" w:color="auto"/>
      </w:divBdr>
    </w:div>
    <w:div w:id="200825647">
      <w:bodyDiv w:val="1"/>
      <w:marLeft w:val="0"/>
      <w:marRight w:val="0"/>
      <w:marTop w:val="0"/>
      <w:marBottom w:val="0"/>
      <w:divBdr>
        <w:top w:val="none" w:sz="0" w:space="0" w:color="auto"/>
        <w:left w:val="none" w:sz="0" w:space="0" w:color="auto"/>
        <w:bottom w:val="none" w:sz="0" w:space="0" w:color="auto"/>
        <w:right w:val="none" w:sz="0" w:space="0" w:color="auto"/>
      </w:divBdr>
    </w:div>
    <w:div w:id="203055947">
      <w:bodyDiv w:val="1"/>
      <w:marLeft w:val="0"/>
      <w:marRight w:val="0"/>
      <w:marTop w:val="0"/>
      <w:marBottom w:val="0"/>
      <w:divBdr>
        <w:top w:val="none" w:sz="0" w:space="0" w:color="auto"/>
        <w:left w:val="none" w:sz="0" w:space="0" w:color="auto"/>
        <w:bottom w:val="none" w:sz="0" w:space="0" w:color="auto"/>
        <w:right w:val="none" w:sz="0" w:space="0" w:color="auto"/>
      </w:divBdr>
    </w:div>
    <w:div w:id="205142098">
      <w:bodyDiv w:val="1"/>
      <w:marLeft w:val="0"/>
      <w:marRight w:val="0"/>
      <w:marTop w:val="0"/>
      <w:marBottom w:val="0"/>
      <w:divBdr>
        <w:top w:val="none" w:sz="0" w:space="0" w:color="auto"/>
        <w:left w:val="none" w:sz="0" w:space="0" w:color="auto"/>
        <w:bottom w:val="none" w:sz="0" w:space="0" w:color="auto"/>
        <w:right w:val="none" w:sz="0" w:space="0" w:color="auto"/>
      </w:divBdr>
    </w:div>
    <w:div w:id="207377943">
      <w:bodyDiv w:val="1"/>
      <w:marLeft w:val="0"/>
      <w:marRight w:val="0"/>
      <w:marTop w:val="0"/>
      <w:marBottom w:val="0"/>
      <w:divBdr>
        <w:top w:val="none" w:sz="0" w:space="0" w:color="auto"/>
        <w:left w:val="none" w:sz="0" w:space="0" w:color="auto"/>
        <w:bottom w:val="none" w:sz="0" w:space="0" w:color="auto"/>
        <w:right w:val="none" w:sz="0" w:space="0" w:color="auto"/>
      </w:divBdr>
    </w:div>
    <w:div w:id="214316940">
      <w:bodyDiv w:val="1"/>
      <w:marLeft w:val="0"/>
      <w:marRight w:val="0"/>
      <w:marTop w:val="0"/>
      <w:marBottom w:val="0"/>
      <w:divBdr>
        <w:top w:val="none" w:sz="0" w:space="0" w:color="auto"/>
        <w:left w:val="none" w:sz="0" w:space="0" w:color="auto"/>
        <w:bottom w:val="none" w:sz="0" w:space="0" w:color="auto"/>
        <w:right w:val="none" w:sz="0" w:space="0" w:color="auto"/>
      </w:divBdr>
    </w:div>
    <w:div w:id="219436888">
      <w:bodyDiv w:val="1"/>
      <w:marLeft w:val="0"/>
      <w:marRight w:val="0"/>
      <w:marTop w:val="0"/>
      <w:marBottom w:val="0"/>
      <w:divBdr>
        <w:top w:val="none" w:sz="0" w:space="0" w:color="auto"/>
        <w:left w:val="none" w:sz="0" w:space="0" w:color="auto"/>
        <w:bottom w:val="none" w:sz="0" w:space="0" w:color="auto"/>
        <w:right w:val="none" w:sz="0" w:space="0" w:color="auto"/>
      </w:divBdr>
    </w:div>
    <w:div w:id="221722491">
      <w:bodyDiv w:val="1"/>
      <w:marLeft w:val="0"/>
      <w:marRight w:val="0"/>
      <w:marTop w:val="0"/>
      <w:marBottom w:val="0"/>
      <w:divBdr>
        <w:top w:val="none" w:sz="0" w:space="0" w:color="auto"/>
        <w:left w:val="none" w:sz="0" w:space="0" w:color="auto"/>
        <w:bottom w:val="none" w:sz="0" w:space="0" w:color="auto"/>
        <w:right w:val="none" w:sz="0" w:space="0" w:color="auto"/>
      </w:divBdr>
    </w:div>
    <w:div w:id="229930157">
      <w:bodyDiv w:val="1"/>
      <w:marLeft w:val="0"/>
      <w:marRight w:val="0"/>
      <w:marTop w:val="0"/>
      <w:marBottom w:val="0"/>
      <w:divBdr>
        <w:top w:val="none" w:sz="0" w:space="0" w:color="auto"/>
        <w:left w:val="none" w:sz="0" w:space="0" w:color="auto"/>
        <w:bottom w:val="none" w:sz="0" w:space="0" w:color="auto"/>
        <w:right w:val="none" w:sz="0" w:space="0" w:color="auto"/>
      </w:divBdr>
    </w:div>
    <w:div w:id="230389562">
      <w:bodyDiv w:val="1"/>
      <w:marLeft w:val="0"/>
      <w:marRight w:val="0"/>
      <w:marTop w:val="0"/>
      <w:marBottom w:val="0"/>
      <w:divBdr>
        <w:top w:val="none" w:sz="0" w:space="0" w:color="auto"/>
        <w:left w:val="none" w:sz="0" w:space="0" w:color="auto"/>
        <w:bottom w:val="none" w:sz="0" w:space="0" w:color="auto"/>
        <w:right w:val="none" w:sz="0" w:space="0" w:color="auto"/>
      </w:divBdr>
    </w:div>
    <w:div w:id="230576910">
      <w:bodyDiv w:val="1"/>
      <w:marLeft w:val="0"/>
      <w:marRight w:val="0"/>
      <w:marTop w:val="0"/>
      <w:marBottom w:val="0"/>
      <w:divBdr>
        <w:top w:val="none" w:sz="0" w:space="0" w:color="auto"/>
        <w:left w:val="none" w:sz="0" w:space="0" w:color="auto"/>
        <w:bottom w:val="none" w:sz="0" w:space="0" w:color="auto"/>
        <w:right w:val="none" w:sz="0" w:space="0" w:color="auto"/>
      </w:divBdr>
    </w:div>
    <w:div w:id="232931750">
      <w:bodyDiv w:val="1"/>
      <w:marLeft w:val="0"/>
      <w:marRight w:val="0"/>
      <w:marTop w:val="0"/>
      <w:marBottom w:val="0"/>
      <w:divBdr>
        <w:top w:val="none" w:sz="0" w:space="0" w:color="auto"/>
        <w:left w:val="none" w:sz="0" w:space="0" w:color="auto"/>
        <w:bottom w:val="none" w:sz="0" w:space="0" w:color="auto"/>
        <w:right w:val="none" w:sz="0" w:space="0" w:color="auto"/>
      </w:divBdr>
    </w:div>
    <w:div w:id="234243489">
      <w:bodyDiv w:val="1"/>
      <w:marLeft w:val="0"/>
      <w:marRight w:val="0"/>
      <w:marTop w:val="0"/>
      <w:marBottom w:val="0"/>
      <w:divBdr>
        <w:top w:val="none" w:sz="0" w:space="0" w:color="auto"/>
        <w:left w:val="none" w:sz="0" w:space="0" w:color="auto"/>
        <w:bottom w:val="none" w:sz="0" w:space="0" w:color="auto"/>
        <w:right w:val="none" w:sz="0" w:space="0" w:color="auto"/>
      </w:divBdr>
    </w:div>
    <w:div w:id="252014180">
      <w:bodyDiv w:val="1"/>
      <w:marLeft w:val="0"/>
      <w:marRight w:val="0"/>
      <w:marTop w:val="0"/>
      <w:marBottom w:val="0"/>
      <w:divBdr>
        <w:top w:val="none" w:sz="0" w:space="0" w:color="auto"/>
        <w:left w:val="none" w:sz="0" w:space="0" w:color="auto"/>
        <w:bottom w:val="none" w:sz="0" w:space="0" w:color="auto"/>
        <w:right w:val="none" w:sz="0" w:space="0" w:color="auto"/>
      </w:divBdr>
    </w:div>
    <w:div w:id="254288143">
      <w:bodyDiv w:val="1"/>
      <w:marLeft w:val="0"/>
      <w:marRight w:val="0"/>
      <w:marTop w:val="0"/>
      <w:marBottom w:val="0"/>
      <w:divBdr>
        <w:top w:val="none" w:sz="0" w:space="0" w:color="auto"/>
        <w:left w:val="none" w:sz="0" w:space="0" w:color="auto"/>
        <w:bottom w:val="none" w:sz="0" w:space="0" w:color="auto"/>
        <w:right w:val="none" w:sz="0" w:space="0" w:color="auto"/>
      </w:divBdr>
    </w:div>
    <w:div w:id="254897567">
      <w:bodyDiv w:val="1"/>
      <w:marLeft w:val="0"/>
      <w:marRight w:val="0"/>
      <w:marTop w:val="0"/>
      <w:marBottom w:val="0"/>
      <w:divBdr>
        <w:top w:val="none" w:sz="0" w:space="0" w:color="auto"/>
        <w:left w:val="none" w:sz="0" w:space="0" w:color="auto"/>
        <w:bottom w:val="none" w:sz="0" w:space="0" w:color="auto"/>
        <w:right w:val="none" w:sz="0" w:space="0" w:color="auto"/>
      </w:divBdr>
    </w:div>
    <w:div w:id="259023199">
      <w:bodyDiv w:val="1"/>
      <w:marLeft w:val="0"/>
      <w:marRight w:val="0"/>
      <w:marTop w:val="0"/>
      <w:marBottom w:val="0"/>
      <w:divBdr>
        <w:top w:val="none" w:sz="0" w:space="0" w:color="auto"/>
        <w:left w:val="none" w:sz="0" w:space="0" w:color="auto"/>
        <w:bottom w:val="none" w:sz="0" w:space="0" w:color="auto"/>
        <w:right w:val="none" w:sz="0" w:space="0" w:color="auto"/>
      </w:divBdr>
    </w:div>
    <w:div w:id="261568460">
      <w:bodyDiv w:val="1"/>
      <w:marLeft w:val="0"/>
      <w:marRight w:val="0"/>
      <w:marTop w:val="0"/>
      <w:marBottom w:val="0"/>
      <w:divBdr>
        <w:top w:val="none" w:sz="0" w:space="0" w:color="auto"/>
        <w:left w:val="none" w:sz="0" w:space="0" w:color="auto"/>
        <w:bottom w:val="none" w:sz="0" w:space="0" w:color="auto"/>
        <w:right w:val="none" w:sz="0" w:space="0" w:color="auto"/>
      </w:divBdr>
    </w:div>
    <w:div w:id="264774662">
      <w:bodyDiv w:val="1"/>
      <w:marLeft w:val="0"/>
      <w:marRight w:val="0"/>
      <w:marTop w:val="0"/>
      <w:marBottom w:val="0"/>
      <w:divBdr>
        <w:top w:val="none" w:sz="0" w:space="0" w:color="auto"/>
        <w:left w:val="none" w:sz="0" w:space="0" w:color="auto"/>
        <w:bottom w:val="none" w:sz="0" w:space="0" w:color="auto"/>
        <w:right w:val="none" w:sz="0" w:space="0" w:color="auto"/>
      </w:divBdr>
    </w:div>
    <w:div w:id="268900787">
      <w:bodyDiv w:val="1"/>
      <w:marLeft w:val="0"/>
      <w:marRight w:val="0"/>
      <w:marTop w:val="0"/>
      <w:marBottom w:val="0"/>
      <w:divBdr>
        <w:top w:val="none" w:sz="0" w:space="0" w:color="auto"/>
        <w:left w:val="none" w:sz="0" w:space="0" w:color="auto"/>
        <w:bottom w:val="none" w:sz="0" w:space="0" w:color="auto"/>
        <w:right w:val="none" w:sz="0" w:space="0" w:color="auto"/>
      </w:divBdr>
    </w:div>
    <w:div w:id="271012034">
      <w:bodyDiv w:val="1"/>
      <w:marLeft w:val="0"/>
      <w:marRight w:val="0"/>
      <w:marTop w:val="0"/>
      <w:marBottom w:val="0"/>
      <w:divBdr>
        <w:top w:val="none" w:sz="0" w:space="0" w:color="auto"/>
        <w:left w:val="none" w:sz="0" w:space="0" w:color="auto"/>
        <w:bottom w:val="none" w:sz="0" w:space="0" w:color="auto"/>
        <w:right w:val="none" w:sz="0" w:space="0" w:color="auto"/>
      </w:divBdr>
    </w:div>
    <w:div w:id="275674081">
      <w:bodyDiv w:val="1"/>
      <w:marLeft w:val="0"/>
      <w:marRight w:val="0"/>
      <w:marTop w:val="0"/>
      <w:marBottom w:val="0"/>
      <w:divBdr>
        <w:top w:val="none" w:sz="0" w:space="0" w:color="auto"/>
        <w:left w:val="none" w:sz="0" w:space="0" w:color="auto"/>
        <w:bottom w:val="none" w:sz="0" w:space="0" w:color="auto"/>
        <w:right w:val="none" w:sz="0" w:space="0" w:color="auto"/>
      </w:divBdr>
    </w:div>
    <w:div w:id="285081853">
      <w:bodyDiv w:val="1"/>
      <w:marLeft w:val="0"/>
      <w:marRight w:val="0"/>
      <w:marTop w:val="0"/>
      <w:marBottom w:val="0"/>
      <w:divBdr>
        <w:top w:val="none" w:sz="0" w:space="0" w:color="auto"/>
        <w:left w:val="none" w:sz="0" w:space="0" w:color="auto"/>
        <w:bottom w:val="none" w:sz="0" w:space="0" w:color="auto"/>
        <w:right w:val="none" w:sz="0" w:space="0" w:color="auto"/>
      </w:divBdr>
    </w:div>
    <w:div w:id="289626403">
      <w:bodyDiv w:val="1"/>
      <w:marLeft w:val="0"/>
      <w:marRight w:val="0"/>
      <w:marTop w:val="0"/>
      <w:marBottom w:val="0"/>
      <w:divBdr>
        <w:top w:val="none" w:sz="0" w:space="0" w:color="auto"/>
        <w:left w:val="none" w:sz="0" w:space="0" w:color="auto"/>
        <w:bottom w:val="none" w:sz="0" w:space="0" w:color="auto"/>
        <w:right w:val="none" w:sz="0" w:space="0" w:color="auto"/>
      </w:divBdr>
    </w:div>
    <w:div w:id="292296779">
      <w:bodyDiv w:val="1"/>
      <w:marLeft w:val="0"/>
      <w:marRight w:val="0"/>
      <w:marTop w:val="0"/>
      <w:marBottom w:val="0"/>
      <w:divBdr>
        <w:top w:val="none" w:sz="0" w:space="0" w:color="auto"/>
        <w:left w:val="none" w:sz="0" w:space="0" w:color="auto"/>
        <w:bottom w:val="none" w:sz="0" w:space="0" w:color="auto"/>
        <w:right w:val="none" w:sz="0" w:space="0" w:color="auto"/>
      </w:divBdr>
    </w:div>
    <w:div w:id="295066077">
      <w:bodyDiv w:val="1"/>
      <w:marLeft w:val="0"/>
      <w:marRight w:val="0"/>
      <w:marTop w:val="0"/>
      <w:marBottom w:val="0"/>
      <w:divBdr>
        <w:top w:val="none" w:sz="0" w:space="0" w:color="auto"/>
        <w:left w:val="none" w:sz="0" w:space="0" w:color="auto"/>
        <w:bottom w:val="none" w:sz="0" w:space="0" w:color="auto"/>
        <w:right w:val="none" w:sz="0" w:space="0" w:color="auto"/>
      </w:divBdr>
    </w:div>
    <w:div w:id="299843402">
      <w:bodyDiv w:val="1"/>
      <w:marLeft w:val="0"/>
      <w:marRight w:val="0"/>
      <w:marTop w:val="0"/>
      <w:marBottom w:val="0"/>
      <w:divBdr>
        <w:top w:val="none" w:sz="0" w:space="0" w:color="auto"/>
        <w:left w:val="none" w:sz="0" w:space="0" w:color="auto"/>
        <w:bottom w:val="none" w:sz="0" w:space="0" w:color="auto"/>
        <w:right w:val="none" w:sz="0" w:space="0" w:color="auto"/>
      </w:divBdr>
    </w:div>
    <w:div w:id="313724339">
      <w:bodyDiv w:val="1"/>
      <w:marLeft w:val="0"/>
      <w:marRight w:val="0"/>
      <w:marTop w:val="0"/>
      <w:marBottom w:val="0"/>
      <w:divBdr>
        <w:top w:val="none" w:sz="0" w:space="0" w:color="auto"/>
        <w:left w:val="none" w:sz="0" w:space="0" w:color="auto"/>
        <w:bottom w:val="none" w:sz="0" w:space="0" w:color="auto"/>
        <w:right w:val="none" w:sz="0" w:space="0" w:color="auto"/>
      </w:divBdr>
    </w:div>
    <w:div w:id="316350330">
      <w:bodyDiv w:val="1"/>
      <w:marLeft w:val="0"/>
      <w:marRight w:val="0"/>
      <w:marTop w:val="0"/>
      <w:marBottom w:val="0"/>
      <w:divBdr>
        <w:top w:val="none" w:sz="0" w:space="0" w:color="auto"/>
        <w:left w:val="none" w:sz="0" w:space="0" w:color="auto"/>
        <w:bottom w:val="none" w:sz="0" w:space="0" w:color="auto"/>
        <w:right w:val="none" w:sz="0" w:space="0" w:color="auto"/>
      </w:divBdr>
    </w:div>
    <w:div w:id="317537890">
      <w:bodyDiv w:val="1"/>
      <w:marLeft w:val="0"/>
      <w:marRight w:val="0"/>
      <w:marTop w:val="0"/>
      <w:marBottom w:val="0"/>
      <w:divBdr>
        <w:top w:val="none" w:sz="0" w:space="0" w:color="auto"/>
        <w:left w:val="none" w:sz="0" w:space="0" w:color="auto"/>
        <w:bottom w:val="none" w:sz="0" w:space="0" w:color="auto"/>
        <w:right w:val="none" w:sz="0" w:space="0" w:color="auto"/>
      </w:divBdr>
    </w:div>
    <w:div w:id="320930478">
      <w:bodyDiv w:val="1"/>
      <w:marLeft w:val="0"/>
      <w:marRight w:val="0"/>
      <w:marTop w:val="0"/>
      <w:marBottom w:val="0"/>
      <w:divBdr>
        <w:top w:val="none" w:sz="0" w:space="0" w:color="auto"/>
        <w:left w:val="none" w:sz="0" w:space="0" w:color="auto"/>
        <w:bottom w:val="none" w:sz="0" w:space="0" w:color="auto"/>
        <w:right w:val="none" w:sz="0" w:space="0" w:color="auto"/>
      </w:divBdr>
    </w:div>
    <w:div w:id="327293547">
      <w:bodyDiv w:val="1"/>
      <w:marLeft w:val="0"/>
      <w:marRight w:val="0"/>
      <w:marTop w:val="0"/>
      <w:marBottom w:val="0"/>
      <w:divBdr>
        <w:top w:val="none" w:sz="0" w:space="0" w:color="auto"/>
        <w:left w:val="none" w:sz="0" w:space="0" w:color="auto"/>
        <w:bottom w:val="none" w:sz="0" w:space="0" w:color="auto"/>
        <w:right w:val="none" w:sz="0" w:space="0" w:color="auto"/>
      </w:divBdr>
    </w:div>
    <w:div w:id="327683034">
      <w:bodyDiv w:val="1"/>
      <w:marLeft w:val="0"/>
      <w:marRight w:val="0"/>
      <w:marTop w:val="0"/>
      <w:marBottom w:val="0"/>
      <w:divBdr>
        <w:top w:val="none" w:sz="0" w:space="0" w:color="auto"/>
        <w:left w:val="none" w:sz="0" w:space="0" w:color="auto"/>
        <w:bottom w:val="none" w:sz="0" w:space="0" w:color="auto"/>
        <w:right w:val="none" w:sz="0" w:space="0" w:color="auto"/>
      </w:divBdr>
    </w:div>
    <w:div w:id="328293643">
      <w:bodyDiv w:val="1"/>
      <w:marLeft w:val="0"/>
      <w:marRight w:val="0"/>
      <w:marTop w:val="0"/>
      <w:marBottom w:val="0"/>
      <w:divBdr>
        <w:top w:val="none" w:sz="0" w:space="0" w:color="auto"/>
        <w:left w:val="none" w:sz="0" w:space="0" w:color="auto"/>
        <w:bottom w:val="none" w:sz="0" w:space="0" w:color="auto"/>
        <w:right w:val="none" w:sz="0" w:space="0" w:color="auto"/>
      </w:divBdr>
    </w:div>
    <w:div w:id="328798874">
      <w:bodyDiv w:val="1"/>
      <w:marLeft w:val="0"/>
      <w:marRight w:val="0"/>
      <w:marTop w:val="0"/>
      <w:marBottom w:val="0"/>
      <w:divBdr>
        <w:top w:val="none" w:sz="0" w:space="0" w:color="auto"/>
        <w:left w:val="none" w:sz="0" w:space="0" w:color="auto"/>
        <w:bottom w:val="none" w:sz="0" w:space="0" w:color="auto"/>
        <w:right w:val="none" w:sz="0" w:space="0" w:color="auto"/>
      </w:divBdr>
    </w:div>
    <w:div w:id="335420666">
      <w:bodyDiv w:val="1"/>
      <w:marLeft w:val="0"/>
      <w:marRight w:val="0"/>
      <w:marTop w:val="0"/>
      <w:marBottom w:val="0"/>
      <w:divBdr>
        <w:top w:val="none" w:sz="0" w:space="0" w:color="auto"/>
        <w:left w:val="none" w:sz="0" w:space="0" w:color="auto"/>
        <w:bottom w:val="none" w:sz="0" w:space="0" w:color="auto"/>
        <w:right w:val="none" w:sz="0" w:space="0" w:color="auto"/>
      </w:divBdr>
    </w:div>
    <w:div w:id="343021247">
      <w:bodyDiv w:val="1"/>
      <w:marLeft w:val="0"/>
      <w:marRight w:val="0"/>
      <w:marTop w:val="0"/>
      <w:marBottom w:val="0"/>
      <w:divBdr>
        <w:top w:val="none" w:sz="0" w:space="0" w:color="auto"/>
        <w:left w:val="none" w:sz="0" w:space="0" w:color="auto"/>
        <w:bottom w:val="none" w:sz="0" w:space="0" w:color="auto"/>
        <w:right w:val="none" w:sz="0" w:space="0" w:color="auto"/>
      </w:divBdr>
    </w:div>
    <w:div w:id="343168554">
      <w:bodyDiv w:val="1"/>
      <w:marLeft w:val="0"/>
      <w:marRight w:val="0"/>
      <w:marTop w:val="0"/>
      <w:marBottom w:val="0"/>
      <w:divBdr>
        <w:top w:val="none" w:sz="0" w:space="0" w:color="auto"/>
        <w:left w:val="none" w:sz="0" w:space="0" w:color="auto"/>
        <w:bottom w:val="none" w:sz="0" w:space="0" w:color="auto"/>
        <w:right w:val="none" w:sz="0" w:space="0" w:color="auto"/>
      </w:divBdr>
    </w:div>
    <w:div w:id="343941842">
      <w:bodyDiv w:val="1"/>
      <w:marLeft w:val="0"/>
      <w:marRight w:val="0"/>
      <w:marTop w:val="0"/>
      <w:marBottom w:val="0"/>
      <w:divBdr>
        <w:top w:val="none" w:sz="0" w:space="0" w:color="auto"/>
        <w:left w:val="none" w:sz="0" w:space="0" w:color="auto"/>
        <w:bottom w:val="none" w:sz="0" w:space="0" w:color="auto"/>
        <w:right w:val="none" w:sz="0" w:space="0" w:color="auto"/>
      </w:divBdr>
    </w:div>
    <w:div w:id="344594651">
      <w:bodyDiv w:val="1"/>
      <w:marLeft w:val="0"/>
      <w:marRight w:val="0"/>
      <w:marTop w:val="0"/>
      <w:marBottom w:val="0"/>
      <w:divBdr>
        <w:top w:val="none" w:sz="0" w:space="0" w:color="auto"/>
        <w:left w:val="none" w:sz="0" w:space="0" w:color="auto"/>
        <w:bottom w:val="none" w:sz="0" w:space="0" w:color="auto"/>
        <w:right w:val="none" w:sz="0" w:space="0" w:color="auto"/>
      </w:divBdr>
    </w:div>
    <w:div w:id="347679172">
      <w:bodyDiv w:val="1"/>
      <w:marLeft w:val="0"/>
      <w:marRight w:val="0"/>
      <w:marTop w:val="0"/>
      <w:marBottom w:val="0"/>
      <w:divBdr>
        <w:top w:val="none" w:sz="0" w:space="0" w:color="auto"/>
        <w:left w:val="none" w:sz="0" w:space="0" w:color="auto"/>
        <w:bottom w:val="none" w:sz="0" w:space="0" w:color="auto"/>
        <w:right w:val="none" w:sz="0" w:space="0" w:color="auto"/>
      </w:divBdr>
    </w:div>
    <w:div w:id="351150875">
      <w:bodyDiv w:val="1"/>
      <w:marLeft w:val="0"/>
      <w:marRight w:val="0"/>
      <w:marTop w:val="0"/>
      <w:marBottom w:val="0"/>
      <w:divBdr>
        <w:top w:val="none" w:sz="0" w:space="0" w:color="auto"/>
        <w:left w:val="none" w:sz="0" w:space="0" w:color="auto"/>
        <w:bottom w:val="none" w:sz="0" w:space="0" w:color="auto"/>
        <w:right w:val="none" w:sz="0" w:space="0" w:color="auto"/>
      </w:divBdr>
    </w:div>
    <w:div w:id="351764305">
      <w:bodyDiv w:val="1"/>
      <w:marLeft w:val="0"/>
      <w:marRight w:val="0"/>
      <w:marTop w:val="0"/>
      <w:marBottom w:val="0"/>
      <w:divBdr>
        <w:top w:val="none" w:sz="0" w:space="0" w:color="auto"/>
        <w:left w:val="none" w:sz="0" w:space="0" w:color="auto"/>
        <w:bottom w:val="none" w:sz="0" w:space="0" w:color="auto"/>
        <w:right w:val="none" w:sz="0" w:space="0" w:color="auto"/>
      </w:divBdr>
    </w:div>
    <w:div w:id="354695101">
      <w:bodyDiv w:val="1"/>
      <w:marLeft w:val="0"/>
      <w:marRight w:val="0"/>
      <w:marTop w:val="0"/>
      <w:marBottom w:val="0"/>
      <w:divBdr>
        <w:top w:val="none" w:sz="0" w:space="0" w:color="auto"/>
        <w:left w:val="none" w:sz="0" w:space="0" w:color="auto"/>
        <w:bottom w:val="none" w:sz="0" w:space="0" w:color="auto"/>
        <w:right w:val="none" w:sz="0" w:space="0" w:color="auto"/>
      </w:divBdr>
    </w:div>
    <w:div w:id="355080954">
      <w:bodyDiv w:val="1"/>
      <w:marLeft w:val="0"/>
      <w:marRight w:val="0"/>
      <w:marTop w:val="0"/>
      <w:marBottom w:val="0"/>
      <w:divBdr>
        <w:top w:val="none" w:sz="0" w:space="0" w:color="auto"/>
        <w:left w:val="none" w:sz="0" w:space="0" w:color="auto"/>
        <w:bottom w:val="none" w:sz="0" w:space="0" w:color="auto"/>
        <w:right w:val="none" w:sz="0" w:space="0" w:color="auto"/>
      </w:divBdr>
    </w:div>
    <w:div w:id="357510796">
      <w:bodyDiv w:val="1"/>
      <w:marLeft w:val="0"/>
      <w:marRight w:val="0"/>
      <w:marTop w:val="0"/>
      <w:marBottom w:val="0"/>
      <w:divBdr>
        <w:top w:val="none" w:sz="0" w:space="0" w:color="auto"/>
        <w:left w:val="none" w:sz="0" w:space="0" w:color="auto"/>
        <w:bottom w:val="none" w:sz="0" w:space="0" w:color="auto"/>
        <w:right w:val="none" w:sz="0" w:space="0" w:color="auto"/>
      </w:divBdr>
    </w:div>
    <w:div w:id="358623738">
      <w:bodyDiv w:val="1"/>
      <w:marLeft w:val="0"/>
      <w:marRight w:val="0"/>
      <w:marTop w:val="0"/>
      <w:marBottom w:val="0"/>
      <w:divBdr>
        <w:top w:val="none" w:sz="0" w:space="0" w:color="auto"/>
        <w:left w:val="none" w:sz="0" w:space="0" w:color="auto"/>
        <w:bottom w:val="none" w:sz="0" w:space="0" w:color="auto"/>
        <w:right w:val="none" w:sz="0" w:space="0" w:color="auto"/>
      </w:divBdr>
    </w:div>
    <w:div w:id="363484154">
      <w:bodyDiv w:val="1"/>
      <w:marLeft w:val="0"/>
      <w:marRight w:val="0"/>
      <w:marTop w:val="0"/>
      <w:marBottom w:val="0"/>
      <w:divBdr>
        <w:top w:val="none" w:sz="0" w:space="0" w:color="auto"/>
        <w:left w:val="none" w:sz="0" w:space="0" w:color="auto"/>
        <w:bottom w:val="none" w:sz="0" w:space="0" w:color="auto"/>
        <w:right w:val="none" w:sz="0" w:space="0" w:color="auto"/>
      </w:divBdr>
    </w:div>
    <w:div w:id="373968432">
      <w:bodyDiv w:val="1"/>
      <w:marLeft w:val="0"/>
      <w:marRight w:val="0"/>
      <w:marTop w:val="0"/>
      <w:marBottom w:val="0"/>
      <w:divBdr>
        <w:top w:val="none" w:sz="0" w:space="0" w:color="auto"/>
        <w:left w:val="none" w:sz="0" w:space="0" w:color="auto"/>
        <w:bottom w:val="none" w:sz="0" w:space="0" w:color="auto"/>
        <w:right w:val="none" w:sz="0" w:space="0" w:color="auto"/>
      </w:divBdr>
    </w:div>
    <w:div w:id="374358535">
      <w:bodyDiv w:val="1"/>
      <w:marLeft w:val="0"/>
      <w:marRight w:val="0"/>
      <w:marTop w:val="0"/>
      <w:marBottom w:val="0"/>
      <w:divBdr>
        <w:top w:val="none" w:sz="0" w:space="0" w:color="auto"/>
        <w:left w:val="none" w:sz="0" w:space="0" w:color="auto"/>
        <w:bottom w:val="none" w:sz="0" w:space="0" w:color="auto"/>
        <w:right w:val="none" w:sz="0" w:space="0" w:color="auto"/>
      </w:divBdr>
    </w:div>
    <w:div w:id="375156437">
      <w:bodyDiv w:val="1"/>
      <w:marLeft w:val="0"/>
      <w:marRight w:val="0"/>
      <w:marTop w:val="0"/>
      <w:marBottom w:val="0"/>
      <w:divBdr>
        <w:top w:val="none" w:sz="0" w:space="0" w:color="auto"/>
        <w:left w:val="none" w:sz="0" w:space="0" w:color="auto"/>
        <w:bottom w:val="none" w:sz="0" w:space="0" w:color="auto"/>
        <w:right w:val="none" w:sz="0" w:space="0" w:color="auto"/>
      </w:divBdr>
    </w:div>
    <w:div w:id="375587432">
      <w:bodyDiv w:val="1"/>
      <w:marLeft w:val="0"/>
      <w:marRight w:val="0"/>
      <w:marTop w:val="0"/>
      <w:marBottom w:val="0"/>
      <w:divBdr>
        <w:top w:val="none" w:sz="0" w:space="0" w:color="auto"/>
        <w:left w:val="none" w:sz="0" w:space="0" w:color="auto"/>
        <w:bottom w:val="none" w:sz="0" w:space="0" w:color="auto"/>
        <w:right w:val="none" w:sz="0" w:space="0" w:color="auto"/>
      </w:divBdr>
    </w:div>
    <w:div w:id="379138487">
      <w:bodyDiv w:val="1"/>
      <w:marLeft w:val="0"/>
      <w:marRight w:val="0"/>
      <w:marTop w:val="0"/>
      <w:marBottom w:val="0"/>
      <w:divBdr>
        <w:top w:val="none" w:sz="0" w:space="0" w:color="auto"/>
        <w:left w:val="none" w:sz="0" w:space="0" w:color="auto"/>
        <w:bottom w:val="none" w:sz="0" w:space="0" w:color="auto"/>
        <w:right w:val="none" w:sz="0" w:space="0" w:color="auto"/>
      </w:divBdr>
    </w:div>
    <w:div w:id="379980540">
      <w:bodyDiv w:val="1"/>
      <w:marLeft w:val="0"/>
      <w:marRight w:val="0"/>
      <w:marTop w:val="0"/>
      <w:marBottom w:val="0"/>
      <w:divBdr>
        <w:top w:val="none" w:sz="0" w:space="0" w:color="auto"/>
        <w:left w:val="none" w:sz="0" w:space="0" w:color="auto"/>
        <w:bottom w:val="none" w:sz="0" w:space="0" w:color="auto"/>
        <w:right w:val="none" w:sz="0" w:space="0" w:color="auto"/>
      </w:divBdr>
    </w:div>
    <w:div w:id="388891579">
      <w:bodyDiv w:val="1"/>
      <w:marLeft w:val="0"/>
      <w:marRight w:val="0"/>
      <w:marTop w:val="0"/>
      <w:marBottom w:val="0"/>
      <w:divBdr>
        <w:top w:val="none" w:sz="0" w:space="0" w:color="auto"/>
        <w:left w:val="none" w:sz="0" w:space="0" w:color="auto"/>
        <w:bottom w:val="none" w:sz="0" w:space="0" w:color="auto"/>
        <w:right w:val="none" w:sz="0" w:space="0" w:color="auto"/>
      </w:divBdr>
    </w:div>
    <w:div w:id="396633721">
      <w:bodyDiv w:val="1"/>
      <w:marLeft w:val="0"/>
      <w:marRight w:val="0"/>
      <w:marTop w:val="0"/>
      <w:marBottom w:val="0"/>
      <w:divBdr>
        <w:top w:val="none" w:sz="0" w:space="0" w:color="auto"/>
        <w:left w:val="none" w:sz="0" w:space="0" w:color="auto"/>
        <w:bottom w:val="none" w:sz="0" w:space="0" w:color="auto"/>
        <w:right w:val="none" w:sz="0" w:space="0" w:color="auto"/>
      </w:divBdr>
    </w:div>
    <w:div w:id="397168556">
      <w:bodyDiv w:val="1"/>
      <w:marLeft w:val="0"/>
      <w:marRight w:val="0"/>
      <w:marTop w:val="0"/>
      <w:marBottom w:val="0"/>
      <w:divBdr>
        <w:top w:val="none" w:sz="0" w:space="0" w:color="auto"/>
        <w:left w:val="none" w:sz="0" w:space="0" w:color="auto"/>
        <w:bottom w:val="none" w:sz="0" w:space="0" w:color="auto"/>
        <w:right w:val="none" w:sz="0" w:space="0" w:color="auto"/>
      </w:divBdr>
    </w:div>
    <w:div w:id="397704709">
      <w:bodyDiv w:val="1"/>
      <w:marLeft w:val="0"/>
      <w:marRight w:val="0"/>
      <w:marTop w:val="0"/>
      <w:marBottom w:val="0"/>
      <w:divBdr>
        <w:top w:val="none" w:sz="0" w:space="0" w:color="auto"/>
        <w:left w:val="none" w:sz="0" w:space="0" w:color="auto"/>
        <w:bottom w:val="none" w:sz="0" w:space="0" w:color="auto"/>
        <w:right w:val="none" w:sz="0" w:space="0" w:color="auto"/>
      </w:divBdr>
    </w:div>
    <w:div w:id="397947495">
      <w:bodyDiv w:val="1"/>
      <w:marLeft w:val="0"/>
      <w:marRight w:val="0"/>
      <w:marTop w:val="0"/>
      <w:marBottom w:val="0"/>
      <w:divBdr>
        <w:top w:val="none" w:sz="0" w:space="0" w:color="auto"/>
        <w:left w:val="none" w:sz="0" w:space="0" w:color="auto"/>
        <w:bottom w:val="none" w:sz="0" w:space="0" w:color="auto"/>
        <w:right w:val="none" w:sz="0" w:space="0" w:color="auto"/>
      </w:divBdr>
    </w:div>
    <w:div w:id="400294733">
      <w:bodyDiv w:val="1"/>
      <w:marLeft w:val="0"/>
      <w:marRight w:val="0"/>
      <w:marTop w:val="0"/>
      <w:marBottom w:val="0"/>
      <w:divBdr>
        <w:top w:val="none" w:sz="0" w:space="0" w:color="auto"/>
        <w:left w:val="none" w:sz="0" w:space="0" w:color="auto"/>
        <w:bottom w:val="none" w:sz="0" w:space="0" w:color="auto"/>
        <w:right w:val="none" w:sz="0" w:space="0" w:color="auto"/>
      </w:divBdr>
    </w:div>
    <w:div w:id="407656513">
      <w:bodyDiv w:val="1"/>
      <w:marLeft w:val="0"/>
      <w:marRight w:val="0"/>
      <w:marTop w:val="0"/>
      <w:marBottom w:val="0"/>
      <w:divBdr>
        <w:top w:val="none" w:sz="0" w:space="0" w:color="auto"/>
        <w:left w:val="none" w:sz="0" w:space="0" w:color="auto"/>
        <w:bottom w:val="none" w:sz="0" w:space="0" w:color="auto"/>
        <w:right w:val="none" w:sz="0" w:space="0" w:color="auto"/>
      </w:divBdr>
    </w:div>
    <w:div w:id="410546906">
      <w:bodyDiv w:val="1"/>
      <w:marLeft w:val="0"/>
      <w:marRight w:val="0"/>
      <w:marTop w:val="0"/>
      <w:marBottom w:val="0"/>
      <w:divBdr>
        <w:top w:val="none" w:sz="0" w:space="0" w:color="auto"/>
        <w:left w:val="none" w:sz="0" w:space="0" w:color="auto"/>
        <w:bottom w:val="none" w:sz="0" w:space="0" w:color="auto"/>
        <w:right w:val="none" w:sz="0" w:space="0" w:color="auto"/>
      </w:divBdr>
    </w:div>
    <w:div w:id="413479367">
      <w:bodyDiv w:val="1"/>
      <w:marLeft w:val="0"/>
      <w:marRight w:val="0"/>
      <w:marTop w:val="0"/>
      <w:marBottom w:val="0"/>
      <w:divBdr>
        <w:top w:val="none" w:sz="0" w:space="0" w:color="auto"/>
        <w:left w:val="none" w:sz="0" w:space="0" w:color="auto"/>
        <w:bottom w:val="none" w:sz="0" w:space="0" w:color="auto"/>
        <w:right w:val="none" w:sz="0" w:space="0" w:color="auto"/>
      </w:divBdr>
    </w:div>
    <w:div w:id="428543888">
      <w:bodyDiv w:val="1"/>
      <w:marLeft w:val="0"/>
      <w:marRight w:val="0"/>
      <w:marTop w:val="0"/>
      <w:marBottom w:val="0"/>
      <w:divBdr>
        <w:top w:val="none" w:sz="0" w:space="0" w:color="auto"/>
        <w:left w:val="none" w:sz="0" w:space="0" w:color="auto"/>
        <w:bottom w:val="none" w:sz="0" w:space="0" w:color="auto"/>
        <w:right w:val="none" w:sz="0" w:space="0" w:color="auto"/>
      </w:divBdr>
    </w:div>
    <w:div w:id="429354552">
      <w:bodyDiv w:val="1"/>
      <w:marLeft w:val="0"/>
      <w:marRight w:val="0"/>
      <w:marTop w:val="0"/>
      <w:marBottom w:val="0"/>
      <w:divBdr>
        <w:top w:val="none" w:sz="0" w:space="0" w:color="auto"/>
        <w:left w:val="none" w:sz="0" w:space="0" w:color="auto"/>
        <w:bottom w:val="none" w:sz="0" w:space="0" w:color="auto"/>
        <w:right w:val="none" w:sz="0" w:space="0" w:color="auto"/>
      </w:divBdr>
    </w:div>
    <w:div w:id="433326666">
      <w:bodyDiv w:val="1"/>
      <w:marLeft w:val="0"/>
      <w:marRight w:val="0"/>
      <w:marTop w:val="0"/>
      <w:marBottom w:val="0"/>
      <w:divBdr>
        <w:top w:val="none" w:sz="0" w:space="0" w:color="auto"/>
        <w:left w:val="none" w:sz="0" w:space="0" w:color="auto"/>
        <w:bottom w:val="none" w:sz="0" w:space="0" w:color="auto"/>
        <w:right w:val="none" w:sz="0" w:space="0" w:color="auto"/>
      </w:divBdr>
    </w:div>
    <w:div w:id="435059409">
      <w:bodyDiv w:val="1"/>
      <w:marLeft w:val="0"/>
      <w:marRight w:val="0"/>
      <w:marTop w:val="0"/>
      <w:marBottom w:val="0"/>
      <w:divBdr>
        <w:top w:val="none" w:sz="0" w:space="0" w:color="auto"/>
        <w:left w:val="none" w:sz="0" w:space="0" w:color="auto"/>
        <w:bottom w:val="none" w:sz="0" w:space="0" w:color="auto"/>
        <w:right w:val="none" w:sz="0" w:space="0" w:color="auto"/>
      </w:divBdr>
    </w:div>
    <w:div w:id="449780297">
      <w:bodyDiv w:val="1"/>
      <w:marLeft w:val="0"/>
      <w:marRight w:val="0"/>
      <w:marTop w:val="0"/>
      <w:marBottom w:val="0"/>
      <w:divBdr>
        <w:top w:val="none" w:sz="0" w:space="0" w:color="auto"/>
        <w:left w:val="none" w:sz="0" w:space="0" w:color="auto"/>
        <w:bottom w:val="none" w:sz="0" w:space="0" w:color="auto"/>
        <w:right w:val="none" w:sz="0" w:space="0" w:color="auto"/>
      </w:divBdr>
    </w:div>
    <w:div w:id="451947281">
      <w:bodyDiv w:val="1"/>
      <w:marLeft w:val="0"/>
      <w:marRight w:val="0"/>
      <w:marTop w:val="0"/>
      <w:marBottom w:val="0"/>
      <w:divBdr>
        <w:top w:val="none" w:sz="0" w:space="0" w:color="auto"/>
        <w:left w:val="none" w:sz="0" w:space="0" w:color="auto"/>
        <w:bottom w:val="none" w:sz="0" w:space="0" w:color="auto"/>
        <w:right w:val="none" w:sz="0" w:space="0" w:color="auto"/>
      </w:divBdr>
    </w:div>
    <w:div w:id="452410409">
      <w:bodyDiv w:val="1"/>
      <w:marLeft w:val="0"/>
      <w:marRight w:val="0"/>
      <w:marTop w:val="0"/>
      <w:marBottom w:val="0"/>
      <w:divBdr>
        <w:top w:val="none" w:sz="0" w:space="0" w:color="auto"/>
        <w:left w:val="none" w:sz="0" w:space="0" w:color="auto"/>
        <w:bottom w:val="none" w:sz="0" w:space="0" w:color="auto"/>
        <w:right w:val="none" w:sz="0" w:space="0" w:color="auto"/>
      </w:divBdr>
    </w:div>
    <w:div w:id="458955035">
      <w:bodyDiv w:val="1"/>
      <w:marLeft w:val="0"/>
      <w:marRight w:val="0"/>
      <w:marTop w:val="0"/>
      <w:marBottom w:val="0"/>
      <w:divBdr>
        <w:top w:val="none" w:sz="0" w:space="0" w:color="auto"/>
        <w:left w:val="none" w:sz="0" w:space="0" w:color="auto"/>
        <w:bottom w:val="none" w:sz="0" w:space="0" w:color="auto"/>
        <w:right w:val="none" w:sz="0" w:space="0" w:color="auto"/>
      </w:divBdr>
    </w:div>
    <w:div w:id="461773064">
      <w:bodyDiv w:val="1"/>
      <w:marLeft w:val="0"/>
      <w:marRight w:val="0"/>
      <w:marTop w:val="0"/>
      <w:marBottom w:val="0"/>
      <w:divBdr>
        <w:top w:val="none" w:sz="0" w:space="0" w:color="auto"/>
        <w:left w:val="none" w:sz="0" w:space="0" w:color="auto"/>
        <w:bottom w:val="none" w:sz="0" w:space="0" w:color="auto"/>
        <w:right w:val="none" w:sz="0" w:space="0" w:color="auto"/>
      </w:divBdr>
    </w:div>
    <w:div w:id="467479458">
      <w:bodyDiv w:val="1"/>
      <w:marLeft w:val="0"/>
      <w:marRight w:val="0"/>
      <w:marTop w:val="0"/>
      <w:marBottom w:val="0"/>
      <w:divBdr>
        <w:top w:val="none" w:sz="0" w:space="0" w:color="auto"/>
        <w:left w:val="none" w:sz="0" w:space="0" w:color="auto"/>
        <w:bottom w:val="none" w:sz="0" w:space="0" w:color="auto"/>
        <w:right w:val="none" w:sz="0" w:space="0" w:color="auto"/>
      </w:divBdr>
    </w:div>
    <w:div w:id="470095618">
      <w:bodyDiv w:val="1"/>
      <w:marLeft w:val="0"/>
      <w:marRight w:val="0"/>
      <w:marTop w:val="0"/>
      <w:marBottom w:val="0"/>
      <w:divBdr>
        <w:top w:val="none" w:sz="0" w:space="0" w:color="auto"/>
        <w:left w:val="none" w:sz="0" w:space="0" w:color="auto"/>
        <w:bottom w:val="none" w:sz="0" w:space="0" w:color="auto"/>
        <w:right w:val="none" w:sz="0" w:space="0" w:color="auto"/>
      </w:divBdr>
    </w:div>
    <w:div w:id="471213447">
      <w:bodyDiv w:val="1"/>
      <w:marLeft w:val="0"/>
      <w:marRight w:val="0"/>
      <w:marTop w:val="0"/>
      <w:marBottom w:val="0"/>
      <w:divBdr>
        <w:top w:val="none" w:sz="0" w:space="0" w:color="auto"/>
        <w:left w:val="none" w:sz="0" w:space="0" w:color="auto"/>
        <w:bottom w:val="none" w:sz="0" w:space="0" w:color="auto"/>
        <w:right w:val="none" w:sz="0" w:space="0" w:color="auto"/>
      </w:divBdr>
    </w:div>
    <w:div w:id="476068836">
      <w:bodyDiv w:val="1"/>
      <w:marLeft w:val="0"/>
      <w:marRight w:val="0"/>
      <w:marTop w:val="0"/>
      <w:marBottom w:val="0"/>
      <w:divBdr>
        <w:top w:val="none" w:sz="0" w:space="0" w:color="auto"/>
        <w:left w:val="none" w:sz="0" w:space="0" w:color="auto"/>
        <w:bottom w:val="none" w:sz="0" w:space="0" w:color="auto"/>
        <w:right w:val="none" w:sz="0" w:space="0" w:color="auto"/>
      </w:divBdr>
    </w:div>
    <w:div w:id="484901110">
      <w:bodyDiv w:val="1"/>
      <w:marLeft w:val="0"/>
      <w:marRight w:val="0"/>
      <w:marTop w:val="0"/>
      <w:marBottom w:val="0"/>
      <w:divBdr>
        <w:top w:val="none" w:sz="0" w:space="0" w:color="auto"/>
        <w:left w:val="none" w:sz="0" w:space="0" w:color="auto"/>
        <w:bottom w:val="none" w:sz="0" w:space="0" w:color="auto"/>
        <w:right w:val="none" w:sz="0" w:space="0" w:color="auto"/>
      </w:divBdr>
    </w:div>
    <w:div w:id="485249748">
      <w:bodyDiv w:val="1"/>
      <w:marLeft w:val="0"/>
      <w:marRight w:val="0"/>
      <w:marTop w:val="0"/>
      <w:marBottom w:val="0"/>
      <w:divBdr>
        <w:top w:val="none" w:sz="0" w:space="0" w:color="auto"/>
        <w:left w:val="none" w:sz="0" w:space="0" w:color="auto"/>
        <w:bottom w:val="none" w:sz="0" w:space="0" w:color="auto"/>
        <w:right w:val="none" w:sz="0" w:space="0" w:color="auto"/>
      </w:divBdr>
    </w:div>
    <w:div w:id="494958036">
      <w:bodyDiv w:val="1"/>
      <w:marLeft w:val="0"/>
      <w:marRight w:val="0"/>
      <w:marTop w:val="0"/>
      <w:marBottom w:val="0"/>
      <w:divBdr>
        <w:top w:val="none" w:sz="0" w:space="0" w:color="auto"/>
        <w:left w:val="none" w:sz="0" w:space="0" w:color="auto"/>
        <w:bottom w:val="none" w:sz="0" w:space="0" w:color="auto"/>
        <w:right w:val="none" w:sz="0" w:space="0" w:color="auto"/>
      </w:divBdr>
    </w:div>
    <w:div w:id="495342555">
      <w:bodyDiv w:val="1"/>
      <w:marLeft w:val="0"/>
      <w:marRight w:val="0"/>
      <w:marTop w:val="0"/>
      <w:marBottom w:val="0"/>
      <w:divBdr>
        <w:top w:val="none" w:sz="0" w:space="0" w:color="auto"/>
        <w:left w:val="none" w:sz="0" w:space="0" w:color="auto"/>
        <w:bottom w:val="none" w:sz="0" w:space="0" w:color="auto"/>
        <w:right w:val="none" w:sz="0" w:space="0" w:color="auto"/>
      </w:divBdr>
    </w:div>
    <w:div w:id="495847622">
      <w:bodyDiv w:val="1"/>
      <w:marLeft w:val="0"/>
      <w:marRight w:val="0"/>
      <w:marTop w:val="0"/>
      <w:marBottom w:val="0"/>
      <w:divBdr>
        <w:top w:val="none" w:sz="0" w:space="0" w:color="auto"/>
        <w:left w:val="none" w:sz="0" w:space="0" w:color="auto"/>
        <w:bottom w:val="none" w:sz="0" w:space="0" w:color="auto"/>
        <w:right w:val="none" w:sz="0" w:space="0" w:color="auto"/>
      </w:divBdr>
    </w:div>
    <w:div w:id="511602644">
      <w:bodyDiv w:val="1"/>
      <w:marLeft w:val="0"/>
      <w:marRight w:val="0"/>
      <w:marTop w:val="0"/>
      <w:marBottom w:val="0"/>
      <w:divBdr>
        <w:top w:val="none" w:sz="0" w:space="0" w:color="auto"/>
        <w:left w:val="none" w:sz="0" w:space="0" w:color="auto"/>
        <w:bottom w:val="none" w:sz="0" w:space="0" w:color="auto"/>
        <w:right w:val="none" w:sz="0" w:space="0" w:color="auto"/>
      </w:divBdr>
    </w:div>
    <w:div w:id="520819201">
      <w:bodyDiv w:val="1"/>
      <w:marLeft w:val="0"/>
      <w:marRight w:val="0"/>
      <w:marTop w:val="0"/>
      <w:marBottom w:val="0"/>
      <w:divBdr>
        <w:top w:val="none" w:sz="0" w:space="0" w:color="auto"/>
        <w:left w:val="none" w:sz="0" w:space="0" w:color="auto"/>
        <w:bottom w:val="none" w:sz="0" w:space="0" w:color="auto"/>
        <w:right w:val="none" w:sz="0" w:space="0" w:color="auto"/>
      </w:divBdr>
    </w:div>
    <w:div w:id="521893625">
      <w:bodyDiv w:val="1"/>
      <w:marLeft w:val="0"/>
      <w:marRight w:val="0"/>
      <w:marTop w:val="0"/>
      <w:marBottom w:val="0"/>
      <w:divBdr>
        <w:top w:val="none" w:sz="0" w:space="0" w:color="auto"/>
        <w:left w:val="none" w:sz="0" w:space="0" w:color="auto"/>
        <w:bottom w:val="none" w:sz="0" w:space="0" w:color="auto"/>
        <w:right w:val="none" w:sz="0" w:space="0" w:color="auto"/>
      </w:divBdr>
    </w:div>
    <w:div w:id="523829412">
      <w:bodyDiv w:val="1"/>
      <w:marLeft w:val="0"/>
      <w:marRight w:val="0"/>
      <w:marTop w:val="0"/>
      <w:marBottom w:val="0"/>
      <w:divBdr>
        <w:top w:val="none" w:sz="0" w:space="0" w:color="auto"/>
        <w:left w:val="none" w:sz="0" w:space="0" w:color="auto"/>
        <w:bottom w:val="none" w:sz="0" w:space="0" w:color="auto"/>
        <w:right w:val="none" w:sz="0" w:space="0" w:color="auto"/>
      </w:divBdr>
    </w:div>
    <w:div w:id="524950423">
      <w:bodyDiv w:val="1"/>
      <w:marLeft w:val="0"/>
      <w:marRight w:val="0"/>
      <w:marTop w:val="0"/>
      <w:marBottom w:val="0"/>
      <w:divBdr>
        <w:top w:val="none" w:sz="0" w:space="0" w:color="auto"/>
        <w:left w:val="none" w:sz="0" w:space="0" w:color="auto"/>
        <w:bottom w:val="none" w:sz="0" w:space="0" w:color="auto"/>
        <w:right w:val="none" w:sz="0" w:space="0" w:color="auto"/>
      </w:divBdr>
    </w:div>
    <w:div w:id="525753540">
      <w:bodyDiv w:val="1"/>
      <w:marLeft w:val="0"/>
      <w:marRight w:val="0"/>
      <w:marTop w:val="0"/>
      <w:marBottom w:val="0"/>
      <w:divBdr>
        <w:top w:val="none" w:sz="0" w:space="0" w:color="auto"/>
        <w:left w:val="none" w:sz="0" w:space="0" w:color="auto"/>
        <w:bottom w:val="none" w:sz="0" w:space="0" w:color="auto"/>
        <w:right w:val="none" w:sz="0" w:space="0" w:color="auto"/>
      </w:divBdr>
    </w:div>
    <w:div w:id="525827814">
      <w:bodyDiv w:val="1"/>
      <w:marLeft w:val="0"/>
      <w:marRight w:val="0"/>
      <w:marTop w:val="0"/>
      <w:marBottom w:val="0"/>
      <w:divBdr>
        <w:top w:val="none" w:sz="0" w:space="0" w:color="auto"/>
        <w:left w:val="none" w:sz="0" w:space="0" w:color="auto"/>
        <w:bottom w:val="none" w:sz="0" w:space="0" w:color="auto"/>
        <w:right w:val="none" w:sz="0" w:space="0" w:color="auto"/>
      </w:divBdr>
    </w:div>
    <w:div w:id="534196027">
      <w:bodyDiv w:val="1"/>
      <w:marLeft w:val="0"/>
      <w:marRight w:val="0"/>
      <w:marTop w:val="0"/>
      <w:marBottom w:val="0"/>
      <w:divBdr>
        <w:top w:val="none" w:sz="0" w:space="0" w:color="auto"/>
        <w:left w:val="none" w:sz="0" w:space="0" w:color="auto"/>
        <w:bottom w:val="none" w:sz="0" w:space="0" w:color="auto"/>
        <w:right w:val="none" w:sz="0" w:space="0" w:color="auto"/>
      </w:divBdr>
    </w:div>
    <w:div w:id="534729850">
      <w:bodyDiv w:val="1"/>
      <w:marLeft w:val="0"/>
      <w:marRight w:val="0"/>
      <w:marTop w:val="0"/>
      <w:marBottom w:val="0"/>
      <w:divBdr>
        <w:top w:val="none" w:sz="0" w:space="0" w:color="auto"/>
        <w:left w:val="none" w:sz="0" w:space="0" w:color="auto"/>
        <w:bottom w:val="none" w:sz="0" w:space="0" w:color="auto"/>
        <w:right w:val="none" w:sz="0" w:space="0" w:color="auto"/>
      </w:divBdr>
    </w:div>
    <w:div w:id="538856744">
      <w:bodyDiv w:val="1"/>
      <w:marLeft w:val="0"/>
      <w:marRight w:val="0"/>
      <w:marTop w:val="0"/>
      <w:marBottom w:val="0"/>
      <w:divBdr>
        <w:top w:val="none" w:sz="0" w:space="0" w:color="auto"/>
        <w:left w:val="none" w:sz="0" w:space="0" w:color="auto"/>
        <w:bottom w:val="none" w:sz="0" w:space="0" w:color="auto"/>
        <w:right w:val="none" w:sz="0" w:space="0" w:color="auto"/>
      </w:divBdr>
    </w:div>
    <w:div w:id="544025861">
      <w:bodyDiv w:val="1"/>
      <w:marLeft w:val="0"/>
      <w:marRight w:val="0"/>
      <w:marTop w:val="0"/>
      <w:marBottom w:val="0"/>
      <w:divBdr>
        <w:top w:val="none" w:sz="0" w:space="0" w:color="auto"/>
        <w:left w:val="none" w:sz="0" w:space="0" w:color="auto"/>
        <w:bottom w:val="none" w:sz="0" w:space="0" w:color="auto"/>
        <w:right w:val="none" w:sz="0" w:space="0" w:color="auto"/>
      </w:divBdr>
    </w:div>
    <w:div w:id="544945085">
      <w:bodyDiv w:val="1"/>
      <w:marLeft w:val="0"/>
      <w:marRight w:val="0"/>
      <w:marTop w:val="0"/>
      <w:marBottom w:val="0"/>
      <w:divBdr>
        <w:top w:val="none" w:sz="0" w:space="0" w:color="auto"/>
        <w:left w:val="none" w:sz="0" w:space="0" w:color="auto"/>
        <w:bottom w:val="none" w:sz="0" w:space="0" w:color="auto"/>
        <w:right w:val="none" w:sz="0" w:space="0" w:color="auto"/>
      </w:divBdr>
    </w:div>
    <w:div w:id="546721889">
      <w:bodyDiv w:val="1"/>
      <w:marLeft w:val="0"/>
      <w:marRight w:val="0"/>
      <w:marTop w:val="0"/>
      <w:marBottom w:val="0"/>
      <w:divBdr>
        <w:top w:val="none" w:sz="0" w:space="0" w:color="auto"/>
        <w:left w:val="none" w:sz="0" w:space="0" w:color="auto"/>
        <w:bottom w:val="none" w:sz="0" w:space="0" w:color="auto"/>
        <w:right w:val="none" w:sz="0" w:space="0" w:color="auto"/>
      </w:divBdr>
    </w:div>
    <w:div w:id="554050238">
      <w:bodyDiv w:val="1"/>
      <w:marLeft w:val="0"/>
      <w:marRight w:val="0"/>
      <w:marTop w:val="0"/>
      <w:marBottom w:val="0"/>
      <w:divBdr>
        <w:top w:val="none" w:sz="0" w:space="0" w:color="auto"/>
        <w:left w:val="none" w:sz="0" w:space="0" w:color="auto"/>
        <w:bottom w:val="none" w:sz="0" w:space="0" w:color="auto"/>
        <w:right w:val="none" w:sz="0" w:space="0" w:color="auto"/>
      </w:divBdr>
    </w:div>
    <w:div w:id="557515594">
      <w:bodyDiv w:val="1"/>
      <w:marLeft w:val="0"/>
      <w:marRight w:val="0"/>
      <w:marTop w:val="0"/>
      <w:marBottom w:val="0"/>
      <w:divBdr>
        <w:top w:val="none" w:sz="0" w:space="0" w:color="auto"/>
        <w:left w:val="none" w:sz="0" w:space="0" w:color="auto"/>
        <w:bottom w:val="none" w:sz="0" w:space="0" w:color="auto"/>
        <w:right w:val="none" w:sz="0" w:space="0" w:color="auto"/>
      </w:divBdr>
    </w:div>
    <w:div w:id="557713092">
      <w:bodyDiv w:val="1"/>
      <w:marLeft w:val="0"/>
      <w:marRight w:val="0"/>
      <w:marTop w:val="0"/>
      <w:marBottom w:val="0"/>
      <w:divBdr>
        <w:top w:val="none" w:sz="0" w:space="0" w:color="auto"/>
        <w:left w:val="none" w:sz="0" w:space="0" w:color="auto"/>
        <w:bottom w:val="none" w:sz="0" w:space="0" w:color="auto"/>
        <w:right w:val="none" w:sz="0" w:space="0" w:color="auto"/>
      </w:divBdr>
    </w:div>
    <w:div w:id="561066018">
      <w:bodyDiv w:val="1"/>
      <w:marLeft w:val="0"/>
      <w:marRight w:val="0"/>
      <w:marTop w:val="0"/>
      <w:marBottom w:val="0"/>
      <w:divBdr>
        <w:top w:val="none" w:sz="0" w:space="0" w:color="auto"/>
        <w:left w:val="none" w:sz="0" w:space="0" w:color="auto"/>
        <w:bottom w:val="none" w:sz="0" w:space="0" w:color="auto"/>
        <w:right w:val="none" w:sz="0" w:space="0" w:color="auto"/>
      </w:divBdr>
    </w:div>
    <w:div w:id="561403239">
      <w:bodyDiv w:val="1"/>
      <w:marLeft w:val="0"/>
      <w:marRight w:val="0"/>
      <w:marTop w:val="0"/>
      <w:marBottom w:val="0"/>
      <w:divBdr>
        <w:top w:val="none" w:sz="0" w:space="0" w:color="auto"/>
        <w:left w:val="none" w:sz="0" w:space="0" w:color="auto"/>
        <w:bottom w:val="none" w:sz="0" w:space="0" w:color="auto"/>
        <w:right w:val="none" w:sz="0" w:space="0" w:color="auto"/>
      </w:divBdr>
    </w:div>
    <w:div w:id="564922526">
      <w:bodyDiv w:val="1"/>
      <w:marLeft w:val="0"/>
      <w:marRight w:val="0"/>
      <w:marTop w:val="0"/>
      <w:marBottom w:val="0"/>
      <w:divBdr>
        <w:top w:val="none" w:sz="0" w:space="0" w:color="auto"/>
        <w:left w:val="none" w:sz="0" w:space="0" w:color="auto"/>
        <w:bottom w:val="none" w:sz="0" w:space="0" w:color="auto"/>
        <w:right w:val="none" w:sz="0" w:space="0" w:color="auto"/>
      </w:divBdr>
    </w:div>
    <w:div w:id="570314705">
      <w:bodyDiv w:val="1"/>
      <w:marLeft w:val="0"/>
      <w:marRight w:val="0"/>
      <w:marTop w:val="0"/>
      <w:marBottom w:val="0"/>
      <w:divBdr>
        <w:top w:val="none" w:sz="0" w:space="0" w:color="auto"/>
        <w:left w:val="none" w:sz="0" w:space="0" w:color="auto"/>
        <w:bottom w:val="none" w:sz="0" w:space="0" w:color="auto"/>
        <w:right w:val="none" w:sz="0" w:space="0" w:color="auto"/>
      </w:divBdr>
    </w:div>
    <w:div w:id="575284082">
      <w:bodyDiv w:val="1"/>
      <w:marLeft w:val="0"/>
      <w:marRight w:val="0"/>
      <w:marTop w:val="0"/>
      <w:marBottom w:val="0"/>
      <w:divBdr>
        <w:top w:val="none" w:sz="0" w:space="0" w:color="auto"/>
        <w:left w:val="none" w:sz="0" w:space="0" w:color="auto"/>
        <w:bottom w:val="none" w:sz="0" w:space="0" w:color="auto"/>
        <w:right w:val="none" w:sz="0" w:space="0" w:color="auto"/>
      </w:divBdr>
    </w:div>
    <w:div w:id="582685201">
      <w:bodyDiv w:val="1"/>
      <w:marLeft w:val="0"/>
      <w:marRight w:val="0"/>
      <w:marTop w:val="0"/>
      <w:marBottom w:val="0"/>
      <w:divBdr>
        <w:top w:val="none" w:sz="0" w:space="0" w:color="auto"/>
        <w:left w:val="none" w:sz="0" w:space="0" w:color="auto"/>
        <w:bottom w:val="none" w:sz="0" w:space="0" w:color="auto"/>
        <w:right w:val="none" w:sz="0" w:space="0" w:color="auto"/>
      </w:divBdr>
    </w:div>
    <w:div w:id="583343537">
      <w:bodyDiv w:val="1"/>
      <w:marLeft w:val="0"/>
      <w:marRight w:val="0"/>
      <w:marTop w:val="0"/>
      <w:marBottom w:val="0"/>
      <w:divBdr>
        <w:top w:val="none" w:sz="0" w:space="0" w:color="auto"/>
        <w:left w:val="none" w:sz="0" w:space="0" w:color="auto"/>
        <w:bottom w:val="none" w:sz="0" w:space="0" w:color="auto"/>
        <w:right w:val="none" w:sz="0" w:space="0" w:color="auto"/>
      </w:divBdr>
    </w:div>
    <w:div w:id="587619846">
      <w:bodyDiv w:val="1"/>
      <w:marLeft w:val="0"/>
      <w:marRight w:val="0"/>
      <w:marTop w:val="0"/>
      <w:marBottom w:val="0"/>
      <w:divBdr>
        <w:top w:val="none" w:sz="0" w:space="0" w:color="auto"/>
        <w:left w:val="none" w:sz="0" w:space="0" w:color="auto"/>
        <w:bottom w:val="none" w:sz="0" w:space="0" w:color="auto"/>
        <w:right w:val="none" w:sz="0" w:space="0" w:color="auto"/>
      </w:divBdr>
    </w:div>
    <w:div w:id="588345785">
      <w:bodyDiv w:val="1"/>
      <w:marLeft w:val="0"/>
      <w:marRight w:val="0"/>
      <w:marTop w:val="0"/>
      <w:marBottom w:val="0"/>
      <w:divBdr>
        <w:top w:val="none" w:sz="0" w:space="0" w:color="auto"/>
        <w:left w:val="none" w:sz="0" w:space="0" w:color="auto"/>
        <w:bottom w:val="none" w:sz="0" w:space="0" w:color="auto"/>
        <w:right w:val="none" w:sz="0" w:space="0" w:color="auto"/>
      </w:divBdr>
    </w:div>
    <w:div w:id="595869510">
      <w:bodyDiv w:val="1"/>
      <w:marLeft w:val="0"/>
      <w:marRight w:val="0"/>
      <w:marTop w:val="0"/>
      <w:marBottom w:val="0"/>
      <w:divBdr>
        <w:top w:val="none" w:sz="0" w:space="0" w:color="auto"/>
        <w:left w:val="none" w:sz="0" w:space="0" w:color="auto"/>
        <w:bottom w:val="none" w:sz="0" w:space="0" w:color="auto"/>
        <w:right w:val="none" w:sz="0" w:space="0" w:color="auto"/>
      </w:divBdr>
    </w:div>
    <w:div w:id="601837581">
      <w:bodyDiv w:val="1"/>
      <w:marLeft w:val="0"/>
      <w:marRight w:val="0"/>
      <w:marTop w:val="0"/>
      <w:marBottom w:val="0"/>
      <w:divBdr>
        <w:top w:val="none" w:sz="0" w:space="0" w:color="auto"/>
        <w:left w:val="none" w:sz="0" w:space="0" w:color="auto"/>
        <w:bottom w:val="none" w:sz="0" w:space="0" w:color="auto"/>
        <w:right w:val="none" w:sz="0" w:space="0" w:color="auto"/>
      </w:divBdr>
    </w:div>
    <w:div w:id="608901636">
      <w:bodyDiv w:val="1"/>
      <w:marLeft w:val="0"/>
      <w:marRight w:val="0"/>
      <w:marTop w:val="0"/>
      <w:marBottom w:val="0"/>
      <w:divBdr>
        <w:top w:val="none" w:sz="0" w:space="0" w:color="auto"/>
        <w:left w:val="none" w:sz="0" w:space="0" w:color="auto"/>
        <w:bottom w:val="none" w:sz="0" w:space="0" w:color="auto"/>
        <w:right w:val="none" w:sz="0" w:space="0" w:color="auto"/>
      </w:divBdr>
    </w:div>
    <w:div w:id="612202338">
      <w:bodyDiv w:val="1"/>
      <w:marLeft w:val="0"/>
      <w:marRight w:val="0"/>
      <w:marTop w:val="0"/>
      <w:marBottom w:val="0"/>
      <w:divBdr>
        <w:top w:val="none" w:sz="0" w:space="0" w:color="auto"/>
        <w:left w:val="none" w:sz="0" w:space="0" w:color="auto"/>
        <w:bottom w:val="none" w:sz="0" w:space="0" w:color="auto"/>
        <w:right w:val="none" w:sz="0" w:space="0" w:color="auto"/>
      </w:divBdr>
    </w:div>
    <w:div w:id="613562085">
      <w:bodyDiv w:val="1"/>
      <w:marLeft w:val="0"/>
      <w:marRight w:val="0"/>
      <w:marTop w:val="0"/>
      <w:marBottom w:val="0"/>
      <w:divBdr>
        <w:top w:val="none" w:sz="0" w:space="0" w:color="auto"/>
        <w:left w:val="none" w:sz="0" w:space="0" w:color="auto"/>
        <w:bottom w:val="none" w:sz="0" w:space="0" w:color="auto"/>
        <w:right w:val="none" w:sz="0" w:space="0" w:color="auto"/>
      </w:divBdr>
    </w:div>
    <w:div w:id="615210808">
      <w:bodyDiv w:val="1"/>
      <w:marLeft w:val="0"/>
      <w:marRight w:val="0"/>
      <w:marTop w:val="0"/>
      <w:marBottom w:val="0"/>
      <w:divBdr>
        <w:top w:val="none" w:sz="0" w:space="0" w:color="auto"/>
        <w:left w:val="none" w:sz="0" w:space="0" w:color="auto"/>
        <w:bottom w:val="none" w:sz="0" w:space="0" w:color="auto"/>
        <w:right w:val="none" w:sz="0" w:space="0" w:color="auto"/>
      </w:divBdr>
    </w:div>
    <w:div w:id="622493276">
      <w:bodyDiv w:val="1"/>
      <w:marLeft w:val="0"/>
      <w:marRight w:val="0"/>
      <w:marTop w:val="0"/>
      <w:marBottom w:val="0"/>
      <w:divBdr>
        <w:top w:val="none" w:sz="0" w:space="0" w:color="auto"/>
        <w:left w:val="none" w:sz="0" w:space="0" w:color="auto"/>
        <w:bottom w:val="none" w:sz="0" w:space="0" w:color="auto"/>
        <w:right w:val="none" w:sz="0" w:space="0" w:color="auto"/>
      </w:divBdr>
    </w:div>
    <w:div w:id="627205762">
      <w:bodyDiv w:val="1"/>
      <w:marLeft w:val="0"/>
      <w:marRight w:val="0"/>
      <w:marTop w:val="0"/>
      <w:marBottom w:val="0"/>
      <w:divBdr>
        <w:top w:val="none" w:sz="0" w:space="0" w:color="auto"/>
        <w:left w:val="none" w:sz="0" w:space="0" w:color="auto"/>
        <w:bottom w:val="none" w:sz="0" w:space="0" w:color="auto"/>
        <w:right w:val="none" w:sz="0" w:space="0" w:color="auto"/>
      </w:divBdr>
    </w:div>
    <w:div w:id="631328218">
      <w:bodyDiv w:val="1"/>
      <w:marLeft w:val="0"/>
      <w:marRight w:val="0"/>
      <w:marTop w:val="0"/>
      <w:marBottom w:val="0"/>
      <w:divBdr>
        <w:top w:val="none" w:sz="0" w:space="0" w:color="auto"/>
        <w:left w:val="none" w:sz="0" w:space="0" w:color="auto"/>
        <w:bottom w:val="none" w:sz="0" w:space="0" w:color="auto"/>
        <w:right w:val="none" w:sz="0" w:space="0" w:color="auto"/>
      </w:divBdr>
    </w:div>
    <w:div w:id="639387809">
      <w:bodyDiv w:val="1"/>
      <w:marLeft w:val="0"/>
      <w:marRight w:val="0"/>
      <w:marTop w:val="0"/>
      <w:marBottom w:val="0"/>
      <w:divBdr>
        <w:top w:val="none" w:sz="0" w:space="0" w:color="auto"/>
        <w:left w:val="none" w:sz="0" w:space="0" w:color="auto"/>
        <w:bottom w:val="none" w:sz="0" w:space="0" w:color="auto"/>
        <w:right w:val="none" w:sz="0" w:space="0" w:color="auto"/>
      </w:divBdr>
    </w:div>
    <w:div w:id="646203886">
      <w:bodyDiv w:val="1"/>
      <w:marLeft w:val="0"/>
      <w:marRight w:val="0"/>
      <w:marTop w:val="0"/>
      <w:marBottom w:val="0"/>
      <w:divBdr>
        <w:top w:val="none" w:sz="0" w:space="0" w:color="auto"/>
        <w:left w:val="none" w:sz="0" w:space="0" w:color="auto"/>
        <w:bottom w:val="none" w:sz="0" w:space="0" w:color="auto"/>
        <w:right w:val="none" w:sz="0" w:space="0" w:color="auto"/>
      </w:divBdr>
    </w:div>
    <w:div w:id="650905539">
      <w:bodyDiv w:val="1"/>
      <w:marLeft w:val="0"/>
      <w:marRight w:val="0"/>
      <w:marTop w:val="0"/>
      <w:marBottom w:val="0"/>
      <w:divBdr>
        <w:top w:val="none" w:sz="0" w:space="0" w:color="auto"/>
        <w:left w:val="none" w:sz="0" w:space="0" w:color="auto"/>
        <w:bottom w:val="none" w:sz="0" w:space="0" w:color="auto"/>
        <w:right w:val="none" w:sz="0" w:space="0" w:color="auto"/>
      </w:divBdr>
    </w:div>
    <w:div w:id="653534486">
      <w:bodyDiv w:val="1"/>
      <w:marLeft w:val="0"/>
      <w:marRight w:val="0"/>
      <w:marTop w:val="0"/>
      <w:marBottom w:val="0"/>
      <w:divBdr>
        <w:top w:val="none" w:sz="0" w:space="0" w:color="auto"/>
        <w:left w:val="none" w:sz="0" w:space="0" w:color="auto"/>
        <w:bottom w:val="none" w:sz="0" w:space="0" w:color="auto"/>
        <w:right w:val="none" w:sz="0" w:space="0" w:color="auto"/>
      </w:divBdr>
    </w:div>
    <w:div w:id="654382325">
      <w:bodyDiv w:val="1"/>
      <w:marLeft w:val="0"/>
      <w:marRight w:val="0"/>
      <w:marTop w:val="0"/>
      <w:marBottom w:val="0"/>
      <w:divBdr>
        <w:top w:val="none" w:sz="0" w:space="0" w:color="auto"/>
        <w:left w:val="none" w:sz="0" w:space="0" w:color="auto"/>
        <w:bottom w:val="none" w:sz="0" w:space="0" w:color="auto"/>
        <w:right w:val="none" w:sz="0" w:space="0" w:color="auto"/>
      </w:divBdr>
    </w:div>
    <w:div w:id="656424618">
      <w:bodyDiv w:val="1"/>
      <w:marLeft w:val="0"/>
      <w:marRight w:val="0"/>
      <w:marTop w:val="0"/>
      <w:marBottom w:val="0"/>
      <w:divBdr>
        <w:top w:val="none" w:sz="0" w:space="0" w:color="auto"/>
        <w:left w:val="none" w:sz="0" w:space="0" w:color="auto"/>
        <w:bottom w:val="none" w:sz="0" w:space="0" w:color="auto"/>
        <w:right w:val="none" w:sz="0" w:space="0" w:color="auto"/>
      </w:divBdr>
    </w:div>
    <w:div w:id="659433363">
      <w:bodyDiv w:val="1"/>
      <w:marLeft w:val="0"/>
      <w:marRight w:val="0"/>
      <w:marTop w:val="0"/>
      <w:marBottom w:val="0"/>
      <w:divBdr>
        <w:top w:val="none" w:sz="0" w:space="0" w:color="auto"/>
        <w:left w:val="none" w:sz="0" w:space="0" w:color="auto"/>
        <w:bottom w:val="none" w:sz="0" w:space="0" w:color="auto"/>
        <w:right w:val="none" w:sz="0" w:space="0" w:color="auto"/>
      </w:divBdr>
    </w:div>
    <w:div w:id="677540512">
      <w:bodyDiv w:val="1"/>
      <w:marLeft w:val="0"/>
      <w:marRight w:val="0"/>
      <w:marTop w:val="0"/>
      <w:marBottom w:val="0"/>
      <w:divBdr>
        <w:top w:val="none" w:sz="0" w:space="0" w:color="auto"/>
        <w:left w:val="none" w:sz="0" w:space="0" w:color="auto"/>
        <w:bottom w:val="none" w:sz="0" w:space="0" w:color="auto"/>
        <w:right w:val="none" w:sz="0" w:space="0" w:color="auto"/>
      </w:divBdr>
    </w:div>
    <w:div w:id="677737854">
      <w:bodyDiv w:val="1"/>
      <w:marLeft w:val="0"/>
      <w:marRight w:val="0"/>
      <w:marTop w:val="0"/>
      <w:marBottom w:val="0"/>
      <w:divBdr>
        <w:top w:val="none" w:sz="0" w:space="0" w:color="auto"/>
        <w:left w:val="none" w:sz="0" w:space="0" w:color="auto"/>
        <w:bottom w:val="none" w:sz="0" w:space="0" w:color="auto"/>
        <w:right w:val="none" w:sz="0" w:space="0" w:color="auto"/>
      </w:divBdr>
    </w:div>
    <w:div w:id="681509636">
      <w:bodyDiv w:val="1"/>
      <w:marLeft w:val="0"/>
      <w:marRight w:val="0"/>
      <w:marTop w:val="0"/>
      <w:marBottom w:val="0"/>
      <w:divBdr>
        <w:top w:val="none" w:sz="0" w:space="0" w:color="auto"/>
        <w:left w:val="none" w:sz="0" w:space="0" w:color="auto"/>
        <w:bottom w:val="none" w:sz="0" w:space="0" w:color="auto"/>
        <w:right w:val="none" w:sz="0" w:space="0" w:color="auto"/>
      </w:divBdr>
    </w:div>
    <w:div w:id="690104806">
      <w:bodyDiv w:val="1"/>
      <w:marLeft w:val="0"/>
      <w:marRight w:val="0"/>
      <w:marTop w:val="0"/>
      <w:marBottom w:val="0"/>
      <w:divBdr>
        <w:top w:val="none" w:sz="0" w:space="0" w:color="auto"/>
        <w:left w:val="none" w:sz="0" w:space="0" w:color="auto"/>
        <w:bottom w:val="none" w:sz="0" w:space="0" w:color="auto"/>
        <w:right w:val="none" w:sz="0" w:space="0" w:color="auto"/>
      </w:divBdr>
    </w:div>
    <w:div w:id="697510636">
      <w:bodyDiv w:val="1"/>
      <w:marLeft w:val="0"/>
      <w:marRight w:val="0"/>
      <w:marTop w:val="0"/>
      <w:marBottom w:val="0"/>
      <w:divBdr>
        <w:top w:val="none" w:sz="0" w:space="0" w:color="auto"/>
        <w:left w:val="none" w:sz="0" w:space="0" w:color="auto"/>
        <w:bottom w:val="none" w:sz="0" w:space="0" w:color="auto"/>
        <w:right w:val="none" w:sz="0" w:space="0" w:color="auto"/>
      </w:divBdr>
    </w:div>
    <w:div w:id="708379017">
      <w:bodyDiv w:val="1"/>
      <w:marLeft w:val="0"/>
      <w:marRight w:val="0"/>
      <w:marTop w:val="0"/>
      <w:marBottom w:val="0"/>
      <w:divBdr>
        <w:top w:val="none" w:sz="0" w:space="0" w:color="auto"/>
        <w:left w:val="none" w:sz="0" w:space="0" w:color="auto"/>
        <w:bottom w:val="none" w:sz="0" w:space="0" w:color="auto"/>
        <w:right w:val="none" w:sz="0" w:space="0" w:color="auto"/>
      </w:divBdr>
    </w:div>
    <w:div w:id="710959272">
      <w:bodyDiv w:val="1"/>
      <w:marLeft w:val="0"/>
      <w:marRight w:val="0"/>
      <w:marTop w:val="0"/>
      <w:marBottom w:val="0"/>
      <w:divBdr>
        <w:top w:val="none" w:sz="0" w:space="0" w:color="auto"/>
        <w:left w:val="none" w:sz="0" w:space="0" w:color="auto"/>
        <w:bottom w:val="none" w:sz="0" w:space="0" w:color="auto"/>
        <w:right w:val="none" w:sz="0" w:space="0" w:color="auto"/>
      </w:divBdr>
    </w:div>
    <w:div w:id="711156357">
      <w:bodyDiv w:val="1"/>
      <w:marLeft w:val="0"/>
      <w:marRight w:val="0"/>
      <w:marTop w:val="0"/>
      <w:marBottom w:val="0"/>
      <w:divBdr>
        <w:top w:val="none" w:sz="0" w:space="0" w:color="auto"/>
        <w:left w:val="none" w:sz="0" w:space="0" w:color="auto"/>
        <w:bottom w:val="none" w:sz="0" w:space="0" w:color="auto"/>
        <w:right w:val="none" w:sz="0" w:space="0" w:color="auto"/>
      </w:divBdr>
    </w:div>
    <w:div w:id="714886505">
      <w:bodyDiv w:val="1"/>
      <w:marLeft w:val="0"/>
      <w:marRight w:val="0"/>
      <w:marTop w:val="0"/>
      <w:marBottom w:val="0"/>
      <w:divBdr>
        <w:top w:val="none" w:sz="0" w:space="0" w:color="auto"/>
        <w:left w:val="none" w:sz="0" w:space="0" w:color="auto"/>
        <w:bottom w:val="none" w:sz="0" w:space="0" w:color="auto"/>
        <w:right w:val="none" w:sz="0" w:space="0" w:color="auto"/>
      </w:divBdr>
    </w:div>
    <w:div w:id="716323313">
      <w:bodyDiv w:val="1"/>
      <w:marLeft w:val="0"/>
      <w:marRight w:val="0"/>
      <w:marTop w:val="0"/>
      <w:marBottom w:val="0"/>
      <w:divBdr>
        <w:top w:val="none" w:sz="0" w:space="0" w:color="auto"/>
        <w:left w:val="none" w:sz="0" w:space="0" w:color="auto"/>
        <w:bottom w:val="none" w:sz="0" w:space="0" w:color="auto"/>
        <w:right w:val="none" w:sz="0" w:space="0" w:color="auto"/>
      </w:divBdr>
    </w:div>
    <w:div w:id="721290669">
      <w:bodyDiv w:val="1"/>
      <w:marLeft w:val="0"/>
      <w:marRight w:val="0"/>
      <w:marTop w:val="0"/>
      <w:marBottom w:val="0"/>
      <w:divBdr>
        <w:top w:val="none" w:sz="0" w:space="0" w:color="auto"/>
        <w:left w:val="none" w:sz="0" w:space="0" w:color="auto"/>
        <w:bottom w:val="none" w:sz="0" w:space="0" w:color="auto"/>
        <w:right w:val="none" w:sz="0" w:space="0" w:color="auto"/>
      </w:divBdr>
    </w:div>
    <w:div w:id="728918743">
      <w:bodyDiv w:val="1"/>
      <w:marLeft w:val="0"/>
      <w:marRight w:val="0"/>
      <w:marTop w:val="0"/>
      <w:marBottom w:val="0"/>
      <w:divBdr>
        <w:top w:val="none" w:sz="0" w:space="0" w:color="auto"/>
        <w:left w:val="none" w:sz="0" w:space="0" w:color="auto"/>
        <w:bottom w:val="none" w:sz="0" w:space="0" w:color="auto"/>
        <w:right w:val="none" w:sz="0" w:space="0" w:color="auto"/>
      </w:divBdr>
    </w:div>
    <w:div w:id="732511162">
      <w:bodyDiv w:val="1"/>
      <w:marLeft w:val="0"/>
      <w:marRight w:val="0"/>
      <w:marTop w:val="0"/>
      <w:marBottom w:val="0"/>
      <w:divBdr>
        <w:top w:val="none" w:sz="0" w:space="0" w:color="auto"/>
        <w:left w:val="none" w:sz="0" w:space="0" w:color="auto"/>
        <w:bottom w:val="none" w:sz="0" w:space="0" w:color="auto"/>
        <w:right w:val="none" w:sz="0" w:space="0" w:color="auto"/>
      </w:divBdr>
    </w:div>
    <w:div w:id="742679262">
      <w:bodyDiv w:val="1"/>
      <w:marLeft w:val="0"/>
      <w:marRight w:val="0"/>
      <w:marTop w:val="0"/>
      <w:marBottom w:val="0"/>
      <w:divBdr>
        <w:top w:val="none" w:sz="0" w:space="0" w:color="auto"/>
        <w:left w:val="none" w:sz="0" w:space="0" w:color="auto"/>
        <w:bottom w:val="none" w:sz="0" w:space="0" w:color="auto"/>
        <w:right w:val="none" w:sz="0" w:space="0" w:color="auto"/>
      </w:divBdr>
    </w:div>
    <w:div w:id="750464511">
      <w:bodyDiv w:val="1"/>
      <w:marLeft w:val="0"/>
      <w:marRight w:val="0"/>
      <w:marTop w:val="0"/>
      <w:marBottom w:val="0"/>
      <w:divBdr>
        <w:top w:val="none" w:sz="0" w:space="0" w:color="auto"/>
        <w:left w:val="none" w:sz="0" w:space="0" w:color="auto"/>
        <w:bottom w:val="none" w:sz="0" w:space="0" w:color="auto"/>
        <w:right w:val="none" w:sz="0" w:space="0" w:color="auto"/>
      </w:divBdr>
    </w:div>
    <w:div w:id="751390553">
      <w:bodyDiv w:val="1"/>
      <w:marLeft w:val="0"/>
      <w:marRight w:val="0"/>
      <w:marTop w:val="0"/>
      <w:marBottom w:val="0"/>
      <w:divBdr>
        <w:top w:val="none" w:sz="0" w:space="0" w:color="auto"/>
        <w:left w:val="none" w:sz="0" w:space="0" w:color="auto"/>
        <w:bottom w:val="none" w:sz="0" w:space="0" w:color="auto"/>
        <w:right w:val="none" w:sz="0" w:space="0" w:color="auto"/>
      </w:divBdr>
    </w:div>
    <w:div w:id="751590168">
      <w:bodyDiv w:val="1"/>
      <w:marLeft w:val="0"/>
      <w:marRight w:val="0"/>
      <w:marTop w:val="0"/>
      <w:marBottom w:val="0"/>
      <w:divBdr>
        <w:top w:val="none" w:sz="0" w:space="0" w:color="auto"/>
        <w:left w:val="none" w:sz="0" w:space="0" w:color="auto"/>
        <w:bottom w:val="none" w:sz="0" w:space="0" w:color="auto"/>
        <w:right w:val="none" w:sz="0" w:space="0" w:color="auto"/>
      </w:divBdr>
    </w:div>
    <w:div w:id="758451731">
      <w:bodyDiv w:val="1"/>
      <w:marLeft w:val="0"/>
      <w:marRight w:val="0"/>
      <w:marTop w:val="0"/>
      <w:marBottom w:val="0"/>
      <w:divBdr>
        <w:top w:val="none" w:sz="0" w:space="0" w:color="auto"/>
        <w:left w:val="none" w:sz="0" w:space="0" w:color="auto"/>
        <w:bottom w:val="none" w:sz="0" w:space="0" w:color="auto"/>
        <w:right w:val="none" w:sz="0" w:space="0" w:color="auto"/>
      </w:divBdr>
    </w:div>
    <w:div w:id="763186986">
      <w:bodyDiv w:val="1"/>
      <w:marLeft w:val="0"/>
      <w:marRight w:val="0"/>
      <w:marTop w:val="0"/>
      <w:marBottom w:val="0"/>
      <w:divBdr>
        <w:top w:val="none" w:sz="0" w:space="0" w:color="auto"/>
        <w:left w:val="none" w:sz="0" w:space="0" w:color="auto"/>
        <w:bottom w:val="none" w:sz="0" w:space="0" w:color="auto"/>
        <w:right w:val="none" w:sz="0" w:space="0" w:color="auto"/>
      </w:divBdr>
    </w:div>
    <w:div w:id="764957068">
      <w:bodyDiv w:val="1"/>
      <w:marLeft w:val="0"/>
      <w:marRight w:val="0"/>
      <w:marTop w:val="0"/>
      <w:marBottom w:val="0"/>
      <w:divBdr>
        <w:top w:val="none" w:sz="0" w:space="0" w:color="auto"/>
        <w:left w:val="none" w:sz="0" w:space="0" w:color="auto"/>
        <w:bottom w:val="none" w:sz="0" w:space="0" w:color="auto"/>
        <w:right w:val="none" w:sz="0" w:space="0" w:color="auto"/>
      </w:divBdr>
    </w:div>
    <w:div w:id="770860585">
      <w:bodyDiv w:val="1"/>
      <w:marLeft w:val="0"/>
      <w:marRight w:val="0"/>
      <w:marTop w:val="0"/>
      <w:marBottom w:val="0"/>
      <w:divBdr>
        <w:top w:val="none" w:sz="0" w:space="0" w:color="auto"/>
        <w:left w:val="none" w:sz="0" w:space="0" w:color="auto"/>
        <w:bottom w:val="none" w:sz="0" w:space="0" w:color="auto"/>
        <w:right w:val="none" w:sz="0" w:space="0" w:color="auto"/>
      </w:divBdr>
    </w:div>
    <w:div w:id="774902478">
      <w:bodyDiv w:val="1"/>
      <w:marLeft w:val="0"/>
      <w:marRight w:val="0"/>
      <w:marTop w:val="0"/>
      <w:marBottom w:val="0"/>
      <w:divBdr>
        <w:top w:val="none" w:sz="0" w:space="0" w:color="auto"/>
        <w:left w:val="none" w:sz="0" w:space="0" w:color="auto"/>
        <w:bottom w:val="none" w:sz="0" w:space="0" w:color="auto"/>
        <w:right w:val="none" w:sz="0" w:space="0" w:color="auto"/>
      </w:divBdr>
    </w:div>
    <w:div w:id="788010867">
      <w:bodyDiv w:val="1"/>
      <w:marLeft w:val="0"/>
      <w:marRight w:val="0"/>
      <w:marTop w:val="0"/>
      <w:marBottom w:val="0"/>
      <w:divBdr>
        <w:top w:val="none" w:sz="0" w:space="0" w:color="auto"/>
        <w:left w:val="none" w:sz="0" w:space="0" w:color="auto"/>
        <w:bottom w:val="none" w:sz="0" w:space="0" w:color="auto"/>
        <w:right w:val="none" w:sz="0" w:space="0" w:color="auto"/>
      </w:divBdr>
    </w:div>
    <w:div w:id="789588329">
      <w:bodyDiv w:val="1"/>
      <w:marLeft w:val="0"/>
      <w:marRight w:val="0"/>
      <w:marTop w:val="0"/>
      <w:marBottom w:val="0"/>
      <w:divBdr>
        <w:top w:val="none" w:sz="0" w:space="0" w:color="auto"/>
        <w:left w:val="none" w:sz="0" w:space="0" w:color="auto"/>
        <w:bottom w:val="none" w:sz="0" w:space="0" w:color="auto"/>
        <w:right w:val="none" w:sz="0" w:space="0" w:color="auto"/>
      </w:divBdr>
    </w:div>
    <w:div w:id="791368592">
      <w:bodyDiv w:val="1"/>
      <w:marLeft w:val="0"/>
      <w:marRight w:val="0"/>
      <w:marTop w:val="0"/>
      <w:marBottom w:val="0"/>
      <w:divBdr>
        <w:top w:val="none" w:sz="0" w:space="0" w:color="auto"/>
        <w:left w:val="none" w:sz="0" w:space="0" w:color="auto"/>
        <w:bottom w:val="none" w:sz="0" w:space="0" w:color="auto"/>
        <w:right w:val="none" w:sz="0" w:space="0" w:color="auto"/>
      </w:divBdr>
    </w:div>
    <w:div w:id="793791417">
      <w:bodyDiv w:val="1"/>
      <w:marLeft w:val="0"/>
      <w:marRight w:val="0"/>
      <w:marTop w:val="0"/>
      <w:marBottom w:val="0"/>
      <w:divBdr>
        <w:top w:val="none" w:sz="0" w:space="0" w:color="auto"/>
        <w:left w:val="none" w:sz="0" w:space="0" w:color="auto"/>
        <w:bottom w:val="none" w:sz="0" w:space="0" w:color="auto"/>
        <w:right w:val="none" w:sz="0" w:space="0" w:color="auto"/>
      </w:divBdr>
    </w:div>
    <w:div w:id="796335869">
      <w:bodyDiv w:val="1"/>
      <w:marLeft w:val="0"/>
      <w:marRight w:val="0"/>
      <w:marTop w:val="0"/>
      <w:marBottom w:val="0"/>
      <w:divBdr>
        <w:top w:val="none" w:sz="0" w:space="0" w:color="auto"/>
        <w:left w:val="none" w:sz="0" w:space="0" w:color="auto"/>
        <w:bottom w:val="none" w:sz="0" w:space="0" w:color="auto"/>
        <w:right w:val="none" w:sz="0" w:space="0" w:color="auto"/>
      </w:divBdr>
    </w:div>
    <w:div w:id="805272274">
      <w:bodyDiv w:val="1"/>
      <w:marLeft w:val="0"/>
      <w:marRight w:val="0"/>
      <w:marTop w:val="0"/>
      <w:marBottom w:val="0"/>
      <w:divBdr>
        <w:top w:val="none" w:sz="0" w:space="0" w:color="auto"/>
        <w:left w:val="none" w:sz="0" w:space="0" w:color="auto"/>
        <w:bottom w:val="none" w:sz="0" w:space="0" w:color="auto"/>
        <w:right w:val="none" w:sz="0" w:space="0" w:color="auto"/>
      </w:divBdr>
    </w:div>
    <w:div w:id="809327269">
      <w:bodyDiv w:val="1"/>
      <w:marLeft w:val="0"/>
      <w:marRight w:val="0"/>
      <w:marTop w:val="0"/>
      <w:marBottom w:val="0"/>
      <w:divBdr>
        <w:top w:val="none" w:sz="0" w:space="0" w:color="auto"/>
        <w:left w:val="none" w:sz="0" w:space="0" w:color="auto"/>
        <w:bottom w:val="none" w:sz="0" w:space="0" w:color="auto"/>
        <w:right w:val="none" w:sz="0" w:space="0" w:color="auto"/>
      </w:divBdr>
    </w:div>
    <w:div w:id="811362529">
      <w:bodyDiv w:val="1"/>
      <w:marLeft w:val="0"/>
      <w:marRight w:val="0"/>
      <w:marTop w:val="0"/>
      <w:marBottom w:val="0"/>
      <w:divBdr>
        <w:top w:val="none" w:sz="0" w:space="0" w:color="auto"/>
        <w:left w:val="none" w:sz="0" w:space="0" w:color="auto"/>
        <w:bottom w:val="none" w:sz="0" w:space="0" w:color="auto"/>
        <w:right w:val="none" w:sz="0" w:space="0" w:color="auto"/>
      </w:divBdr>
    </w:div>
    <w:div w:id="812723854">
      <w:bodyDiv w:val="1"/>
      <w:marLeft w:val="0"/>
      <w:marRight w:val="0"/>
      <w:marTop w:val="0"/>
      <w:marBottom w:val="0"/>
      <w:divBdr>
        <w:top w:val="none" w:sz="0" w:space="0" w:color="auto"/>
        <w:left w:val="none" w:sz="0" w:space="0" w:color="auto"/>
        <w:bottom w:val="none" w:sz="0" w:space="0" w:color="auto"/>
        <w:right w:val="none" w:sz="0" w:space="0" w:color="auto"/>
      </w:divBdr>
    </w:div>
    <w:div w:id="824275327">
      <w:bodyDiv w:val="1"/>
      <w:marLeft w:val="0"/>
      <w:marRight w:val="0"/>
      <w:marTop w:val="0"/>
      <w:marBottom w:val="0"/>
      <w:divBdr>
        <w:top w:val="none" w:sz="0" w:space="0" w:color="auto"/>
        <w:left w:val="none" w:sz="0" w:space="0" w:color="auto"/>
        <w:bottom w:val="none" w:sz="0" w:space="0" w:color="auto"/>
        <w:right w:val="none" w:sz="0" w:space="0" w:color="auto"/>
      </w:divBdr>
    </w:div>
    <w:div w:id="827597590">
      <w:bodyDiv w:val="1"/>
      <w:marLeft w:val="0"/>
      <w:marRight w:val="0"/>
      <w:marTop w:val="0"/>
      <w:marBottom w:val="0"/>
      <w:divBdr>
        <w:top w:val="none" w:sz="0" w:space="0" w:color="auto"/>
        <w:left w:val="none" w:sz="0" w:space="0" w:color="auto"/>
        <w:bottom w:val="none" w:sz="0" w:space="0" w:color="auto"/>
        <w:right w:val="none" w:sz="0" w:space="0" w:color="auto"/>
      </w:divBdr>
    </w:div>
    <w:div w:id="827794826">
      <w:bodyDiv w:val="1"/>
      <w:marLeft w:val="0"/>
      <w:marRight w:val="0"/>
      <w:marTop w:val="0"/>
      <w:marBottom w:val="0"/>
      <w:divBdr>
        <w:top w:val="none" w:sz="0" w:space="0" w:color="auto"/>
        <w:left w:val="none" w:sz="0" w:space="0" w:color="auto"/>
        <w:bottom w:val="none" w:sz="0" w:space="0" w:color="auto"/>
        <w:right w:val="none" w:sz="0" w:space="0" w:color="auto"/>
      </w:divBdr>
    </w:div>
    <w:div w:id="828063018">
      <w:bodyDiv w:val="1"/>
      <w:marLeft w:val="0"/>
      <w:marRight w:val="0"/>
      <w:marTop w:val="0"/>
      <w:marBottom w:val="0"/>
      <w:divBdr>
        <w:top w:val="none" w:sz="0" w:space="0" w:color="auto"/>
        <w:left w:val="none" w:sz="0" w:space="0" w:color="auto"/>
        <w:bottom w:val="none" w:sz="0" w:space="0" w:color="auto"/>
        <w:right w:val="none" w:sz="0" w:space="0" w:color="auto"/>
      </w:divBdr>
    </w:div>
    <w:div w:id="835152329">
      <w:bodyDiv w:val="1"/>
      <w:marLeft w:val="0"/>
      <w:marRight w:val="0"/>
      <w:marTop w:val="0"/>
      <w:marBottom w:val="0"/>
      <w:divBdr>
        <w:top w:val="none" w:sz="0" w:space="0" w:color="auto"/>
        <w:left w:val="none" w:sz="0" w:space="0" w:color="auto"/>
        <w:bottom w:val="none" w:sz="0" w:space="0" w:color="auto"/>
        <w:right w:val="none" w:sz="0" w:space="0" w:color="auto"/>
      </w:divBdr>
    </w:div>
    <w:div w:id="846676918">
      <w:bodyDiv w:val="1"/>
      <w:marLeft w:val="0"/>
      <w:marRight w:val="0"/>
      <w:marTop w:val="0"/>
      <w:marBottom w:val="0"/>
      <w:divBdr>
        <w:top w:val="none" w:sz="0" w:space="0" w:color="auto"/>
        <w:left w:val="none" w:sz="0" w:space="0" w:color="auto"/>
        <w:bottom w:val="none" w:sz="0" w:space="0" w:color="auto"/>
        <w:right w:val="none" w:sz="0" w:space="0" w:color="auto"/>
      </w:divBdr>
    </w:div>
    <w:div w:id="848564483">
      <w:bodyDiv w:val="1"/>
      <w:marLeft w:val="0"/>
      <w:marRight w:val="0"/>
      <w:marTop w:val="0"/>
      <w:marBottom w:val="0"/>
      <w:divBdr>
        <w:top w:val="none" w:sz="0" w:space="0" w:color="auto"/>
        <w:left w:val="none" w:sz="0" w:space="0" w:color="auto"/>
        <w:bottom w:val="none" w:sz="0" w:space="0" w:color="auto"/>
        <w:right w:val="none" w:sz="0" w:space="0" w:color="auto"/>
      </w:divBdr>
    </w:div>
    <w:div w:id="854346298">
      <w:bodyDiv w:val="1"/>
      <w:marLeft w:val="0"/>
      <w:marRight w:val="0"/>
      <w:marTop w:val="0"/>
      <w:marBottom w:val="0"/>
      <w:divBdr>
        <w:top w:val="none" w:sz="0" w:space="0" w:color="auto"/>
        <w:left w:val="none" w:sz="0" w:space="0" w:color="auto"/>
        <w:bottom w:val="none" w:sz="0" w:space="0" w:color="auto"/>
        <w:right w:val="none" w:sz="0" w:space="0" w:color="auto"/>
      </w:divBdr>
    </w:div>
    <w:div w:id="857962047">
      <w:bodyDiv w:val="1"/>
      <w:marLeft w:val="0"/>
      <w:marRight w:val="0"/>
      <w:marTop w:val="0"/>
      <w:marBottom w:val="0"/>
      <w:divBdr>
        <w:top w:val="none" w:sz="0" w:space="0" w:color="auto"/>
        <w:left w:val="none" w:sz="0" w:space="0" w:color="auto"/>
        <w:bottom w:val="none" w:sz="0" w:space="0" w:color="auto"/>
        <w:right w:val="none" w:sz="0" w:space="0" w:color="auto"/>
      </w:divBdr>
    </w:div>
    <w:div w:id="865024971">
      <w:bodyDiv w:val="1"/>
      <w:marLeft w:val="0"/>
      <w:marRight w:val="0"/>
      <w:marTop w:val="0"/>
      <w:marBottom w:val="0"/>
      <w:divBdr>
        <w:top w:val="none" w:sz="0" w:space="0" w:color="auto"/>
        <w:left w:val="none" w:sz="0" w:space="0" w:color="auto"/>
        <w:bottom w:val="none" w:sz="0" w:space="0" w:color="auto"/>
        <w:right w:val="none" w:sz="0" w:space="0" w:color="auto"/>
      </w:divBdr>
    </w:div>
    <w:div w:id="867639228">
      <w:bodyDiv w:val="1"/>
      <w:marLeft w:val="0"/>
      <w:marRight w:val="0"/>
      <w:marTop w:val="0"/>
      <w:marBottom w:val="0"/>
      <w:divBdr>
        <w:top w:val="none" w:sz="0" w:space="0" w:color="auto"/>
        <w:left w:val="none" w:sz="0" w:space="0" w:color="auto"/>
        <w:bottom w:val="none" w:sz="0" w:space="0" w:color="auto"/>
        <w:right w:val="none" w:sz="0" w:space="0" w:color="auto"/>
      </w:divBdr>
    </w:div>
    <w:div w:id="869104500">
      <w:bodyDiv w:val="1"/>
      <w:marLeft w:val="0"/>
      <w:marRight w:val="0"/>
      <w:marTop w:val="0"/>
      <w:marBottom w:val="0"/>
      <w:divBdr>
        <w:top w:val="none" w:sz="0" w:space="0" w:color="auto"/>
        <w:left w:val="none" w:sz="0" w:space="0" w:color="auto"/>
        <w:bottom w:val="none" w:sz="0" w:space="0" w:color="auto"/>
        <w:right w:val="none" w:sz="0" w:space="0" w:color="auto"/>
      </w:divBdr>
    </w:div>
    <w:div w:id="883829265">
      <w:bodyDiv w:val="1"/>
      <w:marLeft w:val="0"/>
      <w:marRight w:val="0"/>
      <w:marTop w:val="0"/>
      <w:marBottom w:val="0"/>
      <w:divBdr>
        <w:top w:val="none" w:sz="0" w:space="0" w:color="auto"/>
        <w:left w:val="none" w:sz="0" w:space="0" w:color="auto"/>
        <w:bottom w:val="none" w:sz="0" w:space="0" w:color="auto"/>
        <w:right w:val="none" w:sz="0" w:space="0" w:color="auto"/>
      </w:divBdr>
    </w:div>
    <w:div w:id="885602516">
      <w:bodyDiv w:val="1"/>
      <w:marLeft w:val="0"/>
      <w:marRight w:val="0"/>
      <w:marTop w:val="0"/>
      <w:marBottom w:val="0"/>
      <w:divBdr>
        <w:top w:val="none" w:sz="0" w:space="0" w:color="auto"/>
        <w:left w:val="none" w:sz="0" w:space="0" w:color="auto"/>
        <w:bottom w:val="none" w:sz="0" w:space="0" w:color="auto"/>
        <w:right w:val="none" w:sz="0" w:space="0" w:color="auto"/>
      </w:divBdr>
    </w:div>
    <w:div w:id="886795135">
      <w:bodyDiv w:val="1"/>
      <w:marLeft w:val="0"/>
      <w:marRight w:val="0"/>
      <w:marTop w:val="0"/>
      <w:marBottom w:val="0"/>
      <w:divBdr>
        <w:top w:val="none" w:sz="0" w:space="0" w:color="auto"/>
        <w:left w:val="none" w:sz="0" w:space="0" w:color="auto"/>
        <w:bottom w:val="none" w:sz="0" w:space="0" w:color="auto"/>
        <w:right w:val="none" w:sz="0" w:space="0" w:color="auto"/>
      </w:divBdr>
    </w:div>
    <w:div w:id="889078844">
      <w:bodyDiv w:val="1"/>
      <w:marLeft w:val="0"/>
      <w:marRight w:val="0"/>
      <w:marTop w:val="0"/>
      <w:marBottom w:val="0"/>
      <w:divBdr>
        <w:top w:val="none" w:sz="0" w:space="0" w:color="auto"/>
        <w:left w:val="none" w:sz="0" w:space="0" w:color="auto"/>
        <w:bottom w:val="none" w:sz="0" w:space="0" w:color="auto"/>
        <w:right w:val="none" w:sz="0" w:space="0" w:color="auto"/>
      </w:divBdr>
    </w:div>
    <w:div w:id="898906287">
      <w:bodyDiv w:val="1"/>
      <w:marLeft w:val="0"/>
      <w:marRight w:val="0"/>
      <w:marTop w:val="0"/>
      <w:marBottom w:val="0"/>
      <w:divBdr>
        <w:top w:val="none" w:sz="0" w:space="0" w:color="auto"/>
        <w:left w:val="none" w:sz="0" w:space="0" w:color="auto"/>
        <w:bottom w:val="none" w:sz="0" w:space="0" w:color="auto"/>
        <w:right w:val="none" w:sz="0" w:space="0" w:color="auto"/>
      </w:divBdr>
    </w:div>
    <w:div w:id="899167160">
      <w:bodyDiv w:val="1"/>
      <w:marLeft w:val="0"/>
      <w:marRight w:val="0"/>
      <w:marTop w:val="0"/>
      <w:marBottom w:val="0"/>
      <w:divBdr>
        <w:top w:val="none" w:sz="0" w:space="0" w:color="auto"/>
        <w:left w:val="none" w:sz="0" w:space="0" w:color="auto"/>
        <w:bottom w:val="none" w:sz="0" w:space="0" w:color="auto"/>
        <w:right w:val="none" w:sz="0" w:space="0" w:color="auto"/>
      </w:divBdr>
    </w:div>
    <w:div w:id="902326153">
      <w:bodyDiv w:val="1"/>
      <w:marLeft w:val="0"/>
      <w:marRight w:val="0"/>
      <w:marTop w:val="0"/>
      <w:marBottom w:val="0"/>
      <w:divBdr>
        <w:top w:val="none" w:sz="0" w:space="0" w:color="auto"/>
        <w:left w:val="none" w:sz="0" w:space="0" w:color="auto"/>
        <w:bottom w:val="none" w:sz="0" w:space="0" w:color="auto"/>
        <w:right w:val="none" w:sz="0" w:space="0" w:color="auto"/>
      </w:divBdr>
    </w:div>
    <w:div w:id="909850740">
      <w:bodyDiv w:val="1"/>
      <w:marLeft w:val="0"/>
      <w:marRight w:val="0"/>
      <w:marTop w:val="0"/>
      <w:marBottom w:val="0"/>
      <w:divBdr>
        <w:top w:val="none" w:sz="0" w:space="0" w:color="auto"/>
        <w:left w:val="none" w:sz="0" w:space="0" w:color="auto"/>
        <w:bottom w:val="none" w:sz="0" w:space="0" w:color="auto"/>
        <w:right w:val="none" w:sz="0" w:space="0" w:color="auto"/>
      </w:divBdr>
    </w:div>
    <w:div w:id="916131314">
      <w:bodyDiv w:val="1"/>
      <w:marLeft w:val="0"/>
      <w:marRight w:val="0"/>
      <w:marTop w:val="0"/>
      <w:marBottom w:val="0"/>
      <w:divBdr>
        <w:top w:val="none" w:sz="0" w:space="0" w:color="auto"/>
        <w:left w:val="none" w:sz="0" w:space="0" w:color="auto"/>
        <w:bottom w:val="none" w:sz="0" w:space="0" w:color="auto"/>
        <w:right w:val="none" w:sz="0" w:space="0" w:color="auto"/>
      </w:divBdr>
    </w:div>
    <w:div w:id="918755333">
      <w:bodyDiv w:val="1"/>
      <w:marLeft w:val="0"/>
      <w:marRight w:val="0"/>
      <w:marTop w:val="0"/>
      <w:marBottom w:val="0"/>
      <w:divBdr>
        <w:top w:val="none" w:sz="0" w:space="0" w:color="auto"/>
        <w:left w:val="none" w:sz="0" w:space="0" w:color="auto"/>
        <w:bottom w:val="none" w:sz="0" w:space="0" w:color="auto"/>
        <w:right w:val="none" w:sz="0" w:space="0" w:color="auto"/>
      </w:divBdr>
    </w:div>
    <w:div w:id="919102778">
      <w:bodyDiv w:val="1"/>
      <w:marLeft w:val="0"/>
      <w:marRight w:val="0"/>
      <w:marTop w:val="0"/>
      <w:marBottom w:val="0"/>
      <w:divBdr>
        <w:top w:val="none" w:sz="0" w:space="0" w:color="auto"/>
        <w:left w:val="none" w:sz="0" w:space="0" w:color="auto"/>
        <w:bottom w:val="none" w:sz="0" w:space="0" w:color="auto"/>
        <w:right w:val="none" w:sz="0" w:space="0" w:color="auto"/>
      </w:divBdr>
    </w:div>
    <w:div w:id="921911047">
      <w:bodyDiv w:val="1"/>
      <w:marLeft w:val="0"/>
      <w:marRight w:val="0"/>
      <w:marTop w:val="0"/>
      <w:marBottom w:val="0"/>
      <w:divBdr>
        <w:top w:val="none" w:sz="0" w:space="0" w:color="auto"/>
        <w:left w:val="none" w:sz="0" w:space="0" w:color="auto"/>
        <w:bottom w:val="none" w:sz="0" w:space="0" w:color="auto"/>
        <w:right w:val="none" w:sz="0" w:space="0" w:color="auto"/>
      </w:divBdr>
    </w:div>
    <w:div w:id="930240383">
      <w:bodyDiv w:val="1"/>
      <w:marLeft w:val="0"/>
      <w:marRight w:val="0"/>
      <w:marTop w:val="0"/>
      <w:marBottom w:val="0"/>
      <w:divBdr>
        <w:top w:val="none" w:sz="0" w:space="0" w:color="auto"/>
        <w:left w:val="none" w:sz="0" w:space="0" w:color="auto"/>
        <w:bottom w:val="none" w:sz="0" w:space="0" w:color="auto"/>
        <w:right w:val="none" w:sz="0" w:space="0" w:color="auto"/>
      </w:divBdr>
    </w:div>
    <w:div w:id="931935023">
      <w:bodyDiv w:val="1"/>
      <w:marLeft w:val="0"/>
      <w:marRight w:val="0"/>
      <w:marTop w:val="0"/>
      <w:marBottom w:val="0"/>
      <w:divBdr>
        <w:top w:val="none" w:sz="0" w:space="0" w:color="auto"/>
        <w:left w:val="none" w:sz="0" w:space="0" w:color="auto"/>
        <w:bottom w:val="none" w:sz="0" w:space="0" w:color="auto"/>
        <w:right w:val="none" w:sz="0" w:space="0" w:color="auto"/>
      </w:divBdr>
    </w:div>
    <w:div w:id="934675427">
      <w:bodyDiv w:val="1"/>
      <w:marLeft w:val="0"/>
      <w:marRight w:val="0"/>
      <w:marTop w:val="0"/>
      <w:marBottom w:val="0"/>
      <w:divBdr>
        <w:top w:val="none" w:sz="0" w:space="0" w:color="auto"/>
        <w:left w:val="none" w:sz="0" w:space="0" w:color="auto"/>
        <w:bottom w:val="none" w:sz="0" w:space="0" w:color="auto"/>
        <w:right w:val="none" w:sz="0" w:space="0" w:color="auto"/>
      </w:divBdr>
    </w:div>
    <w:div w:id="939290331">
      <w:bodyDiv w:val="1"/>
      <w:marLeft w:val="0"/>
      <w:marRight w:val="0"/>
      <w:marTop w:val="0"/>
      <w:marBottom w:val="0"/>
      <w:divBdr>
        <w:top w:val="none" w:sz="0" w:space="0" w:color="auto"/>
        <w:left w:val="none" w:sz="0" w:space="0" w:color="auto"/>
        <w:bottom w:val="none" w:sz="0" w:space="0" w:color="auto"/>
        <w:right w:val="none" w:sz="0" w:space="0" w:color="auto"/>
      </w:divBdr>
    </w:div>
    <w:div w:id="945430492">
      <w:bodyDiv w:val="1"/>
      <w:marLeft w:val="0"/>
      <w:marRight w:val="0"/>
      <w:marTop w:val="0"/>
      <w:marBottom w:val="0"/>
      <w:divBdr>
        <w:top w:val="none" w:sz="0" w:space="0" w:color="auto"/>
        <w:left w:val="none" w:sz="0" w:space="0" w:color="auto"/>
        <w:bottom w:val="none" w:sz="0" w:space="0" w:color="auto"/>
        <w:right w:val="none" w:sz="0" w:space="0" w:color="auto"/>
      </w:divBdr>
    </w:div>
    <w:div w:id="957491443">
      <w:bodyDiv w:val="1"/>
      <w:marLeft w:val="0"/>
      <w:marRight w:val="0"/>
      <w:marTop w:val="0"/>
      <w:marBottom w:val="0"/>
      <w:divBdr>
        <w:top w:val="none" w:sz="0" w:space="0" w:color="auto"/>
        <w:left w:val="none" w:sz="0" w:space="0" w:color="auto"/>
        <w:bottom w:val="none" w:sz="0" w:space="0" w:color="auto"/>
        <w:right w:val="none" w:sz="0" w:space="0" w:color="auto"/>
      </w:divBdr>
    </w:div>
    <w:div w:id="961615102">
      <w:bodyDiv w:val="1"/>
      <w:marLeft w:val="0"/>
      <w:marRight w:val="0"/>
      <w:marTop w:val="0"/>
      <w:marBottom w:val="0"/>
      <w:divBdr>
        <w:top w:val="none" w:sz="0" w:space="0" w:color="auto"/>
        <w:left w:val="none" w:sz="0" w:space="0" w:color="auto"/>
        <w:bottom w:val="none" w:sz="0" w:space="0" w:color="auto"/>
        <w:right w:val="none" w:sz="0" w:space="0" w:color="auto"/>
      </w:divBdr>
    </w:div>
    <w:div w:id="961956131">
      <w:bodyDiv w:val="1"/>
      <w:marLeft w:val="0"/>
      <w:marRight w:val="0"/>
      <w:marTop w:val="0"/>
      <w:marBottom w:val="0"/>
      <w:divBdr>
        <w:top w:val="none" w:sz="0" w:space="0" w:color="auto"/>
        <w:left w:val="none" w:sz="0" w:space="0" w:color="auto"/>
        <w:bottom w:val="none" w:sz="0" w:space="0" w:color="auto"/>
        <w:right w:val="none" w:sz="0" w:space="0" w:color="auto"/>
      </w:divBdr>
    </w:div>
    <w:div w:id="963928830">
      <w:bodyDiv w:val="1"/>
      <w:marLeft w:val="0"/>
      <w:marRight w:val="0"/>
      <w:marTop w:val="0"/>
      <w:marBottom w:val="0"/>
      <w:divBdr>
        <w:top w:val="none" w:sz="0" w:space="0" w:color="auto"/>
        <w:left w:val="none" w:sz="0" w:space="0" w:color="auto"/>
        <w:bottom w:val="none" w:sz="0" w:space="0" w:color="auto"/>
        <w:right w:val="none" w:sz="0" w:space="0" w:color="auto"/>
      </w:divBdr>
    </w:div>
    <w:div w:id="971062546">
      <w:bodyDiv w:val="1"/>
      <w:marLeft w:val="0"/>
      <w:marRight w:val="0"/>
      <w:marTop w:val="0"/>
      <w:marBottom w:val="0"/>
      <w:divBdr>
        <w:top w:val="none" w:sz="0" w:space="0" w:color="auto"/>
        <w:left w:val="none" w:sz="0" w:space="0" w:color="auto"/>
        <w:bottom w:val="none" w:sz="0" w:space="0" w:color="auto"/>
        <w:right w:val="none" w:sz="0" w:space="0" w:color="auto"/>
      </w:divBdr>
    </w:div>
    <w:div w:id="977151196">
      <w:bodyDiv w:val="1"/>
      <w:marLeft w:val="0"/>
      <w:marRight w:val="0"/>
      <w:marTop w:val="0"/>
      <w:marBottom w:val="0"/>
      <w:divBdr>
        <w:top w:val="none" w:sz="0" w:space="0" w:color="auto"/>
        <w:left w:val="none" w:sz="0" w:space="0" w:color="auto"/>
        <w:bottom w:val="none" w:sz="0" w:space="0" w:color="auto"/>
        <w:right w:val="none" w:sz="0" w:space="0" w:color="auto"/>
      </w:divBdr>
    </w:div>
    <w:div w:id="978920240">
      <w:bodyDiv w:val="1"/>
      <w:marLeft w:val="0"/>
      <w:marRight w:val="0"/>
      <w:marTop w:val="0"/>
      <w:marBottom w:val="0"/>
      <w:divBdr>
        <w:top w:val="none" w:sz="0" w:space="0" w:color="auto"/>
        <w:left w:val="none" w:sz="0" w:space="0" w:color="auto"/>
        <w:bottom w:val="none" w:sz="0" w:space="0" w:color="auto"/>
        <w:right w:val="none" w:sz="0" w:space="0" w:color="auto"/>
      </w:divBdr>
    </w:div>
    <w:div w:id="979457009">
      <w:bodyDiv w:val="1"/>
      <w:marLeft w:val="0"/>
      <w:marRight w:val="0"/>
      <w:marTop w:val="0"/>
      <w:marBottom w:val="0"/>
      <w:divBdr>
        <w:top w:val="none" w:sz="0" w:space="0" w:color="auto"/>
        <w:left w:val="none" w:sz="0" w:space="0" w:color="auto"/>
        <w:bottom w:val="none" w:sz="0" w:space="0" w:color="auto"/>
        <w:right w:val="none" w:sz="0" w:space="0" w:color="auto"/>
      </w:divBdr>
    </w:div>
    <w:div w:id="984118775">
      <w:bodyDiv w:val="1"/>
      <w:marLeft w:val="0"/>
      <w:marRight w:val="0"/>
      <w:marTop w:val="0"/>
      <w:marBottom w:val="0"/>
      <w:divBdr>
        <w:top w:val="none" w:sz="0" w:space="0" w:color="auto"/>
        <w:left w:val="none" w:sz="0" w:space="0" w:color="auto"/>
        <w:bottom w:val="none" w:sz="0" w:space="0" w:color="auto"/>
        <w:right w:val="none" w:sz="0" w:space="0" w:color="auto"/>
      </w:divBdr>
    </w:div>
    <w:div w:id="993492507">
      <w:bodyDiv w:val="1"/>
      <w:marLeft w:val="0"/>
      <w:marRight w:val="0"/>
      <w:marTop w:val="0"/>
      <w:marBottom w:val="0"/>
      <w:divBdr>
        <w:top w:val="none" w:sz="0" w:space="0" w:color="auto"/>
        <w:left w:val="none" w:sz="0" w:space="0" w:color="auto"/>
        <w:bottom w:val="none" w:sz="0" w:space="0" w:color="auto"/>
        <w:right w:val="none" w:sz="0" w:space="0" w:color="auto"/>
      </w:divBdr>
    </w:div>
    <w:div w:id="997733725">
      <w:bodyDiv w:val="1"/>
      <w:marLeft w:val="0"/>
      <w:marRight w:val="0"/>
      <w:marTop w:val="0"/>
      <w:marBottom w:val="0"/>
      <w:divBdr>
        <w:top w:val="none" w:sz="0" w:space="0" w:color="auto"/>
        <w:left w:val="none" w:sz="0" w:space="0" w:color="auto"/>
        <w:bottom w:val="none" w:sz="0" w:space="0" w:color="auto"/>
        <w:right w:val="none" w:sz="0" w:space="0" w:color="auto"/>
      </w:divBdr>
    </w:div>
    <w:div w:id="1011756498">
      <w:bodyDiv w:val="1"/>
      <w:marLeft w:val="0"/>
      <w:marRight w:val="0"/>
      <w:marTop w:val="0"/>
      <w:marBottom w:val="0"/>
      <w:divBdr>
        <w:top w:val="none" w:sz="0" w:space="0" w:color="auto"/>
        <w:left w:val="none" w:sz="0" w:space="0" w:color="auto"/>
        <w:bottom w:val="none" w:sz="0" w:space="0" w:color="auto"/>
        <w:right w:val="none" w:sz="0" w:space="0" w:color="auto"/>
      </w:divBdr>
    </w:div>
    <w:div w:id="1012024731">
      <w:bodyDiv w:val="1"/>
      <w:marLeft w:val="0"/>
      <w:marRight w:val="0"/>
      <w:marTop w:val="0"/>
      <w:marBottom w:val="0"/>
      <w:divBdr>
        <w:top w:val="none" w:sz="0" w:space="0" w:color="auto"/>
        <w:left w:val="none" w:sz="0" w:space="0" w:color="auto"/>
        <w:bottom w:val="none" w:sz="0" w:space="0" w:color="auto"/>
        <w:right w:val="none" w:sz="0" w:space="0" w:color="auto"/>
      </w:divBdr>
    </w:div>
    <w:div w:id="1013799628">
      <w:bodyDiv w:val="1"/>
      <w:marLeft w:val="0"/>
      <w:marRight w:val="0"/>
      <w:marTop w:val="0"/>
      <w:marBottom w:val="0"/>
      <w:divBdr>
        <w:top w:val="none" w:sz="0" w:space="0" w:color="auto"/>
        <w:left w:val="none" w:sz="0" w:space="0" w:color="auto"/>
        <w:bottom w:val="none" w:sz="0" w:space="0" w:color="auto"/>
        <w:right w:val="none" w:sz="0" w:space="0" w:color="auto"/>
      </w:divBdr>
    </w:div>
    <w:div w:id="1015570118">
      <w:bodyDiv w:val="1"/>
      <w:marLeft w:val="0"/>
      <w:marRight w:val="0"/>
      <w:marTop w:val="0"/>
      <w:marBottom w:val="0"/>
      <w:divBdr>
        <w:top w:val="none" w:sz="0" w:space="0" w:color="auto"/>
        <w:left w:val="none" w:sz="0" w:space="0" w:color="auto"/>
        <w:bottom w:val="none" w:sz="0" w:space="0" w:color="auto"/>
        <w:right w:val="none" w:sz="0" w:space="0" w:color="auto"/>
      </w:divBdr>
    </w:div>
    <w:div w:id="1015769708">
      <w:bodyDiv w:val="1"/>
      <w:marLeft w:val="0"/>
      <w:marRight w:val="0"/>
      <w:marTop w:val="0"/>
      <w:marBottom w:val="0"/>
      <w:divBdr>
        <w:top w:val="none" w:sz="0" w:space="0" w:color="auto"/>
        <w:left w:val="none" w:sz="0" w:space="0" w:color="auto"/>
        <w:bottom w:val="none" w:sz="0" w:space="0" w:color="auto"/>
        <w:right w:val="none" w:sz="0" w:space="0" w:color="auto"/>
      </w:divBdr>
    </w:div>
    <w:div w:id="1015956995">
      <w:bodyDiv w:val="1"/>
      <w:marLeft w:val="0"/>
      <w:marRight w:val="0"/>
      <w:marTop w:val="0"/>
      <w:marBottom w:val="0"/>
      <w:divBdr>
        <w:top w:val="none" w:sz="0" w:space="0" w:color="auto"/>
        <w:left w:val="none" w:sz="0" w:space="0" w:color="auto"/>
        <w:bottom w:val="none" w:sz="0" w:space="0" w:color="auto"/>
        <w:right w:val="none" w:sz="0" w:space="0" w:color="auto"/>
      </w:divBdr>
    </w:div>
    <w:div w:id="1016495176">
      <w:bodyDiv w:val="1"/>
      <w:marLeft w:val="0"/>
      <w:marRight w:val="0"/>
      <w:marTop w:val="0"/>
      <w:marBottom w:val="0"/>
      <w:divBdr>
        <w:top w:val="none" w:sz="0" w:space="0" w:color="auto"/>
        <w:left w:val="none" w:sz="0" w:space="0" w:color="auto"/>
        <w:bottom w:val="none" w:sz="0" w:space="0" w:color="auto"/>
        <w:right w:val="none" w:sz="0" w:space="0" w:color="auto"/>
      </w:divBdr>
    </w:div>
    <w:div w:id="1020400703">
      <w:bodyDiv w:val="1"/>
      <w:marLeft w:val="0"/>
      <w:marRight w:val="0"/>
      <w:marTop w:val="0"/>
      <w:marBottom w:val="0"/>
      <w:divBdr>
        <w:top w:val="none" w:sz="0" w:space="0" w:color="auto"/>
        <w:left w:val="none" w:sz="0" w:space="0" w:color="auto"/>
        <w:bottom w:val="none" w:sz="0" w:space="0" w:color="auto"/>
        <w:right w:val="none" w:sz="0" w:space="0" w:color="auto"/>
      </w:divBdr>
    </w:div>
    <w:div w:id="1026104012">
      <w:bodyDiv w:val="1"/>
      <w:marLeft w:val="0"/>
      <w:marRight w:val="0"/>
      <w:marTop w:val="0"/>
      <w:marBottom w:val="0"/>
      <w:divBdr>
        <w:top w:val="none" w:sz="0" w:space="0" w:color="auto"/>
        <w:left w:val="none" w:sz="0" w:space="0" w:color="auto"/>
        <w:bottom w:val="none" w:sz="0" w:space="0" w:color="auto"/>
        <w:right w:val="none" w:sz="0" w:space="0" w:color="auto"/>
      </w:divBdr>
    </w:div>
    <w:div w:id="1039745690">
      <w:bodyDiv w:val="1"/>
      <w:marLeft w:val="0"/>
      <w:marRight w:val="0"/>
      <w:marTop w:val="0"/>
      <w:marBottom w:val="0"/>
      <w:divBdr>
        <w:top w:val="none" w:sz="0" w:space="0" w:color="auto"/>
        <w:left w:val="none" w:sz="0" w:space="0" w:color="auto"/>
        <w:bottom w:val="none" w:sz="0" w:space="0" w:color="auto"/>
        <w:right w:val="none" w:sz="0" w:space="0" w:color="auto"/>
      </w:divBdr>
    </w:div>
    <w:div w:id="1042554753">
      <w:bodyDiv w:val="1"/>
      <w:marLeft w:val="0"/>
      <w:marRight w:val="0"/>
      <w:marTop w:val="0"/>
      <w:marBottom w:val="0"/>
      <w:divBdr>
        <w:top w:val="none" w:sz="0" w:space="0" w:color="auto"/>
        <w:left w:val="none" w:sz="0" w:space="0" w:color="auto"/>
        <w:bottom w:val="none" w:sz="0" w:space="0" w:color="auto"/>
        <w:right w:val="none" w:sz="0" w:space="0" w:color="auto"/>
      </w:divBdr>
    </w:div>
    <w:div w:id="1045059600">
      <w:bodyDiv w:val="1"/>
      <w:marLeft w:val="0"/>
      <w:marRight w:val="0"/>
      <w:marTop w:val="0"/>
      <w:marBottom w:val="0"/>
      <w:divBdr>
        <w:top w:val="none" w:sz="0" w:space="0" w:color="auto"/>
        <w:left w:val="none" w:sz="0" w:space="0" w:color="auto"/>
        <w:bottom w:val="none" w:sz="0" w:space="0" w:color="auto"/>
        <w:right w:val="none" w:sz="0" w:space="0" w:color="auto"/>
      </w:divBdr>
    </w:div>
    <w:div w:id="1046833957">
      <w:bodyDiv w:val="1"/>
      <w:marLeft w:val="0"/>
      <w:marRight w:val="0"/>
      <w:marTop w:val="0"/>
      <w:marBottom w:val="0"/>
      <w:divBdr>
        <w:top w:val="none" w:sz="0" w:space="0" w:color="auto"/>
        <w:left w:val="none" w:sz="0" w:space="0" w:color="auto"/>
        <w:bottom w:val="none" w:sz="0" w:space="0" w:color="auto"/>
        <w:right w:val="none" w:sz="0" w:space="0" w:color="auto"/>
      </w:divBdr>
    </w:div>
    <w:div w:id="1047028885">
      <w:bodyDiv w:val="1"/>
      <w:marLeft w:val="0"/>
      <w:marRight w:val="0"/>
      <w:marTop w:val="0"/>
      <w:marBottom w:val="0"/>
      <w:divBdr>
        <w:top w:val="none" w:sz="0" w:space="0" w:color="auto"/>
        <w:left w:val="none" w:sz="0" w:space="0" w:color="auto"/>
        <w:bottom w:val="none" w:sz="0" w:space="0" w:color="auto"/>
        <w:right w:val="none" w:sz="0" w:space="0" w:color="auto"/>
      </w:divBdr>
    </w:div>
    <w:div w:id="1050615355">
      <w:bodyDiv w:val="1"/>
      <w:marLeft w:val="0"/>
      <w:marRight w:val="0"/>
      <w:marTop w:val="0"/>
      <w:marBottom w:val="0"/>
      <w:divBdr>
        <w:top w:val="none" w:sz="0" w:space="0" w:color="auto"/>
        <w:left w:val="none" w:sz="0" w:space="0" w:color="auto"/>
        <w:bottom w:val="none" w:sz="0" w:space="0" w:color="auto"/>
        <w:right w:val="none" w:sz="0" w:space="0" w:color="auto"/>
      </w:divBdr>
    </w:div>
    <w:div w:id="1057821341">
      <w:bodyDiv w:val="1"/>
      <w:marLeft w:val="0"/>
      <w:marRight w:val="0"/>
      <w:marTop w:val="0"/>
      <w:marBottom w:val="0"/>
      <w:divBdr>
        <w:top w:val="none" w:sz="0" w:space="0" w:color="auto"/>
        <w:left w:val="none" w:sz="0" w:space="0" w:color="auto"/>
        <w:bottom w:val="none" w:sz="0" w:space="0" w:color="auto"/>
        <w:right w:val="none" w:sz="0" w:space="0" w:color="auto"/>
      </w:divBdr>
    </w:div>
    <w:div w:id="1058435687">
      <w:bodyDiv w:val="1"/>
      <w:marLeft w:val="0"/>
      <w:marRight w:val="0"/>
      <w:marTop w:val="0"/>
      <w:marBottom w:val="0"/>
      <w:divBdr>
        <w:top w:val="none" w:sz="0" w:space="0" w:color="auto"/>
        <w:left w:val="none" w:sz="0" w:space="0" w:color="auto"/>
        <w:bottom w:val="none" w:sz="0" w:space="0" w:color="auto"/>
        <w:right w:val="none" w:sz="0" w:space="0" w:color="auto"/>
      </w:divBdr>
    </w:div>
    <w:div w:id="1060060273">
      <w:bodyDiv w:val="1"/>
      <w:marLeft w:val="0"/>
      <w:marRight w:val="0"/>
      <w:marTop w:val="0"/>
      <w:marBottom w:val="0"/>
      <w:divBdr>
        <w:top w:val="none" w:sz="0" w:space="0" w:color="auto"/>
        <w:left w:val="none" w:sz="0" w:space="0" w:color="auto"/>
        <w:bottom w:val="none" w:sz="0" w:space="0" w:color="auto"/>
        <w:right w:val="none" w:sz="0" w:space="0" w:color="auto"/>
      </w:divBdr>
    </w:div>
    <w:div w:id="1067336948">
      <w:bodyDiv w:val="1"/>
      <w:marLeft w:val="0"/>
      <w:marRight w:val="0"/>
      <w:marTop w:val="0"/>
      <w:marBottom w:val="0"/>
      <w:divBdr>
        <w:top w:val="none" w:sz="0" w:space="0" w:color="auto"/>
        <w:left w:val="none" w:sz="0" w:space="0" w:color="auto"/>
        <w:bottom w:val="none" w:sz="0" w:space="0" w:color="auto"/>
        <w:right w:val="none" w:sz="0" w:space="0" w:color="auto"/>
      </w:divBdr>
    </w:div>
    <w:div w:id="1069772137">
      <w:bodyDiv w:val="1"/>
      <w:marLeft w:val="0"/>
      <w:marRight w:val="0"/>
      <w:marTop w:val="0"/>
      <w:marBottom w:val="0"/>
      <w:divBdr>
        <w:top w:val="none" w:sz="0" w:space="0" w:color="auto"/>
        <w:left w:val="none" w:sz="0" w:space="0" w:color="auto"/>
        <w:bottom w:val="none" w:sz="0" w:space="0" w:color="auto"/>
        <w:right w:val="none" w:sz="0" w:space="0" w:color="auto"/>
      </w:divBdr>
    </w:div>
    <w:div w:id="1075518074">
      <w:bodyDiv w:val="1"/>
      <w:marLeft w:val="0"/>
      <w:marRight w:val="0"/>
      <w:marTop w:val="0"/>
      <w:marBottom w:val="0"/>
      <w:divBdr>
        <w:top w:val="none" w:sz="0" w:space="0" w:color="auto"/>
        <w:left w:val="none" w:sz="0" w:space="0" w:color="auto"/>
        <w:bottom w:val="none" w:sz="0" w:space="0" w:color="auto"/>
        <w:right w:val="none" w:sz="0" w:space="0" w:color="auto"/>
      </w:divBdr>
    </w:div>
    <w:div w:id="1078020744">
      <w:bodyDiv w:val="1"/>
      <w:marLeft w:val="0"/>
      <w:marRight w:val="0"/>
      <w:marTop w:val="0"/>
      <w:marBottom w:val="0"/>
      <w:divBdr>
        <w:top w:val="none" w:sz="0" w:space="0" w:color="auto"/>
        <w:left w:val="none" w:sz="0" w:space="0" w:color="auto"/>
        <w:bottom w:val="none" w:sz="0" w:space="0" w:color="auto"/>
        <w:right w:val="none" w:sz="0" w:space="0" w:color="auto"/>
      </w:divBdr>
    </w:div>
    <w:div w:id="1080325395">
      <w:bodyDiv w:val="1"/>
      <w:marLeft w:val="0"/>
      <w:marRight w:val="0"/>
      <w:marTop w:val="0"/>
      <w:marBottom w:val="0"/>
      <w:divBdr>
        <w:top w:val="none" w:sz="0" w:space="0" w:color="auto"/>
        <w:left w:val="none" w:sz="0" w:space="0" w:color="auto"/>
        <w:bottom w:val="none" w:sz="0" w:space="0" w:color="auto"/>
        <w:right w:val="none" w:sz="0" w:space="0" w:color="auto"/>
      </w:divBdr>
    </w:div>
    <w:div w:id="1084497590">
      <w:bodyDiv w:val="1"/>
      <w:marLeft w:val="0"/>
      <w:marRight w:val="0"/>
      <w:marTop w:val="0"/>
      <w:marBottom w:val="0"/>
      <w:divBdr>
        <w:top w:val="none" w:sz="0" w:space="0" w:color="auto"/>
        <w:left w:val="none" w:sz="0" w:space="0" w:color="auto"/>
        <w:bottom w:val="none" w:sz="0" w:space="0" w:color="auto"/>
        <w:right w:val="none" w:sz="0" w:space="0" w:color="auto"/>
      </w:divBdr>
    </w:div>
    <w:div w:id="1090001435">
      <w:bodyDiv w:val="1"/>
      <w:marLeft w:val="0"/>
      <w:marRight w:val="0"/>
      <w:marTop w:val="0"/>
      <w:marBottom w:val="0"/>
      <w:divBdr>
        <w:top w:val="none" w:sz="0" w:space="0" w:color="auto"/>
        <w:left w:val="none" w:sz="0" w:space="0" w:color="auto"/>
        <w:bottom w:val="none" w:sz="0" w:space="0" w:color="auto"/>
        <w:right w:val="none" w:sz="0" w:space="0" w:color="auto"/>
      </w:divBdr>
    </w:div>
    <w:div w:id="1091047984">
      <w:bodyDiv w:val="1"/>
      <w:marLeft w:val="0"/>
      <w:marRight w:val="0"/>
      <w:marTop w:val="0"/>
      <w:marBottom w:val="0"/>
      <w:divBdr>
        <w:top w:val="none" w:sz="0" w:space="0" w:color="auto"/>
        <w:left w:val="none" w:sz="0" w:space="0" w:color="auto"/>
        <w:bottom w:val="none" w:sz="0" w:space="0" w:color="auto"/>
        <w:right w:val="none" w:sz="0" w:space="0" w:color="auto"/>
      </w:divBdr>
    </w:div>
    <w:div w:id="1096288435">
      <w:bodyDiv w:val="1"/>
      <w:marLeft w:val="0"/>
      <w:marRight w:val="0"/>
      <w:marTop w:val="0"/>
      <w:marBottom w:val="0"/>
      <w:divBdr>
        <w:top w:val="none" w:sz="0" w:space="0" w:color="auto"/>
        <w:left w:val="none" w:sz="0" w:space="0" w:color="auto"/>
        <w:bottom w:val="none" w:sz="0" w:space="0" w:color="auto"/>
        <w:right w:val="none" w:sz="0" w:space="0" w:color="auto"/>
      </w:divBdr>
    </w:div>
    <w:div w:id="1096634466">
      <w:bodyDiv w:val="1"/>
      <w:marLeft w:val="0"/>
      <w:marRight w:val="0"/>
      <w:marTop w:val="0"/>
      <w:marBottom w:val="0"/>
      <w:divBdr>
        <w:top w:val="none" w:sz="0" w:space="0" w:color="auto"/>
        <w:left w:val="none" w:sz="0" w:space="0" w:color="auto"/>
        <w:bottom w:val="none" w:sz="0" w:space="0" w:color="auto"/>
        <w:right w:val="none" w:sz="0" w:space="0" w:color="auto"/>
      </w:divBdr>
    </w:div>
    <w:div w:id="1098064416">
      <w:bodyDiv w:val="1"/>
      <w:marLeft w:val="0"/>
      <w:marRight w:val="0"/>
      <w:marTop w:val="0"/>
      <w:marBottom w:val="0"/>
      <w:divBdr>
        <w:top w:val="none" w:sz="0" w:space="0" w:color="auto"/>
        <w:left w:val="none" w:sz="0" w:space="0" w:color="auto"/>
        <w:bottom w:val="none" w:sz="0" w:space="0" w:color="auto"/>
        <w:right w:val="none" w:sz="0" w:space="0" w:color="auto"/>
      </w:divBdr>
    </w:div>
    <w:div w:id="1099641279">
      <w:bodyDiv w:val="1"/>
      <w:marLeft w:val="0"/>
      <w:marRight w:val="0"/>
      <w:marTop w:val="0"/>
      <w:marBottom w:val="0"/>
      <w:divBdr>
        <w:top w:val="none" w:sz="0" w:space="0" w:color="auto"/>
        <w:left w:val="none" w:sz="0" w:space="0" w:color="auto"/>
        <w:bottom w:val="none" w:sz="0" w:space="0" w:color="auto"/>
        <w:right w:val="none" w:sz="0" w:space="0" w:color="auto"/>
      </w:divBdr>
    </w:div>
    <w:div w:id="1102728445">
      <w:bodyDiv w:val="1"/>
      <w:marLeft w:val="0"/>
      <w:marRight w:val="0"/>
      <w:marTop w:val="0"/>
      <w:marBottom w:val="0"/>
      <w:divBdr>
        <w:top w:val="none" w:sz="0" w:space="0" w:color="auto"/>
        <w:left w:val="none" w:sz="0" w:space="0" w:color="auto"/>
        <w:bottom w:val="none" w:sz="0" w:space="0" w:color="auto"/>
        <w:right w:val="none" w:sz="0" w:space="0" w:color="auto"/>
      </w:divBdr>
    </w:div>
    <w:div w:id="1105080577">
      <w:bodyDiv w:val="1"/>
      <w:marLeft w:val="0"/>
      <w:marRight w:val="0"/>
      <w:marTop w:val="0"/>
      <w:marBottom w:val="0"/>
      <w:divBdr>
        <w:top w:val="none" w:sz="0" w:space="0" w:color="auto"/>
        <w:left w:val="none" w:sz="0" w:space="0" w:color="auto"/>
        <w:bottom w:val="none" w:sz="0" w:space="0" w:color="auto"/>
        <w:right w:val="none" w:sz="0" w:space="0" w:color="auto"/>
      </w:divBdr>
    </w:div>
    <w:div w:id="1107894311">
      <w:bodyDiv w:val="1"/>
      <w:marLeft w:val="0"/>
      <w:marRight w:val="0"/>
      <w:marTop w:val="0"/>
      <w:marBottom w:val="0"/>
      <w:divBdr>
        <w:top w:val="none" w:sz="0" w:space="0" w:color="auto"/>
        <w:left w:val="none" w:sz="0" w:space="0" w:color="auto"/>
        <w:bottom w:val="none" w:sz="0" w:space="0" w:color="auto"/>
        <w:right w:val="none" w:sz="0" w:space="0" w:color="auto"/>
      </w:divBdr>
    </w:div>
    <w:div w:id="1108693683">
      <w:bodyDiv w:val="1"/>
      <w:marLeft w:val="0"/>
      <w:marRight w:val="0"/>
      <w:marTop w:val="0"/>
      <w:marBottom w:val="0"/>
      <w:divBdr>
        <w:top w:val="none" w:sz="0" w:space="0" w:color="auto"/>
        <w:left w:val="none" w:sz="0" w:space="0" w:color="auto"/>
        <w:bottom w:val="none" w:sz="0" w:space="0" w:color="auto"/>
        <w:right w:val="none" w:sz="0" w:space="0" w:color="auto"/>
      </w:divBdr>
    </w:div>
    <w:div w:id="1110275767">
      <w:bodyDiv w:val="1"/>
      <w:marLeft w:val="0"/>
      <w:marRight w:val="0"/>
      <w:marTop w:val="0"/>
      <w:marBottom w:val="0"/>
      <w:divBdr>
        <w:top w:val="none" w:sz="0" w:space="0" w:color="auto"/>
        <w:left w:val="none" w:sz="0" w:space="0" w:color="auto"/>
        <w:bottom w:val="none" w:sz="0" w:space="0" w:color="auto"/>
        <w:right w:val="none" w:sz="0" w:space="0" w:color="auto"/>
      </w:divBdr>
    </w:div>
    <w:div w:id="1115442083">
      <w:bodyDiv w:val="1"/>
      <w:marLeft w:val="0"/>
      <w:marRight w:val="0"/>
      <w:marTop w:val="0"/>
      <w:marBottom w:val="0"/>
      <w:divBdr>
        <w:top w:val="none" w:sz="0" w:space="0" w:color="auto"/>
        <w:left w:val="none" w:sz="0" w:space="0" w:color="auto"/>
        <w:bottom w:val="none" w:sz="0" w:space="0" w:color="auto"/>
        <w:right w:val="none" w:sz="0" w:space="0" w:color="auto"/>
      </w:divBdr>
    </w:div>
    <w:div w:id="1121221257">
      <w:bodyDiv w:val="1"/>
      <w:marLeft w:val="0"/>
      <w:marRight w:val="0"/>
      <w:marTop w:val="0"/>
      <w:marBottom w:val="0"/>
      <w:divBdr>
        <w:top w:val="none" w:sz="0" w:space="0" w:color="auto"/>
        <w:left w:val="none" w:sz="0" w:space="0" w:color="auto"/>
        <w:bottom w:val="none" w:sz="0" w:space="0" w:color="auto"/>
        <w:right w:val="none" w:sz="0" w:space="0" w:color="auto"/>
      </w:divBdr>
    </w:div>
    <w:div w:id="1125000095">
      <w:bodyDiv w:val="1"/>
      <w:marLeft w:val="0"/>
      <w:marRight w:val="0"/>
      <w:marTop w:val="0"/>
      <w:marBottom w:val="0"/>
      <w:divBdr>
        <w:top w:val="none" w:sz="0" w:space="0" w:color="auto"/>
        <w:left w:val="none" w:sz="0" w:space="0" w:color="auto"/>
        <w:bottom w:val="none" w:sz="0" w:space="0" w:color="auto"/>
        <w:right w:val="none" w:sz="0" w:space="0" w:color="auto"/>
      </w:divBdr>
    </w:div>
    <w:div w:id="1158572925">
      <w:bodyDiv w:val="1"/>
      <w:marLeft w:val="0"/>
      <w:marRight w:val="0"/>
      <w:marTop w:val="0"/>
      <w:marBottom w:val="0"/>
      <w:divBdr>
        <w:top w:val="none" w:sz="0" w:space="0" w:color="auto"/>
        <w:left w:val="none" w:sz="0" w:space="0" w:color="auto"/>
        <w:bottom w:val="none" w:sz="0" w:space="0" w:color="auto"/>
        <w:right w:val="none" w:sz="0" w:space="0" w:color="auto"/>
      </w:divBdr>
    </w:div>
    <w:div w:id="1169828557">
      <w:bodyDiv w:val="1"/>
      <w:marLeft w:val="0"/>
      <w:marRight w:val="0"/>
      <w:marTop w:val="0"/>
      <w:marBottom w:val="0"/>
      <w:divBdr>
        <w:top w:val="none" w:sz="0" w:space="0" w:color="auto"/>
        <w:left w:val="none" w:sz="0" w:space="0" w:color="auto"/>
        <w:bottom w:val="none" w:sz="0" w:space="0" w:color="auto"/>
        <w:right w:val="none" w:sz="0" w:space="0" w:color="auto"/>
      </w:divBdr>
    </w:div>
    <w:div w:id="1185944778">
      <w:bodyDiv w:val="1"/>
      <w:marLeft w:val="0"/>
      <w:marRight w:val="0"/>
      <w:marTop w:val="0"/>
      <w:marBottom w:val="0"/>
      <w:divBdr>
        <w:top w:val="none" w:sz="0" w:space="0" w:color="auto"/>
        <w:left w:val="none" w:sz="0" w:space="0" w:color="auto"/>
        <w:bottom w:val="none" w:sz="0" w:space="0" w:color="auto"/>
        <w:right w:val="none" w:sz="0" w:space="0" w:color="auto"/>
      </w:divBdr>
    </w:div>
    <w:div w:id="1187984195">
      <w:bodyDiv w:val="1"/>
      <w:marLeft w:val="0"/>
      <w:marRight w:val="0"/>
      <w:marTop w:val="0"/>
      <w:marBottom w:val="0"/>
      <w:divBdr>
        <w:top w:val="none" w:sz="0" w:space="0" w:color="auto"/>
        <w:left w:val="none" w:sz="0" w:space="0" w:color="auto"/>
        <w:bottom w:val="none" w:sz="0" w:space="0" w:color="auto"/>
        <w:right w:val="none" w:sz="0" w:space="0" w:color="auto"/>
      </w:divBdr>
    </w:div>
    <w:div w:id="1189951305">
      <w:bodyDiv w:val="1"/>
      <w:marLeft w:val="0"/>
      <w:marRight w:val="0"/>
      <w:marTop w:val="0"/>
      <w:marBottom w:val="0"/>
      <w:divBdr>
        <w:top w:val="none" w:sz="0" w:space="0" w:color="auto"/>
        <w:left w:val="none" w:sz="0" w:space="0" w:color="auto"/>
        <w:bottom w:val="none" w:sz="0" w:space="0" w:color="auto"/>
        <w:right w:val="none" w:sz="0" w:space="0" w:color="auto"/>
      </w:divBdr>
    </w:div>
    <w:div w:id="1191800240">
      <w:bodyDiv w:val="1"/>
      <w:marLeft w:val="0"/>
      <w:marRight w:val="0"/>
      <w:marTop w:val="0"/>
      <w:marBottom w:val="0"/>
      <w:divBdr>
        <w:top w:val="none" w:sz="0" w:space="0" w:color="auto"/>
        <w:left w:val="none" w:sz="0" w:space="0" w:color="auto"/>
        <w:bottom w:val="none" w:sz="0" w:space="0" w:color="auto"/>
        <w:right w:val="none" w:sz="0" w:space="0" w:color="auto"/>
      </w:divBdr>
    </w:div>
    <w:div w:id="1193033374">
      <w:bodyDiv w:val="1"/>
      <w:marLeft w:val="0"/>
      <w:marRight w:val="0"/>
      <w:marTop w:val="0"/>
      <w:marBottom w:val="0"/>
      <w:divBdr>
        <w:top w:val="none" w:sz="0" w:space="0" w:color="auto"/>
        <w:left w:val="none" w:sz="0" w:space="0" w:color="auto"/>
        <w:bottom w:val="none" w:sz="0" w:space="0" w:color="auto"/>
        <w:right w:val="none" w:sz="0" w:space="0" w:color="auto"/>
      </w:divBdr>
    </w:div>
    <w:div w:id="1196121244">
      <w:bodyDiv w:val="1"/>
      <w:marLeft w:val="0"/>
      <w:marRight w:val="0"/>
      <w:marTop w:val="0"/>
      <w:marBottom w:val="0"/>
      <w:divBdr>
        <w:top w:val="none" w:sz="0" w:space="0" w:color="auto"/>
        <w:left w:val="none" w:sz="0" w:space="0" w:color="auto"/>
        <w:bottom w:val="none" w:sz="0" w:space="0" w:color="auto"/>
        <w:right w:val="none" w:sz="0" w:space="0" w:color="auto"/>
      </w:divBdr>
    </w:div>
    <w:div w:id="1203441399">
      <w:bodyDiv w:val="1"/>
      <w:marLeft w:val="0"/>
      <w:marRight w:val="0"/>
      <w:marTop w:val="0"/>
      <w:marBottom w:val="0"/>
      <w:divBdr>
        <w:top w:val="none" w:sz="0" w:space="0" w:color="auto"/>
        <w:left w:val="none" w:sz="0" w:space="0" w:color="auto"/>
        <w:bottom w:val="none" w:sz="0" w:space="0" w:color="auto"/>
        <w:right w:val="none" w:sz="0" w:space="0" w:color="auto"/>
      </w:divBdr>
    </w:div>
    <w:div w:id="1207722718">
      <w:bodyDiv w:val="1"/>
      <w:marLeft w:val="0"/>
      <w:marRight w:val="0"/>
      <w:marTop w:val="0"/>
      <w:marBottom w:val="0"/>
      <w:divBdr>
        <w:top w:val="none" w:sz="0" w:space="0" w:color="auto"/>
        <w:left w:val="none" w:sz="0" w:space="0" w:color="auto"/>
        <w:bottom w:val="none" w:sz="0" w:space="0" w:color="auto"/>
        <w:right w:val="none" w:sz="0" w:space="0" w:color="auto"/>
      </w:divBdr>
    </w:div>
    <w:div w:id="1208639809">
      <w:bodyDiv w:val="1"/>
      <w:marLeft w:val="0"/>
      <w:marRight w:val="0"/>
      <w:marTop w:val="0"/>
      <w:marBottom w:val="0"/>
      <w:divBdr>
        <w:top w:val="none" w:sz="0" w:space="0" w:color="auto"/>
        <w:left w:val="none" w:sz="0" w:space="0" w:color="auto"/>
        <w:bottom w:val="none" w:sz="0" w:space="0" w:color="auto"/>
        <w:right w:val="none" w:sz="0" w:space="0" w:color="auto"/>
      </w:divBdr>
    </w:div>
    <w:div w:id="1210996580">
      <w:bodyDiv w:val="1"/>
      <w:marLeft w:val="0"/>
      <w:marRight w:val="0"/>
      <w:marTop w:val="0"/>
      <w:marBottom w:val="0"/>
      <w:divBdr>
        <w:top w:val="none" w:sz="0" w:space="0" w:color="auto"/>
        <w:left w:val="none" w:sz="0" w:space="0" w:color="auto"/>
        <w:bottom w:val="none" w:sz="0" w:space="0" w:color="auto"/>
        <w:right w:val="none" w:sz="0" w:space="0" w:color="auto"/>
      </w:divBdr>
    </w:div>
    <w:div w:id="1212841249">
      <w:bodyDiv w:val="1"/>
      <w:marLeft w:val="0"/>
      <w:marRight w:val="0"/>
      <w:marTop w:val="0"/>
      <w:marBottom w:val="0"/>
      <w:divBdr>
        <w:top w:val="none" w:sz="0" w:space="0" w:color="auto"/>
        <w:left w:val="none" w:sz="0" w:space="0" w:color="auto"/>
        <w:bottom w:val="none" w:sz="0" w:space="0" w:color="auto"/>
        <w:right w:val="none" w:sz="0" w:space="0" w:color="auto"/>
      </w:divBdr>
    </w:div>
    <w:div w:id="1217624985">
      <w:bodyDiv w:val="1"/>
      <w:marLeft w:val="0"/>
      <w:marRight w:val="0"/>
      <w:marTop w:val="0"/>
      <w:marBottom w:val="0"/>
      <w:divBdr>
        <w:top w:val="none" w:sz="0" w:space="0" w:color="auto"/>
        <w:left w:val="none" w:sz="0" w:space="0" w:color="auto"/>
        <w:bottom w:val="none" w:sz="0" w:space="0" w:color="auto"/>
        <w:right w:val="none" w:sz="0" w:space="0" w:color="auto"/>
      </w:divBdr>
    </w:div>
    <w:div w:id="1219125534">
      <w:bodyDiv w:val="1"/>
      <w:marLeft w:val="0"/>
      <w:marRight w:val="0"/>
      <w:marTop w:val="0"/>
      <w:marBottom w:val="0"/>
      <w:divBdr>
        <w:top w:val="none" w:sz="0" w:space="0" w:color="auto"/>
        <w:left w:val="none" w:sz="0" w:space="0" w:color="auto"/>
        <w:bottom w:val="none" w:sz="0" w:space="0" w:color="auto"/>
        <w:right w:val="none" w:sz="0" w:space="0" w:color="auto"/>
      </w:divBdr>
    </w:div>
    <w:div w:id="1228997273">
      <w:bodyDiv w:val="1"/>
      <w:marLeft w:val="0"/>
      <w:marRight w:val="0"/>
      <w:marTop w:val="0"/>
      <w:marBottom w:val="0"/>
      <w:divBdr>
        <w:top w:val="none" w:sz="0" w:space="0" w:color="auto"/>
        <w:left w:val="none" w:sz="0" w:space="0" w:color="auto"/>
        <w:bottom w:val="none" w:sz="0" w:space="0" w:color="auto"/>
        <w:right w:val="none" w:sz="0" w:space="0" w:color="auto"/>
      </w:divBdr>
    </w:div>
    <w:div w:id="1229222932">
      <w:bodyDiv w:val="1"/>
      <w:marLeft w:val="0"/>
      <w:marRight w:val="0"/>
      <w:marTop w:val="0"/>
      <w:marBottom w:val="0"/>
      <w:divBdr>
        <w:top w:val="none" w:sz="0" w:space="0" w:color="auto"/>
        <w:left w:val="none" w:sz="0" w:space="0" w:color="auto"/>
        <w:bottom w:val="none" w:sz="0" w:space="0" w:color="auto"/>
        <w:right w:val="none" w:sz="0" w:space="0" w:color="auto"/>
      </w:divBdr>
    </w:div>
    <w:div w:id="1245914834">
      <w:bodyDiv w:val="1"/>
      <w:marLeft w:val="0"/>
      <w:marRight w:val="0"/>
      <w:marTop w:val="0"/>
      <w:marBottom w:val="0"/>
      <w:divBdr>
        <w:top w:val="none" w:sz="0" w:space="0" w:color="auto"/>
        <w:left w:val="none" w:sz="0" w:space="0" w:color="auto"/>
        <w:bottom w:val="none" w:sz="0" w:space="0" w:color="auto"/>
        <w:right w:val="none" w:sz="0" w:space="0" w:color="auto"/>
      </w:divBdr>
    </w:div>
    <w:div w:id="1248004832">
      <w:bodyDiv w:val="1"/>
      <w:marLeft w:val="0"/>
      <w:marRight w:val="0"/>
      <w:marTop w:val="0"/>
      <w:marBottom w:val="0"/>
      <w:divBdr>
        <w:top w:val="none" w:sz="0" w:space="0" w:color="auto"/>
        <w:left w:val="none" w:sz="0" w:space="0" w:color="auto"/>
        <w:bottom w:val="none" w:sz="0" w:space="0" w:color="auto"/>
        <w:right w:val="none" w:sz="0" w:space="0" w:color="auto"/>
      </w:divBdr>
    </w:div>
    <w:div w:id="1253658458">
      <w:bodyDiv w:val="1"/>
      <w:marLeft w:val="0"/>
      <w:marRight w:val="0"/>
      <w:marTop w:val="0"/>
      <w:marBottom w:val="0"/>
      <w:divBdr>
        <w:top w:val="none" w:sz="0" w:space="0" w:color="auto"/>
        <w:left w:val="none" w:sz="0" w:space="0" w:color="auto"/>
        <w:bottom w:val="none" w:sz="0" w:space="0" w:color="auto"/>
        <w:right w:val="none" w:sz="0" w:space="0" w:color="auto"/>
      </w:divBdr>
    </w:div>
    <w:div w:id="1253781088">
      <w:bodyDiv w:val="1"/>
      <w:marLeft w:val="0"/>
      <w:marRight w:val="0"/>
      <w:marTop w:val="0"/>
      <w:marBottom w:val="0"/>
      <w:divBdr>
        <w:top w:val="none" w:sz="0" w:space="0" w:color="auto"/>
        <w:left w:val="none" w:sz="0" w:space="0" w:color="auto"/>
        <w:bottom w:val="none" w:sz="0" w:space="0" w:color="auto"/>
        <w:right w:val="none" w:sz="0" w:space="0" w:color="auto"/>
      </w:divBdr>
    </w:div>
    <w:div w:id="1256133400">
      <w:bodyDiv w:val="1"/>
      <w:marLeft w:val="0"/>
      <w:marRight w:val="0"/>
      <w:marTop w:val="0"/>
      <w:marBottom w:val="0"/>
      <w:divBdr>
        <w:top w:val="none" w:sz="0" w:space="0" w:color="auto"/>
        <w:left w:val="none" w:sz="0" w:space="0" w:color="auto"/>
        <w:bottom w:val="none" w:sz="0" w:space="0" w:color="auto"/>
        <w:right w:val="none" w:sz="0" w:space="0" w:color="auto"/>
      </w:divBdr>
    </w:div>
    <w:div w:id="1258095518">
      <w:bodyDiv w:val="1"/>
      <w:marLeft w:val="0"/>
      <w:marRight w:val="0"/>
      <w:marTop w:val="0"/>
      <w:marBottom w:val="0"/>
      <w:divBdr>
        <w:top w:val="none" w:sz="0" w:space="0" w:color="auto"/>
        <w:left w:val="none" w:sz="0" w:space="0" w:color="auto"/>
        <w:bottom w:val="none" w:sz="0" w:space="0" w:color="auto"/>
        <w:right w:val="none" w:sz="0" w:space="0" w:color="auto"/>
      </w:divBdr>
    </w:div>
    <w:div w:id="1258708070">
      <w:bodyDiv w:val="1"/>
      <w:marLeft w:val="0"/>
      <w:marRight w:val="0"/>
      <w:marTop w:val="0"/>
      <w:marBottom w:val="0"/>
      <w:divBdr>
        <w:top w:val="none" w:sz="0" w:space="0" w:color="auto"/>
        <w:left w:val="none" w:sz="0" w:space="0" w:color="auto"/>
        <w:bottom w:val="none" w:sz="0" w:space="0" w:color="auto"/>
        <w:right w:val="none" w:sz="0" w:space="0" w:color="auto"/>
      </w:divBdr>
    </w:div>
    <w:div w:id="1265573107">
      <w:bodyDiv w:val="1"/>
      <w:marLeft w:val="0"/>
      <w:marRight w:val="0"/>
      <w:marTop w:val="0"/>
      <w:marBottom w:val="0"/>
      <w:divBdr>
        <w:top w:val="none" w:sz="0" w:space="0" w:color="auto"/>
        <w:left w:val="none" w:sz="0" w:space="0" w:color="auto"/>
        <w:bottom w:val="none" w:sz="0" w:space="0" w:color="auto"/>
        <w:right w:val="none" w:sz="0" w:space="0" w:color="auto"/>
      </w:divBdr>
    </w:div>
    <w:div w:id="1266226037">
      <w:bodyDiv w:val="1"/>
      <w:marLeft w:val="0"/>
      <w:marRight w:val="0"/>
      <w:marTop w:val="0"/>
      <w:marBottom w:val="0"/>
      <w:divBdr>
        <w:top w:val="none" w:sz="0" w:space="0" w:color="auto"/>
        <w:left w:val="none" w:sz="0" w:space="0" w:color="auto"/>
        <w:bottom w:val="none" w:sz="0" w:space="0" w:color="auto"/>
        <w:right w:val="none" w:sz="0" w:space="0" w:color="auto"/>
      </w:divBdr>
    </w:div>
    <w:div w:id="1275333393">
      <w:bodyDiv w:val="1"/>
      <w:marLeft w:val="0"/>
      <w:marRight w:val="0"/>
      <w:marTop w:val="0"/>
      <w:marBottom w:val="0"/>
      <w:divBdr>
        <w:top w:val="none" w:sz="0" w:space="0" w:color="auto"/>
        <w:left w:val="none" w:sz="0" w:space="0" w:color="auto"/>
        <w:bottom w:val="none" w:sz="0" w:space="0" w:color="auto"/>
        <w:right w:val="none" w:sz="0" w:space="0" w:color="auto"/>
      </w:divBdr>
    </w:div>
    <w:div w:id="1277981107">
      <w:bodyDiv w:val="1"/>
      <w:marLeft w:val="0"/>
      <w:marRight w:val="0"/>
      <w:marTop w:val="0"/>
      <w:marBottom w:val="0"/>
      <w:divBdr>
        <w:top w:val="none" w:sz="0" w:space="0" w:color="auto"/>
        <w:left w:val="none" w:sz="0" w:space="0" w:color="auto"/>
        <w:bottom w:val="none" w:sz="0" w:space="0" w:color="auto"/>
        <w:right w:val="none" w:sz="0" w:space="0" w:color="auto"/>
      </w:divBdr>
    </w:div>
    <w:div w:id="1278291878">
      <w:bodyDiv w:val="1"/>
      <w:marLeft w:val="0"/>
      <w:marRight w:val="0"/>
      <w:marTop w:val="0"/>
      <w:marBottom w:val="0"/>
      <w:divBdr>
        <w:top w:val="none" w:sz="0" w:space="0" w:color="auto"/>
        <w:left w:val="none" w:sz="0" w:space="0" w:color="auto"/>
        <w:bottom w:val="none" w:sz="0" w:space="0" w:color="auto"/>
        <w:right w:val="none" w:sz="0" w:space="0" w:color="auto"/>
      </w:divBdr>
    </w:div>
    <w:div w:id="1280377534">
      <w:bodyDiv w:val="1"/>
      <w:marLeft w:val="0"/>
      <w:marRight w:val="0"/>
      <w:marTop w:val="0"/>
      <w:marBottom w:val="0"/>
      <w:divBdr>
        <w:top w:val="none" w:sz="0" w:space="0" w:color="auto"/>
        <w:left w:val="none" w:sz="0" w:space="0" w:color="auto"/>
        <w:bottom w:val="none" w:sz="0" w:space="0" w:color="auto"/>
        <w:right w:val="none" w:sz="0" w:space="0" w:color="auto"/>
      </w:divBdr>
    </w:div>
    <w:div w:id="1292206074">
      <w:bodyDiv w:val="1"/>
      <w:marLeft w:val="0"/>
      <w:marRight w:val="0"/>
      <w:marTop w:val="0"/>
      <w:marBottom w:val="0"/>
      <w:divBdr>
        <w:top w:val="none" w:sz="0" w:space="0" w:color="auto"/>
        <w:left w:val="none" w:sz="0" w:space="0" w:color="auto"/>
        <w:bottom w:val="none" w:sz="0" w:space="0" w:color="auto"/>
        <w:right w:val="none" w:sz="0" w:space="0" w:color="auto"/>
      </w:divBdr>
    </w:div>
    <w:div w:id="1293026152">
      <w:bodyDiv w:val="1"/>
      <w:marLeft w:val="0"/>
      <w:marRight w:val="0"/>
      <w:marTop w:val="0"/>
      <w:marBottom w:val="0"/>
      <w:divBdr>
        <w:top w:val="none" w:sz="0" w:space="0" w:color="auto"/>
        <w:left w:val="none" w:sz="0" w:space="0" w:color="auto"/>
        <w:bottom w:val="none" w:sz="0" w:space="0" w:color="auto"/>
        <w:right w:val="none" w:sz="0" w:space="0" w:color="auto"/>
      </w:divBdr>
    </w:div>
    <w:div w:id="1296568585">
      <w:bodyDiv w:val="1"/>
      <w:marLeft w:val="0"/>
      <w:marRight w:val="0"/>
      <w:marTop w:val="0"/>
      <w:marBottom w:val="0"/>
      <w:divBdr>
        <w:top w:val="none" w:sz="0" w:space="0" w:color="auto"/>
        <w:left w:val="none" w:sz="0" w:space="0" w:color="auto"/>
        <w:bottom w:val="none" w:sz="0" w:space="0" w:color="auto"/>
        <w:right w:val="none" w:sz="0" w:space="0" w:color="auto"/>
      </w:divBdr>
    </w:div>
    <w:div w:id="1298225170">
      <w:bodyDiv w:val="1"/>
      <w:marLeft w:val="0"/>
      <w:marRight w:val="0"/>
      <w:marTop w:val="0"/>
      <w:marBottom w:val="0"/>
      <w:divBdr>
        <w:top w:val="none" w:sz="0" w:space="0" w:color="auto"/>
        <w:left w:val="none" w:sz="0" w:space="0" w:color="auto"/>
        <w:bottom w:val="none" w:sz="0" w:space="0" w:color="auto"/>
        <w:right w:val="none" w:sz="0" w:space="0" w:color="auto"/>
      </w:divBdr>
    </w:div>
    <w:div w:id="1299611084">
      <w:bodyDiv w:val="1"/>
      <w:marLeft w:val="0"/>
      <w:marRight w:val="0"/>
      <w:marTop w:val="0"/>
      <w:marBottom w:val="0"/>
      <w:divBdr>
        <w:top w:val="none" w:sz="0" w:space="0" w:color="auto"/>
        <w:left w:val="none" w:sz="0" w:space="0" w:color="auto"/>
        <w:bottom w:val="none" w:sz="0" w:space="0" w:color="auto"/>
        <w:right w:val="none" w:sz="0" w:space="0" w:color="auto"/>
      </w:divBdr>
    </w:div>
    <w:div w:id="1302730907">
      <w:bodyDiv w:val="1"/>
      <w:marLeft w:val="0"/>
      <w:marRight w:val="0"/>
      <w:marTop w:val="0"/>
      <w:marBottom w:val="0"/>
      <w:divBdr>
        <w:top w:val="none" w:sz="0" w:space="0" w:color="auto"/>
        <w:left w:val="none" w:sz="0" w:space="0" w:color="auto"/>
        <w:bottom w:val="none" w:sz="0" w:space="0" w:color="auto"/>
        <w:right w:val="none" w:sz="0" w:space="0" w:color="auto"/>
      </w:divBdr>
    </w:div>
    <w:div w:id="1305158177">
      <w:bodyDiv w:val="1"/>
      <w:marLeft w:val="0"/>
      <w:marRight w:val="0"/>
      <w:marTop w:val="0"/>
      <w:marBottom w:val="0"/>
      <w:divBdr>
        <w:top w:val="none" w:sz="0" w:space="0" w:color="auto"/>
        <w:left w:val="none" w:sz="0" w:space="0" w:color="auto"/>
        <w:bottom w:val="none" w:sz="0" w:space="0" w:color="auto"/>
        <w:right w:val="none" w:sz="0" w:space="0" w:color="auto"/>
      </w:divBdr>
    </w:div>
    <w:div w:id="1307007773">
      <w:bodyDiv w:val="1"/>
      <w:marLeft w:val="0"/>
      <w:marRight w:val="0"/>
      <w:marTop w:val="0"/>
      <w:marBottom w:val="0"/>
      <w:divBdr>
        <w:top w:val="none" w:sz="0" w:space="0" w:color="auto"/>
        <w:left w:val="none" w:sz="0" w:space="0" w:color="auto"/>
        <w:bottom w:val="none" w:sz="0" w:space="0" w:color="auto"/>
        <w:right w:val="none" w:sz="0" w:space="0" w:color="auto"/>
      </w:divBdr>
    </w:div>
    <w:div w:id="1307659923">
      <w:bodyDiv w:val="1"/>
      <w:marLeft w:val="0"/>
      <w:marRight w:val="0"/>
      <w:marTop w:val="0"/>
      <w:marBottom w:val="0"/>
      <w:divBdr>
        <w:top w:val="none" w:sz="0" w:space="0" w:color="auto"/>
        <w:left w:val="none" w:sz="0" w:space="0" w:color="auto"/>
        <w:bottom w:val="none" w:sz="0" w:space="0" w:color="auto"/>
        <w:right w:val="none" w:sz="0" w:space="0" w:color="auto"/>
      </w:divBdr>
    </w:div>
    <w:div w:id="1314945268">
      <w:bodyDiv w:val="1"/>
      <w:marLeft w:val="0"/>
      <w:marRight w:val="0"/>
      <w:marTop w:val="0"/>
      <w:marBottom w:val="0"/>
      <w:divBdr>
        <w:top w:val="none" w:sz="0" w:space="0" w:color="auto"/>
        <w:left w:val="none" w:sz="0" w:space="0" w:color="auto"/>
        <w:bottom w:val="none" w:sz="0" w:space="0" w:color="auto"/>
        <w:right w:val="none" w:sz="0" w:space="0" w:color="auto"/>
      </w:divBdr>
    </w:div>
    <w:div w:id="1324509143">
      <w:bodyDiv w:val="1"/>
      <w:marLeft w:val="0"/>
      <w:marRight w:val="0"/>
      <w:marTop w:val="0"/>
      <w:marBottom w:val="0"/>
      <w:divBdr>
        <w:top w:val="none" w:sz="0" w:space="0" w:color="auto"/>
        <w:left w:val="none" w:sz="0" w:space="0" w:color="auto"/>
        <w:bottom w:val="none" w:sz="0" w:space="0" w:color="auto"/>
        <w:right w:val="none" w:sz="0" w:space="0" w:color="auto"/>
      </w:divBdr>
    </w:div>
    <w:div w:id="1331835937">
      <w:bodyDiv w:val="1"/>
      <w:marLeft w:val="0"/>
      <w:marRight w:val="0"/>
      <w:marTop w:val="0"/>
      <w:marBottom w:val="0"/>
      <w:divBdr>
        <w:top w:val="none" w:sz="0" w:space="0" w:color="auto"/>
        <w:left w:val="none" w:sz="0" w:space="0" w:color="auto"/>
        <w:bottom w:val="none" w:sz="0" w:space="0" w:color="auto"/>
        <w:right w:val="none" w:sz="0" w:space="0" w:color="auto"/>
      </w:divBdr>
    </w:div>
    <w:div w:id="1335840583">
      <w:bodyDiv w:val="1"/>
      <w:marLeft w:val="0"/>
      <w:marRight w:val="0"/>
      <w:marTop w:val="0"/>
      <w:marBottom w:val="0"/>
      <w:divBdr>
        <w:top w:val="none" w:sz="0" w:space="0" w:color="auto"/>
        <w:left w:val="none" w:sz="0" w:space="0" w:color="auto"/>
        <w:bottom w:val="none" w:sz="0" w:space="0" w:color="auto"/>
        <w:right w:val="none" w:sz="0" w:space="0" w:color="auto"/>
      </w:divBdr>
    </w:div>
    <w:div w:id="1339698829">
      <w:bodyDiv w:val="1"/>
      <w:marLeft w:val="0"/>
      <w:marRight w:val="0"/>
      <w:marTop w:val="0"/>
      <w:marBottom w:val="0"/>
      <w:divBdr>
        <w:top w:val="none" w:sz="0" w:space="0" w:color="auto"/>
        <w:left w:val="none" w:sz="0" w:space="0" w:color="auto"/>
        <w:bottom w:val="none" w:sz="0" w:space="0" w:color="auto"/>
        <w:right w:val="none" w:sz="0" w:space="0" w:color="auto"/>
      </w:divBdr>
    </w:div>
    <w:div w:id="1344892021">
      <w:bodyDiv w:val="1"/>
      <w:marLeft w:val="0"/>
      <w:marRight w:val="0"/>
      <w:marTop w:val="0"/>
      <w:marBottom w:val="0"/>
      <w:divBdr>
        <w:top w:val="none" w:sz="0" w:space="0" w:color="auto"/>
        <w:left w:val="none" w:sz="0" w:space="0" w:color="auto"/>
        <w:bottom w:val="none" w:sz="0" w:space="0" w:color="auto"/>
        <w:right w:val="none" w:sz="0" w:space="0" w:color="auto"/>
      </w:divBdr>
    </w:div>
    <w:div w:id="1356228464">
      <w:bodyDiv w:val="1"/>
      <w:marLeft w:val="0"/>
      <w:marRight w:val="0"/>
      <w:marTop w:val="0"/>
      <w:marBottom w:val="0"/>
      <w:divBdr>
        <w:top w:val="none" w:sz="0" w:space="0" w:color="auto"/>
        <w:left w:val="none" w:sz="0" w:space="0" w:color="auto"/>
        <w:bottom w:val="none" w:sz="0" w:space="0" w:color="auto"/>
        <w:right w:val="none" w:sz="0" w:space="0" w:color="auto"/>
      </w:divBdr>
    </w:div>
    <w:div w:id="1356465630">
      <w:bodyDiv w:val="1"/>
      <w:marLeft w:val="0"/>
      <w:marRight w:val="0"/>
      <w:marTop w:val="0"/>
      <w:marBottom w:val="0"/>
      <w:divBdr>
        <w:top w:val="none" w:sz="0" w:space="0" w:color="auto"/>
        <w:left w:val="none" w:sz="0" w:space="0" w:color="auto"/>
        <w:bottom w:val="none" w:sz="0" w:space="0" w:color="auto"/>
        <w:right w:val="none" w:sz="0" w:space="0" w:color="auto"/>
      </w:divBdr>
    </w:div>
    <w:div w:id="1359771664">
      <w:bodyDiv w:val="1"/>
      <w:marLeft w:val="0"/>
      <w:marRight w:val="0"/>
      <w:marTop w:val="0"/>
      <w:marBottom w:val="0"/>
      <w:divBdr>
        <w:top w:val="none" w:sz="0" w:space="0" w:color="auto"/>
        <w:left w:val="none" w:sz="0" w:space="0" w:color="auto"/>
        <w:bottom w:val="none" w:sz="0" w:space="0" w:color="auto"/>
        <w:right w:val="none" w:sz="0" w:space="0" w:color="auto"/>
      </w:divBdr>
    </w:div>
    <w:div w:id="1369060475">
      <w:bodyDiv w:val="1"/>
      <w:marLeft w:val="0"/>
      <w:marRight w:val="0"/>
      <w:marTop w:val="0"/>
      <w:marBottom w:val="0"/>
      <w:divBdr>
        <w:top w:val="none" w:sz="0" w:space="0" w:color="auto"/>
        <w:left w:val="none" w:sz="0" w:space="0" w:color="auto"/>
        <w:bottom w:val="none" w:sz="0" w:space="0" w:color="auto"/>
        <w:right w:val="none" w:sz="0" w:space="0" w:color="auto"/>
      </w:divBdr>
    </w:div>
    <w:div w:id="1372615290">
      <w:bodyDiv w:val="1"/>
      <w:marLeft w:val="0"/>
      <w:marRight w:val="0"/>
      <w:marTop w:val="0"/>
      <w:marBottom w:val="0"/>
      <w:divBdr>
        <w:top w:val="none" w:sz="0" w:space="0" w:color="auto"/>
        <w:left w:val="none" w:sz="0" w:space="0" w:color="auto"/>
        <w:bottom w:val="none" w:sz="0" w:space="0" w:color="auto"/>
        <w:right w:val="none" w:sz="0" w:space="0" w:color="auto"/>
      </w:divBdr>
    </w:div>
    <w:div w:id="1373072720">
      <w:bodyDiv w:val="1"/>
      <w:marLeft w:val="0"/>
      <w:marRight w:val="0"/>
      <w:marTop w:val="0"/>
      <w:marBottom w:val="0"/>
      <w:divBdr>
        <w:top w:val="none" w:sz="0" w:space="0" w:color="auto"/>
        <w:left w:val="none" w:sz="0" w:space="0" w:color="auto"/>
        <w:bottom w:val="none" w:sz="0" w:space="0" w:color="auto"/>
        <w:right w:val="none" w:sz="0" w:space="0" w:color="auto"/>
      </w:divBdr>
    </w:div>
    <w:div w:id="1377968720">
      <w:bodyDiv w:val="1"/>
      <w:marLeft w:val="0"/>
      <w:marRight w:val="0"/>
      <w:marTop w:val="0"/>
      <w:marBottom w:val="0"/>
      <w:divBdr>
        <w:top w:val="none" w:sz="0" w:space="0" w:color="auto"/>
        <w:left w:val="none" w:sz="0" w:space="0" w:color="auto"/>
        <w:bottom w:val="none" w:sz="0" w:space="0" w:color="auto"/>
        <w:right w:val="none" w:sz="0" w:space="0" w:color="auto"/>
      </w:divBdr>
    </w:div>
    <w:div w:id="1383023202">
      <w:bodyDiv w:val="1"/>
      <w:marLeft w:val="0"/>
      <w:marRight w:val="0"/>
      <w:marTop w:val="0"/>
      <w:marBottom w:val="0"/>
      <w:divBdr>
        <w:top w:val="none" w:sz="0" w:space="0" w:color="auto"/>
        <w:left w:val="none" w:sz="0" w:space="0" w:color="auto"/>
        <w:bottom w:val="none" w:sz="0" w:space="0" w:color="auto"/>
        <w:right w:val="none" w:sz="0" w:space="0" w:color="auto"/>
      </w:divBdr>
    </w:div>
    <w:div w:id="1383558442">
      <w:bodyDiv w:val="1"/>
      <w:marLeft w:val="0"/>
      <w:marRight w:val="0"/>
      <w:marTop w:val="0"/>
      <w:marBottom w:val="0"/>
      <w:divBdr>
        <w:top w:val="none" w:sz="0" w:space="0" w:color="auto"/>
        <w:left w:val="none" w:sz="0" w:space="0" w:color="auto"/>
        <w:bottom w:val="none" w:sz="0" w:space="0" w:color="auto"/>
        <w:right w:val="none" w:sz="0" w:space="0" w:color="auto"/>
      </w:divBdr>
    </w:div>
    <w:div w:id="1387485608">
      <w:bodyDiv w:val="1"/>
      <w:marLeft w:val="0"/>
      <w:marRight w:val="0"/>
      <w:marTop w:val="0"/>
      <w:marBottom w:val="0"/>
      <w:divBdr>
        <w:top w:val="none" w:sz="0" w:space="0" w:color="auto"/>
        <w:left w:val="none" w:sz="0" w:space="0" w:color="auto"/>
        <w:bottom w:val="none" w:sz="0" w:space="0" w:color="auto"/>
        <w:right w:val="none" w:sz="0" w:space="0" w:color="auto"/>
      </w:divBdr>
    </w:div>
    <w:div w:id="1387529734">
      <w:bodyDiv w:val="1"/>
      <w:marLeft w:val="0"/>
      <w:marRight w:val="0"/>
      <w:marTop w:val="0"/>
      <w:marBottom w:val="0"/>
      <w:divBdr>
        <w:top w:val="none" w:sz="0" w:space="0" w:color="auto"/>
        <w:left w:val="none" w:sz="0" w:space="0" w:color="auto"/>
        <w:bottom w:val="none" w:sz="0" w:space="0" w:color="auto"/>
        <w:right w:val="none" w:sz="0" w:space="0" w:color="auto"/>
      </w:divBdr>
    </w:div>
    <w:div w:id="1388455691">
      <w:bodyDiv w:val="1"/>
      <w:marLeft w:val="0"/>
      <w:marRight w:val="0"/>
      <w:marTop w:val="0"/>
      <w:marBottom w:val="0"/>
      <w:divBdr>
        <w:top w:val="none" w:sz="0" w:space="0" w:color="auto"/>
        <w:left w:val="none" w:sz="0" w:space="0" w:color="auto"/>
        <w:bottom w:val="none" w:sz="0" w:space="0" w:color="auto"/>
        <w:right w:val="none" w:sz="0" w:space="0" w:color="auto"/>
      </w:divBdr>
    </w:div>
    <w:div w:id="1392846678">
      <w:bodyDiv w:val="1"/>
      <w:marLeft w:val="0"/>
      <w:marRight w:val="0"/>
      <w:marTop w:val="0"/>
      <w:marBottom w:val="0"/>
      <w:divBdr>
        <w:top w:val="none" w:sz="0" w:space="0" w:color="auto"/>
        <w:left w:val="none" w:sz="0" w:space="0" w:color="auto"/>
        <w:bottom w:val="none" w:sz="0" w:space="0" w:color="auto"/>
        <w:right w:val="none" w:sz="0" w:space="0" w:color="auto"/>
      </w:divBdr>
    </w:div>
    <w:div w:id="1398164953">
      <w:bodyDiv w:val="1"/>
      <w:marLeft w:val="0"/>
      <w:marRight w:val="0"/>
      <w:marTop w:val="0"/>
      <w:marBottom w:val="0"/>
      <w:divBdr>
        <w:top w:val="none" w:sz="0" w:space="0" w:color="auto"/>
        <w:left w:val="none" w:sz="0" w:space="0" w:color="auto"/>
        <w:bottom w:val="none" w:sz="0" w:space="0" w:color="auto"/>
        <w:right w:val="none" w:sz="0" w:space="0" w:color="auto"/>
      </w:divBdr>
    </w:div>
    <w:div w:id="1399598132">
      <w:bodyDiv w:val="1"/>
      <w:marLeft w:val="0"/>
      <w:marRight w:val="0"/>
      <w:marTop w:val="0"/>
      <w:marBottom w:val="0"/>
      <w:divBdr>
        <w:top w:val="none" w:sz="0" w:space="0" w:color="auto"/>
        <w:left w:val="none" w:sz="0" w:space="0" w:color="auto"/>
        <w:bottom w:val="none" w:sz="0" w:space="0" w:color="auto"/>
        <w:right w:val="none" w:sz="0" w:space="0" w:color="auto"/>
      </w:divBdr>
    </w:div>
    <w:div w:id="1400207076">
      <w:bodyDiv w:val="1"/>
      <w:marLeft w:val="0"/>
      <w:marRight w:val="0"/>
      <w:marTop w:val="0"/>
      <w:marBottom w:val="0"/>
      <w:divBdr>
        <w:top w:val="none" w:sz="0" w:space="0" w:color="auto"/>
        <w:left w:val="none" w:sz="0" w:space="0" w:color="auto"/>
        <w:bottom w:val="none" w:sz="0" w:space="0" w:color="auto"/>
        <w:right w:val="none" w:sz="0" w:space="0" w:color="auto"/>
      </w:divBdr>
    </w:div>
    <w:div w:id="1400593012">
      <w:bodyDiv w:val="1"/>
      <w:marLeft w:val="0"/>
      <w:marRight w:val="0"/>
      <w:marTop w:val="0"/>
      <w:marBottom w:val="0"/>
      <w:divBdr>
        <w:top w:val="none" w:sz="0" w:space="0" w:color="auto"/>
        <w:left w:val="none" w:sz="0" w:space="0" w:color="auto"/>
        <w:bottom w:val="none" w:sz="0" w:space="0" w:color="auto"/>
        <w:right w:val="none" w:sz="0" w:space="0" w:color="auto"/>
      </w:divBdr>
    </w:div>
    <w:div w:id="1401908508">
      <w:bodyDiv w:val="1"/>
      <w:marLeft w:val="0"/>
      <w:marRight w:val="0"/>
      <w:marTop w:val="0"/>
      <w:marBottom w:val="0"/>
      <w:divBdr>
        <w:top w:val="none" w:sz="0" w:space="0" w:color="auto"/>
        <w:left w:val="none" w:sz="0" w:space="0" w:color="auto"/>
        <w:bottom w:val="none" w:sz="0" w:space="0" w:color="auto"/>
        <w:right w:val="none" w:sz="0" w:space="0" w:color="auto"/>
      </w:divBdr>
    </w:div>
    <w:div w:id="1403604297">
      <w:bodyDiv w:val="1"/>
      <w:marLeft w:val="0"/>
      <w:marRight w:val="0"/>
      <w:marTop w:val="0"/>
      <w:marBottom w:val="0"/>
      <w:divBdr>
        <w:top w:val="none" w:sz="0" w:space="0" w:color="auto"/>
        <w:left w:val="none" w:sz="0" w:space="0" w:color="auto"/>
        <w:bottom w:val="none" w:sz="0" w:space="0" w:color="auto"/>
        <w:right w:val="none" w:sz="0" w:space="0" w:color="auto"/>
      </w:divBdr>
    </w:div>
    <w:div w:id="1410924648">
      <w:bodyDiv w:val="1"/>
      <w:marLeft w:val="0"/>
      <w:marRight w:val="0"/>
      <w:marTop w:val="0"/>
      <w:marBottom w:val="0"/>
      <w:divBdr>
        <w:top w:val="none" w:sz="0" w:space="0" w:color="auto"/>
        <w:left w:val="none" w:sz="0" w:space="0" w:color="auto"/>
        <w:bottom w:val="none" w:sz="0" w:space="0" w:color="auto"/>
        <w:right w:val="none" w:sz="0" w:space="0" w:color="auto"/>
      </w:divBdr>
    </w:div>
    <w:div w:id="1412922005">
      <w:bodyDiv w:val="1"/>
      <w:marLeft w:val="0"/>
      <w:marRight w:val="0"/>
      <w:marTop w:val="0"/>
      <w:marBottom w:val="0"/>
      <w:divBdr>
        <w:top w:val="none" w:sz="0" w:space="0" w:color="auto"/>
        <w:left w:val="none" w:sz="0" w:space="0" w:color="auto"/>
        <w:bottom w:val="none" w:sz="0" w:space="0" w:color="auto"/>
        <w:right w:val="none" w:sz="0" w:space="0" w:color="auto"/>
      </w:divBdr>
    </w:div>
    <w:div w:id="1413546243">
      <w:bodyDiv w:val="1"/>
      <w:marLeft w:val="0"/>
      <w:marRight w:val="0"/>
      <w:marTop w:val="0"/>
      <w:marBottom w:val="0"/>
      <w:divBdr>
        <w:top w:val="none" w:sz="0" w:space="0" w:color="auto"/>
        <w:left w:val="none" w:sz="0" w:space="0" w:color="auto"/>
        <w:bottom w:val="none" w:sz="0" w:space="0" w:color="auto"/>
        <w:right w:val="none" w:sz="0" w:space="0" w:color="auto"/>
      </w:divBdr>
    </w:div>
    <w:div w:id="1421288830">
      <w:bodyDiv w:val="1"/>
      <w:marLeft w:val="0"/>
      <w:marRight w:val="0"/>
      <w:marTop w:val="0"/>
      <w:marBottom w:val="0"/>
      <w:divBdr>
        <w:top w:val="none" w:sz="0" w:space="0" w:color="auto"/>
        <w:left w:val="none" w:sz="0" w:space="0" w:color="auto"/>
        <w:bottom w:val="none" w:sz="0" w:space="0" w:color="auto"/>
        <w:right w:val="none" w:sz="0" w:space="0" w:color="auto"/>
      </w:divBdr>
    </w:div>
    <w:div w:id="1421562320">
      <w:bodyDiv w:val="1"/>
      <w:marLeft w:val="0"/>
      <w:marRight w:val="0"/>
      <w:marTop w:val="0"/>
      <w:marBottom w:val="0"/>
      <w:divBdr>
        <w:top w:val="none" w:sz="0" w:space="0" w:color="auto"/>
        <w:left w:val="none" w:sz="0" w:space="0" w:color="auto"/>
        <w:bottom w:val="none" w:sz="0" w:space="0" w:color="auto"/>
        <w:right w:val="none" w:sz="0" w:space="0" w:color="auto"/>
      </w:divBdr>
    </w:div>
    <w:div w:id="1428502524">
      <w:bodyDiv w:val="1"/>
      <w:marLeft w:val="0"/>
      <w:marRight w:val="0"/>
      <w:marTop w:val="0"/>
      <w:marBottom w:val="0"/>
      <w:divBdr>
        <w:top w:val="none" w:sz="0" w:space="0" w:color="auto"/>
        <w:left w:val="none" w:sz="0" w:space="0" w:color="auto"/>
        <w:bottom w:val="none" w:sz="0" w:space="0" w:color="auto"/>
        <w:right w:val="none" w:sz="0" w:space="0" w:color="auto"/>
      </w:divBdr>
    </w:div>
    <w:div w:id="1429277469">
      <w:bodyDiv w:val="1"/>
      <w:marLeft w:val="0"/>
      <w:marRight w:val="0"/>
      <w:marTop w:val="0"/>
      <w:marBottom w:val="0"/>
      <w:divBdr>
        <w:top w:val="none" w:sz="0" w:space="0" w:color="auto"/>
        <w:left w:val="none" w:sz="0" w:space="0" w:color="auto"/>
        <w:bottom w:val="none" w:sz="0" w:space="0" w:color="auto"/>
        <w:right w:val="none" w:sz="0" w:space="0" w:color="auto"/>
      </w:divBdr>
    </w:div>
    <w:div w:id="1430851599">
      <w:bodyDiv w:val="1"/>
      <w:marLeft w:val="0"/>
      <w:marRight w:val="0"/>
      <w:marTop w:val="0"/>
      <w:marBottom w:val="0"/>
      <w:divBdr>
        <w:top w:val="none" w:sz="0" w:space="0" w:color="auto"/>
        <w:left w:val="none" w:sz="0" w:space="0" w:color="auto"/>
        <w:bottom w:val="none" w:sz="0" w:space="0" w:color="auto"/>
        <w:right w:val="none" w:sz="0" w:space="0" w:color="auto"/>
      </w:divBdr>
    </w:div>
    <w:div w:id="1442456895">
      <w:bodyDiv w:val="1"/>
      <w:marLeft w:val="0"/>
      <w:marRight w:val="0"/>
      <w:marTop w:val="0"/>
      <w:marBottom w:val="0"/>
      <w:divBdr>
        <w:top w:val="none" w:sz="0" w:space="0" w:color="auto"/>
        <w:left w:val="none" w:sz="0" w:space="0" w:color="auto"/>
        <w:bottom w:val="none" w:sz="0" w:space="0" w:color="auto"/>
        <w:right w:val="none" w:sz="0" w:space="0" w:color="auto"/>
      </w:divBdr>
    </w:div>
    <w:div w:id="1446969963">
      <w:bodyDiv w:val="1"/>
      <w:marLeft w:val="0"/>
      <w:marRight w:val="0"/>
      <w:marTop w:val="0"/>
      <w:marBottom w:val="0"/>
      <w:divBdr>
        <w:top w:val="none" w:sz="0" w:space="0" w:color="auto"/>
        <w:left w:val="none" w:sz="0" w:space="0" w:color="auto"/>
        <w:bottom w:val="none" w:sz="0" w:space="0" w:color="auto"/>
        <w:right w:val="none" w:sz="0" w:space="0" w:color="auto"/>
      </w:divBdr>
    </w:div>
    <w:div w:id="1448356616">
      <w:bodyDiv w:val="1"/>
      <w:marLeft w:val="0"/>
      <w:marRight w:val="0"/>
      <w:marTop w:val="0"/>
      <w:marBottom w:val="0"/>
      <w:divBdr>
        <w:top w:val="none" w:sz="0" w:space="0" w:color="auto"/>
        <w:left w:val="none" w:sz="0" w:space="0" w:color="auto"/>
        <w:bottom w:val="none" w:sz="0" w:space="0" w:color="auto"/>
        <w:right w:val="none" w:sz="0" w:space="0" w:color="auto"/>
      </w:divBdr>
    </w:div>
    <w:div w:id="1449351142">
      <w:bodyDiv w:val="1"/>
      <w:marLeft w:val="0"/>
      <w:marRight w:val="0"/>
      <w:marTop w:val="0"/>
      <w:marBottom w:val="0"/>
      <w:divBdr>
        <w:top w:val="none" w:sz="0" w:space="0" w:color="auto"/>
        <w:left w:val="none" w:sz="0" w:space="0" w:color="auto"/>
        <w:bottom w:val="none" w:sz="0" w:space="0" w:color="auto"/>
        <w:right w:val="none" w:sz="0" w:space="0" w:color="auto"/>
      </w:divBdr>
    </w:div>
    <w:div w:id="1449734276">
      <w:bodyDiv w:val="1"/>
      <w:marLeft w:val="0"/>
      <w:marRight w:val="0"/>
      <w:marTop w:val="0"/>
      <w:marBottom w:val="0"/>
      <w:divBdr>
        <w:top w:val="none" w:sz="0" w:space="0" w:color="auto"/>
        <w:left w:val="none" w:sz="0" w:space="0" w:color="auto"/>
        <w:bottom w:val="none" w:sz="0" w:space="0" w:color="auto"/>
        <w:right w:val="none" w:sz="0" w:space="0" w:color="auto"/>
      </w:divBdr>
    </w:div>
    <w:div w:id="1451052116">
      <w:bodyDiv w:val="1"/>
      <w:marLeft w:val="0"/>
      <w:marRight w:val="0"/>
      <w:marTop w:val="0"/>
      <w:marBottom w:val="0"/>
      <w:divBdr>
        <w:top w:val="none" w:sz="0" w:space="0" w:color="auto"/>
        <w:left w:val="none" w:sz="0" w:space="0" w:color="auto"/>
        <w:bottom w:val="none" w:sz="0" w:space="0" w:color="auto"/>
        <w:right w:val="none" w:sz="0" w:space="0" w:color="auto"/>
      </w:divBdr>
    </w:div>
    <w:div w:id="1451515394">
      <w:bodyDiv w:val="1"/>
      <w:marLeft w:val="0"/>
      <w:marRight w:val="0"/>
      <w:marTop w:val="0"/>
      <w:marBottom w:val="0"/>
      <w:divBdr>
        <w:top w:val="none" w:sz="0" w:space="0" w:color="auto"/>
        <w:left w:val="none" w:sz="0" w:space="0" w:color="auto"/>
        <w:bottom w:val="none" w:sz="0" w:space="0" w:color="auto"/>
        <w:right w:val="none" w:sz="0" w:space="0" w:color="auto"/>
      </w:divBdr>
    </w:div>
    <w:div w:id="1453480813">
      <w:bodyDiv w:val="1"/>
      <w:marLeft w:val="0"/>
      <w:marRight w:val="0"/>
      <w:marTop w:val="0"/>
      <w:marBottom w:val="0"/>
      <w:divBdr>
        <w:top w:val="none" w:sz="0" w:space="0" w:color="auto"/>
        <w:left w:val="none" w:sz="0" w:space="0" w:color="auto"/>
        <w:bottom w:val="none" w:sz="0" w:space="0" w:color="auto"/>
        <w:right w:val="none" w:sz="0" w:space="0" w:color="auto"/>
      </w:divBdr>
    </w:div>
    <w:div w:id="1461417354">
      <w:bodyDiv w:val="1"/>
      <w:marLeft w:val="0"/>
      <w:marRight w:val="0"/>
      <w:marTop w:val="0"/>
      <w:marBottom w:val="0"/>
      <w:divBdr>
        <w:top w:val="none" w:sz="0" w:space="0" w:color="auto"/>
        <w:left w:val="none" w:sz="0" w:space="0" w:color="auto"/>
        <w:bottom w:val="none" w:sz="0" w:space="0" w:color="auto"/>
        <w:right w:val="none" w:sz="0" w:space="0" w:color="auto"/>
      </w:divBdr>
    </w:div>
    <w:div w:id="1463039060">
      <w:bodyDiv w:val="1"/>
      <w:marLeft w:val="0"/>
      <w:marRight w:val="0"/>
      <w:marTop w:val="0"/>
      <w:marBottom w:val="0"/>
      <w:divBdr>
        <w:top w:val="none" w:sz="0" w:space="0" w:color="auto"/>
        <w:left w:val="none" w:sz="0" w:space="0" w:color="auto"/>
        <w:bottom w:val="none" w:sz="0" w:space="0" w:color="auto"/>
        <w:right w:val="none" w:sz="0" w:space="0" w:color="auto"/>
      </w:divBdr>
    </w:div>
    <w:div w:id="1464693633">
      <w:bodyDiv w:val="1"/>
      <w:marLeft w:val="0"/>
      <w:marRight w:val="0"/>
      <w:marTop w:val="0"/>
      <w:marBottom w:val="0"/>
      <w:divBdr>
        <w:top w:val="none" w:sz="0" w:space="0" w:color="auto"/>
        <w:left w:val="none" w:sz="0" w:space="0" w:color="auto"/>
        <w:bottom w:val="none" w:sz="0" w:space="0" w:color="auto"/>
        <w:right w:val="none" w:sz="0" w:space="0" w:color="auto"/>
      </w:divBdr>
    </w:div>
    <w:div w:id="1474904006">
      <w:bodyDiv w:val="1"/>
      <w:marLeft w:val="0"/>
      <w:marRight w:val="0"/>
      <w:marTop w:val="0"/>
      <w:marBottom w:val="0"/>
      <w:divBdr>
        <w:top w:val="none" w:sz="0" w:space="0" w:color="auto"/>
        <w:left w:val="none" w:sz="0" w:space="0" w:color="auto"/>
        <w:bottom w:val="none" w:sz="0" w:space="0" w:color="auto"/>
        <w:right w:val="none" w:sz="0" w:space="0" w:color="auto"/>
      </w:divBdr>
    </w:div>
    <w:div w:id="1475945403">
      <w:bodyDiv w:val="1"/>
      <w:marLeft w:val="0"/>
      <w:marRight w:val="0"/>
      <w:marTop w:val="0"/>
      <w:marBottom w:val="0"/>
      <w:divBdr>
        <w:top w:val="none" w:sz="0" w:space="0" w:color="auto"/>
        <w:left w:val="none" w:sz="0" w:space="0" w:color="auto"/>
        <w:bottom w:val="none" w:sz="0" w:space="0" w:color="auto"/>
        <w:right w:val="none" w:sz="0" w:space="0" w:color="auto"/>
      </w:divBdr>
    </w:div>
    <w:div w:id="1480726362">
      <w:bodyDiv w:val="1"/>
      <w:marLeft w:val="0"/>
      <w:marRight w:val="0"/>
      <w:marTop w:val="0"/>
      <w:marBottom w:val="0"/>
      <w:divBdr>
        <w:top w:val="none" w:sz="0" w:space="0" w:color="auto"/>
        <w:left w:val="none" w:sz="0" w:space="0" w:color="auto"/>
        <w:bottom w:val="none" w:sz="0" w:space="0" w:color="auto"/>
        <w:right w:val="none" w:sz="0" w:space="0" w:color="auto"/>
      </w:divBdr>
    </w:div>
    <w:div w:id="1486094519">
      <w:bodyDiv w:val="1"/>
      <w:marLeft w:val="0"/>
      <w:marRight w:val="0"/>
      <w:marTop w:val="0"/>
      <w:marBottom w:val="0"/>
      <w:divBdr>
        <w:top w:val="none" w:sz="0" w:space="0" w:color="auto"/>
        <w:left w:val="none" w:sz="0" w:space="0" w:color="auto"/>
        <w:bottom w:val="none" w:sz="0" w:space="0" w:color="auto"/>
        <w:right w:val="none" w:sz="0" w:space="0" w:color="auto"/>
      </w:divBdr>
    </w:div>
    <w:div w:id="1486118704">
      <w:bodyDiv w:val="1"/>
      <w:marLeft w:val="0"/>
      <w:marRight w:val="0"/>
      <w:marTop w:val="0"/>
      <w:marBottom w:val="0"/>
      <w:divBdr>
        <w:top w:val="none" w:sz="0" w:space="0" w:color="auto"/>
        <w:left w:val="none" w:sz="0" w:space="0" w:color="auto"/>
        <w:bottom w:val="none" w:sz="0" w:space="0" w:color="auto"/>
        <w:right w:val="none" w:sz="0" w:space="0" w:color="auto"/>
      </w:divBdr>
    </w:div>
    <w:div w:id="1488395424">
      <w:bodyDiv w:val="1"/>
      <w:marLeft w:val="0"/>
      <w:marRight w:val="0"/>
      <w:marTop w:val="0"/>
      <w:marBottom w:val="0"/>
      <w:divBdr>
        <w:top w:val="none" w:sz="0" w:space="0" w:color="auto"/>
        <w:left w:val="none" w:sz="0" w:space="0" w:color="auto"/>
        <w:bottom w:val="none" w:sz="0" w:space="0" w:color="auto"/>
        <w:right w:val="none" w:sz="0" w:space="0" w:color="auto"/>
      </w:divBdr>
    </w:div>
    <w:div w:id="1490442739">
      <w:bodyDiv w:val="1"/>
      <w:marLeft w:val="0"/>
      <w:marRight w:val="0"/>
      <w:marTop w:val="0"/>
      <w:marBottom w:val="0"/>
      <w:divBdr>
        <w:top w:val="none" w:sz="0" w:space="0" w:color="auto"/>
        <w:left w:val="none" w:sz="0" w:space="0" w:color="auto"/>
        <w:bottom w:val="none" w:sz="0" w:space="0" w:color="auto"/>
        <w:right w:val="none" w:sz="0" w:space="0" w:color="auto"/>
      </w:divBdr>
    </w:div>
    <w:div w:id="1491365766">
      <w:bodyDiv w:val="1"/>
      <w:marLeft w:val="0"/>
      <w:marRight w:val="0"/>
      <w:marTop w:val="0"/>
      <w:marBottom w:val="0"/>
      <w:divBdr>
        <w:top w:val="none" w:sz="0" w:space="0" w:color="auto"/>
        <w:left w:val="none" w:sz="0" w:space="0" w:color="auto"/>
        <w:bottom w:val="none" w:sz="0" w:space="0" w:color="auto"/>
        <w:right w:val="none" w:sz="0" w:space="0" w:color="auto"/>
      </w:divBdr>
    </w:div>
    <w:div w:id="1497382712">
      <w:bodyDiv w:val="1"/>
      <w:marLeft w:val="0"/>
      <w:marRight w:val="0"/>
      <w:marTop w:val="0"/>
      <w:marBottom w:val="0"/>
      <w:divBdr>
        <w:top w:val="none" w:sz="0" w:space="0" w:color="auto"/>
        <w:left w:val="none" w:sz="0" w:space="0" w:color="auto"/>
        <w:bottom w:val="none" w:sz="0" w:space="0" w:color="auto"/>
        <w:right w:val="none" w:sz="0" w:space="0" w:color="auto"/>
      </w:divBdr>
    </w:div>
    <w:div w:id="1499077485">
      <w:bodyDiv w:val="1"/>
      <w:marLeft w:val="0"/>
      <w:marRight w:val="0"/>
      <w:marTop w:val="0"/>
      <w:marBottom w:val="0"/>
      <w:divBdr>
        <w:top w:val="none" w:sz="0" w:space="0" w:color="auto"/>
        <w:left w:val="none" w:sz="0" w:space="0" w:color="auto"/>
        <w:bottom w:val="none" w:sz="0" w:space="0" w:color="auto"/>
        <w:right w:val="none" w:sz="0" w:space="0" w:color="auto"/>
      </w:divBdr>
    </w:div>
    <w:div w:id="1499807562">
      <w:bodyDiv w:val="1"/>
      <w:marLeft w:val="0"/>
      <w:marRight w:val="0"/>
      <w:marTop w:val="0"/>
      <w:marBottom w:val="0"/>
      <w:divBdr>
        <w:top w:val="none" w:sz="0" w:space="0" w:color="auto"/>
        <w:left w:val="none" w:sz="0" w:space="0" w:color="auto"/>
        <w:bottom w:val="none" w:sz="0" w:space="0" w:color="auto"/>
        <w:right w:val="none" w:sz="0" w:space="0" w:color="auto"/>
      </w:divBdr>
    </w:div>
    <w:div w:id="1503426367">
      <w:bodyDiv w:val="1"/>
      <w:marLeft w:val="0"/>
      <w:marRight w:val="0"/>
      <w:marTop w:val="0"/>
      <w:marBottom w:val="0"/>
      <w:divBdr>
        <w:top w:val="none" w:sz="0" w:space="0" w:color="auto"/>
        <w:left w:val="none" w:sz="0" w:space="0" w:color="auto"/>
        <w:bottom w:val="none" w:sz="0" w:space="0" w:color="auto"/>
        <w:right w:val="none" w:sz="0" w:space="0" w:color="auto"/>
      </w:divBdr>
    </w:div>
    <w:div w:id="1509251882">
      <w:bodyDiv w:val="1"/>
      <w:marLeft w:val="0"/>
      <w:marRight w:val="0"/>
      <w:marTop w:val="0"/>
      <w:marBottom w:val="0"/>
      <w:divBdr>
        <w:top w:val="none" w:sz="0" w:space="0" w:color="auto"/>
        <w:left w:val="none" w:sz="0" w:space="0" w:color="auto"/>
        <w:bottom w:val="none" w:sz="0" w:space="0" w:color="auto"/>
        <w:right w:val="none" w:sz="0" w:space="0" w:color="auto"/>
      </w:divBdr>
    </w:div>
    <w:div w:id="1510949452">
      <w:bodyDiv w:val="1"/>
      <w:marLeft w:val="0"/>
      <w:marRight w:val="0"/>
      <w:marTop w:val="0"/>
      <w:marBottom w:val="0"/>
      <w:divBdr>
        <w:top w:val="none" w:sz="0" w:space="0" w:color="auto"/>
        <w:left w:val="none" w:sz="0" w:space="0" w:color="auto"/>
        <w:bottom w:val="none" w:sz="0" w:space="0" w:color="auto"/>
        <w:right w:val="none" w:sz="0" w:space="0" w:color="auto"/>
      </w:divBdr>
    </w:div>
    <w:div w:id="1512796428">
      <w:bodyDiv w:val="1"/>
      <w:marLeft w:val="0"/>
      <w:marRight w:val="0"/>
      <w:marTop w:val="0"/>
      <w:marBottom w:val="0"/>
      <w:divBdr>
        <w:top w:val="none" w:sz="0" w:space="0" w:color="auto"/>
        <w:left w:val="none" w:sz="0" w:space="0" w:color="auto"/>
        <w:bottom w:val="none" w:sz="0" w:space="0" w:color="auto"/>
        <w:right w:val="none" w:sz="0" w:space="0" w:color="auto"/>
      </w:divBdr>
    </w:div>
    <w:div w:id="1513110499">
      <w:bodyDiv w:val="1"/>
      <w:marLeft w:val="0"/>
      <w:marRight w:val="0"/>
      <w:marTop w:val="0"/>
      <w:marBottom w:val="0"/>
      <w:divBdr>
        <w:top w:val="none" w:sz="0" w:space="0" w:color="auto"/>
        <w:left w:val="none" w:sz="0" w:space="0" w:color="auto"/>
        <w:bottom w:val="none" w:sz="0" w:space="0" w:color="auto"/>
        <w:right w:val="none" w:sz="0" w:space="0" w:color="auto"/>
      </w:divBdr>
    </w:div>
    <w:div w:id="1521167098">
      <w:bodyDiv w:val="1"/>
      <w:marLeft w:val="0"/>
      <w:marRight w:val="0"/>
      <w:marTop w:val="0"/>
      <w:marBottom w:val="0"/>
      <w:divBdr>
        <w:top w:val="none" w:sz="0" w:space="0" w:color="auto"/>
        <w:left w:val="none" w:sz="0" w:space="0" w:color="auto"/>
        <w:bottom w:val="none" w:sz="0" w:space="0" w:color="auto"/>
        <w:right w:val="none" w:sz="0" w:space="0" w:color="auto"/>
      </w:divBdr>
    </w:div>
    <w:div w:id="1521242375">
      <w:bodyDiv w:val="1"/>
      <w:marLeft w:val="0"/>
      <w:marRight w:val="0"/>
      <w:marTop w:val="0"/>
      <w:marBottom w:val="0"/>
      <w:divBdr>
        <w:top w:val="none" w:sz="0" w:space="0" w:color="auto"/>
        <w:left w:val="none" w:sz="0" w:space="0" w:color="auto"/>
        <w:bottom w:val="none" w:sz="0" w:space="0" w:color="auto"/>
        <w:right w:val="none" w:sz="0" w:space="0" w:color="auto"/>
      </w:divBdr>
    </w:div>
    <w:div w:id="1525287449">
      <w:bodyDiv w:val="1"/>
      <w:marLeft w:val="0"/>
      <w:marRight w:val="0"/>
      <w:marTop w:val="0"/>
      <w:marBottom w:val="0"/>
      <w:divBdr>
        <w:top w:val="none" w:sz="0" w:space="0" w:color="auto"/>
        <w:left w:val="none" w:sz="0" w:space="0" w:color="auto"/>
        <w:bottom w:val="none" w:sz="0" w:space="0" w:color="auto"/>
        <w:right w:val="none" w:sz="0" w:space="0" w:color="auto"/>
      </w:divBdr>
    </w:div>
    <w:div w:id="1536039669">
      <w:bodyDiv w:val="1"/>
      <w:marLeft w:val="0"/>
      <w:marRight w:val="0"/>
      <w:marTop w:val="0"/>
      <w:marBottom w:val="0"/>
      <w:divBdr>
        <w:top w:val="none" w:sz="0" w:space="0" w:color="auto"/>
        <w:left w:val="none" w:sz="0" w:space="0" w:color="auto"/>
        <w:bottom w:val="none" w:sz="0" w:space="0" w:color="auto"/>
        <w:right w:val="none" w:sz="0" w:space="0" w:color="auto"/>
      </w:divBdr>
    </w:div>
    <w:div w:id="1536387495">
      <w:bodyDiv w:val="1"/>
      <w:marLeft w:val="0"/>
      <w:marRight w:val="0"/>
      <w:marTop w:val="0"/>
      <w:marBottom w:val="0"/>
      <w:divBdr>
        <w:top w:val="none" w:sz="0" w:space="0" w:color="auto"/>
        <w:left w:val="none" w:sz="0" w:space="0" w:color="auto"/>
        <w:bottom w:val="none" w:sz="0" w:space="0" w:color="auto"/>
        <w:right w:val="none" w:sz="0" w:space="0" w:color="auto"/>
      </w:divBdr>
    </w:div>
    <w:div w:id="1544250182">
      <w:bodyDiv w:val="1"/>
      <w:marLeft w:val="0"/>
      <w:marRight w:val="0"/>
      <w:marTop w:val="0"/>
      <w:marBottom w:val="0"/>
      <w:divBdr>
        <w:top w:val="none" w:sz="0" w:space="0" w:color="auto"/>
        <w:left w:val="none" w:sz="0" w:space="0" w:color="auto"/>
        <w:bottom w:val="none" w:sz="0" w:space="0" w:color="auto"/>
        <w:right w:val="none" w:sz="0" w:space="0" w:color="auto"/>
      </w:divBdr>
    </w:div>
    <w:div w:id="1548254217">
      <w:bodyDiv w:val="1"/>
      <w:marLeft w:val="0"/>
      <w:marRight w:val="0"/>
      <w:marTop w:val="0"/>
      <w:marBottom w:val="0"/>
      <w:divBdr>
        <w:top w:val="none" w:sz="0" w:space="0" w:color="auto"/>
        <w:left w:val="none" w:sz="0" w:space="0" w:color="auto"/>
        <w:bottom w:val="none" w:sz="0" w:space="0" w:color="auto"/>
        <w:right w:val="none" w:sz="0" w:space="0" w:color="auto"/>
      </w:divBdr>
    </w:div>
    <w:div w:id="1549220330">
      <w:bodyDiv w:val="1"/>
      <w:marLeft w:val="0"/>
      <w:marRight w:val="0"/>
      <w:marTop w:val="0"/>
      <w:marBottom w:val="0"/>
      <w:divBdr>
        <w:top w:val="none" w:sz="0" w:space="0" w:color="auto"/>
        <w:left w:val="none" w:sz="0" w:space="0" w:color="auto"/>
        <w:bottom w:val="none" w:sz="0" w:space="0" w:color="auto"/>
        <w:right w:val="none" w:sz="0" w:space="0" w:color="auto"/>
      </w:divBdr>
    </w:div>
    <w:div w:id="1557810993">
      <w:bodyDiv w:val="1"/>
      <w:marLeft w:val="0"/>
      <w:marRight w:val="0"/>
      <w:marTop w:val="0"/>
      <w:marBottom w:val="0"/>
      <w:divBdr>
        <w:top w:val="none" w:sz="0" w:space="0" w:color="auto"/>
        <w:left w:val="none" w:sz="0" w:space="0" w:color="auto"/>
        <w:bottom w:val="none" w:sz="0" w:space="0" w:color="auto"/>
        <w:right w:val="none" w:sz="0" w:space="0" w:color="auto"/>
      </w:divBdr>
    </w:div>
    <w:div w:id="1559439755">
      <w:bodyDiv w:val="1"/>
      <w:marLeft w:val="0"/>
      <w:marRight w:val="0"/>
      <w:marTop w:val="0"/>
      <w:marBottom w:val="0"/>
      <w:divBdr>
        <w:top w:val="none" w:sz="0" w:space="0" w:color="auto"/>
        <w:left w:val="none" w:sz="0" w:space="0" w:color="auto"/>
        <w:bottom w:val="none" w:sz="0" w:space="0" w:color="auto"/>
        <w:right w:val="none" w:sz="0" w:space="0" w:color="auto"/>
      </w:divBdr>
    </w:div>
    <w:div w:id="1561018855">
      <w:bodyDiv w:val="1"/>
      <w:marLeft w:val="0"/>
      <w:marRight w:val="0"/>
      <w:marTop w:val="0"/>
      <w:marBottom w:val="0"/>
      <w:divBdr>
        <w:top w:val="none" w:sz="0" w:space="0" w:color="auto"/>
        <w:left w:val="none" w:sz="0" w:space="0" w:color="auto"/>
        <w:bottom w:val="none" w:sz="0" w:space="0" w:color="auto"/>
        <w:right w:val="none" w:sz="0" w:space="0" w:color="auto"/>
      </w:divBdr>
    </w:div>
    <w:div w:id="1564875464">
      <w:bodyDiv w:val="1"/>
      <w:marLeft w:val="0"/>
      <w:marRight w:val="0"/>
      <w:marTop w:val="0"/>
      <w:marBottom w:val="0"/>
      <w:divBdr>
        <w:top w:val="none" w:sz="0" w:space="0" w:color="auto"/>
        <w:left w:val="none" w:sz="0" w:space="0" w:color="auto"/>
        <w:bottom w:val="none" w:sz="0" w:space="0" w:color="auto"/>
        <w:right w:val="none" w:sz="0" w:space="0" w:color="auto"/>
      </w:divBdr>
    </w:div>
    <w:div w:id="1566061997">
      <w:bodyDiv w:val="1"/>
      <w:marLeft w:val="0"/>
      <w:marRight w:val="0"/>
      <w:marTop w:val="0"/>
      <w:marBottom w:val="0"/>
      <w:divBdr>
        <w:top w:val="none" w:sz="0" w:space="0" w:color="auto"/>
        <w:left w:val="none" w:sz="0" w:space="0" w:color="auto"/>
        <w:bottom w:val="none" w:sz="0" w:space="0" w:color="auto"/>
        <w:right w:val="none" w:sz="0" w:space="0" w:color="auto"/>
      </w:divBdr>
    </w:div>
    <w:div w:id="1567640091">
      <w:bodyDiv w:val="1"/>
      <w:marLeft w:val="0"/>
      <w:marRight w:val="0"/>
      <w:marTop w:val="0"/>
      <w:marBottom w:val="0"/>
      <w:divBdr>
        <w:top w:val="none" w:sz="0" w:space="0" w:color="auto"/>
        <w:left w:val="none" w:sz="0" w:space="0" w:color="auto"/>
        <w:bottom w:val="none" w:sz="0" w:space="0" w:color="auto"/>
        <w:right w:val="none" w:sz="0" w:space="0" w:color="auto"/>
      </w:divBdr>
    </w:div>
    <w:div w:id="1576932461">
      <w:bodyDiv w:val="1"/>
      <w:marLeft w:val="0"/>
      <w:marRight w:val="0"/>
      <w:marTop w:val="0"/>
      <w:marBottom w:val="0"/>
      <w:divBdr>
        <w:top w:val="none" w:sz="0" w:space="0" w:color="auto"/>
        <w:left w:val="none" w:sz="0" w:space="0" w:color="auto"/>
        <w:bottom w:val="none" w:sz="0" w:space="0" w:color="auto"/>
        <w:right w:val="none" w:sz="0" w:space="0" w:color="auto"/>
      </w:divBdr>
    </w:div>
    <w:div w:id="1584681104">
      <w:bodyDiv w:val="1"/>
      <w:marLeft w:val="0"/>
      <w:marRight w:val="0"/>
      <w:marTop w:val="0"/>
      <w:marBottom w:val="0"/>
      <w:divBdr>
        <w:top w:val="none" w:sz="0" w:space="0" w:color="auto"/>
        <w:left w:val="none" w:sz="0" w:space="0" w:color="auto"/>
        <w:bottom w:val="none" w:sz="0" w:space="0" w:color="auto"/>
        <w:right w:val="none" w:sz="0" w:space="0" w:color="auto"/>
      </w:divBdr>
    </w:div>
    <w:div w:id="1586574026">
      <w:bodyDiv w:val="1"/>
      <w:marLeft w:val="0"/>
      <w:marRight w:val="0"/>
      <w:marTop w:val="0"/>
      <w:marBottom w:val="0"/>
      <w:divBdr>
        <w:top w:val="none" w:sz="0" w:space="0" w:color="auto"/>
        <w:left w:val="none" w:sz="0" w:space="0" w:color="auto"/>
        <w:bottom w:val="none" w:sz="0" w:space="0" w:color="auto"/>
        <w:right w:val="none" w:sz="0" w:space="0" w:color="auto"/>
      </w:divBdr>
    </w:div>
    <w:div w:id="1595480926">
      <w:bodyDiv w:val="1"/>
      <w:marLeft w:val="0"/>
      <w:marRight w:val="0"/>
      <w:marTop w:val="0"/>
      <w:marBottom w:val="0"/>
      <w:divBdr>
        <w:top w:val="none" w:sz="0" w:space="0" w:color="auto"/>
        <w:left w:val="none" w:sz="0" w:space="0" w:color="auto"/>
        <w:bottom w:val="none" w:sz="0" w:space="0" w:color="auto"/>
        <w:right w:val="none" w:sz="0" w:space="0" w:color="auto"/>
      </w:divBdr>
    </w:div>
    <w:div w:id="1598295401">
      <w:bodyDiv w:val="1"/>
      <w:marLeft w:val="0"/>
      <w:marRight w:val="0"/>
      <w:marTop w:val="0"/>
      <w:marBottom w:val="0"/>
      <w:divBdr>
        <w:top w:val="none" w:sz="0" w:space="0" w:color="auto"/>
        <w:left w:val="none" w:sz="0" w:space="0" w:color="auto"/>
        <w:bottom w:val="none" w:sz="0" w:space="0" w:color="auto"/>
        <w:right w:val="none" w:sz="0" w:space="0" w:color="auto"/>
      </w:divBdr>
    </w:div>
    <w:div w:id="1599287025">
      <w:bodyDiv w:val="1"/>
      <w:marLeft w:val="0"/>
      <w:marRight w:val="0"/>
      <w:marTop w:val="0"/>
      <w:marBottom w:val="0"/>
      <w:divBdr>
        <w:top w:val="none" w:sz="0" w:space="0" w:color="auto"/>
        <w:left w:val="none" w:sz="0" w:space="0" w:color="auto"/>
        <w:bottom w:val="none" w:sz="0" w:space="0" w:color="auto"/>
        <w:right w:val="none" w:sz="0" w:space="0" w:color="auto"/>
      </w:divBdr>
    </w:div>
    <w:div w:id="1604142120">
      <w:bodyDiv w:val="1"/>
      <w:marLeft w:val="0"/>
      <w:marRight w:val="0"/>
      <w:marTop w:val="0"/>
      <w:marBottom w:val="0"/>
      <w:divBdr>
        <w:top w:val="none" w:sz="0" w:space="0" w:color="auto"/>
        <w:left w:val="none" w:sz="0" w:space="0" w:color="auto"/>
        <w:bottom w:val="none" w:sz="0" w:space="0" w:color="auto"/>
        <w:right w:val="none" w:sz="0" w:space="0" w:color="auto"/>
      </w:divBdr>
    </w:div>
    <w:div w:id="1605460693">
      <w:bodyDiv w:val="1"/>
      <w:marLeft w:val="0"/>
      <w:marRight w:val="0"/>
      <w:marTop w:val="0"/>
      <w:marBottom w:val="0"/>
      <w:divBdr>
        <w:top w:val="none" w:sz="0" w:space="0" w:color="auto"/>
        <w:left w:val="none" w:sz="0" w:space="0" w:color="auto"/>
        <w:bottom w:val="none" w:sz="0" w:space="0" w:color="auto"/>
        <w:right w:val="none" w:sz="0" w:space="0" w:color="auto"/>
      </w:divBdr>
    </w:div>
    <w:div w:id="1606839983">
      <w:bodyDiv w:val="1"/>
      <w:marLeft w:val="0"/>
      <w:marRight w:val="0"/>
      <w:marTop w:val="0"/>
      <w:marBottom w:val="0"/>
      <w:divBdr>
        <w:top w:val="none" w:sz="0" w:space="0" w:color="auto"/>
        <w:left w:val="none" w:sz="0" w:space="0" w:color="auto"/>
        <w:bottom w:val="none" w:sz="0" w:space="0" w:color="auto"/>
        <w:right w:val="none" w:sz="0" w:space="0" w:color="auto"/>
      </w:divBdr>
    </w:div>
    <w:div w:id="1615746012">
      <w:bodyDiv w:val="1"/>
      <w:marLeft w:val="0"/>
      <w:marRight w:val="0"/>
      <w:marTop w:val="0"/>
      <w:marBottom w:val="0"/>
      <w:divBdr>
        <w:top w:val="none" w:sz="0" w:space="0" w:color="auto"/>
        <w:left w:val="none" w:sz="0" w:space="0" w:color="auto"/>
        <w:bottom w:val="none" w:sz="0" w:space="0" w:color="auto"/>
        <w:right w:val="none" w:sz="0" w:space="0" w:color="auto"/>
      </w:divBdr>
    </w:div>
    <w:div w:id="1620137209">
      <w:bodyDiv w:val="1"/>
      <w:marLeft w:val="0"/>
      <w:marRight w:val="0"/>
      <w:marTop w:val="0"/>
      <w:marBottom w:val="0"/>
      <w:divBdr>
        <w:top w:val="none" w:sz="0" w:space="0" w:color="auto"/>
        <w:left w:val="none" w:sz="0" w:space="0" w:color="auto"/>
        <w:bottom w:val="none" w:sz="0" w:space="0" w:color="auto"/>
        <w:right w:val="none" w:sz="0" w:space="0" w:color="auto"/>
      </w:divBdr>
    </w:div>
    <w:div w:id="1622303515">
      <w:bodyDiv w:val="1"/>
      <w:marLeft w:val="0"/>
      <w:marRight w:val="0"/>
      <w:marTop w:val="0"/>
      <w:marBottom w:val="0"/>
      <w:divBdr>
        <w:top w:val="none" w:sz="0" w:space="0" w:color="auto"/>
        <w:left w:val="none" w:sz="0" w:space="0" w:color="auto"/>
        <w:bottom w:val="none" w:sz="0" w:space="0" w:color="auto"/>
        <w:right w:val="none" w:sz="0" w:space="0" w:color="auto"/>
      </w:divBdr>
    </w:div>
    <w:div w:id="1622615385">
      <w:bodyDiv w:val="1"/>
      <w:marLeft w:val="0"/>
      <w:marRight w:val="0"/>
      <w:marTop w:val="0"/>
      <w:marBottom w:val="0"/>
      <w:divBdr>
        <w:top w:val="none" w:sz="0" w:space="0" w:color="auto"/>
        <w:left w:val="none" w:sz="0" w:space="0" w:color="auto"/>
        <w:bottom w:val="none" w:sz="0" w:space="0" w:color="auto"/>
        <w:right w:val="none" w:sz="0" w:space="0" w:color="auto"/>
      </w:divBdr>
    </w:div>
    <w:div w:id="1623801177">
      <w:bodyDiv w:val="1"/>
      <w:marLeft w:val="0"/>
      <w:marRight w:val="0"/>
      <w:marTop w:val="0"/>
      <w:marBottom w:val="0"/>
      <w:divBdr>
        <w:top w:val="none" w:sz="0" w:space="0" w:color="auto"/>
        <w:left w:val="none" w:sz="0" w:space="0" w:color="auto"/>
        <w:bottom w:val="none" w:sz="0" w:space="0" w:color="auto"/>
        <w:right w:val="none" w:sz="0" w:space="0" w:color="auto"/>
      </w:divBdr>
    </w:div>
    <w:div w:id="1623802933">
      <w:bodyDiv w:val="1"/>
      <w:marLeft w:val="0"/>
      <w:marRight w:val="0"/>
      <w:marTop w:val="0"/>
      <w:marBottom w:val="0"/>
      <w:divBdr>
        <w:top w:val="none" w:sz="0" w:space="0" w:color="auto"/>
        <w:left w:val="none" w:sz="0" w:space="0" w:color="auto"/>
        <w:bottom w:val="none" w:sz="0" w:space="0" w:color="auto"/>
        <w:right w:val="none" w:sz="0" w:space="0" w:color="auto"/>
      </w:divBdr>
    </w:div>
    <w:div w:id="1625425011">
      <w:bodyDiv w:val="1"/>
      <w:marLeft w:val="0"/>
      <w:marRight w:val="0"/>
      <w:marTop w:val="0"/>
      <w:marBottom w:val="0"/>
      <w:divBdr>
        <w:top w:val="none" w:sz="0" w:space="0" w:color="auto"/>
        <w:left w:val="none" w:sz="0" w:space="0" w:color="auto"/>
        <w:bottom w:val="none" w:sz="0" w:space="0" w:color="auto"/>
        <w:right w:val="none" w:sz="0" w:space="0" w:color="auto"/>
      </w:divBdr>
    </w:div>
    <w:div w:id="1628009398">
      <w:bodyDiv w:val="1"/>
      <w:marLeft w:val="0"/>
      <w:marRight w:val="0"/>
      <w:marTop w:val="0"/>
      <w:marBottom w:val="0"/>
      <w:divBdr>
        <w:top w:val="none" w:sz="0" w:space="0" w:color="auto"/>
        <w:left w:val="none" w:sz="0" w:space="0" w:color="auto"/>
        <w:bottom w:val="none" w:sz="0" w:space="0" w:color="auto"/>
        <w:right w:val="none" w:sz="0" w:space="0" w:color="auto"/>
      </w:divBdr>
    </w:div>
    <w:div w:id="1637295014">
      <w:bodyDiv w:val="1"/>
      <w:marLeft w:val="0"/>
      <w:marRight w:val="0"/>
      <w:marTop w:val="0"/>
      <w:marBottom w:val="0"/>
      <w:divBdr>
        <w:top w:val="none" w:sz="0" w:space="0" w:color="auto"/>
        <w:left w:val="none" w:sz="0" w:space="0" w:color="auto"/>
        <w:bottom w:val="none" w:sz="0" w:space="0" w:color="auto"/>
        <w:right w:val="none" w:sz="0" w:space="0" w:color="auto"/>
      </w:divBdr>
    </w:div>
    <w:div w:id="1638292140">
      <w:bodyDiv w:val="1"/>
      <w:marLeft w:val="0"/>
      <w:marRight w:val="0"/>
      <w:marTop w:val="0"/>
      <w:marBottom w:val="0"/>
      <w:divBdr>
        <w:top w:val="none" w:sz="0" w:space="0" w:color="auto"/>
        <w:left w:val="none" w:sz="0" w:space="0" w:color="auto"/>
        <w:bottom w:val="none" w:sz="0" w:space="0" w:color="auto"/>
        <w:right w:val="none" w:sz="0" w:space="0" w:color="auto"/>
      </w:divBdr>
    </w:div>
    <w:div w:id="1643146569">
      <w:bodyDiv w:val="1"/>
      <w:marLeft w:val="0"/>
      <w:marRight w:val="0"/>
      <w:marTop w:val="0"/>
      <w:marBottom w:val="0"/>
      <w:divBdr>
        <w:top w:val="none" w:sz="0" w:space="0" w:color="auto"/>
        <w:left w:val="none" w:sz="0" w:space="0" w:color="auto"/>
        <w:bottom w:val="none" w:sz="0" w:space="0" w:color="auto"/>
        <w:right w:val="none" w:sz="0" w:space="0" w:color="auto"/>
      </w:divBdr>
    </w:div>
    <w:div w:id="1647083435">
      <w:bodyDiv w:val="1"/>
      <w:marLeft w:val="0"/>
      <w:marRight w:val="0"/>
      <w:marTop w:val="0"/>
      <w:marBottom w:val="0"/>
      <w:divBdr>
        <w:top w:val="none" w:sz="0" w:space="0" w:color="auto"/>
        <w:left w:val="none" w:sz="0" w:space="0" w:color="auto"/>
        <w:bottom w:val="none" w:sz="0" w:space="0" w:color="auto"/>
        <w:right w:val="none" w:sz="0" w:space="0" w:color="auto"/>
      </w:divBdr>
    </w:div>
    <w:div w:id="1655177382">
      <w:bodyDiv w:val="1"/>
      <w:marLeft w:val="0"/>
      <w:marRight w:val="0"/>
      <w:marTop w:val="0"/>
      <w:marBottom w:val="0"/>
      <w:divBdr>
        <w:top w:val="none" w:sz="0" w:space="0" w:color="auto"/>
        <w:left w:val="none" w:sz="0" w:space="0" w:color="auto"/>
        <w:bottom w:val="none" w:sz="0" w:space="0" w:color="auto"/>
        <w:right w:val="none" w:sz="0" w:space="0" w:color="auto"/>
      </w:divBdr>
    </w:div>
    <w:div w:id="1656520562">
      <w:bodyDiv w:val="1"/>
      <w:marLeft w:val="0"/>
      <w:marRight w:val="0"/>
      <w:marTop w:val="0"/>
      <w:marBottom w:val="0"/>
      <w:divBdr>
        <w:top w:val="none" w:sz="0" w:space="0" w:color="auto"/>
        <w:left w:val="none" w:sz="0" w:space="0" w:color="auto"/>
        <w:bottom w:val="none" w:sz="0" w:space="0" w:color="auto"/>
        <w:right w:val="none" w:sz="0" w:space="0" w:color="auto"/>
      </w:divBdr>
    </w:div>
    <w:div w:id="1661344070">
      <w:bodyDiv w:val="1"/>
      <w:marLeft w:val="0"/>
      <w:marRight w:val="0"/>
      <w:marTop w:val="0"/>
      <w:marBottom w:val="0"/>
      <w:divBdr>
        <w:top w:val="none" w:sz="0" w:space="0" w:color="auto"/>
        <w:left w:val="none" w:sz="0" w:space="0" w:color="auto"/>
        <w:bottom w:val="none" w:sz="0" w:space="0" w:color="auto"/>
        <w:right w:val="none" w:sz="0" w:space="0" w:color="auto"/>
      </w:divBdr>
    </w:div>
    <w:div w:id="1663462451">
      <w:bodyDiv w:val="1"/>
      <w:marLeft w:val="0"/>
      <w:marRight w:val="0"/>
      <w:marTop w:val="0"/>
      <w:marBottom w:val="0"/>
      <w:divBdr>
        <w:top w:val="none" w:sz="0" w:space="0" w:color="auto"/>
        <w:left w:val="none" w:sz="0" w:space="0" w:color="auto"/>
        <w:bottom w:val="none" w:sz="0" w:space="0" w:color="auto"/>
        <w:right w:val="none" w:sz="0" w:space="0" w:color="auto"/>
      </w:divBdr>
    </w:div>
    <w:div w:id="1666083114">
      <w:bodyDiv w:val="1"/>
      <w:marLeft w:val="0"/>
      <w:marRight w:val="0"/>
      <w:marTop w:val="0"/>
      <w:marBottom w:val="0"/>
      <w:divBdr>
        <w:top w:val="none" w:sz="0" w:space="0" w:color="auto"/>
        <w:left w:val="none" w:sz="0" w:space="0" w:color="auto"/>
        <w:bottom w:val="none" w:sz="0" w:space="0" w:color="auto"/>
        <w:right w:val="none" w:sz="0" w:space="0" w:color="auto"/>
      </w:divBdr>
    </w:div>
    <w:div w:id="1668971648">
      <w:bodyDiv w:val="1"/>
      <w:marLeft w:val="0"/>
      <w:marRight w:val="0"/>
      <w:marTop w:val="0"/>
      <w:marBottom w:val="0"/>
      <w:divBdr>
        <w:top w:val="none" w:sz="0" w:space="0" w:color="auto"/>
        <w:left w:val="none" w:sz="0" w:space="0" w:color="auto"/>
        <w:bottom w:val="none" w:sz="0" w:space="0" w:color="auto"/>
        <w:right w:val="none" w:sz="0" w:space="0" w:color="auto"/>
      </w:divBdr>
    </w:div>
    <w:div w:id="1669207323">
      <w:bodyDiv w:val="1"/>
      <w:marLeft w:val="0"/>
      <w:marRight w:val="0"/>
      <w:marTop w:val="0"/>
      <w:marBottom w:val="0"/>
      <w:divBdr>
        <w:top w:val="none" w:sz="0" w:space="0" w:color="auto"/>
        <w:left w:val="none" w:sz="0" w:space="0" w:color="auto"/>
        <w:bottom w:val="none" w:sz="0" w:space="0" w:color="auto"/>
        <w:right w:val="none" w:sz="0" w:space="0" w:color="auto"/>
      </w:divBdr>
    </w:div>
    <w:div w:id="1671373268">
      <w:bodyDiv w:val="1"/>
      <w:marLeft w:val="0"/>
      <w:marRight w:val="0"/>
      <w:marTop w:val="0"/>
      <w:marBottom w:val="0"/>
      <w:divBdr>
        <w:top w:val="none" w:sz="0" w:space="0" w:color="auto"/>
        <w:left w:val="none" w:sz="0" w:space="0" w:color="auto"/>
        <w:bottom w:val="none" w:sz="0" w:space="0" w:color="auto"/>
        <w:right w:val="none" w:sz="0" w:space="0" w:color="auto"/>
      </w:divBdr>
    </w:div>
    <w:div w:id="1690328889">
      <w:bodyDiv w:val="1"/>
      <w:marLeft w:val="0"/>
      <w:marRight w:val="0"/>
      <w:marTop w:val="0"/>
      <w:marBottom w:val="0"/>
      <w:divBdr>
        <w:top w:val="none" w:sz="0" w:space="0" w:color="auto"/>
        <w:left w:val="none" w:sz="0" w:space="0" w:color="auto"/>
        <w:bottom w:val="none" w:sz="0" w:space="0" w:color="auto"/>
        <w:right w:val="none" w:sz="0" w:space="0" w:color="auto"/>
      </w:divBdr>
    </w:div>
    <w:div w:id="1691564039">
      <w:bodyDiv w:val="1"/>
      <w:marLeft w:val="0"/>
      <w:marRight w:val="0"/>
      <w:marTop w:val="0"/>
      <w:marBottom w:val="0"/>
      <w:divBdr>
        <w:top w:val="none" w:sz="0" w:space="0" w:color="auto"/>
        <w:left w:val="none" w:sz="0" w:space="0" w:color="auto"/>
        <w:bottom w:val="none" w:sz="0" w:space="0" w:color="auto"/>
        <w:right w:val="none" w:sz="0" w:space="0" w:color="auto"/>
      </w:divBdr>
    </w:div>
    <w:div w:id="1692879300">
      <w:bodyDiv w:val="1"/>
      <w:marLeft w:val="0"/>
      <w:marRight w:val="0"/>
      <w:marTop w:val="0"/>
      <w:marBottom w:val="0"/>
      <w:divBdr>
        <w:top w:val="none" w:sz="0" w:space="0" w:color="auto"/>
        <w:left w:val="none" w:sz="0" w:space="0" w:color="auto"/>
        <w:bottom w:val="none" w:sz="0" w:space="0" w:color="auto"/>
        <w:right w:val="none" w:sz="0" w:space="0" w:color="auto"/>
      </w:divBdr>
    </w:div>
    <w:div w:id="1698508480">
      <w:bodyDiv w:val="1"/>
      <w:marLeft w:val="0"/>
      <w:marRight w:val="0"/>
      <w:marTop w:val="0"/>
      <w:marBottom w:val="0"/>
      <w:divBdr>
        <w:top w:val="none" w:sz="0" w:space="0" w:color="auto"/>
        <w:left w:val="none" w:sz="0" w:space="0" w:color="auto"/>
        <w:bottom w:val="none" w:sz="0" w:space="0" w:color="auto"/>
        <w:right w:val="none" w:sz="0" w:space="0" w:color="auto"/>
      </w:divBdr>
    </w:div>
    <w:div w:id="1700541439">
      <w:bodyDiv w:val="1"/>
      <w:marLeft w:val="0"/>
      <w:marRight w:val="0"/>
      <w:marTop w:val="0"/>
      <w:marBottom w:val="0"/>
      <w:divBdr>
        <w:top w:val="none" w:sz="0" w:space="0" w:color="auto"/>
        <w:left w:val="none" w:sz="0" w:space="0" w:color="auto"/>
        <w:bottom w:val="none" w:sz="0" w:space="0" w:color="auto"/>
        <w:right w:val="none" w:sz="0" w:space="0" w:color="auto"/>
      </w:divBdr>
    </w:div>
    <w:div w:id="1701275879">
      <w:bodyDiv w:val="1"/>
      <w:marLeft w:val="0"/>
      <w:marRight w:val="0"/>
      <w:marTop w:val="0"/>
      <w:marBottom w:val="0"/>
      <w:divBdr>
        <w:top w:val="none" w:sz="0" w:space="0" w:color="auto"/>
        <w:left w:val="none" w:sz="0" w:space="0" w:color="auto"/>
        <w:bottom w:val="none" w:sz="0" w:space="0" w:color="auto"/>
        <w:right w:val="none" w:sz="0" w:space="0" w:color="auto"/>
      </w:divBdr>
    </w:div>
    <w:div w:id="1702777914">
      <w:bodyDiv w:val="1"/>
      <w:marLeft w:val="0"/>
      <w:marRight w:val="0"/>
      <w:marTop w:val="0"/>
      <w:marBottom w:val="0"/>
      <w:divBdr>
        <w:top w:val="none" w:sz="0" w:space="0" w:color="auto"/>
        <w:left w:val="none" w:sz="0" w:space="0" w:color="auto"/>
        <w:bottom w:val="none" w:sz="0" w:space="0" w:color="auto"/>
        <w:right w:val="none" w:sz="0" w:space="0" w:color="auto"/>
      </w:divBdr>
    </w:div>
    <w:div w:id="1706253045">
      <w:bodyDiv w:val="1"/>
      <w:marLeft w:val="0"/>
      <w:marRight w:val="0"/>
      <w:marTop w:val="0"/>
      <w:marBottom w:val="0"/>
      <w:divBdr>
        <w:top w:val="none" w:sz="0" w:space="0" w:color="auto"/>
        <w:left w:val="none" w:sz="0" w:space="0" w:color="auto"/>
        <w:bottom w:val="none" w:sz="0" w:space="0" w:color="auto"/>
        <w:right w:val="none" w:sz="0" w:space="0" w:color="auto"/>
      </w:divBdr>
    </w:div>
    <w:div w:id="1713268384">
      <w:bodyDiv w:val="1"/>
      <w:marLeft w:val="0"/>
      <w:marRight w:val="0"/>
      <w:marTop w:val="0"/>
      <w:marBottom w:val="0"/>
      <w:divBdr>
        <w:top w:val="none" w:sz="0" w:space="0" w:color="auto"/>
        <w:left w:val="none" w:sz="0" w:space="0" w:color="auto"/>
        <w:bottom w:val="none" w:sz="0" w:space="0" w:color="auto"/>
        <w:right w:val="none" w:sz="0" w:space="0" w:color="auto"/>
      </w:divBdr>
    </w:div>
    <w:div w:id="1713845030">
      <w:bodyDiv w:val="1"/>
      <w:marLeft w:val="0"/>
      <w:marRight w:val="0"/>
      <w:marTop w:val="0"/>
      <w:marBottom w:val="0"/>
      <w:divBdr>
        <w:top w:val="none" w:sz="0" w:space="0" w:color="auto"/>
        <w:left w:val="none" w:sz="0" w:space="0" w:color="auto"/>
        <w:bottom w:val="none" w:sz="0" w:space="0" w:color="auto"/>
        <w:right w:val="none" w:sz="0" w:space="0" w:color="auto"/>
      </w:divBdr>
    </w:div>
    <w:div w:id="1724911700">
      <w:bodyDiv w:val="1"/>
      <w:marLeft w:val="0"/>
      <w:marRight w:val="0"/>
      <w:marTop w:val="0"/>
      <w:marBottom w:val="0"/>
      <w:divBdr>
        <w:top w:val="none" w:sz="0" w:space="0" w:color="auto"/>
        <w:left w:val="none" w:sz="0" w:space="0" w:color="auto"/>
        <w:bottom w:val="none" w:sz="0" w:space="0" w:color="auto"/>
        <w:right w:val="none" w:sz="0" w:space="0" w:color="auto"/>
      </w:divBdr>
    </w:div>
    <w:div w:id="1724989177">
      <w:bodyDiv w:val="1"/>
      <w:marLeft w:val="0"/>
      <w:marRight w:val="0"/>
      <w:marTop w:val="0"/>
      <w:marBottom w:val="0"/>
      <w:divBdr>
        <w:top w:val="none" w:sz="0" w:space="0" w:color="auto"/>
        <w:left w:val="none" w:sz="0" w:space="0" w:color="auto"/>
        <w:bottom w:val="none" w:sz="0" w:space="0" w:color="auto"/>
        <w:right w:val="none" w:sz="0" w:space="0" w:color="auto"/>
      </w:divBdr>
    </w:div>
    <w:div w:id="1726296705">
      <w:bodyDiv w:val="1"/>
      <w:marLeft w:val="0"/>
      <w:marRight w:val="0"/>
      <w:marTop w:val="0"/>
      <w:marBottom w:val="0"/>
      <w:divBdr>
        <w:top w:val="none" w:sz="0" w:space="0" w:color="auto"/>
        <w:left w:val="none" w:sz="0" w:space="0" w:color="auto"/>
        <w:bottom w:val="none" w:sz="0" w:space="0" w:color="auto"/>
        <w:right w:val="none" w:sz="0" w:space="0" w:color="auto"/>
      </w:divBdr>
    </w:div>
    <w:div w:id="1727489246">
      <w:bodyDiv w:val="1"/>
      <w:marLeft w:val="0"/>
      <w:marRight w:val="0"/>
      <w:marTop w:val="0"/>
      <w:marBottom w:val="0"/>
      <w:divBdr>
        <w:top w:val="none" w:sz="0" w:space="0" w:color="auto"/>
        <w:left w:val="none" w:sz="0" w:space="0" w:color="auto"/>
        <w:bottom w:val="none" w:sz="0" w:space="0" w:color="auto"/>
        <w:right w:val="none" w:sz="0" w:space="0" w:color="auto"/>
      </w:divBdr>
    </w:div>
    <w:div w:id="1732263182">
      <w:bodyDiv w:val="1"/>
      <w:marLeft w:val="0"/>
      <w:marRight w:val="0"/>
      <w:marTop w:val="0"/>
      <w:marBottom w:val="0"/>
      <w:divBdr>
        <w:top w:val="none" w:sz="0" w:space="0" w:color="auto"/>
        <w:left w:val="none" w:sz="0" w:space="0" w:color="auto"/>
        <w:bottom w:val="none" w:sz="0" w:space="0" w:color="auto"/>
        <w:right w:val="none" w:sz="0" w:space="0" w:color="auto"/>
      </w:divBdr>
    </w:div>
    <w:div w:id="1737194893">
      <w:bodyDiv w:val="1"/>
      <w:marLeft w:val="0"/>
      <w:marRight w:val="0"/>
      <w:marTop w:val="0"/>
      <w:marBottom w:val="0"/>
      <w:divBdr>
        <w:top w:val="none" w:sz="0" w:space="0" w:color="auto"/>
        <w:left w:val="none" w:sz="0" w:space="0" w:color="auto"/>
        <w:bottom w:val="none" w:sz="0" w:space="0" w:color="auto"/>
        <w:right w:val="none" w:sz="0" w:space="0" w:color="auto"/>
      </w:divBdr>
    </w:div>
    <w:div w:id="1737973162">
      <w:bodyDiv w:val="1"/>
      <w:marLeft w:val="0"/>
      <w:marRight w:val="0"/>
      <w:marTop w:val="0"/>
      <w:marBottom w:val="0"/>
      <w:divBdr>
        <w:top w:val="none" w:sz="0" w:space="0" w:color="auto"/>
        <w:left w:val="none" w:sz="0" w:space="0" w:color="auto"/>
        <w:bottom w:val="none" w:sz="0" w:space="0" w:color="auto"/>
        <w:right w:val="none" w:sz="0" w:space="0" w:color="auto"/>
      </w:divBdr>
    </w:div>
    <w:div w:id="1740783141">
      <w:bodyDiv w:val="1"/>
      <w:marLeft w:val="0"/>
      <w:marRight w:val="0"/>
      <w:marTop w:val="0"/>
      <w:marBottom w:val="0"/>
      <w:divBdr>
        <w:top w:val="none" w:sz="0" w:space="0" w:color="auto"/>
        <w:left w:val="none" w:sz="0" w:space="0" w:color="auto"/>
        <w:bottom w:val="none" w:sz="0" w:space="0" w:color="auto"/>
        <w:right w:val="none" w:sz="0" w:space="0" w:color="auto"/>
      </w:divBdr>
    </w:div>
    <w:div w:id="1744448156">
      <w:bodyDiv w:val="1"/>
      <w:marLeft w:val="0"/>
      <w:marRight w:val="0"/>
      <w:marTop w:val="0"/>
      <w:marBottom w:val="0"/>
      <w:divBdr>
        <w:top w:val="none" w:sz="0" w:space="0" w:color="auto"/>
        <w:left w:val="none" w:sz="0" w:space="0" w:color="auto"/>
        <w:bottom w:val="none" w:sz="0" w:space="0" w:color="auto"/>
        <w:right w:val="none" w:sz="0" w:space="0" w:color="auto"/>
      </w:divBdr>
    </w:div>
    <w:div w:id="1744982647">
      <w:bodyDiv w:val="1"/>
      <w:marLeft w:val="0"/>
      <w:marRight w:val="0"/>
      <w:marTop w:val="0"/>
      <w:marBottom w:val="0"/>
      <w:divBdr>
        <w:top w:val="none" w:sz="0" w:space="0" w:color="auto"/>
        <w:left w:val="none" w:sz="0" w:space="0" w:color="auto"/>
        <w:bottom w:val="none" w:sz="0" w:space="0" w:color="auto"/>
        <w:right w:val="none" w:sz="0" w:space="0" w:color="auto"/>
      </w:divBdr>
    </w:div>
    <w:div w:id="1748380921">
      <w:bodyDiv w:val="1"/>
      <w:marLeft w:val="0"/>
      <w:marRight w:val="0"/>
      <w:marTop w:val="0"/>
      <w:marBottom w:val="0"/>
      <w:divBdr>
        <w:top w:val="none" w:sz="0" w:space="0" w:color="auto"/>
        <w:left w:val="none" w:sz="0" w:space="0" w:color="auto"/>
        <w:bottom w:val="none" w:sz="0" w:space="0" w:color="auto"/>
        <w:right w:val="none" w:sz="0" w:space="0" w:color="auto"/>
      </w:divBdr>
    </w:div>
    <w:div w:id="1749576014">
      <w:bodyDiv w:val="1"/>
      <w:marLeft w:val="0"/>
      <w:marRight w:val="0"/>
      <w:marTop w:val="0"/>
      <w:marBottom w:val="0"/>
      <w:divBdr>
        <w:top w:val="none" w:sz="0" w:space="0" w:color="auto"/>
        <w:left w:val="none" w:sz="0" w:space="0" w:color="auto"/>
        <w:bottom w:val="none" w:sz="0" w:space="0" w:color="auto"/>
        <w:right w:val="none" w:sz="0" w:space="0" w:color="auto"/>
      </w:divBdr>
    </w:div>
    <w:div w:id="1751727869">
      <w:bodyDiv w:val="1"/>
      <w:marLeft w:val="0"/>
      <w:marRight w:val="0"/>
      <w:marTop w:val="0"/>
      <w:marBottom w:val="0"/>
      <w:divBdr>
        <w:top w:val="none" w:sz="0" w:space="0" w:color="auto"/>
        <w:left w:val="none" w:sz="0" w:space="0" w:color="auto"/>
        <w:bottom w:val="none" w:sz="0" w:space="0" w:color="auto"/>
        <w:right w:val="none" w:sz="0" w:space="0" w:color="auto"/>
      </w:divBdr>
    </w:div>
    <w:div w:id="1759061819">
      <w:bodyDiv w:val="1"/>
      <w:marLeft w:val="0"/>
      <w:marRight w:val="0"/>
      <w:marTop w:val="0"/>
      <w:marBottom w:val="0"/>
      <w:divBdr>
        <w:top w:val="none" w:sz="0" w:space="0" w:color="auto"/>
        <w:left w:val="none" w:sz="0" w:space="0" w:color="auto"/>
        <w:bottom w:val="none" w:sz="0" w:space="0" w:color="auto"/>
        <w:right w:val="none" w:sz="0" w:space="0" w:color="auto"/>
      </w:divBdr>
    </w:div>
    <w:div w:id="1760633689">
      <w:bodyDiv w:val="1"/>
      <w:marLeft w:val="0"/>
      <w:marRight w:val="0"/>
      <w:marTop w:val="0"/>
      <w:marBottom w:val="0"/>
      <w:divBdr>
        <w:top w:val="none" w:sz="0" w:space="0" w:color="auto"/>
        <w:left w:val="none" w:sz="0" w:space="0" w:color="auto"/>
        <w:bottom w:val="none" w:sz="0" w:space="0" w:color="auto"/>
        <w:right w:val="none" w:sz="0" w:space="0" w:color="auto"/>
      </w:divBdr>
    </w:div>
    <w:div w:id="1767656767">
      <w:bodyDiv w:val="1"/>
      <w:marLeft w:val="0"/>
      <w:marRight w:val="0"/>
      <w:marTop w:val="0"/>
      <w:marBottom w:val="0"/>
      <w:divBdr>
        <w:top w:val="none" w:sz="0" w:space="0" w:color="auto"/>
        <w:left w:val="none" w:sz="0" w:space="0" w:color="auto"/>
        <w:bottom w:val="none" w:sz="0" w:space="0" w:color="auto"/>
        <w:right w:val="none" w:sz="0" w:space="0" w:color="auto"/>
      </w:divBdr>
    </w:div>
    <w:div w:id="1773013261">
      <w:bodyDiv w:val="1"/>
      <w:marLeft w:val="0"/>
      <w:marRight w:val="0"/>
      <w:marTop w:val="0"/>
      <w:marBottom w:val="0"/>
      <w:divBdr>
        <w:top w:val="none" w:sz="0" w:space="0" w:color="auto"/>
        <w:left w:val="none" w:sz="0" w:space="0" w:color="auto"/>
        <w:bottom w:val="none" w:sz="0" w:space="0" w:color="auto"/>
        <w:right w:val="none" w:sz="0" w:space="0" w:color="auto"/>
      </w:divBdr>
    </w:div>
    <w:div w:id="1773739527">
      <w:bodyDiv w:val="1"/>
      <w:marLeft w:val="0"/>
      <w:marRight w:val="0"/>
      <w:marTop w:val="0"/>
      <w:marBottom w:val="0"/>
      <w:divBdr>
        <w:top w:val="none" w:sz="0" w:space="0" w:color="auto"/>
        <w:left w:val="none" w:sz="0" w:space="0" w:color="auto"/>
        <w:bottom w:val="none" w:sz="0" w:space="0" w:color="auto"/>
        <w:right w:val="none" w:sz="0" w:space="0" w:color="auto"/>
      </w:divBdr>
    </w:div>
    <w:div w:id="1776972754">
      <w:bodyDiv w:val="1"/>
      <w:marLeft w:val="0"/>
      <w:marRight w:val="0"/>
      <w:marTop w:val="0"/>
      <w:marBottom w:val="0"/>
      <w:divBdr>
        <w:top w:val="none" w:sz="0" w:space="0" w:color="auto"/>
        <w:left w:val="none" w:sz="0" w:space="0" w:color="auto"/>
        <w:bottom w:val="none" w:sz="0" w:space="0" w:color="auto"/>
        <w:right w:val="none" w:sz="0" w:space="0" w:color="auto"/>
      </w:divBdr>
    </w:div>
    <w:div w:id="1778327378">
      <w:bodyDiv w:val="1"/>
      <w:marLeft w:val="0"/>
      <w:marRight w:val="0"/>
      <w:marTop w:val="0"/>
      <w:marBottom w:val="0"/>
      <w:divBdr>
        <w:top w:val="none" w:sz="0" w:space="0" w:color="auto"/>
        <w:left w:val="none" w:sz="0" w:space="0" w:color="auto"/>
        <w:bottom w:val="none" w:sz="0" w:space="0" w:color="auto"/>
        <w:right w:val="none" w:sz="0" w:space="0" w:color="auto"/>
      </w:divBdr>
    </w:div>
    <w:div w:id="1779061895">
      <w:bodyDiv w:val="1"/>
      <w:marLeft w:val="0"/>
      <w:marRight w:val="0"/>
      <w:marTop w:val="0"/>
      <w:marBottom w:val="0"/>
      <w:divBdr>
        <w:top w:val="none" w:sz="0" w:space="0" w:color="auto"/>
        <w:left w:val="none" w:sz="0" w:space="0" w:color="auto"/>
        <w:bottom w:val="none" w:sz="0" w:space="0" w:color="auto"/>
        <w:right w:val="none" w:sz="0" w:space="0" w:color="auto"/>
      </w:divBdr>
    </w:div>
    <w:div w:id="1787306856">
      <w:bodyDiv w:val="1"/>
      <w:marLeft w:val="0"/>
      <w:marRight w:val="0"/>
      <w:marTop w:val="0"/>
      <w:marBottom w:val="0"/>
      <w:divBdr>
        <w:top w:val="none" w:sz="0" w:space="0" w:color="auto"/>
        <w:left w:val="none" w:sz="0" w:space="0" w:color="auto"/>
        <w:bottom w:val="none" w:sz="0" w:space="0" w:color="auto"/>
        <w:right w:val="none" w:sz="0" w:space="0" w:color="auto"/>
      </w:divBdr>
    </w:div>
    <w:div w:id="1787577202">
      <w:bodyDiv w:val="1"/>
      <w:marLeft w:val="0"/>
      <w:marRight w:val="0"/>
      <w:marTop w:val="0"/>
      <w:marBottom w:val="0"/>
      <w:divBdr>
        <w:top w:val="none" w:sz="0" w:space="0" w:color="auto"/>
        <w:left w:val="none" w:sz="0" w:space="0" w:color="auto"/>
        <w:bottom w:val="none" w:sz="0" w:space="0" w:color="auto"/>
        <w:right w:val="none" w:sz="0" w:space="0" w:color="auto"/>
      </w:divBdr>
    </w:div>
    <w:div w:id="1792359878">
      <w:bodyDiv w:val="1"/>
      <w:marLeft w:val="0"/>
      <w:marRight w:val="0"/>
      <w:marTop w:val="0"/>
      <w:marBottom w:val="0"/>
      <w:divBdr>
        <w:top w:val="none" w:sz="0" w:space="0" w:color="auto"/>
        <w:left w:val="none" w:sz="0" w:space="0" w:color="auto"/>
        <w:bottom w:val="none" w:sz="0" w:space="0" w:color="auto"/>
        <w:right w:val="none" w:sz="0" w:space="0" w:color="auto"/>
      </w:divBdr>
    </w:div>
    <w:div w:id="1802724588">
      <w:bodyDiv w:val="1"/>
      <w:marLeft w:val="0"/>
      <w:marRight w:val="0"/>
      <w:marTop w:val="0"/>
      <w:marBottom w:val="0"/>
      <w:divBdr>
        <w:top w:val="none" w:sz="0" w:space="0" w:color="auto"/>
        <w:left w:val="none" w:sz="0" w:space="0" w:color="auto"/>
        <w:bottom w:val="none" w:sz="0" w:space="0" w:color="auto"/>
        <w:right w:val="none" w:sz="0" w:space="0" w:color="auto"/>
      </w:divBdr>
    </w:div>
    <w:div w:id="1806044703">
      <w:bodyDiv w:val="1"/>
      <w:marLeft w:val="0"/>
      <w:marRight w:val="0"/>
      <w:marTop w:val="0"/>
      <w:marBottom w:val="0"/>
      <w:divBdr>
        <w:top w:val="none" w:sz="0" w:space="0" w:color="auto"/>
        <w:left w:val="none" w:sz="0" w:space="0" w:color="auto"/>
        <w:bottom w:val="none" w:sz="0" w:space="0" w:color="auto"/>
        <w:right w:val="none" w:sz="0" w:space="0" w:color="auto"/>
      </w:divBdr>
    </w:div>
    <w:div w:id="1809517211">
      <w:bodyDiv w:val="1"/>
      <w:marLeft w:val="0"/>
      <w:marRight w:val="0"/>
      <w:marTop w:val="0"/>
      <w:marBottom w:val="0"/>
      <w:divBdr>
        <w:top w:val="none" w:sz="0" w:space="0" w:color="auto"/>
        <w:left w:val="none" w:sz="0" w:space="0" w:color="auto"/>
        <w:bottom w:val="none" w:sz="0" w:space="0" w:color="auto"/>
        <w:right w:val="none" w:sz="0" w:space="0" w:color="auto"/>
      </w:divBdr>
    </w:div>
    <w:div w:id="1812019139">
      <w:bodyDiv w:val="1"/>
      <w:marLeft w:val="0"/>
      <w:marRight w:val="0"/>
      <w:marTop w:val="0"/>
      <w:marBottom w:val="0"/>
      <w:divBdr>
        <w:top w:val="none" w:sz="0" w:space="0" w:color="auto"/>
        <w:left w:val="none" w:sz="0" w:space="0" w:color="auto"/>
        <w:bottom w:val="none" w:sz="0" w:space="0" w:color="auto"/>
        <w:right w:val="none" w:sz="0" w:space="0" w:color="auto"/>
      </w:divBdr>
    </w:div>
    <w:div w:id="1816683440">
      <w:bodyDiv w:val="1"/>
      <w:marLeft w:val="0"/>
      <w:marRight w:val="0"/>
      <w:marTop w:val="0"/>
      <w:marBottom w:val="0"/>
      <w:divBdr>
        <w:top w:val="none" w:sz="0" w:space="0" w:color="auto"/>
        <w:left w:val="none" w:sz="0" w:space="0" w:color="auto"/>
        <w:bottom w:val="none" w:sz="0" w:space="0" w:color="auto"/>
        <w:right w:val="none" w:sz="0" w:space="0" w:color="auto"/>
      </w:divBdr>
    </w:div>
    <w:div w:id="1818767357">
      <w:bodyDiv w:val="1"/>
      <w:marLeft w:val="0"/>
      <w:marRight w:val="0"/>
      <w:marTop w:val="0"/>
      <w:marBottom w:val="0"/>
      <w:divBdr>
        <w:top w:val="none" w:sz="0" w:space="0" w:color="auto"/>
        <w:left w:val="none" w:sz="0" w:space="0" w:color="auto"/>
        <w:bottom w:val="none" w:sz="0" w:space="0" w:color="auto"/>
        <w:right w:val="none" w:sz="0" w:space="0" w:color="auto"/>
      </w:divBdr>
    </w:div>
    <w:div w:id="1824740760">
      <w:bodyDiv w:val="1"/>
      <w:marLeft w:val="0"/>
      <w:marRight w:val="0"/>
      <w:marTop w:val="0"/>
      <w:marBottom w:val="0"/>
      <w:divBdr>
        <w:top w:val="none" w:sz="0" w:space="0" w:color="auto"/>
        <w:left w:val="none" w:sz="0" w:space="0" w:color="auto"/>
        <w:bottom w:val="none" w:sz="0" w:space="0" w:color="auto"/>
        <w:right w:val="none" w:sz="0" w:space="0" w:color="auto"/>
      </w:divBdr>
    </w:div>
    <w:div w:id="1825002341">
      <w:bodyDiv w:val="1"/>
      <w:marLeft w:val="0"/>
      <w:marRight w:val="0"/>
      <w:marTop w:val="0"/>
      <w:marBottom w:val="0"/>
      <w:divBdr>
        <w:top w:val="none" w:sz="0" w:space="0" w:color="auto"/>
        <w:left w:val="none" w:sz="0" w:space="0" w:color="auto"/>
        <w:bottom w:val="none" w:sz="0" w:space="0" w:color="auto"/>
        <w:right w:val="none" w:sz="0" w:space="0" w:color="auto"/>
      </w:divBdr>
    </w:div>
    <w:div w:id="1825969014">
      <w:bodyDiv w:val="1"/>
      <w:marLeft w:val="0"/>
      <w:marRight w:val="0"/>
      <w:marTop w:val="0"/>
      <w:marBottom w:val="0"/>
      <w:divBdr>
        <w:top w:val="none" w:sz="0" w:space="0" w:color="auto"/>
        <w:left w:val="none" w:sz="0" w:space="0" w:color="auto"/>
        <w:bottom w:val="none" w:sz="0" w:space="0" w:color="auto"/>
        <w:right w:val="none" w:sz="0" w:space="0" w:color="auto"/>
      </w:divBdr>
    </w:div>
    <w:div w:id="1826124850">
      <w:bodyDiv w:val="1"/>
      <w:marLeft w:val="0"/>
      <w:marRight w:val="0"/>
      <w:marTop w:val="0"/>
      <w:marBottom w:val="0"/>
      <w:divBdr>
        <w:top w:val="none" w:sz="0" w:space="0" w:color="auto"/>
        <w:left w:val="none" w:sz="0" w:space="0" w:color="auto"/>
        <w:bottom w:val="none" w:sz="0" w:space="0" w:color="auto"/>
        <w:right w:val="none" w:sz="0" w:space="0" w:color="auto"/>
      </w:divBdr>
    </w:div>
    <w:div w:id="1827503349">
      <w:bodyDiv w:val="1"/>
      <w:marLeft w:val="0"/>
      <w:marRight w:val="0"/>
      <w:marTop w:val="0"/>
      <w:marBottom w:val="0"/>
      <w:divBdr>
        <w:top w:val="none" w:sz="0" w:space="0" w:color="auto"/>
        <w:left w:val="none" w:sz="0" w:space="0" w:color="auto"/>
        <w:bottom w:val="none" w:sz="0" w:space="0" w:color="auto"/>
        <w:right w:val="none" w:sz="0" w:space="0" w:color="auto"/>
      </w:divBdr>
    </w:div>
    <w:div w:id="1828743086">
      <w:bodyDiv w:val="1"/>
      <w:marLeft w:val="0"/>
      <w:marRight w:val="0"/>
      <w:marTop w:val="0"/>
      <w:marBottom w:val="0"/>
      <w:divBdr>
        <w:top w:val="none" w:sz="0" w:space="0" w:color="auto"/>
        <w:left w:val="none" w:sz="0" w:space="0" w:color="auto"/>
        <w:bottom w:val="none" w:sz="0" w:space="0" w:color="auto"/>
        <w:right w:val="none" w:sz="0" w:space="0" w:color="auto"/>
      </w:divBdr>
    </w:div>
    <w:div w:id="1830949371">
      <w:bodyDiv w:val="1"/>
      <w:marLeft w:val="0"/>
      <w:marRight w:val="0"/>
      <w:marTop w:val="0"/>
      <w:marBottom w:val="0"/>
      <w:divBdr>
        <w:top w:val="none" w:sz="0" w:space="0" w:color="auto"/>
        <w:left w:val="none" w:sz="0" w:space="0" w:color="auto"/>
        <w:bottom w:val="none" w:sz="0" w:space="0" w:color="auto"/>
        <w:right w:val="none" w:sz="0" w:space="0" w:color="auto"/>
      </w:divBdr>
    </w:div>
    <w:div w:id="1835299539">
      <w:bodyDiv w:val="1"/>
      <w:marLeft w:val="0"/>
      <w:marRight w:val="0"/>
      <w:marTop w:val="0"/>
      <w:marBottom w:val="0"/>
      <w:divBdr>
        <w:top w:val="none" w:sz="0" w:space="0" w:color="auto"/>
        <w:left w:val="none" w:sz="0" w:space="0" w:color="auto"/>
        <w:bottom w:val="none" w:sz="0" w:space="0" w:color="auto"/>
        <w:right w:val="none" w:sz="0" w:space="0" w:color="auto"/>
      </w:divBdr>
    </w:div>
    <w:div w:id="1843935760">
      <w:bodyDiv w:val="1"/>
      <w:marLeft w:val="0"/>
      <w:marRight w:val="0"/>
      <w:marTop w:val="0"/>
      <w:marBottom w:val="0"/>
      <w:divBdr>
        <w:top w:val="none" w:sz="0" w:space="0" w:color="auto"/>
        <w:left w:val="none" w:sz="0" w:space="0" w:color="auto"/>
        <w:bottom w:val="none" w:sz="0" w:space="0" w:color="auto"/>
        <w:right w:val="none" w:sz="0" w:space="0" w:color="auto"/>
      </w:divBdr>
    </w:div>
    <w:div w:id="1845825498">
      <w:bodyDiv w:val="1"/>
      <w:marLeft w:val="0"/>
      <w:marRight w:val="0"/>
      <w:marTop w:val="0"/>
      <w:marBottom w:val="0"/>
      <w:divBdr>
        <w:top w:val="none" w:sz="0" w:space="0" w:color="auto"/>
        <w:left w:val="none" w:sz="0" w:space="0" w:color="auto"/>
        <w:bottom w:val="none" w:sz="0" w:space="0" w:color="auto"/>
        <w:right w:val="none" w:sz="0" w:space="0" w:color="auto"/>
      </w:divBdr>
    </w:div>
    <w:div w:id="1846094715">
      <w:bodyDiv w:val="1"/>
      <w:marLeft w:val="0"/>
      <w:marRight w:val="0"/>
      <w:marTop w:val="0"/>
      <w:marBottom w:val="0"/>
      <w:divBdr>
        <w:top w:val="none" w:sz="0" w:space="0" w:color="auto"/>
        <w:left w:val="none" w:sz="0" w:space="0" w:color="auto"/>
        <w:bottom w:val="none" w:sz="0" w:space="0" w:color="auto"/>
        <w:right w:val="none" w:sz="0" w:space="0" w:color="auto"/>
      </w:divBdr>
    </w:div>
    <w:div w:id="1853761484">
      <w:bodyDiv w:val="1"/>
      <w:marLeft w:val="0"/>
      <w:marRight w:val="0"/>
      <w:marTop w:val="0"/>
      <w:marBottom w:val="0"/>
      <w:divBdr>
        <w:top w:val="none" w:sz="0" w:space="0" w:color="auto"/>
        <w:left w:val="none" w:sz="0" w:space="0" w:color="auto"/>
        <w:bottom w:val="none" w:sz="0" w:space="0" w:color="auto"/>
        <w:right w:val="none" w:sz="0" w:space="0" w:color="auto"/>
      </w:divBdr>
    </w:div>
    <w:div w:id="1855915518">
      <w:bodyDiv w:val="1"/>
      <w:marLeft w:val="0"/>
      <w:marRight w:val="0"/>
      <w:marTop w:val="0"/>
      <w:marBottom w:val="0"/>
      <w:divBdr>
        <w:top w:val="none" w:sz="0" w:space="0" w:color="auto"/>
        <w:left w:val="none" w:sz="0" w:space="0" w:color="auto"/>
        <w:bottom w:val="none" w:sz="0" w:space="0" w:color="auto"/>
        <w:right w:val="none" w:sz="0" w:space="0" w:color="auto"/>
      </w:divBdr>
    </w:div>
    <w:div w:id="1867981073">
      <w:bodyDiv w:val="1"/>
      <w:marLeft w:val="0"/>
      <w:marRight w:val="0"/>
      <w:marTop w:val="0"/>
      <w:marBottom w:val="0"/>
      <w:divBdr>
        <w:top w:val="none" w:sz="0" w:space="0" w:color="auto"/>
        <w:left w:val="none" w:sz="0" w:space="0" w:color="auto"/>
        <w:bottom w:val="none" w:sz="0" w:space="0" w:color="auto"/>
        <w:right w:val="none" w:sz="0" w:space="0" w:color="auto"/>
      </w:divBdr>
    </w:div>
    <w:div w:id="1875263620">
      <w:bodyDiv w:val="1"/>
      <w:marLeft w:val="0"/>
      <w:marRight w:val="0"/>
      <w:marTop w:val="0"/>
      <w:marBottom w:val="0"/>
      <w:divBdr>
        <w:top w:val="none" w:sz="0" w:space="0" w:color="auto"/>
        <w:left w:val="none" w:sz="0" w:space="0" w:color="auto"/>
        <w:bottom w:val="none" w:sz="0" w:space="0" w:color="auto"/>
        <w:right w:val="none" w:sz="0" w:space="0" w:color="auto"/>
      </w:divBdr>
    </w:div>
    <w:div w:id="1878227624">
      <w:bodyDiv w:val="1"/>
      <w:marLeft w:val="0"/>
      <w:marRight w:val="0"/>
      <w:marTop w:val="0"/>
      <w:marBottom w:val="0"/>
      <w:divBdr>
        <w:top w:val="none" w:sz="0" w:space="0" w:color="auto"/>
        <w:left w:val="none" w:sz="0" w:space="0" w:color="auto"/>
        <w:bottom w:val="none" w:sz="0" w:space="0" w:color="auto"/>
        <w:right w:val="none" w:sz="0" w:space="0" w:color="auto"/>
      </w:divBdr>
    </w:div>
    <w:div w:id="1880895273">
      <w:bodyDiv w:val="1"/>
      <w:marLeft w:val="0"/>
      <w:marRight w:val="0"/>
      <w:marTop w:val="0"/>
      <w:marBottom w:val="0"/>
      <w:divBdr>
        <w:top w:val="none" w:sz="0" w:space="0" w:color="auto"/>
        <w:left w:val="none" w:sz="0" w:space="0" w:color="auto"/>
        <w:bottom w:val="none" w:sz="0" w:space="0" w:color="auto"/>
        <w:right w:val="none" w:sz="0" w:space="0" w:color="auto"/>
      </w:divBdr>
    </w:div>
    <w:div w:id="1881673766">
      <w:bodyDiv w:val="1"/>
      <w:marLeft w:val="0"/>
      <w:marRight w:val="0"/>
      <w:marTop w:val="0"/>
      <w:marBottom w:val="0"/>
      <w:divBdr>
        <w:top w:val="none" w:sz="0" w:space="0" w:color="auto"/>
        <w:left w:val="none" w:sz="0" w:space="0" w:color="auto"/>
        <w:bottom w:val="none" w:sz="0" w:space="0" w:color="auto"/>
        <w:right w:val="none" w:sz="0" w:space="0" w:color="auto"/>
      </w:divBdr>
    </w:div>
    <w:div w:id="1882130141">
      <w:bodyDiv w:val="1"/>
      <w:marLeft w:val="0"/>
      <w:marRight w:val="0"/>
      <w:marTop w:val="0"/>
      <w:marBottom w:val="0"/>
      <w:divBdr>
        <w:top w:val="none" w:sz="0" w:space="0" w:color="auto"/>
        <w:left w:val="none" w:sz="0" w:space="0" w:color="auto"/>
        <w:bottom w:val="none" w:sz="0" w:space="0" w:color="auto"/>
        <w:right w:val="none" w:sz="0" w:space="0" w:color="auto"/>
      </w:divBdr>
    </w:div>
    <w:div w:id="1884096555">
      <w:bodyDiv w:val="1"/>
      <w:marLeft w:val="0"/>
      <w:marRight w:val="0"/>
      <w:marTop w:val="0"/>
      <w:marBottom w:val="0"/>
      <w:divBdr>
        <w:top w:val="none" w:sz="0" w:space="0" w:color="auto"/>
        <w:left w:val="none" w:sz="0" w:space="0" w:color="auto"/>
        <w:bottom w:val="none" w:sz="0" w:space="0" w:color="auto"/>
        <w:right w:val="none" w:sz="0" w:space="0" w:color="auto"/>
      </w:divBdr>
    </w:div>
    <w:div w:id="1888031748">
      <w:bodyDiv w:val="1"/>
      <w:marLeft w:val="0"/>
      <w:marRight w:val="0"/>
      <w:marTop w:val="0"/>
      <w:marBottom w:val="0"/>
      <w:divBdr>
        <w:top w:val="none" w:sz="0" w:space="0" w:color="auto"/>
        <w:left w:val="none" w:sz="0" w:space="0" w:color="auto"/>
        <w:bottom w:val="none" w:sz="0" w:space="0" w:color="auto"/>
        <w:right w:val="none" w:sz="0" w:space="0" w:color="auto"/>
      </w:divBdr>
    </w:div>
    <w:div w:id="1891915373">
      <w:bodyDiv w:val="1"/>
      <w:marLeft w:val="0"/>
      <w:marRight w:val="0"/>
      <w:marTop w:val="0"/>
      <w:marBottom w:val="0"/>
      <w:divBdr>
        <w:top w:val="none" w:sz="0" w:space="0" w:color="auto"/>
        <w:left w:val="none" w:sz="0" w:space="0" w:color="auto"/>
        <w:bottom w:val="none" w:sz="0" w:space="0" w:color="auto"/>
        <w:right w:val="none" w:sz="0" w:space="0" w:color="auto"/>
      </w:divBdr>
    </w:div>
    <w:div w:id="1895458105">
      <w:bodyDiv w:val="1"/>
      <w:marLeft w:val="0"/>
      <w:marRight w:val="0"/>
      <w:marTop w:val="0"/>
      <w:marBottom w:val="0"/>
      <w:divBdr>
        <w:top w:val="none" w:sz="0" w:space="0" w:color="auto"/>
        <w:left w:val="none" w:sz="0" w:space="0" w:color="auto"/>
        <w:bottom w:val="none" w:sz="0" w:space="0" w:color="auto"/>
        <w:right w:val="none" w:sz="0" w:space="0" w:color="auto"/>
      </w:divBdr>
    </w:div>
    <w:div w:id="1908874945">
      <w:bodyDiv w:val="1"/>
      <w:marLeft w:val="0"/>
      <w:marRight w:val="0"/>
      <w:marTop w:val="0"/>
      <w:marBottom w:val="0"/>
      <w:divBdr>
        <w:top w:val="none" w:sz="0" w:space="0" w:color="auto"/>
        <w:left w:val="none" w:sz="0" w:space="0" w:color="auto"/>
        <w:bottom w:val="none" w:sz="0" w:space="0" w:color="auto"/>
        <w:right w:val="none" w:sz="0" w:space="0" w:color="auto"/>
      </w:divBdr>
    </w:div>
    <w:div w:id="1910143950">
      <w:bodyDiv w:val="1"/>
      <w:marLeft w:val="0"/>
      <w:marRight w:val="0"/>
      <w:marTop w:val="0"/>
      <w:marBottom w:val="0"/>
      <w:divBdr>
        <w:top w:val="none" w:sz="0" w:space="0" w:color="auto"/>
        <w:left w:val="none" w:sz="0" w:space="0" w:color="auto"/>
        <w:bottom w:val="none" w:sz="0" w:space="0" w:color="auto"/>
        <w:right w:val="none" w:sz="0" w:space="0" w:color="auto"/>
      </w:divBdr>
    </w:div>
    <w:div w:id="1910840500">
      <w:bodyDiv w:val="1"/>
      <w:marLeft w:val="0"/>
      <w:marRight w:val="0"/>
      <w:marTop w:val="0"/>
      <w:marBottom w:val="0"/>
      <w:divBdr>
        <w:top w:val="none" w:sz="0" w:space="0" w:color="auto"/>
        <w:left w:val="none" w:sz="0" w:space="0" w:color="auto"/>
        <w:bottom w:val="none" w:sz="0" w:space="0" w:color="auto"/>
        <w:right w:val="none" w:sz="0" w:space="0" w:color="auto"/>
      </w:divBdr>
    </w:div>
    <w:div w:id="1920476363">
      <w:bodyDiv w:val="1"/>
      <w:marLeft w:val="0"/>
      <w:marRight w:val="0"/>
      <w:marTop w:val="0"/>
      <w:marBottom w:val="0"/>
      <w:divBdr>
        <w:top w:val="none" w:sz="0" w:space="0" w:color="auto"/>
        <w:left w:val="none" w:sz="0" w:space="0" w:color="auto"/>
        <w:bottom w:val="none" w:sz="0" w:space="0" w:color="auto"/>
        <w:right w:val="none" w:sz="0" w:space="0" w:color="auto"/>
      </w:divBdr>
    </w:div>
    <w:div w:id="1930000177">
      <w:bodyDiv w:val="1"/>
      <w:marLeft w:val="0"/>
      <w:marRight w:val="0"/>
      <w:marTop w:val="0"/>
      <w:marBottom w:val="0"/>
      <w:divBdr>
        <w:top w:val="none" w:sz="0" w:space="0" w:color="auto"/>
        <w:left w:val="none" w:sz="0" w:space="0" w:color="auto"/>
        <w:bottom w:val="none" w:sz="0" w:space="0" w:color="auto"/>
        <w:right w:val="none" w:sz="0" w:space="0" w:color="auto"/>
      </w:divBdr>
    </w:div>
    <w:div w:id="1930579213">
      <w:bodyDiv w:val="1"/>
      <w:marLeft w:val="0"/>
      <w:marRight w:val="0"/>
      <w:marTop w:val="0"/>
      <w:marBottom w:val="0"/>
      <w:divBdr>
        <w:top w:val="none" w:sz="0" w:space="0" w:color="auto"/>
        <w:left w:val="none" w:sz="0" w:space="0" w:color="auto"/>
        <w:bottom w:val="none" w:sz="0" w:space="0" w:color="auto"/>
        <w:right w:val="none" w:sz="0" w:space="0" w:color="auto"/>
      </w:divBdr>
    </w:div>
    <w:div w:id="1935238566">
      <w:bodyDiv w:val="1"/>
      <w:marLeft w:val="0"/>
      <w:marRight w:val="0"/>
      <w:marTop w:val="0"/>
      <w:marBottom w:val="0"/>
      <w:divBdr>
        <w:top w:val="none" w:sz="0" w:space="0" w:color="auto"/>
        <w:left w:val="none" w:sz="0" w:space="0" w:color="auto"/>
        <w:bottom w:val="none" w:sz="0" w:space="0" w:color="auto"/>
        <w:right w:val="none" w:sz="0" w:space="0" w:color="auto"/>
      </w:divBdr>
    </w:div>
    <w:div w:id="1949728047">
      <w:bodyDiv w:val="1"/>
      <w:marLeft w:val="0"/>
      <w:marRight w:val="0"/>
      <w:marTop w:val="0"/>
      <w:marBottom w:val="0"/>
      <w:divBdr>
        <w:top w:val="none" w:sz="0" w:space="0" w:color="auto"/>
        <w:left w:val="none" w:sz="0" w:space="0" w:color="auto"/>
        <w:bottom w:val="none" w:sz="0" w:space="0" w:color="auto"/>
        <w:right w:val="none" w:sz="0" w:space="0" w:color="auto"/>
      </w:divBdr>
    </w:div>
    <w:div w:id="1951083921">
      <w:bodyDiv w:val="1"/>
      <w:marLeft w:val="0"/>
      <w:marRight w:val="0"/>
      <w:marTop w:val="0"/>
      <w:marBottom w:val="0"/>
      <w:divBdr>
        <w:top w:val="none" w:sz="0" w:space="0" w:color="auto"/>
        <w:left w:val="none" w:sz="0" w:space="0" w:color="auto"/>
        <w:bottom w:val="none" w:sz="0" w:space="0" w:color="auto"/>
        <w:right w:val="none" w:sz="0" w:space="0" w:color="auto"/>
      </w:divBdr>
    </w:div>
    <w:div w:id="1955090241">
      <w:bodyDiv w:val="1"/>
      <w:marLeft w:val="0"/>
      <w:marRight w:val="0"/>
      <w:marTop w:val="0"/>
      <w:marBottom w:val="0"/>
      <w:divBdr>
        <w:top w:val="none" w:sz="0" w:space="0" w:color="auto"/>
        <w:left w:val="none" w:sz="0" w:space="0" w:color="auto"/>
        <w:bottom w:val="none" w:sz="0" w:space="0" w:color="auto"/>
        <w:right w:val="none" w:sz="0" w:space="0" w:color="auto"/>
      </w:divBdr>
    </w:div>
    <w:div w:id="1956600085">
      <w:bodyDiv w:val="1"/>
      <w:marLeft w:val="0"/>
      <w:marRight w:val="0"/>
      <w:marTop w:val="0"/>
      <w:marBottom w:val="0"/>
      <w:divBdr>
        <w:top w:val="none" w:sz="0" w:space="0" w:color="auto"/>
        <w:left w:val="none" w:sz="0" w:space="0" w:color="auto"/>
        <w:bottom w:val="none" w:sz="0" w:space="0" w:color="auto"/>
        <w:right w:val="none" w:sz="0" w:space="0" w:color="auto"/>
      </w:divBdr>
    </w:div>
    <w:div w:id="1957566242">
      <w:bodyDiv w:val="1"/>
      <w:marLeft w:val="0"/>
      <w:marRight w:val="0"/>
      <w:marTop w:val="0"/>
      <w:marBottom w:val="0"/>
      <w:divBdr>
        <w:top w:val="none" w:sz="0" w:space="0" w:color="auto"/>
        <w:left w:val="none" w:sz="0" w:space="0" w:color="auto"/>
        <w:bottom w:val="none" w:sz="0" w:space="0" w:color="auto"/>
        <w:right w:val="none" w:sz="0" w:space="0" w:color="auto"/>
      </w:divBdr>
    </w:div>
    <w:div w:id="1965427961">
      <w:bodyDiv w:val="1"/>
      <w:marLeft w:val="0"/>
      <w:marRight w:val="0"/>
      <w:marTop w:val="0"/>
      <w:marBottom w:val="0"/>
      <w:divBdr>
        <w:top w:val="none" w:sz="0" w:space="0" w:color="auto"/>
        <w:left w:val="none" w:sz="0" w:space="0" w:color="auto"/>
        <w:bottom w:val="none" w:sz="0" w:space="0" w:color="auto"/>
        <w:right w:val="none" w:sz="0" w:space="0" w:color="auto"/>
      </w:divBdr>
    </w:div>
    <w:div w:id="1974676414">
      <w:bodyDiv w:val="1"/>
      <w:marLeft w:val="0"/>
      <w:marRight w:val="0"/>
      <w:marTop w:val="0"/>
      <w:marBottom w:val="0"/>
      <w:divBdr>
        <w:top w:val="none" w:sz="0" w:space="0" w:color="auto"/>
        <w:left w:val="none" w:sz="0" w:space="0" w:color="auto"/>
        <w:bottom w:val="none" w:sz="0" w:space="0" w:color="auto"/>
        <w:right w:val="none" w:sz="0" w:space="0" w:color="auto"/>
      </w:divBdr>
    </w:div>
    <w:div w:id="1981762790">
      <w:bodyDiv w:val="1"/>
      <w:marLeft w:val="0"/>
      <w:marRight w:val="0"/>
      <w:marTop w:val="0"/>
      <w:marBottom w:val="0"/>
      <w:divBdr>
        <w:top w:val="none" w:sz="0" w:space="0" w:color="auto"/>
        <w:left w:val="none" w:sz="0" w:space="0" w:color="auto"/>
        <w:bottom w:val="none" w:sz="0" w:space="0" w:color="auto"/>
        <w:right w:val="none" w:sz="0" w:space="0" w:color="auto"/>
      </w:divBdr>
    </w:div>
    <w:div w:id="1990939995">
      <w:bodyDiv w:val="1"/>
      <w:marLeft w:val="0"/>
      <w:marRight w:val="0"/>
      <w:marTop w:val="0"/>
      <w:marBottom w:val="0"/>
      <w:divBdr>
        <w:top w:val="none" w:sz="0" w:space="0" w:color="auto"/>
        <w:left w:val="none" w:sz="0" w:space="0" w:color="auto"/>
        <w:bottom w:val="none" w:sz="0" w:space="0" w:color="auto"/>
        <w:right w:val="none" w:sz="0" w:space="0" w:color="auto"/>
      </w:divBdr>
    </w:div>
    <w:div w:id="1991205927">
      <w:bodyDiv w:val="1"/>
      <w:marLeft w:val="0"/>
      <w:marRight w:val="0"/>
      <w:marTop w:val="0"/>
      <w:marBottom w:val="0"/>
      <w:divBdr>
        <w:top w:val="none" w:sz="0" w:space="0" w:color="auto"/>
        <w:left w:val="none" w:sz="0" w:space="0" w:color="auto"/>
        <w:bottom w:val="none" w:sz="0" w:space="0" w:color="auto"/>
        <w:right w:val="none" w:sz="0" w:space="0" w:color="auto"/>
      </w:divBdr>
    </w:div>
    <w:div w:id="1996489598">
      <w:bodyDiv w:val="1"/>
      <w:marLeft w:val="0"/>
      <w:marRight w:val="0"/>
      <w:marTop w:val="0"/>
      <w:marBottom w:val="0"/>
      <w:divBdr>
        <w:top w:val="none" w:sz="0" w:space="0" w:color="auto"/>
        <w:left w:val="none" w:sz="0" w:space="0" w:color="auto"/>
        <w:bottom w:val="none" w:sz="0" w:space="0" w:color="auto"/>
        <w:right w:val="none" w:sz="0" w:space="0" w:color="auto"/>
      </w:divBdr>
    </w:div>
    <w:div w:id="1997371081">
      <w:bodyDiv w:val="1"/>
      <w:marLeft w:val="0"/>
      <w:marRight w:val="0"/>
      <w:marTop w:val="0"/>
      <w:marBottom w:val="0"/>
      <w:divBdr>
        <w:top w:val="none" w:sz="0" w:space="0" w:color="auto"/>
        <w:left w:val="none" w:sz="0" w:space="0" w:color="auto"/>
        <w:bottom w:val="none" w:sz="0" w:space="0" w:color="auto"/>
        <w:right w:val="none" w:sz="0" w:space="0" w:color="auto"/>
      </w:divBdr>
    </w:div>
    <w:div w:id="1997873866">
      <w:bodyDiv w:val="1"/>
      <w:marLeft w:val="0"/>
      <w:marRight w:val="0"/>
      <w:marTop w:val="0"/>
      <w:marBottom w:val="0"/>
      <w:divBdr>
        <w:top w:val="none" w:sz="0" w:space="0" w:color="auto"/>
        <w:left w:val="none" w:sz="0" w:space="0" w:color="auto"/>
        <w:bottom w:val="none" w:sz="0" w:space="0" w:color="auto"/>
        <w:right w:val="none" w:sz="0" w:space="0" w:color="auto"/>
      </w:divBdr>
    </w:div>
    <w:div w:id="1999532585">
      <w:bodyDiv w:val="1"/>
      <w:marLeft w:val="0"/>
      <w:marRight w:val="0"/>
      <w:marTop w:val="0"/>
      <w:marBottom w:val="0"/>
      <w:divBdr>
        <w:top w:val="none" w:sz="0" w:space="0" w:color="auto"/>
        <w:left w:val="none" w:sz="0" w:space="0" w:color="auto"/>
        <w:bottom w:val="none" w:sz="0" w:space="0" w:color="auto"/>
        <w:right w:val="none" w:sz="0" w:space="0" w:color="auto"/>
      </w:divBdr>
    </w:div>
    <w:div w:id="2003582624">
      <w:bodyDiv w:val="1"/>
      <w:marLeft w:val="0"/>
      <w:marRight w:val="0"/>
      <w:marTop w:val="0"/>
      <w:marBottom w:val="0"/>
      <w:divBdr>
        <w:top w:val="none" w:sz="0" w:space="0" w:color="auto"/>
        <w:left w:val="none" w:sz="0" w:space="0" w:color="auto"/>
        <w:bottom w:val="none" w:sz="0" w:space="0" w:color="auto"/>
        <w:right w:val="none" w:sz="0" w:space="0" w:color="auto"/>
      </w:divBdr>
    </w:div>
    <w:div w:id="2010062837">
      <w:bodyDiv w:val="1"/>
      <w:marLeft w:val="0"/>
      <w:marRight w:val="0"/>
      <w:marTop w:val="0"/>
      <w:marBottom w:val="0"/>
      <w:divBdr>
        <w:top w:val="none" w:sz="0" w:space="0" w:color="auto"/>
        <w:left w:val="none" w:sz="0" w:space="0" w:color="auto"/>
        <w:bottom w:val="none" w:sz="0" w:space="0" w:color="auto"/>
        <w:right w:val="none" w:sz="0" w:space="0" w:color="auto"/>
      </w:divBdr>
    </w:div>
    <w:div w:id="2016414564">
      <w:bodyDiv w:val="1"/>
      <w:marLeft w:val="0"/>
      <w:marRight w:val="0"/>
      <w:marTop w:val="0"/>
      <w:marBottom w:val="0"/>
      <w:divBdr>
        <w:top w:val="none" w:sz="0" w:space="0" w:color="auto"/>
        <w:left w:val="none" w:sz="0" w:space="0" w:color="auto"/>
        <w:bottom w:val="none" w:sz="0" w:space="0" w:color="auto"/>
        <w:right w:val="none" w:sz="0" w:space="0" w:color="auto"/>
      </w:divBdr>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7248088">
      <w:bodyDiv w:val="1"/>
      <w:marLeft w:val="0"/>
      <w:marRight w:val="0"/>
      <w:marTop w:val="0"/>
      <w:marBottom w:val="0"/>
      <w:divBdr>
        <w:top w:val="none" w:sz="0" w:space="0" w:color="auto"/>
        <w:left w:val="none" w:sz="0" w:space="0" w:color="auto"/>
        <w:bottom w:val="none" w:sz="0" w:space="0" w:color="auto"/>
        <w:right w:val="none" w:sz="0" w:space="0" w:color="auto"/>
      </w:divBdr>
    </w:div>
    <w:div w:id="2032492782">
      <w:bodyDiv w:val="1"/>
      <w:marLeft w:val="0"/>
      <w:marRight w:val="0"/>
      <w:marTop w:val="0"/>
      <w:marBottom w:val="0"/>
      <w:divBdr>
        <w:top w:val="none" w:sz="0" w:space="0" w:color="auto"/>
        <w:left w:val="none" w:sz="0" w:space="0" w:color="auto"/>
        <w:bottom w:val="none" w:sz="0" w:space="0" w:color="auto"/>
        <w:right w:val="none" w:sz="0" w:space="0" w:color="auto"/>
      </w:divBdr>
    </w:div>
    <w:div w:id="2033191517">
      <w:bodyDiv w:val="1"/>
      <w:marLeft w:val="0"/>
      <w:marRight w:val="0"/>
      <w:marTop w:val="0"/>
      <w:marBottom w:val="0"/>
      <w:divBdr>
        <w:top w:val="none" w:sz="0" w:space="0" w:color="auto"/>
        <w:left w:val="none" w:sz="0" w:space="0" w:color="auto"/>
        <w:bottom w:val="none" w:sz="0" w:space="0" w:color="auto"/>
        <w:right w:val="none" w:sz="0" w:space="0" w:color="auto"/>
      </w:divBdr>
    </w:div>
    <w:div w:id="2033259932">
      <w:bodyDiv w:val="1"/>
      <w:marLeft w:val="0"/>
      <w:marRight w:val="0"/>
      <w:marTop w:val="0"/>
      <w:marBottom w:val="0"/>
      <w:divBdr>
        <w:top w:val="none" w:sz="0" w:space="0" w:color="auto"/>
        <w:left w:val="none" w:sz="0" w:space="0" w:color="auto"/>
        <w:bottom w:val="none" w:sz="0" w:space="0" w:color="auto"/>
        <w:right w:val="none" w:sz="0" w:space="0" w:color="auto"/>
      </w:divBdr>
    </w:div>
    <w:div w:id="2033602384">
      <w:bodyDiv w:val="1"/>
      <w:marLeft w:val="0"/>
      <w:marRight w:val="0"/>
      <w:marTop w:val="0"/>
      <w:marBottom w:val="0"/>
      <w:divBdr>
        <w:top w:val="none" w:sz="0" w:space="0" w:color="auto"/>
        <w:left w:val="none" w:sz="0" w:space="0" w:color="auto"/>
        <w:bottom w:val="none" w:sz="0" w:space="0" w:color="auto"/>
        <w:right w:val="none" w:sz="0" w:space="0" w:color="auto"/>
      </w:divBdr>
    </w:div>
    <w:div w:id="2034645656">
      <w:bodyDiv w:val="1"/>
      <w:marLeft w:val="0"/>
      <w:marRight w:val="0"/>
      <w:marTop w:val="0"/>
      <w:marBottom w:val="0"/>
      <w:divBdr>
        <w:top w:val="none" w:sz="0" w:space="0" w:color="auto"/>
        <w:left w:val="none" w:sz="0" w:space="0" w:color="auto"/>
        <w:bottom w:val="none" w:sz="0" w:space="0" w:color="auto"/>
        <w:right w:val="none" w:sz="0" w:space="0" w:color="auto"/>
      </w:divBdr>
    </w:div>
    <w:div w:id="2041319665">
      <w:bodyDiv w:val="1"/>
      <w:marLeft w:val="0"/>
      <w:marRight w:val="0"/>
      <w:marTop w:val="0"/>
      <w:marBottom w:val="0"/>
      <w:divBdr>
        <w:top w:val="none" w:sz="0" w:space="0" w:color="auto"/>
        <w:left w:val="none" w:sz="0" w:space="0" w:color="auto"/>
        <w:bottom w:val="none" w:sz="0" w:space="0" w:color="auto"/>
        <w:right w:val="none" w:sz="0" w:space="0" w:color="auto"/>
      </w:divBdr>
    </w:div>
    <w:div w:id="2043239982">
      <w:bodyDiv w:val="1"/>
      <w:marLeft w:val="0"/>
      <w:marRight w:val="0"/>
      <w:marTop w:val="0"/>
      <w:marBottom w:val="0"/>
      <w:divBdr>
        <w:top w:val="none" w:sz="0" w:space="0" w:color="auto"/>
        <w:left w:val="none" w:sz="0" w:space="0" w:color="auto"/>
        <w:bottom w:val="none" w:sz="0" w:space="0" w:color="auto"/>
        <w:right w:val="none" w:sz="0" w:space="0" w:color="auto"/>
      </w:divBdr>
    </w:div>
    <w:div w:id="2044673892">
      <w:bodyDiv w:val="1"/>
      <w:marLeft w:val="0"/>
      <w:marRight w:val="0"/>
      <w:marTop w:val="0"/>
      <w:marBottom w:val="0"/>
      <w:divBdr>
        <w:top w:val="none" w:sz="0" w:space="0" w:color="auto"/>
        <w:left w:val="none" w:sz="0" w:space="0" w:color="auto"/>
        <w:bottom w:val="none" w:sz="0" w:space="0" w:color="auto"/>
        <w:right w:val="none" w:sz="0" w:space="0" w:color="auto"/>
      </w:divBdr>
    </w:div>
    <w:div w:id="2048870427">
      <w:bodyDiv w:val="1"/>
      <w:marLeft w:val="0"/>
      <w:marRight w:val="0"/>
      <w:marTop w:val="0"/>
      <w:marBottom w:val="0"/>
      <w:divBdr>
        <w:top w:val="none" w:sz="0" w:space="0" w:color="auto"/>
        <w:left w:val="none" w:sz="0" w:space="0" w:color="auto"/>
        <w:bottom w:val="none" w:sz="0" w:space="0" w:color="auto"/>
        <w:right w:val="none" w:sz="0" w:space="0" w:color="auto"/>
      </w:divBdr>
    </w:div>
    <w:div w:id="2055694909">
      <w:bodyDiv w:val="1"/>
      <w:marLeft w:val="0"/>
      <w:marRight w:val="0"/>
      <w:marTop w:val="0"/>
      <w:marBottom w:val="0"/>
      <w:divBdr>
        <w:top w:val="none" w:sz="0" w:space="0" w:color="auto"/>
        <w:left w:val="none" w:sz="0" w:space="0" w:color="auto"/>
        <w:bottom w:val="none" w:sz="0" w:space="0" w:color="auto"/>
        <w:right w:val="none" w:sz="0" w:space="0" w:color="auto"/>
      </w:divBdr>
    </w:div>
    <w:div w:id="2057006911">
      <w:bodyDiv w:val="1"/>
      <w:marLeft w:val="0"/>
      <w:marRight w:val="0"/>
      <w:marTop w:val="0"/>
      <w:marBottom w:val="0"/>
      <w:divBdr>
        <w:top w:val="none" w:sz="0" w:space="0" w:color="auto"/>
        <w:left w:val="none" w:sz="0" w:space="0" w:color="auto"/>
        <w:bottom w:val="none" w:sz="0" w:space="0" w:color="auto"/>
        <w:right w:val="none" w:sz="0" w:space="0" w:color="auto"/>
      </w:divBdr>
    </w:div>
    <w:div w:id="2063602133">
      <w:bodyDiv w:val="1"/>
      <w:marLeft w:val="0"/>
      <w:marRight w:val="0"/>
      <w:marTop w:val="0"/>
      <w:marBottom w:val="0"/>
      <w:divBdr>
        <w:top w:val="none" w:sz="0" w:space="0" w:color="auto"/>
        <w:left w:val="none" w:sz="0" w:space="0" w:color="auto"/>
        <w:bottom w:val="none" w:sz="0" w:space="0" w:color="auto"/>
        <w:right w:val="none" w:sz="0" w:space="0" w:color="auto"/>
      </w:divBdr>
    </w:div>
    <w:div w:id="2066832918">
      <w:bodyDiv w:val="1"/>
      <w:marLeft w:val="0"/>
      <w:marRight w:val="0"/>
      <w:marTop w:val="0"/>
      <w:marBottom w:val="0"/>
      <w:divBdr>
        <w:top w:val="none" w:sz="0" w:space="0" w:color="auto"/>
        <w:left w:val="none" w:sz="0" w:space="0" w:color="auto"/>
        <w:bottom w:val="none" w:sz="0" w:space="0" w:color="auto"/>
        <w:right w:val="none" w:sz="0" w:space="0" w:color="auto"/>
      </w:divBdr>
    </w:div>
    <w:div w:id="2074043558">
      <w:bodyDiv w:val="1"/>
      <w:marLeft w:val="0"/>
      <w:marRight w:val="0"/>
      <w:marTop w:val="0"/>
      <w:marBottom w:val="0"/>
      <w:divBdr>
        <w:top w:val="none" w:sz="0" w:space="0" w:color="auto"/>
        <w:left w:val="none" w:sz="0" w:space="0" w:color="auto"/>
        <w:bottom w:val="none" w:sz="0" w:space="0" w:color="auto"/>
        <w:right w:val="none" w:sz="0" w:space="0" w:color="auto"/>
      </w:divBdr>
    </w:div>
    <w:div w:id="2076930562">
      <w:bodyDiv w:val="1"/>
      <w:marLeft w:val="0"/>
      <w:marRight w:val="0"/>
      <w:marTop w:val="0"/>
      <w:marBottom w:val="0"/>
      <w:divBdr>
        <w:top w:val="none" w:sz="0" w:space="0" w:color="auto"/>
        <w:left w:val="none" w:sz="0" w:space="0" w:color="auto"/>
        <w:bottom w:val="none" w:sz="0" w:space="0" w:color="auto"/>
        <w:right w:val="none" w:sz="0" w:space="0" w:color="auto"/>
      </w:divBdr>
    </w:div>
    <w:div w:id="2079672771">
      <w:bodyDiv w:val="1"/>
      <w:marLeft w:val="0"/>
      <w:marRight w:val="0"/>
      <w:marTop w:val="0"/>
      <w:marBottom w:val="0"/>
      <w:divBdr>
        <w:top w:val="none" w:sz="0" w:space="0" w:color="auto"/>
        <w:left w:val="none" w:sz="0" w:space="0" w:color="auto"/>
        <w:bottom w:val="none" w:sz="0" w:space="0" w:color="auto"/>
        <w:right w:val="none" w:sz="0" w:space="0" w:color="auto"/>
      </w:divBdr>
    </w:div>
    <w:div w:id="2079741643">
      <w:bodyDiv w:val="1"/>
      <w:marLeft w:val="0"/>
      <w:marRight w:val="0"/>
      <w:marTop w:val="0"/>
      <w:marBottom w:val="0"/>
      <w:divBdr>
        <w:top w:val="none" w:sz="0" w:space="0" w:color="auto"/>
        <w:left w:val="none" w:sz="0" w:space="0" w:color="auto"/>
        <w:bottom w:val="none" w:sz="0" w:space="0" w:color="auto"/>
        <w:right w:val="none" w:sz="0" w:space="0" w:color="auto"/>
      </w:divBdr>
    </w:div>
    <w:div w:id="2080249701">
      <w:bodyDiv w:val="1"/>
      <w:marLeft w:val="0"/>
      <w:marRight w:val="0"/>
      <w:marTop w:val="0"/>
      <w:marBottom w:val="0"/>
      <w:divBdr>
        <w:top w:val="none" w:sz="0" w:space="0" w:color="auto"/>
        <w:left w:val="none" w:sz="0" w:space="0" w:color="auto"/>
        <w:bottom w:val="none" w:sz="0" w:space="0" w:color="auto"/>
        <w:right w:val="none" w:sz="0" w:space="0" w:color="auto"/>
      </w:divBdr>
    </w:div>
    <w:div w:id="2081444034">
      <w:bodyDiv w:val="1"/>
      <w:marLeft w:val="0"/>
      <w:marRight w:val="0"/>
      <w:marTop w:val="0"/>
      <w:marBottom w:val="0"/>
      <w:divBdr>
        <w:top w:val="none" w:sz="0" w:space="0" w:color="auto"/>
        <w:left w:val="none" w:sz="0" w:space="0" w:color="auto"/>
        <w:bottom w:val="none" w:sz="0" w:space="0" w:color="auto"/>
        <w:right w:val="none" w:sz="0" w:space="0" w:color="auto"/>
      </w:divBdr>
    </w:div>
    <w:div w:id="2082213263">
      <w:bodyDiv w:val="1"/>
      <w:marLeft w:val="0"/>
      <w:marRight w:val="0"/>
      <w:marTop w:val="0"/>
      <w:marBottom w:val="0"/>
      <w:divBdr>
        <w:top w:val="none" w:sz="0" w:space="0" w:color="auto"/>
        <w:left w:val="none" w:sz="0" w:space="0" w:color="auto"/>
        <w:bottom w:val="none" w:sz="0" w:space="0" w:color="auto"/>
        <w:right w:val="none" w:sz="0" w:space="0" w:color="auto"/>
      </w:divBdr>
    </w:div>
    <w:div w:id="2085948527">
      <w:bodyDiv w:val="1"/>
      <w:marLeft w:val="0"/>
      <w:marRight w:val="0"/>
      <w:marTop w:val="0"/>
      <w:marBottom w:val="0"/>
      <w:divBdr>
        <w:top w:val="none" w:sz="0" w:space="0" w:color="auto"/>
        <w:left w:val="none" w:sz="0" w:space="0" w:color="auto"/>
        <w:bottom w:val="none" w:sz="0" w:space="0" w:color="auto"/>
        <w:right w:val="none" w:sz="0" w:space="0" w:color="auto"/>
      </w:divBdr>
    </w:div>
    <w:div w:id="2090153084">
      <w:bodyDiv w:val="1"/>
      <w:marLeft w:val="0"/>
      <w:marRight w:val="0"/>
      <w:marTop w:val="0"/>
      <w:marBottom w:val="0"/>
      <w:divBdr>
        <w:top w:val="none" w:sz="0" w:space="0" w:color="auto"/>
        <w:left w:val="none" w:sz="0" w:space="0" w:color="auto"/>
        <w:bottom w:val="none" w:sz="0" w:space="0" w:color="auto"/>
        <w:right w:val="none" w:sz="0" w:space="0" w:color="auto"/>
      </w:divBdr>
    </w:div>
    <w:div w:id="2091465058">
      <w:bodyDiv w:val="1"/>
      <w:marLeft w:val="0"/>
      <w:marRight w:val="0"/>
      <w:marTop w:val="0"/>
      <w:marBottom w:val="0"/>
      <w:divBdr>
        <w:top w:val="none" w:sz="0" w:space="0" w:color="auto"/>
        <w:left w:val="none" w:sz="0" w:space="0" w:color="auto"/>
        <w:bottom w:val="none" w:sz="0" w:space="0" w:color="auto"/>
        <w:right w:val="none" w:sz="0" w:space="0" w:color="auto"/>
      </w:divBdr>
    </w:div>
    <w:div w:id="2097288619">
      <w:bodyDiv w:val="1"/>
      <w:marLeft w:val="0"/>
      <w:marRight w:val="0"/>
      <w:marTop w:val="0"/>
      <w:marBottom w:val="0"/>
      <w:divBdr>
        <w:top w:val="none" w:sz="0" w:space="0" w:color="auto"/>
        <w:left w:val="none" w:sz="0" w:space="0" w:color="auto"/>
        <w:bottom w:val="none" w:sz="0" w:space="0" w:color="auto"/>
        <w:right w:val="none" w:sz="0" w:space="0" w:color="auto"/>
      </w:divBdr>
    </w:div>
    <w:div w:id="2098398786">
      <w:bodyDiv w:val="1"/>
      <w:marLeft w:val="0"/>
      <w:marRight w:val="0"/>
      <w:marTop w:val="0"/>
      <w:marBottom w:val="0"/>
      <w:divBdr>
        <w:top w:val="none" w:sz="0" w:space="0" w:color="auto"/>
        <w:left w:val="none" w:sz="0" w:space="0" w:color="auto"/>
        <w:bottom w:val="none" w:sz="0" w:space="0" w:color="auto"/>
        <w:right w:val="none" w:sz="0" w:space="0" w:color="auto"/>
      </w:divBdr>
    </w:div>
    <w:div w:id="2099862432">
      <w:bodyDiv w:val="1"/>
      <w:marLeft w:val="0"/>
      <w:marRight w:val="0"/>
      <w:marTop w:val="0"/>
      <w:marBottom w:val="0"/>
      <w:divBdr>
        <w:top w:val="none" w:sz="0" w:space="0" w:color="auto"/>
        <w:left w:val="none" w:sz="0" w:space="0" w:color="auto"/>
        <w:bottom w:val="none" w:sz="0" w:space="0" w:color="auto"/>
        <w:right w:val="none" w:sz="0" w:space="0" w:color="auto"/>
      </w:divBdr>
    </w:div>
    <w:div w:id="2107730899">
      <w:bodyDiv w:val="1"/>
      <w:marLeft w:val="0"/>
      <w:marRight w:val="0"/>
      <w:marTop w:val="0"/>
      <w:marBottom w:val="0"/>
      <w:divBdr>
        <w:top w:val="none" w:sz="0" w:space="0" w:color="auto"/>
        <w:left w:val="none" w:sz="0" w:space="0" w:color="auto"/>
        <w:bottom w:val="none" w:sz="0" w:space="0" w:color="auto"/>
        <w:right w:val="none" w:sz="0" w:space="0" w:color="auto"/>
      </w:divBdr>
    </w:div>
    <w:div w:id="2113013414">
      <w:bodyDiv w:val="1"/>
      <w:marLeft w:val="0"/>
      <w:marRight w:val="0"/>
      <w:marTop w:val="0"/>
      <w:marBottom w:val="0"/>
      <w:divBdr>
        <w:top w:val="none" w:sz="0" w:space="0" w:color="auto"/>
        <w:left w:val="none" w:sz="0" w:space="0" w:color="auto"/>
        <w:bottom w:val="none" w:sz="0" w:space="0" w:color="auto"/>
        <w:right w:val="none" w:sz="0" w:space="0" w:color="auto"/>
      </w:divBdr>
    </w:div>
    <w:div w:id="2135829171">
      <w:bodyDiv w:val="1"/>
      <w:marLeft w:val="0"/>
      <w:marRight w:val="0"/>
      <w:marTop w:val="0"/>
      <w:marBottom w:val="0"/>
      <w:divBdr>
        <w:top w:val="none" w:sz="0" w:space="0" w:color="auto"/>
        <w:left w:val="none" w:sz="0" w:space="0" w:color="auto"/>
        <w:bottom w:val="none" w:sz="0" w:space="0" w:color="auto"/>
        <w:right w:val="none" w:sz="0" w:space="0" w:color="auto"/>
      </w:divBdr>
    </w:div>
    <w:div w:id="214592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2.png@01D6C4D5.BD82C370" TargetMode="External"/><Relationship Id="rId18" Type="http://schemas.openxmlformats.org/officeDocument/2006/relationships/hyperlink" Target="https://consultations.health.gov.au/hearing-and-program-support-division/hsp-review-consultat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ris.pmc.gov.au/2020/10/22/ensuring-sustainable-hearing-services-progra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88264A909642CDB0BF5874426A998E"/>
        <w:category>
          <w:name w:val="General"/>
          <w:gallery w:val="placeholder"/>
        </w:category>
        <w:types>
          <w:type w:val="bbPlcHdr"/>
        </w:types>
        <w:behaviors>
          <w:behavior w:val="content"/>
        </w:behaviors>
        <w:guid w:val="{10CEB4CC-81D8-4FB2-BD60-9B97694D274F}"/>
      </w:docPartPr>
      <w:docPartBody>
        <w:p w:rsidR="00792734" w:rsidRDefault="0079273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7B74CF"/>
    <w:rsid w:val="000C6156"/>
    <w:rsid w:val="000E1C3C"/>
    <w:rsid w:val="00174796"/>
    <w:rsid w:val="001F72A6"/>
    <w:rsid w:val="003C42A7"/>
    <w:rsid w:val="0069386E"/>
    <w:rsid w:val="006C0DB8"/>
    <w:rsid w:val="00792734"/>
    <w:rsid w:val="007B74CF"/>
    <w:rsid w:val="00803306"/>
    <w:rsid w:val="008906EA"/>
    <w:rsid w:val="00AA23D4"/>
    <w:rsid w:val="00B10D59"/>
    <w:rsid w:val="00B852DC"/>
    <w:rsid w:val="00C17F06"/>
    <w:rsid w:val="00F1014D"/>
    <w:rsid w:val="00F63C94"/>
    <w:rsid w:val="00F959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2CE11C59A74E4BA7331300CAD77F4B">
    <w:name w:val="262CE11C59A74E4BA7331300CAD77F4B"/>
    <w:rsid w:val="00174796"/>
  </w:style>
  <w:style w:type="paragraph" w:customStyle="1" w:styleId="7505039B0DC34D3492A7B0A746684C3A">
    <w:name w:val="7505039B0DC34D3492A7B0A746684C3A"/>
    <w:rsid w:val="00174796"/>
  </w:style>
  <w:style w:type="paragraph" w:customStyle="1" w:styleId="B793173E29274EB5A78755763520E841">
    <w:name w:val="B793173E29274EB5A78755763520E841"/>
    <w:rsid w:val="00174796"/>
  </w:style>
  <w:style w:type="paragraph" w:customStyle="1" w:styleId="EF4B492017524385B9744B1F5F7114B5">
    <w:name w:val="EF4B492017524385B9744B1F5F7114B5"/>
    <w:rsid w:val="00174796"/>
  </w:style>
  <w:style w:type="paragraph" w:customStyle="1" w:styleId="38C3B6312CDA4CFB840C6E05D55B0A1D">
    <w:name w:val="38C3B6312CDA4CFB840C6E05D55B0A1D"/>
    <w:rsid w:val="00174796"/>
  </w:style>
  <w:style w:type="paragraph" w:customStyle="1" w:styleId="DBBC9B33459048479FEA18B0D99154D8">
    <w:name w:val="DBBC9B33459048479FEA18B0D99154D8"/>
    <w:rsid w:val="00174796"/>
  </w:style>
  <w:style w:type="paragraph" w:customStyle="1" w:styleId="6E0A0A9FF24A4257B130033B89C18831">
    <w:name w:val="6E0A0A9FF24A4257B130033B89C18831"/>
    <w:rsid w:val="00174796"/>
  </w:style>
  <w:style w:type="paragraph" w:customStyle="1" w:styleId="80FB5A55EE1A4E0CA38917C4125202B1">
    <w:name w:val="80FB5A55EE1A4E0CA38917C4125202B1"/>
    <w:rsid w:val="00174796"/>
  </w:style>
  <w:style w:type="paragraph" w:customStyle="1" w:styleId="A92C0E7133C44EAB8F7D8798708B549A">
    <w:name w:val="A92C0E7133C44EAB8F7D8798708B549A"/>
    <w:rsid w:val="00174796"/>
  </w:style>
  <w:style w:type="paragraph" w:customStyle="1" w:styleId="3DD55C51C23B4045B2F91CFB03A2DAF3">
    <w:name w:val="3DD55C51C23B4045B2F91CFB03A2DAF3"/>
    <w:rsid w:val="00174796"/>
  </w:style>
  <w:style w:type="paragraph" w:customStyle="1" w:styleId="BB360F50D4FF4265BBCCB0C90A9DD228">
    <w:name w:val="BB360F50D4FF4265BBCCB0C90A9DD228"/>
    <w:rsid w:val="00174796"/>
  </w:style>
  <w:style w:type="paragraph" w:customStyle="1" w:styleId="0D4786FD146E4569A953B6188DCA9830">
    <w:name w:val="0D4786FD146E4569A953B6188DCA9830"/>
    <w:rsid w:val="001747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925BF1FF35A24BBF7C7E6311782AED" ma:contentTypeVersion="4" ma:contentTypeDescription="Create a new document." ma:contentTypeScope="" ma:versionID="5db872ddd2bfde66201bfd01b78d2ea2">
  <xsd:schema xmlns:xsd="http://www.w3.org/2001/XMLSchema" xmlns:xs="http://www.w3.org/2001/XMLSchema" xmlns:p="http://schemas.microsoft.com/office/2006/metadata/properties" xmlns:ns2="2aefb070-f849-41da-ae64-f7d9ebfbc967" targetNamespace="http://schemas.microsoft.com/office/2006/metadata/properties" ma:root="true" ma:fieldsID="0884b3872c6cccf04fd4fb6b4d04f031" ns2:_="">
    <xsd:import namespace="2aefb070-f849-41da-ae64-f7d9ebfbc9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fb070-f849-41da-ae64-f7d9ebfbc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HCIA17</b:Tag>
    <b:SourceType>Report</b:SourceType>
    <b:Guid>{35BBB87E-5CFA-4F27-B921-B785A1607658}</b:Guid>
    <b:Title>The Social and Economic Cost of Hearing Loss in Australia</b:Title>
    <b:Year>2017</b:Year>
    <b:Author>
      <b:Author>
        <b:Corporate>Hearing Care Industry Association</b:Corporate>
      </b:Author>
    </b:Author>
    <b:URL>http://www.hcia.com.au/hcia-wp/wp-content/uploads/2015/05/Social-and-Economic-Cost-of-Hearing-Health-in-Australia_June-2017.pdf</b:URL>
    <b:RefOrder>4</b:RefOrder>
  </b:Source>
  <b:Source>
    <b:Tag>AboutTheProgram</b:Tag>
    <b:SourceType>InternetSite</b:SourceType>
    <b:Guid>{7AF428E9-3B85-4065-8A96-18EA97FE196E}</b:Guid>
    <b:Title>About the Program</b:Title>
    <b:Year>2020</b:Year>
    <b:Author>
      <b:Author>
        <b:Corporate>Hearing Services Program</b:Corporate>
      </b:Author>
    </b:Author>
    <b:InternetSiteTitle>Hearing Services Program, Department of Health</b:InternetSiteTitle>
    <b:Month>November</b:Month>
    <b:Day>10</b:Day>
    <b:URL>www.hearingservices.gov.au/wps/portal/hso/site/about/whoarewe/about_aghsp/</b:URL>
    <b:RefOrder>6</b:RefOrder>
  </b:Source>
  <b:Source>
    <b:Tag>AnnualStatsHSP</b:Tag>
    <b:SourceType>InternetSite</b:SourceType>
    <b:Guid>{A232B741-4286-4938-8FF5-195AEC01456F}</b:Guid>
    <b:Author>
      <b:Author>
        <b:Corporate>Hearing Services Program</b:Corporate>
      </b:Author>
    </b:Author>
    <b:Title>Annual Program Statistics 2019-2020</b:Title>
    <b:InternetSiteTitle>Hearing Services Program, Department of Health</b:InternetSiteTitle>
    <b:Year>2020</b:Year>
    <b:Month>November</b:Month>
    <b:Day>10</b:Day>
    <b:URL>www.hearingservices.gov.au/wps/portal/hso/site/about/program_stats/annual-program-stats/ </b:URL>
    <b:RefOrder>7</b:RefOrder>
  </b:Source>
  <b:Source>
    <b:Tag>Hea20</b:Tag>
    <b:SourceType>InternetSite</b:SourceType>
    <b:Guid>{6864A7D0-D23B-49DD-ACC9-226E9716BC6E}</b:Guid>
    <b:Author>
      <b:Author>
        <b:Corporate>Hearing Services Program</b:Corporate>
      </b:Author>
    </b:Author>
    <b:Title>Provider Factsheet - Government Announcement of Changes to the Hearing Services Program</b:Title>
    <b:InternetSiteTitle>Hearing Services Program, Department of Health</b:InternetSiteTitle>
    <b:Year>2020</b:Year>
    <b:Month>November</b:Month>
    <b:Day>10</b:Day>
    <b:URL>http://www.hearingservices.gov.au/wps/wcm/connect/hso+content/public/home/hearing_professionals/deliveringservices/provider_factsheets/government+announcement+of+changes+to+the+hearing+services+program</b:URL>
    <b:RefOrder>8</b:RefOrder>
  </b:Source>
  <b:Source>
    <b:Tag>Aus19</b:Tag>
    <b:SourceType>DocumentFromInternetSite</b:SourceType>
    <b:Guid>{1FA312AF-CF39-4CFA-8F33-0C2643C869BF}</b:Guid>
    <b:Title>Workforce Incentive Program (WIP)</b:Title>
    <b:Year>2019</b:Year>
    <b:InternetSiteTitle>Department of Health</b:InternetSiteTitle>
    <b:Month>October</b:Month>
    <b:URL>https://www1.health.gov.au/internet/main/publishing.nsf/Content/2B5AFC2D41B4C6C3CA2583840075D4A3/$File/Factsheet%20-%20WIP%20-%20October%202019.pdf </b:URL>
    <b:Author>
      <b:Author>
        <b:Corporate>Australian Government Department of Health</b:Corporate>
      </b:Author>
    </b:Author>
    <b:YearAccessed>2020</b:YearAccessed>
    <b:MonthAccessed>November</b:MonthAccessed>
    <b:DayAccessed>10</b:DayAccessed>
    <b:RefOrder>14</b:RefOrder>
  </b:Source>
  <b:Source>
    <b:Tag>Dep20</b:Tag>
    <b:SourceType>DocumentFromInternetSite</b:SourceType>
    <b:Guid>{EFF6E999-6CF7-4B8C-970A-F5A759C67030}</b:Guid>
    <b:Title>Workforce Incentive Program Factsheet</b:Title>
    <b:Year>2020</b:Year>
    <b:InternetSiteTitle>Australian Government - Department of Health</b:InternetSiteTitle>
    <b:Month>November</b:Month>
    <b:Day>6</b:Day>
    <b:URL>https://www1.health.gov.au/internet/main/publishing.nsf/Content/work-pr-wip-factsheet </b:URL>
    <b:Author>
      <b:Author>
        <b:Corporate>Department of Health</b:Corporate>
      </b:Author>
    </b:Author>
    <b:YearAccessed>2020</b:YearAccessed>
    <b:MonthAccessed>November</b:MonthAccessed>
    <b:DayAccessed>10</b:DayAccessed>
    <b:RefOrder>16</b:RefOrder>
  </b:Source>
  <b:Source>
    <b:Tag>Davis</b:Tag>
    <b:SourceType>Book</b:SourceType>
    <b:Guid>{2C435D50-A3E0-4C52-8BFC-35675484DE9C}</b:Guid>
    <b:Author>
      <b:Author>
        <b:NameList>
          <b:Person>
            <b:Last>Davis</b:Last>
            <b:First>Adrian</b:First>
          </b:Person>
        </b:NameList>
      </b:Author>
    </b:Author>
    <b:Title>Hearing in Adults: The Prevalence and Distribution of Hearing Impairment and Reported Hearing Disability in the MRC Institute of Hearing Research's National Study of Hearing</b:Title>
    <b:Year>1995</b:Year>
    <b:Publisher>Whurr</b:Publisher>
    <b:RefOrder>2</b:RefOrder>
  </b:Source>
  <b:Source>
    <b:Tag>RIS_hearing</b:Tag>
    <b:SourceType>Report</b:SourceType>
    <b:Guid>{38A28FFB-BBB0-4E22-B87B-9A8A243D3DFC}</b:Guid>
    <b:Title>Ensuring a Sustainable Hearing Services Program: Regulation Impact Statement - Department of Health</b:Title>
    <b:Year>2020</b:Year>
    <b:Author>
      <b:Author>
        <b:Corporate>Hearing Services Program</b:Corporate>
      </b:Author>
    </b:Author>
    <b:Publisher>Department of the Prime Minister and Cabinet, Australian Government</b:Publisher>
    <b:URL>https://ris.pmc.gov.au/2020/10/22/ensuring-sustainable-hearing-services-program</b:URL>
    <b:RefOrder>1</b:RefOrder>
  </b:Source>
  <b:Source>
    <b:Tag>Dep</b:Tag>
    <b:SourceType>InternetSite</b:SourceType>
    <b:Guid>{20D6772C-EF3C-4C0E-8F2A-C2E6DDCEFC70}</b:Guid>
    <b:Title>The Bonded Medical Program New Arrangement</b:Title>
    <b:InternetSiteTitle>Australian Government - Department of Health</b:InternetSiteTitle>
    <b:URL>https://www1.health.gov.au/internet/main/publishing.nsf/Content/reformed-bonded-programs</b:URL>
    <b:Author>
      <b:Author>
        <b:Corporate>Department of Health</b:Corporate>
      </b:Author>
    </b:Author>
    <b:RefOrder>17</b:RefOrder>
  </b:Source>
  <b:Source>
    <b:Tag>Dep1</b:Tag>
    <b:SourceType>DocumentFromInternetSite</b:SourceType>
    <b:Guid>{55384DA4-99B9-45FB-8691-612080B5EF13}</b:Guid>
    <b:Title>Rural Bulk Billing Incentives</b:Title>
    <b:InternetSiteTitle>Australian Government - Department of Health</b:InternetSiteTitle>
    <b:URL>https://www.health.gov.au/sites/default/files/download-pdf.pdf</b:URL>
    <b:Author>
      <b:Author>
        <b:Corporate>Department of Health</b:Corporate>
      </b:Author>
    </b:Author>
    <b:RefOrder>15</b:RefOrder>
  </b:Source>
  <b:Source>
    <b:Tag>Dep19</b:Tag>
    <b:SourceType>DocumentFromInternetSite</b:SourceType>
    <b:Guid>{820B7CCB-F447-4931-B929-9FD93E54BF59}</b:Guid>
    <b:Author>
      <b:Author>
        <b:Corporate>Department of Health</b:Corporate>
      </b:Author>
    </b:Author>
    <b:Title>Modified Monash Model - fact sheet </b:Title>
    <b:InternetSiteTitle>Australian Government - Department of Health</b:InternetSiteTitle>
    <b:Year>2019</b:Year>
    <b:Month>June</b:Month>
    <b:Day>28</b:Day>
    <b:URL>https://www.health.gov.au/resources/publications/modified-monash-model-fact-sheet</b:URL>
    <b:RefOrder>18</b:RefOrder>
  </b:Source>
  <b:Source>
    <b:Tag>Aus204</b:Tag>
    <b:SourceType>InternetSite</b:SourceType>
    <b:Guid>{D1B9C7EE-C010-4EAD-AD4F-5A9223A845BF}</b:Guid>
    <b:Title>Rural and Remote Health</b:Title>
    <b:InternetSiteTitle>Australian Government - Australian Institute of Health and Welfare</b:InternetSiteTitle>
    <b:Year>2020</b:Year>
    <b:Month>July</b:Month>
    <b:Day>23</b:Day>
    <b:URL>https://www.aihw.gov.au/reports/australias-health/rural-and-remote-health</b:URL>
    <b:Author>
      <b:Author>
        <b:Corporate>Australian Institute of Health and Welfare</b:Corporate>
      </b:Author>
    </b:Author>
    <b:RefOrder>10</b:RefOrder>
  </b:Source>
  <b:Source>
    <b:Tag>Spe20</b:Tag>
    <b:SourceType>InternetSite</b:SourceType>
    <b:Guid>{44C4D908-52DE-4CFB-BE70-9F9DBDF643E8}</b:Guid>
    <b:Title>Joint venture partnership</b:Title>
    <b:InternetSiteTitle>Specsavers</b:InternetSiteTitle>
    <b:Year>2020</b:Year>
    <b:Month>November</b:Month>
    <b:Day>17</b:Day>
    <b:URL>https://join.specsavers.com/uk/explore-careers/partnership-at-specsavers/</b:URL>
    <b:Author>
      <b:Author>
        <b:Corporate>Specsavers</b:Corporate>
      </b:Author>
    </b:Author>
    <b:RefOrder>19</b:RefOrder>
  </b:Source>
  <b:Source>
    <b:Tag>Fis11</b:Tag>
    <b:SourceType>JournalArticle</b:SourceType>
    <b:Guid>{113B0C7A-F1B5-4E51-9188-875D9628FB99}</b:Guid>
    <b:Author>
      <b:Author>
        <b:NameList>
          <b:Person>
            <b:Last>Fischer</b:Last>
            <b:First>M.E.,</b:First>
            <b:Middle>Cruickshanks, K.J., Wiley, T.L., Klein, R., &amp; Tweed, T.S</b:Middle>
          </b:Person>
        </b:NameList>
      </b:Author>
    </b:Author>
    <b:Title>Determinants of hearing aid acquisition in older adults</b:Title>
    <b:InternetSiteTitle>American journal of public health</b:InternetSiteTitle>
    <b:Year>2011</b:Year>
    <b:Month>August</b:Month>
    <b:URL>https://www.ncbi.nlm.nih.gov/pmc/articles/PMC3134488/</b:URL>
    <b:YearAccessed>2020</b:YearAccessed>
    <b:MonthAccessed>November</b:MonthAccessed>
    <b:DayAccessed>17</b:DayAccessed>
    <b:DOI>https://dx.doi.org/10.2105%2FAJPH.2010.300078</b:DOI>
    <b:JournalName>American journal of public health</b:JournalName>
    <b:Pages>1449-1455</b:Pages>
    <b:Publisher>US National Library of Medicine</b:Publisher>
    <b:Volume>101</b:Volume>
    <b:Issue>8</b:Issue>
    <b:RefOrder>5</b:RefOrder>
  </b:Source>
  <b:Source>
    <b:Tag>Emm15</b:Tag>
    <b:SourceType>JournalArticle</b:SourceType>
    <b:Guid>{12B38254-8042-4CC5-BB33-6F5874DA6D0D}</b:Guid>
    <b:Title>The socioeconomic impact of hearing loss in U.S. adults</b:Title>
    <b:Year>2015</b:Year>
    <b:Month>March</b:Month>
    <b:URL>https://pubmed.ncbi.nlm.nih.gov/25158616/</b:URL>
    <b:JournalName>Otol Neurotol</b:JournalName>
    <b:Pages>545-550</b:Pages>
    <b:Author>
      <b:Author>
        <b:NameList>
          <b:Person>
            <b:Last>Emmett SD</b:Last>
            <b:First>Francis</b:First>
            <b:Middle>HW</b:Middle>
          </b:Person>
        </b:NameList>
      </b:Author>
    </b:Author>
    <b:Publisher>Pubmed</b:Publisher>
    <b:Volume>36</b:Volume>
    <b:Issue>3</b:Issue>
    <b:YearAccessed>2020</b:YearAccessed>
    <b:MonthAccessed>November</b:MonthAccessed>
    <b:DayAccessed>17</b:DayAccessed>
    <b:DOI>10.1097/MAO.0000000000000562. </b:DOI>
    <b:RefOrder>12</b:RefOrder>
  </b:Source>
  <b:Source>
    <b:Tag>Sch18</b:Tag>
    <b:SourceType>JournalArticle</b:SourceType>
    <b:Guid>{ACDCD0FA-0F25-4909-947D-4A673F6FAC77}</b:Guid>
    <b:Title>Socioeconomic differences in hearing among middle-aged and older adults: cross-sectional analyses using the Health Survey for England</b:Title>
    <b:JournalName>British Medical Journal</b:JournalName>
    <b:Year>2018</b:Year>
    <b:Author>
      <b:Author>
        <b:NameList>
          <b:Person>
            <b:Last>Scholes S</b:Last>
            <b:First>Biddulph</b:First>
            <b:Middle>J, Davis A, et al.</b:Middle>
          </b:Person>
        </b:NameList>
      </b:Author>
    </b:Author>
    <b:Month>February</b:Month>
    <b:Day>1</b:Day>
    <b:Publisher>British Medical Journal</b:Publisher>
    <b:Volume>8</b:Volume>
    <b:YearAccessed>2020</b:YearAccessed>
    <b:MonthAccessed>November</b:MonthAccessed>
    <b:DayAccessed>17</b:DayAccessed>
    <b:URL>https://bmjopen.bmj.com/content/bmjopen/8/2/e019615.full.pdf</b:URL>
    <b:DOI>10.1136/bmjopen-2017-019615</b:DOI>
    <b:RefOrder>13</b:RefOrder>
  </b:Source>
  <b:Source>
    <b:Tag>Aus18</b:Tag>
    <b:SourceType>DocumentFromInternetSite</b:SourceType>
    <b:Guid>{EA8D84B3-90C3-4095-949D-6D3CC0B4ECC0}</b:Guid>
    <b:Author>
      <b:Author>
        <b:Corporate>Australian Bureau of Statistics</b:Corporate>
      </b:Author>
    </b:Author>
    <b:Title>Census of Population and Housing: Reflecting Australia - Stories from the Census 2015 - Socio-Economic Advantage and Disadvantage</b:Title>
    <b:Year>2018</b:Year>
    <b:InternetSiteTitle>abs.gov.au</b:InternetSiteTitle>
    <b:Month>March</b:Month>
    <b:Day>27</b:Day>
    <b:URL>https://www.abs.gov.au/ausstats/abs@.nsf/Lookup/by%20Subject/2071.0~2016~Main%20Features~Socio-Economic%20Advantage%20and%20Disadvantage~123</b:URL>
    <b:YearAccessed>2020</b:YearAccessed>
    <b:MonthAccessed>November</b:MonthAccessed>
    <b:DayAccessed>17</b:DayAccessed>
    <b:RefOrder>11</b:RefOrder>
  </b:Source>
  <b:Source>
    <b:Tag>Off20</b:Tag>
    <b:SourceType>DocumentFromInternetSite</b:SourceType>
    <b:Guid>{BACFB674-B27F-4F3A-BDA4-7E13D1A6E56C}</b:Guid>
    <b:Author>
      <b:Author>
        <b:Corporate>Office of Best Practice Regulation</b:Corporate>
      </b:Author>
    </b:Author>
    <b:Title>ENSURING A SUSTAINABLE HEARING SERVICES PROGRAM</b:Title>
    <b:InternetSiteTitle>ris.pmc.gov.au</b:InternetSiteTitle>
    <b:Year>2020</b:Year>
    <b:Month>October</b:Month>
    <b:Day>22</b:Day>
    <b:URL>https://ris.pmc.gov.au/2020/10/22/ensuring-sustainable-hearing-services-program</b:URL>
    <b:RefOrder>9</b:RefOrder>
  </b:Source>
  <b:Source>
    <b:Tag>Dav15</b:Tag>
    <b:SourceType>JournalArticle</b:SourceType>
    <b:Guid>{BCA174B5-48AF-43DF-B2ED-F6B8730070E7}</b:Guid>
    <b:Title>Stigma Regarding Hearing Loss and Hearing Aids: A Scoping Review</b:Title>
    <b:Year>2015</b:Year>
    <b:Month>December</b:Month>
    <b:Day>7</b:Day>
    <b:URL>https://www.researchgate.net/publication/286403869_Stigma_Regarding_Hearing_Loss_and_Hearing_Aids_A_Scoping_Review</b:URL>
    <b:JournalName>Stigma and Health</b:JournalName>
    <b:Author>
      <b:Author>
        <b:NameList>
          <b:Person>
            <b:Last>David</b:Last>
            <b:First>Dana</b:First>
            <b:Middle>and Werner, Perla</b:Middle>
          </b:Person>
        </b:NameList>
      </b:Author>
    </b:Author>
    <b:DOI>10.1037/sah0000022</b:DOI>
    <b:RefOrder>3</b:RefOrder>
  </b:Source>
</b:Sources>
</file>

<file path=customXml/itemProps1.xml><?xml version="1.0" encoding="utf-8"?>
<ds:datastoreItem xmlns:ds="http://schemas.openxmlformats.org/officeDocument/2006/customXml" ds:itemID="{5F9E1B8E-CE81-4286-B9D9-4FBF1D77066D}">
  <ds:schemaRefs>
    <ds:schemaRef ds:uri="http://schemas.microsoft.com/sharepoint/v3/contenttype/forms"/>
  </ds:schemaRefs>
</ds:datastoreItem>
</file>

<file path=customXml/itemProps2.xml><?xml version="1.0" encoding="utf-8"?>
<ds:datastoreItem xmlns:ds="http://schemas.openxmlformats.org/officeDocument/2006/customXml" ds:itemID="{1BC9F6C7-CB32-4A49-88D6-328DE7858E8E}">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2aefb070-f849-41da-ae64-f7d9ebfbc967"/>
    <ds:schemaRef ds:uri="http://www.w3.org/XML/1998/namespace"/>
  </ds:schemaRefs>
</ds:datastoreItem>
</file>

<file path=customXml/itemProps3.xml><?xml version="1.0" encoding="utf-8"?>
<ds:datastoreItem xmlns:ds="http://schemas.openxmlformats.org/officeDocument/2006/customXml" ds:itemID="{88610514-78AD-41E0-B013-12B484FF3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fb070-f849-41da-ae64-f7d9ebfbc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BE71CC-F0CE-4490-88D5-E78392BCD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9698</Words>
  <Characters>55283</Characters>
  <Application>Microsoft Office Word</Application>
  <DocSecurity>4</DocSecurity>
  <Lines>460</Lines>
  <Paragraphs>129</Paragraphs>
  <ScaleCrop>false</ScaleCrop>
  <HeadingPairs>
    <vt:vector size="2" baseType="variant">
      <vt:variant>
        <vt:lpstr>Title</vt:lpstr>
      </vt:variant>
      <vt:variant>
        <vt:i4>1</vt:i4>
      </vt:variant>
    </vt:vector>
  </HeadingPairs>
  <TitlesOfParts>
    <vt:vector size="1" baseType="lpstr">
      <vt:lpstr>Interim Advice</vt:lpstr>
    </vt:vector>
  </TitlesOfParts>
  <Company>Department of Health</Company>
  <LinksUpToDate>false</LinksUpToDate>
  <CharactersWithSpaces>64852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Advice</dc:title>
  <dc:subject/>
  <dc:creator>N</dc:creator>
  <cp:keywords/>
  <dc:description/>
  <cp:lastModifiedBy>TYNAN, Caitriona</cp:lastModifiedBy>
  <cp:revision>2</cp:revision>
  <cp:lastPrinted>2021-01-12T03:27:00Z</cp:lastPrinted>
  <dcterms:created xsi:type="dcterms:W3CDTF">2021-01-12T03:27:00Z</dcterms:created>
  <dcterms:modified xsi:type="dcterms:W3CDTF">2021-01-12T03:27:00Z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0x01010057925BF1FF35A24BBF7C7E6311782AED</vt:lpwstr>
  </property>
</Properties>
</file>