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98" w:rsidRPr="00E21F98" w:rsidRDefault="00B65E3A" w:rsidP="00541CBF">
      <w:pPr>
        <w:pStyle w:val="Heading1"/>
      </w:pPr>
      <w:bookmarkStart w:id="0" w:name="_Toc55492733"/>
      <w:bookmarkStart w:id="1" w:name="_GoBack"/>
      <w:r w:rsidRPr="004A0C1B">
        <w:t xml:space="preserve">APPENDIX </w:t>
      </w:r>
      <w:bookmarkEnd w:id="0"/>
      <w:r w:rsidR="003F43F7">
        <w:t>H</w:t>
      </w:r>
      <w:r w:rsidR="00541CBF">
        <w:t xml:space="preserve"> – </w:t>
      </w:r>
      <w:r w:rsidRPr="004A0C1B">
        <w:t>Guidance on practical steps to prepare for and im</w:t>
      </w:r>
      <w:r w:rsidR="00541CBF">
        <w:t>plement a single site workforce</w:t>
      </w:r>
    </w:p>
    <w:p w:rsidR="003F43F7" w:rsidRPr="003F43F7" w:rsidRDefault="00B65E3A" w:rsidP="00541CBF">
      <w:pPr>
        <w:pStyle w:val="Heading2"/>
      </w:pPr>
      <w:bookmarkStart w:id="2" w:name="_Toc55308624"/>
      <w:bookmarkStart w:id="3" w:name="_Toc55332153"/>
      <w:bookmarkStart w:id="4" w:name="_Toc55333722"/>
      <w:bookmarkStart w:id="5" w:name="_Toc55492735"/>
      <w:bookmarkEnd w:id="1"/>
      <w:r w:rsidRPr="00F754B6">
        <w:t xml:space="preserve">Guidance on </w:t>
      </w:r>
      <w:r w:rsidR="00DF0DB0">
        <w:t>p</w:t>
      </w:r>
      <w:r w:rsidRPr="00F754B6">
        <w:t xml:space="preserve">roposed </w:t>
      </w:r>
      <w:r w:rsidR="00DF0DB0">
        <w:t>a</w:t>
      </w:r>
      <w:r w:rsidRPr="00F754B6">
        <w:t>ctions</w:t>
      </w:r>
      <w:bookmarkEnd w:id="2"/>
      <w:bookmarkEnd w:id="3"/>
      <w:bookmarkEnd w:id="4"/>
      <w:bookmarkEnd w:id="5"/>
    </w:p>
    <w:p w:rsidR="001D73F1" w:rsidRDefault="00B65E3A" w:rsidP="00B65E3A">
      <w:pPr>
        <w:rPr>
          <w:rFonts w:cs="Arial"/>
        </w:rPr>
      </w:pPr>
      <w:r w:rsidRPr="00B65E3A">
        <w:rPr>
          <w:rFonts w:cs="Arial"/>
        </w:rPr>
        <w:t>Single site arrangements are one of many infection control measures which can help to limit transmission of COVID-19. The</w:t>
      </w:r>
      <w:r w:rsidR="007E6C3C">
        <w:rPr>
          <w:rFonts w:cs="Arial"/>
        </w:rPr>
        <w:t xml:space="preserve"> </w:t>
      </w:r>
      <w:r w:rsidR="003E65D3">
        <w:rPr>
          <w:rFonts w:cs="Arial"/>
        </w:rPr>
        <w:t xml:space="preserve">Guiding Principles Support Hub Advisory </w:t>
      </w:r>
      <w:r w:rsidR="007E6C3C">
        <w:rPr>
          <w:rFonts w:cs="Arial"/>
        </w:rPr>
        <w:t>Committee</w:t>
      </w:r>
      <w:r w:rsidRPr="00B65E3A">
        <w:rPr>
          <w:rFonts w:cs="Arial"/>
        </w:rPr>
        <w:t xml:space="preserve"> </w:t>
      </w:r>
      <w:r w:rsidR="003E65D3">
        <w:rPr>
          <w:rFonts w:cs="Arial"/>
        </w:rPr>
        <w:t xml:space="preserve">(including delegates from peak bodies, unions and the Commonwealth) </w:t>
      </w:r>
      <w:r w:rsidRPr="00B65E3A">
        <w:rPr>
          <w:rFonts w:cs="Arial"/>
        </w:rPr>
        <w:t>has prepared</w:t>
      </w:r>
      <w:r w:rsidR="007E6C3C">
        <w:rPr>
          <w:rFonts w:cs="Arial"/>
        </w:rPr>
        <w:t xml:space="preserve"> the following guidance</w:t>
      </w:r>
      <w:r w:rsidR="001D73F1">
        <w:rPr>
          <w:rFonts w:cs="Arial"/>
        </w:rPr>
        <w:t xml:space="preserve"> to help ensure a smooth transition to single site arrangements when and if required</w:t>
      </w:r>
      <w:r w:rsidRPr="00B65E3A">
        <w:rPr>
          <w:rFonts w:cs="Arial"/>
        </w:rPr>
        <w:t xml:space="preserve"> for</w:t>
      </w:r>
      <w:r w:rsidR="001D73F1">
        <w:rPr>
          <w:rFonts w:cs="Arial"/>
        </w:rPr>
        <w:t>:</w:t>
      </w:r>
    </w:p>
    <w:p w:rsidR="001D73F1" w:rsidRDefault="00B65E3A" w:rsidP="000E53B6">
      <w:pPr>
        <w:pStyle w:val="ListParagraph"/>
        <w:numPr>
          <w:ilvl w:val="0"/>
          <w:numId w:val="5"/>
        </w:numPr>
        <w:rPr>
          <w:rFonts w:cs="Arial"/>
        </w:rPr>
      </w:pPr>
      <w:r w:rsidRPr="000E53B6">
        <w:rPr>
          <w:rFonts w:cs="Arial"/>
        </w:rPr>
        <w:t xml:space="preserve">aged care providers </w:t>
      </w:r>
    </w:p>
    <w:p w:rsidR="001D73F1" w:rsidRDefault="00AE27CE" w:rsidP="000E53B6">
      <w:pPr>
        <w:pStyle w:val="ListParagraph"/>
        <w:numPr>
          <w:ilvl w:val="0"/>
          <w:numId w:val="5"/>
        </w:numPr>
        <w:rPr>
          <w:rFonts w:cs="Arial"/>
        </w:rPr>
      </w:pPr>
      <w:r>
        <w:rPr>
          <w:rFonts w:cs="Arial"/>
        </w:rPr>
        <w:t>governments</w:t>
      </w:r>
    </w:p>
    <w:p w:rsidR="001D73F1" w:rsidRDefault="00B65E3A" w:rsidP="000E53B6">
      <w:pPr>
        <w:pStyle w:val="ListParagraph"/>
        <w:numPr>
          <w:ilvl w:val="0"/>
          <w:numId w:val="5"/>
        </w:numPr>
        <w:rPr>
          <w:rFonts w:cs="Arial"/>
        </w:rPr>
      </w:pPr>
      <w:r w:rsidRPr="000E53B6">
        <w:rPr>
          <w:rFonts w:cs="Arial"/>
        </w:rPr>
        <w:t>peak bodies</w:t>
      </w:r>
    </w:p>
    <w:p w:rsidR="00B65E3A" w:rsidRPr="00541CBF" w:rsidRDefault="00B65E3A" w:rsidP="00B65E3A">
      <w:pPr>
        <w:pStyle w:val="ListParagraph"/>
        <w:numPr>
          <w:ilvl w:val="0"/>
          <w:numId w:val="5"/>
        </w:numPr>
        <w:rPr>
          <w:rFonts w:cs="Arial"/>
        </w:rPr>
      </w:pPr>
      <w:proofErr w:type="gramStart"/>
      <w:r w:rsidRPr="000E53B6">
        <w:rPr>
          <w:rFonts w:cs="Arial"/>
        </w:rPr>
        <w:t>unions</w:t>
      </w:r>
      <w:proofErr w:type="gramEnd"/>
      <w:r w:rsidR="001D73F1">
        <w:rPr>
          <w:rFonts w:cs="Arial"/>
        </w:rPr>
        <w:t>.</w:t>
      </w:r>
    </w:p>
    <w:p w:rsidR="00B65E3A" w:rsidRPr="00B65E3A" w:rsidRDefault="00B65E3A" w:rsidP="00B65E3A">
      <w:pPr>
        <w:rPr>
          <w:rFonts w:cs="Arial"/>
        </w:rPr>
      </w:pPr>
      <w:r w:rsidRPr="00B65E3A">
        <w:rPr>
          <w:rFonts w:cs="Arial"/>
        </w:rPr>
        <w:t xml:space="preserve">These guidelines </w:t>
      </w:r>
      <w:r w:rsidR="001D73F1">
        <w:rPr>
          <w:rFonts w:cs="Arial"/>
        </w:rPr>
        <w:t>are</w:t>
      </w:r>
      <w:r w:rsidRPr="00B65E3A">
        <w:rPr>
          <w:rFonts w:cs="Arial"/>
        </w:rPr>
        <w:t xml:space="preserve"> in line with the escalation tiers and outline suggested actions f</w:t>
      </w:r>
      <w:r w:rsidR="00541CBF">
        <w:rPr>
          <w:rFonts w:cs="Arial"/>
        </w:rPr>
        <w:t>or each of the following tiers:</w:t>
      </w:r>
    </w:p>
    <w:p w:rsidR="004B4070" w:rsidRDefault="00B65E3A" w:rsidP="00B65E3A">
      <w:pPr>
        <w:pStyle w:val="ListParagraph"/>
        <w:numPr>
          <w:ilvl w:val="0"/>
          <w:numId w:val="2"/>
        </w:numPr>
        <w:contextualSpacing w:val="0"/>
        <w:rPr>
          <w:rFonts w:cs="Arial"/>
        </w:rPr>
      </w:pPr>
      <w:r w:rsidRPr="00B65E3A">
        <w:rPr>
          <w:rFonts w:cs="Arial"/>
          <w:b/>
        </w:rPr>
        <w:t>Tier 1:</w:t>
      </w:r>
    </w:p>
    <w:p w:rsidR="004B4070" w:rsidRDefault="00B65E3A" w:rsidP="000E53B6">
      <w:pPr>
        <w:pStyle w:val="ListParagraph"/>
        <w:numPr>
          <w:ilvl w:val="1"/>
          <w:numId w:val="2"/>
        </w:numPr>
        <w:contextualSpacing w:val="0"/>
        <w:rPr>
          <w:rFonts w:cs="Arial"/>
        </w:rPr>
      </w:pPr>
      <w:r w:rsidRPr="00B65E3A">
        <w:rPr>
          <w:rFonts w:cs="Arial"/>
        </w:rPr>
        <w:t xml:space="preserve">no </w:t>
      </w:r>
      <w:r w:rsidR="00182EE5">
        <w:rPr>
          <w:rFonts w:cs="Arial"/>
        </w:rPr>
        <w:t xml:space="preserve">local </w:t>
      </w:r>
      <w:r w:rsidRPr="00B65E3A">
        <w:rPr>
          <w:rFonts w:cs="Arial"/>
        </w:rPr>
        <w:t xml:space="preserve">transmission or acquired cases </w:t>
      </w:r>
    </w:p>
    <w:p w:rsidR="00B65E3A" w:rsidRPr="00B65E3A" w:rsidRDefault="00B65E3A" w:rsidP="000E53B6">
      <w:pPr>
        <w:pStyle w:val="ListParagraph"/>
        <w:numPr>
          <w:ilvl w:val="1"/>
          <w:numId w:val="2"/>
        </w:numPr>
        <w:contextualSpacing w:val="0"/>
        <w:rPr>
          <w:rFonts w:cs="Arial"/>
        </w:rPr>
      </w:pPr>
      <w:proofErr w:type="gramStart"/>
      <w:r w:rsidRPr="00B65E3A">
        <w:rPr>
          <w:rFonts w:cs="Arial"/>
        </w:rPr>
        <w:t>only</w:t>
      </w:r>
      <w:proofErr w:type="gramEnd"/>
      <w:r w:rsidRPr="00B65E3A">
        <w:rPr>
          <w:rFonts w:cs="Arial"/>
        </w:rPr>
        <w:t xml:space="preserve"> cases are from people who have </w:t>
      </w:r>
      <w:r w:rsidR="0098485D">
        <w:rPr>
          <w:rFonts w:cs="Arial"/>
        </w:rPr>
        <w:t>returned from overseas</w:t>
      </w:r>
      <w:r w:rsidR="004B4070">
        <w:rPr>
          <w:rFonts w:cs="Arial"/>
        </w:rPr>
        <w:t>.</w:t>
      </w:r>
      <w:r w:rsidRPr="00B65E3A">
        <w:rPr>
          <w:rFonts w:cs="Arial"/>
        </w:rPr>
        <w:t xml:space="preserve"> </w:t>
      </w:r>
    </w:p>
    <w:p w:rsidR="004B4070" w:rsidRDefault="00B65E3A" w:rsidP="00B65E3A">
      <w:pPr>
        <w:pStyle w:val="ListParagraph"/>
        <w:numPr>
          <w:ilvl w:val="0"/>
          <w:numId w:val="2"/>
        </w:numPr>
        <w:contextualSpacing w:val="0"/>
        <w:rPr>
          <w:rFonts w:cs="Arial"/>
        </w:rPr>
      </w:pPr>
      <w:r w:rsidRPr="00B65E3A">
        <w:rPr>
          <w:rFonts w:cs="Arial"/>
          <w:b/>
        </w:rPr>
        <w:t>Tier 2:</w:t>
      </w:r>
    </w:p>
    <w:p w:rsidR="004B4070" w:rsidRDefault="00B65E3A" w:rsidP="000E53B6">
      <w:pPr>
        <w:pStyle w:val="ListParagraph"/>
        <w:numPr>
          <w:ilvl w:val="1"/>
          <w:numId w:val="2"/>
        </w:numPr>
        <w:contextualSpacing w:val="0"/>
        <w:rPr>
          <w:rFonts w:cs="Arial"/>
        </w:rPr>
      </w:pPr>
      <w:r w:rsidRPr="00B65E3A">
        <w:rPr>
          <w:rFonts w:cs="Arial"/>
        </w:rPr>
        <w:t>local outbreaks with cases occurring in households, licenced venues, fitness centres, shopping centres</w:t>
      </w:r>
      <w:r w:rsidR="0098485D">
        <w:rPr>
          <w:rFonts w:cs="Arial"/>
        </w:rPr>
        <w:t>, or</w:t>
      </w:r>
    </w:p>
    <w:p w:rsidR="004B4070" w:rsidRDefault="00B65E3A" w:rsidP="000E53B6">
      <w:pPr>
        <w:pStyle w:val="ListParagraph"/>
        <w:numPr>
          <w:ilvl w:val="1"/>
          <w:numId w:val="2"/>
        </w:numPr>
        <w:contextualSpacing w:val="0"/>
        <w:rPr>
          <w:rFonts w:cs="Arial"/>
        </w:rPr>
      </w:pPr>
      <w:r w:rsidRPr="00B65E3A">
        <w:rPr>
          <w:rFonts w:cs="Arial"/>
        </w:rPr>
        <w:lastRenderedPageBreak/>
        <w:t xml:space="preserve">a single case in a setting with high transmission risk such as a correctional facility or a </w:t>
      </w:r>
      <w:r w:rsidR="0098485D">
        <w:rPr>
          <w:rFonts w:cs="Arial"/>
        </w:rPr>
        <w:t>residential aged care facility</w:t>
      </w:r>
      <w:r w:rsidR="004B4070">
        <w:rPr>
          <w:rFonts w:cs="Arial"/>
        </w:rPr>
        <w:t>,</w:t>
      </w:r>
      <w:r w:rsidRPr="00B65E3A">
        <w:rPr>
          <w:rFonts w:cs="Arial"/>
        </w:rPr>
        <w:t xml:space="preserve"> or </w:t>
      </w:r>
    </w:p>
    <w:p w:rsidR="00B65E3A" w:rsidRPr="00B65E3A" w:rsidRDefault="00B65E3A" w:rsidP="000E53B6">
      <w:pPr>
        <w:pStyle w:val="ListParagraph"/>
        <w:numPr>
          <w:ilvl w:val="1"/>
          <w:numId w:val="2"/>
        </w:numPr>
        <w:contextualSpacing w:val="0"/>
        <w:rPr>
          <w:rFonts w:cs="Arial"/>
        </w:rPr>
      </w:pPr>
      <w:proofErr w:type="gramStart"/>
      <w:r w:rsidRPr="00B65E3A">
        <w:rPr>
          <w:rFonts w:cs="Arial"/>
        </w:rPr>
        <w:t>a</w:t>
      </w:r>
      <w:proofErr w:type="gramEnd"/>
      <w:r w:rsidRPr="00B65E3A">
        <w:rPr>
          <w:rFonts w:cs="Arial"/>
        </w:rPr>
        <w:t xml:space="preserve"> flag such as an upstream source </w:t>
      </w:r>
      <w:r w:rsidR="007E6C3C">
        <w:rPr>
          <w:rFonts w:cs="Arial"/>
        </w:rPr>
        <w:t>cannot</w:t>
      </w:r>
      <w:r w:rsidRPr="00B65E3A">
        <w:rPr>
          <w:rFonts w:cs="Arial"/>
        </w:rPr>
        <w:t xml:space="preserve"> be identified</w:t>
      </w:r>
      <w:r w:rsidR="004B4070">
        <w:rPr>
          <w:rFonts w:cs="Arial"/>
        </w:rPr>
        <w:t>.</w:t>
      </w:r>
    </w:p>
    <w:p w:rsidR="004B4070" w:rsidRPr="000E53B6" w:rsidRDefault="00541CBF" w:rsidP="00B65E3A">
      <w:pPr>
        <w:pStyle w:val="ListParagraph"/>
        <w:numPr>
          <w:ilvl w:val="0"/>
          <w:numId w:val="2"/>
        </w:numPr>
        <w:contextualSpacing w:val="0"/>
        <w:rPr>
          <w:rFonts w:cs="Arial"/>
        </w:rPr>
      </w:pPr>
      <w:r>
        <w:rPr>
          <w:rFonts w:cs="Arial"/>
          <w:b/>
        </w:rPr>
        <w:t>Tier 3:</w:t>
      </w:r>
    </w:p>
    <w:p w:rsidR="00B65E3A" w:rsidRPr="00541CBF" w:rsidRDefault="00B65E3A" w:rsidP="00B65E3A">
      <w:pPr>
        <w:pStyle w:val="ListParagraph"/>
        <w:numPr>
          <w:ilvl w:val="1"/>
          <w:numId w:val="2"/>
        </w:numPr>
        <w:contextualSpacing w:val="0"/>
        <w:rPr>
          <w:rFonts w:cs="Arial"/>
        </w:rPr>
      </w:pPr>
      <w:r w:rsidRPr="00B65E3A">
        <w:rPr>
          <w:rFonts w:cs="Arial"/>
        </w:rPr>
        <w:t xml:space="preserve">COVID-19 in the community. </w:t>
      </w:r>
    </w:p>
    <w:p w:rsidR="00B65E3A" w:rsidRPr="00B65E3A" w:rsidRDefault="00B25023" w:rsidP="00B65E3A">
      <w:pPr>
        <w:rPr>
          <w:rFonts w:cs="Arial"/>
        </w:rPr>
      </w:pPr>
      <w:r>
        <w:rPr>
          <w:rFonts w:cs="Arial"/>
        </w:rPr>
        <w:t>Enforcing</w:t>
      </w:r>
      <w:r w:rsidR="00B65E3A" w:rsidRPr="00B65E3A">
        <w:rPr>
          <w:rFonts w:cs="Arial"/>
        </w:rPr>
        <w:t xml:space="preserve"> single site arrangements may not occur until there are local outbreaks (Tier 2) or community transmission (Tier 3)</w:t>
      </w:r>
      <w:r w:rsidR="004B4070">
        <w:rPr>
          <w:rFonts w:cs="Arial"/>
        </w:rPr>
        <w:t>.</w:t>
      </w:r>
      <w:r w:rsidR="00B65E3A" w:rsidRPr="00B65E3A">
        <w:rPr>
          <w:rFonts w:cs="Arial"/>
        </w:rPr>
        <w:t xml:space="preserve"> </w:t>
      </w:r>
      <w:r w:rsidR="004B4070">
        <w:rPr>
          <w:rFonts w:cs="Arial"/>
        </w:rPr>
        <w:t xml:space="preserve">However, residential aged care facilities can </w:t>
      </w:r>
      <w:r w:rsidR="00B65E3A" w:rsidRPr="00B65E3A">
        <w:rPr>
          <w:rFonts w:cs="Arial"/>
        </w:rPr>
        <w:t>prepar</w:t>
      </w:r>
      <w:r w:rsidR="001F2AEA">
        <w:rPr>
          <w:rFonts w:cs="Arial"/>
        </w:rPr>
        <w:t>e</w:t>
      </w:r>
      <w:r w:rsidR="00B65E3A" w:rsidRPr="00B65E3A">
        <w:rPr>
          <w:rFonts w:cs="Arial"/>
        </w:rPr>
        <w:t xml:space="preserve"> for </w:t>
      </w:r>
      <w:r w:rsidR="00DF0DB0">
        <w:rPr>
          <w:rFonts w:cs="Arial"/>
        </w:rPr>
        <w:t xml:space="preserve">how they would they would </w:t>
      </w:r>
      <w:r w:rsidR="00B65E3A" w:rsidRPr="00B65E3A">
        <w:rPr>
          <w:rFonts w:cs="Arial"/>
        </w:rPr>
        <w:t>respond</w:t>
      </w:r>
      <w:r w:rsidR="00DF0DB0">
        <w:rPr>
          <w:rFonts w:cs="Arial"/>
        </w:rPr>
        <w:t xml:space="preserve"> </w:t>
      </w:r>
      <w:r w:rsidR="000E53B6">
        <w:rPr>
          <w:rFonts w:cs="Arial"/>
        </w:rPr>
        <w:t>to COVID-19</w:t>
      </w:r>
      <w:r w:rsidR="00B65E3A" w:rsidRPr="00B65E3A">
        <w:rPr>
          <w:rFonts w:cs="Arial"/>
        </w:rPr>
        <w:t xml:space="preserve">. These actions </w:t>
      </w:r>
      <w:r w:rsidR="005C4564">
        <w:rPr>
          <w:rFonts w:cs="Arial"/>
        </w:rPr>
        <w:t>should not</w:t>
      </w:r>
      <w:r w:rsidR="00B65E3A" w:rsidRPr="00B65E3A">
        <w:rPr>
          <w:rFonts w:cs="Arial"/>
        </w:rPr>
        <w:t xml:space="preserve"> initiate structural change in </w:t>
      </w:r>
      <w:r w:rsidR="001F2AEA">
        <w:rPr>
          <w:rFonts w:cs="Arial"/>
        </w:rPr>
        <w:t xml:space="preserve">the </w:t>
      </w:r>
      <w:r w:rsidR="00B65E3A" w:rsidRPr="00B65E3A">
        <w:rPr>
          <w:rFonts w:cs="Arial"/>
        </w:rPr>
        <w:t>workforce across the sector and are point-in-time and temporary</w:t>
      </w:r>
      <w:r w:rsidR="005C4564">
        <w:rPr>
          <w:rFonts w:cs="Arial"/>
        </w:rPr>
        <w:t>.</w:t>
      </w:r>
      <w:r w:rsidR="00B65E3A" w:rsidRPr="00B65E3A">
        <w:rPr>
          <w:rFonts w:cs="Arial"/>
        </w:rPr>
        <w:t xml:space="preserve"> </w:t>
      </w:r>
      <w:r w:rsidR="005C4564">
        <w:rPr>
          <w:rFonts w:cs="Arial"/>
        </w:rPr>
        <w:t>T</w:t>
      </w:r>
      <w:r w:rsidR="00B65E3A" w:rsidRPr="00B65E3A">
        <w:rPr>
          <w:rFonts w:cs="Arial"/>
        </w:rPr>
        <w:t xml:space="preserve">hey are </w:t>
      </w:r>
      <w:r w:rsidR="005C4564">
        <w:rPr>
          <w:rFonts w:cs="Arial"/>
        </w:rPr>
        <w:t xml:space="preserve">also not </w:t>
      </w:r>
      <w:r w:rsidR="00B65E3A" w:rsidRPr="00B65E3A">
        <w:rPr>
          <w:rFonts w:cs="Arial"/>
        </w:rPr>
        <w:t xml:space="preserve">mandated nationally at this stage. </w:t>
      </w:r>
    </w:p>
    <w:p w:rsidR="00332D8C" w:rsidRPr="00332D8C" w:rsidRDefault="00332D8C" w:rsidP="00541CBF">
      <w:pPr>
        <w:pStyle w:val="Heading3"/>
      </w:pPr>
      <w:r w:rsidRPr="00332D8C">
        <w:t xml:space="preserve">Steps for </w:t>
      </w:r>
      <w:r w:rsidR="00DF0DB0">
        <w:t>p</w:t>
      </w:r>
      <w:r w:rsidRPr="00332D8C">
        <w:t>roviders</w:t>
      </w:r>
    </w:p>
    <w:p w:rsidR="00DF0DB0" w:rsidRDefault="00B65E3A" w:rsidP="00541CBF">
      <w:pPr>
        <w:pStyle w:val="Heading4"/>
        <w:rPr>
          <w:rFonts w:cs="Arial"/>
        </w:rPr>
      </w:pPr>
      <w:r>
        <w:t xml:space="preserve">Step 1: </w:t>
      </w:r>
      <w:r w:rsidR="00DF0DB0">
        <w:t>w</w:t>
      </w:r>
      <w:r>
        <w:t xml:space="preserve">orkforce </w:t>
      </w:r>
      <w:r w:rsidR="00DF0DB0">
        <w:t>r</w:t>
      </w:r>
      <w:r>
        <w:t xml:space="preserve">eview </w:t>
      </w:r>
      <w:r w:rsidRPr="000E53B6">
        <w:t>(Tier 1)</w:t>
      </w:r>
    </w:p>
    <w:p w:rsidR="00B65E3A" w:rsidRPr="00B65E3A" w:rsidRDefault="00B65E3A" w:rsidP="00541CBF">
      <w:pPr>
        <w:rPr>
          <w:rFonts w:cs="Arial"/>
        </w:rPr>
      </w:pPr>
      <w:r w:rsidRPr="00B65E3A">
        <w:rPr>
          <w:rFonts w:cs="Arial"/>
        </w:rPr>
        <w:t>While reviewing their workforce structure and operational needs,</w:t>
      </w:r>
      <w:r w:rsidR="005C4564">
        <w:rPr>
          <w:rFonts w:cs="Arial"/>
        </w:rPr>
        <w:t xml:space="preserve"> providers should also consider </w:t>
      </w:r>
      <w:r w:rsidR="001F2AEA">
        <w:rPr>
          <w:rFonts w:cs="Arial"/>
        </w:rPr>
        <w:t>options</w:t>
      </w:r>
      <w:r w:rsidR="005C4564">
        <w:rPr>
          <w:rFonts w:cs="Arial"/>
        </w:rPr>
        <w:t xml:space="preserve"> to reduce </w:t>
      </w:r>
      <w:r w:rsidR="00DF0DB0">
        <w:rPr>
          <w:rFonts w:cs="Arial"/>
        </w:rPr>
        <w:t>workers moving between sites</w:t>
      </w:r>
      <w:r w:rsidR="005C4564">
        <w:rPr>
          <w:rFonts w:cs="Arial"/>
        </w:rPr>
        <w:t xml:space="preserve">. </w:t>
      </w:r>
      <w:r w:rsidRPr="00B65E3A">
        <w:rPr>
          <w:rFonts w:cs="Arial"/>
        </w:rPr>
        <w:t xml:space="preserve"> </w:t>
      </w:r>
      <w:r w:rsidR="005C4564">
        <w:rPr>
          <w:rFonts w:cs="Arial"/>
        </w:rPr>
        <w:t>This is both</w:t>
      </w:r>
      <w:r w:rsidR="005C4564" w:rsidRPr="00B65E3A">
        <w:rPr>
          <w:rFonts w:cs="Arial"/>
        </w:rPr>
        <w:t xml:space="preserve"> </w:t>
      </w:r>
      <w:r w:rsidRPr="00B65E3A">
        <w:rPr>
          <w:rFonts w:cs="Arial"/>
        </w:rPr>
        <w:t xml:space="preserve">during regular operations and in times of crisis where </w:t>
      </w:r>
      <w:r w:rsidR="005C4564">
        <w:rPr>
          <w:rFonts w:cs="Arial"/>
        </w:rPr>
        <w:t xml:space="preserve">they require </w:t>
      </w:r>
      <w:r w:rsidRPr="00B65E3A">
        <w:rPr>
          <w:rFonts w:cs="Arial"/>
        </w:rPr>
        <w:t>surge capacity</w:t>
      </w:r>
      <w:r w:rsidR="005C4564">
        <w:rPr>
          <w:rFonts w:cs="Arial"/>
        </w:rPr>
        <w:t>.</w:t>
      </w:r>
      <w:r w:rsidRPr="00B65E3A">
        <w:rPr>
          <w:rFonts w:cs="Arial"/>
        </w:rPr>
        <w:t xml:space="preserve">  For larger providers, this should include looking across all of their facilities. </w:t>
      </w:r>
    </w:p>
    <w:p w:rsidR="003F43F7" w:rsidRPr="00B65E3A" w:rsidRDefault="005C4564" w:rsidP="00541CBF">
      <w:pPr>
        <w:rPr>
          <w:rFonts w:cs="Arial"/>
        </w:rPr>
      </w:pPr>
      <w:r>
        <w:rPr>
          <w:rFonts w:cs="Arial"/>
        </w:rPr>
        <w:t xml:space="preserve">Providers should consult their </w:t>
      </w:r>
      <w:r w:rsidR="0084001A">
        <w:rPr>
          <w:rFonts w:cs="Arial"/>
        </w:rPr>
        <w:t>worker</w:t>
      </w:r>
      <w:r w:rsidR="00B65E3A" w:rsidRPr="00B65E3A">
        <w:rPr>
          <w:rFonts w:cs="Arial"/>
        </w:rPr>
        <w:t xml:space="preserve">s during this process. </w:t>
      </w:r>
      <w:r w:rsidR="008C7036">
        <w:rPr>
          <w:rFonts w:cs="Arial"/>
        </w:rPr>
        <w:t>Reducing staff moving between sites</w:t>
      </w:r>
      <w:r w:rsidR="00B65E3A" w:rsidRPr="00B65E3A">
        <w:rPr>
          <w:rFonts w:cs="Arial"/>
        </w:rPr>
        <w:t xml:space="preserve"> support</w:t>
      </w:r>
      <w:r w:rsidR="008C7036">
        <w:rPr>
          <w:rFonts w:cs="Arial"/>
        </w:rPr>
        <w:t>s</w:t>
      </w:r>
      <w:r w:rsidR="00B65E3A" w:rsidRPr="00B65E3A">
        <w:rPr>
          <w:rFonts w:cs="Arial"/>
        </w:rPr>
        <w:t xml:space="preserve"> infection control efforts</w:t>
      </w:r>
      <w:r w:rsidR="00E52E19">
        <w:rPr>
          <w:rFonts w:cs="Arial"/>
        </w:rPr>
        <w:t>. It will also</w:t>
      </w:r>
      <w:r w:rsidR="00B65E3A" w:rsidRPr="00B65E3A">
        <w:rPr>
          <w:rFonts w:cs="Arial"/>
        </w:rPr>
        <w:t xml:space="preserve"> simplify the change process if a facility </w:t>
      </w:r>
      <w:r>
        <w:rPr>
          <w:rFonts w:cs="Arial"/>
        </w:rPr>
        <w:t>needs</w:t>
      </w:r>
      <w:r w:rsidR="00B65E3A" w:rsidRPr="00B65E3A">
        <w:rPr>
          <w:rFonts w:cs="Arial"/>
        </w:rPr>
        <w:t xml:space="preserve"> to implement single site arrangements on short notice.</w:t>
      </w:r>
    </w:p>
    <w:p w:rsidR="00B65E3A" w:rsidRDefault="00B65E3A" w:rsidP="00541CBF">
      <w:pPr>
        <w:pStyle w:val="Heading4"/>
        <w:rPr>
          <w:b/>
        </w:rPr>
      </w:pPr>
      <w:r>
        <w:lastRenderedPageBreak/>
        <w:t xml:space="preserve">Step 2: </w:t>
      </w:r>
      <w:r w:rsidR="00DF0DB0">
        <w:t>s</w:t>
      </w:r>
      <w:r>
        <w:t xml:space="preserve">kills and </w:t>
      </w:r>
      <w:r w:rsidR="00DF0DB0">
        <w:t>t</w:t>
      </w:r>
      <w:r>
        <w:t xml:space="preserve">raining </w:t>
      </w:r>
      <w:r w:rsidR="00DF0DB0">
        <w:t>a</w:t>
      </w:r>
      <w:r>
        <w:t xml:space="preserve">udit </w:t>
      </w:r>
      <w:r w:rsidRPr="000E53B6">
        <w:t>(Tier 1)</w:t>
      </w:r>
    </w:p>
    <w:p w:rsidR="00B65E3A" w:rsidRPr="00B65E3A" w:rsidRDefault="00B65E3A" w:rsidP="00541CBF">
      <w:pPr>
        <w:rPr>
          <w:rFonts w:cs="Arial"/>
        </w:rPr>
      </w:pPr>
      <w:r w:rsidRPr="00B65E3A">
        <w:rPr>
          <w:rFonts w:cs="Arial"/>
        </w:rPr>
        <w:t xml:space="preserve">Providers should conduct an audit of </w:t>
      </w:r>
      <w:r w:rsidR="0084001A">
        <w:rPr>
          <w:rFonts w:cs="Arial"/>
        </w:rPr>
        <w:t>worker</w:t>
      </w:r>
      <w:r w:rsidR="0084001A" w:rsidRPr="00B65E3A">
        <w:rPr>
          <w:rFonts w:cs="Arial"/>
        </w:rPr>
        <w:t xml:space="preserve">s </w:t>
      </w:r>
      <w:r w:rsidRPr="00B65E3A">
        <w:rPr>
          <w:rFonts w:cs="Arial"/>
        </w:rPr>
        <w:t xml:space="preserve">to ensure they understand their </w:t>
      </w:r>
      <w:r w:rsidR="0084001A">
        <w:rPr>
          <w:rFonts w:cs="Arial"/>
        </w:rPr>
        <w:t>worker</w:t>
      </w:r>
      <w:r w:rsidR="0084001A" w:rsidRPr="00B65E3A">
        <w:rPr>
          <w:rFonts w:cs="Arial"/>
        </w:rPr>
        <w:t xml:space="preserve">s’ </w:t>
      </w:r>
      <w:r w:rsidRPr="00B65E3A">
        <w:rPr>
          <w:rFonts w:cs="Arial"/>
        </w:rPr>
        <w:t>skill</w:t>
      </w:r>
      <w:r w:rsidR="0084001A">
        <w:rPr>
          <w:rFonts w:cs="Arial"/>
        </w:rPr>
        <w:t xml:space="preserve"> level</w:t>
      </w:r>
      <w:r w:rsidRPr="00B65E3A">
        <w:rPr>
          <w:rFonts w:cs="Arial"/>
        </w:rPr>
        <w:t xml:space="preserve"> and training. </w:t>
      </w:r>
      <w:r w:rsidR="0084001A">
        <w:rPr>
          <w:rFonts w:cs="Arial"/>
        </w:rPr>
        <w:t>T</w:t>
      </w:r>
      <w:r w:rsidRPr="00B65E3A">
        <w:rPr>
          <w:rFonts w:cs="Arial"/>
        </w:rPr>
        <w:t xml:space="preserve">his could also include any transferable skills </w:t>
      </w:r>
      <w:r w:rsidR="00D84171">
        <w:rPr>
          <w:rFonts w:cs="Arial"/>
        </w:rPr>
        <w:t xml:space="preserve">they </w:t>
      </w:r>
      <w:r w:rsidRPr="00B65E3A">
        <w:rPr>
          <w:rFonts w:cs="Arial"/>
        </w:rPr>
        <w:t xml:space="preserve">can draw on in a time of crisis. </w:t>
      </w:r>
      <w:r w:rsidR="00E52E19">
        <w:rPr>
          <w:rFonts w:cs="Arial"/>
        </w:rPr>
        <w:t>The Committee</w:t>
      </w:r>
      <w:r w:rsidRPr="00B65E3A">
        <w:rPr>
          <w:rFonts w:cs="Arial"/>
        </w:rPr>
        <w:t xml:space="preserve"> suggest</w:t>
      </w:r>
      <w:r w:rsidR="00E52E19">
        <w:rPr>
          <w:rFonts w:cs="Arial"/>
        </w:rPr>
        <w:t>s</w:t>
      </w:r>
      <w:r w:rsidRPr="00B65E3A">
        <w:rPr>
          <w:rFonts w:cs="Arial"/>
        </w:rPr>
        <w:t xml:space="preserve"> that providers track this information in a workforce management plan (as detailed below).</w:t>
      </w:r>
    </w:p>
    <w:p w:rsidR="00B65E3A" w:rsidRPr="00B65E3A" w:rsidRDefault="00B65E3A" w:rsidP="00541CBF">
      <w:pPr>
        <w:rPr>
          <w:rFonts w:cs="Arial"/>
        </w:rPr>
      </w:pPr>
      <w:r w:rsidRPr="00B65E3A">
        <w:rPr>
          <w:rFonts w:cs="Arial"/>
        </w:rPr>
        <w:t xml:space="preserve">Providers can explore whether it is possible to train </w:t>
      </w:r>
      <w:r w:rsidR="0084001A">
        <w:rPr>
          <w:rFonts w:cs="Arial"/>
        </w:rPr>
        <w:t>workers in other skill areas</w:t>
      </w:r>
      <w:r w:rsidRPr="00B65E3A">
        <w:rPr>
          <w:rFonts w:cs="Arial"/>
        </w:rPr>
        <w:t xml:space="preserve"> to support the facility </w:t>
      </w:r>
      <w:r w:rsidR="0084001A">
        <w:rPr>
          <w:rFonts w:cs="Arial"/>
        </w:rPr>
        <w:t>in</w:t>
      </w:r>
      <w:r w:rsidRPr="00B65E3A">
        <w:rPr>
          <w:rFonts w:cs="Arial"/>
        </w:rPr>
        <w:t xml:space="preserve"> times of crisis. This could encourage </w:t>
      </w:r>
      <w:r w:rsidR="0084001A">
        <w:rPr>
          <w:rFonts w:cs="Arial"/>
        </w:rPr>
        <w:t>workers</w:t>
      </w:r>
      <w:r w:rsidRPr="00B65E3A">
        <w:rPr>
          <w:rFonts w:cs="Arial"/>
        </w:rPr>
        <w:t xml:space="preserve"> to reduce work hours </w:t>
      </w:r>
      <w:r w:rsidR="0084001A">
        <w:rPr>
          <w:rFonts w:cs="Arial"/>
        </w:rPr>
        <w:t>at other workplaces</w:t>
      </w:r>
      <w:r w:rsidRPr="00B65E3A">
        <w:rPr>
          <w:rFonts w:cs="Arial"/>
        </w:rPr>
        <w:t xml:space="preserve">. Employers </w:t>
      </w:r>
      <w:r w:rsidR="0084001A">
        <w:rPr>
          <w:rFonts w:cs="Arial"/>
        </w:rPr>
        <w:t>can ask</w:t>
      </w:r>
      <w:r w:rsidRPr="00B65E3A">
        <w:rPr>
          <w:rFonts w:cs="Arial"/>
        </w:rPr>
        <w:t xml:space="preserve"> </w:t>
      </w:r>
      <w:r w:rsidR="0084001A">
        <w:rPr>
          <w:rFonts w:cs="Arial"/>
        </w:rPr>
        <w:t>workers</w:t>
      </w:r>
      <w:r w:rsidR="0084001A" w:rsidRPr="00B65E3A">
        <w:rPr>
          <w:rFonts w:cs="Arial"/>
        </w:rPr>
        <w:t xml:space="preserve"> </w:t>
      </w:r>
      <w:r w:rsidR="0084001A">
        <w:rPr>
          <w:rFonts w:cs="Arial"/>
        </w:rPr>
        <w:t>if they have</w:t>
      </w:r>
      <w:r w:rsidRPr="00B65E3A">
        <w:rPr>
          <w:rFonts w:cs="Arial"/>
        </w:rPr>
        <w:t xml:space="preserve"> interest in supporti</w:t>
      </w:r>
      <w:r w:rsidR="00541CBF">
        <w:rPr>
          <w:rFonts w:cs="Arial"/>
        </w:rPr>
        <w:t>ng other areas of the facility.</w:t>
      </w:r>
    </w:p>
    <w:p w:rsidR="003F43F7" w:rsidRPr="00B65E3A" w:rsidRDefault="00B65E3A" w:rsidP="00541CBF">
      <w:pPr>
        <w:rPr>
          <w:rFonts w:cs="Arial"/>
        </w:rPr>
      </w:pPr>
      <w:r w:rsidRPr="00B65E3A">
        <w:rPr>
          <w:rFonts w:cs="Arial"/>
        </w:rPr>
        <w:t>A training audit will also support the provider to identify any gaps in knowledge in infection control</w:t>
      </w:r>
      <w:r w:rsidR="00D84171">
        <w:rPr>
          <w:rFonts w:cs="Arial"/>
        </w:rPr>
        <w:t>,</w:t>
      </w:r>
      <w:r w:rsidRPr="00B65E3A">
        <w:rPr>
          <w:rFonts w:cs="Arial"/>
        </w:rPr>
        <w:t xml:space="preserve"> and use and fitting of PPE</w:t>
      </w:r>
      <w:r w:rsidR="00D84171">
        <w:rPr>
          <w:rFonts w:cs="Arial"/>
        </w:rPr>
        <w:t>. This can</w:t>
      </w:r>
      <w:r w:rsidRPr="00B65E3A">
        <w:rPr>
          <w:rFonts w:cs="Arial"/>
        </w:rPr>
        <w:t xml:space="preserve"> inform education to ensure all </w:t>
      </w:r>
      <w:r w:rsidR="0084001A">
        <w:rPr>
          <w:rFonts w:cs="Arial"/>
        </w:rPr>
        <w:t>workers</w:t>
      </w:r>
      <w:r w:rsidR="0084001A" w:rsidRPr="00B65E3A">
        <w:rPr>
          <w:rFonts w:cs="Arial"/>
        </w:rPr>
        <w:t xml:space="preserve"> </w:t>
      </w:r>
      <w:r w:rsidRPr="00B65E3A">
        <w:rPr>
          <w:rFonts w:cs="Arial"/>
        </w:rPr>
        <w:t>are up to date with PPE and infection control training.</w:t>
      </w:r>
    </w:p>
    <w:p w:rsidR="00B65E3A" w:rsidRPr="003F43F7" w:rsidRDefault="00B65E3A" w:rsidP="00541CBF">
      <w:pPr>
        <w:pStyle w:val="Heading4"/>
      </w:pPr>
      <w:r>
        <w:t xml:space="preserve">Step 3: </w:t>
      </w:r>
      <w:r w:rsidR="00DF0DB0">
        <w:t>w</w:t>
      </w:r>
      <w:r>
        <w:t xml:space="preserve">orkforce </w:t>
      </w:r>
      <w:r w:rsidR="00DF0DB0">
        <w:t>m</w:t>
      </w:r>
      <w:r>
        <w:t xml:space="preserve">anagement </w:t>
      </w:r>
      <w:r w:rsidR="00DF0DB0">
        <w:t>p</w:t>
      </w:r>
      <w:r>
        <w:t xml:space="preserve">lan </w:t>
      </w:r>
      <w:r w:rsidR="00155988" w:rsidRPr="000E53B6">
        <w:t>(Tier 1)</w:t>
      </w:r>
    </w:p>
    <w:p w:rsidR="00B65E3A" w:rsidRPr="00B65E3A" w:rsidRDefault="00FD5ECC" w:rsidP="00541CBF">
      <w:pPr>
        <w:rPr>
          <w:rFonts w:cs="Arial"/>
        </w:rPr>
      </w:pPr>
      <w:r>
        <w:rPr>
          <w:rFonts w:cs="Arial"/>
        </w:rPr>
        <w:t>In addition to reducing staff movement between facilities where possible, t</w:t>
      </w:r>
      <w:r w:rsidR="00B65E3A" w:rsidRPr="00B65E3A">
        <w:rPr>
          <w:rFonts w:cs="Arial"/>
        </w:rPr>
        <w:t xml:space="preserve">he provider should develop a workforce management plan. Information </w:t>
      </w:r>
      <w:r w:rsidR="0084001A">
        <w:rPr>
          <w:rFonts w:cs="Arial"/>
        </w:rPr>
        <w:t>can</w:t>
      </w:r>
      <w:r w:rsidR="00B65E3A" w:rsidRPr="00B65E3A">
        <w:rPr>
          <w:rFonts w:cs="Arial"/>
        </w:rPr>
        <w:t xml:space="preserve"> include: </w:t>
      </w:r>
    </w:p>
    <w:p w:rsidR="00E52E19" w:rsidRDefault="007312CC" w:rsidP="00541CBF">
      <w:pPr>
        <w:pStyle w:val="ListParagraph"/>
        <w:numPr>
          <w:ilvl w:val="0"/>
          <w:numId w:val="3"/>
        </w:numPr>
        <w:spacing w:before="60" w:after="60"/>
        <w:ind w:hanging="357"/>
        <w:contextualSpacing w:val="0"/>
        <w:rPr>
          <w:rFonts w:cs="Arial"/>
        </w:rPr>
      </w:pPr>
      <w:r>
        <w:rPr>
          <w:rFonts w:cs="Arial"/>
        </w:rPr>
        <w:t>A</w:t>
      </w:r>
      <w:r w:rsidR="00B65E3A" w:rsidRPr="00B65E3A">
        <w:rPr>
          <w:rFonts w:cs="Arial"/>
        </w:rPr>
        <w:t xml:space="preserve">n </w:t>
      </w:r>
      <w:r w:rsidR="009B4797">
        <w:rPr>
          <w:rFonts w:cs="Arial"/>
        </w:rPr>
        <w:t>worker</w:t>
      </w:r>
      <w:r w:rsidR="00B65E3A" w:rsidRPr="00B65E3A">
        <w:rPr>
          <w:rFonts w:cs="Arial"/>
        </w:rPr>
        <w:t xml:space="preserve"> register that records</w:t>
      </w:r>
      <w:r w:rsidR="00E52E19">
        <w:rPr>
          <w:rFonts w:cs="Arial"/>
        </w:rPr>
        <w:t>:</w:t>
      </w:r>
    </w:p>
    <w:p w:rsidR="00E52E19" w:rsidRDefault="00B65E3A" w:rsidP="00541CBF">
      <w:pPr>
        <w:pStyle w:val="ListParagraph"/>
        <w:numPr>
          <w:ilvl w:val="1"/>
          <w:numId w:val="3"/>
        </w:numPr>
        <w:spacing w:before="60" w:after="60"/>
        <w:contextualSpacing w:val="0"/>
        <w:rPr>
          <w:rFonts w:cs="Arial"/>
        </w:rPr>
      </w:pPr>
      <w:r w:rsidRPr="00B65E3A">
        <w:rPr>
          <w:rFonts w:cs="Arial"/>
        </w:rPr>
        <w:t xml:space="preserve">which </w:t>
      </w:r>
      <w:r w:rsidR="009B4797">
        <w:rPr>
          <w:rFonts w:cs="Arial"/>
        </w:rPr>
        <w:t>worker</w:t>
      </w:r>
      <w:r w:rsidRPr="00B65E3A">
        <w:rPr>
          <w:rFonts w:cs="Arial"/>
        </w:rPr>
        <w:t>s work across multiple sites/settings, or live with someone who does</w:t>
      </w:r>
    </w:p>
    <w:p w:rsidR="00E52E19" w:rsidRDefault="00B65E3A" w:rsidP="00541CBF">
      <w:pPr>
        <w:pStyle w:val="ListParagraph"/>
        <w:numPr>
          <w:ilvl w:val="1"/>
          <w:numId w:val="3"/>
        </w:numPr>
        <w:spacing w:before="60" w:after="60"/>
        <w:contextualSpacing w:val="0"/>
        <w:rPr>
          <w:rFonts w:cs="Arial"/>
        </w:rPr>
      </w:pPr>
      <w:r w:rsidRPr="00B65E3A">
        <w:rPr>
          <w:rFonts w:cs="Arial"/>
        </w:rPr>
        <w:t>what role they perform</w:t>
      </w:r>
    </w:p>
    <w:p w:rsidR="00E52E19" w:rsidRDefault="00B65E3A" w:rsidP="00541CBF">
      <w:pPr>
        <w:pStyle w:val="ListParagraph"/>
        <w:numPr>
          <w:ilvl w:val="1"/>
          <w:numId w:val="3"/>
        </w:numPr>
        <w:spacing w:before="60" w:after="60"/>
        <w:contextualSpacing w:val="0"/>
        <w:rPr>
          <w:rFonts w:cs="Arial"/>
        </w:rPr>
      </w:pPr>
      <w:r w:rsidRPr="00B65E3A">
        <w:rPr>
          <w:rFonts w:cs="Arial"/>
        </w:rPr>
        <w:t xml:space="preserve">how many hours and what shifts they perform with each employer </w:t>
      </w:r>
    </w:p>
    <w:p w:rsidR="00E52E19" w:rsidRDefault="00B65E3A" w:rsidP="00541CBF">
      <w:pPr>
        <w:pStyle w:val="ListParagraph"/>
        <w:numPr>
          <w:ilvl w:val="1"/>
          <w:numId w:val="3"/>
        </w:numPr>
        <w:spacing w:before="60" w:after="60"/>
        <w:contextualSpacing w:val="0"/>
        <w:rPr>
          <w:rFonts w:cs="Arial"/>
        </w:rPr>
      </w:pPr>
      <w:proofErr w:type="gramStart"/>
      <w:r w:rsidRPr="00B65E3A">
        <w:rPr>
          <w:rFonts w:cs="Arial"/>
        </w:rPr>
        <w:t>which</w:t>
      </w:r>
      <w:proofErr w:type="gramEnd"/>
      <w:r w:rsidRPr="00B65E3A">
        <w:rPr>
          <w:rFonts w:cs="Arial"/>
        </w:rPr>
        <w:t xml:space="preserve"> employer provides the most hours on a weekly or fortnightly basis. </w:t>
      </w:r>
    </w:p>
    <w:p w:rsidR="00B65E3A" w:rsidRPr="000E53B6" w:rsidRDefault="0084001A" w:rsidP="00541CBF">
      <w:pPr>
        <w:spacing w:before="60" w:after="60"/>
        <w:ind w:left="357"/>
        <w:rPr>
          <w:rFonts w:cs="Arial"/>
        </w:rPr>
      </w:pPr>
      <w:r>
        <w:rPr>
          <w:rFonts w:cs="Arial"/>
        </w:rPr>
        <w:lastRenderedPageBreak/>
        <w:t>Workers</w:t>
      </w:r>
      <w:r w:rsidRPr="000E53B6">
        <w:rPr>
          <w:rFonts w:cs="Arial"/>
        </w:rPr>
        <w:t xml:space="preserve"> </w:t>
      </w:r>
      <w:r w:rsidR="00B65E3A" w:rsidRPr="000E53B6">
        <w:rPr>
          <w:rFonts w:cs="Arial"/>
        </w:rPr>
        <w:t>would need to</w:t>
      </w:r>
      <w:r>
        <w:rPr>
          <w:rFonts w:cs="Arial"/>
        </w:rPr>
        <w:t xml:space="preserve"> update their employer with changes. </w:t>
      </w:r>
      <w:r w:rsidR="00B65E3A" w:rsidRPr="000E53B6">
        <w:rPr>
          <w:rFonts w:cs="Arial"/>
        </w:rPr>
        <w:t xml:space="preserve">It is critical to ensure maximum cooperation that </w:t>
      </w:r>
      <w:r>
        <w:rPr>
          <w:rFonts w:cs="Arial"/>
        </w:rPr>
        <w:t>workers</w:t>
      </w:r>
      <w:r w:rsidRPr="000E53B6">
        <w:rPr>
          <w:rFonts w:cs="Arial"/>
        </w:rPr>
        <w:t xml:space="preserve"> </w:t>
      </w:r>
      <w:r w:rsidR="00B65E3A" w:rsidRPr="000E53B6">
        <w:rPr>
          <w:rFonts w:cs="Arial"/>
        </w:rPr>
        <w:t xml:space="preserve">understand that </w:t>
      </w:r>
      <w:r w:rsidR="00D84171" w:rsidRPr="000E53B6">
        <w:rPr>
          <w:rFonts w:cs="Arial"/>
        </w:rPr>
        <w:t xml:space="preserve">providers will not use </w:t>
      </w:r>
      <w:r w:rsidR="00B65E3A" w:rsidRPr="000E53B6">
        <w:rPr>
          <w:rFonts w:cs="Arial"/>
        </w:rPr>
        <w:t xml:space="preserve">this information against them in any way. </w:t>
      </w:r>
    </w:p>
    <w:p w:rsidR="00B65E3A" w:rsidRPr="00B65E3A" w:rsidRDefault="007312CC" w:rsidP="00541CBF">
      <w:pPr>
        <w:pStyle w:val="ListParagraph"/>
        <w:numPr>
          <w:ilvl w:val="0"/>
          <w:numId w:val="3"/>
        </w:numPr>
        <w:spacing w:before="60" w:after="60"/>
        <w:ind w:hanging="357"/>
        <w:contextualSpacing w:val="0"/>
        <w:rPr>
          <w:rFonts w:cs="Arial"/>
        </w:rPr>
      </w:pPr>
      <w:r>
        <w:rPr>
          <w:rFonts w:cs="Arial"/>
        </w:rPr>
        <w:t xml:space="preserve">Workers’ preferences for hours and shifts and availability to work extra shifts in times of crises. Workers should update their </w:t>
      </w:r>
      <w:r w:rsidR="00B65E3A" w:rsidRPr="00B65E3A">
        <w:rPr>
          <w:rFonts w:cs="Arial"/>
        </w:rPr>
        <w:t xml:space="preserve">preferences </w:t>
      </w:r>
      <w:r>
        <w:rPr>
          <w:rFonts w:cs="Arial"/>
        </w:rPr>
        <w:t>as needed</w:t>
      </w:r>
      <w:r w:rsidR="00B65E3A" w:rsidRPr="00B65E3A">
        <w:rPr>
          <w:rFonts w:cs="Arial"/>
        </w:rPr>
        <w:t>.</w:t>
      </w:r>
    </w:p>
    <w:p w:rsidR="007312CC" w:rsidRDefault="007312CC" w:rsidP="00541CBF">
      <w:pPr>
        <w:pStyle w:val="ListParagraph"/>
        <w:numPr>
          <w:ilvl w:val="0"/>
          <w:numId w:val="3"/>
        </w:numPr>
        <w:spacing w:before="60" w:after="60"/>
        <w:ind w:hanging="357"/>
        <w:contextualSpacing w:val="0"/>
        <w:rPr>
          <w:rFonts w:cs="Arial"/>
        </w:rPr>
      </w:pPr>
      <w:r>
        <w:rPr>
          <w:rFonts w:cs="Arial"/>
        </w:rPr>
        <w:t>A</w:t>
      </w:r>
      <w:r w:rsidR="00B65E3A" w:rsidRPr="00B65E3A">
        <w:rPr>
          <w:rFonts w:cs="Arial"/>
        </w:rPr>
        <w:t xml:space="preserve"> process for </w:t>
      </w:r>
      <w:r>
        <w:rPr>
          <w:rFonts w:cs="Arial"/>
        </w:rPr>
        <w:t>creating workforce bubbles. This would involve matching</w:t>
      </w:r>
      <w:r w:rsidR="00B65E3A" w:rsidRPr="00B65E3A">
        <w:rPr>
          <w:rFonts w:cs="Arial"/>
        </w:rPr>
        <w:t xml:space="preserve"> </w:t>
      </w:r>
      <w:r>
        <w:rPr>
          <w:rFonts w:cs="Arial"/>
        </w:rPr>
        <w:t>workers</w:t>
      </w:r>
      <w:r w:rsidRPr="00B65E3A">
        <w:rPr>
          <w:rFonts w:cs="Arial"/>
        </w:rPr>
        <w:t xml:space="preserve"> </w:t>
      </w:r>
      <w:r>
        <w:rPr>
          <w:rFonts w:cs="Arial"/>
        </w:rPr>
        <w:t>with</w:t>
      </w:r>
      <w:r w:rsidR="00B65E3A" w:rsidRPr="00B65E3A">
        <w:rPr>
          <w:rFonts w:cs="Arial"/>
        </w:rPr>
        <w:t xml:space="preserve"> residents to reduce the contact between multiple </w:t>
      </w:r>
      <w:r>
        <w:rPr>
          <w:rFonts w:cs="Arial"/>
        </w:rPr>
        <w:t>workers</w:t>
      </w:r>
      <w:r w:rsidRPr="00B65E3A">
        <w:rPr>
          <w:rFonts w:cs="Arial"/>
        </w:rPr>
        <w:t xml:space="preserve"> </w:t>
      </w:r>
      <w:r w:rsidR="00B65E3A" w:rsidRPr="00B65E3A">
        <w:rPr>
          <w:rFonts w:cs="Arial"/>
        </w:rPr>
        <w:t xml:space="preserve">and residents in an outbreak. This could include drafting model rosters to give </w:t>
      </w:r>
      <w:r>
        <w:rPr>
          <w:rFonts w:cs="Arial"/>
        </w:rPr>
        <w:t xml:space="preserve">workers </w:t>
      </w:r>
      <w:r w:rsidR="00B65E3A" w:rsidRPr="00B65E3A">
        <w:rPr>
          <w:rFonts w:cs="Arial"/>
        </w:rPr>
        <w:t>an example of what a single site arrangement may look like for them. Providers</w:t>
      </w:r>
      <w:r>
        <w:rPr>
          <w:rFonts w:cs="Arial"/>
        </w:rPr>
        <w:t xml:space="preserve"> may need to:</w:t>
      </w:r>
    </w:p>
    <w:p w:rsidR="007312CC" w:rsidRDefault="00B65E3A" w:rsidP="00541CBF">
      <w:pPr>
        <w:pStyle w:val="ListParagraph"/>
        <w:numPr>
          <w:ilvl w:val="1"/>
          <w:numId w:val="3"/>
        </w:numPr>
        <w:spacing w:before="60" w:after="60"/>
        <w:contextualSpacing w:val="0"/>
        <w:rPr>
          <w:rFonts w:cs="Arial"/>
        </w:rPr>
      </w:pPr>
      <w:r w:rsidRPr="00B65E3A">
        <w:rPr>
          <w:rFonts w:cs="Arial"/>
        </w:rPr>
        <w:t xml:space="preserve">develop processes and communicate these to </w:t>
      </w:r>
      <w:r w:rsidR="009B4797">
        <w:rPr>
          <w:rFonts w:cs="Arial"/>
        </w:rPr>
        <w:t>worker</w:t>
      </w:r>
      <w:r w:rsidRPr="00B65E3A">
        <w:rPr>
          <w:rFonts w:cs="Arial"/>
        </w:rPr>
        <w:t>s</w:t>
      </w:r>
    </w:p>
    <w:p w:rsidR="007312CC" w:rsidRDefault="00B65E3A" w:rsidP="00541CBF">
      <w:pPr>
        <w:pStyle w:val="ListParagraph"/>
        <w:numPr>
          <w:ilvl w:val="1"/>
          <w:numId w:val="3"/>
        </w:numPr>
        <w:spacing w:before="60" w:after="60"/>
        <w:contextualSpacing w:val="0"/>
        <w:rPr>
          <w:rFonts w:cs="Arial"/>
        </w:rPr>
      </w:pPr>
      <w:r w:rsidRPr="00B65E3A">
        <w:rPr>
          <w:rFonts w:cs="Arial"/>
        </w:rPr>
        <w:t>organis</w:t>
      </w:r>
      <w:r w:rsidR="007312CC">
        <w:rPr>
          <w:rFonts w:cs="Arial"/>
        </w:rPr>
        <w:t>e</w:t>
      </w:r>
      <w:r w:rsidRPr="00B65E3A">
        <w:rPr>
          <w:rFonts w:cs="Arial"/>
        </w:rPr>
        <w:t xml:space="preserve"> </w:t>
      </w:r>
      <w:r w:rsidR="007312CC">
        <w:rPr>
          <w:rFonts w:cs="Arial"/>
        </w:rPr>
        <w:t>a</w:t>
      </w:r>
      <w:r w:rsidRPr="00B65E3A">
        <w:rPr>
          <w:rFonts w:cs="Arial"/>
        </w:rPr>
        <w:t>ppropriate trainin</w:t>
      </w:r>
      <w:r w:rsidR="00CA0D06">
        <w:rPr>
          <w:rFonts w:cs="Arial"/>
        </w:rPr>
        <w:t>g</w:t>
      </w:r>
    </w:p>
    <w:p w:rsidR="00B65E3A" w:rsidRPr="00B65E3A" w:rsidRDefault="00CA0D06" w:rsidP="00541CBF">
      <w:pPr>
        <w:pStyle w:val="ListParagraph"/>
        <w:numPr>
          <w:ilvl w:val="1"/>
          <w:numId w:val="3"/>
        </w:numPr>
        <w:spacing w:before="60" w:after="60"/>
        <w:contextualSpacing w:val="0"/>
        <w:rPr>
          <w:rFonts w:cs="Arial"/>
        </w:rPr>
      </w:pPr>
      <w:proofErr w:type="gramStart"/>
      <w:r>
        <w:rPr>
          <w:rFonts w:cs="Arial"/>
        </w:rPr>
        <w:t>e</w:t>
      </w:r>
      <w:r w:rsidR="007312CC">
        <w:rPr>
          <w:rFonts w:cs="Arial"/>
        </w:rPr>
        <w:t>nsure</w:t>
      </w:r>
      <w:proofErr w:type="gramEnd"/>
      <w:r w:rsidR="007312CC">
        <w:rPr>
          <w:rFonts w:cs="Arial"/>
        </w:rPr>
        <w:t xml:space="preserve"> management are familiar with new processes to ensure smooth transition.</w:t>
      </w:r>
    </w:p>
    <w:p w:rsidR="00B65E3A" w:rsidRPr="00B65E3A" w:rsidRDefault="007312CC" w:rsidP="00541CBF">
      <w:pPr>
        <w:pStyle w:val="ListParagraph"/>
        <w:numPr>
          <w:ilvl w:val="0"/>
          <w:numId w:val="3"/>
        </w:numPr>
        <w:spacing w:before="60" w:after="60"/>
        <w:ind w:hanging="357"/>
        <w:contextualSpacing w:val="0"/>
        <w:rPr>
          <w:rFonts w:cs="Arial"/>
        </w:rPr>
      </w:pPr>
      <w:proofErr w:type="gramStart"/>
      <w:r>
        <w:rPr>
          <w:rFonts w:cs="Arial"/>
        </w:rPr>
        <w:t>C</w:t>
      </w:r>
      <w:r w:rsidR="00B65E3A" w:rsidRPr="00B65E3A">
        <w:rPr>
          <w:rFonts w:cs="Arial"/>
        </w:rPr>
        <w:t>onsider</w:t>
      </w:r>
      <w:r w:rsidR="00CA0D06">
        <w:rPr>
          <w:rFonts w:cs="Arial"/>
        </w:rPr>
        <w:t xml:space="preserve"> </w:t>
      </w:r>
      <w:r w:rsidR="00B65E3A" w:rsidRPr="00B65E3A">
        <w:rPr>
          <w:rFonts w:cs="Arial"/>
        </w:rPr>
        <w:t xml:space="preserve"> surge</w:t>
      </w:r>
      <w:proofErr w:type="gramEnd"/>
      <w:r w:rsidR="00B65E3A" w:rsidRPr="00B65E3A">
        <w:rPr>
          <w:rFonts w:cs="Arial"/>
        </w:rPr>
        <w:t xml:space="preserve"> workforce</w:t>
      </w:r>
      <w:r w:rsidR="00FD5ECC">
        <w:rPr>
          <w:rFonts w:cs="Arial"/>
        </w:rPr>
        <w:t xml:space="preserve"> needs</w:t>
      </w:r>
      <w:r w:rsidR="00B65E3A" w:rsidRPr="00B65E3A">
        <w:rPr>
          <w:rFonts w:cs="Arial"/>
        </w:rPr>
        <w:t xml:space="preserve"> for an initial outbreak and </w:t>
      </w:r>
      <w:r w:rsidR="00FD5ECC">
        <w:rPr>
          <w:rFonts w:cs="Arial"/>
        </w:rPr>
        <w:t xml:space="preserve">how this </w:t>
      </w:r>
      <w:r w:rsidR="00CA0D06">
        <w:rPr>
          <w:rFonts w:cs="Arial"/>
        </w:rPr>
        <w:t>would</w:t>
      </w:r>
      <w:r w:rsidR="00B65E3A" w:rsidRPr="00B65E3A">
        <w:rPr>
          <w:rFonts w:cs="Arial"/>
        </w:rPr>
        <w:t xml:space="preserve"> fit into workforce bubbles</w:t>
      </w:r>
      <w:r w:rsidR="00E52E19">
        <w:rPr>
          <w:rFonts w:cs="Arial"/>
        </w:rPr>
        <w:t>.</w:t>
      </w:r>
      <w:r w:rsidR="00B65E3A" w:rsidRPr="00B65E3A">
        <w:rPr>
          <w:rFonts w:cs="Arial"/>
        </w:rPr>
        <w:t xml:space="preserve"> </w:t>
      </w:r>
      <w:r w:rsidR="00E52E19">
        <w:rPr>
          <w:rFonts w:cs="Arial"/>
        </w:rPr>
        <w:t>N</w:t>
      </w:r>
      <w:r w:rsidR="00B65E3A" w:rsidRPr="00B65E3A">
        <w:rPr>
          <w:rFonts w:cs="Arial"/>
        </w:rPr>
        <w:t>ot</w:t>
      </w:r>
      <w:r w:rsidR="00E52E19">
        <w:rPr>
          <w:rFonts w:cs="Arial"/>
        </w:rPr>
        <w:t>e</w:t>
      </w:r>
      <w:r w:rsidR="00B65E3A" w:rsidRPr="00B65E3A">
        <w:rPr>
          <w:rFonts w:cs="Arial"/>
        </w:rPr>
        <w:t xml:space="preserve"> it is possible that all existing staff will be furloughed for a period of up to 2 weeks. Providers will need to understand how to arrange surge workers and to communicate to </w:t>
      </w:r>
      <w:r w:rsidR="009B4797">
        <w:rPr>
          <w:rFonts w:cs="Arial"/>
        </w:rPr>
        <w:t>worker</w:t>
      </w:r>
      <w:r w:rsidR="00B65E3A" w:rsidRPr="00B65E3A">
        <w:rPr>
          <w:rFonts w:cs="Arial"/>
        </w:rPr>
        <w:t>s how these supports will be transitioned in.</w:t>
      </w:r>
    </w:p>
    <w:p w:rsidR="00B65E3A" w:rsidRPr="00B65E3A" w:rsidRDefault="007312CC" w:rsidP="00541CBF">
      <w:pPr>
        <w:pStyle w:val="ListParagraph"/>
        <w:numPr>
          <w:ilvl w:val="0"/>
          <w:numId w:val="3"/>
        </w:numPr>
        <w:spacing w:before="60" w:after="60"/>
        <w:ind w:hanging="357"/>
        <w:contextualSpacing w:val="0"/>
        <w:rPr>
          <w:rFonts w:cs="Arial"/>
        </w:rPr>
      </w:pPr>
      <w:r>
        <w:rPr>
          <w:rFonts w:cs="Arial"/>
        </w:rPr>
        <w:t>E</w:t>
      </w:r>
      <w:r w:rsidR="00B65E3A" w:rsidRPr="00B65E3A">
        <w:rPr>
          <w:rFonts w:cs="Arial"/>
        </w:rPr>
        <w:t xml:space="preserve">mployers should prepare </w:t>
      </w:r>
      <w:r w:rsidR="00CA0D06">
        <w:rPr>
          <w:rFonts w:cs="Arial"/>
        </w:rPr>
        <w:t>contract change templates for worker</w:t>
      </w:r>
      <w:r w:rsidR="00B65E3A" w:rsidRPr="00B65E3A">
        <w:rPr>
          <w:rFonts w:cs="Arial"/>
        </w:rPr>
        <w:t>s</w:t>
      </w:r>
      <w:r w:rsidR="00CA0D06">
        <w:rPr>
          <w:rFonts w:cs="Arial"/>
        </w:rPr>
        <w:t>’</w:t>
      </w:r>
      <w:r w:rsidR="00B65E3A" w:rsidRPr="00B65E3A">
        <w:rPr>
          <w:rFonts w:cs="Arial"/>
        </w:rPr>
        <w:t xml:space="preserve"> agreements for </w:t>
      </w:r>
      <w:r w:rsidR="00CA0D06">
        <w:rPr>
          <w:rFonts w:cs="Arial"/>
        </w:rPr>
        <w:t xml:space="preserve">when </w:t>
      </w:r>
      <w:r w:rsidR="00B65E3A" w:rsidRPr="00B65E3A">
        <w:rPr>
          <w:rFonts w:cs="Arial"/>
        </w:rPr>
        <w:t>single site operations are in place</w:t>
      </w:r>
      <w:r w:rsidR="00B50E31">
        <w:rPr>
          <w:rFonts w:cs="Arial"/>
        </w:rPr>
        <w:t>. Employers can</w:t>
      </w:r>
      <w:r w:rsidR="00B65E3A" w:rsidRPr="00B65E3A">
        <w:rPr>
          <w:rFonts w:cs="Arial"/>
        </w:rPr>
        <w:t xml:space="preserve"> </w:t>
      </w:r>
      <w:r w:rsidR="00CA0D06">
        <w:rPr>
          <w:rFonts w:cs="Arial"/>
        </w:rPr>
        <w:t>use</w:t>
      </w:r>
      <w:r w:rsidR="00B65E3A" w:rsidRPr="00B65E3A">
        <w:rPr>
          <w:rFonts w:cs="Arial"/>
        </w:rPr>
        <w:t xml:space="preserve"> templates available from the Support Hub for providers in Victoria. </w:t>
      </w:r>
      <w:r w:rsidR="00B50E31">
        <w:rPr>
          <w:rFonts w:cs="Arial"/>
        </w:rPr>
        <w:t>Employers should also develop o</w:t>
      </w:r>
      <w:r w:rsidR="00B65E3A" w:rsidRPr="00B65E3A">
        <w:rPr>
          <w:rFonts w:cs="Arial"/>
        </w:rPr>
        <w:t xml:space="preserve">ther templates, such as letters </w:t>
      </w:r>
      <w:r w:rsidR="00CA0D06">
        <w:rPr>
          <w:rFonts w:cs="Arial"/>
        </w:rPr>
        <w:t>approving</w:t>
      </w:r>
      <w:r w:rsidR="00B65E3A" w:rsidRPr="00B65E3A">
        <w:rPr>
          <w:rFonts w:cs="Arial"/>
        </w:rPr>
        <w:t xml:space="preserve"> leave arrangements. </w:t>
      </w:r>
    </w:p>
    <w:p w:rsidR="00CA0D06" w:rsidRDefault="007312CC" w:rsidP="00541CBF">
      <w:pPr>
        <w:pStyle w:val="ListParagraph"/>
        <w:numPr>
          <w:ilvl w:val="0"/>
          <w:numId w:val="3"/>
        </w:numPr>
        <w:spacing w:before="60" w:after="60"/>
        <w:ind w:hanging="357"/>
        <w:contextualSpacing w:val="0"/>
        <w:rPr>
          <w:rFonts w:cs="Arial"/>
        </w:rPr>
      </w:pPr>
      <w:r>
        <w:rPr>
          <w:rFonts w:cs="Arial"/>
        </w:rPr>
        <w:t>E</w:t>
      </w:r>
      <w:r w:rsidR="00B65E3A" w:rsidRPr="00B65E3A">
        <w:rPr>
          <w:rFonts w:cs="Arial"/>
        </w:rPr>
        <w:t xml:space="preserve">mployers should prepare </w:t>
      </w:r>
      <w:r w:rsidR="00CA0D06">
        <w:rPr>
          <w:rFonts w:cs="Arial"/>
        </w:rPr>
        <w:t>a hand over including:</w:t>
      </w:r>
    </w:p>
    <w:p w:rsidR="00CA0D06" w:rsidRDefault="00B65E3A" w:rsidP="00541CBF">
      <w:pPr>
        <w:pStyle w:val="ListParagraph"/>
        <w:numPr>
          <w:ilvl w:val="1"/>
          <w:numId w:val="3"/>
        </w:numPr>
        <w:spacing w:before="60" w:after="60"/>
        <w:contextualSpacing w:val="0"/>
        <w:rPr>
          <w:rFonts w:cs="Arial"/>
        </w:rPr>
      </w:pPr>
      <w:r w:rsidRPr="00B65E3A">
        <w:rPr>
          <w:rFonts w:cs="Arial"/>
        </w:rPr>
        <w:t>resident information</w:t>
      </w:r>
    </w:p>
    <w:p w:rsidR="00CA0D06" w:rsidRDefault="00B65E3A" w:rsidP="00541CBF">
      <w:pPr>
        <w:pStyle w:val="ListParagraph"/>
        <w:numPr>
          <w:ilvl w:val="1"/>
          <w:numId w:val="3"/>
        </w:numPr>
        <w:spacing w:before="60" w:after="60"/>
        <w:contextualSpacing w:val="0"/>
        <w:rPr>
          <w:rFonts w:cs="Arial"/>
        </w:rPr>
      </w:pPr>
      <w:r w:rsidRPr="00B65E3A">
        <w:rPr>
          <w:rFonts w:cs="Arial"/>
        </w:rPr>
        <w:lastRenderedPageBreak/>
        <w:t>care plans</w:t>
      </w:r>
    </w:p>
    <w:p w:rsidR="00CA0D06" w:rsidRDefault="00B65E3A" w:rsidP="00541CBF">
      <w:pPr>
        <w:pStyle w:val="ListParagraph"/>
        <w:numPr>
          <w:ilvl w:val="1"/>
          <w:numId w:val="3"/>
        </w:numPr>
        <w:spacing w:before="60" w:after="60"/>
        <w:contextualSpacing w:val="0"/>
        <w:rPr>
          <w:rFonts w:cs="Arial"/>
        </w:rPr>
      </w:pPr>
      <w:r w:rsidRPr="00B65E3A">
        <w:rPr>
          <w:rFonts w:cs="Arial"/>
        </w:rPr>
        <w:t xml:space="preserve">door codes </w:t>
      </w:r>
    </w:p>
    <w:p w:rsidR="00CA0D06" w:rsidRDefault="00B65E3A" w:rsidP="00541CBF">
      <w:pPr>
        <w:pStyle w:val="ListParagraph"/>
        <w:numPr>
          <w:ilvl w:val="1"/>
          <w:numId w:val="3"/>
        </w:numPr>
        <w:spacing w:before="60" w:after="60"/>
        <w:contextualSpacing w:val="0"/>
        <w:rPr>
          <w:rFonts w:cs="Arial"/>
        </w:rPr>
      </w:pPr>
      <w:proofErr w:type="gramStart"/>
      <w:r w:rsidRPr="00B65E3A">
        <w:rPr>
          <w:rFonts w:cs="Arial"/>
        </w:rPr>
        <w:t>security</w:t>
      </w:r>
      <w:proofErr w:type="gramEnd"/>
      <w:r w:rsidRPr="00B65E3A">
        <w:rPr>
          <w:rFonts w:cs="Arial"/>
        </w:rPr>
        <w:t xml:space="preserve"> access information. </w:t>
      </w:r>
    </w:p>
    <w:p w:rsidR="00B65E3A" w:rsidRPr="000E53B6" w:rsidRDefault="00B65E3A" w:rsidP="00541CBF">
      <w:pPr>
        <w:spacing w:before="60" w:after="60"/>
        <w:ind w:left="357"/>
        <w:rPr>
          <w:rFonts w:cs="Arial"/>
        </w:rPr>
      </w:pPr>
      <w:r w:rsidRPr="000E53B6">
        <w:rPr>
          <w:rFonts w:cs="Arial"/>
        </w:rPr>
        <w:t xml:space="preserve">Expectations on surge workforce learning </w:t>
      </w:r>
      <w:r w:rsidR="00CA0D06">
        <w:rPr>
          <w:rFonts w:cs="Arial"/>
        </w:rPr>
        <w:t xml:space="preserve">how to use the </w:t>
      </w:r>
      <w:r w:rsidRPr="000E53B6">
        <w:rPr>
          <w:rFonts w:cs="Arial"/>
        </w:rPr>
        <w:t>IT systems and other internal training should be minimal.</w:t>
      </w:r>
    </w:p>
    <w:p w:rsidR="00155988" w:rsidRPr="003F43F7" w:rsidRDefault="007312CC" w:rsidP="00541CBF">
      <w:pPr>
        <w:pStyle w:val="ListParagraph"/>
        <w:numPr>
          <w:ilvl w:val="0"/>
          <w:numId w:val="3"/>
        </w:numPr>
        <w:spacing w:before="60" w:after="60"/>
        <w:ind w:hanging="357"/>
        <w:contextualSpacing w:val="0"/>
        <w:rPr>
          <w:rFonts w:cs="Arial"/>
        </w:rPr>
      </w:pPr>
      <w:r>
        <w:rPr>
          <w:rFonts w:cs="Arial"/>
        </w:rPr>
        <w:t>A</w:t>
      </w:r>
      <w:r w:rsidR="00B65E3A" w:rsidRPr="00B65E3A">
        <w:rPr>
          <w:rFonts w:cs="Arial"/>
        </w:rPr>
        <w:t xml:space="preserve"> communication and consultation plan to ensure </w:t>
      </w:r>
      <w:r w:rsidR="009B4797">
        <w:rPr>
          <w:rFonts w:cs="Arial"/>
        </w:rPr>
        <w:t>worker</w:t>
      </w:r>
      <w:r w:rsidR="00B65E3A" w:rsidRPr="00B65E3A">
        <w:rPr>
          <w:rFonts w:cs="Arial"/>
        </w:rPr>
        <w:t xml:space="preserve">s are notified appropriately and as early as practicable when/if </w:t>
      </w:r>
      <w:r w:rsidR="00B50E31">
        <w:rPr>
          <w:rFonts w:cs="Arial"/>
        </w:rPr>
        <w:t xml:space="preserve">the provider activates </w:t>
      </w:r>
      <w:r w:rsidR="00B65E3A" w:rsidRPr="00B65E3A">
        <w:rPr>
          <w:rFonts w:cs="Arial"/>
        </w:rPr>
        <w:t xml:space="preserve">single site arrangements. Providers are responsible for being transparent with </w:t>
      </w:r>
      <w:r w:rsidR="009B4797">
        <w:rPr>
          <w:rFonts w:cs="Arial"/>
        </w:rPr>
        <w:t>worker</w:t>
      </w:r>
      <w:r w:rsidR="00B65E3A" w:rsidRPr="00B65E3A">
        <w:rPr>
          <w:rFonts w:cs="Arial"/>
        </w:rPr>
        <w:t>s. The</w:t>
      </w:r>
      <w:r w:rsidR="00B50E31">
        <w:rPr>
          <w:rFonts w:cs="Arial"/>
        </w:rPr>
        <w:t xml:space="preserve"> provider should review and update the</w:t>
      </w:r>
      <w:r w:rsidR="00B65E3A" w:rsidRPr="00B65E3A">
        <w:rPr>
          <w:rFonts w:cs="Arial"/>
        </w:rPr>
        <w:t xml:space="preserve"> communications and consultation plan as required.</w:t>
      </w:r>
    </w:p>
    <w:p w:rsidR="00155988" w:rsidRPr="00155988" w:rsidRDefault="00155988" w:rsidP="00541CBF">
      <w:pPr>
        <w:pStyle w:val="Heading4"/>
        <w:rPr>
          <w:b/>
        </w:rPr>
      </w:pPr>
      <w:r>
        <w:t xml:space="preserve">Step 4: </w:t>
      </w:r>
      <w:r w:rsidR="00CA0D06">
        <w:t>s</w:t>
      </w:r>
      <w:r>
        <w:t xml:space="preserve">tress </w:t>
      </w:r>
      <w:r w:rsidR="00CA0D06">
        <w:t>t</w:t>
      </w:r>
      <w:r>
        <w:t xml:space="preserve">esting </w:t>
      </w:r>
      <w:r w:rsidRPr="000E53B6">
        <w:t>(Tier 2)</w:t>
      </w:r>
    </w:p>
    <w:p w:rsidR="00155988" w:rsidRPr="00155988" w:rsidRDefault="00155988" w:rsidP="00541CBF">
      <w:pPr>
        <w:rPr>
          <w:rFonts w:cs="Arial"/>
        </w:rPr>
      </w:pPr>
      <w:r w:rsidRPr="00155988">
        <w:rPr>
          <w:rFonts w:cs="Arial"/>
        </w:rPr>
        <w:t xml:space="preserve">Stress testing is important as it provides an opportunity to refine the model prior to implementation to ensure it is fit for purpose. This could include planning for different scales of transmission. Where possible, </w:t>
      </w:r>
      <w:r w:rsidR="009B4797">
        <w:rPr>
          <w:rFonts w:cs="Arial"/>
        </w:rPr>
        <w:t>worker</w:t>
      </w:r>
      <w:r w:rsidRPr="00155988">
        <w:rPr>
          <w:rFonts w:cs="Arial"/>
        </w:rPr>
        <w:t>s are responsible for participating in stress testi</w:t>
      </w:r>
      <w:r w:rsidR="00541CBF">
        <w:rPr>
          <w:rFonts w:cs="Arial"/>
        </w:rPr>
        <w:t>ng the single site arrangement.</w:t>
      </w:r>
    </w:p>
    <w:p w:rsidR="00155988" w:rsidRPr="00155988" w:rsidRDefault="00155988" w:rsidP="00541CBF">
      <w:pPr>
        <w:rPr>
          <w:rFonts w:cs="Arial"/>
        </w:rPr>
      </w:pPr>
      <w:r w:rsidRPr="00155988">
        <w:rPr>
          <w:rFonts w:cs="Arial"/>
        </w:rPr>
        <w:t xml:space="preserve">Ideally, the provider could trial a two week period of roster changes to stress test the single site arrangement. This is particularly an option among larger providers with multiple facilities. However, this may not be practical for many employers as it may require collaboration between providers where </w:t>
      </w:r>
      <w:r w:rsidR="009B4797">
        <w:rPr>
          <w:rFonts w:cs="Arial"/>
        </w:rPr>
        <w:t>worker</w:t>
      </w:r>
      <w:r w:rsidR="00E52E19">
        <w:rPr>
          <w:rFonts w:cs="Arial"/>
        </w:rPr>
        <w:t>s are not mandated to</w:t>
      </w:r>
      <w:r w:rsidRPr="00155988">
        <w:rPr>
          <w:rFonts w:cs="Arial"/>
        </w:rPr>
        <w:t xml:space="preserve"> participat</w:t>
      </w:r>
      <w:r w:rsidR="00E52E19">
        <w:rPr>
          <w:rFonts w:cs="Arial"/>
        </w:rPr>
        <w:t>e</w:t>
      </w:r>
      <w:r w:rsidRPr="00155988">
        <w:rPr>
          <w:rFonts w:cs="Arial"/>
        </w:rPr>
        <w:t xml:space="preserve">. Where possible, employers should also ensure </w:t>
      </w:r>
      <w:r w:rsidR="009B4797">
        <w:rPr>
          <w:rFonts w:cs="Arial"/>
        </w:rPr>
        <w:t>worker</w:t>
      </w:r>
      <w:r w:rsidRPr="00155988">
        <w:rPr>
          <w:rFonts w:cs="Arial"/>
        </w:rPr>
        <w:t xml:space="preserve">s are not financially disadvantaged by offering a similar number of hours at a single facility. </w:t>
      </w:r>
    </w:p>
    <w:p w:rsidR="00532914" w:rsidRDefault="00155988" w:rsidP="00541CBF">
      <w:pPr>
        <w:rPr>
          <w:rFonts w:cs="Arial"/>
        </w:rPr>
      </w:pPr>
      <w:r w:rsidRPr="00155988">
        <w:rPr>
          <w:rFonts w:cs="Arial"/>
        </w:rPr>
        <w:t>An alternate option for stress testing could involve engaging staff on</w:t>
      </w:r>
      <w:r w:rsidR="00532914">
        <w:rPr>
          <w:rFonts w:cs="Arial"/>
        </w:rPr>
        <w:t>:</w:t>
      </w:r>
    </w:p>
    <w:p w:rsidR="00532914" w:rsidRDefault="00EE0AA7" w:rsidP="00541CBF">
      <w:pPr>
        <w:pStyle w:val="ListParagraph"/>
        <w:numPr>
          <w:ilvl w:val="0"/>
          <w:numId w:val="6"/>
        </w:numPr>
        <w:rPr>
          <w:rFonts w:cs="Arial"/>
        </w:rPr>
      </w:pPr>
      <w:r>
        <w:rPr>
          <w:rFonts w:cs="Arial"/>
        </w:rPr>
        <w:t>discussing possible outbreak scenarios and how you would respond</w:t>
      </w:r>
    </w:p>
    <w:p w:rsidR="00532914" w:rsidRPr="000E53B6" w:rsidRDefault="00155988" w:rsidP="00541CBF">
      <w:pPr>
        <w:pStyle w:val="ListParagraph"/>
        <w:numPr>
          <w:ilvl w:val="0"/>
          <w:numId w:val="6"/>
        </w:numPr>
        <w:rPr>
          <w:rFonts w:cs="Arial"/>
        </w:rPr>
      </w:pPr>
      <w:r w:rsidRPr="000E53B6">
        <w:rPr>
          <w:rFonts w:cs="Arial"/>
        </w:rPr>
        <w:lastRenderedPageBreak/>
        <w:t>consultation sessions on operational detail</w:t>
      </w:r>
    </w:p>
    <w:p w:rsidR="00155988" w:rsidRPr="000E53B6" w:rsidRDefault="00155988" w:rsidP="00541CBF">
      <w:pPr>
        <w:pStyle w:val="ListParagraph"/>
        <w:numPr>
          <w:ilvl w:val="0"/>
          <w:numId w:val="6"/>
        </w:numPr>
        <w:rPr>
          <w:rFonts w:cs="Arial"/>
        </w:rPr>
      </w:pPr>
      <w:proofErr w:type="gramStart"/>
      <w:r w:rsidRPr="000E53B6">
        <w:rPr>
          <w:rFonts w:cs="Arial"/>
        </w:rPr>
        <w:t>exercises</w:t>
      </w:r>
      <w:proofErr w:type="gramEnd"/>
      <w:r w:rsidRPr="000E53B6">
        <w:rPr>
          <w:rFonts w:cs="Arial"/>
        </w:rPr>
        <w:t xml:space="preserve"> to </w:t>
      </w:r>
      <w:r w:rsidR="00EE0AA7">
        <w:rPr>
          <w:rFonts w:cs="Arial"/>
        </w:rPr>
        <w:t xml:space="preserve">understand </w:t>
      </w:r>
      <w:r w:rsidRPr="000E53B6">
        <w:rPr>
          <w:rFonts w:cs="Arial"/>
        </w:rPr>
        <w:t xml:space="preserve">employer and </w:t>
      </w:r>
      <w:r w:rsidR="009B4797">
        <w:rPr>
          <w:rFonts w:cs="Arial"/>
        </w:rPr>
        <w:t>worker</w:t>
      </w:r>
      <w:r w:rsidRPr="000E53B6">
        <w:rPr>
          <w:rFonts w:cs="Arial"/>
        </w:rPr>
        <w:t xml:space="preserve"> roles and responsibilities in implementing a single site arrangement.</w:t>
      </w:r>
    </w:p>
    <w:p w:rsidR="00B65E3A" w:rsidRDefault="00155988" w:rsidP="00541CBF">
      <w:r w:rsidRPr="00155988">
        <w:t xml:space="preserve">There may be a risk where </w:t>
      </w:r>
      <w:r w:rsidR="009B4797">
        <w:t>worker</w:t>
      </w:r>
      <w:r w:rsidRPr="00155988">
        <w:t>s choose to work at a facility that has not experienced an outbreak</w:t>
      </w:r>
      <w:r w:rsidR="00532914">
        <w:t xml:space="preserve">. It may also be a risk that </w:t>
      </w:r>
      <w:r w:rsidR="009B4797">
        <w:t>worker</w:t>
      </w:r>
      <w:r w:rsidR="00532914">
        <w:t>s</w:t>
      </w:r>
      <w:r w:rsidR="00AE27CE">
        <w:t xml:space="preserve"> </w:t>
      </w:r>
      <w:r w:rsidRPr="00155988">
        <w:t>may decline to work at a facility with an active outbreak. Stress testing should account for th</w:t>
      </w:r>
      <w:r w:rsidR="00532914">
        <w:t>ese</w:t>
      </w:r>
      <w:r w:rsidRPr="00155988">
        <w:t xml:space="preserve"> scenario</w:t>
      </w:r>
      <w:r w:rsidR="00532914">
        <w:t>s</w:t>
      </w:r>
      <w:r w:rsidRPr="00155988">
        <w:t xml:space="preserve">, including preparing for the possibility of significant </w:t>
      </w:r>
      <w:r w:rsidR="00541CBF">
        <w:t>decreases in staffing numbers.</w:t>
      </w:r>
    </w:p>
    <w:p w:rsidR="00155988" w:rsidRPr="00155988" w:rsidRDefault="00155988" w:rsidP="00541CBF">
      <w:pPr>
        <w:pStyle w:val="Heading4"/>
        <w:rPr>
          <w:b/>
        </w:rPr>
      </w:pPr>
      <w:r>
        <w:t xml:space="preserve">Step 5: </w:t>
      </w:r>
      <w:r w:rsidR="00EE0AA7">
        <w:t>s</w:t>
      </w:r>
      <w:r w:rsidR="003F43F7">
        <w:t>urg</w:t>
      </w:r>
      <w:r>
        <w:t xml:space="preserve">e </w:t>
      </w:r>
      <w:r w:rsidR="00EE0AA7">
        <w:t>w</w:t>
      </w:r>
      <w:r>
        <w:t xml:space="preserve">orkforce </w:t>
      </w:r>
      <w:r w:rsidR="00EE0AA7">
        <w:t>c</w:t>
      </w:r>
      <w:r>
        <w:t xml:space="preserve">onfirmation </w:t>
      </w:r>
      <w:r w:rsidRPr="000E53B6">
        <w:t>(Tier 2)</w:t>
      </w:r>
    </w:p>
    <w:p w:rsidR="00155988" w:rsidRPr="00155988" w:rsidRDefault="00155988" w:rsidP="00541CBF">
      <w:pPr>
        <w:rPr>
          <w:rFonts w:cs="Arial"/>
        </w:rPr>
      </w:pPr>
      <w:r w:rsidRPr="00155988">
        <w:rPr>
          <w:rFonts w:cs="Arial"/>
        </w:rPr>
        <w:t>The provider should confirm access to surge workforce of casuals and agency staff. In the event of an outbreak, it is possible that all existing staff will be furloughed for a period of up to 2 weeks. Emergency surge responses require a different staffing approach to normal staffing approaches.</w:t>
      </w:r>
    </w:p>
    <w:p w:rsidR="00155988" w:rsidRPr="00155988" w:rsidRDefault="00E52E19" w:rsidP="00541CBF">
      <w:pPr>
        <w:rPr>
          <w:rFonts w:cs="Arial"/>
        </w:rPr>
      </w:pPr>
      <w:r>
        <w:rPr>
          <w:rFonts w:cs="Arial"/>
        </w:rPr>
        <w:t>T</w:t>
      </w:r>
      <w:r w:rsidR="00155988" w:rsidRPr="00155988">
        <w:rPr>
          <w:rFonts w:cs="Arial"/>
        </w:rPr>
        <w:t xml:space="preserve">he principles issued for Victoria </w:t>
      </w:r>
      <w:r>
        <w:rPr>
          <w:rFonts w:cs="Arial"/>
        </w:rPr>
        <w:t xml:space="preserve">did not limit </w:t>
      </w:r>
      <w:r w:rsidR="00155988" w:rsidRPr="00155988">
        <w:rPr>
          <w:rFonts w:cs="Arial"/>
        </w:rPr>
        <w:t>agency staff to single site arrangements as they were considered key to surge requirements. This is an important action for single site preparedness</w:t>
      </w:r>
      <w:r>
        <w:rPr>
          <w:rFonts w:cs="Arial"/>
        </w:rPr>
        <w:t>.</w:t>
      </w:r>
      <w:r w:rsidR="00155988" w:rsidRPr="00155988">
        <w:rPr>
          <w:rFonts w:cs="Arial"/>
        </w:rPr>
        <w:t xml:space="preserve"> </w:t>
      </w:r>
      <w:r>
        <w:rPr>
          <w:rFonts w:cs="Arial"/>
        </w:rPr>
        <w:t>S</w:t>
      </w:r>
      <w:r w:rsidR="00155988" w:rsidRPr="00155988">
        <w:rPr>
          <w:rFonts w:cs="Arial"/>
        </w:rPr>
        <w:t xml:space="preserve">urge workers can fill any workforce gaps left by the model’s implementation or where </w:t>
      </w:r>
      <w:r>
        <w:rPr>
          <w:rFonts w:cs="Arial"/>
        </w:rPr>
        <w:t>employers</w:t>
      </w:r>
      <w:r w:rsidR="00155988" w:rsidRPr="00155988">
        <w:rPr>
          <w:rFonts w:cs="Arial"/>
        </w:rPr>
        <w:t xml:space="preserve"> anticipate staff may </w:t>
      </w:r>
      <w:r>
        <w:rPr>
          <w:rFonts w:cs="Arial"/>
        </w:rPr>
        <w:t>need</w:t>
      </w:r>
      <w:r w:rsidR="00155988" w:rsidRPr="00155988">
        <w:rPr>
          <w:rFonts w:cs="Arial"/>
        </w:rPr>
        <w:t xml:space="preserve"> to take personal leave due to COVID-19 symptoms, testing or tracing. Additionally, this action aims to increase </w:t>
      </w:r>
      <w:r w:rsidR="009B4797">
        <w:rPr>
          <w:rFonts w:cs="Arial"/>
        </w:rPr>
        <w:t>worker</w:t>
      </w:r>
      <w:r w:rsidR="00155988" w:rsidRPr="00155988">
        <w:rPr>
          <w:rFonts w:cs="Arial"/>
        </w:rPr>
        <w:t xml:space="preserve"> confidence in management and the single site model.</w:t>
      </w:r>
    </w:p>
    <w:p w:rsidR="00155988" w:rsidRPr="00155988" w:rsidRDefault="00155988" w:rsidP="00541CBF">
      <w:pPr>
        <w:rPr>
          <w:rFonts w:cs="Arial"/>
        </w:rPr>
      </w:pPr>
      <w:r w:rsidRPr="00155988">
        <w:rPr>
          <w:rFonts w:cs="Arial"/>
        </w:rPr>
        <w:t>General Practitioners, specialist medical staff and Allied Health professionals should also be able to move between facilities</w:t>
      </w:r>
      <w:r w:rsidR="00532914">
        <w:rPr>
          <w:rFonts w:cs="Arial"/>
        </w:rPr>
        <w:t>. This will</w:t>
      </w:r>
      <w:r w:rsidRPr="00155988">
        <w:rPr>
          <w:rFonts w:cs="Arial"/>
        </w:rPr>
        <w:t xml:space="preserve"> ensure access to health services continues during an outbreak.</w:t>
      </w:r>
    </w:p>
    <w:p w:rsidR="00155988" w:rsidRPr="00155988" w:rsidRDefault="00155988" w:rsidP="00541CBF">
      <w:pPr>
        <w:pStyle w:val="Heading4"/>
        <w:rPr>
          <w:b/>
        </w:rPr>
      </w:pPr>
      <w:r>
        <w:t xml:space="preserve">Step 6: </w:t>
      </w:r>
      <w:r w:rsidR="00FC6690">
        <w:t>c</w:t>
      </w:r>
      <w:r>
        <w:t xml:space="preserve">ommunicating to </w:t>
      </w:r>
      <w:r w:rsidR="00FC6690">
        <w:t>w</w:t>
      </w:r>
      <w:r w:rsidR="009B4797">
        <w:t>orker</w:t>
      </w:r>
      <w:r>
        <w:t xml:space="preserve">s </w:t>
      </w:r>
      <w:r w:rsidRPr="000E53B6">
        <w:t>(Tier 2 &amp; Tier 3)</w:t>
      </w:r>
    </w:p>
    <w:p w:rsidR="00155988" w:rsidRPr="00155988" w:rsidRDefault="00155988" w:rsidP="00541CBF">
      <w:pPr>
        <w:rPr>
          <w:rFonts w:cs="Arial"/>
        </w:rPr>
      </w:pPr>
      <w:r w:rsidRPr="00155988">
        <w:rPr>
          <w:rFonts w:cs="Arial"/>
        </w:rPr>
        <w:t xml:space="preserve">Communications should commence to keep </w:t>
      </w:r>
      <w:r w:rsidR="009B4797">
        <w:rPr>
          <w:rFonts w:cs="Arial"/>
        </w:rPr>
        <w:t>worker</w:t>
      </w:r>
      <w:r w:rsidRPr="00155988">
        <w:rPr>
          <w:rFonts w:cs="Arial"/>
        </w:rPr>
        <w:t>s informed of any developing situation wh</w:t>
      </w:r>
      <w:r w:rsidR="00DF4251">
        <w:rPr>
          <w:rFonts w:cs="Arial"/>
        </w:rPr>
        <w:t>ere the provider has identified</w:t>
      </w:r>
      <w:r w:rsidRPr="00155988">
        <w:rPr>
          <w:rFonts w:cs="Arial"/>
        </w:rPr>
        <w:t xml:space="preserve"> a high </w:t>
      </w:r>
      <w:r w:rsidRPr="00155988">
        <w:rPr>
          <w:rFonts w:cs="Arial"/>
        </w:rPr>
        <w:lastRenderedPageBreak/>
        <w:t xml:space="preserve">risk of COVID transmission at the facility. This should include re-circulating the agreed policies which </w:t>
      </w:r>
      <w:r w:rsidR="00DF4251">
        <w:rPr>
          <w:rFonts w:cs="Arial"/>
        </w:rPr>
        <w:t xml:space="preserve">the provider </w:t>
      </w:r>
      <w:r w:rsidRPr="00155988">
        <w:rPr>
          <w:rFonts w:cs="Arial"/>
        </w:rPr>
        <w:t xml:space="preserve">will enforce while the single site arrangement is in place. By re-circulating information and keeping </w:t>
      </w:r>
      <w:r w:rsidR="009B4797">
        <w:rPr>
          <w:rFonts w:cs="Arial"/>
        </w:rPr>
        <w:t>worker</w:t>
      </w:r>
      <w:r w:rsidRPr="00155988">
        <w:rPr>
          <w:rFonts w:cs="Arial"/>
        </w:rPr>
        <w:t xml:space="preserve">s up to date, </w:t>
      </w:r>
      <w:r w:rsidR="009B4797">
        <w:rPr>
          <w:rFonts w:cs="Arial"/>
        </w:rPr>
        <w:t>worker</w:t>
      </w:r>
      <w:r w:rsidRPr="00155988">
        <w:rPr>
          <w:rFonts w:cs="Arial"/>
        </w:rPr>
        <w:t xml:space="preserve">s will be clear on next actions and the changes which may occur quickly. </w:t>
      </w:r>
      <w:r w:rsidR="00E52E19">
        <w:rPr>
          <w:rFonts w:cs="Arial"/>
        </w:rPr>
        <w:t>This</w:t>
      </w:r>
      <w:r w:rsidRPr="00155988">
        <w:rPr>
          <w:rFonts w:cs="Arial"/>
        </w:rPr>
        <w:t xml:space="preserve"> may encourage some workers to</w:t>
      </w:r>
      <w:r w:rsidR="00DF7E42">
        <w:rPr>
          <w:rFonts w:cs="Arial"/>
        </w:rPr>
        <w:t xml:space="preserve"> consider</w:t>
      </w:r>
      <w:r w:rsidRPr="00155988">
        <w:rPr>
          <w:rFonts w:cs="Arial"/>
        </w:rPr>
        <w:t xml:space="preserve"> increasing their presence at one facility, irrespective of the need to fully implement a single site arrangement. </w:t>
      </w:r>
    </w:p>
    <w:p w:rsidR="00155988" w:rsidRDefault="00155988" w:rsidP="00541CBF">
      <w:pPr>
        <w:pStyle w:val="Heading4"/>
        <w:rPr>
          <w:b/>
        </w:rPr>
      </w:pPr>
      <w:r>
        <w:t xml:space="preserve">Step 7: </w:t>
      </w:r>
      <w:r w:rsidR="00FC6690">
        <w:t>m</w:t>
      </w:r>
      <w:r>
        <w:t xml:space="preserve">onitoring and </w:t>
      </w:r>
      <w:r w:rsidR="00FC6690">
        <w:t>r</w:t>
      </w:r>
      <w:r>
        <w:t xml:space="preserve">eporting </w:t>
      </w:r>
      <w:r w:rsidRPr="000E53B6">
        <w:t>(Tier 3)</w:t>
      </w:r>
    </w:p>
    <w:p w:rsidR="00155988" w:rsidRPr="00155988" w:rsidRDefault="00155988" w:rsidP="00541CBF">
      <w:pPr>
        <w:rPr>
          <w:rFonts w:cs="Arial"/>
        </w:rPr>
      </w:pPr>
      <w:r w:rsidRPr="00155988">
        <w:rPr>
          <w:rFonts w:cs="Arial"/>
        </w:rPr>
        <w:t xml:space="preserve">The provider should monitor the workforce’s operations under the single site arrangement to confirm with multi-site/setting workers that they have been able to reduce their employment down to the one site. Providers should continue to keep track of </w:t>
      </w:r>
      <w:r w:rsidR="009B4797">
        <w:rPr>
          <w:rFonts w:cs="Arial"/>
        </w:rPr>
        <w:t>worker</w:t>
      </w:r>
      <w:r w:rsidRPr="00155988">
        <w:rPr>
          <w:rFonts w:cs="Arial"/>
        </w:rPr>
        <w:t xml:space="preserve">s’ work locations for the duration of the single site arrangements. The provider should keep a record of this information to ensure supervisors and managers can support the </w:t>
      </w:r>
      <w:r w:rsidR="009B4797">
        <w:rPr>
          <w:rFonts w:cs="Arial"/>
        </w:rPr>
        <w:t>worker</w:t>
      </w:r>
      <w:r w:rsidRPr="00155988">
        <w:rPr>
          <w:rFonts w:cs="Arial"/>
        </w:rPr>
        <w:t xml:space="preserve">s effectively and for any </w:t>
      </w:r>
      <w:r w:rsidR="00273944">
        <w:rPr>
          <w:rFonts w:cs="Arial"/>
        </w:rPr>
        <w:t xml:space="preserve">required </w:t>
      </w:r>
      <w:r w:rsidRPr="00155988">
        <w:rPr>
          <w:rFonts w:cs="Arial"/>
        </w:rPr>
        <w:t xml:space="preserve">contact tracing. </w:t>
      </w:r>
      <w:r w:rsidR="00273944">
        <w:rPr>
          <w:rFonts w:cs="Arial"/>
        </w:rPr>
        <w:t xml:space="preserve">Providers </w:t>
      </w:r>
      <w:r w:rsidRPr="00155988">
        <w:rPr>
          <w:rFonts w:cs="Arial"/>
        </w:rPr>
        <w:t xml:space="preserve">should </w:t>
      </w:r>
      <w:r w:rsidR="00273944">
        <w:rPr>
          <w:rFonts w:cs="Arial"/>
        </w:rPr>
        <w:t>keep this</w:t>
      </w:r>
      <w:r w:rsidRPr="00155988">
        <w:rPr>
          <w:rFonts w:cs="Arial"/>
        </w:rPr>
        <w:t xml:space="preserve"> up to date </w:t>
      </w:r>
      <w:r w:rsidR="00273944">
        <w:rPr>
          <w:rFonts w:cs="Arial"/>
        </w:rPr>
        <w:t>to share</w:t>
      </w:r>
      <w:r w:rsidR="00AE27CE">
        <w:rPr>
          <w:rFonts w:cs="Arial"/>
        </w:rPr>
        <w:t xml:space="preserve"> with governments as required.</w:t>
      </w:r>
    </w:p>
    <w:p w:rsidR="00155988" w:rsidRPr="00155988" w:rsidRDefault="009B4797" w:rsidP="00541CBF">
      <w:pPr>
        <w:rPr>
          <w:rFonts w:cs="Arial"/>
        </w:rPr>
      </w:pPr>
      <w:r>
        <w:rPr>
          <w:rFonts w:cs="Arial"/>
        </w:rPr>
        <w:t>Worker</w:t>
      </w:r>
      <w:r w:rsidR="00155988" w:rsidRPr="00155988">
        <w:rPr>
          <w:rFonts w:cs="Arial"/>
        </w:rPr>
        <w:t xml:space="preserve">s </w:t>
      </w:r>
      <w:r w:rsidR="00FC6690">
        <w:rPr>
          <w:rFonts w:cs="Arial"/>
        </w:rPr>
        <w:t xml:space="preserve">should help </w:t>
      </w:r>
      <w:r w:rsidR="00155988" w:rsidRPr="00155988">
        <w:rPr>
          <w:rFonts w:cs="Arial"/>
        </w:rPr>
        <w:t xml:space="preserve">resolve any barriers </w:t>
      </w:r>
      <w:r w:rsidR="00FC6690">
        <w:rPr>
          <w:rFonts w:cs="Arial"/>
        </w:rPr>
        <w:t>to</w:t>
      </w:r>
      <w:r w:rsidR="00155988" w:rsidRPr="00155988">
        <w:rPr>
          <w:rFonts w:cs="Arial"/>
        </w:rPr>
        <w:t xml:space="preserve"> reducing their work locations down to </w:t>
      </w:r>
      <w:r w:rsidR="00FD5ECC">
        <w:rPr>
          <w:rFonts w:cs="Arial"/>
        </w:rPr>
        <w:t xml:space="preserve">a </w:t>
      </w:r>
      <w:r w:rsidR="00155988" w:rsidRPr="00155988">
        <w:rPr>
          <w:rFonts w:cs="Arial"/>
        </w:rPr>
        <w:t xml:space="preserve">single site. </w:t>
      </w:r>
      <w:r w:rsidR="00FC6690">
        <w:rPr>
          <w:rFonts w:cs="Arial"/>
        </w:rPr>
        <w:t>E</w:t>
      </w:r>
      <w:r w:rsidR="00155988" w:rsidRPr="00155988">
        <w:rPr>
          <w:rFonts w:cs="Arial"/>
        </w:rPr>
        <w:t xml:space="preserve">mployers are responsible </w:t>
      </w:r>
      <w:r w:rsidR="00FD5ECC">
        <w:rPr>
          <w:rFonts w:cs="Arial"/>
        </w:rPr>
        <w:t>for</w:t>
      </w:r>
      <w:r w:rsidR="00FD5ECC" w:rsidRPr="00155988">
        <w:rPr>
          <w:rFonts w:cs="Arial"/>
        </w:rPr>
        <w:t xml:space="preserve"> </w:t>
      </w:r>
      <w:r w:rsidR="00155988" w:rsidRPr="00155988">
        <w:rPr>
          <w:rFonts w:cs="Arial"/>
        </w:rPr>
        <w:t>reduc</w:t>
      </w:r>
      <w:r w:rsidR="00FD5ECC">
        <w:rPr>
          <w:rFonts w:cs="Arial"/>
        </w:rPr>
        <w:t xml:space="preserve">ing </w:t>
      </w:r>
      <w:r w:rsidR="00155988" w:rsidRPr="00155988">
        <w:rPr>
          <w:rFonts w:cs="Arial"/>
        </w:rPr>
        <w:t>or mitigat</w:t>
      </w:r>
      <w:r w:rsidR="00FD5ECC">
        <w:rPr>
          <w:rFonts w:cs="Arial"/>
        </w:rPr>
        <w:t>ing</w:t>
      </w:r>
      <w:r w:rsidR="00155988" w:rsidRPr="00155988">
        <w:rPr>
          <w:rFonts w:cs="Arial"/>
        </w:rPr>
        <w:t xml:space="preserve"> </w:t>
      </w:r>
      <w:r w:rsidR="00FC6690">
        <w:rPr>
          <w:rFonts w:cs="Arial"/>
        </w:rPr>
        <w:t xml:space="preserve">any </w:t>
      </w:r>
      <w:r w:rsidR="00155988" w:rsidRPr="00155988">
        <w:rPr>
          <w:rFonts w:cs="Arial"/>
        </w:rPr>
        <w:t xml:space="preserve">financial disadvantages to </w:t>
      </w:r>
      <w:r>
        <w:rPr>
          <w:rFonts w:cs="Arial"/>
        </w:rPr>
        <w:t>worker</w:t>
      </w:r>
      <w:r w:rsidR="00155988" w:rsidRPr="00155988">
        <w:rPr>
          <w:rFonts w:cs="Arial"/>
        </w:rPr>
        <w:t>s of introducing single site arrangements</w:t>
      </w:r>
      <w:r w:rsidR="00DF7E42">
        <w:rPr>
          <w:rFonts w:cs="Arial"/>
        </w:rPr>
        <w:t>.</w:t>
      </w:r>
      <w:r w:rsidR="00155988" w:rsidRPr="00155988">
        <w:rPr>
          <w:rFonts w:cs="Arial"/>
        </w:rPr>
        <w:t xml:space="preserve"> </w:t>
      </w:r>
      <w:r w:rsidR="00DF7E42">
        <w:rPr>
          <w:rFonts w:cs="Arial"/>
        </w:rPr>
        <w:t xml:space="preserve">Providers can do this </w:t>
      </w:r>
      <w:r w:rsidR="00155988" w:rsidRPr="00155988">
        <w:rPr>
          <w:rFonts w:cs="Arial"/>
        </w:rPr>
        <w:t xml:space="preserve">with consideration to the financial impacts </w:t>
      </w:r>
      <w:r w:rsidR="00FD5ECC">
        <w:rPr>
          <w:rFonts w:cs="Arial"/>
        </w:rPr>
        <w:t>on</w:t>
      </w:r>
      <w:r w:rsidR="00FD5ECC" w:rsidRPr="00155988">
        <w:rPr>
          <w:rFonts w:cs="Arial"/>
        </w:rPr>
        <w:t xml:space="preserve"> </w:t>
      </w:r>
      <w:r w:rsidR="00DF7E42">
        <w:rPr>
          <w:rFonts w:cs="Arial"/>
        </w:rPr>
        <w:t>their</w:t>
      </w:r>
      <w:r w:rsidR="003F43F7">
        <w:rPr>
          <w:rFonts w:cs="Arial"/>
        </w:rPr>
        <w:t xml:space="preserve"> operational costs.</w:t>
      </w:r>
    </w:p>
    <w:p w:rsidR="003F43F7" w:rsidRPr="003F43F7" w:rsidRDefault="00155988" w:rsidP="00541CBF">
      <w:pPr>
        <w:pStyle w:val="Heading4"/>
        <w:rPr>
          <w:b/>
        </w:rPr>
      </w:pPr>
      <w:r>
        <w:t xml:space="preserve">Step 8: </w:t>
      </w:r>
      <w:r w:rsidR="00FC6690">
        <w:t>w</w:t>
      </w:r>
      <w:r>
        <w:t xml:space="preserve">inding </w:t>
      </w:r>
      <w:r w:rsidR="00FC6690">
        <w:t>d</w:t>
      </w:r>
      <w:r>
        <w:t xml:space="preserve">own </w:t>
      </w:r>
      <w:r w:rsidRPr="000E53B6">
        <w:t>(Tier 3)</w:t>
      </w:r>
    </w:p>
    <w:p w:rsidR="00155988" w:rsidRPr="00155988" w:rsidRDefault="00155988" w:rsidP="00155988">
      <w:pPr>
        <w:rPr>
          <w:rFonts w:cs="Arial"/>
        </w:rPr>
      </w:pPr>
      <w:r w:rsidRPr="00155988">
        <w:rPr>
          <w:rFonts w:cs="Arial"/>
        </w:rPr>
        <w:t xml:space="preserve">In addition to monitoring during implementation, there are a number of steps that should occur to prepare </w:t>
      </w:r>
      <w:r w:rsidR="005D299B">
        <w:rPr>
          <w:rFonts w:cs="Arial"/>
        </w:rPr>
        <w:t>to</w:t>
      </w:r>
      <w:r w:rsidRPr="00155988">
        <w:rPr>
          <w:rFonts w:cs="Arial"/>
        </w:rPr>
        <w:t xml:space="preserve"> wind down the single site arrangements. Once an area is no longer considered a hotspot and it is prudent to cease single site workforce arrangements, workers can return to working across multiple facilities. </w:t>
      </w:r>
    </w:p>
    <w:p w:rsidR="00F754B6" w:rsidRPr="00155988" w:rsidRDefault="00155988" w:rsidP="00155988">
      <w:pPr>
        <w:rPr>
          <w:rFonts w:cs="Arial"/>
        </w:rPr>
      </w:pPr>
      <w:r w:rsidRPr="00155988">
        <w:rPr>
          <w:rFonts w:cs="Arial"/>
        </w:rPr>
        <w:lastRenderedPageBreak/>
        <w:t>Under the Commonwealth Government’s definition, an area will no longer be considered a hotspot</w:t>
      </w:r>
      <w:r w:rsidR="00AE27CE">
        <w:rPr>
          <w:rFonts w:cs="Arial"/>
        </w:rPr>
        <w:t xml:space="preserve"> when, for a period of 14 days:</w:t>
      </w:r>
    </w:p>
    <w:p w:rsidR="00155988" w:rsidRPr="00AE27CE" w:rsidRDefault="00155988" w:rsidP="00155988">
      <w:pPr>
        <w:pStyle w:val="ListParagraph"/>
        <w:numPr>
          <w:ilvl w:val="0"/>
          <w:numId w:val="4"/>
        </w:numPr>
        <w:contextualSpacing w:val="0"/>
        <w:rPr>
          <w:rFonts w:cs="Arial"/>
        </w:rPr>
      </w:pPr>
      <w:r w:rsidRPr="00155988">
        <w:rPr>
          <w:rFonts w:cs="Arial"/>
        </w:rPr>
        <w:t>There are no cases in residents or staff in residential aged care f</w:t>
      </w:r>
      <w:r w:rsidR="00AE27CE">
        <w:rPr>
          <w:rFonts w:cs="Arial"/>
        </w:rPr>
        <w:t>acilities; and</w:t>
      </w:r>
    </w:p>
    <w:p w:rsidR="00155988" w:rsidRPr="00AE27CE" w:rsidRDefault="00155988" w:rsidP="00155988">
      <w:pPr>
        <w:pStyle w:val="ListParagraph"/>
        <w:numPr>
          <w:ilvl w:val="0"/>
          <w:numId w:val="4"/>
        </w:numPr>
        <w:contextualSpacing w:val="0"/>
        <w:rPr>
          <w:rFonts w:cs="Arial"/>
        </w:rPr>
      </w:pPr>
      <w:r w:rsidRPr="00155988">
        <w:rPr>
          <w:rFonts w:cs="Arial"/>
        </w:rPr>
        <w:t>The number of cases in the relevant jurisdiction in the last 7 d</w:t>
      </w:r>
      <w:r w:rsidR="00AE27CE">
        <w:rPr>
          <w:rFonts w:cs="Arial"/>
        </w:rPr>
        <w:t>ays is &lt;0.2/100,000 population.</w:t>
      </w:r>
    </w:p>
    <w:p w:rsidR="00273944" w:rsidRDefault="00155988" w:rsidP="00155988">
      <w:pPr>
        <w:rPr>
          <w:rFonts w:cs="Arial"/>
        </w:rPr>
      </w:pPr>
      <w:r w:rsidRPr="00155988">
        <w:rPr>
          <w:rFonts w:cs="Arial"/>
        </w:rPr>
        <w:t xml:space="preserve">These metrics are publicly reported in the COVID-19 Common Operating Picture. </w:t>
      </w:r>
    </w:p>
    <w:p w:rsidR="00155988" w:rsidRDefault="00155988" w:rsidP="00155988">
      <w:pPr>
        <w:rPr>
          <w:rFonts w:cs="Arial"/>
        </w:rPr>
      </w:pPr>
      <w:r w:rsidRPr="00155988">
        <w:rPr>
          <w:rFonts w:cs="Arial"/>
        </w:rPr>
        <w:t>Providers and workers should be given sufficient notice of the end of these arrangements</w:t>
      </w:r>
      <w:r w:rsidR="00273944">
        <w:rPr>
          <w:rFonts w:cs="Arial"/>
        </w:rPr>
        <w:t>. This will allow</w:t>
      </w:r>
      <w:r w:rsidRPr="00155988">
        <w:rPr>
          <w:rFonts w:cs="Arial"/>
        </w:rPr>
        <w:t xml:space="preserve"> workers </w:t>
      </w:r>
      <w:r w:rsidR="00273944">
        <w:rPr>
          <w:rFonts w:cs="Arial"/>
        </w:rPr>
        <w:t>to</w:t>
      </w:r>
      <w:r w:rsidR="00273944" w:rsidRPr="00155988">
        <w:rPr>
          <w:rFonts w:cs="Arial"/>
        </w:rPr>
        <w:t xml:space="preserve"> </w:t>
      </w:r>
      <w:r w:rsidRPr="00155988">
        <w:rPr>
          <w:rFonts w:cs="Arial"/>
        </w:rPr>
        <w:t xml:space="preserve">engage in structured conversations about a return to the workforce with secondary employers, and </w:t>
      </w:r>
      <w:r w:rsidR="00273944">
        <w:rPr>
          <w:rFonts w:cs="Arial"/>
        </w:rPr>
        <w:t>allow employers to develop</w:t>
      </w:r>
      <w:r w:rsidRPr="00155988">
        <w:rPr>
          <w:rFonts w:cs="Arial"/>
        </w:rPr>
        <w:t xml:space="preserve"> rosters. It is preferable that a minimum of two weeks’ notice is provided before t</w:t>
      </w:r>
      <w:r w:rsidR="00AE27CE">
        <w:rPr>
          <w:rFonts w:cs="Arial"/>
        </w:rPr>
        <w:t>he arrangements are due to end.</w:t>
      </w:r>
    </w:p>
    <w:p w:rsidR="00332D8C" w:rsidRDefault="00332D8C" w:rsidP="00541CBF">
      <w:pPr>
        <w:pStyle w:val="Heading3"/>
      </w:pPr>
      <w:r>
        <w:t xml:space="preserve">Steps for </w:t>
      </w:r>
      <w:r w:rsidR="00EE0AA7">
        <w:t>g</w:t>
      </w:r>
      <w:r>
        <w:t xml:space="preserve">overnment, </w:t>
      </w:r>
      <w:r w:rsidR="00EE0AA7">
        <w:t>p</w:t>
      </w:r>
      <w:r>
        <w:t xml:space="preserve">eak </w:t>
      </w:r>
      <w:r w:rsidR="00EE0AA7">
        <w:t>b</w:t>
      </w:r>
      <w:r>
        <w:t>odies (</w:t>
      </w:r>
      <w:r w:rsidR="00EE0AA7">
        <w:t>p</w:t>
      </w:r>
      <w:r>
        <w:t xml:space="preserve">eaks) and </w:t>
      </w:r>
      <w:r w:rsidR="00EE0AA7">
        <w:t>u</w:t>
      </w:r>
      <w:r>
        <w:t>nions</w:t>
      </w:r>
    </w:p>
    <w:p w:rsidR="003F43F7" w:rsidRPr="00AE27CE" w:rsidRDefault="00155988" w:rsidP="00541CBF">
      <w:pPr>
        <w:pStyle w:val="Heading4"/>
      </w:pPr>
      <w:r>
        <w:t xml:space="preserve">Step 1: Convening an </w:t>
      </w:r>
      <w:r w:rsidR="00EE0AA7">
        <w:t>a</w:t>
      </w:r>
      <w:r>
        <w:t xml:space="preserve">dvisory </w:t>
      </w:r>
      <w:r w:rsidR="00EE0AA7">
        <w:t>c</w:t>
      </w:r>
      <w:r>
        <w:t xml:space="preserve">ommittee of </w:t>
      </w:r>
      <w:r w:rsidR="00EE0AA7">
        <w:t>g</w:t>
      </w:r>
      <w:r w:rsidR="003F43F7">
        <w:t xml:space="preserve">overnment, </w:t>
      </w:r>
      <w:r w:rsidR="00EE0AA7">
        <w:t>p</w:t>
      </w:r>
      <w:r w:rsidR="003F43F7">
        <w:t xml:space="preserve">eaks and </w:t>
      </w:r>
      <w:r w:rsidR="00EE0AA7">
        <w:t>u</w:t>
      </w:r>
      <w:r w:rsidR="003F43F7">
        <w:t xml:space="preserve">nions </w:t>
      </w:r>
      <w:r w:rsidR="00F754B6" w:rsidRPr="00AE27CE">
        <w:t>(Tier 2</w:t>
      </w:r>
      <w:r w:rsidR="00AE27CE" w:rsidRPr="00AE27CE">
        <w:t>)</w:t>
      </w:r>
    </w:p>
    <w:p w:rsidR="003F43F7" w:rsidRPr="003F43F7" w:rsidRDefault="003F43F7" w:rsidP="00541CBF">
      <w:pPr>
        <w:rPr>
          <w:rFonts w:cs="Arial"/>
        </w:rPr>
      </w:pPr>
      <w:r w:rsidRPr="003F43F7">
        <w:rPr>
          <w:rFonts w:cs="Arial"/>
        </w:rPr>
        <w:t>A Single Site Advisory Committee should be established between Government (both State/Territory and Commonwealth), peaks and unions</w:t>
      </w:r>
      <w:r w:rsidR="00273944">
        <w:rPr>
          <w:rFonts w:cs="Arial"/>
        </w:rPr>
        <w:t>. The Advisory Committee will</w:t>
      </w:r>
      <w:r w:rsidRPr="003F43F7">
        <w:rPr>
          <w:rFonts w:cs="Arial"/>
        </w:rPr>
        <w:t xml:space="preserve"> develop an industry-led response and to ensure consistent messaging to the sector. The Advisory Committee should convene weekly to discuss high level policy issues which arise thr</w:t>
      </w:r>
      <w:r w:rsidR="00AE27CE">
        <w:rPr>
          <w:rFonts w:cs="Arial"/>
        </w:rPr>
        <w:t>ough their respective channels.</w:t>
      </w:r>
    </w:p>
    <w:p w:rsidR="003F43F7" w:rsidRDefault="003F43F7" w:rsidP="00541CBF">
      <w:pPr>
        <w:pStyle w:val="Heading4"/>
      </w:pPr>
      <w:r>
        <w:t xml:space="preserve">Step 2: </w:t>
      </w:r>
      <w:r w:rsidR="00EE0AA7">
        <w:t>d</w:t>
      </w:r>
      <w:r>
        <w:t xml:space="preserve">eveloping consistent guidance and messaging </w:t>
      </w:r>
      <w:r w:rsidRPr="000E53B6">
        <w:t>(Tier 2 &amp; Tier 3)</w:t>
      </w:r>
    </w:p>
    <w:p w:rsidR="00273944" w:rsidRDefault="003F43F7" w:rsidP="00541CBF">
      <w:pPr>
        <w:rPr>
          <w:rFonts w:cs="Arial"/>
        </w:rPr>
      </w:pPr>
      <w:r w:rsidRPr="003F43F7">
        <w:rPr>
          <w:rFonts w:cs="Arial"/>
        </w:rPr>
        <w:t>The Advisory Committee will work together to develop guidance materials and messaging to providers and workers</w:t>
      </w:r>
      <w:r w:rsidR="00273944">
        <w:rPr>
          <w:rFonts w:cs="Arial"/>
        </w:rPr>
        <w:t>. This</w:t>
      </w:r>
      <w:r w:rsidRPr="003F43F7">
        <w:rPr>
          <w:rFonts w:cs="Arial"/>
        </w:rPr>
        <w:t xml:space="preserve"> includ</w:t>
      </w:r>
      <w:r w:rsidR="00273944">
        <w:rPr>
          <w:rFonts w:cs="Arial"/>
        </w:rPr>
        <w:t>es</w:t>
      </w:r>
      <w:r w:rsidRPr="003F43F7">
        <w:rPr>
          <w:rFonts w:cs="Arial"/>
        </w:rPr>
        <w:t xml:space="preserve"> </w:t>
      </w:r>
      <w:r w:rsidRPr="003F43F7">
        <w:rPr>
          <w:rFonts w:cs="Arial"/>
        </w:rPr>
        <w:lastRenderedPageBreak/>
        <w:t>the necessity for a Support Hub website and Hotline to provide support to Industry on im</w:t>
      </w:r>
      <w:r w:rsidR="00AE27CE">
        <w:rPr>
          <w:rFonts w:cs="Arial"/>
        </w:rPr>
        <w:t>plementation at the site level.</w:t>
      </w:r>
    </w:p>
    <w:p w:rsidR="003F43F7" w:rsidRDefault="003F43F7" w:rsidP="00541CBF">
      <w:pPr>
        <w:rPr>
          <w:rFonts w:cs="Arial"/>
        </w:rPr>
      </w:pPr>
      <w:r w:rsidRPr="003F43F7">
        <w:rPr>
          <w:rFonts w:cs="Arial"/>
        </w:rPr>
        <w:t>This should include support and templates for communicating with workers, residents and families. This should leverage the architecture, tools and resources put in place for Greater</w:t>
      </w:r>
      <w:r w:rsidR="00541CBF">
        <w:rPr>
          <w:rFonts w:cs="Arial"/>
        </w:rPr>
        <w:t xml:space="preserve"> Melbourne and Mitchell Shire.</w:t>
      </w:r>
    </w:p>
    <w:p w:rsidR="003F43F7" w:rsidRDefault="003F43F7" w:rsidP="00541CBF">
      <w:pPr>
        <w:pStyle w:val="Heading4"/>
        <w:rPr>
          <w:b/>
        </w:rPr>
      </w:pPr>
      <w:r>
        <w:t xml:space="preserve">Step 3: </w:t>
      </w:r>
      <w:r w:rsidR="00EE0AA7">
        <w:t>d</w:t>
      </w:r>
      <w:r>
        <w:t xml:space="preserve">raft </w:t>
      </w:r>
      <w:r w:rsidR="00EE0AA7">
        <w:t>p</w:t>
      </w:r>
      <w:r>
        <w:t xml:space="preserve">rinciples or a </w:t>
      </w:r>
      <w:r w:rsidR="00EE0AA7">
        <w:t>d</w:t>
      </w:r>
      <w:r>
        <w:t>irective (i.e</w:t>
      </w:r>
      <w:r w:rsidR="00F754B6">
        <w:t>.</w:t>
      </w:r>
      <w:r>
        <w:t xml:space="preserve"> a document to give to the arrangement) </w:t>
      </w:r>
      <w:r w:rsidRPr="00541CBF">
        <w:t>(Tier 2)</w:t>
      </w:r>
    </w:p>
    <w:p w:rsidR="003F43F7" w:rsidRPr="003F43F7" w:rsidRDefault="003F43F7" w:rsidP="00541CBF">
      <w:pPr>
        <w:rPr>
          <w:rFonts w:cs="Arial"/>
        </w:rPr>
      </w:pPr>
      <w:r w:rsidRPr="003F43F7">
        <w:rPr>
          <w:rFonts w:cs="Arial"/>
        </w:rPr>
        <w:t>As noted, single site arrangements can be implemented and monitored in different ways. Ideally</w:t>
      </w:r>
      <w:r w:rsidR="00273944">
        <w:rPr>
          <w:rFonts w:cs="Arial"/>
        </w:rPr>
        <w:t>, the Commonwealth, states and territories, and the sector would decide in consultation on</w:t>
      </w:r>
      <w:r w:rsidRPr="003F43F7">
        <w:rPr>
          <w:rFonts w:cs="Arial"/>
        </w:rPr>
        <w:t xml:space="preserve"> how to implement directions on single site arrangements. Once this has occurred, the appropriate document will</w:t>
      </w:r>
      <w:r w:rsidR="006E748B">
        <w:rPr>
          <w:rFonts w:cs="Arial"/>
        </w:rPr>
        <w:t xml:space="preserve"> be drafted.</w:t>
      </w:r>
      <w:r w:rsidRPr="003F43F7">
        <w:rPr>
          <w:rFonts w:cs="Arial"/>
        </w:rPr>
        <w:t xml:space="preserve"> </w:t>
      </w:r>
      <w:r w:rsidR="006E748B">
        <w:rPr>
          <w:rFonts w:cs="Arial"/>
        </w:rPr>
        <w:t>The</w:t>
      </w:r>
      <w:r w:rsidRPr="003F43F7">
        <w:rPr>
          <w:rFonts w:cs="Arial"/>
        </w:rPr>
        <w:t xml:space="preserve"> </w:t>
      </w:r>
      <w:r w:rsidR="00F83CCD">
        <w:rPr>
          <w:rFonts w:cs="Arial"/>
        </w:rPr>
        <w:t>s</w:t>
      </w:r>
      <w:r w:rsidRPr="003F43F7">
        <w:rPr>
          <w:rFonts w:cs="Arial"/>
        </w:rPr>
        <w:t xml:space="preserve">tate </w:t>
      </w:r>
      <w:r w:rsidR="00F83CCD">
        <w:rPr>
          <w:rFonts w:cs="Arial"/>
        </w:rPr>
        <w:t>g</w:t>
      </w:r>
      <w:r w:rsidRPr="003F43F7">
        <w:rPr>
          <w:rFonts w:cs="Arial"/>
        </w:rPr>
        <w:t>overnment</w:t>
      </w:r>
      <w:r w:rsidR="006E748B">
        <w:rPr>
          <w:rFonts w:cs="Arial"/>
        </w:rPr>
        <w:t xml:space="preserve"> will draft it</w:t>
      </w:r>
      <w:r w:rsidRPr="003F43F7">
        <w:rPr>
          <w:rFonts w:cs="Arial"/>
        </w:rPr>
        <w:t xml:space="preserve"> if it is a Directive</w:t>
      </w:r>
      <w:r w:rsidR="006E748B">
        <w:rPr>
          <w:rFonts w:cs="Arial"/>
        </w:rPr>
        <w:t>.</w:t>
      </w:r>
      <w:r w:rsidRPr="003F43F7">
        <w:rPr>
          <w:rFonts w:cs="Arial"/>
        </w:rPr>
        <w:t xml:space="preserve"> </w:t>
      </w:r>
      <w:r w:rsidR="006E748B">
        <w:rPr>
          <w:rFonts w:cs="Arial"/>
        </w:rPr>
        <w:t>T</w:t>
      </w:r>
      <w:r w:rsidRPr="003F43F7">
        <w:rPr>
          <w:rFonts w:cs="Arial"/>
        </w:rPr>
        <w:t xml:space="preserve">he representatives from peaks and unions of the </w:t>
      </w:r>
      <w:r w:rsidR="00F83CCD">
        <w:rPr>
          <w:rFonts w:cs="Arial"/>
        </w:rPr>
        <w:t>a</w:t>
      </w:r>
      <w:r w:rsidRPr="003F43F7">
        <w:rPr>
          <w:rFonts w:cs="Arial"/>
        </w:rPr>
        <w:t xml:space="preserve">dvisory </w:t>
      </w:r>
      <w:r w:rsidR="00F83CCD">
        <w:rPr>
          <w:rFonts w:cs="Arial"/>
        </w:rPr>
        <w:t>c</w:t>
      </w:r>
      <w:r w:rsidRPr="003F43F7">
        <w:rPr>
          <w:rFonts w:cs="Arial"/>
        </w:rPr>
        <w:t>ommittee</w:t>
      </w:r>
      <w:r w:rsidR="006E748B">
        <w:rPr>
          <w:rFonts w:cs="Arial"/>
        </w:rPr>
        <w:t xml:space="preserve"> will draft it</w:t>
      </w:r>
      <w:r w:rsidRPr="003F43F7">
        <w:rPr>
          <w:rFonts w:cs="Arial"/>
        </w:rPr>
        <w:t xml:space="preserve"> if the</w:t>
      </w:r>
      <w:r w:rsidR="006E748B">
        <w:rPr>
          <w:rFonts w:cs="Arial"/>
        </w:rPr>
        <w:t xml:space="preserve"> document</w:t>
      </w:r>
      <w:r w:rsidRPr="003F43F7">
        <w:rPr>
          <w:rFonts w:cs="Arial"/>
        </w:rPr>
        <w:t xml:space="preserve"> </w:t>
      </w:r>
      <w:r w:rsidR="006E748B">
        <w:rPr>
          <w:rFonts w:cs="Arial"/>
        </w:rPr>
        <w:t>is</w:t>
      </w:r>
      <w:r w:rsidRPr="003F43F7">
        <w:rPr>
          <w:rFonts w:cs="Arial"/>
        </w:rPr>
        <w:t xml:space="preserve"> modelled on the Guiding Principles in Greater Melbourne. </w:t>
      </w:r>
    </w:p>
    <w:p w:rsidR="00B92925" w:rsidRDefault="003F43F7" w:rsidP="00541CBF">
      <w:pPr>
        <w:spacing w:before="0" w:after="0"/>
        <w:rPr>
          <w:rFonts w:cs="Arial"/>
        </w:rPr>
      </w:pPr>
      <w:r w:rsidRPr="003F43F7">
        <w:rPr>
          <w:rFonts w:cs="Arial"/>
        </w:rPr>
        <w:t>Key issues that will need resolv</w:t>
      </w:r>
      <w:r w:rsidR="00524FE1">
        <w:rPr>
          <w:rFonts w:cs="Arial"/>
        </w:rPr>
        <w:t>ing</w:t>
      </w:r>
      <w:r w:rsidRPr="003F43F7">
        <w:rPr>
          <w:rFonts w:cs="Arial"/>
        </w:rPr>
        <w:t xml:space="preserve"> include</w:t>
      </w:r>
      <w:r w:rsidR="00B92925">
        <w:rPr>
          <w:rFonts w:cs="Arial"/>
        </w:rPr>
        <w:t>:</w:t>
      </w:r>
    </w:p>
    <w:p w:rsidR="00B92925" w:rsidRDefault="0036339F" w:rsidP="00541CBF">
      <w:pPr>
        <w:numPr>
          <w:ilvl w:val="0"/>
          <w:numId w:val="8"/>
        </w:numPr>
        <w:spacing w:before="0" w:after="0"/>
        <w:rPr>
          <w:rFonts w:cs="Arial"/>
        </w:rPr>
      </w:pPr>
      <w:r>
        <w:rPr>
          <w:rFonts w:cs="Arial"/>
        </w:rPr>
        <w:t>h</w:t>
      </w:r>
      <w:r w:rsidR="00B92925">
        <w:rPr>
          <w:rFonts w:cs="Arial"/>
        </w:rPr>
        <w:t>ow far single site arrangements should be implemented</w:t>
      </w:r>
    </w:p>
    <w:p w:rsidR="00B92925" w:rsidRPr="0036339F" w:rsidRDefault="003F43F7" w:rsidP="00541CBF">
      <w:pPr>
        <w:numPr>
          <w:ilvl w:val="0"/>
          <w:numId w:val="8"/>
        </w:numPr>
        <w:spacing w:before="0" w:after="0"/>
        <w:rPr>
          <w:rFonts w:cs="Arial"/>
        </w:rPr>
      </w:pPr>
      <w:r w:rsidRPr="003F43F7">
        <w:rPr>
          <w:rFonts w:cs="Arial"/>
        </w:rPr>
        <w:t xml:space="preserve">ensuring all facilities have access to </w:t>
      </w:r>
      <w:r w:rsidR="00B92925">
        <w:rPr>
          <w:rFonts w:cs="Arial"/>
        </w:rPr>
        <w:t>enough workers</w:t>
      </w:r>
      <w:r w:rsidR="0036339F">
        <w:rPr>
          <w:rFonts w:cs="Arial"/>
        </w:rPr>
        <w:t xml:space="preserve"> including during outbreaks</w:t>
      </w:r>
    </w:p>
    <w:p w:rsidR="003F43F7" w:rsidRPr="003F43F7" w:rsidRDefault="003F43F7" w:rsidP="00541CBF">
      <w:pPr>
        <w:numPr>
          <w:ilvl w:val="0"/>
          <w:numId w:val="8"/>
        </w:numPr>
        <w:spacing w:before="0" w:after="0"/>
        <w:rPr>
          <w:rFonts w:cs="Arial"/>
        </w:rPr>
      </w:pPr>
      <w:proofErr w:type="gramStart"/>
      <w:r w:rsidRPr="003F43F7">
        <w:rPr>
          <w:rFonts w:cs="Arial"/>
        </w:rPr>
        <w:t>potential</w:t>
      </w:r>
      <w:proofErr w:type="gramEnd"/>
      <w:r w:rsidRPr="003F43F7">
        <w:rPr>
          <w:rFonts w:cs="Arial"/>
        </w:rPr>
        <w:t xml:space="preserve"> </w:t>
      </w:r>
      <w:r w:rsidR="0036339F">
        <w:rPr>
          <w:rFonts w:cs="Arial"/>
        </w:rPr>
        <w:t>impact</w:t>
      </w:r>
      <w:r w:rsidRPr="003F43F7">
        <w:rPr>
          <w:rFonts w:cs="Arial"/>
        </w:rPr>
        <w:t xml:space="preserve"> of </w:t>
      </w:r>
      <w:r w:rsidR="0036339F">
        <w:rPr>
          <w:rFonts w:cs="Arial"/>
        </w:rPr>
        <w:t>exempting</w:t>
      </w:r>
      <w:r w:rsidRPr="003F43F7">
        <w:rPr>
          <w:rFonts w:cs="Arial"/>
        </w:rPr>
        <w:t xml:space="preserve"> agency workers</w:t>
      </w:r>
      <w:r w:rsidR="00524FE1">
        <w:rPr>
          <w:rFonts w:cs="Arial"/>
        </w:rPr>
        <w:t>.</w:t>
      </w:r>
    </w:p>
    <w:p w:rsidR="003F43F7" w:rsidRDefault="003F43F7" w:rsidP="00541CBF">
      <w:pPr>
        <w:pStyle w:val="Heading4"/>
      </w:pPr>
      <w:r>
        <w:t xml:space="preserve">Step 4: Commonwealth Government grant funding activated </w:t>
      </w:r>
      <w:r w:rsidRPr="000E53B6">
        <w:t>(Tier 3)</w:t>
      </w:r>
    </w:p>
    <w:p w:rsidR="003F43F7" w:rsidRPr="003F43F7" w:rsidRDefault="003F43F7" w:rsidP="003F43F7">
      <w:pPr>
        <w:rPr>
          <w:rFonts w:cs="Arial"/>
        </w:rPr>
      </w:pPr>
      <w:r w:rsidRPr="003F43F7">
        <w:rPr>
          <w:rFonts w:cs="Arial"/>
        </w:rPr>
        <w:t>Once a single site arrangement is required in a designated hotspot area, the Commonwealth Government will initiate processes to expand funding under the Support for Aged Care Workers in COVID-19 Grant. This will be a decision for the Commonwealth Government</w:t>
      </w:r>
      <w:r w:rsidR="00843799">
        <w:rPr>
          <w:rFonts w:cs="Arial"/>
        </w:rPr>
        <w:t>. Its decision</w:t>
      </w:r>
      <w:r w:rsidRPr="003F43F7">
        <w:rPr>
          <w:rFonts w:cs="Arial"/>
        </w:rPr>
        <w:t xml:space="preserve"> will be informed by advice from the relevant state </w:t>
      </w:r>
      <w:r w:rsidRPr="003F43F7">
        <w:rPr>
          <w:rFonts w:cs="Arial"/>
        </w:rPr>
        <w:lastRenderedPageBreak/>
        <w:t>or territory government and the AHPPC based o</w:t>
      </w:r>
      <w:r w:rsidR="00AE27CE">
        <w:rPr>
          <w:rFonts w:cs="Arial"/>
        </w:rPr>
        <w:t>n the particular circumstances.</w:t>
      </w:r>
    </w:p>
    <w:p w:rsidR="00524FE1" w:rsidRPr="003F43F7" w:rsidRDefault="003F43F7" w:rsidP="003F43F7">
      <w:pPr>
        <w:rPr>
          <w:rFonts w:cs="Arial"/>
        </w:rPr>
      </w:pPr>
      <w:r w:rsidRPr="003F43F7">
        <w:rPr>
          <w:rFonts w:cs="Arial"/>
        </w:rPr>
        <w:t>Providers should feel confident that the operative date of any grant will align with the designation of the area as a hotspot</w:t>
      </w:r>
      <w:r w:rsidR="00524FE1">
        <w:rPr>
          <w:rFonts w:cs="Arial"/>
        </w:rPr>
        <w:t>.</w:t>
      </w:r>
      <w:r w:rsidRPr="003F43F7">
        <w:rPr>
          <w:rFonts w:cs="Arial"/>
        </w:rPr>
        <w:t xml:space="preserve"> </w:t>
      </w:r>
      <w:r w:rsidR="00524FE1">
        <w:rPr>
          <w:rFonts w:cs="Arial"/>
        </w:rPr>
        <w:t>F</w:t>
      </w:r>
      <w:r w:rsidRPr="003F43F7">
        <w:rPr>
          <w:rFonts w:cs="Arial"/>
        </w:rPr>
        <w:t>unding will be provided to support with the costs of wages and entitlements, including overtime and supernumerary hours where staff are unable to work.</w:t>
      </w:r>
    </w:p>
    <w:p w:rsidR="001F0736" w:rsidRDefault="003F43F7" w:rsidP="003F43F7">
      <w:pPr>
        <w:rPr>
          <w:rFonts w:cs="Arial"/>
        </w:rPr>
      </w:pPr>
      <w:r w:rsidRPr="003F43F7">
        <w:rPr>
          <w:rFonts w:cs="Arial"/>
        </w:rPr>
        <w:t>In line with the current arrangements, providers can apply for funding in advance or retrospectively</w:t>
      </w:r>
      <w:r w:rsidR="00524FE1">
        <w:rPr>
          <w:rFonts w:cs="Arial"/>
        </w:rPr>
        <w:t>.</w:t>
      </w:r>
      <w:r w:rsidRPr="003F43F7">
        <w:rPr>
          <w:rFonts w:cs="Arial"/>
        </w:rPr>
        <w:t xml:space="preserve"> </w:t>
      </w:r>
      <w:r w:rsidR="00524FE1">
        <w:rPr>
          <w:rFonts w:cs="Arial"/>
        </w:rPr>
        <w:t>Providers can access a</w:t>
      </w:r>
      <w:r w:rsidRPr="003F43F7">
        <w:rPr>
          <w:rFonts w:cs="Arial"/>
        </w:rPr>
        <w:t>ssistance</w:t>
      </w:r>
      <w:r w:rsidR="001F0736">
        <w:rPr>
          <w:rFonts w:cs="Arial"/>
        </w:rPr>
        <w:t>:</w:t>
      </w:r>
    </w:p>
    <w:p w:rsidR="001F0736" w:rsidRDefault="003F43F7" w:rsidP="000E53B6">
      <w:pPr>
        <w:pStyle w:val="ListParagraph"/>
        <w:numPr>
          <w:ilvl w:val="0"/>
          <w:numId w:val="7"/>
        </w:numPr>
        <w:rPr>
          <w:rFonts w:cs="Arial"/>
        </w:rPr>
      </w:pPr>
      <w:r w:rsidRPr="000E53B6">
        <w:rPr>
          <w:rFonts w:cs="Arial"/>
        </w:rPr>
        <w:t>for the duration the single site arrangements are in place</w:t>
      </w:r>
      <w:r w:rsidR="001F0736">
        <w:rPr>
          <w:rFonts w:cs="Arial"/>
        </w:rPr>
        <w:t>,</w:t>
      </w:r>
      <w:r w:rsidR="00541CBF">
        <w:rPr>
          <w:rFonts w:cs="Arial"/>
        </w:rPr>
        <w:t xml:space="preserve"> and</w:t>
      </w:r>
    </w:p>
    <w:p w:rsidR="003F43F7" w:rsidRPr="00541CBF" w:rsidRDefault="003F43F7" w:rsidP="003F43F7">
      <w:pPr>
        <w:pStyle w:val="ListParagraph"/>
        <w:numPr>
          <w:ilvl w:val="0"/>
          <w:numId w:val="7"/>
        </w:numPr>
        <w:rPr>
          <w:rFonts w:cs="Arial"/>
        </w:rPr>
      </w:pPr>
      <w:proofErr w:type="gramStart"/>
      <w:r w:rsidRPr="000E53B6">
        <w:rPr>
          <w:rFonts w:cs="Arial"/>
        </w:rPr>
        <w:t>the</w:t>
      </w:r>
      <w:proofErr w:type="gramEnd"/>
      <w:r w:rsidRPr="000E53B6">
        <w:rPr>
          <w:rFonts w:cs="Arial"/>
        </w:rPr>
        <w:t xml:space="preserve"> area designated a hotspot as per the Grant Opportunity Guidelines.</w:t>
      </w:r>
    </w:p>
    <w:p w:rsidR="003F43F7" w:rsidRPr="00541CBF" w:rsidRDefault="003F43F7" w:rsidP="003F43F7">
      <w:pPr>
        <w:rPr>
          <w:rFonts w:cs="Arial"/>
        </w:rPr>
      </w:pPr>
      <w:r w:rsidRPr="003F43F7">
        <w:rPr>
          <w:rFonts w:cs="Arial"/>
        </w:rPr>
        <w:t xml:space="preserve">Funding will cease when the Commonwealth Government </w:t>
      </w:r>
      <w:r w:rsidR="001F0736">
        <w:rPr>
          <w:rFonts w:cs="Arial"/>
        </w:rPr>
        <w:t>finds that</w:t>
      </w:r>
      <w:r w:rsidRPr="003F43F7">
        <w:rPr>
          <w:rFonts w:cs="Arial"/>
        </w:rPr>
        <w:t xml:space="preserve"> the area is no longer a hotspot</w:t>
      </w:r>
      <w:r w:rsidR="00524FE1">
        <w:rPr>
          <w:rFonts w:cs="Arial"/>
        </w:rPr>
        <w:t>.</w:t>
      </w:r>
      <w:r w:rsidRPr="003F43F7">
        <w:rPr>
          <w:rFonts w:cs="Arial"/>
        </w:rPr>
        <w:t xml:space="preserve"> </w:t>
      </w:r>
      <w:r w:rsidR="00524FE1">
        <w:rPr>
          <w:rFonts w:cs="Arial"/>
        </w:rPr>
        <w:t xml:space="preserve">This is </w:t>
      </w:r>
      <w:r w:rsidRPr="003F43F7">
        <w:rPr>
          <w:rFonts w:cs="Arial"/>
        </w:rPr>
        <w:t>in line with the measures set out in the Common Operating Picture.</w:t>
      </w:r>
    </w:p>
    <w:sectPr w:rsidR="003F43F7" w:rsidRPr="00541CB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78F" w:rsidRDefault="0026078F" w:rsidP="00B65E3A">
      <w:r>
        <w:separator/>
      </w:r>
    </w:p>
  </w:endnote>
  <w:endnote w:type="continuationSeparator" w:id="0">
    <w:p w:rsidR="0026078F" w:rsidRDefault="0026078F" w:rsidP="00B6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78F" w:rsidRDefault="0026078F" w:rsidP="00B65E3A">
      <w:r>
        <w:separator/>
      </w:r>
    </w:p>
  </w:footnote>
  <w:footnote w:type="continuationSeparator" w:id="0">
    <w:p w:rsidR="0026078F" w:rsidRDefault="0026078F" w:rsidP="00B6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E3A" w:rsidRPr="00CF74D0" w:rsidRDefault="003F43F7" w:rsidP="00B65E3A">
    <w:pPr>
      <w:pStyle w:val="Heading1"/>
      <w:rPr>
        <w:b w:val="0"/>
        <w:sz w:val="20"/>
      </w:rPr>
    </w:pPr>
    <w:r>
      <w:rPr>
        <w:b w:val="0"/>
        <w:sz w:val="20"/>
      </w:rPr>
      <w:t>Appendix H</w:t>
    </w:r>
    <w:r w:rsidR="00B65E3A" w:rsidRPr="00CF74D0">
      <w:rPr>
        <w:b w:val="0"/>
        <w:sz w:val="20"/>
      </w:rPr>
      <w:t xml:space="preserve">: Guidance on practical steps to prepare for and implement a single site workforce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753"/>
    <w:multiLevelType w:val="hybridMultilevel"/>
    <w:tmpl w:val="BBB6ED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8A20413"/>
    <w:multiLevelType w:val="hybridMultilevel"/>
    <w:tmpl w:val="BA48FB98"/>
    <w:lvl w:ilvl="0" w:tplc="0C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557F4"/>
    <w:multiLevelType w:val="hybridMultilevel"/>
    <w:tmpl w:val="F64A3E70"/>
    <w:lvl w:ilvl="0" w:tplc="04090017">
      <w:start w:val="1"/>
      <w:numFmt w:val="lowerLetter"/>
      <w:lvlText w:val="%1)"/>
      <w:lvlJc w:val="left"/>
      <w:pPr>
        <w:ind w:left="357" w:hanging="360"/>
      </w:pPr>
      <w:rPr>
        <w:rFonts w:hint="default"/>
      </w:rPr>
    </w:lvl>
    <w:lvl w:ilvl="1" w:tplc="04090003">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15:restartNumberingAfterBreak="0">
    <w:nsid w:val="47972BDC"/>
    <w:multiLevelType w:val="hybridMultilevel"/>
    <w:tmpl w:val="6E728662"/>
    <w:lvl w:ilvl="0" w:tplc="DB7A8820">
      <w:start w:val="1"/>
      <w:numFmt w:val="decimal"/>
      <w:lvlText w:val="%1."/>
      <w:lvlJc w:val="left"/>
      <w:pPr>
        <w:ind w:left="720" w:hanging="360"/>
      </w:pPr>
      <w:rPr>
        <w:rFonts w:hint="default"/>
        <w:b/>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A46928"/>
    <w:multiLevelType w:val="hybridMultilevel"/>
    <w:tmpl w:val="E8DCD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026E3D"/>
    <w:multiLevelType w:val="multilevel"/>
    <w:tmpl w:val="6EAC5B28"/>
    <w:lvl w:ilvl="0">
      <w:start w:val="1"/>
      <w:numFmt w:val="decimal"/>
      <w:lvlText w:val="%1."/>
      <w:lvlJc w:val="left"/>
      <w:pPr>
        <w:ind w:left="999" w:hanging="432"/>
      </w:pPr>
      <w:rPr>
        <w:rFonts w:ascii="Arial" w:eastAsia="MS Gothic" w:hAnsi="Arial" w:cs="Arial"/>
        <w:b/>
        <w:i w:val="0"/>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pStyle w:val="Heading5"/>
      <w:lvlText w:val="%1.%2.%3.%4.%5"/>
      <w:lvlJc w:val="left"/>
      <w:pPr>
        <w:ind w:left="1575" w:hanging="1008"/>
      </w:pPr>
      <w:rPr>
        <w:rFonts w:hint="default"/>
      </w:rPr>
    </w:lvl>
    <w:lvl w:ilvl="5">
      <w:start w:val="1"/>
      <w:numFmt w:val="decimal"/>
      <w:pStyle w:val="Heading6"/>
      <w:lvlText w:val="%1.%2.%3.%4.%5.%6"/>
      <w:lvlJc w:val="left"/>
      <w:pPr>
        <w:ind w:left="1719" w:hanging="1152"/>
      </w:pPr>
      <w:rPr>
        <w:rFonts w:hint="default"/>
      </w:rPr>
    </w:lvl>
    <w:lvl w:ilvl="6">
      <w:start w:val="1"/>
      <w:numFmt w:val="decimal"/>
      <w:pStyle w:val="Heading7"/>
      <w:lvlText w:val="%1.%2.%3.%4.%5.%6.%7"/>
      <w:lvlJc w:val="left"/>
      <w:pPr>
        <w:ind w:left="1863" w:hanging="1296"/>
      </w:pPr>
      <w:rPr>
        <w:rFonts w:hint="default"/>
      </w:rPr>
    </w:lvl>
    <w:lvl w:ilvl="7">
      <w:start w:val="1"/>
      <w:numFmt w:val="decimal"/>
      <w:pStyle w:val="Heading8"/>
      <w:lvlText w:val="%1.%2.%3.%4.%5.%6.%7.%8"/>
      <w:lvlJc w:val="left"/>
      <w:pPr>
        <w:ind w:left="2007" w:hanging="1440"/>
      </w:pPr>
      <w:rPr>
        <w:rFonts w:hint="default"/>
      </w:rPr>
    </w:lvl>
    <w:lvl w:ilvl="8">
      <w:start w:val="1"/>
      <w:numFmt w:val="decimal"/>
      <w:pStyle w:val="Heading9"/>
      <w:lvlText w:val="%1.%2.%3.%4.%5.%6.%7.%8.%9"/>
      <w:lvlJc w:val="left"/>
      <w:pPr>
        <w:ind w:left="2151" w:hanging="1584"/>
      </w:pPr>
      <w:rPr>
        <w:rFonts w:hint="default"/>
      </w:rPr>
    </w:lvl>
  </w:abstractNum>
  <w:abstractNum w:abstractNumId="6" w15:restartNumberingAfterBreak="0">
    <w:nsid w:val="71B03318"/>
    <w:multiLevelType w:val="hybridMultilevel"/>
    <w:tmpl w:val="975C1BC2"/>
    <w:lvl w:ilvl="0" w:tplc="E068B958">
      <w:start w:val="1"/>
      <w:numFmt w:val="decimal"/>
      <w:lvlText w:val="%1."/>
      <w:lvlJc w:val="left"/>
      <w:pPr>
        <w:ind w:left="643"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B920A6"/>
    <w:multiLevelType w:val="hybridMultilevel"/>
    <w:tmpl w:val="68CAA0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3A"/>
    <w:rsid w:val="000E53B6"/>
    <w:rsid w:val="00155988"/>
    <w:rsid w:val="00182EE5"/>
    <w:rsid w:val="001D73F1"/>
    <w:rsid w:val="001F0736"/>
    <w:rsid w:val="001F2AEA"/>
    <w:rsid w:val="0026078F"/>
    <w:rsid w:val="00273944"/>
    <w:rsid w:val="00332D8C"/>
    <w:rsid w:val="0036339F"/>
    <w:rsid w:val="003E65D3"/>
    <w:rsid w:val="003F43F7"/>
    <w:rsid w:val="0044543F"/>
    <w:rsid w:val="004B4070"/>
    <w:rsid w:val="00524FE1"/>
    <w:rsid w:val="00532914"/>
    <w:rsid w:val="00541CBF"/>
    <w:rsid w:val="005C4564"/>
    <w:rsid w:val="005D299B"/>
    <w:rsid w:val="006C1451"/>
    <w:rsid w:val="006E748B"/>
    <w:rsid w:val="007312CC"/>
    <w:rsid w:val="007674AC"/>
    <w:rsid w:val="007761CE"/>
    <w:rsid w:val="007E6C3C"/>
    <w:rsid w:val="0084001A"/>
    <w:rsid w:val="00843799"/>
    <w:rsid w:val="00870D3B"/>
    <w:rsid w:val="0087424E"/>
    <w:rsid w:val="008C7036"/>
    <w:rsid w:val="0098485D"/>
    <w:rsid w:val="009B4797"/>
    <w:rsid w:val="00AE27CE"/>
    <w:rsid w:val="00B25023"/>
    <w:rsid w:val="00B50E31"/>
    <w:rsid w:val="00B65E3A"/>
    <w:rsid w:val="00B92925"/>
    <w:rsid w:val="00BD3C90"/>
    <w:rsid w:val="00C86243"/>
    <w:rsid w:val="00CA0D06"/>
    <w:rsid w:val="00D6373F"/>
    <w:rsid w:val="00D84171"/>
    <w:rsid w:val="00DF0DB0"/>
    <w:rsid w:val="00DF4251"/>
    <w:rsid w:val="00DF7E42"/>
    <w:rsid w:val="00E21F98"/>
    <w:rsid w:val="00E52E19"/>
    <w:rsid w:val="00EE0AA7"/>
    <w:rsid w:val="00F754B6"/>
    <w:rsid w:val="00F83CCD"/>
    <w:rsid w:val="00FC6690"/>
    <w:rsid w:val="00FD5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2D7E"/>
  <w15:chartTrackingRefBased/>
  <w15:docId w15:val="{72382E9D-9730-4A15-9F75-AE02F128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98"/>
    <w:pPr>
      <w:spacing w:before="120" w:after="120" w:line="240" w:lineRule="auto"/>
    </w:pPr>
    <w:rPr>
      <w:rFonts w:ascii="Arial" w:eastAsia="Times New Roman" w:hAnsi="Arial" w:cs="Times New Roman"/>
      <w:szCs w:val="24"/>
    </w:rPr>
  </w:style>
  <w:style w:type="paragraph" w:styleId="Heading1">
    <w:name w:val="heading 1"/>
    <w:next w:val="Normal"/>
    <w:link w:val="Heading1Char"/>
    <w:uiPriority w:val="1"/>
    <w:qFormat/>
    <w:rsid w:val="00541CBF"/>
    <w:pPr>
      <w:keepNext/>
      <w:keepLines/>
      <w:spacing w:before="360" w:after="240" w:line="260" w:lineRule="atLeast"/>
      <w:outlineLvl w:val="0"/>
    </w:pPr>
    <w:rPr>
      <w:rFonts w:ascii="Arial" w:eastAsia="MS Gothic" w:hAnsi="Arial" w:cs="Arial"/>
      <w:b/>
      <w:bCs/>
      <w:color w:val="007940"/>
      <w:kern w:val="32"/>
      <w:sz w:val="32"/>
      <w:szCs w:val="40"/>
    </w:rPr>
  </w:style>
  <w:style w:type="paragraph" w:styleId="Heading2">
    <w:name w:val="heading 2"/>
    <w:basedOn w:val="Heading1"/>
    <w:next w:val="Normal"/>
    <w:link w:val="Heading2Char"/>
    <w:uiPriority w:val="1"/>
    <w:qFormat/>
    <w:rsid w:val="00541CBF"/>
    <w:pPr>
      <w:spacing w:before="240" w:after="120" w:line="320" w:lineRule="atLeast"/>
      <w:outlineLvl w:val="1"/>
    </w:pPr>
    <w:rPr>
      <w:rFonts w:eastAsiaTheme="majorEastAsia" w:cstheme="majorBidi"/>
      <w:b w:val="0"/>
      <w:sz w:val="28"/>
      <w:szCs w:val="28"/>
    </w:rPr>
  </w:style>
  <w:style w:type="paragraph" w:styleId="Heading3">
    <w:name w:val="heading 3"/>
    <w:basedOn w:val="Heading2"/>
    <w:next w:val="Normal"/>
    <w:link w:val="Heading3Char"/>
    <w:uiPriority w:val="1"/>
    <w:unhideWhenUsed/>
    <w:qFormat/>
    <w:rsid w:val="00541CBF"/>
    <w:pPr>
      <w:spacing w:before="120" w:line="240" w:lineRule="auto"/>
      <w:outlineLvl w:val="2"/>
    </w:pPr>
    <w:rPr>
      <w:rFonts w:eastAsia="MS Gothic"/>
      <w:b/>
      <w:bCs w:val="0"/>
      <w:sz w:val="24"/>
      <w:szCs w:val="26"/>
    </w:rPr>
  </w:style>
  <w:style w:type="paragraph" w:styleId="Heading4">
    <w:name w:val="heading 4"/>
    <w:basedOn w:val="Heading3"/>
    <w:next w:val="Normal"/>
    <w:link w:val="Heading4Char"/>
    <w:uiPriority w:val="1"/>
    <w:unhideWhenUsed/>
    <w:qFormat/>
    <w:rsid w:val="00541CBF"/>
    <w:pPr>
      <w:outlineLvl w:val="3"/>
    </w:pPr>
    <w:rPr>
      <w:rFonts w:eastAsia="MS Mincho"/>
      <w:b w:val="0"/>
      <w:bCs/>
      <w:sz w:val="22"/>
      <w:szCs w:val="20"/>
    </w:rPr>
  </w:style>
  <w:style w:type="paragraph" w:styleId="Heading5">
    <w:name w:val="heading 5"/>
    <w:basedOn w:val="Normal"/>
    <w:next w:val="Normal"/>
    <w:link w:val="Heading5Char"/>
    <w:uiPriority w:val="9"/>
    <w:semiHidden/>
    <w:qFormat/>
    <w:rsid w:val="00B65E3A"/>
    <w:pPr>
      <w:numPr>
        <w:ilvl w:val="4"/>
        <w:numId w:val="1"/>
      </w:numPr>
      <w:spacing w:before="240" w:after="60"/>
      <w:outlineLvl w:val="4"/>
    </w:pPr>
    <w:rPr>
      <w:rFonts w:eastAsia="MS Mincho" w:cstheme="majorBidi"/>
      <w:bCs/>
      <w:i/>
      <w:iCs/>
      <w:color w:val="A5A5A5" w:themeColor="accent3"/>
      <w:szCs w:val="26"/>
    </w:rPr>
  </w:style>
  <w:style w:type="paragraph" w:styleId="Heading6">
    <w:name w:val="heading 6"/>
    <w:basedOn w:val="Normal"/>
    <w:next w:val="Normal"/>
    <w:link w:val="Heading6Char"/>
    <w:uiPriority w:val="9"/>
    <w:unhideWhenUsed/>
    <w:qFormat/>
    <w:rsid w:val="00B65E3A"/>
    <w:pPr>
      <w:keepNext/>
      <w:keepLines/>
      <w:numPr>
        <w:ilvl w:val="5"/>
        <w:numId w:val="1"/>
      </w:numPr>
      <w:spacing w:before="40"/>
      <w:outlineLvl w:val="5"/>
    </w:pPr>
    <w:rPr>
      <w:rFonts w:asciiTheme="majorHAnsi" w:eastAsiaTheme="majorEastAsia" w:hAnsiTheme="majorHAnsi" w:cstheme="majorBidi"/>
      <w:color w:val="1F4D78" w:themeColor="accent1" w:themeShade="7F"/>
      <w:sz w:val="20"/>
      <w:szCs w:val="20"/>
    </w:rPr>
  </w:style>
  <w:style w:type="paragraph" w:styleId="Heading7">
    <w:name w:val="heading 7"/>
    <w:basedOn w:val="Normal"/>
    <w:next w:val="Normal"/>
    <w:link w:val="Heading7Char"/>
    <w:uiPriority w:val="9"/>
    <w:unhideWhenUsed/>
    <w:qFormat/>
    <w:rsid w:val="00B65E3A"/>
    <w:pPr>
      <w:keepNext/>
      <w:keepLines/>
      <w:numPr>
        <w:ilvl w:val="6"/>
        <w:numId w:val="1"/>
      </w:numPr>
      <w:spacing w:before="40"/>
      <w:outlineLvl w:val="6"/>
    </w:pPr>
    <w:rPr>
      <w:rFonts w:asciiTheme="majorHAnsi" w:eastAsiaTheme="majorEastAsia" w:hAnsiTheme="majorHAnsi" w:cstheme="majorBidi"/>
      <w:i/>
      <w:iCs/>
      <w:color w:val="1F4D78" w:themeColor="accent1" w:themeShade="7F"/>
      <w:sz w:val="20"/>
      <w:szCs w:val="20"/>
    </w:rPr>
  </w:style>
  <w:style w:type="paragraph" w:styleId="Heading8">
    <w:name w:val="heading 8"/>
    <w:basedOn w:val="Normal"/>
    <w:next w:val="Normal"/>
    <w:link w:val="Heading8Char"/>
    <w:uiPriority w:val="9"/>
    <w:unhideWhenUsed/>
    <w:qFormat/>
    <w:rsid w:val="00B65E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5E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5E3A"/>
    <w:rPr>
      <w:rFonts w:ascii="Arial" w:eastAsia="MS Gothic" w:hAnsi="Arial" w:cs="Arial"/>
      <w:b/>
      <w:bCs/>
      <w:color w:val="007940"/>
      <w:kern w:val="32"/>
      <w:sz w:val="32"/>
      <w:szCs w:val="40"/>
    </w:rPr>
  </w:style>
  <w:style w:type="character" w:customStyle="1" w:styleId="Heading2Char">
    <w:name w:val="Heading 2 Char"/>
    <w:basedOn w:val="DefaultParagraphFont"/>
    <w:link w:val="Heading2"/>
    <w:uiPriority w:val="1"/>
    <w:rsid w:val="00541CBF"/>
    <w:rPr>
      <w:rFonts w:ascii="Arial" w:eastAsiaTheme="majorEastAsia" w:hAnsi="Arial" w:cstheme="majorBidi"/>
      <w:bCs/>
      <w:color w:val="007940"/>
      <w:kern w:val="32"/>
      <w:sz w:val="28"/>
      <w:szCs w:val="28"/>
    </w:rPr>
  </w:style>
  <w:style w:type="character" w:customStyle="1" w:styleId="Heading3Char">
    <w:name w:val="Heading 3 Char"/>
    <w:basedOn w:val="DefaultParagraphFont"/>
    <w:link w:val="Heading3"/>
    <w:uiPriority w:val="1"/>
    <w:rsid w:val="00541CBF"/>
    <w:rPr>
      <w:rFonts w:ascii="Arial" w:eastAsia="MS Gothic" w:hAnsi="Arial" w:cstheme="majorBidi"/>
      <w:b/>
      <w:color w:val="007940"/>
      <w:kern w:val="32"/>
      <w:sz w:val="24"/>
      <w:szCs w:val="26"/>
    </w:rPr>
  </w:style>
  <w:style w:type="character" w:customStyle="1" w:styleId="Heading4Char">
    <w:name w:val="Heading 4 Char"/>
    <w:basedOn w:val="DefaultParagraphFont"/>
    <w:link w:val="Heading4"/>
    <w:uiPriority w:val="1"/>
    <w:rsid w:val="00541CBF"/>
    <w:rPr>
      <w:rFonts w:ascii="Arial" w:eastAsia="MS Mincho" w:hAnsi="Arial" w:cstheme="majorBidi"/>
      <w:bCs/>
      <w:color w:val="007940"/>
      <w:kern w:val="32"/>
      <w:szCs w:val="20"/>
    </w:rPr>
  </w:style>
  <w:style w:type="character" w:customStyle="1" w:styleId="Heading5Char">
    <w:name w:val="Heading 5 Char"/>
    <w:basedOn w:val="DefaultParagraphFont"/>
    <w:link w:val="Heading5"/>
    <w:uiPriority w:val="9"/>
    <w:semiHidden/>
    <w:rsid w:val="00B65E3A"/>
    <w:rPr>
      <w:rFonts w:ascii="Arial" w:eastAsia="MS Mincho" w:hAnsi="Arial" w:cstheme="majorBidi"/>
      <w:bCs/>
      <w:i/>
      <w:iCs/>
      <w:color w:val="A5A5A5" w:themeColor="accent3"/>
      <w:szCs w:val="26"/>
    </w:rPr>
  </w:style>
  <w:style w:type="character" w:customStyle="1" w:styleId="Heading6Char">
    <w:name w:val="Heading 6 Char"/>
    <w:basedOn w:val="DefaultParagraphFont"/>
    <w:link w:val="Heading6"/>
    <w:uiPriority w:val="9"/>
    <w:rsid w:val="00B65E3A"/>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rsid w:val="00B65E3A"/>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rsid w:val="00B65E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5E3A"/>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65E3A"/>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65E3A"/>
    <w:rPr>
      <w:rFonts w:eastAsia="Times New Roman" w:cs="Times New Roman"/>
      <w:szCs w:val="24"/>
    </w:rPr>
  </w:style>
  <w:style w:type="paragraph" w:styleId="BalloonText">
    <w:name w:val="Balloon Text"/>
    <w:basedOn w:val="Normal"/>
    <w:link w:val="BalloonTextChar"/>
    <w:uiPriority w:val="99"/>
    <w:semiHidden/>
    <w:unhideWhenUsed/>
    <w:rsid w:val="00B65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3A"/>
    <w:rPr>
      <w:rFonts w:ascii="Segoe UI" w:eastAsia="Times New Roman" w:hAnsi="Segoe UI" w:cs="Segoe UI"/>
      <w:sz w:val="18"/>
      <w:szCs w:val="18"/>
    </w:rPr>
  </w:style>
  <w:style w:type="paragraph" w:styleId="Header">
    <w:name w:val="header"/>
    <w:basedOn w:val="Normal"/>
    <w:link w:val="HeaderChar"/>
    <w:uiPriority w:val="99"/>
    <w:unhideWhenUsed/>
    <w:rsid w:val="00B65E3A"/>
    <w:pPr>
      <w:tabs>
        <w:tab w:val="center" w:pos="4513"/>
        <w:tab w:val="right" w:pos="9026"/>
      </w:tabs>
    </w:pPr>
  </w:style>
  <w:style w:type="character" w:customStyle="1" w:styleId="HeaderChar">
    <w:name w:val="Header Char"/>
    <w:basedOn w:val="DefaultParagraphFont"/>
    <w:link w:val="Header"/>
    <w:uiPriority w:val="99"/>
    <w:rsid w:val="00B65E3A"/>
    <w:rPr>
      <w:rFonts w:eastAsia="Times New Roman" w:cs="Times New Roman"/>
      <w:szCs w:val="24"/>
    </w:rPr>
  </w:style>
  <w:style w:type="paragraph" w:styleId="Footer">
    <w:name w:val="footer"/>
    <w:basedOn w:val="Normal"/>
    <w:link w:val="FooterChar"/>
    <w:uiPriority w:val="99"/>
    <w:unhideWhenUsed/>
    <w:rsid w:val="00B65E3A"/>
    <w:pPr>
      <w:tabs>
        <w:tab w:val="center" w:pos="4513"/>
        <w:tab w:val="right" w:pos="9026"/>
      </w:tabs>
    </w:pPr>
  </w:style>
  <w:style w:type="character" w:customStyle="1" w:styleId="FooterChar">
    <w:name w:val="Footer Char"/>
    <w:basedOn w:val="DefaultParagraphFont"/>
    <w:link w:val="Footer"/>
    <w:uiPriority w:val="99"/>
    <w:rsid w:val="00B65E3A"/>
    <w:rPr>
      <w:rFonts w:eastAsia="Times New Roman" w:cs="Times New Roman"/>
      <w:szCs w:val="24"/>
    </w:rPr>
  </w:style>
  <w:style w:type="character" w:styleId="CommentReference">
    <w:name w:val="annotation reference"/>
    <w:basedOn w:val="DefaultParagraphFont"/>
    <w:uiPriority w:val="99"/>
    <w:semiHidden/>
    <w:unhideWhenUsed/>
    <w:rsid w:val="0098485D"/>
    <w:rPr>
      <w:sz w:val="16"/>
      <w:szCs w:val="16"/>
    </w:rPr>
  </w:style>
  <w:style w:type="paragraph" w:styleId="CommentText">
    <w:name w:val="annotation text"/>
    <w:basedOn w:val="Normal"/>
    <w:link w:val="CommentTextChar"/>
    <w:uiPriority w:val="99"/>
    <w:semiHidden/>
    <w:unhideWhenUsed/>
    <w:rsid w:val="0098485D"/>
    <w:rPr>
      <w:sz w:val="20"/>
      <w:szCs w:val="20"/>
    </w:rPr>
  </w:style>
  <w:style w:type="character" w:customStyle="1" w:styleId="CommentTextChar">
    <w:name w:val="Comment Text Char"/>
    <w:basedOn w:val="DefaultParagraphFont"/>
    <w:link w:val="CommentText"/>
    <w:uiPriority w:val="99"/>
    <w:semiHidden/>
    <w:rsid w:val="0098485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485D"/>
    <w:rPr>
      <w:b/>
      <w:bCs/>
    </w:rPr>
  </w:style>
  <w:style w:type="character" w:customStyle="1" w:styleId="CommentSubjectChar">
    <w:name w:val="Comment Subject Char"/>
    <w:basedOn w:val="CommentTextChar"/>
    <w:link w:val="CommentSubject"/>
    <w:uiPriority w:val="99"/>
    <w:semiHidden/>
    <w:rsid w:val="0098485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11694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Appendix H – Guidance on practical steps to prepare for and implement a single site workforce</vt:lpstr>
    </vt:vector>
  </TitlesOfParts>
  <Company>Department of Health</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 Guidance on practical steps to prepare for and implement a single site workforce</dc:title>
  <dc:subject>Health workforce</dc:subject>
  <dc:creator>Australian Government Department of Health</dc:creator>
  <cp:keywords>Health workforce; Infection control; COVID-19; aged care</cp:keywords>
  <dc:description/>
  <cp:lastModifiedBy>MASCHKE, Elvia</cp:lastModifiedBy>
  <cp:revision>2</cp:revision>
  <dcterms:created xsi:type="dcterms:W3CDTF">2021-01-03T22:33:00Z</dcterms:created>
  <dcterms:modified xsi:type="dcterms:W3CDTF">2021-01-03T22:33:00Z</dcterms:modified>
</cp:coreProperties>
</file>