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944C7E" w:rsidRPr="008628BE">
        <w:t>29</w:t>
      </w:r>
      <w:r w:rsidR="007377F6" w:rsidRPr="008628BE">
        <w:t xml:space="preserve"> </w:t>
      </w:r>
      <w:r w:rsidR="00A96A4B" w:rsidRPr="008628BE">
        <w:t>January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r w:rsidR="00226B55">
        <w:fldChar w:fldCharType="begin"/>
      </w:r>
      <w:r w:rsidR="00226B55">
        <w:instrText xml:space="preserve"> SEQ Table \* ARABIC </w:instrText>
      </w:r>
      <w:r w:rsidR="00226B55">
        <w:fldChar w:fldCharType="separate"/>
      </w:r>
      <w:r w:rsidR="00A86013" w:rsidRPr="008628BE">
        <w:rPr>
          <w:noProof/>
        </w:rPr>
        <w:t>1</w:t>
      </w:r>
      <w:r w:rsidR="00226B55">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944C7E" w:rsidRPr="008628BE">
        <w:t>29</w:t>
      </w:r>
      <w:r w:rsidR="007377F6" w:rsidRPr="008628BE">
        <w:t xml:space="preserve"> </w:t>
      </w:r>
      <w:r w:rsidR="00A96A4B" w:rsidRPr="008628BE">
        <w:t>January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6E6275">
            <w:r w:rsidRPr="008628BE">
              <w:t>678</w:t>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C6434D" w:rsidRPr="008628BE">
              <w:t>5</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6E6275">
            <w:r w:rsidRPr="008628BE">
              <w:t>2</w:t>
            </w:r>
            <w:r w:rsidR="007B13B6" w:rsidRPr="008628BE">
              <w:t>1</w:t>
            </w:r>
            <w:r w:rsidR="00C6434D" w:rsidRPr="008628BE">
              <w:t>5</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2"/>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C6434D" w:rsidRPr="008628BE">
              <w:t>5</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6E6275">
            <w:r w:rsidRPr="008628BE">
              <w:t>2</w:t>
            </w:r>
            <w:r w:rsidR="004963D1" w:rsidRPr="008628BE">
              <w:t>,</w:t>
            </w:r>
            <w:r w:rsidR="000F1E9E" w:rsidRPr="008628BE">
              <w:t>2</w:t>
            </w:r>
            <w:r w:rsidR="00C6434D" w:rsidRPr="008628BE">
              <w:t>27</w:t>
            </w:r>
            <w:r w:rsidR="00C643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8628BE">
        <w:t>In Australia, a total of 2</w:t>
      </w:r>
      <w:r w:rsidR="004B4E7A" w:rsidRPr="008628BE">
        <w:t>8</w:t>
      </w:r>
      <w:r w:rsidR="0048381F" w:rsidRPr="008628BE">
        <w:t>,7</w:t>
      </w:r>
      <w:r w:rsidR="00AC723A" w:rsidRPr="008628BE">
        <w:t>84</w:t>
      </w:r>
      <w:r w:rsidR="00D9302A" w:rsidRPr="008628BE">
        <w:t xml:space="preserve"> </w:t>
      </w:r>
      <w:r w:rsidR="00F209FD" w:rsidRPr="008628BE">
        <w:t>cases of COVID-19 hav</w:t>
      </w:r>
      <w:r w:rsidRPr="008628BE">
        <w:t xml:space="preserve">e been reported, including </w:t>
      </w:r>
      <w:r w:rsidR="00AC723A" w:rsidRPr="008628BE">
        <w:t>92</w:t>
      </w:r>
      <w:r w:rsidR="00000D08" w:rsidRPr="008628BE">
        <w:t xml:space="preserve"> </w:t>
      </w:r>
      <w:r w:rsidR="00F209FD" w:rsidRPr="008628BE">
        <w:t xml:space="preserve">active cases and </w:t>
      </w:r>
      <w:r w:rsidR="009E2F97" w:rsidRPr="008628BE">
        <w:t>909</w:t>
      </w:r>
      <w:r w:rsidR="00F209FD" w:rsidRPr="008628BE">
        <w:t xml:space="preserve"> deaths.</w:t>
      </w:r>
    </w:p>
    <w:p w:rsidR="00CE74D3" w:rsidRPr="008628BE" w:rsidRDefault="00CE74D3" w:rsidP="00CE74D3">
      <w:r w:rsidRPr="008628BE">
        <w:t xml:space="preserve">As at </w:t>
      </w:r>
      <w:r w:rsidR="00944C7E" w:rsidRPr="008628BE">
        <w:t>29</w:t>
      </w:r>
      <w:r w:rsidRPr="008628BE">
        <w:t xml:space="preserve"> January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96031E" w:rsidRPr="008628BE">
        <w:t>29</w:t>
      </w:r>
      <w:r w:rsidR="0048381F" w:rsidRPr="008628BE">
        <w:t xml:space="preserve"> </w:t>
      </w:r>
      <w:r w:rsidR="00FC2516" w:rsidRPr="008628BE">
        <w:t>January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1BDB370" wp14:editId="7599AADF">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226B55">
        <w:fldChar w:fldCharType="begin"/>
      </w:r>
      <w:r w:rsidR="00226B55">
        <w:instrText xml:space="preserve"> SEQ Figure \* ARABIC </w:instrText>
      </w:r>
      <w:r w:rsidR="00226B55">
        <w:fldChar w:fldCharType="separate"/>
      </w:r>
      <w:r w:rsidR="004F4537" w:rsidRPr="008628BE">
        <w:rPr>
          <w:noProof/>
        </w:rPr>
        <w:t>1</w:t>
      </w:r>
      <w:r w:rsidR="00226B55">
        <w:rPr>
          <w:noProof/>
        </w:rPr>
        <w:fldChar w:fldCharType="end"/>
      </w:r>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7E6A39" w:rsidRPr="008628BE">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9421F8" w:rsidRPr="008628BE" w:rsidRDefault="00E6520E" w:rsidP="006E6275">
      <w:pPr>
        <w:rPr>
          <w:b/>
        </w:rPr>
      </w:pPr>
      <w:r w:rsidRPr="008628BE">
        <w:rPr>
          <w:b/>
        </w:rPr>
        <w:lastRenderedPageBreak/>
        <w:t>Figure 2: Number of daily reported COVID-19 cases in Australian residential aged care facilities overlayed with national locally acquired cases</w:t>
      </w:r>
      <w:r w:rsidRPr="008628BE">
        <w:rPr>
          <w:rStyle w:val="FootnoteReference"/>
          <w:b/>
        </w:rPr>
        <w:footnoteReference w:id="4"/>
      </w:r>
      <w:r w:rsidRPr="008628BE">
        <w:rPr>
          <w:b/>
        </w:rPr>
        <w:t xml:space="preserve">. </w:t>
      </w:r>
    </w:p>
    <w:p w:rsidR="00E6520E" w:rsidRPr="008628BE" w:rsidRDefault="005301BA" w:rsidP="00E6520E">
      <w:pPr>
        <w:pStyle w:val="Default"/>
      </w:pPr>
      <w:r w:rsidRPr="008628BE">
        <w:rPr>
          <w:noProof/>
          <w:lang w:eastAsia="en-AU"/>
        </w:rPr>
        <w:drawing>
          <wp:inline distT="0" distB="0" distL="0" distR="0" wp14:anchorId="233D2F64" wp14:editId="7D4FC4E6">
            <wp:extent cx="6216162" cy="3308915"/>
            <wp:effectExtent l="0" t="0" r="0" b="6350"/>
            <wp:docPr id="4" name="Picture 4" descr="Number of daily reported COVID-19 cases in Australian residential aged care facilities overlayed with national locally acquired cases" title="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ocuments\20210128 - Daily national aged care COVID-19 case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4404" b="8697"/>
                    <a:stretch/>
                  </pic:blipFill>
                  <pic:spPr bwMode="auto">
                    <a:xfrm>
                      <a:off x="0" y="0"/>
                      <a:ext cx="6232759" cy="3317750"/>
                    </a:xfrm>
                    <a:prstGeom prst="rect">
                      <a:avLst/>
                    </a:prstGeom>
                    <a:noFill/>
                    <a:ln>
                      <a:noFill/>
                    </a:ln>
                    <a:extLst>
                      <a:ext uri="{53640926-AAD7-44D8-BBD7-CCE9431645EC}">
                        <a14:shadowObscured xmlns:a14="http://schemas.microsoft.com/office/drawing/2010/main"/>
                      </a:ext>
                    </a:extLst>
                  </pic:spPr>
                </pic:pic>
              </a:graphicData>
            </a:graphic>
          </wp:inline>
        </w:drawing>
      </w:r>
    </w:p>
    <w:p w:rsidR="006A4D63" w:rsidRPr="008628BE" w:rsidRDefault="006E6275" w:rsidP="004F4537">
      <w:pPr>
        <w:pStyle w:val="Heading2"/>
        <w:rPr>
          <w:rFonts w:eastAsia="Calibri"/>
        </w:rPr>
      </w:pPr>
      <w:r w:rsidRPr="008628BE">
        <w:t>International comparisons</w:t>
      </w:r>
    </w:p>
    <w:p w:rsidR="00805942" w:rsidRPr="008628BE" w:rsidRDefault="00805942" w:rsidP="00805942">
      <w:r w:rsidRPr="008628BE">
        <w:t xml:space="preserve">During the COVID-19 pandemic, no country has been able to avoid outbreaks or deaths in residential aged care when there has been widespread community transmission. </w:t>
      </w:r>
    </w:p>
    <w:p w:rsidR="00805942" w:rsidRPr="008628BE" w:rsidRDefault="00805942" w:rsidP="00805942">
      <w:r w:rsidRPr="008628BE">
        <w:t>The Australian death rate is 0.37 per cent (3.7 in 1,000) against the total number of residential aged care beds across the country.</w:t>
      </w:r>
    </w:p>
    <w:p w:rsidR="00060BD0" w:rsidRPr="008628BE" w:rsidRDefault="00805942" w:rsidP="002964BF">
      <w:r w:rsidRPr="008628BE">
        <w:t xml:space="preserve">By comparison, Canada has experienced </w:t>
      </w:r>
      <w:r w:rsidR="00B30F79" w:rsidRPr="008628BE">
        <w:t xml:space="preserve">approximately </w:t>
      </w:r>
      <w:r w:rsidR="00793049" w:rsidRPr="008628BE">
        <w:t>1</w:t>
      </w:r>
      <w:r w:rsidR="00B51C98" w:rsidRPr="008628BE">
        <w:t>9</w:t>
      </w:r>
      <w:r w:rsidR="00793049" w:rsidRPr="008628BE">
        <w:t xml:space="preserve"> </w:t>
      </w:r>
      <w:r w:rsidRPr="008628BE">
        <w:t>times the number of deaths in care homes, than Australia</w:t>
      </w:r>
      <w:r w:rsidR="0048381F" w:rsidRPr="008628BE">
        <w:t xml:space="preserve"> as at </w:t>
      </w:r>
      <w:r w:rsidR="00CD60FE" w:rsidRPr="008628BE">
        <w:t>29</w:t>
      </w:r>
      <w:r w:rsidR="002759CA" w:rsidRPr="008628BE">
        <w:t xml:space="preserve"> January 2021</w:t>
      </w:r>
      <w:r w:rsidRPr="008628BE">
        <w:t>.</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t>The following data represents persons aged 65 and over for all accommodation settings. In those aged over 65 years, in the period 1 January to 31 December for each year</w:t>
      </w:r>
      <w:r w:rsidR="009421F8" w:rsidRPr="008628BE">
        <w:t>*:</w:t>
      </w:r>
      <w:r w:rsidR="00060BD0" w:rsidRPr="008628BE">
        <w:br/>
      </w:r>
    </w:p>
    <w:p w:rsidR="007710BC" w:rsidRPr="008628BE" w:rsidRDefault="007710BC" w:rsidP="00327282">
      <w:pPr>
        <w:pStyle w:val="ListParagraph"/>
        <w:numPr>
          <w:ilvl w:val="0"/>
          <w:numId w:val="24"/>
        </w:numPr>
      </w:pPr>
      <w:r w:rsidRPr="008628BE">
        <w:lastRenderedPageBreak/>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r w:rsidR="00226B55">
        <w:fldChar w:fldCharType="begin"/>
      </w:r>
      <w:r w:rsidR="00226B55">
        <w:instrText xml:space="preserve"> SEQ Table \* ARABIC </w:instrText>
      </w:r>
      <w:r w:rsidR="00226B55">
        <w:fldChar w:fldCharType="separate"/>
      </w:r>
      <w:r w:rsidR="00A86013" w:rsidRPr="008628BE">
        <w:rPr>
          <w:noProof/>
        </w:rPr>
        <w:t>2</w:t>
      </w:r>
      <w:r w:rsidR="00226B55">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sidP="00944C7E">
            <w:r w:rsidRPr="008628BE">
              <w:t>Resources Supplied</w:t>
            </w:r>
            <w:r w:rsidR="00460B4C" w:rsidRPr="008628BE">
              <w:t xml:space="preserve"> (as at </w:t>
            </w:r>
            <w:r w:rsidR="00944C7E" w:rsidRPr="008628BE">
              <w:t>24</w:t>
            </w:r>
            <w:r w:rsidR="00793049" w:rsidRPr="008628BE">
              <w:t xml:space="preserve"> </w:t>
            </w:r>
            <w:r w:rsidR="00805942" w:rsidRPr="008628BE">
              <w:t>January 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AUSMAT </w:t>
            </w:r>
          </w:p>
        </w:tc>
        <w:tc>
          <w:tcPr>
            <w:tcW w:w="5760" w:type="dxa"/>
          </w:tcPr>
          <w:p w:rsidR="00F209FD" w:rsidRPr="008628BE" w:rsidRDefault="00F209FD" w:rsidP="00607B5C">
            <w:r w:rsidRPr="008628BE">
              <w:t>Completed 174 visits to 80 aged care facilities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Australian Defence Force </w:t>
            </w:r>
          </w:p>
        </w:tc>
        <w:tc>
          <w:tcPr>
            <w:tcW w:w="5760" w:type="dxa"/>
          </w:tcPr>
          <w:p w:rsidR="00F209FD" w:rsidRPr="008628BE" w:rsidRDefault="0070110C" w:rsidP="00607B5C">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lastRenderedPageBreak/>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lastRenderedPageBreak/>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Aspen Medical </w:t>
            </w:r>
          </w:p>
        </w:tc>
        <w:tc>
          <w:tcPr>
            <w:tcW w:w="5760" w:type="dxa"/>
          </w:tcPr>
          <w:p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70</w:t>
            </w:r>
            <w:r w:rsidR="00AB1F9B" w:rsidRPr="008628BE">
              <w:t>4</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sidP="00092DF3">
            <w:r w:rsidRPr="008628BE">
              <w:t xml:space="preserve">Supplied </w:t>
            </w:r>
            <w:r w:rsidR="00805942" w:rsidRPr="008628BE">
              <w:t>40</w:t>
            </w:r>
            <w:r w:rsidR="00B76679" w:rsidRPr="008628BE">
              <w:t xml:space="preserve"> staff to fill </w:t>
            </w:r>
            <w:r w:rsidR="00521A22" w:rsidRPr="008628BE">
              <w:t>1</w:t>
            </w:r>
            <w:r w:rsidR="00805942" w:rsidRPr="008628BE">
              <w:t>,</w:t>
            </w:r>
            <w:r w:rsidR="00092DF3" w:rsidRPr="008628BE">
              <w:t>519</w:t>
            </w:r>
            <w:r w:rsidR="00E57139" w:rsidRPr="008628BE">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rsidTr="0042292B">
        <w:trPr>
          <w:trHeight w:val="287"/>
        </w:trPr>
        <w:tc>
          <w:tcPr>
            <w:tcW w:w="3256" w:type="dxa"/>
          </w:tcPr>
          <w:p w:rsidR="00F209FD" w:rsidRPr="008628BE" w:rsidRDefault="00F209FD" w:rsidP="006E6275">
            <w:r w:rsidRPr="008628BE">
              <w:t xml:space="preserve">Western Health </w:t>
            </w:r>
          </w:p>
        </w:tc>
        <w:tc>
          <w:tcPr>
            <w:tcW w:w="5760" w:type="dxa"/>
          </w:tcPr>
          <w:p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Residential Aged Care Assistants (RACA)</w:t>
            </w:r>
          </w:p>
        </w:tc>
        <w:tc>
          <w:tcPr>
            <w:tcW w:w="5760" w:type="dxa"/>
          </w:tcPr>
          <w:p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rsidTr="0042292B">
        <w:trPr>
          <w:trHeight w:val="287"/>
        </w:trPr>
        <w:tc>
          <w:tcPr>
            <w:tcW w:w="3256" w:type="dxa"/>
          </w:tcPr>
          <w:p w:rsidR="00F209FD" w:rsidRPr="008628BE" w:rsidRDefault="00F209FD" w:rsidP="006E6275">
            <w:r w:rsidRPr="008628BE">
              <w:t>Residential Aged Care Safety Observers (RACSO)</w:t>
            </w:r>
          </w:p>
        </w:tc>
        <w:tc>
          <w:tcPr>
            <w:tcW w:w="5760" w:type="dxa"/>
          </w:tcPr>
          <w:p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F209FD" w:rsidRPr="008628BE" w:rsidRDefault="00F209FD" w:rsidP="006E6275">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209FD" w:rsidRPr="008628BE" w:rsidRDefault="008734EB" w:rsidP="006E6275">
      <w:r w:rsidRPr="008628BE">
        <w:t xml:space="preserve">As at </w:t>
      </w:r>
      <w:r w:rsidR="000F468C" w:rsidRPr="008628BE">
        <w:t>27</w:t>
      </w:r>
      <w:r w:rsidR="00E57139" w:rsidRPr="008628BE">
        <w:t xml:space="preserve"> </w:t>
      </w:r>
      <w:r w:rsidR="00FC2516" w:rsidRPr="008628BE">
        <w:t>January 2021</w:t>
      </w:r>
      <w:r w:rsidR="00F209FD" w:rsidRPr="008628BE">
        <w:t>, the NMS has provided aged care facilities with approximately:</w:t>
      </w:r>
    </w:p>
    <w:p w:rsidR="00F209FD" w:rsidRPr="008628BE" w:rsidRDefault="00E57139" w:rsidP="006E6275">
      <w:pPr>
        <w:pStyle w:val="ListParagraph"/>
        <w:numPr>
          <w:ilvl w:val="0"/>
          <w:numId w:val="14"/>
        </w:numPr>
      </w:pPr>
      <w:r w:rsidRPr="008628BE">
        <w:t xml:space="preserve">20 </w:t>
      </w:r>
      <w:r w:rsidR="00F209FD" w:rsidRPr="008628BE">
        <w:t>million masks</w:t>
      </w:r>
    </w:p>
    <w:p w:rsidR="00F209FD" w:rsidRPr="008628BE" w:rsidRDefault="00DF7CDB" w:rsidP="006E6275">
      <w:pPr>
        <w:pStyle w:val="ListParagraph"/>
        <w:numPr>
          <w:ilvl w:val="0"/>
          <w:numId w:val="14"/>
        </w:numPr>
      </w:pPr>
      <w:r w:rsidRPr="008628BE">
        <w:t>5</w:t>
      </w:r>
      <w:r w:rsidR="00F209FD" w:rsidRPr="008628BE">
        <w:t xml:space="preserve"> million gowns</w:t>
      </w:r>
    </w:p>
    <w:p w:rsidR="00F209FD" w:rsidRPr="008628BE" w:rsidRDefault="008734EB" w:rsidP="006E6275">
      <w:pPr>
        <w:pStyle w:val="ListParagraph"/>
        <w:numPr>
          <w:ilvl w:val="0"/>
          <w:numId w:val="14"/>
        </w:numPr>
      </w:pPr>
      <w:r w:rsidRPr="008628BE">
        <w:t>11</w:t>
      </w:r>
      <w:r w:rsidR="00F209FD" w:rsidRPr="008628BE">
        <w:t xml:space="preserve"> million gloves</w:t>
      </w:r>
    </w:p>
    <w:p w:rsidR="00F209FD" w:rsidRPr="008628BE" w:rsidRDefault="00F209FD" w:rsidP="006E6275">
      <w:pPr>
        <w:pStyle w:val="ListParagraph"/>
        <w:numPr>
          <w:ilvl w:val="0"/>
          <w:numId w:val="14"/>
        </w:numPr>
      </w:pPr>
      <w:r w:rsidRPr="008628BE">
        <w:t>4 million goggles and face shields</w:t>
      </w:r>
    </w:p>
    <w:p w:rsidR="00F209FD" w:rsidRPr="008628BE" w:rsidRDefault="00350D41" w:rsidP="006E6275">
      <w:pPr>
        <w:pStyle w:val="ListParagraph"/>
        <w:numPr>
          <w:ilvl w:val="0"/>
          <w:numId w:val="14"/>
        </w:numPr>
      </w:pPr>
      <w:r w:rsidRPr="008628BE">
        <w:t>90</w:t>
      </w:r>
      <w:r w:rsidR="00F209FD" w:rsidRPr="008628BE">
        <w:t>,000 bottles of hand sanitiser</w:t>
      </w:r>
    </w:p>
    <w:p w:rsidR="00F209FD" w:rsidRPr="008628BE" w:rsidRDefault="008734EB" w:rsidP="006E6275">
      <w:pPr>
        <w:pStyle w:val="ListParagraph"/>
        <w:numPr>
          <w:ilvl w:val="0"/>
          <w:numId w:val="14"/>
        </w:numPr>
      </w:pPr>
      <w:r w:rsidRPr="008628BE">
        <w:t>16</w:t>
      </w:r>
      <w:r w:rsidR="006A1C1B" w:rsidRPr="008628BE">
        <w:t>5</w:t>
      </w:r>
      <w:r w:rsidR="00F209FD" w:rsidRPr="008628BE">
        <w:t>,000 clinical waste bags</w:t>
      </w:r>
      <w:r w:rsidR="00F209FD" w:rsidRPr="008628BE">
        <w:rPr>
          <w:color w:val="FF0000"/>
        </w:rPr>
        <w:t xml:space="preserve">. </w:t>
      </w:r>
    </w:p>
    <w:p w:rsidR="00060BD0" w:rsidRPr="008628BE" w:rsidRDefault="00060BD0" w:rsidP="006E6275"/>
    <w:p w:rsidR="00D711D9" w:rsidRPr="008628BE" w:rsidRDefault="00D711D9" w:rsidP="0019790E">
      <w:pPr>
        <w:widowControl/>
        <w:spacing w:before="0" w:line="240" w:lineRule="auto"/>
        <w:contextualSpacing/>
        <w:rPr>
          <w:rFonts w:eastAsia="Arial" w:cs="Arial"/>
          <w:lang w:eastAsia="en-AU"/>
        </w:rPr>
      </w:pPr>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rsidR="00383151" w:rsidRPr="008628BE" w:rsidRDefault="00F209FD" w:rsidP="006E6275">
      <w:r w:rsidRPr="008628BE">
        <w:t xml:space="preserve">As </w:t>
      </w:r>
      <w:r w:rsidR="008734EB" w:rsidRPr="008628BE">
        <w:t xml:space="preserve">at </w:t>
      </w:r>
      <w:r w:rsidR="00D711D9" w:rsidRPr="008628BE">
        <w:t>19</w:t>
      </w:r>
      <w:r w:rsidR="004314CE" w:rsidRPr="008628BE">
        <w:t xml:space="preserve"> January 2021</w:t>
      </w:r>
      <w:r w:rsidRPr="008628BE">
        <w:t>, So</w:t>
      </w:r>
      <w:r w:rsidR="00A035BE" w:rsidRPr="008628BE">
        <w:t xml:space="preserve">nic Healthcare has conducted </w:t>
      </w:r>
      <w:r w:rsidR="005A7EDD" w:rsidRPr="008628BE">
        <w:t>219,5</w:t>
      </w:r>
      <w:r w:rsidR="00D711D9" w:rsidRPr="008628BE">
        <w:t>1</w:t>
      </w:r>
      <w:r w:rsidR="005A7EDD" w:rsidRPr="008628BE">
        <w:t>8</w:t>
      </w:r>
      <w:r w:rsidR="00467248" w:rsidRPr="008628BE">
        <w:t xml:space="preserve"> COVID</w:t>
      </w:r>
      <w:r w:rsidR="00A035BE" w:rsidRPr="008628BE">
        <w:noBreakHyphen/>
        <w:t xml:space="preserve">19 tests at </w:t>
      </w:r>
      <w:r w:rsidR="004314CE" w:rsidRPr="008628BE">
        <w:t>2,</w:t>
      </w:r>
      <w:r w:rsidR="00D711D9" w:rsidRPr="008628BE">
        <w:t>323</w:t>
      </w:r>
      <w:r w:rsidR="009905E3" w:rsidRPr="008628BE">
        <w:t xml:space="preserve"> </w:t>
      </w:r>
      <w:r w:rsidRPr="008628BE">
        <w:t>unique residential aged care faciliti</w:t>
      </w:r>
      <w:r w:rsidR="00383151" w:rsidRPr="008628BE">
        <w:t xml:space="preserve">es nationally. This includes </w:t>
      </w:r>
      <w:r w:rsidR="00D711D9" w:rsidRPr="008628BE">
        <w:t>243,358</w:t>
      </w:r>
      <w:r w:rsidR="00A035BE" w:rsidRPr="008628BE">
        <w:t xml:space="preserve"> COVID</w:t>
      </w:r>
      <w:r w:rsidR="00A035BE" w:rsidRPr="008628BE">
        <w:noBreakHyphen/>
        <w:t xml:space="preserve">19 tests at </w:t>
      </w:r>
      <w:r w:rsidR="00D711D9" w:rsidRPr="008628BE">
        <w:t>723</w:t>
      </w:r>
      <w:r w:rsidRPr="008628BE">
        <w:t xml:space="preserve"> unique residential ag</w:t>
      </w:r>
      <w:r w:rsidR="0042292B" w:rsidRPr="008628BE">
        <w:t>ed care facilities in Victoria</w:t>
      </w:r>
      <w:r w:rsidR="00EA5B36" w:rsidRPr="008628BE">
        <w:t>.</w:t>
      </w:r>
    </w:p>
    <w:p w:rsidR="00F209FD" w:rsidRPr="008628BE" w:rsidRDefault="00F209FD" w:rsidP="006E6275">
      <w:r w:rsidRPr="008628BE">
        <w:t>Testing regimens for residents and staff at aged care facilities that experience a COVID-19 outbreak is based on advice from the relevant Public Health Unit.</w:t>
      </w:r>
    </w:p>
    <w:p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regional Victoria. Since</w:t>
      </w:r>
      <w:r w:rsidR="006F3516" w:rsidRPr="008628BE">
        <w:t xml:space="preserve"> 19</w:t>
      </w:r>
      <w:r w:rsidR="008C1E35" w:rsidRPr="008628BE">
        <w:t xml:space="preserve"> October 2020</w:t>
      </w:r>
      <w:r w:rsidR="00001F86" w:rsidRPr="008628BE">
        <w:t>,</w:t>
      </w:r>
      <w:r w:rsidR="00FA7E71" w:rsidRPr="008628BE">
        <w:t xml:space="preserve"> </w:t>
      </w:r>
      <w:r w:rsidR="00BB64A6" w:rsidRPr="008628BE">
        <w:t>3,716</w:t>
      </w:r>
      <w:r w:rsidR="0090728E" w:rsidRPr="008628BE">
        <w:t xml:space="preserve"> </w:t>
      </w:r>
      <w:r w:rsidR="00FA7E71" w:rsidRPr="008628BE">
        <w:t>coordinated asymptoma</w:t>
      </w:r>
      <w:r w:rsidR="008C1E35" w:rsidRPr="008628BE">
        <w:t>tic te</w:t>
      </w:r>
      <w:r w:rsidR="006F3516" w:rsidRPr="008628BE">
        <w:t xml:space="preserve">sting </w:t>
      </w:r>
      <w:r w:rsidR="0090728E" w:rsidRPr="008628BE">
        <w:t xml:space="preserve">visits </w:t>
      </w:r>
      <w:r w:rsidR="000F60B1" w:rsidRPr="008628BE">
        <w:t>have</w:t>
      </w:r>
      <w:r w:rsidR="00001F86" w:rsidRPr="008628BE">
        <w:t xml:space="preserve"> been </w:t>
      </w:r>
      <w:r w:rsidR="006F3516" w:rsidRPr="008628BE">
        <w:t xml:space="preserve">conducted, </w:t>
      </w:r>
      <w:r w:rsidR="00001F86" w:rsidRPr="008628BE">
        <w:t>and</w:t>
      </w:r>
      <w:r w:rsidR="006F3516" w:rsidRPr="008628BE">
        <w:t xml:space="preserve"> </w:t>
      </w:r>
      <w:r w:rsidR="00D711D9" w:rsidRPr="008628BE">
        <w:t xml:space="preserve">72,803 </w:t>
      </w:r>
      <w:r w:rsidR="00FA7E71" w:rsidRPr="008628BE">
        <w:t>tests</w:t>
      </w:r>
      <w:r w:rsidR="00001F86" w:rsidRPr="008628BE">
        <w:t xml:space="preserve"> conducted</w:t>
      </w:r>
      <w:r w:rsidR="00B7785E" w:rsidRPr="008628BE">
        <w:t xml:space="preserve"> </w:t>
      </w:r>
      <w:r w:rsidR="00D6241A" w:rsidRPr="008628BE">
        <w:t xml:space="preserve">at aged care facilities </w:t>
      </w:r>
      <w:r w:rsidR="00B7785E" w:rsidRPr="008628BE">
        <w:t xml:space="preserve">in Victoria. </w:t>
      </w:r>
    </w:p>
    <w:p w:rsidR="00D9302A" w:rsidRPr="008628BE" w:rsidRDefault="00B30F79" w:rsidP="00327282">
      <w:r w:rsidRPr="008628BE">
        <w:t xml:space="preserve">The Australian Government provided asymptomatic testing </w:t>
      </w:r>
      <w:r w:rsidR="005A7EDD" w:rsidRPr="008628BE">
        <w:t xml:space="preserve">through SONIC </w:t>
      </w:r>
      <w:r w:rsidRPr="008628BE">
        <w:t xml:space="preserve">to the 31 </w:t>
      </w:r>
      <w:r w:rsidR="005A7EDD" w:rsidRPr="008628BE">
        <w:t>residential aged care facilities in the Northern Beaches of NSW in December 2020.  This asymptomatic testing program was also offered to RACFs in the Inner West</w:t>
      </w:r>
      <w:r w:rsidR="00D51A8E" w:rsidRPr="008628BE">
        <w:t xml:space="preserve"> on 2 </w:t>
      </w:r>
      <w:r w:rsidR="009F3172" w:rsidRPr="008628BE">
        <w:t>J</w:t>
      </w:r>
      <w:r w:rsidR="00D51A8E" w:rsidRPr="008628BE">
        <w:t>anuary 2021</w:t>
      </w:r>
      <w:r w:rsidR="005A7EDD" w:rsidRPr="008628BE">
        <w:t>. Fifty-nine of the 89 sites were tested, pre-prepared COVID</w:t>
      </w:r>
      <w:r w:rsidR="005A7EDD" w:rsidRPr="008628BE">
        <w:noBreakHyphen/>
        <w:t>19 collection kits</w:t>
      </w:r>
      <w:r w:rsidR="00D51A8E" w:rsidRPr="008628BE">
        <w:t xml:space="preserve"> were provided</w:t>
      </w:r>
      <w:r w:rsidR="005A7EDD" w:rsidRPr="008628BE">
        <w:t xml:space="preserve"> to the remaining facilities with a training video with collections to be undertaken by an onsite nurse and specimens collected and tested by Sonic. This testing program has concluded.  </w:t>
      </w:r>
      <w:r w:rsidR="00D51A8E" w:rsidRPr="008628BE">
        <w:t>This testing</w:t>
      </w:r>
      <w:r w:rsidR="00D9302A" w:rsidRPr="008628BE">
        <w:t xml:space="preserve"> service is intended to supplement existing public health pathology services in aged care through the provision of services from the private sector as required.</w:t>
      </w:r>
    </w:p>
    <w:p w:rsidR="00F209FD" w:rsidRPr="008628BE" w:rsidRDefault="00F209FD" w:rsidP="00A86013">
      <w:pPr>
        <w:pStyle w:val="Heading2"/>
      </w:pPr>
      <w:r w:rsidRPr="008628BE">
        <w:t>Infection control and audits</w:t>
      </w:r>
    </w:p>
    <w:p w:rsidR="00A47D7F"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p>
    <w:p w:rsidR="00F209FD" w:rsidRPr="008628BE" w:rsidRDefault="00F209FD" w:rsidP="006E6275">
      <w:r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Pr="008628BE">
        <w:t xml:space="preserve">. </w:t>
      </w:r>
    </w:p>
    <w:p w:rsidR="00F72FC6" w:rsidRPr="008628BE" w:rsidRDefault="00D6241A" w:rsidP="006E6275">
      <w:r w:rsidRPr="008628BE">
        <w:t xml:space="preserve">Between </w:t>
      </w:r>
      <w:r w:rsidR="007902CA" w:rsidRPr="008628BE">
        <w:t xml:space="preserve">1 March </w:t>
      </w:r>
      <w:r w:rsidR="00843466" w:rsidRPr="008628BE">
        <w:t>2020</w:t>
      </w:r>
      <w:r w:rsidRPr="008628BE">
        <w:t xml:space="preserve"> and </w:t>
      </w:r>
      <w:r w:rsidR="00053056" w:rsidRPr="008628BE">
        <w:t>28</w:t>
      </w:r>
      <w:r w:rsidRPr="008628BE">
        <w:t xml:space="preserve"> January 2021</w:t>
      </w:r>
      <w:r w:rsidR="00843466" w:rsidRPr="008628BE">
        <w:t xml:space="preserve">, </w:t>
      </w:r>
      <w:r w:rsidR="007902CA" w:rsidRPr="008628BE">
        <w:t xml:space="preserve">the Commission </w:t>
      </w:r>
      <w:r w:rsidRPr="008628BE">
        <w:t>undertook</w:t>
      </w:r>
      <w:r w:rsidR="00053056" w:rsidRPr="008628BE">
        <w:t xml:space="preserve"> 2,932</w:t>
      </w:r>
      <w:r w:rsidR="00EF6EA8" w:rsidRPr="008628BE">
        <w:t xml:space="preserve"> unannounced visits and announced/short notice visits nationally. During this period</w:t>
      </w:r>
      <w:r w:rsidR="007902CA" w:rsidRPr="008628BE">
        <w:t xml:space="preserve"> </w:t>
      </w:r>
      <w:r w:rsidR="00190DCA" w:rsidRPr="008628BE">
        <w:t>2,</w:t>
      </w:r>
      <w:r w:rsidR="00053056" w:rsidRPr="008628BE">
        <w:t>425</w:t>
      </w:r>
      <w:r w:rsidR="008304BA" w:rsidRPr="008628BE" w:rsidDel="008304BA">
        <w:t xml:space="preserve"> </w:t>
      </w:r>
      <w:r w:rsidR="007902CA" w:rsidRPr="008628BE">
        <w:t>visits</w:t>
      </w:r>
      <w:r w:rsidR="00233D52" w:rsidRPr="008628BE">
        <w:t xml:space="preserve"> relating to infection control</w:t>
      </w:r>
      <w:r w:rsidR="00EF6EA8" w:rsidRPr="008628BE">
        <w:t xml:space="preserve"> were made nationally.</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w:t>
      </w:r>
      <w:r w:rsidRPr="008628BE">
        <w:lastRenderedPageBreak/>
        <w:t>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rsidR="008064D1" w:rsidRPr="008628BE" w:rsidRDefault="00A86013" w:rsidP="008064D1">
      <w:pPr>
        <w:rPr>
          <w:b/>
        </w:rPr>
      </w:pPr>
      <w:r w:rsidRPr="008628BE">
        <w:rPr>
          <w:b/>
        </w:rPr>
        <w:t xml:space="preserve">Table </w:t>
      </w:r>
      <w:r w:rsidR="00944C7E" w:rsidRPr="008628BE">
        <w:rPr>
          <w:b/>
        </w:rPr>
        <w:fldChar w:fldCharType="begin"/>
      </w:r>
      <w:r w:rsidR="00944C7E" w:rsidRPr="008628BE">
        <w:rPr>
          <w:b/>
        </w:rPr>
        <w:instrText xml:space="preserve"> SEQ Table \* ARABIC </w:instrText>
      </w:r>
      <w:r w:rsidR="00944C7E" w:rsidRPr="008628BE">
        <w:rPr>
          <w:b/>
        </w:rPr>
        <w:fldChar w:fldCharType="separate"/>
      </w:r>
      <w:r w:rsidRPr="008628BE">
        <w:rPr>
          <w:b/>
          <w:noProof/>
        </w:rPr>
        <w:t>3</w:t>
      </w:r>
      <w:r w:rsidR="00944C7E" w:rsidRPr="008628BE">
        <w:rPr>
          <w:b/>
          <w:noProof/>
        </w:rPr>
        <w:fldChar w:fldCharType="end"/>
      </w:r>
      <w:r w:rsidRPr="008628BE">
        <w:rPr>
          <w:b/>
        </w:rPr>
        <w:t>:</w:t>
      </w:r>
      <w:r w:rsidR="00834CD3" w:rsidRPr="008628BE">
        <w:rPr>
          <w:b/>
        </w:rPr>
        <w:t xml:space="preserve"> Total Quality Assessment and Monitoring Activities with residential ser</w:t>
      </w:r>
      <w:r w:rsidR="00C97CA8" w:rsidRPr="008628BE">
        <w:rPr>
          <w:b/>
        </w:rPr>
        <w:t>vices</w:t>
      </w:r>
      <w:r w:rsidR="00990891" w:rsidRPr="008628BE">
        <w:rPr>
          <w:b/>
        </w:rPr>
        <w:t xml:space="preserve"> (including IPC)</w:t>
      </w:r>
      <w:r w:rsidR="00C97CA8" w:rsidRPr="008628BE">
        <w:rPr>
          <w:b/>
        </w:rPr>
        <w:t xml:space="preserve">, by type and month </w:t>
      </w:r>
      <w:r w:rsidR="007810B5" w:rsidRPr="008628BE">
        <w:rPr>
          <w:b/>
        </w:rPr>
        <w:t xml:space="preserve">1 March </w:t>
      </w:r>
      <w:r w:rsidR="00C97CA8" w:rsidRPr="008628BE">
        <w:rPr>
          <w:b/>
        </w:rPr>
        <w:t xml:space="preserve">– to </w:t>
      </w:r>
      <w:r w:rsidR="00053056" w:rsidRPr="008628BE">
        <w:rPr>
          <w:b/>
        </w:rPr>
        <w:t>28</w:t>
      </w:r>
      <w:r w:rsidR="008064D1" w:rsidRPr="008628BE">
        <w:rPr>
          <w:b/>
        </w:rPr>
        <w:t xml:space="preserve"> </w:t>
      </w:r>
      <w:r w:rsidR="006B65E5" w:rsidRPr="008628BE">
        <w:rPr>
          <w:b/>
        </w:rPr>
        <w:t>January</w:t>
      </w:r>
      <w:r w:rsidR="00834CD3" w:rsidRPr="008628BE">
        <w:rPr>
          <w:b/>
        </w:rPr>
        <w:t xml:space="preserve"> 202</w:t>
      </w:r>
      <w:r w:rsidR="00D43DD2" w:rsidRPr="008628BE">
        <w:rPr>
          <w:b/>
        </w:rPr>
        <w:t>1</w:t>
      </w:r>
    </w:p>
    <w:tbl>
      <w:tblPr>
        <w:tblStyle w:val="GridTable4-Accent51"/>
        <w:tblW w:w="9547" w:type="dxa"/>
        <w:tblInd w:w="-476"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80"/>
        <w:gridCol w:w="709"/>
        <w:gridCol w:w="691"/>
        <w:gridCol w:w="697"/>
        <w:gridCol w:w="696"/>
        <w:gridCol w:w="697"/>
        <w:gridCol w:w="697"/>
        <w:gridCol w:w="696"/>
        <w:gridCol w:w="697"/>
        <w:gridCol w:w="697"/>
        <w:gridCol w:w="669"/>
        <w:gridCol w:w="567"/>
        <w:gridCol w:w="854"/>
      </w:tblGrid>
      <w:tr w:rsidR="00392F9E" w:rsidRPr="008628BE" w:rsidTr="00392F9E">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1180" w:type="dxa"/>
            <w:noWrap/>
            <w:vAlign w:val="bottom"/>
            <w:hideMark/>
          </w:tcPr>
          <w:p w:rsidR="00392F9E" w:rsidRPr="008628BE" w:rsidRDefault="00392F9E" w:rsidP="00B30F79">
            <w:pPr>
              <w:rPr>
                <w:rFonts w:cs="Arial"/>
                <w:sz w:val="17"/>
                <w:szCs w:val="17"/>
              </w:rPr>
            </w:pPr>
            <w:r w:rsidRPr="008628BE">
              <w:rPr>
                <w:rFonts w:cs="Arial"/>
                <w:sz w:val="17"/>
                <w:szCs w:val="17"/>
              </w:rPr>
              <w:t>Regulatory Activities</w:t>
            </w:r>
          </w:p>
        </w:tc>
        <w:tc>
          <w:tcPr>
            <w:tcW w:w="709"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Mar-20</w:t>
            </w:r>
          </w:p>
        </w:tc>
        <w:tc>
          <w:tcPr>
            <w:tcW w:w="691"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Apr- 20</w:t>
            </w:r>
          </w:p>
        </w:tc>
        <w:tc>
          <w:tcPr>
            <w:tcW w:w="697"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May-20</w:t>
            </w:r>
          </w:p>
        </w:tc>
        <w:tc>
          <w:tcPr>
            <w:tcW w:w="696"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Jun-20</w:t>
            </w:r>
          </w:p>
        </w:tc>
        <w:tc>
          <w:tcPr>
            <w:tcW w:w="697"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Jul- 20</w:t>
            </w:r>
          </w:p>
        </w:tc>
        <w:tc>
          <w:tcPr>
            <w:tcW w:w="697"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Aug-20</w:t>
            </w:r>
          </w:p>
        </w:tc>
        <w:tc>
          <w:tcPr>
            <w:tcW w:w="696"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Sep-20</w:t>
            </w:r>
          </w:p>
        </w:tc>
        <w:tc>
          <w:tcPr>
            <w:tcW w:w="697" w:type="dxa"/>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Oct-20</w:t>
            </w:r>
          </w:p>
        </w:tc>
        <w:tc>
          <w:tcPr>
            <w:tcW w:w="697" w:type="dxa"/>
            <w:vAlign w:val="bottom"/>
          </w:tcPr>
          <w:p w:rsidR="00392F9E" w:rsidRPr="008628BE" w:rsidRDefault="00392F9E" w:rsidP="00B30F79">
            <w:pPr>
              <w:ind w:left="-201" w:right="-103"/>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Nov-</w:t>
            </w:r>
            <w:r w:rsidRPr="008628BE">
              <w:rPr>
                <w:rFonts w:cs="Arial"/>
                <w:sz w:val="17"/>
                <w:szCs w:val="17"/>
              </w:rPr>
              <w:br/>
              <w:t>20</w:t>
            </w:r>
          </w:p>
        </w:tc>
        <w:tc>
          <w:tcPr>
            <w:tcW w:w="669" w:type="dxa"/>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Dec-20</w:t>
            </w:r>
          </w:p>
        </w:tc>
        <w:tc>
          <w:tcPr>
            <w:tcW w:w="567" w:type="dxa"/>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Jan-21</w:t>
            </w:r>
          </w:p>
        </w:tc>
        <w:tc>
          <w:tcPr>
            <w:tcW w:w="854" w:type="dxa"/>
            <w:noWrap/>
            <w:vAlign w:val="bottom"/>
            <w:hideMark/>
          </w:tcPr>
          <w:p w:rsidR="00392F9E" w:rsidRPr="008628BE" w:rsidRDefault="00392F9E"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Total</w:t>
            </w:r>
          </w:p>
        </w:tc>
      </w:tr>
      <w:tr w:rsidR="00392F9E" w:rsidRPr="008628BE" w:rsidTr="00392F9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80" w:type="dxa"/>
            <w:noWrap/>
            <w:vAlign w:val="center"/>
            <w:hideMark/>
          </w:tcPr>
          <w:p w:rsidR="00392F9E" w:rsidRPr="008628BE" w:rsidRDefault="00392F9E" w:rsidP="00B30F79">
            <w:pPr>
              <w:rPr>
                <w:rFonts w:cs="Arial"/>
                <w:sz w:val="17"/>
                <w:szCs w:val="17"/>
              </w:rPr>
            </w:pPr>
            <w:r w:rsidRPr="008628BE">
              <w:rPr>
                <w:rFonts w:cs="Arial"/>
                <w:sz w:val="17"/>
                <w:szCs w:val="17"/>
              </w:rPr>
              <w:t>Site visits</w:t>
            </w:r>
          </w:p>
        </w:tc>
        <w:tc>
          <w:tcPr>
            <w:tcW w:w="709"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97</w:t>
            </w:r>
          </w:p>
        </w:tc>
        <w:tc>
          <w:tcPr>
            <w:tcW w:w="691"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12</w:t>
            </w:r>
          </w:p>
        </w:tc>
        <w:tc>
          <w:tcPr>
            <w:tcW w:w="697"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94</w:t>
            </w:r>
          </w:p>
        </w:tc>
        <w:tc>
          <w:tcPr>
            <w:tcW w:w="696"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115</w:t>
            </w:r>
          </w:p>
        </w:tc>
        <w:tc>
          <w:tcPr>
            <w:tcW w:w="697"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132</w:t>
            </w:r>
          </w:p>
        </w:tc>
        <w:tc>
          <w:tcPr>
            <w:tcW w:w="697"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329</w:t>
            </w:r>
          </w:p>
        </w:tc>
        <w:tc>
          <w:tcPr>
            <w:tcW w:w="696"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580</w:t>
            </w:r>
          </w:p>
        </w:tc>
        <w:tc>
          <w:tcPr>
            <w:tcW w:w="697"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485</w:t>
            </w:r>
          </w:p>
        </w:tc>
        <w:tc>
          <w:tcPr>
            <w:tcW w:w="697" w:type="dxa"/>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329</w:t>
            </w:r>
          </w:p>
        </w:tc>
        <w:tc>
          <w:tcPr>
            <w:tcW w:w="669" w:type="dxa"/>
          </w:tcPr>
          <w:p w:rsidR="00392F9E" w:rsidRPr="008628BE" w:rsidRDefault="00392F9E" w:rsidP="00B30F79">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628BE">
              <w:rPr>
                <w:rFonts w:cs="Arial"/>
                <w:color w:val="000000"/>
                <w:sz w:val="17"/>
                <w:szCs w:val="17"/>
              </w:rPr>
              <w:t>362</w:t>
            </w:r>
          </w:p>
        </w:tc>
        <w:tc>
          <w:tcPr>
            <w:tcW w:w="567" w:type="dxa"/>
            <w:vAlign w:val="center"/>
          </w:tcPr>
          <w:p w:rsidR="00392F9E" w:rsidRPr="008628BE" w:rsidRDefault="00392F9E" w:rsidP="00B30F79">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628BE">
              <w:rPr>
                <w:rFonts w:cs="Arial"/>
                <w:color w:val="000000"/>
                <w:sz w:val="17"/>
                <w:szCs w:val="17"/>
              </w:rPr>
              <w:t>268</w:t>
            </w:r>
          </w:p>
        </w:tc>
        <w:tc>
          <w:tcPr>
            <w:tcW w:w="854" w:type="dxa"/>
            <w:noWrap/>
            <w:vAlign w:val="center"/>
          </w:tcPr>
          <w:p w:rsidR="00392F9E" w:rsidRPr="008628BE" w:rsidRDefault="00392F9E" w:rsidP="00B30F79">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628BE">
              <w:rPr>
                <w:rFonts w:cs="Arial"/>
                <w:sz w:val="17"/>
                <w:szCs w:val="17"/>
              </w:rPr>
              <w:t>2,803</w:t>
            </w:r>
          </w:p>
        </w:tc>
      </w:tr>
      <w:tr w:rsidR="00392F9E" w:rsidRPr="008628BE" w:rsidTr="00392F9E">
        <w:trPr>
          <w:trHeight w:val="289"/>
        </w:trPr>
        <w:tc>
          <w:tcPr>
            <w:cnfStyle w:val="001000000000" w:firstRow="0" w:lastRow="0" w:firstColumn="1" w:lastColumn="0" w:oddVBand="0" w:evenVBand="0" w:oddHBand="0" w:evenHBand="0" w:firstRowFirstColumn="0" w:firstRowLastColumn="0" w:lastRowFirstColumn="0" w:lastRowLastColumn="0"/>
            <w:tcW w:w="1180" w:type="dxa"/>
            <w:noWrap/>
            <w:vAlign w:val="center"/>
            <w:hideMark/>
          </w:tcPr>
          <w:p w:rsidR="00392F9E" w:rsidRPr="008628BE" w:rsidRDefault="00392F9E" w:rsidP="00392F9E">
            <w:pPr>
              <w:rPr>
                <w:rFonts w:cs="Arial"/>
                <w:sz w:val="17"/>
                <w:szCs w:val="17"/>
              </w:rPr>
            </w:pPr>
            <w:r w:rsidRPr="008628BE">
              <w:rPr>
                <w:rFonts w:cs="Arial"/>
                <w:sz w:val="17"/>
                <w:szCs w:val="17"/>
              </w:rPr>
              <w:t>Non-site activities</w:t>
            </w:r>
          </w:p>
        </w:tc>
        <w:tc>
          <w:tcPr>
            <w:tcW w:w="709"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3,138</w:t>
            </w:r>
          </w:p>
        </w:tc>
        <w:tc>
          <w:tcPr>
            <w:tcW w:w="691"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419</w:t>
            </w:r>
          </w:p>
        </w:tc>
        <w:tc>
          <w:tcPr>
            <w:tcW w:w="697"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80</w:t>
            </w:r>
          </w:p>
        </w:tc>
        <w:tc>
          <w:tcPr>
            <w:tcW w:w="696"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69</w:t>
            </w:r>
          </w:p>
        </w:tc>
        <w:tc>
          <w:tcPr>
            <w:tcW w:w="697"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1,401</w:t>
            </w:r>
          </w:p>
        </w:tc>
        <w:tc>
          <w:tcPr>
            <w:tcW w:w="697"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2,765</w:t>
            </w:r>
          </w:p>
        </w:tc>
        <w:tc>
          <w:tcPr>
            <w:tcW w:w="696"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408</w:t>
            </w:r>
          </w:p>
        </w:tc>
        <w:tc>
          <w:tcPr>
            <w:tcW w:w="697"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310</w:t>
            </w:r>
          </w:p>
        </w:tc>
        <w:tc>
          <w:tcPr>
            <w:tcW w:w="697" w:type="dxa"/>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425</w:t>
            </w:r>
          </w:p>
        </w:tc>
        <w:tc>
          <w:tcPr>
            <w:tcW w:w="669" w:type="dxa"/>
            <w:vAlign w:val="center"/>
          </w:tcPr>
          <w:p w:rsidR="00392F9E" w:rsidRPr="008628BE" w:rsidRDefault="00392F9E" w:rsidP="00392F9E">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1072</w:t>
            </w:r>
          </w:p>
        </w:tc>
        <w:tc>
          <w:tcPr>
            <w:tcW w:w="567" w:type="dxa"/>
            <w:vAlign w:val="center"/>
          </w:tcPr>
          <w:p w:rsidR="00392F9E" w:rsidRPr="008628BE" w:rsidRDefault="00392F9E" w:rsidP="00392F9E">
            <w:pPr>
              <w:jc w:val="center"/>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128</w:t>
            </w:r>
          </w:p>
        </w:tc>
        <w:tc>
          <w:tcPr>
            <w:tcW w:w="854" w:type="dxa"/>
            <w:noWrap/>
            <w:vAlign w:val="center"/>
          </w:tcPr>
          <w:p w:rsidR="00392F9E" w:rsidRPr="008628BE" w:rsidRDefault="00392F9E" w:rsidP="00392F9E">
            <w:pPr>
              <w:jc w:val="right"/>
              <w:cnfStyle w:val="000000000000" w:firstRow="0" w:lastRow="0" w:firstColumn="0" w:lastColumn="0" w:oddVBand="0" w:evenVBand="0" w:oddHBand="0" w:evenHBand="0" w:firstRowFirstColumn="0" w:firstRowLastColumn="0" w:lastRowFirstColumn="0" w:lastRowLastColumn="0"/>
              <w:rPr>
                <w:rFonts w:cs="Arial"/>
                <w:sz w:val="17"/>
                <w:szCs w:val="17"/>
              </w:rPr>
            </w:pPr>
            <w:r w:rsidRPr="008628BE">
              <w:rPr>
                <w:rFonts w:cs="Arial"/>
                <w:sz w:val="17"/>
                <w:szCs w:val="17"/>
              </w:rPr>
              <w:t>10,215</w:t>
            </w:r>
          </w:p>
        </w:tc>
      </w:tr>
      <w:tr w:rsidR="00392F9E" w:rsidRPr="008628BE" w:rsidTr="00392F9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80" w:type="dxa"/>
            <w:noWrap/>
            <w:vAlign w:val="center"/>
          </w:tcPr>
          <w:p w:rsidR="00392F9E" w:rsidRPr="008628BE" w:rsidRDefault="00392F9E" w:rsidP="00392F9E">
            <w:pPr>
              <w:rPr>
                <w:rFonts w:cs="Arial"/>
                <w:sz w:val="17"/>
                <w:szCs w:val="17"/>
              </w:rPr>
            </w:pPr>
            <w:r w:rsidRPr="008628BE">
              <w:rPr>
                <w:rFonts w:cs="Arial"/>
                <w:sz w:val="17"/>
                <w:szCs w:val="17"/>
              </w:rPr>
              <w:t>Total activities</w:t>
            </w:r>
          </w:p>
        </w:tc>
        <w:tc>
          <w:tcPr>
            <w:tcW w:w="709"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3,235</w:t>
            </w:r>
          </w:p>
        </w:tc>
        <w:tc>
          <w:tcPr>
            <w:tcW w:w="691"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431</w:t>
            </w:r>
          </w:p>
        </w:tc>
        <w:tc>
          <w:tcPr>
            <w:tcW w:w="697"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174</w:t>
            </w:r>
          </w:p>
        </w:tc>
        <w:tc>
          <w:tcPr>
            <w:tcW w:w="696"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184</w:t>
            </w:r>
          </w:p>
        </w:tc>
        <w:tc>
          <w:tcPr>
            <w:tcW w:w="697"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1,533</w:t>
            </w:r>
          </w:p>
        </w:tc>
        <w:tc>
          <w:tcPr>
            <w:tcW w:w="697"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3,094</w:t>
            </w:r>
          </w:p>
        </w:tc>
        <w:tc>
          <w:tcPr>
            <w:tcW w:w="696"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988</w:t>
            </w:r>
          </w:p>
        </w:tc>
        <w:tc>
          <w:tcPr>
            <w:tcW w:w="697"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795</w:t>
            </w:r>
          </w:p>
        </w:tc>
        <w:tc>
          <w:tcPr>
            <w:tcW w:w="697" w:type="dxa"/>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754</w:t>
            </w:r>
          </w:p>
        </w:tc>
        <w:tc>
          <w:tcPr>
            <w:tcW w:w="669" w:type="dxa"/>
            <w:vAlign w:val="center"/>
          </w:tcPr>
          <w:p w:rsidR="00392F9E" w:rsidRPr="008628BE" w:rsidRDefault="00392F9E" w:rsidP="00392F9E">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1,434</w:t>
            </w:r>
          </w:p>
        </w:tc>
        <w:tc>
          <w:tcPr>
            <w:tcW w:w="567" w:type="dxa"/>
            <w:vAlign w:val="center"/>
          </w:tcPr>
          <w:p w:rsidR="00392F9E" w:rsidRPr="008628BE" w:rsidRDefault="00392F9E" w:rsidP="00392F9E">
            <w:pPr>
              <w:jc w:val="center"/>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396</w:t>
            </w:r>
          </w:p>
        </w:tc>
        <w:tc>
          <w:tcPr>
            <w:tcW w:w="854" w:type="dxa"/>
            <w:noWrap/>
            <w:vAlign w:val="center"/>
          </w:tcPr>
          <w:p w:rsidR="00392F9E" w:rsidRPr="008628BE" w:rsidRDefault="00392F9E" w:rsidP="00392F9E">
            <w:pPr>
              <w:jc w:val="right"/>
              <w:cnfStyle w:val="000000100000" w:firstRow="0" w:lastRow="0" w:firstColumn="0" w:lastColumn="0" w:oddVBand="0" w:evenVBand="0" w:oddHBand="1" w:evenHBand="0" w:firstRowFirstColumn="0" w:firstRowLastColumn="0" w:lastRowFirstColumn="0" w:lastRowLastColumn="0"/>
              <w:rPr>
                <w:rFonts w:cs="Arial"/>
                <w:b/>
                <w:sz w:val="17"/>
                <w:szCs w:val="17"/>
              </w:rPr>
            </w:pPr>
            <w:r w:rsidRPr="008628BE">
              <w:rPr>
                <w:rFonts w:cs="Arial"/>
                <w:b/>
                <w:sz w:val="17"/>
                <w:szCs w:val="17"/>
              </w:rPr>
              <w:t>13,018</w:t>
            </w:r>
          </w:p>
        </w:tc>
      </w:tr>
    </w:tbl>
    <w:p w:rsidR="00D43DD2" w:rsidRPr="008628BE" w:rsidRDefault="00D43DD2" w:rsidP="00D43DD2">
      <w:r w:rsidRPr="008628BE">
        <w:t xml:space="preserve">*Includes data up </w:t>
      </w:r>
      <w:r w:rsidR="00D72591" w:rsidRPr="008628BE">
        <w:t>28</w:t>
      </w:r>
      <w:r w:rsidRPr="008628BE">
        <w:t xml:space="preserve"> January 2021.</w:t>
      </w:r>
    </w:p>
    <w:p w:rsidR="00053056" w:rsidRPr="008628BE" w:rsidRDefault="00053056" w:rsidP="00D43DD2"/>
    <w:p w:rsidR="00053056" w:rsidRPr="008628BE" w:rsidRDefault="00053056" w:rsidP="00D43DD2"/>
    <w:p w:rsidR="006B65E5" w:rsidRPr="008628BE" w:rsidRDefault="006B65E5" w:rsidP="00F00A6C"/>
    <w:p w:rsidR="006B65E5" w:rsidRPr="008628BE" w:rsidRDefault="006B65E5" w:rsidP="00F00A6C"/>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327282" w:rsidRPr="008628BE">
        <w:rPr>
          <w:rStyle w:val="FootnoteReference"/>
        </w:rPr>
        <w:footnoteReference w:id="6"/>
      </w:r>
      <w:r w:rsidRPr="008628BE">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Benetas</w:t>
            </w:r>
            <w:bookmarkStart w:id="0" w:name="_GoBack"/>
            <w:bookmarkEnd w:id="0"/>
            <w:r w:rsidRPr="008628BE">
              <w:rPr>
                <w:rFonts w:ascii="Calibri" w:hAnsi="Calibri" w:cs="Calibri"/>
                <w:color w:val="000000"/>
              </w:rPr>
              <w:t xml:space="preserve">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13" w:rsidRDefault="00F22213" w:rsidP="006E6275">
      <w:r>
        <w:separator/>
      </w:r>
    </w:p>
  </w:endnote>
  <w:endnote w:type="continuationSeparator" w:id="0">
    <w:p w:rsidR="00F22213" w:rsidRDefault="00F22213" w:rsidP="006E6275">
      <w:r>
        <w:continuationSeparator/>
      </w:r>
    </w:p>
  </w:endnote>
  <w:endnote w:type="continuationNotice" w:id="1">
    <w:p w:rsidR="00F22213" w:rsidRDefault="00F2221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B30F79" w:rsidRDefault="00B30F79" w:rsidP="006E6275">
        <w:pPr>
          <w:pStyle w:val="Footer"/>
        </w:pPr>
        <w:r>
          <w:fldChar w:fldCharType="begin"/>
        </w:r>
        <w:r>
          <w:instrText xml:space="preserve"> PAGE   \* MERGEFORMAT </w:instrText>
        </w:r>
        <w:r>
          <w:fldChar w:fldCharType="separate"/>
        </w:r>
        <w:r w:rsidR="00226B55">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13" w:rsidRDefault="00F22213" w:rsidP="006E6275">
      <w:r>
        <w:separator/>
      </w:r>
    </w:p>
  </w:footnote>
  <w:footnote w:type="continuationSeparator" w:id="0">
    <w:p w:rsidR="00F22213" w:rsidRDefault="00F22213" w:rsidP="006E6275">
      <w:r>
        <w:continuationSeparator/>
      </w:r>
    </w:p>
  </w:footnote>
  <w:footnote w:type="continuationNotice" w:id="1">
    <w:p w:rsidR="00F22213" w:rsidRDefault="00F22213" w:rsidP="006E6275"/>
  </w:footnote>
  <w:footnote w:id="2">
    <w:p w:rsidR="00B30F79" w:rsidRPr="000A6DB0" w:rsidRDefault="00B30F79" w:rsidP="006E627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B30F79" w:rsidRPr="000A6DB0" w:rsidRDefault="00B30F79" w:rsidP="00C6434D">
      <w:pPr>
        <w:pStyle w:val="FootnoteText"/>
        <w:rPr>
          <w:color w:val="FF0000"/>
        </w:rPr>
      </w:pPr>
      <w:r w:rsidRPr="003A1F64">
        <w:rPr>
          <w:rStyle w:val="FootnoteReference"/>
        </w:rPr>
        <w:footnoteRef/>
      </w:r>
      <w:r w:rsidRPr="003A1F64">
        <w:t xml:space="preserve"> The change in resident and staff cases is a result of the Victorian DHHS undertaking a review of COVID-19 cases in RACFs. There have been some resident and staff cases retrospectively linked and unlinked to outbreaks in RACFs.</w:t>
      </w:r>
    </w:p>
  </w:footnote>
  <w:footnote w:id="4">
    <w:p w:rsidR="00B30F79" w:rsidRDefault="00B30F79" w:rsidP="00E6520E">
      <w:pPr>
        <w:pStyle w:val="FootnoteText"/>
      </w:pPr>
      <w:r>
        <w:rPr>
          <w:rStyle w:val="FootnoteReference"/>
        </w:rPr>
        <w:footnoteRef/>
      </w:r>
      <w:r>
        <w:t xml:space="preserve"> National daily cases sourced from NNDSS data as at 28 January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B30F79" w:rsidRDefault="00B30F79" w:rsidP="00E6520E">
      <w:pPr>
        <w:pStyle w:val="FootnoteText"/>
      </w:pPr>
      <w:r>
        <w:t>‘RACF’ refers to cases in residential aged care facilities (staff and residents)</w:t>
      </w:r>
    </w:p>
  </w:footnote>
  <w:footnote w:id="5">
    <w:p w:rsidR="00B30F79" w:rsidRDefault="00B30F79">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rsidR="00B30F79" w:rsidRDefault="00B30F79" w:rsidP="00327282">
      <w:r w:rsidRPr="003A1F64">
        <w:rPr>
          <w:rStyle w:val="FootnoteReference"/>
        </w:rPr>
        <w:footnoteRef/>
      </w:r>
      <w:r w:rsidRPr="003A1F64">
        <w:t xml:space="preserve"> </w:t>
      </w:r>
      <w:r w:rsidRPr="003A1F64">
        <w:rPr>
          <w:sz w:val="20"/>
          <w:szCs w:val="20"/>
        </w:rPr>
        <w:t>The Victorian Department of Health and Human Services has undertaken a retrospective review of CO</w:t>
      </w:r>
      <w:r>
        <w:rPr>
          <w:sz w:val="20"/>
          <w:szCs w:val="20"/>
        </w:rPr>
        <w:t>VID-19 Cases linked to RECFs. As</w:t>
      </w:r>
      <w:r w:rsidRPr="003A1F64">
        <w:rPr>
          <w:sz w:val="20"/>
          <w:szCs w:val="20"/>
        </w:rPr>
        <w:t xml:space="preserve"> a result, </w:t>
      </w:r>
      <w:r>
        <w:rPr>
          <w:sz w:val="20"/>
          <w:szCs w:val="20"/>
        </w:rPr>
        <w:t>on 20 January 2020 there were</w:t>
      </w:r>
      <w:r w:rsidRPr="003A1F64">
        <w:rPr>
          <w:sz w:val="20"/>
          <w:szCs w:val="20"/>
        </w:rPr>
        <w:t xml:space="preserve"> cases linked and unlinked to outbreaks in Victorian RACFs.</w:t>
      </w:r>
      <w:r>
        <w:t xml:space="preserve"> </w:t>
      </w:r>
    </w:p>
  </w:footnote>
  <w:footnote w:id="7">
    <w:p w:rsidR="00B30F79" w:rsidRPr="00171DDF" w:rsidRDefault="00B30F79"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79" w:rsidRDefault="00B30F79" w:rsidP="006E6275">
    <w:pPr>
      <w:pStyle w:val="Header"/>
    </w:pPr>
    <w:r>
      <w:rPr>
        <w:noProof/>
        <w:lang w:eastAsia="en-AU"/>
      </w:rPr>
      <w:drawing>
        <wp:anchor distT="0" distB="0" distL="114300" distR="114300" simplePos="0" relativeHeight="251658242" behindDoc="1" locked="0" layoutInCell="1" allowOverlap="1" wp14:anchorId="06BE5143" wp14:editId="4E402F8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79" w:rsidRDefault="00B30F79" w:rsidP="006E6275">
    <w:pPr>
      <w:pStyle w:val="Header"/>
    </w:pPr>
    <w:r>
      <w:rPr>
        <w:noProof/>
        <w:lang w:eastAsia="en-AU"/>
      </w:rPr>
      <w:drawing>
        <wp:anchor distT="0" distB="0" distL="114300" distR="114300" simplePos="0" relativeHeight="251658240" behindDoc="1" locked="0" layoutInCell="1" allowOverlap="1" wp14:anchorId="0F6C7D74" wp14:editId="50158715">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79" w:rsidRDefault="00B30F79" w:rsidP="006E6275">
    <w:pPr>
      <w:pStyle w:val="Header"/>
    </w:pPr>
    <w:r>
      <w:rPr>
        <w:noProof/>
        <w:lang w:eastAsia="en-AU"/>
      </w:rPr>
      <w:drawing>
        <wp:anchor distT="0" distB="0" distL="114300" distR="114300" simplePos="0" relativeHeight="251658241" behindDoc="1" locked="0" layoutInCell="1" allowOverlap="1" wp14:anchorId="64EC1674" wp14:editId="50265A93">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5"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1"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2"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3"/>
  </w:num>
  <w:num w:numId="4">
    <w:abstractNumId w:val="1"/>
  </w:num>
  <w:num w:numId="5">
    <w:abstractNumId w:val="14"/>
  </w:num>
  <w:num w:numId="6">
    <w:abstractNumId w:val="4"/>
  </w:num>
  <w:num w:numId="7">
    <w:abstractNumId w:val="10"/>
  </w:num>
  <w:num w:numId="8">
    <w:abstractNumId w:val="11"/>
  </w:num>
  <w:num w:numId="9">
    <w:abstractNumId w:val="5"/>
  </w:num>
  <w:num w:numId="10">
    <w:abstractNumId w:val="19"/>
  </w:num>
  <w:num w:numId="11">
    <w:abstractNumId w:val="21"/>
  </w:num>
  <w:num w:numId="12">
    <w:abstractNumId w:val="17"/>
  </w:num>
  <w:num w:numId="13">
    <w:abstractNumId w:val="6"/>
  </w:num>
  <w:num w:numId="14">
    <w:abstractNumId w:val="15"/>
  </w:num>
  <w:num w:numId="15">
    <w:abstractNumId w:val="9"/>
  </w:num>
  <w:num w:numId="16">
    <w:abstractNumId w:val="0"/>
  </w:num>
  <w:num w:numId="17">
    <w:abstractNumId w:val="22"/>
  </w:num>
  <w:num w:numId="18">
    <w:abstractNumId w:val="12"/>
  </w:num>
  <w:num w:numId="19">
    <w:abstractNumId w:val="17"/>
  </w:num>
  <w:num w:numId="20">
    <w:abstractNumId w:val="2"/>
  </w:num>
  <w:num w:numId="21">
    <w:abstractNumId w:val="20"/>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A20D8"/>
    <w:rsid w:val="000A5734"/>
    <w:rsid w:val="000A6DB0"/>
    <w:rsid w:val="000B1993"/>
    <w:rsid w:val="000B481C"/>
    <w:rsid w:val="000C5032"/>
    <w:rsid w:val="000C679E"/>
    <w:rsid w:val="000D5771"/>
    <w:rsid w:val="000D5D0A"/>
    <w:rsid w:val="000D72C3"/>
    <w:rsid w:val="000F1E9E"/>
    <w:rsid w:val="000F468C"/>
    <w:rsid w:val="000F60B1"/>
    <w:rsid w:val="00103AEC"/>
    <w:rsid w:val="00103C58"/>
    <w:rsid w:val="00110C5F"/>
    <w:rsid w:val="00116661"/>
    <w:rsid w:val="00116D17"/>
    <w:rsid w:val="0012123F"/>
    <w:rsid w:val="00122596"/>
    <w:rsid w:val="0012315A"/>
    <w:rsid w:val="00123178"/>
    <w:rsid w:val="00123449"/>
    <w:rsid w:val="001247C1"/>
    <w:rsid w:val="00143073"/>
    <w:rsid w:val="00156EC2"/>
    <w:rsid w:val="001676A2"/>
    <w:rsid w:val="00171DDF"/>
    <w:rsid w:val="00172206"/>
    <w:rsid w:val="00172489"/>
    <w:rsid w:val="001805B7"/>
    <w:rsid w:val="00181380"/>
    <w:rsid w:val="0018637C"/>
    <w:rsid w:val="00190DCA"/>
    <w:rsid w:val="001933B4"/>
    <w:rsid w:val="001957C9"/>
    <w:rsid w:val="00195FEE"/>
    <w:rsid w:val="0019790E"/>
    <w:rsid w:val="00197D4B"/>
    <w:rsid w:val="001A4CF1"/>
    <w:rsid w:val="001D00B2"/>
    <w:rsid w:val="001D0DF8"/>
    <w:rsid w:val="001D1FE0"/>
    <w:rsid w:val="001D3D58"/>
    <w:rsid w:val="001E0D83"/>
    <w:rsid w:val="001E141D"/>
    <w:rsid w:val="001E1DC3"/>
    <w:rsid w:val="001E60E6"/>
    <w:rsid w:val="001F04C6"/>
    <w:rsid w:val="001F4404"/>
    <w:rsid w:val="001F4574"/>
    <w:rsid w:val="001F45B7"/>
    <w:rsid w:val="001F5045"/>
    <w:rsid w:val="001F7DFA"/>
    <w:rsid w:val="00200585"/>
    <w:rsid w:val="00204E27"/>
    <w:rsid w:val="002156FB"/>
    <w:rsid w:val="00215F00"/>
    <w:rsid w:val="00221DEC"/>
    <w:rsid w:val="00223223"/>
    <w:rsid w:val="00226B55"/>
    <w:rsid w:val="00231B90"/>
    <w:rsid w:val="00233D52"/>
    <w:rsid w:val="0023469F"/>
    <w:rsid w:val="00235C7F"/>
    <w:rsid w:val="0025140D"/>
    <w:rsid w:val="0026111E"/>
    <w:rsid w:val="00261969"/>
    <w:rsid w:val="002664FC"/>
    <w:rsid w:val="002759CA"/>
    <w:rsid w:val="00280050"/>
    <w:rsid w:val="00287394"/>
    <w:rsid w:val="002909E7"/>
    <w:rsid w:val="002935E5"/>
    <w:rsid w:val="002964BF"/>
    <w:rsid w:val="002A1AAF"/>
    <w:rsid w:val="002B55EC"/>
    <w:rsid w:val="002B5D8A"/>
    <w:rsid w:val="002B7DB1"/>
    <w:rsid w:val="002C0C9E"/>
    <w:rsid w:val="002C44D3"/>
    <w:rsid w:val="002C45AF"/>
    <w:rsid w:val="002C4EAD"/>
    <w:rsid w:val="002C5173"/>
    <w:rsid w:val="002C6C07"/>
    <w:rsid w:val="002C72C9"/>
    <w:rsid w:val="002D01E7"/>
    <w:rsid w:val="002E22B0"/>
    <w:rsid w:val="002E33ED"/>
    <w:rsid w:val="002F552B"/>
    <w:rsid w:val="00302AA6"/>
    <w:rsid w:val="00305F93"/>
    <w:rsid w:val="003075ED"/>
    <w:rsid w:val="0031260F"/>
    <w:rsid w:val="00314C3F"/>
    <w:rsid w:val="00317738"/>
    <w:rsid w:val="00327282"/>
    <w:rsid w:val="00331189"/>
    <w:rsid w:val="00332EB4"/>
    <w:rsid w:val="00333A01"/>
    <w:rsid w:val="00340AC5"/>
    <w:rsid w:val="00343290"/>
    <w:rsid w:val="00346EE3"/>
    <w:rsid w:val="00350D41"/>
    <w:rsid w:val="00352387"/>
    <w:rsid w:val="00361354"/>
    <w:rsid w:val="00362415"/>
    <w:rsid w:val="003658AB"/>
    <w:rsid w:val="0036796A"/>
    <w:rsid w:val="00370971"/>
    <w:rsid w:val="00371304"/>
    <w:rsid w:val="00375712"/>
    <w:rsid w:val="0037788F"/>
    <w:rsid w:val="00380552"/>
    <w:rsid w:val="003807F2"/>
    <w:rsid w:val="00383151"/>
    <w:rsid w:val="003865D0"/>
    <w:rsid w:val="003929FF"/>
    <w:rsid w:val="00392F9E"/>
    <w:rsid w:val="003962DE"/>
    <w:rsid w:val="003A1C36"/>
    <w:rsid w:val="003A1F64"/>
    <w:rsid w:val="003A415B"/>
    <w:rsid w:val="003B1EAD"/>
    <w:rsid w:val="003B216D"/>
    <w:rsid w:val="003B31C9"/>
    <w:rsid w:val="003C0E26"/>
    <w:rsid w:val="003D331F"/>
    <w:rsid w:val="003E1F0A"/>
    <w:rsid w:val="003E2E7C"/>
    <w:rsid w:val="003E3F9A"/>
    <w:rsid w:val="003E48D0"/>
    <w:rsid w:val="003E4F64"/>
    <w:rsid w:val="003E6DD0"/>
    <w:rsid w:val="003F0363"/>
    <w:rsid w:val="003F2BD7"/>
    <w:rsid w:val="003F645B"/>
    <w:rsid w:val="003F705F"/>
    <w:rsid w:val="00402965"/>
    <w:rsid w:val="00417832"/>
    <w:rsid w:val="0042292B"/>
    <w:rsid w:val="00423315"/>
    <w:rsid w:val="00424210"/>
    <w:rsid w:val="004314CE"/>
    <w:rsid w:val="004367D8"/>
    <w:rsid w:val="00452EA2"/>
    <w:rsid w:val="00460B4C"/>
    <w:rsid w:val="00464DF0"/>
    <w:rsid w:val="00467248"/>
    <w:rsid w:val="0047511C"/>
    <w:rsid w:val="00476D07"/>
    <w:rsid w:val="00477266"/>
    <w:rsid w:val="00483409"/>
    <w:rsid w:val="0048381F"/>
    <w:rsid w:val="004856F6"/>
    <w:rsid w:val="004904B8"/>
    <w:rsid w:val="004950A3"/>
    <w:rsid w:val="004963D1"/>
    <w:rsid w:val="00496AA1"/>
    <w:rsid w:val="004A295A"/>
    <w:rsid w:val="004A69BD"/>
    <w:rsid w:val="004B4E7A"/>
    <w:rsid w:val="004B6289"/>
    <w:rsid w:val="004B67E4"/>
    <w:rsid w:val="004C547B"/>
    <w:rsid w:val="004D0B09"/>
    <w:rsid w:val="004D5F3F"/>
    <w:rsid w:val="004E0A0E"/>
    <w:rsid w:val="004E25C7"/>
    <w:rsid w:val="004E68B2"/>
    <w:rsid w:val="004F122E"/>
    <w:rsid w:val="004F4537"/>
    <w:rsid w:val="00500B4F"/>
    <w:rsid w:val="005037DA"/>
    <w:rsid w:val="00505E53"/>
    <w:rsid w:val="00521A22"/>
    <w:rsid w:val="00524907"/>
    <w:rsid w:val="00527DAB"/>
    <w:rsid w:val="005301BA"/>
    <w:rsid w:val="0053499A"/>
    <w:rsid w:val="00543499"/>
    <w:rsid w:val="005462B0"/>
    <w:rsid w:val="00547624"/>
    <w:rsid w:val="00554E5E"/>
    <w:rsid w:val="0055601C"/>
    <w:rsid w:val="0056352E"/>
    <w:rsid w:val="00563A6C"/>
    <w:rsid w:val="00566213"/>
    <w:rsid w:val="00570BBE"/>
    <w:rsid w:val="00572396"/>
    <w:rsid w:val="005747A0"/>
    <w:rsid w:val="00581AAC"/>
    <w:rsid w:val="00584B8B"/>
    <w:rsid w:val="005A1493"/>
    <w:rsid w:val="005A7EDD"/>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7163"/>
    <w:rsid w:val="006474E8"/>
    <w:rsid w:val="00657298"/>
    <w:rsid w:val="006630A2"/>
    <w:rsid w:val="006649B0"/>
    <w:rsid w:val="00666F74"/>
    <w:rsid w:val="0067360A"/>
    <w:rsid w:val="00675DF2"/>
    <w:rsid w:val="00681DB7"/>
    <w:rsid w:val="00682A9C"/>
    <w:rsid w:val="00690899"/>
    <w:rsid w:val="00691318"/>
    <w:rsid w:val="00693434"/>
    <w:rsid w:val="00693AB0"/>
    <w:rsid w:val="00694647"/>
    <w:rsid w:val="006A1C1B"/>
    <w:rsid w:val="006A4D63"/>
    <w:rsid w:val="006A53AE"/>
    <w:rsid w:val="006A683D"/>
    <w:rsid w:val="006B2819"/>
    <w:rsid w:val="006B65E5"/>
    <w:rsid w:val="006C597E"/>
    <w:rsid w:val="006C6670"/>
    <w:rsid w:val="006C71B8"/>
    <w:rsid w:val="006D004A"/>
    <w:rsid w:val="006D54DF"/>
    <w:rsid w:val="006E6275"/>
    <w:rsid w:val="006E690B"/>
    <w:rsid w:val="006E76B8"/>
    <w:rsid w:val="006F1154"/>
    <w:rsid w:val="006F2266"/>
    <w:rsid w:val="006F3516"/>
    <w:rsid w:val="006F7724"/>
    <w:rsid w:val="0070110C"/>
    <w:rsid w:val="007047A8"/>
    <w:rsid w:val="00717A93"/>
    <w:rsid w:val="007203D2"/>
    <w:rsid w:val="00720B92"/>
    <w:rsid w:val="00721839"/>
    <w:rsid w:val="007377F6"/>
    <w:rsid w:val="00741360"/>
    <w:rsid w:val="007465A0"/>
    <w:rsid w:val="0075124E"/>
    <w:rsid w:val="00753E98"/>
    <w:rsid w:val="0076037F"/>
    <w:rsid w:val="00770B47"/>
    <w:rsid w:val="00770CB4"/>
    <w:rsid w:val="0077100F"/>
    <w:rsid w:val="007710BC"/>
    <w:rsid w:val="0078035F"/>
    <w:rsid w:val="007810B5"/>
    <w:rsid w:val="0078173F"/>
    <w:rsid w:val="00783213"/>
    <w:rsid w:val="007851AE"/>
    <w:rsid w:val="00785EFD"/>
    <w:rsid w:val="007902CA"/>
    <w:rsid w:val="00793049"/>
    <w:rsid w:val="007A00AE"/>
    <w:rsid w:val="007B05AD"/>
    <w:rsid w:val="007B13B6"/>
    <w:rsid w:val="007B65EA"/>
    <w:rsid w:val="007C5088"/>
    <w:rsid w:val="007D3570"/>
    <w:rsid w:val="007E23C2"/>
    <w:rsid w:val="007E28FD"/>
    <w:rsid w:val="007E6A39"/>
    <w:rsid w:val="00805942"/>
    <w:rsid w:val="008064D1"/>
    <w:rsid w:val="00810F86"/>
    <w:rsid w:val="00820D95"/>
    <w:rsid w:val="008304BA"/>
    <w:rsid w:val="00834CD3"/>
    <w:rsid w:val="00836757"/>
    <w:rsid w:val="008418C2"/>
    <w:rsid w:val="00843466"/>
    <w:rsid w:val="00843C8C"/>
    <w:rsid w:val="008452FA"/>
    <w:rsid w:val="00850F81"/>
    <w:rsid w:val="00852AFF"/>
    <w:rsid w:val="008572DA"/>
    <w:rsid w:val="00857F59"/>
    <w:rsid w:val="00860021"/>
    <w:rsid w:val="008628BE"/>
    <w:rsid w:val="00865DB9"/>
    <w:rsid w:val="00871D1D"/>
    <w:rsid w:val="00871F6D"/>
    <w:rsid w:val="008734EB"/>
    <w:rsid w:val="00890767"/>
    <w:rsid w:val="008A0297"/>
    <w:rsid w:val="008A1E93"/>
    <w:rsid w:val="008B3515"/>
    <w:rsid w:val="008B3BE7"/>
    <w:rsid w:val="008C1E35"/>
    <w:rsid w:val="008D14E6"/>
    <w:rsid w:val="008D2DEC"/>
    <w:rsid w:val="008D3473"/>
    <w:rsid w:val="008D5C38"/>
    <w:rsid w:val="008D6338"/>
    <w:rsid w:val="008E055B"/>
    <w:rsid w:val="008E36F0"/>
    <w:rsid w:val="0090728E"/>
    <w:rsid w:val="009104B4"/>
    <w:rsid w:val="0091212E"/>
    <w:rsid w:val="009253DF"/>
    <w:rsid w:val="00926400"/>
    <w:rsid w:val="009356C7"/>
    <w:rsid w:val="009421F8"/>
    <w:rsid w:val="00944C7E"/>
    <w:rsid w:val="0096031E"/>
    <w:rsid w:val="00962407"/>
    <w:rsid w:val="00965069"/>
    <w:rsid w:val="00965269"/>
    <w:rsid w:val="009656BE"/>
    <w:rsid w:val="009703F4"/>
    <w:rsid w:val="00985FF4"/>
    <w:rsid w:val="009905E3"/>
    <w:rsid w:val="00990891"/>
    <w:rsid w:val="009B27E7"/>
    <w:rsid w:val="009C1E21"/>
    <w:rsid w:val="009C364D"/>
    <w:rsid w:val="009C4007"/>
    <w:rsid w:val="009C5DE1"/>
    <w:rsid w:val="009E2F97"/>
    <w:rsid w:val="009E42B3"/>
    <w:rsid w:val="009E73AA"/>
    <w:rsid w:val="009F1A90"/>
    <w:rsid w:val="009F3172"/>
    <w:rsid w:val="00A0030B"/>
    <w:rsid w:val="00A035BE"/>
    <w:rsid w:val="00A04E11"/>
    <w:rsid w:val="00A128C5"/>
    <w:rsid w:val="00A21FF9"/>
    <w:rsid w:val="00A222F4"/>
    <w:rsid w:val="00A22967"/>
    <w:rsid w:val="00A22CBD"/>
    <w:rsid w:val="00A33802"/>
    <w:rsid w:val="00A46339"/>
    <w:rsid w:val="00A47D7F"/>
    <w:rsid w:val="00A47E74"/>
    <w:rsid w:val="00A52FD4"/>
    <w:rsid w:val="00A53E63"/>
    <w:rsid w:val="00A56A21"/>
    <w:rsid w:val="00A6466E"/>
    <w:rsid w:val="00A6567F"/>
    <w:rsid w:val="00A72698"/>
    <w:rsid w:val="00A73F20"/>
    <w:rsid w:val="00A86013"/>
    <w:rsid w:val="00A924AC"/>
    <w:rsid w:val="00A96A4B"/>
    <w:rsid w:val="00AA2A5D"/>
    <w:rsid w:val="00AA5BD0"/>
    <w:rsid w:val="00AB1F9B"/>
    <w:rsid w:val="00AB4338"/>
    <w:rsid w:val="00AC676B"/>
    <w:rsid w:val="00AC723A"/>
    <w:rsid w:val="00AD61DF"/>
    <w:rsid w:val="00AD73E1"/>
    <w:rsid w:val="00AE5A70"/>
    <w:rsid w:val="00AF1AA2"/>
    <w:rsid w:val="00AF69CB"/>
    <w:rsid w:val="00AF6E31"/>
    <w:rsid w:val="00B00C18"/>
    <w:rsid w:val="00B0100B"/>
    <w:rsid w:val="00B065FB"/>
    <w:rsid w:val="00B10BF6"/>
    <w:rsid w:val="00B15882"/>
    <w:rsid w:val="00B24BC6"/>
    <w:rsid w:val="00B30F79"/>
    <w:rsid w:val="00B3693F"/>
    <w:rsid w:val="00B40E17"/>
    <w:rsid w:val="00B43BD7"/>
    <w:rsid w:val="00B44044"/>
    <w:rsid w:val="00B51C98"/>
    <w:rsid w:val="00B520BF"/>
    <w:rsid w:val="00B63DDB"/>
    <w:rsid w:val="00B71ED8"/>
    <w:rsid w:val="00B75B72"/>
    <w:rsid w:val="00B76679"/>
    <w:rsid w:val="00B7785E"/>
    <w:rsid w:val="00B835BE"/>
    <w:rsid w:val="00B87CB3"/>
    <w:rsid w:val="00B92768"/>
    <w:rsid w:val="00B95A10"/>
    <w:rsid w:val="00B96B5A"/>
    <w:rsid w:val="00BA3942"/>
    <w:rsid w:val="00BB0EF6"/>
    <w:rsid w:val="00BB193D"/>
    <w:rsid w:val="00BB386A"/>
    <w:rsid w:val="00BB568D"/>
    <w:rsid w:val="00BB64A6"/>
    <w:rsid w:val="00BB6A5C"/>
    <w:rsid w:val="00BE2DE6"/>
    <w:rsid w:val="00BE40E8"/>
    <w:rsid w:val="00BF3F8C"/>
    <w:rsid w:val="00BF7765"/>
    <w:rsid w:val="00C03276"/>
    <w:rsid w:val="00C10B01"/>
    <w:rsid w:val="00C31C8B"/>
    <w:rsid w:val="00C353AF"/>
    <w:rsid w:val="00C40665"/>
    <w:rsid w:val="00C52A0E"/>
    <w:rsid w:val="00C6434D"/>
    <w:rsid w:val="00C655B4"/>
    <w:rsid w:val="00C75832"/>
    <w:rsid w:val="00C80F6B"/>
    <w:rsid w:val="00C8580C"/>
    <w:rsid w:val="00C8658D"/>
    <w:rsid w:val="00C937DD"/>
    <w:rsid w:val="00C961A9"/>
    <w:rsid w:val="00C96D5C"/>
    <w:rsid w:val="00C97CA8"/>
    <w:rsid w:val="00CA3347"/>
    <w:rsid w:val="00CA6A1F"/>
    <w:rsid w:val="00CB0C43"/>
    <w:rsid w:val="00CB4B16"/>
    <w:rsid w:val="00CC0F28"/>
    <w:rsid w:val="00CC12C9"/>
    <w:rsid w:val="00CC3C21"/>
    <w:rsid w:val="00CD3D2A"/>
    <w:rsid w:val="00CD4103"/>
    <w:rsid w:val="00CD60FE"/>
    <w:rsid w:val="00CD6AF0"/>
    <w:rsid w:val="00CD76DE"/>
    <w:rsid w:val="00CE1FBC"/>
    <w:rsid w:val="00CE74D3"/>
    <w:rsid w:val="00D02078"/>
    <w:rsid w:val="00D0344F"/>
    <w:rsid w:val="00D0359C"/>
    <w:rsid w:val="00D06B9B"/>
    <w:rsid w:val="00D15FB4"/>
    <w:rsid w:val="00D16529"/>
    <w:rsid w:val="00D16F0F"/>
    <w:rsid w:val="00D221EC"/>
    <w:rsid w:val="00D3126E"/>
    <w:rsid w:val="00D32ED9"/>
    <w:rsid w:val="00D43DD2"/>
    <w:rsid w:val="00D4568A"/>
    <w:rsid w:val="00D50666"/>
    <w:rsid w:val="00D51A8E"/>
    <w:rsid w:val="00D557CE"/>
    <w:rsid w:val="00D6233F"/>
    <w:rsid w:val="00D6241A"/>
    <w:rsid w:val="00D67C17"/>
    <w:rsid w:val="00D711D9"/>
    <w:rsid w:val="00D72591"/>
    <w:rsid w:val="00D74289"/>
    <w:rsid w:val="00D7616B"/>
    <w:rsid w:val="00D848F7"/>
    <w:rsid w:val="00D87181"/>
    <w:rsid w:val="00D9302A"/>
    <w:rsid w:val="00D942FA"/>
    <w:rsid w:val="00D96A3A"/>
    <w:rsid w:val="00DA1D58"/>
    <w:rsid w:val="00DA79ED"/>
    <w:rsid w:val="00DB1257"/>
    <w:rsid w:val="00DB6F5B"/>
    <w:rsid w:val="00DC11B7"/>
    <w:rsid w:val="00DC1EF9"/>
    <w:rsid w:val="00DC4BAC"/>
    <w:rsid w:val="00DC6518"/>
    <w:rsid w:val="00DD0946"/>
    <w:rsid w:val="00DD45B8"/>
    <w:rsid w:val="00DD69F7"/>
    <w:rsid w:val="00DD7B5C"/>
    <w:rsid w:val="00DE182D"/>
    <w:rsid w:val="00DE1F90"/>
    <w:rsid w:val="00DE5777"/>
    <w:rsid w:val="00DF0C5F"/>
    <w:rsid w:val="00DF1542"/>
    <w:rsid w:val="00DF1F50"/>
    <w:rsid w:val="00DF5A9E"/>
    <w:rsid w:val="00DF7CDB"/>
    <w:rsid w:val="00E02DC0"/>
    <w:rsid w:val="00E04549"/>
    <w:rsid w:val="00E049CA"/>
    <w:rsid w:val="00E10A28"/>
    <w:rsid w:val="00E11770"/>
    <w:rsid w:val="00E1279B"/>
    <w:rsid w:val="00E12A1D"/>
    <w:rsid w:val="00E2157F"/>
    <w:rsid w:val="00E24345"/>
    <w:rsid w:val="00E25A39"/>
    <w:rsid w:val="00E316D7"/>
    <w:rsid w:val="00E41B09"/>
    <w:rsid w:val="00E5148E"/>
    <w:rsid w:val="00E527B3"/>
    <w:rsid w:val="00E57139"/>
    <w:rsid w:val="00E63508"/>
    <w:rsid w:val="00E6520E"/>
    <w:rsid w:val="00E655D2"/>
    <w:rsid w:val="00E74AF7"/>
    <w:rsid w:val="00E777D7"/>
    <w:rsid w:val="00E8528C"/>
    <w:rsid w:val="00E90F03"/>
    <w:rsid w:val="00E92A6A"/>
    <w:rsid w:val="00E93DD8"/>
    <w:rsid w:val="00E95740"/>
    <w:rsid w:val="00E95A54"/>
    <w:rsid w:val="00EA061D"/>
    <w:rsid w:val="00EA0995"/>
    <w:rsid w:val="00EA3422"/>
    <w:rsid w:val="00EA3A09"/>
    <w:rsid w:val="00EA5B36"/>
    <w:rsid w:val="00EB43DE"/>
    <w:rsid w:val="00EB775A"/>
    <w:rsid w:val="00EC7C55"/>
    <w:rsid w:val="00ED6BDA"/>
    <w:rsid w:val="00EE0552"/>
    <w:rsid w:val="00EE1343"/>
    <w:rsid w:val="00EE267A"/>
    <w:rsid w:val="00EE43CE"/>
    <w:rsid w:val="00EE4B67"/>
    <w:rsid w:val="00EE68E1"/>
    <w:rsid w:val="00EE68F4"/>
    <w:rsid w:val="00EF6D8A"/>
    <w:rsid w:val="00EF6EA8"/>
    <w:rsid w:val="00F00A6C"/>
    <w:rsid w:val="00F01187"/>
    <w:rsid w:val="00F04BA8"/>
    <w:rsid w:val="00F05621"/>
    <w:rsid w:val="00F14D6C"/>
    <w:rsid w:val="00F1668D"/>
    <w:rsid w:val="00F17290"/>
    <w:rsid w:val="00F209FD"/>
    <w:rsid w:val="00F20E42"/>
    <w:rsid w:val="00F22213"/>
    <w:rsid w:val="00F2707D"/>
    <w:rsid w:val="00F27B45"/>
    <w:rsid w:val="00F3255E"/>
    <w:rsid w:val="00F34B86"/>
    <w:rsid w:val="00F35FDF"/>
    <w:rsid w:val="00F37CE0"/>
    <w:rsid w:val="00F37EAA"/>
    <w:rsid w:val="00F45B8C"/>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2516"/>
    <w:rsid w:val="00FD0F57"/>
    <w:rsid w:val="00FD13A1"/>
    <w:rsid w:val="00FD295B"/>
    <w:rsid w:val="00FD777A"/>
    <w:rsid w:val="00FE4562"/>
    <w:rsid w:val="00FE789B"/>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241AD4-715D-4855-8ED1-AFD86501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3028</Words>
  <Characters>17261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2</cp:revision>
  <dcterms:created xsi:type="dcterms:W3CDTF">2021-01-29T02:31:00Z</dcterms:created>
  <dcterms:modified xsi:type="dcterms:W3CDTF">2021-01-29T02:31:00Z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