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1846B8" w:rsidRPr="001846B8">
        <w:rPr>
          <w:color w:val="FF0000"/>
        </w:rPr>
        <w:t>2</w:t>
      </w:r>
      <w:r w:rsidR="00623F4E">
        <w:rPr>
          <w:color w:val="FF0000"/>
        </w:rPr>
        <w:t>5</w:t>
      </w:r>
      <w:r w:rsidR="00014341" w:rsidRPr="00014341">
        <w:rPr>
          <w:color w:val="FF0000"/>
        </w:rPr>
        <w:t xml:space="preserve"> </w:t>
      </w:r>
      <w:r w:rsidR="00A1790B">
        <w:rPr>
          <w:color w:val="FF0000"/>
        </w:rPr>
        <w:t>January</w:t>
      </w:r>
      <w:r w:rsidRPr="00B968C7">
        <w:rPr>
          <w:color w:val="FF0000"/>
        </w:rPr>
        <w:t xml:space="preserve"> 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:rsidR="003F5DCC" w:rsidRPr="00B968C7" w:rsidRDefault="001846B8" w:rsidP="00A24237">
      <w:pPr>
        <w:spacing w:before="1200" w:after="480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2</w:t>
      </w:r>
      <w:r w:rsidR="00623F4E">
        <w:rPr>
          <w:rFonts w:cs="Arial"/>
          <w:color w:val="FF0000"/>
        </w:rPr>
        <w:t>5</w:t>
      </w:r>
      <w:r w:rsidR="00A1790B">
        <w:rPr>
          <w:rFonts w:cs="Arial"/>
          <w:color w:val="FF0000"/>
        </w:rPr>
        <w:t xml:space="preserve"> January 2021</w:t>
      </w:r>
    </w:p>
    <w:p w:rsidR="004F6B1F" w:rsidRPr="002F5E02" w:rsidRDefault="00B211B6" w:rsidP="009D6DEB">
      <w:pPr>
        <w:tabs>
          <w:tab w:val="left" w:pos="2169"/>
        </w:tabs>
        <w:rPr>
          <w:color w:val="auto"/>
          <w:lang w:eastAsia="en-AU"/>
        </w:rPr>
      </w:pPr>
      <w:r w:rsidRPr="002F5E02">
        <w:rPr>
          <w:rStyle w:val="Strong"/>
          <w:color w:val="auto"/>
        </w:rPr>
        <w:t xml:space="preserve">Information presented in this assessment is based on </w:t>
      </w:r>
      <w:r w:rsidR="00FC440C">
        <w:rPr>
          <w:rStyle w:val="Strong"/>
          <w:color w:val="auto"/>
        </w:rPr>
        <w:t>data</w:t>
      </w:r>
      <w:r w:rsidRPr="002F5E02">
        <w:rPr>
          <w:rStyle w:val="Strong"/>
          <w:color w:val="auto"/>
        </w:rPr>
        <w:t xml:space="preserve"> presented on the </w:t>
      </w:r>
      <w:r w:rsidRPr="002F5E02">
        <w:rPr>
          <w:rStyle w:val="Strong"/>
          <w:color w:val="auto"/>
        </w:rPr>
        <w:br/>
        <w:t>New Zealand Ministry of Health website.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2F5E02" w:rsidRPr="002F5E02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1B6" w:rsidRPr="002F5E02" w:rsidRDefault="0062366B" w:rsidP="00623F4E">
            <w:pPr>
              <w:rPr>
                <w:b/>
                <w:bCs/>
                <w:color w:val="auto"/>
                <w:lang w:eastAsia="en-AU"/>
              </w:rPr>
            </w:pPr>
            <w:r w:rsidRPr="0062366B">
              <w:rPr>
                <w:b/>
                <w:bCs/>
                <w:color w:val="auto"/>
                <w:lang w:eastAsia="en-AU"/>
              </w:rPr>
              <w:t xml:space="preserve">Summary of </w:t>
            </w:r>
            <w:r w:rsidR="007E4127">
              <w:rPr>
                <w:b/>
                <w:bCs/>
                <w:color w:val="auto"/>
                <w:lang w:eastAsia="en-AU"/>
              </w:rPr>
              <w:t xml:space="preserve">New Zealand </w:t>
            </w:r>
            <w:r w:rsidRPr="0062366B">
              <w:rPr>
                <w:b/>
                <w:bCs/>
                <w:color w:val="auto"/>
                <w:lang w:eastAsia="en-AU"/>
              </w:rPr>
              <w:t xml:space="preserve">Cases as at 1100h, </w:t>
            </w:r>
            <w:r w:rsidR="001846B8" w:rsidRPr="001846B8">
              <w:rPr>
                <w:b/>
                <w:bCs/>
                <w:color w:val="FF0000"/>
                <w:lang w:eastAsia="en-AU"/>
              </w:rPr>
              <w:t>2</w:t>
            </w:r>
            <w:r w:rsidR="00623F4E">
              <w:rPr>
                <w:b/>
                <w:bCs/>
                <w:color w:val="FF0000"/>
                <w:lang w:eastAsia="en-AU"/>
              </w:rPr>
              <w:t>5</w:t>
            </w:r>
            <w:r w:rsidRPr="0062366B">
              <w:rPr>
                <w:b/>
                <w:bCs/>
                <w:color w:val="FF0000"/>
                <w:lang w:eastAsia="en-AU"/>
              </w:rPr>
              <w:t xml:space="preserve"> January 2021</w:t>
            </w:r>
          </w:p>
        </w:tc>
      </w:tr>
      <w:tr w:rsidR="002F5E02" w:rsidRPr="002F5E02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1B6" w:rsidRPr="002F5E02" w:rsidRDefault="00B211B6" w:rsidP="00B211B6">
            <w:pPr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:rsidR="00B211B6" w:rsidRPr="002F5E02" w:rsidRDefault="00B211B6" w:rsidP="00B211B6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:rsidR="00B211B6" w:rsidRPr="002F5E02" w:rsidRDefault="00343B8C" w:rsidP="00623F4E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623F4E">
              <w:rPr>
                <w:b/>
                <w:bCs/>
                <w:color w:val="auto"/>
                <w:szCs w:val="20"/>
                <w:lang w:eastAsia="en-AU"/>
              </w:rPr>
              <w:t>5</w:t>
            </w:r>
            <w:r w:rsidRPr="000C1DBC">
              <w:rPr>
                <w:b/>
                <w:bCs/>
                <w:szCs w:val="20"/>
                <w:lang w:eastAsia="en-AU"/>
              </w:rPr>
              <w:t xml:space="preserve"> days</w:t>
            </w:r>
          </w:p>
        </w:tc>
      </w:tr>
      <w:tr w:rsidR="00685E34" w:rsidRPr="002F5E02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FD57C2" w:rsidP="00623F4E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19</w:t>
            </w:r>
            <w:r w:rsidR="00623F4E">
              <w:rPr>
                <w:color w:val="FF0000"/>
                <w:lang w:eastAsia="en-AU"/>
              </w:rPr>
              <w:t>32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623F4E" w:rsidP="00623F4E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21</w:t>
            </w:r>
          </w:p>
        </w:tc>
      </w:tr>
      <w:tr w:rsidR="00685E34" w:rsidRPr="002F5E02" w:rsidTr="00014341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542E6B" w:rsidP="00685E34">
            <w:pPr>
              <w:jc w:val="right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542E6B" w:rsidP="00685E34">
            <w:pPr>
              <w:jc w:val="right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</w:tr>
      <w:tr w:rsidR="00685E34" w:rsidRPr="002F5E02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FD57C2" w:rsidP="00623F4E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22</w:t>
            </w:r>
            <w:r w:rsidR="00623F4E">
              <w:rPr>
                <w:color w:val="FF0000"/>
                <w:lang w:eastAsia="en-AU"/>
              </w:rPr>
              <w:t>88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623F4E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21</w:t>
            </w:r>
          </w:p>
        </w:tc>
      </w:tr>
      <w:tr w:rsidR="00685E34" w:rsidRPr="002F5E02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FD57C2" w:rsidP="00623F4E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21</w:t>
            </w:r>
            <w:r w:rsidR="00623F4E">
              <w:rPr>
                <w:color w:val="FF0000"/>
                <w:lang w:eastAsia="en-AU"/>
              </w:rPr>
              <w:t>99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623F4E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33</w:t>
            </w:r>
          </w:p>
        </w:tc>
      </w:tr>
      <w:tr w:rsidR="00685E34" w:rsidRPr="002F5E02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85E34" w:rsidRPr="002F5E02" w:rsidTr="00014341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623F4E" w:rsidP="00623F4E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64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623F4E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-12</w:t>
            </w:r>
          </w:p>
        </w:tc>
      </w:tr>
      <w:tr w:rsidR="00685E34" w:rsidRPr="002F5E02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</w:tr>
    </w:tbl>
    <w:p w:rsidR="007A6C8A" w:rsidRPr="009B6808" w:rsidRDefault="00A6047A" w:rsidP="009B6808">
      <w:pPr>
        <w:pStyle w:val="List"/>
        <w:spacing w:after="120"/>
        <w:rPr>
          <w:rFonts w:cs="Arial"/>
          <w:color w:val="auto"/>
          <w:sz w:val="22"/>
          <w:szCs w:val="22"/>
          <w:lang w:val="en"/>
        </w:rPr>
      </w:pPr>
      <w:r w:rsidRPr="00A6047A">
        <w:rPr>
          <w:rFonts w:cs="Arial"/>
          <w:color w:val="auto"/>
          <w:sz w:val="4"/>
          <w:lang w:val="en-NZ"/>
        </w:rPr>
        <w:t xml:space="preserve">I </w:t>
      </w:r>
    </w:p>
    <w:p w:rsidR="008B5A8F" w:rsidRPr="008B5A8F" w:rsidRDefault="008B5A8F" w:rsidP="008B5A8F">
      <w:pPr>
        <w:spacing w:after="0" w:line="240" w:lineRule="auto"/>
        <w:rPr>
          <w:rFonts w:eastAsia="Calibri" w:cs="Arial"/>
          <w:color w:val="FF0000"/>
          <w:sz w:val="18"/>
          <w:szCs w:val="18"/>
        </w:rPr>
      </w:pPr>
    </w:p>
    <w:p w:rsidR="00542E6B" w:rsidRPr="002F5E02" w:rsidRDefault="00542E6B" w:rsidP="003A4DBC">
      <w:pPr>
        <w:pStyle w:val="List"/>
        <w:spacing w:after="120" w:line="240" w:lineRule="auto"/>
        <w:ind w:left="0" w:firstLine="0"/>
        <w:rPr>
          <w:rFonts w:cs="Arial"/>
          <w:color w:val="auto"/>
          <w:sz w:val="4"/>
          <w:lang w:val="en"/>
        </w:rPr>
      </w:pPr>
    </w:p>
    <w:p w:rsidR="008112D6" w:rsidRPr="00542E6B" w:rsidRDefault="008112D6" w:rsidP="00662616">
      <w:pPr>
        <w:rPr>
          <w:rFonts w:cs="Arial"/>
          <w:color w:val="auto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:rsidR="00B211B6" w:rsidRPr="002F5E02" w:rsidRDefault="00B211B6" w:rsidP="00623F4E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 xml:space="preserve">Source of acquisition of cases for the </w:t>
            </w:r>
            <w:r w:rsidR="00623F4E" w:rsidRPr="00623F4E">
              <w:rPr>
                <w:rStyle w:val="Strong"/>
                <w:color w:val="FF0000"/>
              </w:rPr>
              <w:t>5</w:t>
            </w:r>
            <w:r w:rsidRPr="00623F4E">
              <w:rPr>
                <w:rStyle w:val="Strong"/>
                <w:color w:val="FF0000"/>
              </w:rPr>
              <w:t xml:space="preserve"> </w:t>
            </w:r>
            <w:r w:rsidRPr="002F5E02">
              <w:rPr>
                <w:rStyle w:val="Strong"/>
                <w:color w:val="auto"/>
              </w:rPr>
              <w:t xml:space="preserve">days to </w:t>
            </w:r>
            <w:r w:rsidR="001846B8">
              <w:rPr>
                <w:rStyle w:val="Strong"/>
                <w:color w:val="FF0000"/>
              </w:rPr>
              <w:t>2</w:t>
            </w:r>
            <w:r w:rsidR="00623F4E">
              <w:rPr>
                <w:rStyle w:val="Strong"/>
                <w:color w:val="FF0000"/>
              </w:rPr>
              <w:t>5</w:t>
            </w:r>
            <w:r w:rsidR="00A1790B" w:rsidRPr="00014341">
              <w:rPr>
                <w:rStyle w:val="Strong"/>
                <w:color w:val="FF0000"/>
              </w:rPr>
              <w:t xml:space="preserve"> </w:t>
            </w:r>
            <w:r w:rsidR="00A1790B">
              <w:rPr>
                <w:rStyle w:val="Strong"/>
                <w:color w:val="FF0000"/>
              </w:rPr>
              <w:t>January 2021</w:t>
            </w:r>
          </w:p>
        </w:tc>
      </w:tr>
      <w:tr w:rsidR="002F5E02" w:rsidRPr="002F5E02" w:rsidTr="00F55D4C">
        <w:tc>
          <w:tcPr>
            <w:tcW w:w="3964" w:type="dxa"/>
          </w:tcPr>
          <w:p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acquired/associated*</w:t>
            </w:r>
          </w:p>
        </w:tc>
        <w:tc>
          <w:tcPr>
            <w:tcW w:w="5245" w:type="dxa"/>
            <w:vAlign w:val="center"/>
          </w:tcPr>
          <w:p w:rsidR="008112D6" w:rsidRPr="002F5E02" w:rsidRDefault="00623F4E" w:rsidP="00623F4E">
            <w:pPr>
              <w:rPr>
                <w:color w:val="auto"/>
              </w:rPr>
            </w:pPr>
            <w:r>
              <w:rPr>
                <w:color w:val="FF0000"/>
              </w:rPr>
              <w:t>21</w:t>
            </w:r>
          </w:p>
        </w:tc>
      </w:tr>
      <w:tr w:rsidR="002F5E02" w:rsidRPr="002F5E02" w:rsidTr="00F55D4C">
        <w:tc>
          <w:tcPr>
            <w:tcW w:w="3964" w:type="dxa"/>
          </w:tcPr>
          <w:p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:rsidR="008112D6" w:rsidRPr="002F5E02" w:rsidRDefault="008112D6" w:rsidP="009B6808">
            <w:pPr>
              <w:rPr>
                <w:color w:val="auto"/>
              </w:rPr>
            </w:pPr>
            <w:r w:rsidRPr="002F5E02">
              <w:rPr>
                <w:rFonts w:cs="Arial"/>
                <w:color w:val="auto"/>
              </w:rPr>
              <w:t>0</w:t>
            </w:r>
          </w:p>
        </w:tc>
      </w:tr>
    </w:tbl>
    <w:p w:rsidR="00526199" w:rsidRPr="009B6808" w:rsidRDefault="00B211B6" w:rsidP="00526199">
      <w:pPr>
        <w:spacing w:after="0"/>
        <w:rPr>
          <w:i/>
          <w:color w:val="FF0000"/>
          <w:sz w:val="16"/>
          <w:szCs w:val="18"/>
        </w:rPr>
      </w:pPr>
      <w:r w:rsidRPr="00D07AAC">
        <w:rPr>
          <w:i/>
          <w:color w:val="FF0000"/>
          <w:sz w:val="16"/>
          <w:szCs w:val="18"/>
        </w:rPr>
        <w:t>*Cases acquired while in managed isolation</w:t>
      </w:r>
      <w:r w:rsidR="00A434D3" w:rsidRPr="00D07AAC">
        <w:rPr>
          <w:i/>
          <w:color w:val="FF0000"/>
          <w:sz w:val="16"/>
          <w:szCs w:val="18"/>
        </w:rPr>
        <w:t xml:space="preserve"> (quarantine)</w:t>
      </w:r>
      <w:r w:rsidRPr="00D07AAC">
        <w:rPr>
          <w:i/>
          <w:color w:val="FF0000"/>
          <w:sz w:val="16"/>
          <w:szCs w:val="18"/>
        </w:rPr>
        <w:t xml:space="preserve"> in New Zealand </w:t>
      </w:r>
      <w:r w:rsidR="009B6808" w:rsidRPr="00D07AAC">
        <w:rPr>
          <w:i/>
          <w:color w:val="FF0000"/>
          <w:sz w:val="16"/>
          <w:szCs w:val="18"/>
        </w:rPr>
        <w:t xml:space="preserve">are categorised by the New Zealand Ministry of Health </w:t>
      </w:r>
      <w:r w:rsidRPr="00D07AAC">
        <w:rPr>
          <w:i/>
          <w:color w:val="FF0000"/>
          <w:sz w:val="16"/>
          <w:szCs w:val="18"/>
        </w:rPr>
        <w:t xml:space="preserve">as </w:t>
      </w:r>
      <w:r w:rsidR="00A434D3" w:rsidRPr="00D07AAC">
        <w:rPr>
          <w:i/>
          <w:color w:val="FF0000"/>
          <w:sz w:val="16"/>
          <w:szCs w:val="18"/>
        </w:rPr>
        <w:t xml:space="preserve">‘at the border’, which is </w:t>
      </w:r>
      <w:r w:rsidR="009B6808" w:rsidRPr="00D07AAC">
        <w:rPr>
          <w:i/>
          <w:color w:val="FF0000"/>
          <w:sz w:val="16"/>
          <w:szCs w:val="18"/>
        </w:rPr>
        <w:t>included in the above table as ‘Overseas acquired/associated’.</w:t>
      </w:r>
      <w:r w:rsidR="00526199" w:rsidRPr="009B6808">
        <w:rPr>
          <w:i/>
          <w:color w:val="FF0000"/>
          <w:sz w:val="16"/>
          <w:szCs w:val="18"/>
        </w:rPr>
        <w:t xml:space="preserve"> </w:t>
      </w:r>
    </w:p>
    <w:p w:rsidR="00526199" w:rsidRPr="00526199" w:rsidRDefault="00526199" w:rsidP="00526199">
      <w:pPr>
        <w:pStyle w:val="BodyText"/>
        <w:rPr>
          <w:color w:val="FF0000"/>
        </w:rPr>
      </w:pPr>
    </w:p>
    <w:p w:rsidR="00542E6B" w:rsidRDefault="00542E6B" w:rsidP="00B211B6">
      <w:pPr>
        <w:pStyle w:val="Heading1"/>
        <w:rPr>
          <w:color w:val="auto"/>
        </w:rPr>
      </w:pPr>
    </w:p>
    <w:p w:rsidR="00542E6B" w:rsidRDefault="00542E6B" w:rsidP="00B211B6">
      <w:pPr>
        <w:pStyle w:val="Heading1"/>
        <w:rPr>
          <w:color w:val="auto"/>
        </w:rPr>
      </w:pPr>
    </w:p>
    <w:p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 xml:space="preserve">New Zealand </w:t>
      </w:r>
      <w:r w:rsidR="00A24237" w:rsidRPr="002F5E02">
        <w:rPr>
          <w:color w:val="auto"/>
        </w:rPr>
        <w:t>q</w:t>
      </w:r>
      <w:r w:rsidRPr="002F5E02">
        <w:rPr>
          <w:color w:val="auto"/>
        </w:rPr>
        <w:t xml:space="preserve">uarantine-free travel </w:t>
      </w:r>
      <w:r w:rsidR="00A24237" w:rsidRPr="002F5E02">
        <w:rPr>
          <w:color w:val="auto"/>
        </w:rPr>
        <w:t>c</w:t>
      </w:r>
      <w:r w:rsidRPr="002F5E02">
        <w:rPr>
          <w:color w:val="auto"/>
        </w:rPr>
        <w:t>riteria</w:t>
      </w:r>
    </w:p>
    <w:p w:rsidR="00526199" w:rsidRPr="00D07AAC" w:rsidRDefault="00526199" w:rsidP="00526199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FF0000"/>
        </w:rPr>
      </w:pPr>
      <w:r w:rsidRPr="00526199">
        <w:rPr>
          <w:color w:val="FF0000"/>
        </w:rPr>
        <w:t xml:space="preserve">Australia has temporarily paused ‘green </w:t>
      </w:r>
      <w:r w:rsidR="00487B8D">
        <w:rPr>
          <w:color w:val="FF0000"/>
        </w:rPr>
        <w:t xml:space="preserve">safe travel </w:t>
      </w:r>
      <w:r w:rsidRPr="00526199">
        <w:rPr>
          <w:color w:val="FF0000"/>
        </w:rPr>
        <w:t xml:space="preserve">zone’ flights </w:t>
      </w:r>
      <w:r>
        <w:rPr>
          <w:color w:val="FF0000"/>
        </w:rPr>
        <w:t xml:space="preserve">for 72hrs from </w:t>
      </w:r>
      <w:r w:rsidRPr="00D07AAC">
        <w:rPr>
          <w:color w:val="FF0000"/>
        </w:rPr>
        <w:t>1400hrs AE</w:t>
      </w:r>
      <w:r w:rsidR="00DF6C4F" w:rsidRPr="00D07AAC">
        <w:rPr>
          <w:color w:val="FF0000"/>
        </w:rPr>
        <w:t>DT</w:t>
      </w:r>
      <w:r w:rsidRPr="00D07AAC">
        <w:rPr>
          <w:color w:val="FF0000"/>
        </w:rPr>
        <w:t>, 25 January 2021.</w:t>
      </w:r>
    </w:p>
    <w:p w:rsidR="009D6DEB" w:rsidRPr="00D07AAC" w:rsidRDefault="00526199" w:rsidP="00526199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FF0000"/>
        </w:rPr>
      </w:pPr>
      <w:r w:rsidRPr="00D07AAC">
        <w:rPr>
          <w:color w:val="FF0000"/>
        </w:rPr>
        <w:t xml:space="preserve">The Department of Health will be monitoring this situation and this decision will be revisited </w:t>
      </w:r>
      <w:r w:rsidR="00DF6C4F" w:rsidRPr="00D07AAC">
        <w:rPr>
          <w:color w:val="FF0000"/>
        </w:rPr>
        <w:t>prior to the completion of</w:t>
      </w:r>
      <w:r w:rsidRPr="00D07AAC">
        <w:rPr>
          <w:color w:val="FF0000"/>
        </w:rPr>
        <w:t xml:space="preserve"> the 72hr period. </w:t>
      </w:r>
    </w:p>
    <w:p w:rsidR="00C93D26" w:rsidRPr="00D07AAC" w:rsidRDefault="00C93D26" w:rsidP="00C93D26">
      <w:pPr>
        <w:spacing w:after="0"/>
        <w:ind w:left="360" w:hanging="360"/>
        <w:contextualSpacing/>
        <w:rPr>
          <w:b/>
          <w:color w:val="FF0000"/>
        </w:rPr>
      </w:pPr>
    </w:p>
    <w:p w:rsidR="00CE735A" w:rsidRPr="00D07AAC" w:rsidRDefault="00CE735A" w:rsidP="00C93D26">
      <w:pPr>
        <w:spacing w:after="0"/>
        <w:ind w:left="360" w:hanging="360"/>
        <w:contextualSpacing/>
        <w:rPr>
          <w:b/>
          <w:color w:val="FF0000"/>
        </w:rPr>
      </w:pPr>
      <w:r w:rsidRPr="00D07AAC">
        <w:rPr>
          <w:b/>
          <w:color w:val="FF0000"/>
        </w:rPr>
        <w:t xml:space="preserve">To note: </w:t>
      </w:r>
    </w:p>
    <w:p w:rsidR="00CE735A" w:rsidRPr="00655427" w:rsidRDefault="00CE735A" w:rsidP="00C93D26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FF0000"/>
        </w:rPr>
      </w:pPr>
      <w:r w:rsidRPr="00D07AAC">
        <w:rPr>
          <w:color w:val="FF0000"/>
        </w:rPr>
        <w:t>The New Zealand Ministry of Health (2</w:t>
      </w:r>
      <w:r w:rsidR="00DF6C4F" w:rsidRPr="00D07AAC">
        <w:rPr>
          <w:color w:val="FF0000"/>
        </w:rPr>
        <w:t>4</w:t>
      </w:r>
      <w:r w:rsidRPr="00D07AAC">
        <w:rPr>
          <w:color w:val="FF0000"/>
        </w:rPr>
        <w:t xml:space="preserve"> January 2021) confirmed that a case who</w:t>
      </w:r>
      <w:r w:rsidRPr="00655427">
        <w:rPr>
          <w:color w:val="FF0000"/>
        </w:rPr>
        <w:t xml:space="preserve"> recently travelled from overseas and completed their</w:t>
      </w:r>
      <w:r w:rsidR="007E4127">
        <w:rPr>
          <w:color w:val="FF0000"/>
        </w:rPr>
        <w:t xml:space="preserve"> stay in managed isolation in </w:t>
      </w:r>
      <w:r w:rsidRPr="00655427">
        <w:rPr>
          <w:color w:val="FF0000"/>
        </w:rPr>
        <w:t xml:space="preserve"> Auckland has subsequently tested positive for COVID-19.</w:t>
      </w:r>
      <w:r w:rsidR="007E4127">
        <w:rPr>
          <w:color w:val="FF0000"/>
        </w:rPr>
        <w:t xml:space="preserve"> </w:t>
      </w:r>
    </w:p>
    <w:p w:rsidR="00CE735A" w:rsidRDefault="00C93D26" w:rsidP="00C93D26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FF0000"/>
        </w:rPr>
      </w:pPr>
      <w:r w:rsidRPr="00655427">
        <w:rPr>
          <w:color w:val="FF0000"/>
        </w:rPr>
        <w:t xml:space="preserve">New </w:t>
      </w:r>
      <w:r>
        <w:rPr>
          <w:color w:val="FF0000"/>
        </w:rPr>
        <w:t>Zea</w:t>
      </w:r>
      <w:r w:rsidRPr="00655427">
        <w:rPr>
          <w:color w:val="FF0000"/>
        </w:rPr>
        <w:t xml:space="preserve">land Ministry of Health </w:t>
      </w:r>
      <w:r>
        <w:rPr>
          <w:color w:val="FF0000"/>
        </w:rPr>
        <w:t>also reports that w</w:t>
      </w:r>
      <w:r w:rsidR="00CE735A" w:rsidRPr="00655427">
        <w:rPr>
          <w:color w:val="FF0000"/>
        </w:rPr>
        <w:t xml:space="preserve">hole genome sequencing results have confirmed that </w:t>
      </w:r>
      <w:r>
        <w:rPr>
          <w:color w:val="FF0000"/>
        </w:rPr>
        <w:t>the case</w:t>
      </w:r>
      <w:r w:rsidR="00CE735A" w:rsidRPr="00655427">
        <w:rPr>
          <w:color w:val="FF0000"/>
        </w:rPr>
        <w:t xml:space="preserve"> contracted the South African variant, B.1.351. </w:t>
      </w:r>
      <w:r w:rsidR="007A6DD7">
        <w:rPr>
          <w:color w:val="FF0000"/>
        </w:rPr>
        <w:t xml:space="preserve">This is a variant of concern. </w:t>
      </w:r>
      <w:r w:rsidR="00CE735A" w:rsidRPr="00655427">
        <w:rPr>
          <w:color w:val="FF0000"/>
        </w:rPr>
        <w:t> </w:t>
      </w:r>
    </w:p>
    <w:p w:rsidR="00B02E3C" w:rsidRDefault="00B02E3C" w:rsidP="00B211B6">
      <w:pPr>
        <w:pStyle w:val="Heading1"/>
        <w:rPr>
          <w:color w:val="auto"/>
        </w:rPr>
      </w:pPr>
    </w:p>
    <w:p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 xml:space="preserve">Summary of </w:t>
      </w:r>
      <w:r w:rsidR="007E4127">
        <w:rPr>
          <w:color w:val="auto"/>
        </w:rPr>
        <w:t xml:space="preserve">New Zealand </w:t>
      </w:r>
      <w:r w:rsidRPr="002F5E02">
        <w:rPr>
          <w:color w:val="auto"/>
        </w:rPr>
        <w:t>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:rsidR="00B211B6" w:rsidRPr="002F5E02" w:rsidRDefault="00B211B6" w:rsidP="00B211B6">
            <w:pPr>
              <w:spacing w:after="0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7C0E67" w:rsidRPr="002F5E02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:rsidR="007C0E67" w:rsidRDefault="00623F4E" w:rsidP="00623F4E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21</w:t>
            </w:r>
            <w:r w:rsidR="007C0E67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7C0E67" w:rsidRPr="00BC66AD" w:rsidRDefault="007C0E67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7C0E67" w:rsidRPr="00BC66AD" w:rsidRDefault="007C0E67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</w:tr>
      <w:tr w:rsidR="00CF5CC0" w:rsidRPr="002F5E02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:rsidR="00CF5CC0" w:rsidRPr="000F073C" w:rsidRDefault="00623F4E" w:rsidP="00014341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22</w:t>
            </w:r>
            <w:r w:rsidR="00014341">
              <w:rPr>
                <w:rStyle w:val="Strong"/>
                <w:b w:val="0"/>
                <w:color w:val="FF0000"/>
              </w:rPr>
              <w:t xml:space="preserve"> January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:rsidR="00CF5CC0" w:rsidRPr="000F073C" w:rsidRDefault="00623F4E" w:rsidP="001846B8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23</w:t>
            </w:r>
            <w:r w:rsidR="00014341">
              <w:rPr>
                <w:rStyle w:val="Strong"/>
                <w:b w:val="0"/>
                <w:color w:val="FF0000"/>
              </w:rPr>
              <w:t xml:space="preserve"> January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:rsidR="00CF5CC0" w:rsidRPr="000F073C" w:rsidRDefault="00623F4E" w:rsidP="001846B8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24</w:t>
            </w:r>
            <w:r w:rsidR="00A1790B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:rsidR="00CF5CC0" w:rsidRPr="000F073C" w:rsidRDefault="00623F4E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25</w:t>
            </w:r>
            <w:r w:rsidR="00A1790B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  <w:r w:rsidR="00655427">
              <w:rPr>
                <w:rFonts w:cs="Arial"/>
                <w:color w:val="FF0000"/>
              </w:rPr>
              <w:t>*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</w:tbl>
    <w:p w:rsidR="00A434D3" w:rsidRDefault="00B211B6" w:rsidP="00A434D3">
      <w:pPr>
        <w:spacing w:after="0"/>
        <w:rPr>
          <w:i/>
          <w:color w:val="FF0000"/>
          <w:sz w:val="16"/>
          <w:szCs w:val="18"/>
        </w:rPr>
      </w:pPr>
      <w:r w:rsidRPr="002F5E02">
        <w:rPr>
          <w:color w:val="auto"/>
        </w:rPr>
        <w:br w:type="textWrapping" w:clear="all"/>
      </w:r>
      <w:r w:rsidR="00655427" w:rsidRPr="00D07AAC">
        <w:rPr>
          <w:color w:val="FF0000"/>
        </w:rPr>
        <w:t>*</w:t>
      </w:r>
      <w:r w:rsidR="00A434D3" w:rsidRPr="00D07AAC">
        <w:rPr>
          <w:rFonts w:cs="Arial"/>
          <w:i/>
          <w:color w:val="FF0000"/>
          <w:sz w:val="16"/>
        </w:rPr>
        <w:t xml:space="preserve"> The </w:t>
      </w:r>
      <w:r w:rsidR="00A434D3" w:rsidRPr="00D07AAC">
        <w:rPr>
          <w:rFonts w:cs="Arial"/>
          <w:i/>
          <w:color w:val="FF0000"/>
          <w:sz w:val="16"/>
          <w:u w:val="single"/>
        </w:rPr>
        <w:t>current</w:t>
      </w:r>
      <w:r w:rsidR="00A434D3" w:rsidRPr="00D07AAC">
        <w:rPr>
          <w:rFonts w:cs="Arial"/>
          <w:i/>
          <w:color w:val="FF0000"/>
          <w:sz w:val="16"/>
        </w:rPr>
        <w:t xml:space="preserve"> case of COVID-19 identified in the community is categorised by the New Zealand Ministry of Health as </w:t>
      </w:r>
      <w:r w:rsidR="00A434D3" w:rsidRPr="00D07AAC">
        <w:rPr>
          <w:i/>
          <w:color w:val="FF0000"/>
          <w:sz w:val="16"/>
          <w:szCs w:val="18"/>
        </w:rPr>
        <w:t>‘at the border’ rather than ‘in the community’, which is why the table contains ‘0’ cases for the category of ‘locally acquired cases’.</w:t>
      </w:r>
    </w:p>
    <w:p w:rsidR="009B6808" w:rsidRPr="009B6808" w:rsidRDefault="009B6808" w:rsidP="00A434D3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11B6" w:rsidRPr="002F5E02" w:rsidRDefault="00B211B6" w:rsidP="00B211B6">
            <w:pPr>
              <w:spacing w:after="120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B211B6" w:rsidRPr="002F5E02" w:rsidRDefault="00343B8C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211B6" w:rsidRPr="002F5E02" w:rsidRDefault="00B211B6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days </w:t>
            </w:r>
          </w:p>
        </w:tc>
      </w:tr>
      <w:tr w:rsidR="009D3C34" w:rsidRPr="002F5E02" w:rsidTr="009246F0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:rsidR="009D3C34" w:rsidRPr="002F5E02" w:rsidRDefault="009D3C34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18/11/20</w:t>
            </w:r>
          </w:p>
        </w:tc>
        <w:tc>
          <w:tcPr>
            <w:tcW w:w="2126" w:type="dxa"/>
            <w:vAlign w:val="center"/>
          </w:tcPr>
          <w:p w:rsidR="009D3C34" w:rsidRPr="002F5E02" w:rsidRDefault="001846B8" w:rsidP="00623F4E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6</w:t>
            </w:r>
            <w:r w:rsidR="00623F4E">
              <w:rPr>
                <w:rFonts w:cs="Arial"/>
                <w:color w:val="FF0000"/>
                <w:szCs w:val="20"/>
                <w:lang w:val="en"/>
              </w:rPr>
              <w:t>8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  <w:tr w:rsidR="009D3C34" w:rsidRPr="002F5E02" w:rsidTr="009246F0">
        <w:trPr>
          <w:trHeight w:val="342"/>
        </w:trPr>
        <w:tc>
          <w:tcPr>
            <w:tcW w:w="5240" w:type="dxa"/>
          </w:tcPr>
          <w:p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:rsidR="009D3C34" w:rsidRPr="002F5E02" w:rsidRDefault="009D3C34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1/09/20</w:t>
            </w:r>
          </w:p>
        </w:tc>
        <w:tc>
          <w:tcPr>
            <w:tcW w:w="2126" w:type="dxa"/>
            <w:vAlign w:val="center"/>
          </w:tcPr>
          <w:p w:rsidR="009D3C34" w:rsidRPr="002F5E02" w:rsidRDefault="00CF5CC0" w:rsidP="00623F4E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1</w:t>
            </w:r>
            <w:r w:rsidR="001846B8">
              <w:rPr>
                <w:rFonts w:cs="Arial"/>
                <w:color w:val="FF0000"/>
                <w:szCs w:val="20"/>
                <w:lang w:val="en"/>
              </w:rPr>
              <w:t>4</w:t>
            </w:r>
            <w:r w:rsidR="00623F4E">
              <w:rPr>
                <w:rFonts w:cs="Arial"/>
                <w:color w:val="FF0000"/>
                <w:szCs w:val="20"/>
                <w:lang w:val="en"/>
              </w:rPr>
              <w:t>6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</w:tbl>
    <w:p w:rsidR="00726BE0" w:rsidRPr="00C93D26" w:rsidRDefault="00B211B6" w:rsidP="00C93D26">
      <w:pPr>
        <w:rPr>
          <w:rFonts w:cs="Arial"/>
          <w:i/>
          <w:color w:val="auto"/>
          <w:sz w:val="18"/>
          <w:szCs w:val="18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  <w:r w:rsidR="00343B8C" w:rsidRPr="002F5E02">
        <w:rPr>
          <w:rFonts w:cs="Arial"/>
          <w:i/>
          <w:color w:val="auto"/>
          <w:sz w:val="18"/>
          <w:szCs w:val="18"/>
        </w:rPr>
        <w:t>*Date of notification to N</w:t>
      </w:r>
      <w:r w:rsidR="00624B82">
        <w:rPr>
          <w:rFonts w:cs="Arial"/>
          <w:i/>
          <w:color w:val="auto"/>
          <w:sz w:val="18"/>
          <w:szCs w:val="18"/>
        </w:rPr>
        <w:t xml:space="preserve">ew </w:t>
      </w:r>
      <w:r w:rsidR="00343B8C" w:rsidRPr="002F5E02">
        <w:rPr>
          <w:rFonts w:cs="Arial"/>
          <w:i/>
          <w:color w:val="auto"/>
          <w:sz w:val="18"/>
          <w:szCs w:val="18"/>
        </w:rPr>
        <w:t>Z</w:t>
      </w:r>
      <w:r w:rsidR="00624B82">
        <w:rPr>
          <w:rFonts w:cs="Arial"/>
          <w:i/>
          <w:color w:val="auto"/>
          <w:sz w:val="18"/>
          <w:szCs w:val="18"/>
        </w:rPr>
        <w:t>ealand</w:t>
      </w:r>
      <w:r w:rsidR="00343B8C" w:rsidRPr="002F5E02">
        <w:rPr>
          <w:rFonts w:cs="Arial"/>
          <w:i/>
          <w:color w:val="auto"/>
          <w:sz w:val="18"/>
          <w:szCs w:val="18"/>
        </w:rPr>
        <w:t xml:space="preserve"> Ministry of Health has been used, which may differ from the</w:t>
      </w:r>
      <w:r w:rsidR="00D46483">
        <w:rPr>
          <w:rFonts w:cs="Arial"/>
          <w:i/>
          <w:color w:val="auto"/>
          <w:sz w:val="18"/>
          <w:szCs w:val="18"/>
        </w:rPr>
        <w:t xml:space="preserve"> date reported in media release</w:t>
      </w:r>
    </w:p>
    <w:p w:rsidR="00D46483" w:rsidRDefault="00D46483" w:rsidP="0007741B">
      <w:pPr>
        <w:pStyle w:val="BodyText"/>
        <w:rPr>
          <w:rFonts w:ascii="Calibri" w:hAnsi="Calibri" w:cs="Calibri"/>
          <w:i/>
          <w:color w:val="auto"/>
          <w:sz w:val="22"/>
          <w:szCs w:val="22"/>
        </w:rPr>
      </w:pPr>
    </w:p>
    <w:p w:rsidR="00A1790B" w:rsidRPr="00D46483" w:rsidRDefault="00D46483" w:rsidP="0007741B">
      <w:pPr>
        <w:pStyle w:val="BodyText"/>
        <w:rPr>
          <w:i/>
          <w:color w:val="auto"/>
        </w:rPr>
      </w:pPr>
      <w:bookmarkStart w:id="0" w:name="_GoBack"/>
      <w:r w:rsidRPr="00D46483">
        <w:rPr>
          <w:rFonts w:ascii="Calibri" w:hAnsi="Calibri" w:cs="Calibri"/>
          <w:i/>
          <w:color w:val="auto"/>
        </w:rPr>
        <w:t>A</w:t>
      </w:r>
      <w:r w:rsidRPr="00D46483">
        <w:rPr>
          <w:rFonts w:ascii="Calibri" w:hAnsi="Calibri" w:cs="Calibri"/>
          <w:i/>
          <w:color w:val="auto"/>
        </w:rPr>
        <w:t>pproved electronic</w:t>
      </w:r>
      <w:r>
        <w:rPr>
          <w:rFonts w:ascii="Calibri" w:hAnsi="Calibri" w:cs="Calibri"/>
          <w:i/>
          <w:color w:val="auto"/>
        </w:rPr>
        <w:t>ally by A/g Chief Medical Officer on</w:t>
      </w:r>
      <w:r w:rsidRPr="00D46483">
        <w:rPr>
          <w:rFonts w:ascii="Calibri" w:hAnsi="Calibri" w:cs="Calibri"/>
          <w:i/>
          <w:color w:val="auto"/>
        </w:rPr>
        <w:t xml:space="preserve"> 26 January 2021</w:t>
      </w:r>
    </w:p>
    <w:bookmarkEnd w:id="0"/>
    <w:p w:rsidR="00B211B6" w:rsidRPr="002F5E02" w:rsidRDefault="008B5A8F" w:rsidP="00B211B6">
      <w:pPr>
        <w:spacing w:after="0"/>
        <w:rPr>
          <w:color w:val="auto"/>
        </w:rPr>
      </w:pPr>
      <w:r>
        <w:rPr>
          <w:color w:val="auto"/>
        </w:rPr>
        <w:t xml:space="preserve">Acting </w:t>
      </w:r>
      <w:r w:rsidR="000A5B04"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:rsidR="00B211B6" w:rsidRPr="002F5E02" w:rsidRDefault="00B211B6" w:rsidP="00B211B6">
      <w:pPr>
        <w:spacing w:after="0"/>
        <w:rPr>
          <w:color w:val="auto"/>
        </w:rPr>
      </w:pPr>
      <w:r w:rsidRPr="002F5E02">
        <w:rPr>
          <w:color w:val="auto"/>
        </w:rPr>
        <w:t xml:space="preserve">Professor </w:t>
      </w:r>
      <w:r w:rsidR="008B5A8F">
        <w:rPr>
          <w:color w:val="auto"/>
        </w:rPr>
        <w:t>Michael Kidd</w:t>
      </w:r>
    </w:p>
    <w:p w:rsidR="00365261" w:rsidRPr="000F073C" w:rsidRDefault="0084065A" w:rsidP="00ED67DE">
      <w:pPr>
        <w:spacing w:after="0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07" w:rsidRPr="0084065A" w:rsidRDefault="00D23407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:rsidR="00D23407" w:rsidRDefault="00D23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:rsidR="00D23407" w:rsidRPr="0084065A" w:rsidRDefault="00D23407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:rsidR="00D23407" w:rsidRDefault="00D23407"/>
                  </w:txbxContent>
                </v:textbox>
              </v:shape>
            </w:pict>
          </mc:Fallback>
        </mc:AlternateContent>
      </w:r>
      <w:r w:rsidR="001846B8">
        <w:rPr>
          <w:color w:val="FF0000"/>
        </w:rPr>
        <w:t>2</w:t>
      </w:r>
      <w:r w:rsidR="00623F4E">
        <w:rPr>
          <w:color w:val="FF0000"/>
        </w:rPr>
        <w:t>5</w:t>
      </w:r>
      <w:r w:rsidR="00A1790B">
        <w:rPr>
          <w:color w:val="FF0000"/>
        </w:rPr>
        <w:t xml:space="preserve"> January 2021</w:t>
      </w:r>
    </w:p>
    <w:sectPr w:rsidR="00365261" w:rsidRPr="000F073C" w:rsidSect="00940B1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51" w:rsidRDefault="00564151" w:rsidP="003F5DCC">
      <w:pPr>
        <w:spacing w:after="0" w:line="240" w:lineRule="auto"/>
      </w:pPr>
      <w:r>
        <w:separator/>
      </w:r>
    </w:p>
  </w:endnote>
  <w:endnote w:type="continuationSeparator" w:id="0">
    <w:p w:rsidR="00564151" w:rsidRDefault="00564151" w:rsidP="003F5DCC">
      <w:pPr>
        <w:spacing w:after="0" w:line="240" w:lineRule="auto"/>
      </w:pPr>
      <w:r>
        <w:continuationSeparator/>
      </w:r>
    </w:p>
  </w:endnote>
  <w:endnote w:type="continuationNotice" w:id="1">
    <w:p w:rsidR="00564151" w:rsidRDefault="00564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07" w:rsidRPr="006A4BBC" w:rsidRDefault="00D23407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D46483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51" w:rsidRDefault="00564151" w:rsidP="003F5DCC">
      <w:pPr>
        <w:spacing w:after="0" w:line="240" w:lineRule="auto"/>
      </w:pPr>
      <w:r>
        <w:separator/>
      </w:r>
    </w:p>
  </w:footnote>
  <w:footnote w:type="continuationSeparator" w:id="0">
    <w:p w:rsidR="00564151" w:rsidRDefault="00564151" w:rsidP="003F5DCC">
      <w:pPr>
        <w:spacing w:after="0" w:line="240" w:lineRule="auto"/>
      </w:pPr>
      <w:r>
        <w:continuationSeparator/>
      </w:r>
    </w:p>
  </w:footnote>
  <w:footnote w:type="continuationNotice" w:id="1">
    <w:p w:rsidR="00564151" w:rsidRDefault="00564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07" w:rsidRDefault="00D23407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23407" w:rsidRDefault="00D23407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07" w:rsidRDefault="00D23407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07" w:rsidRDefault="00D46483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340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40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A2AD7"/>
    <w:multiLevelType w:val="hybridMultilevel"/>
    <w:tmpl w:val="5DF4D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9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7"/>
  </w:num>
  <w:num w:numId="14">
    <w:abstractNumId w:val="0"/>
  </w:num>
  <w:num w:numId="15">
    <w:abstractNumId w:val="11"/>
  </w:num>
  <w:num w:numId="16">
    <w:abstractNumId w:val="22"/>
  </w:num>
  <w:num w:numId="17">
    <w:abstractNumId w:val="16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8"/>
  </w:num>
  <w:num w:numId="23">
    <w:abstractNumId w:val="15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708E"/>
    <w:rsid w:val="0007741B"/>
    <w:rsid w:val="000860B8"/>
    <w:rsid w:val="000A5B04"/>
    <w:rsid w:val="000C1DBC"/>
    <w:rsid w:val="000F073C"/>
    <w:rsid w:val="0010335F"/>
    <w:rsid w:val="00115D98"/>
    <w:rsid w:val="0018092F"/>
    <w:rsid w:val="001814A0"/>
    <w:rsid w:val="001843DC"/>
    <w:rsid w:val="001846B8"/>
    <w:rsid w:val="001849B0"/>
    <w:rsid w:val="00185E09"/>
    <w:rsid w:val="00191F81"/>
    <w:rsid w:val="00192EC7"/>
    <w:rsid w:val="001C2581"/>
    <w:rsid w:val="001C62FF"/>
    <w:rsid w:val="001D2FEF"/>
    <w:rsid w:val="001E047B"/>
    <w:rsid w:val="001E20E6"/>
    <w:rsid w:val="002205B1"/>
    <w:rsid w:val="002209EC"/>
    <w:rsid w:val="00227CE4"/>
    <w:rsid w:val="002329E8"/>
    <w:rsid w:val="002376FB"/>
    <w:rsid w:val="0024135B"/>
    <w:rsid w:val="00241BE8"/>
    <w:rsid w:val="002467A1"/>
    <w:rsid w:val="00256C08"/>
    <w:rsid w:val="002630ED"/>
    <w:rsid w:val="00263F02"/>
    <w:rsid w:val="002705D3"/>
    <w:rsid w:val="00276092"/>
    <w:rsid w:val="00284A3B"/>
    <w:rsid w:val="002D0DAD"/>
    <w:rsid w:val="002F5E02"/>
    <w:rsid w:val="00300221"/>
    <w:rsid w:val="00304E16"/>
    <w:rsid w:val="00343B8C"/>
    <w:rsid w:val="00365261"/>
    <w:rsid w:val="0038500F"/>
    <w:rsid w:val="00391355"/>
    <w:rsid w:val="003A4DBC"/>
    <w:rsid w:val="003D22B2"/>
    <w:rsid w:val="003D61E0"/>
    <w:rsid w:val="003E1102"/>
    <w:rsid w:val="003F5DCC"/>
    <w:rsid w:val="00401F86"/>
    <w:rsid w:val="00416B6A"/>
    <w:rsid w:val="004229E8"/>
    <w:rsid w:val="00433958"/>
    <w:rsid w:val="00470665"/>
    <w:rsid w:val="00472E2A"/>
    <w:rsid w:val="00487B8D"/>
    <w:rsid w:val="004C3A6B"/>
    <w:rsid w:val="004C49F6"/>
    <w:rsid w:val="004E1B97"/>
    <w:rsid w:val="004F6B1F"/>
    <w:rsid w:val="0050312A"/>
    <w:rsid w:val="005040A5"/>
    <w:rsid w:val="00526199"/>
    <w:rsid w:val="00542E6B"/>
    <w:rsid w:val="005536FF"/>
    <w:rsid w:val="005572F4"/>
    <w:rsid w:val="00564151"/>
    <w:rsid w:val="00567805"/>
    <w:rsid w:val="00581AE2"/>
    <w:rsid w:val="0058410E"/>
    <w:rsid w:val="00596341"/>
    <w:rsid w:val="005B62AD"/>
    <w:rsid w:val="005F201D"/>
    <w:rsid w:val="006060C4"/>
    <w:rsid w:val="0062366B"/>
    <w:rsid w:val="00623F4E"/>
    <w:rsid w:val="006241BE"/>
    <w:rsid w:val="00624B82"/>
    <w:rsid w:val="00655427"/>
    <w:rsid w:val="00656428"/>
    <w:rsid w:val="00662616"/>
    <w:rsid w:val="00685E34"/>
    <w:rsid w:val="0069566E"/>
    <w:rsid w:val="006968FA"/>
    <w:rsid w:val="006A2F59"/>
    <w:rsid w:val="006B123D"/>
    <w:rsid w:val="006B229F"/>
    <w:rsid w:val="006B63B0"/>
    <w:rsid w:val="006C1A96"/>
    <w:rsid w:val="006C75E4"/>
    <w:rsid w:val="006D5BC7"/>
    <w:rsid w:val="006F1695"/>
    <w:rsid w:val="00726BE0"/>
    <w:rsid w:val="0074789B"/>
    <w:rsid w:val="007575E7"/>
    <w:rsid w:val="00771686"/>
    <w:rsid w:val="007A6C8A"/>
    <w:rsid w:val="007A6DD7"/>
    <w:rsid w:val="007C0E67"/>
    <w:rsid w:val="007E4127"/>
    <w:rsid w:val="008112D6"/>
    <w:rsid w:val="00813BF4"/>
    <w:rsid w:val="00822CFB"/>
    <w:rsid w:val="00827705"/>
    <w:rsid w:val="0084065A"/>
    <w:rsid w:val="00887D60"/>
    <w:rsid w:val="00894401"/>
    <w:rsid w:val="008A7DD1"/>
    <w:rsid w:val="008B05E5"/>
    <w:rsid w:val="008B1D87"/>
    <w:rsid w:val="008B5A8F"/>
    <w:rsid w:val="009051AB"/>
    <w:rsid w:val="00934E0B"/>
    <w:rsid w:val="00940B15"/>
    <w:rsid w:val="00942848"/>
    <w:rsid w:val="0095330F"/>
    <w:rsid w:val="00955515"/>
    <w:rsid w:val="00957B8A"/>
    <w:rsid w:val="00964674"/>
    <w:rsid w:val="009A175F"/>
    <w:rsid w:val="009B6808"/>
    <w:rsid w:val="009C4B3A"/>
    <w:rsid w:val="009D3C34"/>
    <w:rsid w:val="009D6DEB"/>
    <w:rsid w:val="009E5E2A"/>
    <w:rsid w:val="00A05D52"/>
    <w:rsid w:val="00A1790B"/>
    <w:rsid w:val="00A24237"/>
    <w:rsid w:val="00A434D3"/>
    <w:rsid w:val="00A6047A"/>
    <w:rsid w:val="00A62AF8"/>
    <w:rsid w:val="00A64036"/>
    <w:rsid w:val="00A845B5"/>
    <w:rsid w:val="00AD68CF"/>
    <w:rsid w:val="00B02E3C"/>
    <w:rsid w:val="00B211B6"/>
    <w:rsid w:val="00B2382E"/>
    <w:rsid w:val="00B279CB"/>
    <w:rsid w:val="00B365FB"/>
    <w:rsid w:val="00B377B6"/>
    <w:rsid w:val="00B47C40"/>
    <w:rsid w:val="00B63EAA"/>
    <w:rsid w:val="00B67406"/>
    <w:rsid w:val="00B83628"/>
    <w:rsid w:val="00B968C7"/>
    <w:rsid w:val="00BA274A"/>
    <w:rsid w:val="00BB0833"/>
    <w:rsid w:val="00BC1ACA"/>
    <w:rsid w:val="00BC66AD"/>
    <w:rsid w:val="00BF6D6F"/>
    <w:rsid w:val="00C31BB8"/>
    <w:rsid w:val="00C44F9D"/>
    <w:rsid w:val="00C45B64"/>
    <w:rsid w:val="00C91BD6"/>
    <w:rsid w:val="00C93D26"/>
    <w:rsid w:val="00CC47E8"/>
    <w:rsid w:val="00CC4C1B"/>
    <w:rsid w:val="00CE735A"/>
    <w:rsid w:val="00CF14FC"/>
    <w:rsid w:val="00CF5CC0"/>
    <w:rsid w:val="00D01F3D"/>
    <w:rsid w:val="00D0327A"/>
    <w:rsid w:val="00D07AAC"/>
    <w:rsid w:val="00D23407"/>
    <w:rsid w:val="00D415AA"/>
    <w:rsid w:val="00D4409E"/>
    <w:rsid w:val="00D46483"/>
    <w:rsid w:val="00D504C8"/>
    <w:rsid w:val="00D50658"/>
    <w:rsid w:val="00D52A83"/>
    <w:rsid w:val="00D75434"/>
    <w:rsid w:val="00D80F63"/>
    <w:rsid w:val="00D857EA"/>
    <w:rsid w:val="00DB1DD4"/>
    <w:rsid w:val="00DC55C7"/>
    <w:rsid w:val="00DC7086"/>
    <w:rsid w:val="00DE1D7A"/>
    <w:rsid w:val="00DF6C4F"/>
    <w:rsid w:val="00E025DA"/>
    <w:rsid w:val="00E40EED"/>
    <w:rsid w:val="00E421D6"/>
    <w:rsid w:val="00E47B8E"/>
    <w:rsid w:val="00E66E74"/>
    <w:rsid w:val="00E820A3"/>
    <w:rsid w:val="00EA1ED2"/>
    <w:rsid w:val="00EB15C1"/>
    <w:rsid w:val="00EB4ECF"/>
    <w:rsid w:val="00EC43AB"/>
    <w:rsid w:val="00ED67DE"/>
    <w:rsid w:val="00EE6B85"/>
    <w:rsid w:val="00EF3FD8"/>
    <w:rsid w:val="00F10259"/>
    <w:rsid w:val="00F13DFA"/>
    <w:rsid w:val="00F503F4"/>
    <w:rsid w:val="00F60D81"/>
    <w:rsid w:val="00F75E48"/>
    <w:rsid w:val="00F85146"/>
    <w:rsid w:val="00FA4745"/>
    <w:rsid w:val="00FA677D"/>
    <w:rsid w:val="00FC440C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EEBD2F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2CDD0-89BB-43F4-973D-60F7E5C2F50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7EF907-15F6-4782-9C0A-D3D477F4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ALEXANDER, Tamara</cp:lastModifiedBy>
  <cp:revision>2</cp:revision>
  <cp:lastPrinted>2021-01-26T02:12:00Z</cp:lastPrinted>
  <dcterms:created xsi:type="dcterms:W3CDTF">2021-01-26T02:15:00Z</dcterms:created>
  <dcterms:modified xsi:type="dcterms:W3CDTF">2021-01-26T02:15:00Z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