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23F" w:rsidRPr="003B326C" w:rsidRDefault="00B5423F" w:rsidP="00B5423F">
      <w:pPr>
        <w:pStyle w:val="Subtitle"/>
        <w:spacing w:before="0" w:after="0" w:line="360" w:lineRule="auto"/>
        <w:rPr>
          <w:sz w:val="40"/>
        </w:rPr>
      </w:pPr>
      <w:r w:rsidRPr="003B326C">
        <w:rPr>
          <w:sz w:val="40"/>
        </w:rPr>
        <w:t>Medicare Benefits Schedule Review Taskforce</w:t>
      </w:r>
    </w:p>
    <w:p w:rsidR="00B5423F" w:rsidRPr="00156A27" w:rsidRDefault="00B5423F" w:rsidP="00B5423F">
      <w:pPr>
        <w:pStyle w:val="Title"/>
        <w:spacing w:before="0" w:after="0" w:line="360" w:lineRule="auto"/>
        <w:contextualSpacing w:val="0"/>
        <w:rPr>
          <w:sz w:val="44"/>
          <w:szCs w:val="44"/>
        </w:rPr>
      </w:pPr>
      <w:r w:rsidRPr="00156A27">
        <w:rPr>
          <w:sz w:val="44"/>
          <w:szCs w:val="44"/>
        </w:rPr>
        <w:t>Taskforce Findings</w:t>
      </w:r>
    </w:p>
    <w:p w:rsidR="00B5423F" w:rsidRPr="009561C7" w:rsidRDefault="005E4705" w:rsidP="00B5423F">
      <w:pPr>
        <w:pStyle w:val="Title"/>
        <w:spacing w:before="0" w:after="0" w:line="360" w:lineRule="auto"/>
        <w:contextualSpacing w:val="0"/>
        <w:rPr>
          <w:sz w:val="44"/>
          <w:szCs w:val="44"/>
        </w:rPr>
      </w:pPr>
      <w:r>
        <w:rPr>
          <w:sz w:val="44"/>
          <w:szCs w:val="44"/>
        </w:rPr>
        <w:t xml:space="preserve">Paediatric </w:t>
      </w:r>
      <w:r w:rsidR="002D7AAB">
        <w:rPr>
          <w:sz w:val="44"/>
          <w:szCs w:val="44"/>
        </w:rPr>
        <w:t xml:space="preserve">Surgery </w:t>
      </w:r>
      <w:r>
        <w:rPr>
          <w:sz w:val="44"/>
          <w:szCs w:val="44"/>
        </w:rPr>
        <w:t>Advisory</w:t>
      </w:r>
      <w:r w:rsidR="00B5423F" w:rsidRPr="009561C7">
        <w:rPr>
          <w:sz w:val="44"/>
          <w:szCs w:val="44"/>
        </w:rPr>
        <w:t xml:space="preserve"> Group </w:t>
      </w:r>
    </w:p>
    <w:p w:rsidR="00B5423F" w:rsidRPr="00156A27" w:rsidRDefault="00B5423F" w:rsidP="00B5423F">
      <w:pPr>
        <w:pStyle w:val="Title"/>
        <w:spacing w:before="0" w:after="0" w:line="360" w:lineRule="auto"/>
        <w:contextualSpacing w:val="0"/>
        <w:rPr>
          <w:sz w:val="44"/>
          <w:szCs w:val="44"/>
        </w:rPr>
      </w:pPr>
      <w:r w:rsidRPr="00156A27">
        <w:rPr>
          <w:sz w:val="44"/>
          <w:szCs w:val="44"/>
        </w:rPr>
        <w:t>Report</w:t>
      </w:r>
    </w:p>
    <w:p w:rsidR="00B5423F" w:rsidRPr="003B326C" w:rsidRDefault="00B5423F" w:rsidP="00B5423F">
      <w:pPr>
        <w:spacing w:after="0" w:line="360" w:lineRule="auto"/>
        <w:rPr>
          <w:rFonts w:cs="Arial"/>
          <w:color w:val="000000" w:themeColor="text1"/>
        </w:rPr>
      </w:pPr>
    </w:p>
    <w:p w:rsidR="00B5423F" w:rsidRDefault="00B5423F" w:rsidP="00B5423F">
      <w:pPr>
        <w:spacing w:before="120" w:after="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Medicare Benefits Schedule (MBS) Review Taskforce’s recommendations in response to the report from t</w:t>
      </w:r>
      <w:r w:rsidRPr="000D05F2">
        <w:rPr>
          <w:rFonts w:asciiTheme="minorHAnsi" w:hAnsiTheme="minorHAnsi" w:cstheme="minorHAnsi"/>
          <w:color w:val="000000" w:themeColor="text1"/>
        </w:rPr>
        <w:t xml:space="preserve">he </w:t>
      </w:r>
      <w:r w:rsidR="005E4705">
        <w:rPr>
          <w:rFonts w:asciiTheme="minorHAnsi" w:hAnsiTheme="minorHAnsi" w:cstheme="minorHAnsi"/>
          <w:color w:val="000000" w:themeColor="text1"/>
        </w:rPr>
        <w:t>Paediatric</w:t>
      </w:r>
      <w:r w:rsidR="00724989">
        <w:rPr>
          <w:rFonts w:asciiTheme="minorHAnsi" w:hAnsiTheme="minorHAnsi" w:cstheme="minorHAnsi"/>
          <w:color w:val="000000" w:themeColor="text1"/>
        </w:rPr>
        <w:t xml:space="preserve"> Surgery</w:t>
      </w:r>
      <w:r w:rsidR="005E4705">
        <w:rPr>
          <w:rFonts w:asciiTheme="minorHAnsi" w:hAnsiTheme="minorHAnsi" w:cstheme="minorHAnsi"/>
          <w:color w:val="000000" w:themeColor="text1"/>
        </w:rPr>
        <w:t xml:space="preserve"> Advisory Group (P</w:t>
      </w:r>
      <w:r w:rsidR="00724989">
        <w:rPr>
          <w:rFonts w:asciiTheme="minorHAnsi" w:hAnsiTheme="minorHAnsi" w:cstheme="minorHAnsi"/>
          <w:color w:val="000000" w:themeColor="text1"/>
        </w:rPr>
        <w:t>S</w:t>
      </w:r>
      <w:r w:rsidR="005E4705">
        <w:rPr>
          <w:rFonts w:asciiTheme="minorHAnsi" w:hAnsiTheme="minorHAnsi" w:cstheme="minorHAnsi"/>
          <w:color w:val="000000" w:themeColor="text1"/>
        </w:rPr>
        <w:t>AG)</w:t>
      </w:r>
      <w:r w:rsidRPr="000D05F2">
        <w:rPr>
          <w:rFonts w:asciiTheme="minorHAnsi" w:hAnsiTheme="minorHAnsi" w:cstheme="minorHAnsi"/>
          <w:color w:val="000000" w:themeColor="text1"/>
        </w:rPr>
        <w:t>.</w:t>
      </w:r>
    </w:p>
    <w:p w:rsidR="00B5423F" w:rsidRPr="00977A7C" w:rsidRDefault="00B5423F" w:rsidP="00B5423F">
      <w:pPr>
        <w:spacing w:before="120" w:after="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val="en-US"/>
        </w:rPr>
        <mc:AlternateContent>
          <mc:Choice Requires="wps">
            <w:drawing>
              <wp:anchor distT="45720" distB="45720" distL="114300" distR="114300" simplePos="0" relativeHeight="251659264" behindDoc="0" locked="0" layoutInCell="1" allowOverlap="1" wp14:anchorId="412E2C07" wp14:editId="235BE036">
                <wp:simplePos x="0" y="0"/>
                <wp:positionH relativeFrom="column">
                  <wp:posOffset>3489960</wp:posOffset>
                </wp:positionH>
                <wp:positionV relativeFrom="paragraph">
                  <wp:posOffset>141605</wp:posOffset>
                </wp:positionV>
                <wp:extent cx="280987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385623" w:themeColor="accent6" w:themeShade="80"/>
                                <w:left w:val="none" w:sz="0" w:space="0" w:color="auto"/>
                                <w:bottom w:val="single" w:sz="4" w:space="0" w:color="385623" w:themeColor="accent6" w:themeShade="80"/>
                                <w:right w:val="none" w:sz="0" w:space="0" w:color="auto"/>
                                <w:insideH w:val="single" w:sz="4" w:space="0" w:color="385623" w:themeColor="accent6" w:themeShade="80"/>
                                <w:insideV w:val="none" w:sz="0" w:space="0" w:color="auto"/>
                              </w:tblBorders>
                              <w:tblLook w:val="04A0" w:firstRow="1" w:lastRow="0" w:firstColumn="1" w:lastColumn="0" w:noHBand="0" w:noVBand="1"/>
                            </w:tblPr>
                            <w:tblGrid>
                              <w:gridCol w:w="3544"/>
                              <w:gridCol w:w="709"/>
                            </w:tblGrid>
                            <w:tr w:rsidR="00B5423F" w:rsidTr="00724989">
                              <w:tc>
                                <w:tcPr>
                                  <w:tcW w:w="3544" w:type="dxa"/>
                                </w:tcPr>
                                <w:p w:rsidR="00B5423F" w:rsidRPr="007849E2" w:rsidRDefault="00B5423F"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B5423F" w:rsidRPr="007849E2" w:rsidRDefault="005E4705" w:rsidP="007849E2">
                                  <w:pPr>
                                    <w:spacing w:before="60" w:after="60" w:line="240" w:lineRule="auto"/>
                                    <w:jc w:val="right"/>
                                    <w:rPr>
                                      <w:rFonts w:asciiTheme="minorHAnsi" w:hAnsiTheme="minorHAnsi" w:cstheme="minorHAnsi"/>
                                    </w:rPr>
                                  </w:pPr>
                                  <w:r>
                                    <w:rPr>
                                      <w:rFonts w:asciiTheme="minorHAnsi" w:hAnsiTheme="minorHAnsi" w:cstheme="minorHAnsi"/>
                                    </w:rPr>
                                    <w:t>90</w:t>
                                  </w:r>
                                </w:p>
                              </w:tc>
                            </w:tr>
                            <w:tr w:rsidR="00B5423F" w:rsidTr="00724989">
                              <w:tc>
                                <w:tcPr>
                                  <w:tcW w:w="3544" w:type="dxa"/>
                                </w:tcPr>
                                <w:p w:rsidR="00B5423F" w:rsidRPr="007849E2" w:rsidRDefault="00B5423F"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B5423F" w:rsidRPr="007849E2" w:rsidRDefault="0092075B" w:rsidP="007849E2">
                                  <w:pPr>
                                    <w:spacing w:before="60" w:after="60" w:line="240" w:lineRule="auto"/>
                                    <w:jc w:val="right"/>
                                    <w:rPr>
                                      <w:rFonts w:asciiTheme="minorHAnsi" w:hAnsiTheme="minorHAnsi" w:cstheme="minorHAnsi"/>
                                    </w:rPr>
                                  </w:pPr>
                                  <w:r w:rsidRPr="00724989">
                                    <w:rPr>
                                      <w:rFonts w:asciiTheme="minorHAnsi" w:hAnsiTheme="minorHAnsi" w:cstheme="minorHAnsi"/>
                                    </w:rPr>
                                    <w:t>7</w:t>
                                  </w:r>
                                </w:p>
                              </w:tc>
                            </w:tr>
                            <w:tr w:rsidR="00B5423F" w:rsidTr="00724989">
                              <w:tc>
                                <w:tcPr>
                                  <w:tcW w:w="3544" w:type="dxa"/>
                                </w:tcPr>
                                <w:p w:rsidR="00B5423F" w:rsidRPr="007849E2" w:rsidRDefault="00B5423F"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B5423F" w:rsidRPr="007849E2" w:rsidRDefault="00B5423F" w:rsidP="007849E2">
                                  <w:pPr>
                                    <w:spacing w:before="60" w:after="60" w:line="240" w:lineRule="auto"/>
                                    <w:rPr>
                                      <w:rFonts w:asciiTheme="minorHAnsi" w:hAnsiTheme="minorHAnsi" w:cstheme="minorHAnsi"/>
                                    </w:rPr>
                                  </w:pPr>
                                </w:p>
                              </w:tc>
                            </w:tr>
                          </w:tbl>
                          <w:p w:rsidR="00B5423F" w:rsidRDefault="00B5423F" w:rsidP="00B542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E2C07" id="_x0000_t202" coordsize="21600,21600" o:spt="202" path="m,l,21600r21600,l21600,xe">
                <v:stroke joinstyle="miter"/>
                <v:path gradientshapeok="t" o:connecttype="rect"/>
              </v:shapetype>
              <v:shape id="Text Box 2" o:spid="_x0000_s1026" type="#_x0000_t202" style="position:absolute;margin-left:274.8pt;margin-top:11.15pt;width:221.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NaIQ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" stroked="f">
                <v:textbox>
                  <w:txbxContent>
                    <w:tbl>
                      <w:tblPr>
                        <w:tblStyle w:val="TableGrid"/>
                        <w:tblW w:w="4253" w:type="dxa"/>
                        <w:tblInd w:w="-142" w:type="dxa"/>
                        <w:tblBorders>
                          <w:top w:val="single" w:sz="4" w:space="0" w:color="385623" w:themeColor="accent6" w:themeShade="80"/>
                          <w:left w:val="none" w:sz="0" w:space="0" w:color="auto"/>
                          <w:bottom w:val="single" w:sz="4" w:space="0" w:color="385623" w:themeColor="accent6" w:themeShade="80"/>
                          <w:right w:val="none" w:sz="0" w:space="0" w:color="auto"/>
                          <w:insideH w:val="single" w:sz="4" w:space="0" w:color="385623" w:themeColor="accent6" w:themeShade="80"/>
                          <w:insideV w:val="none" w:sz="0" w:space="0" w:color="auto"/>
                        </w:tblBorders>
                        <w:tblLook w:val="04A0" w:firstRow="1" w:lastRow="0" w:firstColumn="1" w:lastColumn="0" w:noHBand="0" w:noVBand="1"/>
                      </w:tblPr>
                      <w:tblGrid>
                        <w:gridCol w:w="3544"/>
                        <w:gridCol w:w="709"/>
                      </w:tblGrid>
                      <w:tr w:rsidR="00B5423F" w:rsidTr="00724989">
                        <w:tc>
                          <w:tcPr>
                            <w:tcW w:w="3544" w:type="dxa"/>
                          </w:tcPr>
                          <w:p w:rsidR="00B5423F" w:rsidRPr="007849E2" w:rsidRDefault="00B5423F"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B5423F" w:rsidRPr="007849E2" w:rsidRDefault="005E4705" w:rsidP="007849E2">
                            <w:pPr>
                              <w:spacing w:before="60" w:after="60" w:line="240" w:lineRule="auto"/>
                              <w:jc w:val="right"/>
                              <w:rPr>
                                <w:rFonts w:asciiTheme="minorHAnsi" w:hAnsiTheme="minorHAnsi" w:cstheme="minorHAnsi"/>
                              </w:rPr>
                            </w:pPr>
                            <w:r>
                              <w:rPr>
                                <w:rFonts w:asciiTheme="minorHAnsi" w:hAnsiTheme="minorHAnsi" w:cstheme="minorHAnsi"/>
                              </w:rPr>
                              <w:t>90</w:t>
                            </w:r>
                          </w:p>
                        </w:tc>
                      </w:tr>
                      <w:tr w:rsidR="00B5423F" w:rsidTr="00724989">
                        <w:tc>
                          <w:tcPr>
                            <w:tcW w:w="3544" w:type="dxa"/>
                          </w:tcPr>
                          <w:p w:rsidR="00B5423F" w:rsidRPr="007849E2" w:rsidRDefault="00B5423F"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B5423F" w:rsidRPr="007849E2" w:rsidRDefault="0092075B" w:rsidP="007849E2">
                            <w:pPr>
                              <w:spacing w:before="60" w:after="60" w:line="240" w:lineRule="auto"/>
                              <w:jc w:val="right"/>
                              <w:rPr>
                                <w:rFonts w:asciiTheme="minorHAnsi" w:hAnsiTheme="minorHAnsi" w:cstheme="minorHAnsi"/>
                              </w:rPr>
                            </w:pPr>
                            <w:r w:rsidRPr="00724989">
                              <w:rPr>
                                <w:rFonts w:asciiTheme="minorHAnsi" w:hAnsiTheme="minorHAnsi" w:cstheme="minorHAnsi"/>
                              </w:rPr>
                              <w:t>7</w:t>
                            </w:r>
                          </w:p>
                        </w:tc>
                      </w:tr>
                      <w:tr w:rsidR="00B5423F" w:rsidTr="00724989">
                        <w:tc>
                          <w:tcPr>
                            <w:tcW w:w="3544" w:type="dxa"/>
                          </w:tcPr>
                          <w:p w:rsidR="00B5423F" w:rsidRPr="007849E2" w:rsidRDefault="00B5423F"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B5423F" w:rsidRPr="007849E2" w:rsidRDefault="00B5423F" w:rsidP="007849E2">
                            <w:pPr>
                              <w:spacing w:before="60" w:after="60" w:line="240" w:lineRule="auto"/>
                              <w:rPr>
                                <w:rFonts w:asciiTheme="minorHAnsi" w:hAnsiTheme="minorHAnsi" w:cstheme="minorHAnsi"/>
                              </w:rPr>
                            </w:pPr>
                          </w:p>
                        </w:tc>
                      </w:tr>
                    </w:tbl>
                    <w:p w:rsidR="00B5423F" w:rsidRDefault="00B5423F" w:rsidP="00B5423F"/>
                  </w:txbxContent>
                </v:textbox>
                <w10:wrap type="square"/>
              </v:shape>
            </w:pict>
          </mc:Fallback>
        </mc:AlternateContent>
      </w:r>
      <w:r w:rsidRPr="000D05F2">
        <w:rPr>
          <w:rFonts w:asciiTheme="minorHAnsi" w:hAnsiTheme="minorHAnsi" w:cstheme="minorHAnsi"/>
          <w:color w:val="000000" w:themeColor="text1"/>
        </w:rPr>
        <w:t xml:space="preserve">The Taskforce endorsed </w:t>
      </w:r>
      <w:r w:rsidR="00BA064B">
        <w:rPr>
          <w:rFonts w:asciiTheme="minorHAnsi" w:hAnsiTheme="minorHAnsi" w:cstheme="minorHAnsi"/>
          <w:color w:val="000000" w:themeColor="text1"/>
        </w:rPr>
        <w:t xml:space="preserve">all </w:t>
      </w:r>
      <w:proofErr w:type="gramStart"/>
      <w:r w:rsidR="00724989">
        <w:rPr>
          <w:rFonts w:asciiTheme="minorHAnsi" w:hAnsiTheme="minorHAnsi" w:cstheme="minorHAnsi"/>
          <w:color w:val="000000" w:themeColor="text1"/>
        </w:rPr>
        <w:t>7</w:t>
      </w:r>
      <w:proofErr w:type="gramEnd"/>
      <w:r>
        <w:rPr>
          <w:rFonts w:asciiTheme="minorHAnsi" w:hAnsiTheme="minorHAnsi" w:cstheme="minorHAnsi"/>
          <w:color w:val="000000" w:themeColor="text1"/>
        </w:rPr>
        <w:t xml:space="preserve"> recommendations</w:t>
      </w:r>
      <w:r w:rsidRPr="000D05F2">
        <w:rPr>
          <w:rFonts w:asciiTheme="minorHAnsi" w:hAnsiTheme="minorHAnsi" w:cstheme="minorHAnsi"/>
          <w:color w:val="000000" w:themeColor="text1"/>
        </w:rPr>
        <w:t xml:space="preserve"> from the Final Report from the </w:t>
      </w:r>
      <w:r w:rsidR="0092075B">
        <w:rPr>
          <w:rFonts w:asciiTheme="minorHAnsi" w:hAnsiTheme="minorHAnsi" w:cstheme="minorHAnsi"/>
          <w:color w:val="000000" w:themeColor="text1"/>
        </w:rPr>
        <w:t>P</w:t>
      </w:r>
      <w:r w:rsidR="00724989">
        <w:rPr>
          <w:rFonts w:asciiTheme="minorHAnsi" w:hAnsiTheme="minorHAnsi" w:cstheme="minorHAnsi"/>
          <w:color w:val="000000" w:themeColor="text1"/>
        </w:rPr>
        <w:t>S</w:t>
      </w:r>
      <w:r w:rsidR="0092075B">
        <w:rPr>
          <w:rFonts w:asciiTheme="minorHAnsi" w:hAnsiTheme="minorHAnsi" w:cstheme="minorHAnsi"/>
          <w:color w:val="000000" w:themeColor="text1"/>
        </w:rPr>
        <w:t>AG</w:t>
      </w:r>
      <w:r w:rsidR="00724989">
        <w:rPr>
          <w:rFonts w:asciiTheme="minorHAnsi" w:hAnsiTheme="minorHAnsi" w:cstheme="minorHAnsi"/>
          <w:color w:val="000000" w:themeColor="text1"/>
        </w:rPr>
        <w:t>, pending minor change to a fee increase,</w:t>
      </w:r>
      <w:r>
        <w:rPr>
          <w:rFonts w:asciiTheme="minorHAnsi" w:hAnsiTheme="minorHAnsi" w:cstheme="minorHAnsi"/>
          <w:color w:val="000000" w:themeColor="text1"/>
        </w:rPr>
        <w:t xml:space="preserve"> </w:t>
      </w:r>
      <w:r w:rsidR="0092075B">
        <w:rPr>
          <w:rFonts w:asciiTheme="minorHAnsi" w:hAnsiTheme="minorHAnsi" w:cstheme="minorHAnsi"/>
          <w:color w:val="000000" w:themeColor="text1"/>
        </w:rPr>
        <w:t xml:space="preserve">and </w:t>
      </w:r>
      <w:r w:rsidRPr="000D05F2">
        <w:rPr>
          <w:rFonts w:asciiTheme="minorHAnsi" w:hAnsiTheme="minorHAnsi" w:cstheme="minorHAnsi"/>
          <w:color w:val="000000" w:themeColor="text1"/>
        </w:rPr>
        <w:t xml:space="preserve">submitted them to the Minister for Health </w:t>
      </w:r>
      <w:r w:rsidRPr="00977A7C">
        <w:rPr>
          <w:rFonts w:asciiTheme="minorHAnsi" w:hAnsiTheme="minorHAnsi" w:cstheme="minorHAnsi"/>
          <w:color w:val="000000" w:themeColor="text1"/>
        </w:rPr>
        <w:t xml:space="preserve">for Government consideration. </w:t>
      </w:r>
    </w:p>
    <w:p w:rsidR="00A16B54" w:rsidRPr="00977A7C" w:rsidRDefault="00B5423F" w:rsidP="00B5423F">
      <w:pPr>
        <w:spacing w:before="120" w:after="0" w:line="360" w:lineRule="auto"/>
        <w:rPr>
          <w:rFonts w:asciiTheme="minorHAnsi" w:hAnsiTheme="minorHAnsi" w:cstheme="minorHAnsi"/>
        </w:rPr>
      </w:pPr>
      <w:r w:rsidRPr="00977A7C">
        <w:rPr>
          <w:rFonts w:asciiTheme="minorHAnsi" w:hAnsiTheme="minorHAnsi" w:cstheme="minorHAnsi"/>
          <w:color w:val="000000" w:themeColor="text1"/>
        </w:rPr>
        <w:t xml:space="preserve">The recommendations </w:t>
      </w:r>
      <w:proofErr w:type="gramStart"/>
      <w:r w:rsidRPr="00977A7C">
        <w:rPr>
          <w:rFonts w:asciiTheme="minorHAnsi" w:hAnsiTheme="minorHAnsi" w:cstheme="minorHAnsi"/>
          <w:color w:val="000000" w:themeColor="text1"/>
        </w:rPr>
        <w:t>are intended</w:t>
      </w:r>
      <w:proofErr w:type="gramEnd"/>
      <w:r w:rsidRPr="00977A7C">
        <w:rPr>
          <w:rFonts w:asciiTheme="minorHAnsi" w:hAnsiTheme="minorHAnsi" w:cstheme="minorHAnsi"/>
          <w:color w:val="000000" w:themeColor="text1"/>
        </w:rPr>
        <w:t xml:space="preserve"> to </w:t>
      </w:r>
      <w:r w:rsidRPr="00977A7C">
        <w:rPr>
          <w:rFonts w:asciiTheme="minorHAnsi" w:hAnsiTheme="minorHAnsi" w:cstheme="minorHAnsi"/>
        </w:rPr>
        <w:t>encourage best practice, improve patient care and safety, and ensure that MBS services provide value for the patient and the healthcare system</w:t>
      </w:r>
      <w:r w:rsidR="00A16B54" w:rsidRPr="00977A7C">
        <w:rPr>
          <w:rFonts w:asciiTheme="minorHAnsi" w:hAnsiTheme="minorHAnsi" w:cstheme="minorHAnsi"/>
        </w:rPr>
        <w:t xml:space="preserve">. This </w:t>
      </w:r>
      <w:proofErr w:type="gramStart"/>
      <w:r w:rsidR="00A16B54" w:rsidRPr="00977A7C">
        <w:rPr>
          <w:rFonts w:asciiTheme="minorHAnsi" w:hAnsiTheme="minorHAnsi" w:cstheme="minorHAnsi"/>
        </w:rPr>
        <w:t>will be achieved</w:t>
      </w:r>
      <w:proofErr w:type="gramEnd"/>
      <w:r w:rsidR="00A16B54" w:rsidRPr="00977A7C">
        <w:rPr>
          <w:rFonts w:asciiTheme="minorHAnsi" w:hAnsiTheme="minorHAnsi" w:cstheme="minorHAnsi"/>
        </w:rPr>
        <w:t xml:space="preserve"> by</w:t>
      </w:r>
      <w:r w:rsidRPr="00977A7C">
        <w:rPr>
          <w:rFonts w:asciiTheme="minorHAnsi" w:hAnsiTheme="minorHAnsi" w:cstheme="minorHAnsi"/>
        </w:rPr>
        <w:t xml:space="preserve"> </w:t>
      </w:r>
      <w:r w:rsidR="00A16B54" w:rsidRPr="00977A7C">
        <w:rPr>
          <w:rFonts w:asciiTheme="minorHAnsi" w:hAnsiTheme="minorHAnsi" w:cstheme="minorHAnsi"/>
        </w:rPr>
        <w:t>encouraging research by key</w:t>
      </w:r>
      <w:r w:rsidR="00977A7C">
        <w:rPr>
          <w:rFonts w:asciiTheme="minorHAnsi" w:hAnsiTheme="minorHAnsi" w:cstheme="minorHAnsi"/>
        </w:rPr>
        <w:t xml:space="preserve"> </w:t>
      </w:r>
      <w:r w:rsidR="00A16B54" w:rsidRPr="00977A7C">
        <w:rPr>
          <w:rFonts w:asciiTheme="minorHAnsi" w:hAnsiTheme="minorHAnsi" w:cstheme="minorHAnsi"/>
        </w:rPr>
        <w:t>stakeholders, amending item descriptors to reflect best practice and contemporary terminology; reduce misuse of existing MBS items and improve transparency for patients by creating items, and providing clinical guidance for appropriate analgesia use through item descriptions.</w:t>
      </w:r>
    </w:p>
    <w:p w:rsidR="00B5423F" w:rsidRPr="009D55F8" w:rsidRDefault="00B5423F" w:rsidP="00B5423F">
      <w:pPr>
        <w:spacing w:before="240" w:after="0" w:line="360" w:lineRule="auto"/>
        <w:ind w:left="2126" w:hanging="2126"/>
        <w:rPr>
          <w:rFonts w:asciiTheme="minorHAnsi" w:eastAsia="Times New Roman" w:hAnsiTheme="minorHAnsi"/>
          <w:b/>
          <w:color w:val="01653F"/>
          <w:sz w:val="32"/>
          <w:szCs w:val="24"/>
          <w:lang w:val="en-US"/>
        </w:rPr>
      </w:pPr>
      <w:r>
        <w:rPr>
          <w:rFonts w:asciiTheme="minorHAnsi" w:eastAsia="Times New Roman" w:hAnsiTheme="minorHAnsi"/>
          <w:b/>
          <w:color w:val="01653F"/>
          <w:sz w:val="32"/>
          <w:szCs w:val="24"/>
          <w:lang w:val="en-US"/>
        </w:rPr>
        <w:t>List of Taskforce R</w:t>
      </w:r>
      <w:r w:rsidRPr="009D55F8">
        <w:rPr>
          <w:rFonts w:asciiTheme="minorHAnsi" w:eastAsia="Times New Roman" w:hAnsiTheme="minorHAnsi"/>
          <w:b/>
          <w:color w:val="01653F"/>
          <w:sz w:val="32"/>
          <w:szCs w:val="24"/>
          <w:lang w:val="en-US"/>
        </w:rPr>
        <w:t>ecommendations</w:t>
      </w:r>
    </w:p>
    <w:p w:rsidR="00B5423F" w:rsidRPr="00135FED" w:rsidRDefault="00B5423F" w:rsidP="00B5423F">
      <w:pPr>
        <w:spacing w:before="240" w:after="0" w:line="360" w:lineRule="auto"/>
        <w:ind w:left="2126" w:hanging="2126"/>
        <w:rPr>
          <w:rFonts w:asciiTheme="minorHAnsi" w:eastAsia="Times New Roman" w:hAnsiTheme="minorHAnsi"/>
          <w:b/>
          <w:color w:val="01653F"/>
          <w:sz w:val="32"/>
          <w:szCs w:val="24"/>
          <w:lang w:val="en-US"/>
        </w:rPr>
      </w:pPr>
      <w:r w:rsidRPr="00135FED">
        <w:rPr>
          <w:rFonts w:asciiTheme="minorHAnsi" w:eastAsia="Times New Roman" w:hAnsiTheme="minorHAnsi"/>
          <w:b/>
          <w:color w:val="01653F"/>
          <w:sz w:val="32"/>
          <w:szCs w:val="24"/>
          <w:lang w:val="en-US"/>
        </w:rPr>
        <w:t xml:space="preserve">Recommendations: </w:t>
      </w:r>
    </w:p>
    <w:p w:rsidR="00B5423F" w:rsidRPr="00F04DAA" w:rsidRDefault="00F97AD4" w:rsidP="00B5423F">
      <w:pPr>
        <w:spacing w:after="120" w:line="360" w:lineRule="auto"/>
        <w:rPr>
          <w:rFonts w:asciiTheme="minorHAnsi" w:eastAsia="Times New Roman" w:hAnsiTheme="minorHAnsi"/>
          <w:b/>
          <w:szCs w:val="24"/>
          <w:lang w:val="en-US"/>
        </w:rPr>
      </w:pPr>
      <w:r>
        <w:rPr>
          <w:rFonts w:asciiTheme="minorHAnsi" w:eastAsia="Times New Roman" w:hAnsiTheme="minorHAnsi"/>
          <w:b/>
          <w:szCs w:val="24"/>
          <w:lang w:val="en-US"/>
        </w:rPr>
        <w:t>Recommendation 1</w:t>
      </w:r>
    </w:p>
    <w:p w:rsidR="0092075B" w:rsidRPr="0092075B" w:rsidRDefault="0092075B" w:rsidP="0092075B">
      <w:pPr>
        <w:spacing w:before="240" w:after="120" w:line="360" w:lineRule="auto"/>
        <w:rPr>
          <w:rFonts w:asciiTheme="minorHAnsi" w:hAnsiTheme="minorHAnsi" w:cstheme="minorHAnsi"/>
        </w:rPr>
      </w:pPr>
      <w:r w:rsidRPr="0092075B">
        <w:rPr>
          <w:rFonts w:asciiTheme="minorHAnsi" w:hAnsiTheme="minorHAnsi" w:cstheme="minorHAnsi"/>
        </w:rPr>
        <w:t xml:space="preserve">Update the terminology in the descriptors of item numbers 37845, 37848 and 37851 to reflect contemporary terminology.  </w:t>
      </w:r>
    </w:p>
    <w:p w:rsidR="0092075B" w:rsidRPr="0092075B" w:rsidRDefault="0092075B" w:rsidP="0092075B">
      <w:pPr>
        <w:spacing w:before="240" w:after="120" w:line="360" w:lineRule="auto"/>
        <w:rPr>
          <w:rFonts w:asciiTheme="minorHAnsi" w:hAnsiTheme="minorHAnsi" w:cstheme="minorHAnsi"/>
        </w:rPr>
      </w:pPr>
      <w:r w:rsidRPr="0092075B">
        <w:rPr>
          <w:rFonts w:asciiTheme="minorHAnsi" w:hAnsiTheme="minorHAnsi" w:cstheme="minorHAnsi"/>
        </w:rPr>
        <w:t>The proposed descriptors are:</w:t>
      </w:r>
    </w:p>
    <w:p w:rsidR="0092075B" w:rsidRPr="0092075B" w:rsidRDefault="0092075B" w:rsidP="0092075B">
      <w:pPr>
        <w:pStyle w:val="ListParagraph"/>
        <w:numPr>
          <w:ilvl w:val="0"/>
          <w:numId w:val="1"/>
        </w:numPr>
        <w:spacing w:before="240" w:after="120" w:line="360" w:lineRule="auto"/>
        <w:rPr>
          <w:rFonts w:asciiTheme="minorHAnsi" w:hAnsiTheme="minorHAnsi" w:cstheme="minorHAnsi"/>
        </w:rPr>
      </w:pPr>
      <w:r w:rsidRPr="0092075B">
        <w:rPr>
          <w:rFonts w:asciiTheme="minorHAnsi" w:hAnsiTheme="minorHAnsi" w:cstheme="minorHAnsi"/>
        </w:rPr>
        <w:lastRenderedPageBreak/>
        <w:t xml:space="preserve">Item 37845 - Congenital disorder of sexual differentiation with urogenital sinus, external </w:t>
      </w:r>
      <w:proofErr w:type="spellStart"/>
      <w:r w:rsidRPr="0092075B">
        <w:rPr>
          <w:rFonts w:asciiTheme="minorHAnsi" w:hAnsiTheme="minorHAnsi" w:cstheme="minorHAnsi"/>
        </w:rPr>
        <w:t>genitoplasty</w:t>
      </w:r>
      <w:proofErr w:type="spellEnd"/>
      <w:r w:rsidRPr="0092075B">
        <w:rPr>
          <w:rFonts w:asciiTheme="minorHAnsi" w:hAnsiTheme="minorHAnsi" w:cstheme="minorHAnsi"/>
        </w:rPr>
        <w:t xml:space="preserve"> with or without endoscopy (Anaes.) (Assist.)</w:t>
      </w:r>
      <w:r w:rsidR="007E52D5">
        <w:rPr>
          <w:rFonts w:asciiTheme="minorHAnsi" w:hAnsiTheme="minorHAnsi" w:cstheme="minorHAnsi"/>
        </w:rPr>
        <w:t>.</w:t>
      </w:r>
    </w:p>
    <w:p w:rsidR="0092075B" w:rsidRPr="0092075B" w:rsidRDefault="0092075B" w:rsidP="0092075B">
      <w:pPr>
        <w:pStyle w:val="ListParagraph"/>
        <w:numPr>
          <w:ilvl w:val="0"/>
          <w:numId w:val="1"/>
        </w:numPr>
        <w:spacing w:before="240" w:after="120" w:line="360" w:lineRule="auto"/>
        <w:rPr>
          <w:rFonts w:asciiTheme="minorHAnsi" w:hAnsiTheme="minorHAnsi" w:cstheme="minorHAnsi"/>
        </w:rPr>
      </w:pPr>
      <w:r w:rsidRPr="0092075B">
        <w:rPr>
          <w:rFonts w:asciiTheme="minorHAnsi" w:hAnsiTheme="minorHAnsi" w:cstheme="minorHAnsi"/>
        </w:rPr>
        <w:t xml:space="preserve">Item 37848 - Congenital disorder of sexual differentiation with urogenital sinus, external </w:t>
      </w:r>
      <w:proofErr w:type="spellStart"/>
      <w:r w:rsidRPr="0092075B">
        <w:rPr>
          <w:rFonts w:asciiTheme="minorHAnsi" w:hAnsiTheme="minorHAnsi" w:cstheme="minorHAnsi"/>
        </w:rPr>
        <w:t>genitoplasty</w:t>
      </w:r>
      <w:proofErr w:type="spellEnd"/>
      <w:r w:rsidRPr="0092075B">
        <w:rPr>
          <w:rFonts w:asciiTheme="minorHAnsi" w:hAnsiTheme="minorHAnsi" w:cstheme="minorHAnsi"/>
        </w:rPr>
        <w:t xml:space="preserve"> with endoscopy and </w:t>
      </w:r>
      <w:proofErr w:type="spellStart"/>
      <w:r w:rsidRPr="0092075B">
        <w:rPr>
          <w:rFonts w:asciiTheme="minorHAnsi" w:hAnsiTheme="minorHAnsi" w:cstheme="minorHAnsi"/>
        </w:rPr>
        <w:t>vaginoplasty</w:t>
      </w:r>
      <w:proofErr w:type="spellEnd"/>
      <w:r w:rsidRPr="0092075B">
        <w:rPr>
          <w:rFonts w:asciiTheme="minorHAnsi" w:hAnsiTheme="minorHAnsi" w:cstheme="minorHAnsi"/>
        </w:rPr>
        <w:t xml:space="preserve"> (Anaes.) (Assist.)</w:t>
      </w:r>
      <w:r w:rsidR="007E52D5">
        <w:rPr>
          <w:rFonts w:asciiTheme="minorHAnsi" w:hAnsiTheme="minorHAnsi" w:cstheme="minorHAnsi"/>
        </w:rPr>
        <w:t>.</w:t>
      </w:r>
    </w:p>
    <w:p w:rsidR="0092075B" w:rsidRDefault="0092075B" w:rsidP="0092075B">
      <w:pPr>
        <w:pStyle w:val="ListParagraph"/>
        <w:numPr>
          <w:ilvl w:val="0"/>
          <w:numId w:val="1"/>
        </w:numPr>
        <w:spacing w:before="240" w:after="120" w:line="360" w:lineRule="auto"/>
        <w:rPr>
          <w:rFonts w:asciiTheme="minorHAnsi" w:hAnsiTheme="minorHAnsi" w:cstheme="minorHAnsi"/>
        </w:rPr>
      </w:pPr>
      <w:r w:rsidRPr="0092075B">
        <w:rPr>
          <w:rFonts w:asciiTheme="minorHAnsi" w:hAnsiTheme="minorHAnsi" w:cstheme="minorHAnsi"/>
        </w:rPr>
        <w:t xml:space="preserve">Item 37851 - Congenital disorder of sexual differentiation, </w:t>
      </w:r>
      <w:proofErr w:type="spellStart"/>
      <w:r w:rsidRPr="0092075B">
        <w:rPr>
          <w:rFonts w:asciiTheme="minorHAnsi" w:hAnsiTheme="minorHAnsi" w:cstheme="minorHAnsi"/>
        </w:rPr>
        <w:t>vaginoplasty</w:t>
      </w:r>
      <w:proofErr w:type="spellEnd"/>
      <w:r w:rsidRPr="0092075B">
        <w:rPr>
          <w:rFonts w:asciiTheme="minorHAnsi" w:hAnsiTheme="minorHAnsi" w:cstheme="minorHAnsi"/>
        </w:rPr>
        <w:t xml:space="preserve"> for, with or without endoscopy (Anaes.) (Assist.)</w:t>
      </w:r>
      <w:r w:rsidR="007E52D5">
        <w:rPr>
          <w:rFonts w:asciiTheme="minorHAnsi" w:hAnsiTheme="minorHAnsi" w:cstheme="minorHAnsi"/>
        </w:rPr>
        <w:t>.</w:t>
      </w:r>
    </w:p>
    <w:p w:rsidR="00724989" w:rsidRPr="00724989" w:rsidRDefault="00724989" w:rsidP="00724989">
      <w:pPr>
        <w:spacing w:before="240" w:after="120" w:line="360" w:lineRule="auto"/>
        <w:ind w:left="360"/>
        <w:rPr>
          <w:rFonts w:asciiTheme="minorHAnsi" w:hAnsiTheme="minorHAnsi" w:cstheme="minorHAnsi"/>
        </w:rPr>
      </w:pPr>
      <w:r w:rsidRPr="00724989">
        <w:rPr>
          <w:rFonts w:asciiTheme="minorHAnsi" w:hAnsiTheme="minorHAnsi" w:cstheme="minorHAnsi"/>
        </w:rPr>
        <w:t xml:space="preserve">The MBS item descriptor </w:t>
      </w:r>
      <w:proofErr w:type="gramStart"/>
      <w:r w:rsidRPr="00724989">
        <w:rPr>
          <w:rFonts w:asciiTheme="minorHAnsi" w:hAnsiTheme="minorHAnsi" w:cstheme="minorHAnsi"/>
        </w:rPr>
        <w:t>has not been updated</w:t>
      </w:r>
      <w:proofErr w:type="gramEnd"/>
      <w:r w:rsidRPr="00724989">
        <w:rPr>
          <w:rFonts w:asciiTheme="minorHAnsi" w:hAnsiTheme="minorHAnsi" w:cstheme="minorHAnsi"/>
        </w:rPr>
        <w:t xml:space="preserve"> since the items w</w:t>
      </w:r>
      <w:r>
        <w:rPr>
          <w:rFonts w:asciiTheme="minorHAnsi" w:hAnsiTheme="minorHAnsi" w:cstheme="minorHAnsi"/>
        </w:rPr>
        <w:t xml:space="preserve">ere introduced in November 1994, and no longer </w:t>
      </w:r>
      <w:r w:rsidRPr="00724989">
        <w:rPr>
          <w:rFonts w:asciiTheme="minorHAnsi" w:hAnsiTheme="minorHAnsi" w:cstheme="minorHAnsi"/>
        </w:rPr>
        <w:t>reflect contemporary community attitudes.</w:t>
      </w:r>
    </w:p>
    <w:p w:rsidR="00B5423F" w:rsidRPr="00F97AD4" w:rsidRDefault="00B5423F" w:rsidP="0092075B">
      <w:pPr>
        <w:spacing w:before="240" w:after="120" w:line="360" w:lineRule="auto"/>
        <w:rPr>
          <w:rFonts w:asciiTheme="minorHAnsi" w:eastAsia="Times New Roman" w:hAnsiTheme="minorHAnsi" w:cstheme="minorHAnsi"/>
          <w:b/>
          <w:szCs w:val="24"/>
          <w:lang w:val="en-US"/>
        </w:rPr>
      </w:pPr>
      <w:r w:rsidRPr="00F97AD4">
        <w:rPr>
          <w:rFonts w:asciiTheme="minorHAnsi" w:eastAsia="Times New Roman" w:hAnsiTheme="minorHAnsi" w:cstheme="minorHAnsi"/>
          <w:b/>
          <w:szCs w:val="24"/>
          <w:lang w:val="en-US"/>
        </w:rPr>
        <w:t>R</w:t>
      </w:r>
      <w:r w:rsidR="00401A14" w:rsidRPr="00F97AD4">
        <w:rPr>
          <w:rFonts w:asciiTheme="minorHAnsi" w:eastAsia="Times New Roman" w:hAnsiTheme="minorHAnsi" w:cstheme="minorHAnsi"/>
          <w:b/>
          <w:szCs w:val="24"/>
          <w:lang w:val="en-US"/>
        </w:rPr>
        <w:t xml:space="preserve">ecommendation 2 </w:t>
      </w:r>
    </w:p>
    <w:p w:rsidR="00401A14" w:rsidRDefault="00724989" w:rsidP="0092075B">
      <w:pPr>
        <w:spacing w:before="240" w:after="120" w:line="360" w:lineRule="auto"/>
        <w:rPr>
          <w:rFonts w:asciiTheme="minorHAnsi" w:hAnsiTheme="minorHAnsi" w:cstheme="minorHAnsi"/>
        </w:rPr>
      </w:pPr>
      <w:r>
        <w:rPr>
          <w:rFonts w:asciiTheme="minorHAnsi" w:hAnsiTheme="minorHAnsi" w:cstheme="minorHAnsi"/>
        </w:rPr>
        <w:t xml:space="preserve">Recommend that </w:t>
      </w:r>
      <w:r w:rsidRPr="00F97AD4">
        <w:rPr>
          <w:rFonts w:asciiTheme="minorHAnsi" w:hAnsiTheme="minorHAnsi" w:cstheme="minorHAnsi"/>
        </w:rPr>
        <w:t>relevant</w:t>
      </w:r>
      <w:r w:rsidR="00401A14" w:rsidRPr="00F97AD4">
        <w:rPr>
          <w:rFonts w:asciiTheme="minorHAnsi" w:hAnsiTheme="minorHAnsi" w:cstheme="minorHAnsi"/>
        </w:rPr>
        <w:t xml:space="preserve"> peak organisations, craft groups, professional bodies and societies (the sector) survey members to seek information about their knowledge and experience of circumcision and circumcision revision procedures.</w:t>
      </w:r>
    </w:p>
    <w:p w:rsidR="00724989" w:rsidRPr="00F97AD4" w:rsidRDefault="00724989" w:rsidP="00724989">
      <w:pPr>
        <w:spacing w:before="240" w:after="120" w:line="360" w:lineRule="auto"/>
        <w:rPr>
          <w:rFonts w:asciiTheme="minorHAnsi" w:hAnsiTheme="minorHAnsi" w:cstheme="minorHAnsi"/>
        </w:rPr>
      </w:pPr>
      <w:r w:rsidRPr="00724989">
        <w:rPr>
          <w:rFonts w:asciiTheme="minorHAnsi" w:hAnsiTheme="minorHAnsi" w:cstheme="minorHAnsi"/>
        </w:rPr>
        <w:t>There is a need to improve the visibility and understanding of circumcision and circumcision revision in Australia, this includes the number of procedures. Survey results will provide an evidence-base to better understand the drivers of circumcision revision, known to include bleeding, infection, removal of too much or too little skin and, rarely, partial or full loss of glans or penis.</w:t>
      </w:r>
    </w:p>
    <w:p w:rsidR="00401A14" w:rsidRPr="00F97AD4" w:rsidRDefault="00401A14" w:rsidP="00F97AD4">
      <w:pPr>
        <w:spacing w:before="240" w:after="120" w:line="360" w:lineRule="auto"/>
        <w:rPr>
          <w:rFonts w:asciiTheme="minorHAnsi" w:eastAsia="Times New Roman" w:hAnsiTheme="minorHAnsi" w:cstheme="minorHAnsi"/>
          <w:b/>
          <w:szCs w:val="24"/>
          <w:lang w:val="en-US"/>
        </w:rPr>
      </w:pPr>
      <w:bookmarkStart w:id="0" w:name="_Toc7695314"/>
      <w:r w:rsidRPr="00F97AD4">
        <w:rPr>
          <w:rFonts w:asciiTheme="minorHAnsi" w:eastAsia="Times New Roman" w:hAnsiTheme="minorHAnsi" w:cstheme="minorHAnsi"/>
          <w:b/>
          <w:szCs w:val="24"/>
          <w:lang w:val="en-US"/>
        </w:rPr>
        <w:t>Recommendation 3</w:t>
      </w:r>
      <w:bookmarkEnd w:id="0"/>
    </w:p>
    <w:p w:rsidR="00724989" w:rsidRDefault="00401A14" w:rsidP="006A1DC5">
      <w:pPr>
        <w:spacing w:before="240" w:after="120" w:line="360" w:lineRule="auto"/>
        <w:rPr>
          <w:rFonts w:asciiTheme="minorHAnsi" w:hAnsiTheme="minorHAnsi" w:cstheme="minorHAnsi"/>
        </w:rPr>
      </w:pPr>
      <w:bookmarkStart w:id="1" w:name="_Toc7635363"/>
      <w:r w:rsidRPr="00F97AD4">
        <w:rPr>
          <w:rFonts w:asciiTheme="minorHAnsi" w:hAnsiTheme="minorHAnsi" w:cstheme="minorHAnsi"/>
        </w:rPr>
        <w:t xml:space="preserve">Introduce two new MBS item numbers to </w:t>
      </w:r>
      <w:proofErr w:type="gramStart"/>
      <w:r w:rsidRPr="00F97AD4">
        <w:rPr>
          <w:rFonts w:asciiTheme="minorHAnsi" w:hAnsiTheme="minorHAnsi" w:cstheme="minorHAnsi"/>
        </w:rPr>
        <w:t>be used</w:t>
      </w:r>
      <w:proofErr w:type="gramEnd"/>
      <w:r w:rsidRPr="00F97AD4">
        <w:rPr>
          <w:rFonts w:asciiTheme="minorHAnsi" w:hAnsiTheme="minorHAnsi" w:cstheme="minorHAnsi"/>
        </w:rPr>
        <w:t xml:space="preserve"> for circumcision revision procedures, one item for a simple surgical repair and one item for more complex repairs, particularly where they involve a flap.</w:t>
      </w:r>
      <w:bookmarkStart w:id="2" w:name="_Toc7695317"/>
      <w:bookmarkEnd w:id="1"/>
    </w:p>
    <w:p w:rsidR="00724989" w:rsidRDefault="00724989" w:rsidP="006A1DC5">
      <w:pPr>
        <w:spacing w:before="240" w:after="120" w:line="360" w:lineRule="auto"/>
        <w:rPr>
          <w:rFonts w:asciiTheme="minorHAnsi" w:hAnsiTheme="minorHAnsi" w:cstheme="minorHAnsi"/>
        </w:rPr>
      </w:pPr>
      <w:r w:rsidRPr="00724989">
        <w:rPr>
          <w:rFonts w:asciiTheme="minorHAnsi" w:hAnsiTheme="minorHAnsi" w:cstheme="minorHAnsi"/>
        </w:rPr>
        <w:t xml:space="preserve">Amend item descriptors for current items that </w:t>
      </w:r>
      <w:proofErr w:type="gramStart"/>
      <w:r w:rsidRPr="00724989">
        <w:rPr>
          <w:rFonts w:asciiTheme="minorHAnsi" w:hAnsiTheme="minorHAnsi" w:cstheme="minorHAnsi"/>
        </w:rPr>
        <w:t>are used</w:t>
      </w:r>
      <w:proofErr w:type="gramEnd"/>
      <w:r w:rsidRPr="00724989">
        <w:rPr>
          <w:rFonts w:asciiTheme="minorHAnsi" w:hAnsiTheme="minorHAnsi" w:cstheme="minorHAnsi"/>
        </w:rPr>
        <w:t xml:space="preserve"> for circumcision revision to restrict their use for that procedure.</w:t>
      </w:r>
    </w:p>
    <w:p w:rsidR="00724989" w:rsidRPr="00724989" w:rsidRDefault="00724989" w:rsidP="00724989">
      <w:pPr>
        <w:spacing w:before="240" w:after="120" w:line="360" w:lineRule="auto"/>
        <w:rPr>
          <w:rFonts w:asciiTheme="minorHAnsi" w:hAnsiTheme="minorHAnsi" w:cstheme="minorHAnsi"/>
        </w:rPr>
      </w:pPr>
      <w:r w:rsidRPr="00724989">
        <w:rPr>
          <w:rFonts w:asciiTheme="minorHAnsi" w:hAnsiTheme="minorHAnsi" w:cstheme="minorHAnsi"/>
        </w:rPr>
        <w:t>The creation of new item numbers for circumcision revision is necessary to achieve the MBS Review Taskforce’s objective to modernise the MBS and ensure that individual items and their descriptors are consistent with contemporary best practice.</w:t>
      </w:r>
    </w:p>
    <w:p w:rsidR="00724989" w:rsidRDefault="00724989" w:rsidP="00724989">
      <w:pPr>
        <w:spacing w:before="240" w:after="120" w:line="360" w:lineRule="auto"/>
        <w:rPr>
          <w:rFonts w:asciiTheme="minorHAnsi" w:hAnsiTheme="minorHAnsi" w:cstheme="minorHAnsi"/>
        </w:rPr>
      </w:pPr>
      <w:r w:rsidRPr="00724989">
        <w:rPr>
          <w:rFonts w:asciiTheme="minorHAnsi" w:hAnsiTheme="minorHAnsi" w:cstheme="minorHAnsi"/>
        </w:rPr>
        <w:t>The creation of two new MBS item numbers for circumcision revision will reduce current misuse of existing MBS items, improve transparency for patients and will provide some evidence of incidence in private sector settings.</w:t>
      </w:r>
    </w:p>
    <w:p w:rsidR="006A1DC5" w:rsidRPr="006A1DC5" w:rsidRDefault="006A1DC5" w:rsidP="006A1DC5">
      <w:pPr>
        <w:spacing w:before="240" w:after="120" w:line="360" w:lineRule="auto"/>
        <w:rPr>
          <w:rFonts w:asciiTheme="minorHAnsi" w:eastAsia="Times New Roman" w:hAnsiTheme="minorHAnsi" w:cstheme="minorHAnsi"/>
          <w:b/>
          <w:szCs w:val="24"/>
          <w:lang w:val="en-US"/>
        </w:rPr>
      </w:pPr>
      <w:r w:rsidRPr="006A1DC5">
        <w:rPr>
          <w:rFonts w:asciiTheme="minorHAnsi" w:eastAsia="Times New Roman" w:hAnsiTheme="minorHAnsi" w:cstheme="minorHAnsi"/>
          <w:b/>
          <w:szCs w:val="24"/>
          <w:lang w:val="en-US"/>
        </w:rPr>
        <w:lastRenderedPageBreak/>
        <w:t>Recommendation 4</w:t>
      </w:r>
      <w:bookmarkEnd w:id="2"/>
    </w:p>
    <w:p w:rsidR="006A1DC5" w:rsidRPr="006A1DC5" w:rsidRDefault="006A1DC5" w:rsidP="006A1DC5">
      <w:pPr>
        <w:spacing w:before="240" w:after="120" w:line="360" w:lineRule="auto"/>
        <w:rPr>
          <w:rFonts w:asciiTheme="minorHAnsi" w:hAnsiTheme="minorHAnsi" w:cstheme="minorHAnsi"/>
        </w:rPr>
      </w:pPr>
      <w:r w:rsidRPr="006A1DC5">
        <w:rPr>
          <w:rFonts w:asciiTheme="minorHAnsi" w:hAnsiTheme="minorHAnsi" w:cstheme="minorHAnsi"/>
        </w:rPr>
        <w:t xml:space="preserve">The Advisory Group supports recommendation 5.5.2 of the Urology Clinical Committee (UCC) that the descriptor for item 30654 </w:t>
      </w:r>
      <w:proofErr w:type="gramStart"/>
      <w:r w:rsidRPr="006A1DC5">
        <w:rPr>
          <w:rFonts w:asciiTheme="minorHAnsi" w:hAnsiTheme="minorHAnsi" w:cstheme="minorHAnsi"/>
        </w:rPr>
        <w:t>be amended</w:t>
      </w:r>
      <w:proofErr w:type="gramEnd"/>
      <w:r w:rsidRPr="006A1DC5">
        <w:rPr>
          <w:rFonts w:asciiTheme="minorHAnsi" w:hAnsiTheme="minorHAnsi" w:cstheme="minorHAnsi"/>
        </w:rPr>
        <w:t xml:space="preserve"> to mandate the use of analgesia for this procedure as follows:</w:t>
      </w:r>
    </w:p>
    <w:p w:rsidR="006A1DC5" w:rsidRDefault="006A1DC5" w:rsidP="00AA2A57">
      <w:pPr>
        <w:pStyle w:val="ListParagraph"/>
        <w:numPr>
          <w:ilvl w:val="0"/>
          <w:numId w:val="4"/>
        </w:numPr>
        <w:spacing w:before="240" w:after="120" w:line="360" w:lineRule="auto"/>
        <w:rPr>
          <w:rFonts w:asciiTheme="minorHAnsi" w:hAnsiTheme="minorHAnsi" w:cstheme="minorHAnsi"/>
          <w:i/>
        </w:rPr>
      </w:pPr>
      <w:r w:rsidRPr="00AA2A57">
        <w:rPr>
          <w:rFonts w:asciiTheme="minorHAnsi" w:hAnsiTheme="minorHAnsi" w:cstheme="minorHAnsi"/>
          <w:i/>
        </w:rPr>
        <w:t xml:space="preserve">Circumcision of the penis (other than a service to which item 30658 applies), with topical or local analgesia </w:t>
      </w:r>
    </w:p>
    <w:p w:rsidR="00AA2A57" w:rsidRPr="00AA2A57" w:rsidRDefault="00AA2A57" w:rsidP="00AA2A57">
      <w:pPr>
        <w:spacing w:before="240" w:after="120" w:line="360" w:lineRule="auto"/>
        <w:rPr>
          <w:rFonts w:asciiTheme="minorHAnsi" w:hAnsiTheme="minorHAnsi" w:cstheme="minorHAnsi"/>
        </w:rPr>
      </w:pPr>
      <w:r w:rsidRPr="00AA2A57">
        <w:rPr>
          <w:rFonts w:asciiTheme="minorHAnsi" w:hAnsiTheme="minorHAnsi" w:cstheme="minorHAnsi"/>
        </w:rPr>
        <w:t xml:space="preserve">At present, item 30654 allows circumcision to </w:t>
      </w:r>
      <w:proofErr w:type="gramStart"/>
      <w:r w:rsidRPr="00AA2A57">
        <w:rPr>
          <w:rFonts w:asciiTheme="minorHAnsi" w:hAnsiTheme="minorHAnsi" w:cstheme="minorHAnsi"/>
        </w:rPr>
        <w:t>be performed</w:t>
      </w:r>
      <w:proofErr w:type="gramEnd"/>
      <w:r w:rsidRPr="00AA2A57">
        <w:rPr>
          <w:rFonts w:asciiTheme="minorHAnsi" w:hAnsiTheme="minorHAnsi" w:cstheme="minorHAnsi"/>
        </w:rPr>
        <w:t xml:space="preserve"> without pain relief. </w:t>
      </w:r>
      <w:r>
        <w:rPr>
          <w:rFonts w:asciiTheme="minorHAnsi" w:hAnsiTheme="minorHAnsi" w:cstheme="minorHAnsi"/>
        </w:rPr>
        <w:t>T</w:t>
      </w:r>
      <w:r w:rsidRPr="00AA2A57">
        <w:rPr>
          <w:rFonts w:asciiTheme="minorHAnsi" w:hAnsiTheme="minorHAnsi" w:cstheme="minorHAnsi"/>
        </w:rPr>
        <w:t>his recommendation aligns the MBS with The RACP</w:t>
      </w:r>
      <w:r>
        <w:rPr>
          <w:rFonts w:asciiTheme="minorHAnsi" w:hAnsiTheme="minorHAnsi" w:cstheme="minorHAnsi"/>
        </w:rPr>
        <w:t>’s stance that ‘</w:t>
      </w:r>
      <w:r w:rsidRPr="00AA2A57">
        <w:rPr>
          <w:rFonts w:asciiTheme="minorHAnsi" w:hAnsiTheme="minorHAnsi" w:cstheme="minorHAnsi"/>
          <w:i/>
        </w:rPr>
        <w:t>infant circumcision without analgesia is unacceptable practice</w:t>
      </w:r>
      <w:r w:rsidRPr="00AA2A57">
        <w:rPr>
          <w:rFonts w:asciiTheme="minorHAnsi" w:hAnsiTheme="minorHAnsi" w:cstheme="minorHAnsi"/>
        </w:rPr>
        <w:t>…’</w:t>
      </w:r>
    </w:p>
    <w:p w:rsidR="00401A14" w:rsidRPr="00F97AD4" w:rsidRDefault="00401A14" w:rsidP="00F97AD4">
      <w:pPr>
        <w:spacing w:before="240" w:after="120" w:line="360" w:lineRule="auto"/>
        <w:rPr>
          <w:rFonts w:asciiTheme="minorHAnsi" w:eastAsia="Times New Roman" w:hAnsiTheme="minorHAnsi" w:cstheme="minorHAnsi"/>
          <w:b/>
          <w:szCs w:val="24"/>
          <w:lang w:val="en-US"/>
        </w:rPr>
      </w:pPr>
      <w:r w:rsidRPr="00F97AD4">
        <w:rPr>
          <w:rFonts w:asciiTheme="minorHAnsi" w:eastAsia="Times New Roman" w:hAnsiTheme="minorHAnsi" w:cstheme="minorHAnsi"/>
          <w:b/>
          <w:szCs w:val="24"/>
          <w:lang w:val="en-US"/>
        </w:rPr>
        <w:t>Recommendation 5</w:t>
      </w:r>
    </w:p>
    <w:p w:rsidR="00CC4693" w:rsidRDefault="00CC4693" w:rsidP="00267ED8">
      <w:pPr>
        <w:spacing w:before="240" w:after="120" w:line="360" w:lineRule="auto"/>
        <w:rPr>
          <w:rFonts w:asciiTheme="minorHAnsi" w:hAnsiTheme="minorHAnsi" w:cstheme="minorHAnsi"/>
        </w:rPr>
      </w:pPr>
      <w:bookmarkStart w:id="3" w:name="_Toc7695322"/>
      <w:r w:rsidRPr="00CC4693">
        <w:rPr>
          <w:rFonts w:asciiTheme="minorHAnsi" w:hAnsiTheme="minorHAnsi" w:cstheme="minorHAnsi"/>
        </w:rPr>
        <w:t xml:space="preserve">Align the fee for inguinal hernia </w:t>
      </w:r>
      <w:r w:rsidR="00AA2A57">
        <w:rPr>
          <w:rFonts w:asciiTheme="minorHAnsi" w:hAnsiTheme="minorHAnsi" w:cstheme="minorHAnsi"/>
        </w:rPr>
        <w:t xml:space="preserve">at age less than 12 months </w:t>
      </w:r>
      <w:r w:rsidRPr="00CC4693">
        <w:rPr>
          <w:rFonts w:asciiTheme="minorHAnsi" w:hAnsiTheme="minorHAnsi" w:cstheme="minorHAnsi"/>
        </w:rPr>
        <w:t>items 44108, 44111 and 44114 to be consistent with the fee for inguinal hernia surgery for children under 10 years of age (item 43841)</w:t>
      </w:r>
      <w:r>
        <w:rPr>
          <w:rFonts w:asciiTheme="minorHAnsi" w:hAnsiTheme="minorHAnsi" w:cstheme="minorHAnsi"/>
        </w:rPr>
        <w:t>.</w:t>
      </w:r>
    </w:p>
    <w:p w:rsidR="00CC4693" w:rsidRDefault="00CC4693" w:rsidP="00267ED8">
      <w:pPr>
        <w:spacing w:before="240" w:after="120" w:line="360" w:lineRule="auto"/>
        <w:rPr>
          <w:rFonts w:asciiTheme="minorHAnsi" w:hAnsiTheme="minorHAnsi" w:cstheme="minorHAnsi"/>
        </w:rPr>
      </w:pPr>
      <w:r w:rsidRPr="00CC4693">
        <w:rPr>
          <w:rFonts w:asciiTheme="minorHAnsi" w:hAnsiTheme="minorHAnsi" w:cstheme="minorHAnsi"/>
        </w:rPr>
        <w:t xml:space="preserve">These procedures </w:t>
      </w:r>
      <w:proofErr w:type="gramStart"/>
      <w:r w:rsidRPr="00CC4693">
        <w:rPr>
          <w:rFonts w:asciiTheme="minorHAnsi" w:hAnsiTheme="minorHAnsi" w:cstheme="minorHAnsi"/>
        </w:rPr>
        <w:t xml:space="preserve">are </w:t>
      </w:r>
      <w:r w:rsidR="00AA2A57" w:rsidRPr="00CC4693">
        <w:rPr>
          <w:rFonts w:asciiTheme="minorHAnsi" w:hAnsiTheme="minorHAnsi" w:cstheme="minorHAnsi"/>
        </w:rPr>
        <w:t>specifically</w:t>
      </w:r>
      <w:r w:rsidRPr="00CC4693">
        <w:rPr>
          <w:rFonts w:asciiTheme="minorHAnsi" w:hAnsiTheme="minorHAnsi" w:cstheme="minorHAnsi"/>
        </w:rPr>
        <w:t xml:space="preserve"> provided</w:t>
      </w:r>
      <w:proofErr w:type="gramEnd"/>
      <w:r w:rsidRPr="00CC4693">
        <w:rPr>
          <w:rFonts w:asciiTheme="minorHAnsi" w:hAnsiTheme="minorHAnsi" w:cstheme="minorHAnsi"/>
        </w:rPr>
        <w:t xml:space="preserve"> to patients less than 12 months of age, who are often premature with a birth weight under 3kg and anaemic</w:t>
      </w:r>
      <w:r w:rsidR="00AA2A57">
        <w:rPr>
          <w:rFonts w:asciiTheme="minorHAnsi" w:hAnsiTheme="minorHAnsi" w:cstheme="minorHAnsi"/>
        </w:rPr>
        <w:t>, making them more complex to similar surgeries in older patients</w:t>
      </w:r>
      <w:r w:rsidRPr="00CC4693">
        <w:rPr>
          <w:rFonts w:asciiTheme="minorHAnsi" w:hAnsiTheme="minorHAnsi" w:cstheme="minorHAnsi"/>
        </w:rPr>
        <w:t>.</w:t>
      </w:r>
    </w:p>
    <w:p w:rsidR="00267ED8" w:rsidRPr="00267ED8" w:rsidRDefault="00267ED8" w:rsidP="00267ED8">
      <w:pPr>
        <w:spacing w:before="240" w:after="120" w:line="360" w:lineRule="auto"/>
        <w:rPr>
          <w:rFonts w:asciiTheme="minorHAnsi" w:eastAsia="Times New Roman" w:hAnsiTheme="minorHAnsi" w:cstheme="minorHAnsi"/>
          <w:b/>
          <w:szCs w:val="24"/>
          <w:lang w:val="en-US"/>
        </w:rPr>
      </w:pPr>
      <w:bookmarkStart w:id="4" w:name="_GoBack"/>
      <w:bookmarkEnd w:id="4"/>
      <w:r w:rsidRPr="00267ED8">
        <w:rPr>
          <w:rFonts w:asciiTheme="minorHAnsi" w:eastAsia="Times New Roman" w:hAnsiTheme="minorHAnsi" w:cstheme="minorHAnsi"/>
          <w:b/>
          <w:szCs w:val="24"/>
          <w:lang w:val="en-US"/>
        </w:rPr>
        <w:t>Recommendation 6</w:t>
      </w:r>
      <w:bookmarkEnd w:id="3"/>
    </w:p>
    <w:p w:rsidR="00267ED8" w:rsidRDefault="00267ED8" w:rsidP="00267ED8">
      <w:pPr>
        <w:spacing w:before="240" w:after="120" w:line="360" w:lineRule="auto"/>
        <w:rPr>
          <w:rFonts w:asciiTheme="minorHAnsi" w:hAnsiTheme="minorHAnsi" w:cstheme="minorHAnsi"/>
        </w:rPr>
      </w:pPr>
      <w:r w:rsidRPr="00267ED8">
        <w:rPr>
          <w:rFonts w:asciiTheme="minorHAnsi" w:hAnsiTheme="minorHAnsi" w:cstheme="minorHAnsi"/>
        </w:rPr>
        <w:t>Remove the 85 per cent benefit for item 44111 to ensure that obstructed or strangulated inguinal hernia repair can only receive an MBS rebate when performed in a hospital setting.</w:t>
      </w:r>
    </w:p>
    <w:p w:rsidR="00CC4693" w:rsidRPr="00267ED8" w:rsidRDefault="00CC4693" w:rsidP="00267ED8">
      <w:pPr>
        <w:spacing w:before="240" w:after="120" w:line="360" w:lineRule="auto"/>
        <w:rPr>
          <w:rFonts w:asciiTheme="minorHAnsi" w:hAnsiTheme="minorHAnsi" w:cstheme="minorHAnsi"/>
        </w:rPr>
      </w:pPr>
      <w:r w:rsidRPr="00CC4693">
        <w:rPr>
          <w:rFonts w:asciiTheme="minorHAnsi" w:hAnsiTheme="minorHAnsi" w:cstheme="minorHAnsi"/>
        </w:rPr>
        <w:t xml:space="preserve">This is complex surgery and </w:t>
      </w:r>
      <w:proofErr w:type="gramStart"/>
      <w:r w:rsidRPr="00CC4693">
        <w:rPr>
          <w:rFonts w:asciiTheme="minorHAnsi" w:hAnsiTheme="minorHAnsi" w:cstheme="minorHAnsi"/>
        </w:rPr>
        <w:t>should only be performed</w:t>
      </w:r>
      <w:proofErr w:type="gramEnd"/>
      <w:r w:rsidRPr="00CC4693">
        <w:rPr>
          <w:rFonts w:asciiTheme="minorHAnsi" w:hAnsiTheme="minorHAnsi" w:cstheme="minorHAnsi"/>
        </w:rPr>
        <w:t xml:space="preserve"> in a hospital setting where the relevant standards for quality control and other accreditation requirements are met</w:t>
      </w:r>
      <w:r>
        <w:rPr>
          <w:rFonts w:asciiTheme="minorHAnsi" w:hAnsiTheme="minorHAnsi" w:cstheme="minorHAnsi"/>
        </w:rPr>
        <w:t>. This will align item 44111 with similar items such as 44108 and 44114.</w:t>
      </w:r>
    </w:p>
    <w:p w:rsidR="00267ED8" w:rsidRPr="00267ED8" w:rsidRDefault="00267ED8" w:rsidP="00267ED8">
      <w:pPr>
        <w:spacing w:before="240" w:after="120" w:line="360" w:lineRule="auto"/>
        <w:rPr>
          <w:rFonts w:asciiTheme="minorHAnsi" w:eastAsia="Times New Roman" w:hAnsiTheme="minorHAnsi" w:cstheme="minorHAnsi"/>
          <w:b/>
          <w:szCs w:val="24"/>
          <w:lang w:val="en-US"/>
        </w:rPr>
      </w:pPr>
      <w:bookmarkStart w:id="5" w:name="_Toc7695325"/>
      <w:r w:rsidRPr="00267ED8">
        <w:rPr>
          <w:rFonts w:asciiTheme="minorHAnsi" w:eastAsia="Times New Roman" w:hAnsiTheme="minorHAnsi" w:cstheme="minorHAnsi"/>
          <w:b/>
          <w:szCs w:val="24"/>
          <w:lang w:val="en-US"/>
        </w:rPr>
        <w:t>Recommendation 7</w:t>
      </w:r>
      <w:bookmarkEnd w:id="5"/>
    </w:p>
    <w:p w:rsidR="00267ED8" w:rsidRDefault="00267ED8" w:rsidP="00F97AD4">
      <w:pPr>
        <w:spacing w:before="240" w:after="120" w:line="360" w:lineRule="auto"/>
        <w:rPr>
          <w:rFonts w:asciiTheme="minorHAnsi" w:hAnsiTheme="minorHAnsi" w:cstheme="minorHAnsi"/>
        </w:rPr>
      </w:pPr>
      <w:r w:rsidRPr="00267ED8">
        <w:rPr>
          <w:rFonts w:asciiTheme="minorHAnsi" w:hAnsiTheme="minorHAnsi" w:cstheme="minorHAnsi"/>
        </w:rPr>
        <w:t xml:space="preserve">Remove the 85 per cent benefit for item 43882 to ensure that procedures to address cloacal </w:t>
      </w:r>
      <w:proofErr w:type="spellStart"/>
      <w:r w:rsidRPr="00267ED8">
        <w:rPr>
          <w:rFonts w:asciiTheme="minorHAnsi" w:hAnsiTheme="minorHAnsi" w:cstheme="minorHAnsi"/>
        </w:rPr>
        <w:t>exstrophy</w:t>
      </w:r>
      <w:proofErr w:type="spellEnd"/>
      <w:r w:rsidRPr="00267ED8">
        <w:rPr>
          <w:rFonts w:asciiTheme="minorHAnsi" w:hAnsiTheme="minorHAnsi" w:cstheme="minorHAnsi"/>
        </w:rPr>
        <w:t xml:space="preserve"> can only receive an MBS rebate when performed in a hospital setting.</w:t>
      </w:r>
    </w:p>
    <w:p w:rsidR="00CC4693" w:rsidRPr="00F97AD4" w:rsidRDefault="00CC4693" w:rsidP="00F97AD4">
      <w:pPr>
        <w:spacing w:before="240" w:after="120" w:line="360" w:lineRule="auto"/>
        <w:rPr>
          <w:rFonts w:asciiTheme="minorHAnsi" w:hAnsiTheme="minorHAnsi" w:cstheme="minorHAnsi"/>
        </w:rPr>
      </w:pPr>
      <w:r w:rsidRPr="00CC4693">
        <w:rPr>
          <w:rFonts w:asciiTheme="minorHAnsi" w:hAnsiTheme="minorHAnsi" w:cstheme="minorHAnsi"/>
        </w:rPr>
        <w:t xml:space="preserve">This is a complex surgery </w:t>
      </w:r>
      <w:r>
        <w:rPr>
          <w:rFonts w:asciiTheme="minorHAnsi" w:hAnsiTheme="minorHAnsi" w:cstheme="minorHAnsi"/>
        </w:rPr>
        <w:t xml:space="preserve">for </w:t>
      </w:r>
      <w:r w:rsidRPr="00CC4693">
        <w:rPr>
          <w:rFonts w:asciiTheme="minorHAnsi" w:hAnsiTheme="minorHAnsi" w:cstheme="minorHAnsi"/>
        </w:rPr>
        <w:t>a rare and severe birth defect where some</w:t>
      </w:r>
      <w:r>
        <w:rPr>
          <w:rFonts w:asciiTheme="minorHAnsi" w:hAnsiTheme="minorHAnsi" w:cstheme="minorHAnsi"/>
        </w:rPr>
        <w:t>,</w:t>
      </w:r>
      <w:r w:rsidRPr="00CC4693">
        <w:rPr>
          <w:rFonts w:asciiTheme="minorHAnsi" w:hAnsiTheme="minorHAnsi" w:cstheme="minorHAnsi"/>
        </w:rPr>
        <w:t xml:space="preserve"> or all</w:t>
      </w:r>
      <w:r>
        <w:rPr>
          <w:rFonts w:asciiTheme="minorHAnsi" w:hAnsiTheme="minorHAnsi" w:cstheme="minorHAnsi"/>
        </w:rPr>
        <w:t>,</w:t>
      </w:r>
      <w:r w:rsidRPr="00CC4693">
        <w:rPr>
          <w:rFonts w:asciiTheme="minorHAnsi" w:hAnsiTheme="minorHAnsi" w:cstheme="minorHAnsi"/>
        </w:rPr>
        <w:t xml:space="preserve"> of the abdomen is exposed</w:t>
      </w:r>
      <w:r>
        <w:rPr>
          <w:rFonts w:asciiTheme="minorHAnsi" w:hAnsiTheme="minorHAnsi" w:cstheme="minorHAnsi"/>
        </w:rPr>
        <w:t xml:space="preserve">. </w:t>
      </w:r>
      <w:r w:rsidRPr="00CC4693">
        <w:rPr>
          <w:rFonts w:asciiTheme="minorHAnsi" w:hAnsiTheme="minorHAnsi" w:cstheme="minorHAnsi"/>
        </w:rPr>
        <w:t xml:space="preserve">The procedure </w:t>
      </w:r>
      <w:proofErr w:type="gramStart"/>
      <w:r w:rsidRPr="00CC4693">
        <w:rPr>
          <w:rFonts w:asciiTheme="minorHAnsi" w:hAnsiTheme="minorHAnsi" w:cstheme="minorHAnsi"/>
        </w:rPr>
        <w:t>should only be performed</w:t>
      </w:r>
      <w:proofErr w:type="gramEnd"/>
      <w:r w:rsidRPr="00CC4693">
        <w:rPr>
          <w:rFonts w:asciiTheme="minorHAnsi" w:hAnsiTheme="minorHAnsi" w:cstheme="minorHAnsi"/>
        </w:rPr>
        <w:t xml:space="preserve"> in a hospital setting where the relevant standards for quality control and other accreditation requirements are met.</w:t>
      </w:r>
    </w:p>
    <w:sectPr w:rsidR="00CC4693" w:rsidRPr="00F97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18C0"/>
    <w:multiLevelType w:val="hybridMultilevel"/>
    <w:tmpl w:val="5C52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54ADA"/>
    <w:multiLevelType w:val="hybridMultilevel"/>
    <w:tmpl w:val="A1D4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25871"/>
    <w:multiLevelType w:val="hybridMultilevel"/>
    <w:tmpl w:val="0FEC2D4C"/>
    <w:lvl w:ilvl="0" w:tplc="13D6454C">
      <w:start w:val="1"/>
      <w:numFmt w:val="bullet"/>
      <w:pStyle w:val="Bullet2"/>
      <w:lvlText w:val="o"/>
      <w:lvlJc w:val="left"/>
      <w:pPr>
        <w:ind w:left="436" w:hanging="360"/>
      </w:pPr>
      <w:rPr>
        <w:rFonts w:ascii="Courier New" w:hAnsi="Courier New" w:cs="Courier New"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7D0575B2"/>
    <w:multiLevelType w:val="multilevel"/>
    <w:tmpl w:val="0E46D6E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3" w:hanging="576"/>
      </w:pPr>
      <w:rPr>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1287" w:hanging="720"/>
      </w:pPr>
      <w:rPr>
        <w:rFonts w:hint="default"/>
      </w:rPr>
    </w:lvl>
    <w:lvl w:ilvl="3">
      <w:start w:val="1"/>
      <w:numFmt w:val="decimal"/>
      <w:lvlText w:val="%1.%2.%3.%4"/>
      <w:lvlJc w:val="left"/>
      <w:pPr>
        <w:ind w:left="-2822" w:hanging="864"/>
      </w:pPr>
      <w:rPr>
        <w:rFonts w:hint="default"/>
      </w:rPr>
    </w:lvl>
    <w:lvl w:ilvl="4">
      <w:start w:val="1"/>
      <w:numFmt w:val="decimal"/>
      <w:lvlText w:val="%1.%2.%3.%4.%5"/>
      <w:lvlJc w:val="left"/>
      <w:pPr>
        <w:ind w:left="-2678" w:hanging="1008"/>
      </w:pPr>
      <w:rPr>
        <w:rFonts w:hint="default"/>
      </w:rPr>
    </w:lvl>
    <w:lvl w:ilvl="5">
      <w:start w:val="1"/>
      <w:numFmt w:val="decimal"/>
      <w:lvlText w:val="%1.%2.%3.%4.%5.%6"/>
      <w:lvlJc w:val="left"/>
      <w:pPr>
        <w:ind w:left="-2534" w:hanging="1152"/>
      </w:pPr>
      <w:rPr>
        <w:rFonts w:hint="default"/>
      </w:rPr>
    </w:lvl>
    <w:lvl w:ilvl="6">
      <w:start w:val="1"/>
      <w:numFmt w:val="decimal"/>
      <w:lvlText w:val="%1.%2.%3.%4.%5.%6.%7"/>
      <w:lvlJc w:val="left"/>
      <w:pPr>
        <w:ind w:left="-2390" w:hanging="1296"/>
      </w:pPr>
      <w:rPr>
        <w:rFonts w:hint="default"/>
      </w:rPr>
    </w:lvl>
    <w:lvl w:ilvl="7">
      <w:start w:val="1"/>
      <w:numFmt w:val="decimal"/>
      <w:lvlText w:val="%1.%2.%3.%4.%5.%6.%7.%8"/>
      <w:lvlJc w:val="left"/>
      <w:pPr>
        <w:ind w:left="-2246" w:hanging="1440"/>
      </w:pPr>
      <w:rPr>
        <w:rFonts w:hint="default"/>
      </w:rPr>
    </w:lvl>
    <w:lvl w:ilvl="8">
      <w:start w:val="1"/>
      <w:numFmt w:val="decimal"/>
      <w:lvlText w:val="%1.%2.%3.%4.%5.%6.%7.%8.%9"/>
      <w:lvlJc w:val="left"/>
      <w:pPr>
        <w:ind w:left="-2102" w:hanging="1584"/>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3F"/>
    <w:rsid w:val="000E2044"/>
    <w:rsid w:val="001A4B21"/>
    <w:rsid w:val="00267ED8"/>
    <w:rsid w:val="00280050"/>
    <w:rsid w:val="002D7AAB"/>
    <w:rsid w:val="00401A14"/>
    <w:rsid w:val="005E4705"/>
    <w:rsid w:val="00653CC0"/>
    <w:rsid w:val="006A1DC5"/>
    <w:rsid w:val="00724989"/>
    <w:rsid w:val="007E52D5"/>
    <w:rsid w:val="0092075B"/>
    <w:rsid w:val="00977A7C"/>
    <w:rsid w:val="00A16B54"/>
    <w:rsid w:val="00AA2A57"/>
    <w:rsid w:val="00B5423F"/>
    <w:rsid w:val="00BA064B"/>
    <w:rsid w:val="00CC4693"/>
    <w:rsid w:val="00F14D6C"/>
    <w:rsid w:val="00F9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E44D"/>
  <w15:chartTrackingRefBased/>
  <w15:docId w15:val="{D9226572-B9EB-4CA1-AB27-02DD7398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3F"/>
    <w:pPr>
      <w:spacing w:after="200" w:line="276" w:lineRule="auto"/>
    </w:pPr>
    <w:rPr>
      <w:rFonts w:ascii="Arial" w:eastAsia="Calibri" w:hAnsi="Arial"/>
      <w:sz w:val="22"/>
      <w:szCs w:val="22"/>
    </w:rPr>
  </w:style>
  <w:style w:type="paragraph" w:styleId="Heading1">
    <w:name w:val="heading 1"/>
    <w:basedOn w:val="Normal"/>
    <w:next w:val="Normal"/>
    <w:link w:val="Heading1Char"/>
    <w:uiPriority w:val="9"/>
    <w:qFormat/>
    <w:rsid w:val="00401A14"/>
    <w:pPr>
      <w:keepNext/>
      <w:widowControl w:val="0"/>
      <w:numPr>
        <w:numId w:val="2"/>
      </w:numPr>
      <w:pBdr>
        <w:bottom w:val="single" w:sz="16" w:space="11" w:color="BFBFBF"/>
      </w:pBdr>
      <w:autoSpaceDE w:val="0"/>
      <w:autoSpaceDN w:val="0"/>
      <w:adjustRightInd w:val="0"/>
      <w:spacing w:before="720" w:after="720" w:line="312" w:lineRule="auto"/>
      <w:textAlignment w:val="center"/>
      <w:outlineLvl w:val="0"/>
    </w:pPr>
    <w:rPr>
      <w:rFonts w:asciiTheme="minorHAnsi" w:eastAsia="Times New Roman" w:hAnsiTheme="minorHAnsi" w:cstheme="minorHAnsi"/>
      <w:b/>
      <w:bCs/>
      <w:color w:val="01653F"/>
      <w:sz w:val="40"/>
      <w:szCs w:val="40"/>
      <w:lang w:val="en-US"/>
    </w:rPr>
  </w:style>
  <w:style w:type="paragraph" w:styleId="Heading2">
    <w:name w:val="heading 2"/>
    <w:basedOn w:val="Normal"/>
    <w:next w:val="Normal"/>
    <w:link w:val="Heading2Char"/>
    <w:uiPriority w:val="5"/>
    <w:qFormat/>
    <w:rsid w:val="00401A14"/>
    <w:pPr>
      <w:keepNext/>
      <w:numPr>
        <w:ilvl w:val="1"/>
        <w:numId w:val="2"/>
      </w:numPr>
      <w:spacing w:before="120" w:after="120" w:line="312" w:lineRule="auto"/>
      <w:ind w:left="0" w:firstLine="0"/>
      <w:outlineLvl w:val="1"/>
    </w:pPr>
    <w:rPr>
      <w:rFonts w:asciiTheme="minorHAnsi" w:eastAsiaTheme="minorHAnsi" w:hAnsiTheme="minorHAnsi" w:cs="Arial"/>
      <w:b/>
      <w:bCs/>
      <w:iCs/>
      <w:color w:val="01653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23F"/>
    <w:pPr>
      <w:spacing w:after="0" w:line="240" w:lineRule="auto"/>
    </w:pPr>
    <w:rPr>
      <w:rFonts w:ascii="Arial" w:eastAsia="Calibri" w:hAnsi="Arial"/>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qFormat/>
    <w:rsid w:val="00B5423F"/>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B5423F"/>
    <w:rPr>
      <w:rFonts w:asciiTheme="minorHAnsi" w:eastAsia="Times New Roman" w:hAnsiTheme="minorHAnsi" w:cs="Arial"/>
      <w:b/>
      <w:color w:val="01653F"/>
      <w:spacing w:val="5"/>
      <w:sz w:val="44"/>
      <w:szCs w:val="48"/>
      <w:lang w:eastAsia="en-AU"/>
    </w:rPr>
  </w:style>
  <w:style w:type="paragraph" w:styleId="Title">
    <w:name w:val="Title"/>
    <w:basedOn w:val="Normal"/>
    <w:next w:val="Normal"/>
    <w:link w:val="TitleChar"/>
    <w:qFormat/>
    <w:rsid w:val="00B5423F"/>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B5423F"/>
    <w:rPr>
      <w:rFonts w:asciiTheme="minorHAnsi" w:eastAsia="Times New Roman" w:hAnsiTheme="minorHAnsi" w:cs="Arial"/>
      <w:b/>
      <w:spacing w:val="5"/>
      <w:sz w:val="52"/>
      <w:szCs w:val="60"/>
      <w:lang w:eastAsia="en-AU"/>
    </w:rPr>
  </w:style>
  <w:style w:type="paragraph" w:styleId="ListParagraph">
    <w:name w:val="List Paragraph"/>
    <w:basedOn w:val="Normal"/>
    <w:uiPriority w:val="34"/>
    <w:qFormat/>
    <w:rsid w:val="0092075B"/>
    <w:pPr>
      <w:ind w:left="720"/>
      <w:contextualSpacing/>
    </w:pPr>
  </w:style>
  <w:style w:type="character" w:customStyle="1" w:styleId="Heading1Char">
    <w:name w:val="Heading 1 Char"/>
    <w:basedOn w:val="DefaultParagraphFont"/>
    <w:link w:val="Heading1"/>
    <w:uiPriority w:val="9"/>
    <w:rsid w:val="00401A14"/>
    <w:rPr>
      <w:rFonts w:asciiTheme="minorHAnsi" w:eastAsia="Times New Roman" w:hAnsiTheme="minorHAnsi" w:cstheme="minorHAnsi"/>
      <w:b/>
      <w:bCs/>
      <w:color w:val="01653F"/>
      <w:sz w:val="40"/>
      <w:szCs w:val="40"/>
      <w:lang w:val="en-US"/>
    </w:rPr>
  </w:style>
  <w:style w:type="character" w:customStyle="1" w:styleId="Heading2Char">
    <w:name w:val="Heading 2 Char"/>
    <w:basedOn w:val="DefaultParagraphFont"/>
    <w:link w:val="Heading2"/>
    <w:uiPriority w:val="5"/>
    <w:rsid w:val="00401A14"/>
    <w:rPr>
      <w:rFonts w:asciiTheme="minorHAnsi" w:hAnsiTheme="minorHAnsi" w:cs="Arial"/>
      <w:b/>
      <w:bCs/>
      <w:iCs/>
      <w:color w:val="01653F"/>
      <w:sz w:val="26"/>
      <w:szCs w:val="26"/>
      <w:lang w:val="en-US"/>
    </w:rPr>
  </w:style>
  <w:style w:type="paragraph" w:customStyle="1" w:styleId="Heading3Numbered">
    <w:name w:val="Heading 3 Numbered"/>
    <w:basedOn w:val="Heading2"/>
    <w:uiPriority w:val="5"/>
    <w:qFormat/>
    <w:rsid w:val="00401A14"/>
    <w:pPr>
      <w:numPr>
        <w:ilvl w:val="2"/>
      </w:numPr>
      <w:outlineLvl w:val="2"/>
    </w:pPr>
    <w:rPr>
      <w:color w:val="auto"/>
      <w:sz w:val="24"/>
    </w:rPr>
  </w:style>
  <w:style w:type="paragraph" w:customStyle="1" w:styleId="Bullet2">
    <w:name w:val="Bullet 2"/>
    <w:basedOn w:val="Normal"/>
    <w:link w:val="Bullet2Char"/>
    <w:qFormat/>
    <w:rsid w:val="006A1DC5"/>
    <w:pPr>
      <w:numPr>
        <w:numId w:val="3"/>
      </w:numPr>
      <w:spacing w:before="120" w:after="60" w:line="312" w:lineRule="auto"/>
      <w:ind w:right="142"/>
    </w:pPr>
    <w:rPr>
      <w:rFonts w:asciiTheme="minorHAnsi" w:eastAsia="Times New Roman" w:hAnsiTheme="minorHAnsi"/>
      <w:szCs w:val="20"/>
      <w:lang w:val="en-US"/>
    </w:rPr>
  </w:style>
  <w:style w:type="character" w:customStyle="1" w:styleId="Bullet2Char">
    <w:name w:val="Bullet 2 Char"/>
    <w:basedOn w:val="DefaultParagraphFont"/>
    <w:link w:val="Bullet2"/>
    <w:locked/>
    <w:rsid w:val="006A1DC5"/>
    <w:rPr>
      <w:rFonts w:asciiTheme="minorHAnsi" w:eastAsia="Times New Roman" w:hAnsiTheme="minorHAnsi"/>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Youngberry, Jessica</dc:creator>
  <cp:keywords/>
  <dc:description/>
  <cp:lastModifiedBy>YOUNGBERRY, Jessica</cp:lastModifiedBy>
  <cp:revision>8</cp:revision>
  <dcterms:created xsi:type="dcterms:W3CDTF">2020-05-20T05:52:00Z</dcterms:created>
  <dcterms:modified xsi:type="dcterms:W3CDTF">2020-12-03T05:13:00Z</dcterms:modified>
</cp:coreProperties>
</file>