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FCC44" w14:textId="77777777" w:rsidR="00CE615D" w:rsidRPr="00C04139" w:rsidRDefault="00CE615D" w:rsidP="00CE615D">
      <w:pPr>
        <w:pStyle w:val="Subtitle"/>
        <w:spacing w:before="0" w:after="0" w:line="360" w:lineRule="auto"/>
        <w:rPr>
          <w:sz w:val="40"/>
        </w:rPr>
      </w:pPr>
      <w:r w:rsidRPr="00C04139">
        <w:rPr>
          <w:sz w:val="40"/>
        </w:rPr>
        <w:t>Medicare Benefits Schedule Review Taskforce</w:t>
      </w:r>
    </w:p>
    <w:p w14:paraId="2CAC1D41" w14:textId="77777777" w:rsidR="00CE615D" w:rsidRPr="006E45AF" w:rsidRDefault="00CE615D" w:rsidP="00CE615D">
      <w:pPr>
        <w:pStyle w:val="Title"/>
        <w:spacing w:before="0" w:after="0" w:line="360" w:lineRule="auto"/>
      </w:pPr>
      <w:r w:rsidRPr="006E45AF">
        <w:t>Taskforce Findings</w:t>
      </w:r>
    </w:p>
    <w:p w14:paraId="61EB0434" w14:textId="7C145584" w:rsidR="00CE615D" w:rsidRPr="00C04139" w:rsidRDefault="008960AF" w:rsidP="00CE615D">
      <w:pPr>
        <w:pStyle w:val="Title"/>
        <w:spacing w:before="0" w:after="0" w:line="360" w:lineRule="auto"/>
        <w:rPr>
          <w:sz w:val="48"/>
        </w:rPr>
      </w:pPr>
      <w:r>
        <w:t>Diagnostic Medicine</w:t>
      </w:r>
      <w:r w:rsidR="00CE615D" w:rsidRPr="005C7FB0">
        <w:t xml:space="preserve"> </w:t>
      </w:r>
      <w:r w:rsidR="00CE615D">
        <w:t xml:space="preserve">Clinical Committee </w:t>
      </w:r>
      <w:r w:rsidR="00CE615D" w:rsidRPr="00C04139">
        <w:rPr>
          <w:sz w:val="48"/>
        </w:rPr>
        <w:t>Report</w:t>
      </w:r>
    </w:p>
    <w:p w14:paraId="39839038" w14:textId="3379F7CC" w:rsidR="00C014FB" w:rsidRPr="00D13751" w:rsidRDefault="00C014FB" w:rsidP="00C014FB">
      <w:pPr>
        <w:spacing w:before="0" w:after="0" w:line="360" w:lineRule="auto"/>
        <w:rPr>
          <w:rFonts w:cstheme="minorHAnsi"/>
          <w:color w:val="000000" w:themeColor="text1"/>
          <w:szCs w:val="22"/>
        </w:rPr>
      </w:pPr>
      <w:r w:rsidRPr="00D13751">
        <w:rPr>
          <w:rFonts w:cstheme="minorHAnsi"/>
          <w:color w:val="000000" w:themeColor="text1"/>
          <w:szCs w:val="22"/>
        </w:rPr>
        <w:t xml:space="preserve">This document outlines the Medicare Benefits Schedule (MBS) Taskforce’s recommendations in response to the </w:t>
      </w:r>
      <w:r>
        <w:rPr>
          <w:rFonts w:cstheme="minorHAnsi"/>
          <w:color w:val="000000" w:themeColor="text1"/>
          <w:szCs w:val="22"/>
        </w:rPr>
        <w:t>Diagnostic Medicine Clin</w:t>
      </w:r>
      <w:r w:rsidRPr="00D13751">
        <w:rPr>
          <w:rFonts w:cstheme="minorHAnsi"/>
          <w:color w:val="000000" w:themeColor="text1"/>
          <w:szCs w:val="22"/>
        </w:rPr>
        <w:t xml:space="preserve">ical Committee </w:t>
      </w:r>
      <w:r>
        <w:rPr>
          <w:rFonts w:cstheme="minorHAnsi"/>
          <w:color w:val="000000" w:themeColor="text1"/>
          <w:szCs w:val="22"/>
        </w:rPr>
        <w:t xml:space="preserve">(DMCC) </w:t>
      </w:r>
      <w:r w:rsidRPr="00D13751">
        <w:rPr>
          <w:rFonts w:cstheme="minorHAnsi"/>
          <w:color w:val="000000" w:themeColor="text1"/>
          <w:szCs w:val="22"/>
        </w:rPr>
        <w:t xml:space="preserve">Report. The Taskforce considered the recommendations from the </w:t>
      </w:r>
      <w:r>
        <w:rPr>
          <w:rFonts w:cstheme="minorHAnsi"/>
          <w:color w:val="000000" w:themeColor="text1"/>
          <w:szCs w:val="22"/>
        </w:rPr>
        <w:t>DMCC</w:t>
      </w:r>
      <w:r w:rsidRPr="00D13751">
        <w:rPr>
          <w:rFonts w:cstheme="minorHAnsi"/>
          <w:color w:val="000000" w:themeColor="text1"/>
          <w:szCs w:val="22"/>
        </w:rPr>
        <w:t xml:space="preserve"> and feedback from stakeholders received during a targeted consultation period.</w:t>
      </w:r>
    </w:p>
    <w:tbl>
      <w:tblPr>
        <w:tblStyle w:val="TableGrid"/>
        <w:tblpPr w:leftFromText="180" w:rightFromText="180" w:vertAnchor="text" w:horzAnchor="page" w:tblpX="6848" w:tblpY="56"/>
        <w:tblW w:w="2298" w:type="pct"/>
        <w:tblBorders>
          <w:top w:val="single" w:sz="4" w:space="0" w:color="B56012"/>
          <w:left w:val="none" w:sz="0" w:space="0" w:color="auto"/>
          <w:bottom w:val="single" w:sz="4" w:space="0" w:color="B56012"/>
          <w:right w:val="none" w:sz="0" w:space="0" w:color="auto"/>
          <w:insideH w:val="single" w:sz="4" w:space="0" w:color="B56012"/>
          <w:insideV w:val="none" w:sz="0" w:space="0" w:color="auto"/>
        </w:tblBorders>
        <w:tblLook w:val="04A0" w:firstRow="1" w:lastRow="0" w:firstColumn="1" w:lastColumn="0" w:noHBand="0" w:noVBand="1"/>
        <w:tblDescription w:val="Table 1 lists the panel members for the Obstetrics Clinical Committee and their positions. The table also shows that they have no declared conflicts of interest."/>
      </w:tblPr>
      <w:tblGrid>
        <w:gridCol w:w="3006"/>
        <w:gridCol w:w="811"/>
      </w:tblGrid>
      <w:tr w:rsidR="00C014FB" w:rsidRPr="00D13751" w14:paraId="304FA890" w14:textId="77777777" w:rsidTr="00116AA3">
        <w:trPr>
          <w:trHeight w:val="208"/>
          <w:tblHeader/>
        </w:trPr>
        <w:tc>
          <w:tcPr>
            <w:tcW w:w="3938" w:type="pct"/>
            <w:shd w:val="clear" w:color="auto" w:fill="FFFFFF" w:themeFill="background1"/>
          </w:tcPr>
          <w:p w14:paraId="074097ED" w14:textId="77777777" w:rsidR="00C014FB" w:rsidRPr="00D13751" w:rsidRDefault="00C014FB" w:rsidP="00116AA3">
            <w:pPr>
              <w:spacing w:before="0" w:after="0" w:line="360" w:lineRule="auto"/>
              <w:rPr>
                <w:rFonts w:cstheme="minorHAnsi"/>
                <w:b/>
                <w:szCs w:val="22"/>
              </w:rPr>
            </w:pPr>
            <w:r w:rsidRPr="00D13751">
              <w:rPr>
                <w:rFonts w:cstheme="minorHAnsi"/>
                <w:b/>
                <w:szCs w:val="22"/>
              </w:rPr>
              <w:t>Number of items reviewed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41121EF" w14:textId="52067C9F" w:rsidR="00C014FB" w:rsidRPr="00D13751" w:rsidRDefault="00C014FB" w:rsidP="00C014FB">
            <w:pPr>
              <w:spacing w:before="0" w:after="0" w:line="36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75</w:t>
            </w:r>
          </w:p>
        </w:tc>
      </w:tr>
    </w:tbl>
    <w:p w14:paraId="3759F058" w14:textId="4B3A361A" w:rsidR="008A5A8A" w:rsidRPr="00C014FB" w:rsidRDefault="00C014FB" w:rsidP="00C014FB">
      <w:pPr>
        <w:spacing w:before="0" w:after="0" w:line="360" w:lineRule="auto"/>
        <w:rPr>
          <w:rFonts w:cstheme="minorHAnsi"/>
          <w:color w:val="000000" w:themeColor="text1"/>
          <w:szCs w:val="22"/>
        </w:rPr>
      </w:pPr>
      <w:r w:rsidRPr="00D13751">
        <w:rPr>
          <w:rFonts w:cstheme="minorHAnsi"/>
          <w:color w:val="000000" w:themeColor="text1"/>
          <w:szCs w:val="22"/>
        </w:rPr>
        <w:t xml:space="preserve">The Taskforce endorsed all recommendations from the </w:t>
      </w:r>
      <w:r>
        <w:rPr>
          <w:rFonts w:cstheme="minorHAnsi"/>
        </w:rPr>
        <w:t>DMCC</w:t>
      </w:r>
      <w:r w:rsidRPr="00D13751">
        <w:rPr>
          <w:rFonts w:cstheme="minorHAnsi"/>
          <w:color w:val="000000" w:themeColor="text1"/>
          <w:szCs w:val="22"/>
        </w:rPr>
        <w:t xml:space="preserve"> and submitted them to the Minister for Health for Government consideration. </w:t>
      </w:r>
      <w:r w:rsidR="00CE615D" w:rsidRPr="00C014FB">
        <w:rPr>
          <w:rFonts w:cstheme="minorHAnsi"/>
          <w:color w:val="000000" w:themeColor="text1"/>
          <w:szCs w:val="22"/>
        </w:rPr>
        <w:t xml:space="preserve">The recommendations are intended to encourage best practice, improve patient care and safety, and ensure that MBS services provide value for the patient and the healthcare </w:t>
      </w:r>
      <w:r w:rsidR="003B35EA" w:rsidRPr="00C014FB">
        <w:rPr>
          <w:rFonts w:cstheme="minorHAnsi"/>
          <w:color w:val="000000" w:themeColor="text1"/>
          <w:szCs w:val="22"/>
        </w:rPr>
        <w:t>system. This</w:t>
      </w:r>
      <w:r w:rsidR="00DA4EDF" w:rsidRPr="00C014FB" w:rsidDel="00264AFE">
        <w:rPr>
          <w:rFonts w:cstheme="minorHAnsi"/>
          <w:color w:val="000000" w:themeColor="text1"/>
          <w:szCs w:val="22"/>
        </w:rPr>
        <w:t xml:space="preserve"> report contains details of the mechanisms identified to encourage better requesting of diagnostic services, in addition to item-level recommendations th</w:t>
      </w:r>
      <w:r w:rsidR="003B35EA" w:rsidRPr="00C014FB">
        <w:rPr>
          <w:rFonts w:cstheme="minorHAnsi"/>
          <w:color w:val="000000" w:themeColor="text1"/>
          <w:szCs w:val="22"/>
        </w:rPr>
        <w:t xml:space="preserve">at were developed based on </w:t>
      </w:r>
      <w:r w:rsidR="00DA4EDF" w:rsidRPr="00C014FB" w:rsidDel="00264AFE">
        <w:rPr>
          <w:rFonts w:cstheme="minorHAnsi"/>
          <w:color w:val="000000" w:themeColor="text1"/>
          <w:szCs w:val="22"/>
        </w:rPr>
        <w:t xml:space="preserve">commissioned research for </w:t>
      </w:r>
      <w:r w:rsidR="00DA4EDF" w:rsidRPr="00C014FB">
        <w:rPr>
          <w:rFonts w:cstheme="minorHAnsi"/>
          <w:color w:val="000000" w:themeColor="text1"/>
          <w:szCs w:val="22"/>
        </w:rPr>
        <w:t>75</w:t>
      </w:r>
      <w:r w:rsidR="00DA4EDF" w:rsidRPr="00C014FB" w:rsidDel="00264AFE">
        <w:rPr>
          <w:rFonts w:cstheme="minorHAnsi"/>
          <w:color w:val="000000" w:themeColor="text1"/>
          <w:szCs w:val="22"/>
        </w:rPr>
        <w:t xml:space="preserve"> items</w:t>
      </w:r>
      <w:r w:rsidR="003B35EA" w:rsidRPr="00C014FB">
        <w:rPr>
          <w:rFonts w:cstheme="minorHAnsi"/>
          <w:color w:val="000000" w:themeColor="text1"/>
          <w:szCs w:val="22"/>
        </w:rPr>
        <w:t xml:space="preserve"> spread</w:t>
      </w:r>
      <w:r w:rsidR="00DA4EDF" w:rsidRPr="00C014FB" w:rsidDel="00264AFE">
        <w:rPr>
          <w:rFonts w:cstheme="minorHAnsi"/>
          <w:color w:val="000000" w:themeColor="text1"/>
          <w:szCs w:val="22"/>
        </w:rPr>
        <w:t xml:space="preserve"> across 10 item groups referred to the Committee by the G</w:t>
      </w:r>
      <w:r w:rsidR="001069D5" w:rsidRPr="00C014FB">
        <w:rPr>
          <w:rFonts w:cstheme="minorHAnsi"/>
          <w:color w:val="000000" w:themeColor="text1"/>
          <w:szCs w:val="22"/>
        </w:rPr>
        <w:t xml:space="preserve">eneral </w:t>
      </w:r>
      <w:r w:rsidR="00DA4EDF" w:rsidRPr="00C014FB" w:rsidDel="00264AFE">
        <w:rPr>
          <w:rFonts w:cstheme="minorHAnsi"/>
          <w:color w:val="000000" w:themeColor="text1"/>
          <w:szCs w:val="22"/>
        </w:rPr>
        <w:t>P</w:t>
      </w:r>
      <w:r w:rsidR="001069D5" w:rsidRPr="00C014FB">
        <w:rPr>
          <w:rFonts w:cstheme="minorHAnsi"/>
          <w:color w:val="000000" w:themeColor="text1"/>
          <w:szCs w:val="22"/>
        </w:rPr>
        <w:t xml:space="preserve">ractitioner and </w:t>
      </w:r>
      <w:r w:rsidR="00DA4EDF" w:rsidRPr="00C014FB" w:rsidDel="00264AFE">
        <w:rPr>
          <w:rFonts w:cstheme="minorHAnsi"/>
          <w:color w:val="000000" w:themeColor="text1"/>
          <w:szCs w:val="22"/>
        </w:rPr>
        <w:t>P</w:t>
      </w:r>
      <w:r w:rsidR="001069D5" w:rsidRPr="00C014FB">
        <w:rPr>
          <w:rFonts w:cstheme="minorHAnsi"/>
          <w:color w:val="000000" w:themeColor="text1"/>
          <w:szCs w:val="22"/>
        </w:rPr>
        <w:t xml:space="preserve">rimary </w:t>
      </w:r>
      <w:r w:rsidR="00DA4EDF" w:rsidRPr="00C014FB" w:rsidDel="00264AFE">
        <w:rPr>
          <w:rFonts w:cstheme="minorHAnsi"/>
          <w:color w:val="000000" w:themeColor="text1"/>
          <w:szCs w:val="22"/>
        </w:rPr>
        <w:t>C</w:t>
      </w:r>
      <w:r w:rsidR="001069D5" w:rsidRPr="00C014FB">
        <w:rPr>
          <w:rFonts w:cstheme="minorHAnsi"/>
          <w:color w:val="000000" w:themeColor="text1"/>
          <w:szCs w:val="22"/>
        </w:rPr>
        <w:t xml:space="preserve">are </w:t>
      </w:r>
      <w:r w:rsidR="00DA4EDF" w:rsidRPr="00C014FB" w:rsidDel="00264AFE">
        <w:rPr>
          <w:rFonts w:cstheme="minorHAnsi"/>
          <w:color w:val="000000" w:themeColor="text1"/>
          <w:szCs w:val="22"/>
        </w:rPr>
        <w:t>C</w:t>
      </w:r>
      <w:r w:rsidR="001069D5" w:rsidRPr="00C014FB">
        <w:rPr>
          <w:rFonts w:cstheme="minorHAnsi"/>
          <w:color w:val="000000" w:themeColor="text1"/>
          <w:szCs w:val="22"/>
        </w:rPr>
        <w:t xml:space="preserve">linical </w:t>
      </w:r>
      <w:r w:rsidR="00DA4EDF" w:rsidRPr="00C014FB" w:rsidDel="00264AFE">
        <w:rPr>
          <w:rFonts w:cstheme="minorHAnsi"/>
          <w:color w:val="000000" w:themeColor="text1"/>
          <w:szCs w:val="22"/>
        </w:rPr>
        <w:t>C</w:t>
      </w:r>
      <w:r w:rsidR="001069D5" w:rsidRPr="00C014FB">
        <w:rPr>
          <w:rFonts w:cstheme="minorHAnsi"/>
          <w:color w:val="000000" w:themeColor="text1"/>
          <w:szCs w:val="22"/>
        </w:rPr>
        <w:t>ommittee</w:t>
      </w:r>
      <w:r w:rsidR="00DA4EDF" w:rsidRPr="00C014FB">
        <w:rPr>
          <w:rFonts w:cstheme="minorHAnsi"/>
          <w:color w:val="000000" w:themeColor="text1"/>
          <w:szCs w:val="22"/>
        </w:rPr>
        <w:t>.</w:t>
      </w:r>
      <w:r w:rsidR="008A5A8A" w:rsidRPr="00C014FB">
        <w:rPr>
          <w:rFonts w:cstheme="minorHAnsi"/>
          <w:color w:val="000000" w:themeColor="text1"/>
          <w:szCs w:val="22"/>
        </w:rPr>
        <w:t xml:space="preserve"> To inform its recommendations, DMCC commissioned a literature review to identify research on effective interventions that improve the appropriateness and clinical utility of diagnostic investigati</w:t>
      </w:r>
      <w:r w:rsidR="003B35EA" w:rsidRPr="00C014FB">
        <w:rPr>
          <w:rFonts w:cstheme="minorHAnsi"/>
          <w:color w:val="000000" w:themeColor="text1"/>
          <w:szCs w:val="22"/>
        </w:rPr>
        <w:t xml:space="preserve">ons requested by clinicians. </w:t>
      </w:r>
    </w:p>
    <w:p w14:paraId="3B54B57D" w14:textId="2245F7D5" w:rsidR="005C29DD" w:rsidRPr="002B1452" w:rsidRDefault="005C29DD" w:rsidP="002B1452">
      <w:pPr>
        <w:rPr>
          <w:rFonts w:eastAsiaTheme="minorHAnsi"/>
        </w:rPr>
      </w:pPr>
      <w:r w:rsidRPr="002B1452">
        <w:br w:type="page"/>
      </w:r>
      <w:bookmarkStart w:id="0" w:name="_GoBack"/>
      <w:bookmarkEnd w:id="0"/>
    </w:p>
    <w:p w14:paraId="31171294" w14:textId="38AC0BFD" w:rsidR="00CE615D" w:rsidRDefault="00CE615D" w:rsidP="00CE615D">
      <w:pPr>
        <w:pStyle w:val="Heading1"/>
        <w:spacing w:before="0" w:after="0" w:line="360" w:lineRule="auto"/>
      </w:pPr>
      <w:r w:rsidRPr="00A22898">
        <w:lastRenderedPageBreak/>
        <w:t>List of Taskforce recommendations</w:t>
      </w:r>
    </w:p>
    <w:p w14:paraId="6EB5F138" w14:textId="55C94851" w:rsidR="00CB193B" w:rsidRDefault="00CB193B" w:rsidP="00885067">
      <w:pPr>
        <w:pStyle w:val="Heading2"/>
      </w:pPr>
      <w:r>
        <w:t>Mechanisms for better requesting of diagnostic tests</w:t>
      </w:r>
    </w:p>
    <w:p w14:paraId="07D2E0A7" w14:textId="14D8E99D" w:rsidR="007C6D47" w:rsidRDefault="007C6D47" w:rsidP="007C6D47">
      <w:pPr>
        <w:pStyle w:val="Bullet-green"/>
        <w:numPr>
          <w:ilvl w:val="0"/>
          <w:numId w:val="0"/>
        </w:numPr>
        <w:spacing w:line="240" w:lineRule="auto"/>
      </w:pPr>
      <w:r>
        <w:t>Of the nine identified mechanisms, clinical decision support was regarded</w:t>
      </w:r>
      <w:r w:rsidRPr="00074D54">
        <w:t xml:space="preserve"> as a superior intervention to improve requesting of diagnostic imaging and pathology services</w:t>
      </w:r>
      <w:r>
        <w:t>. This recommendation aim to provide</w:t>
      </w:r>
      <w:r w:rsidRPr="00074D54">
        <w:t xml:space="preserve"> clinicians access to up-to-date clinical advice at the point of care and information on specific tests for consumer education.</w:t>
      </w:r>
      <w:r>
        <w:t xml:space="preserve"> The nine mechanisms for better requesting of diagnostic tests include:</w:t>
      </w:r>
    </w:p>
    <w:p w14:paraId="560ABAC8" w14:textId="77777777" w:rsidR="007C6D47" w:rsidRPr="00360531" w:rsidRDefault="007C6D47" w:rsidP="007C6D47">
      <w:pPr>
        <w:pStyle w:val="Bullet-green"/>
        <w:spacing w:line="240" w:lineRule="auto"/>
      </w:pPr>
      <w:r w:rsidRPr="00854013">
        <w:t>Consumer education</w:t>
      </w:r>
    </w:p>
    <w:p w14:paraId="74AC75BA" w14:textId="77777777" w:rsidR="007C6D47" w:rsidRPr="00074D54" w:rsidRDefault="007C6D47" w:rsidP="007C6D47">
      <w:pPr>
        <w:pStyle w:val="Bullet-green"/>
        <w:spacing w:line="240" w:lineRule="auto"/>
      </w:pPr>
      <w:r>
        <w:t>Requester</w:t>
      </w:r>
      <w:r w:rsidRPr="00074D54">
        <w:t xml:space="preserve"> education</w:t>
      </w:r>
    </w:p>
    <w:p w14:paraId="172D5011" w14:textId="553313FC" w:rsidR="007C6D47" w:rsidRPr="00074D54" w:rsidRDefault="007C6D47" w:rsidP="007C6D47">
      <w:pPr>
        <w:pStyle w:val="Bullet-green"/>
        <w:spacing w:line="240" w:lineRule="auto"/>
      </w:pPr>
      <w:r w:rsidRPr="00074D54">
        <w:t xml:space="preserve">Electronic </w:t>
      </w:r>
      <w:r>
        <w:t>Clinical Decision Support</w:t>
      </w:r>
    </w:p>
    <w:p w14:paraId="40655A71" w14:textId="77777777" w:rsidR="007C6D47" w:rsidRPr="00074D54" w:rsidRDefault="007C6D47" w:rsidP="007C6D47">
      <w:pPr>
        <w:pStyle w:val="Bullet-green"/>
        <w:spacing w:line="240" w:lineRule="auto"/>
      </w:pPr>
      <w:r w:rsidRPr="00074D54">
        <w:t xml:space="preserve">Requesting pattern transparency </w:t>
      </w:r>
    </w:p>
    <w:p w14:paraId="0B4B78B8" w14:textId="77777777" w:rsidR="007C6D47" w:rsidRPr="00074D54" w:rsidRDefault="007C6D47" w:rsidP="007C6D47">
      <w:pPr>
        <w:pStyle w:val="Bullet-green"/>
        <w:spacing w:line="240" w:lineRule="auto"/>
      </w:pPr>
      <w:r>
        <w:t>R</w:t>
      </w:r>
      <w:r w:rsidRPr="00074D54">
        <w:t>equesting process</w:t>
      </w:r>
    </w:p>
    <w:p w14:paraId="6962F240" w14:textId="77777777" w:rsidR="007C6D47" w:rsidRPr="00074D54" w:rsidRDefault="007C6D47" w:rsidP="007C6D47">
      <w:pPr>
        <w:pStyle w:val="Bullet-green"/>
        <w:spacing w:line="240" w:lineRule="auto"/>
      </w:pPr>
      <w:r>
        <w:t>Requester</w:t>
      </w:r>
      <w:r w:rsidRPr="00074D54">
        <w:t xml:space="preserve"> restrictions</w:t>
      </w:r>
    </w:p>
    <w:p w14:paraId="13F45F10" w14:textId="77777777" w:rsidR="007C6D47" w:rsidRPr="00074D54" w:rsidRDefault="007C6D47" w:rsidP="007C6D47">
      <w:pPr>
        <w:pStyle w:val="Bullet-green"/>
        <w:spacing w:line="240" w:lineRule="auto"/>
      </w:pPr>
      <w:r w:rsidRPr="00074D54">
        <w:t xml:space="preserve">Provider feedback to the </w:t>
      </w:r>
      <w:r>
        <w:t>requester</w:t>
      </w:r>
    </w:p>
    <w:p w14:paraId="20EFAC2D" w14:textId="77777777" w:rsidR="007C6D47" w:rsidRPr="00074D54" w:rsidRDefault="007C6D47" w:rsidP="007C6D47">
      <w:pPr>
        <w:pStyle w:val="Bullet-green"/>
        <w:spacing w:line="240" w:lineRule="auto"/>
      </w:pPr>
      <w:r w:rsidRPr="00074D54">
        <w:t>Provider service conditions</w:t>
      </w:r>
    </w:p>
    <w:p w14:paraId="25ACF924" w14:textId="77777777" w:rsidR="007C6D47" w:rsidRPr="00074D54" w:rsidRDefault="007C6D47" w:rsidP="007C6D47">
      <w:pPr>
        <w:pStyle w:val="Bullet-green"/>
        <w:spacing w:line="240" w:lineRule="auto"/>
      </w:pPr>
      <w:r w:rsidRPr="00074D54">
        <w:t>Payment mechanisms</w:t>
      </w:r>
    </w:p>
    <w:p w14:paraId="35090486" w14:textId="015630DD" w:rsidR="00DA4EDF" w:rsidRDefault="00B46025" w:rsidP="00885067">
      <w:pPr>
        <w:pStyle w:val="Heading2"/>
      </w:pPr>
      <w:r>
        <w:t>Pathology item recommendations</w:t>
      </w:r>
    </w:p>
    <w:p w14:paraId="5D309533" w14:textId="3DE92A50" w:rsidR="00CE615D" w:rsidRPr="00B46025" w:rsidRDefault="00DA4EDF" w:rsidP="00CE615D">
      <w:pPr>
        <w:rPr>
          <w:lang w:val="en-US"/>
        </w:rPr>
      </w:pPr>
      <w:r w:rsidRPr="00B46025">
        <w:rPr>
          <w:lang w:val="en-US"/>
        </w:rPr>
        <w:t>Vitamin B12 item group</w:t>
      </w:r>
    </w:p>
    <w:p w14:paraId="3E4465B8" w14:textId="204C459C" w:rsidR="00604126" w:rsidRDefault="00604126" w:rsidP="00396210">
      <w:pPr>
        <w:pStyle w:val="Bullet-green"/>
      </w:pPr>
      <w:r>
        <w:t xml:space="preserve">Items 66838 and 66839: </w:t>
      </w:r>
      <w:r w:rsidR="00641EBB">
        <w:t>Change items descriptor to apply a time based restri</w:t>
      </w:r>
      <w:r w:rsidR="00885067">
        <w:t>ctor on active B12 measurement.</w:t>
      </w:r>
    </w:p>
    <w:p w14:paraId="7EF1355B" w14:textId="61850878" w:rsidR="00CE615D" w:rsidRPr="00B46025" w:rsidRDefault="00DA4EDF" w:rsidP="00CE615D">
      <w:pPr>
        <w:pStyle w:val="Bullet-green"/>
        <w:numPr>
          <w:ilvl w:val="0"/>
          <w:numId w:val="0"/>
        </w:numPr>
      </w:pPr>
      <w:r w:rsidRPr="00B46025">
        <w:t>Iron studies and ferritin testing item group</w:t>
      </w:r>
    </w:p>
    <w:p w14:paraId="3D14CA8C" w14:textId="77777777" w:rsidR="00641EBB" w:rsidRDefault="00CE615D" w:rsidP="002F19B2">
      <w:pPr>
        <w:numPr>
          <w:ilvl w:val="0"/>
          <w:numId w:val="4"/>
        </w:numPr>
        <w:spacing w:before="0" w:line="312" w:lineRule="auto"/>
        <w:rPr>
          <w:lang w:eastAsia="en-AU"/>
        </w:rPr>
      </w:pPr>
      <w:r>
        <w:t>Item</w:t>
      </w:r>
      <w:r w:rsidR="00396210">
        <w:t xml:space="preserve">s </w:t>
      </w:r>
      <w:r w:rsidR="00311627">
        <w:t>66593 and 66596</w:t>
      </w:r>
      <w:r w:rsidR="008B6D9E">
        <w:t>:</w:t>
      </w:r>
      <w:r w:rsidR="00641EBB">
        <w:t xml:space="preserve"> Change items descriptor to reflect contemporary practice. </w:t>
      </w:r>
    </w:p>
    <w:p w14:paraId="7C074412" w14:textId="286E6974" w:rsidR="002F19B2" w:rsidRDefault="00641EBB" w:rsidP="002F19B2">
      <w:pPr>
        <w:numPr>
          <w:ilvl w:val="0"/>
          <w:numId w:val="4"/>
        </w:numPr>
        <w:spacing w:before="0" w:line="312" w:lineRule="auto"/>
        <w:rPr>
          <w:lang w:eastAsia="en-AU"/>
        </w:rPr>
      </w:pPr>
      <w:r>
        <w:t xml:space="preserve">Create a new item (665XX) </w:t>
      </w:r>
      <w:r w:rsidR="00885067">
        <w:t>for ‘exception iron studies’.</w:t>
      </w:r>
    </w:p>
    <w:p w14:paraId="33ED4AF2" w14:textId="1C49528C" w:rsidR="00DA4EDF" w:rsidRPr="00B46025" w:rsidRDefault="00DA4EDF" w:rsidP="00DA4EDF">
      <w:pPr>
        <w:pStyle w:val="Bullet-green"/>
        <w:numPr>
          <w:ilvl w:val="0"/>
          <w:numId w:val="0"/>
        </w:numPr>
      </w:pPr>
      <w:r w:rsidRPr="00B46025">
        <w:rPr>
          <w:lang w:val="en-US"/>
        </w:rPr>
        <w:t>Folate</w:t>
      </w:r>
    </w:p>
    <w:p w14:paraId="794D17AA" w14:textId="27F7CB77" w:rsidR="00CE615D" w:rsidRDefault="008B6D9E" w:rsidP="00CE615D">
      <w:pPr>
        <w:pStyle w:val="Bullet-green"/>
      </w:pPr>
      <w:r>
        <w:t>Item 66840:</w:t>
      </w:r>
      <w:r w:rsidR="00641EBB">
        <w:t xml:space="preserve"> Change item descriptor to apply a time based restrictor and to</w:t>
      </w:r>
      <w:r w:rsidR="00885067">
        <w:t xml:space="preserve"> reflect contemporary practice.</w:t>
      </w:r>
    </w:p>
    <w:p w14:paraId="1D91CA53" w14:textId="70E52923" w:rsidR="00CE615D" w:rsidRPr="00B46025" w:rsidRDefault="00DA4EDF" w:rsidP="00CE615D">
      <w:pPr>
        <w:pStyle w:val="Bullet-green"/>
        <w:numPr>
          <w:ilvl w:val="0"/>
          <w:numId w:val="0"/>
        </w:numPr>
      </w:pPr>
      <w:r w:rsidRPr="00B46025">
        <w:rPr>
          <w:lang w:val="en-US"/>
        </w:rPr>
        <w:t>Urine testing item group</w:t>
      </w:r>
    </w:p>
    <w:p w14:paraId="6BD60832" w14:textId="3F92AD0F" w:rsidR="008B6D9E" w:rsidRDefault="008B6D9E" w:rsidP="00CE615D">
      <w:pPr>
        <w:pStyle w:val="Bullet-green"/>
      </w:pPr>
      <w:r>
        <w:t>Items 69300, 69333 and 73085:</w:t>
      </w:r>
      <w:r w:rsidR="00641EBB">
        <w:t xml:space="preserve"> Change items descriptor to</w:t>
      </w:r>
      <w:r w:rsidR="00885067">
        <w:t xml:space="preserve"> reflect contemporary practice.</w:t>
      </w:r>
    </w:p>
    <w:p w14:paraId="3E0C836B" w14:textId="69DF2C4C" w:rsidR="00CE615D" w:rsidRPr="00B46025" w:rsidRDefault="00DA4EDF" w:rsidP="00CE615D">
      <w:pPr>
        <w:pStyle w:val="Bullet-green"/>
        <w:numPr>
          <w:ilvl w:val="0"/>
          <w:numId w:val="0"/>
        </w:numPr>
      </w:pPr>
      <w:r w:rsidRPr="00B46025">
        <w:rPr>
          <w:lang w:val="en-US"/>
        </w:rPr>
        <w:t>Vitamin D item group</w:t>
      </w:r>
    </w:p>
    <w:p w14:paraId="5837B636" w14:textId="004FE549" w:rsidR="002531D1" w:rsidRPr="002531D1" w:rsidRDefault="00797281" w:rsidP="00797281">
      <w:pPr>
        <w:pStyle w:val="Bullet-green"/>
        <w:rPr>
          <w:b/>
        </w:rPr>
      </w:pPr>
      <w:r>
        <w:t xml:space="preserve">Item 66833: </w:t>
      </w:r>
      <w:r w:rsidRPr="00797281">
        <w:t xml:space="preserve">Apply a 12-month frequency restriction </w:t>
      </w:r>
      <w:r w:rsidR="002531D1">
        <w:t xml:space="preserve">and </w:t>
      </w:r>
      <w:r w:rsidR="00F427CC">
        <w:t>add explanatory note to explain patients at-risk of vitamin D deficiency and bone disease</w:t>
      </w:r>
      <w:r w:rsidR="002531D1">
        <w:t xml:space="preserve">. </w:t>
      </w:r>
    </w:p>
    <w:p w14:paraId="4EDB994A" w14:textId="22E277AE" w:rsidR="00482FB4" w:rsidRDefault="002531D1" w:rsidP="00482FB4">
      <w:pPr>
        <w:pStyle w:val="Bullet-green"/>
      </w:pPr>
      <w:r>
        <w:t xml:space="preserve">Add new item 668XX for monitoring of vitamin D </w:t>
      </w:r>
      <w:r w:rsidR="00F427CC">
        <w:t>when previous test was abnormal. Apply three month frequency restriction to new item</w:t>
      </w:r>
      <w:r w:rsidR="00482FB4">
        <w:t>.</w:t>
      </w:r>
    </w:p>
    <w:p w14:paraId="65161F82" w14:textId="1237947E" w:rsidR="00522C7F" w:rsidRDefault="00522C7F" w:rsidP="00482FB4">
      <w:pPr>
        <w:pStyle w:val="Bullet-green"/>
      </w:pPr>
      <w:r>
        <w:rPr>
          <w:lang w:val="en-GB" w:eastAsia="en-US"/>
        </w:rPr>
        <w:lastRenderedPageBreak/>
        <w:t>Develop a clear national standard for defining serum levels of vitamin D deficiency</w:t>
      </w:r>
    </w:p>
    <w:p w14:paraId="70C0777B" w14:textId="3A2D424C" w:rsidR="00DA4EDF" w:rsidRPr="00B46025" w:rsidRDefault="00DA4EDF" w:rsidP="00482FB4">
      <w:pPr>
        <w:pStyle w:val="Bullet-green"/>
        <w:numPr>
          <w:ilvl w:val="0"/>
          <w:numId w:val="0"/>
        </w:numPr>
      </w:pPr>
      <w:r w:rsidRPr="00B46025">
        <w:t>Prostate-specific antigen item group</w:t>
      </w:r>
      <w:bookmarkStart w:id="1" w:name="_Hlk515293205"/>
    </w:p>
    <w:p w14:paraId="1F69E13A" w14:textId="77777777" w:rsidR="00B46025" w:rsidRDefault="00B46025" w:rsidP="00B46025">
      <w:pPr>
        <w:pStyle w:val="Bullet-green"/>
      </w:pPr>
      <w:r>
        <w:t xml:space="preserve">Items 66655, </w:t>
      </w:r>
      <w:r w:rsidR="008B6D9E">
        <w:t>66659 and 66660:</w:t>
      </w:r>
      <w:r>
        <w:t xml:space="preserve"> Change items descriptors to reflect contemporary practice. </w:t>
      </w:r>
    </w:p>
    <w:p w14:paraId="21823DB0" w14:textId="601F5F1F" w:rsidR="00B46025" w:rsidRPr="00797281" w:rsidRDefault="00B46025" w:rsidP="00B46025">
      <w:pPr>
        <w:pStyle w:val="Bullet-green"/>
        <w:rPr>
          <w:b/>
        </w:rPr>
      </w:pPr>
      <w:r>
        <w:t xml:space="preserve">Item 66656: Update explanatory note to better describe </w:t>
      </w:r>
      <w:bookmarkEnd w:id="1"/>
      <w:r>
        <w:t>current best practice.</w:t>
      </w:r>
    </w:p>
    <w:p w14:paraId="5E24BCEE" w14:textId="1C2F3921" w:rsidR="00DA4EDF" w:rsidRPr="00DA4EDF" w:rsidRDefault="00DA4EDF" w:rsidP="00885067">
      <w:pPr>
        <w:pStyle w:val="Heading2"/>
      </w:pPr>
      <w:r w:rsidRPr="00DA4EDF">
        <w:t>Diagnost</w:t>
      </w:r>
      <w:r w:rsidR="00B46025">
        <w:t>ic imaging item recommendations</w:t>
      </w:r>
    </w:p>
    <w:p w14:paraId="722195D1" w14:textId="21615CF1" w:rsidR="00CE615D" w:rsidRPr="00B46025" w:rsidRDefault="00DA4EDF" w:rsidP="00CE615D">
      <w:pPr>
        <w:pStyle w:val="Bullet-green"/>
        <w:numPr>
          <w:ilvl w:val="0"/>
          <w:numId w:val="0"/>
        </w:numPr>
      </w:pPr>
      <w:r w:rsidRPr="00B46025">
        <w:t>Ankle/hind foot ultrasound</w:t>
      </w:r>
    </w:p>
    <w:p w14:paraId="0D7D6A84" w14:textId="6AFEDCF4" w:rsidR="00941109" w:rsidRDefault="00202E15" w:rsidP="00CE615D">
      <w:pPr>
        <w:pStyle w:val="Bullet-green"/>
      </w:pPr>
      <w:bookmarkStart w:id="2" w:name="_Hlk514161874"/>
      <w:r>
        <w:t xml:space="preserve">Items 55836, 55837, 55838 and 55839: </w:t>
      </w:r>
      <w:r w:rsidR="00B46025">
        <w:t xml:space="preserve">Change items descriptors to reflect contemporary practice. </w:t>
      </w:r>
    </w:p>
    <w:bookmarkEnd w:id="2"/>
    <w:p w14:paraId="4F3AB092" w14:textId="77777777" w:rsidR="00DA4EDF" w:rsidRPr="00B46025" w:rsidRDefault="00DA4EDF" w:rsidP="00DA4EDF">
      <w:pPr>
        <w:pStyle w:val="Bullet-green"/>
        <w:numPr>
          <w:ilvl w:val="0"/>
          <w:numId w:val="0"/>
        </w:numPr>
      </w:pPr>
      <w:r w:rsidRPr="00B46025">
        <w:t>Shoulder ultrasound</w:t>
      </w:r>
    </w:p>
    <w:p w14:paraId="6998DF3F" w14:textId="6E49D549" w:rsidR="00202E15" w:rsidRDefault="00202E15" w:rsidP="00202E15">
      <w:pPr>
        <w:pStyle w:val="Bullet-green"/>
      </w:pPr>
      <w:r>
        <w:t xml:space="preserve">Items 55808, 55809, 55810 and 55811: </w:t>
      </w:r>
      <w:r w:rsidR="00B46025">
        <w:t xml:space="preserve">Change items descriptors to restrict co-claiming. </w:t>
      </w:r>
    </w:p>
    <w:p w14:paraId="61889F86" w14:textId="653B8C25" w:rsidR="005B7CA8" w:rsidRPr="005B7CA8" w:rsidRDefault="00885067" w:rsidP="00885067">
      <w:pPr>
        <w:pStyle w:val="Heading2"/>
      </w:pPr>
      <w:r>
        <w:t>Lower back imaging</w:t>
      </w:r>
    </w:p>
    <w:p w14:paraId="35951D70" w14:textId="05051282" w:rsidR="00202E15" w:rsidRDefault="00202E15" w:rsidP="00B46025">
      <w:pPr>
        <w:pStyle w:val="Bullet-green"/>
      </w:pPr>
      <w:r>
        <w:t>Item</w:t>
      </w:r>
      <w:r w:rsidR="00B46025">
        <w:t xml:space="preserve">s 58109, 58112, 58115, 58120, 58121, 59700, 59724, 63151, 63201, 63154, 63204, 63164, 63222, 63176, 63234, 63179, 63237, 63167 and 63225: Implement </w:t>
      </w:r>
      <w:r w:rsidR="00B46025" w:rsidRPr="0071493B">
        <w:t>a multicomponent intervention to improve requesting practices for lower back imaging.</w:t>
      </w:r>
    </w:p>
    <w:p w14:paraId="294E886A" w14:textId="0FE2C0B4" w:rsidR="005B7CA8" w:rsidRDefault="00885067" w:rsidP="00885067">
      <w:pPr>
        <w:pStyle w:val="Heading2"/>
      </w:pPr>
      <w:r>
        <w:t>Head imaging</w:t>
      </w:r>
    </w:p>
    <w:p w14:paraId="11EC1DF8" w14:textId="1AE01ED6" w:rsidR="00202E15" w:rsidRDefault="004D717C" w:rsidP="00E55BDA">
      <w:pPr>
        <w:pStyle w:val="Bullet-green"/>
      </w:pPr>
      <w:r>
        <w:t>Items</w:t>
      </w:r>
      <w:r w:rsidR="00E55BDA">
        <w:t xml:space="preserve"> 56001, 56007, 56010, 56013, 56016, 56030, 56036, 63507, 63551, 63001, 63004, 63007, 63010, 63040, 63043, 63046, 63049, 63052, 63055, 63058, 63061, 63064, 63067, 63070 and 63073: </w:t>
      </w:r>
      <w:r w:rsidR="00E55BDA" w:rsidRPr="0071493B">
        <w:t>Implement a multicomponent intervention to improve requesting practices for head imaging.</w:t>
      </w:r>
    </w:p>
    <w:p w14:paraId="4FAEE8BF" w14:textId="603E952E" w:rsidR="005B7CA8" w:rsidRPr="005B7CA8" w:rsidRDefault="00885067" w:rsidP="00885067">
      <w:pPr>
        <w:pStyle w:val="Heading2"/>
      </w:pPr>
      <w:r>
        <w:t>Non-item recommendations</w:t>
      </w:r>
    </w:p>
    <w:p w14:paraId="7458DD17" w14:textId="7904ABB8" w:rsidR="00CE615D" w:rsidRPr="00386E44" w:rsidRDefault="00E55BDA" w:rsidP="005B7CA8">
      <w:pPr>
        <w:pStyle w:val="Bullet-green"/>
      </w:pPr>
      <w:r w:rsidRPr="00E55BDA">
        <w:t xml:space="preserve">Develop a new item encompassing the key tests required for the care of patients with diabetes. </w:t>
      </w:r>
      <w:r w:rsidR="005C54CF">
        <w:t xml:space="preserve"> </w:t>
      </w:r>
    </w:p>
    <w:p w14:paraId="1888EB60" w14:textId="38745603" w:rsidR="005B7CA8" w:rsidRPr="005B7CA8" w:rsidRDefault="00885067" w:rsidP="00885067">
      <w:pPr>
        <w:pStyle w:val="Heading2"/>
      </w:pPr>
      <w:r>
        <w:t>Consumer Health Literacy</w:t>
      </w:r>
    </w:p>
    <w:p w14:paraId="73DF436B" w14:textId="343A4408" w:rsidR="009D406B" w:rsidRPr="00E55BDA" w:rsidRDefault="00E55BDA" w:rsidP="00E55BDA">
      <w:pPr>
        <w:pStyle w:val="Bullet-green"/>
      </w:pPr>
      <w:r>
        <w:t>R</w:t>
      </w:r>
      <w:r w:rsidRPr="00732CA7">
        <w:t>eview the issue of consumer health literacy, with the aim of developing a communication mechanism designed to provide more information to consumers on referred diagnostic testing.</w:t>
      </w:r>
    </w:p>
    <w:sectPr w:rsidR="009D406B" w:rsidRPr="00E55BDA" w:rsidSect="00CE615D">
      <w:footerReference w:type="default" r:id="rId11"/>
      <w:pgSz w:w="11906" w:h="16838"/>
      <w:pgMar w:top="993" w:right="1800" w:bottom="1440" w:left="1800" w:header="708" w:footer="1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24393" w14:textId="77777777" w:rsidR="009D406B" w:rsidRDefault="009D406B" w:rsidP="003B326C">
      <w:pPr>
        <w:spacing w:before="0" w:after="0"/>
      </w:pPr>
      <w:r>
        <w:separator/>
      </w:r>
    </w:p>
  </w:endnote>
  <w:endnote w:type="continuationSeparator" w:id="0">
    <w:p w14:paraId="02100114" w14:textId="77777777" w:rsidR="009D406B" w:rsidRDefault="009D406B" w:rsidP="003B32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62FA" w14:textId="152830F2" w:rsidR="00AF2F3D" w:rsidRDefault="00AF2F3D" w:rsidP="009D406B">
    <w:pPr>
      <w:pStyle w:val="Footer"/>
      <w:pBdr>
        <w:top w:val="single" w:sz="4" w:space="1" w:color="B56012"/>
      </w:pBdr>
      <w:tabs>
        <w:tab w:val="clear" w:pos="4513"/>
      </w:tabs>
      <w:jc w:val="center"/>
    </w:pPr>
    <w:r>
      <w:rPr>
        <w:color w:val="01653F"/>
        <w:sz w:val="16"/>
      </w:rPr>
      <w:t xml:space="preserve">Taskforce findings from the </w:t>
    </w:r>
    <w:r w:rsidR="00C014FB">
      <w:rPr>
        <w:color w:val="01653F"/>
        <w:sz w:val="16"/>
      </w:rPr>
      <w:t>Diagnostic Medicine</w:t>
    </w:r>
    <w:r>
      <w:rPr>
        <w:color w:val="01653F"/>
        <w:sz w:val="16"/>
      </w:rPr>
      <w:t xml:space="preserve"> Clinical Committee Report</w:t>
    </w:r>
    <w:r>
      <w:rPr>
        <w:color w:val="01653F"/>
        <w:sz w:val="16"/>
      </w:rPr>
      <w:tab/>
    </w:r>
    <w:r w:rsidRPr="003B1222">
      <w:rPr>
        <w:color w:val="01653F"/>
        <w:sz w:val="16"/>
      </w:rPr>
      <w:t xml:space="preserve">Page </w:t>
    </w:r>
    <w:r w:rsidRPr="003B1222">
      <w:rPr>
        <w:rFonts w:eastAsiaTheme="minorHAnsi"/>
        <w:color w:val="01653F"/>
      </w:rPr>
      <w:fldChar w:fldCharType="begin"/>
    </w:r>
    <w:r w:rsidRPr="003B1222">
      <w:rPr>
        <w:color w:val="01653F"/>
      </w:rPr>
      <w:instrText xml:space="preserve"> PAGE   \* MERGEFORMAT </w:instrText>
    </w:r>
    <w:r w:rsidRPr="003B1222">
      <w:rPr>
        <w:rFonts w:eastAsiaTheme="minorHAnsi"/>
        <w:color w:val="01653F"/>
      </w:rPr>
      <w:fldChar w:fldCharType="separate"/>
    </w:r>
    <w:r w:rsidR="00885067" w:rsidRPr="00885067">
      <w:rPr>
        <w:rFonts w:eastAsiaTheme="majorEastAsia"/>
        <w:noProof/>
        <w:color w:val="01653F"/>
        <w:sz w:val="16"/>
      </w:rPr>
      <w:t>2</w:t>
    </w:r>
    <w:r w:rsidRPr="003B1222">
      <w:rPr>
        <w:rFonts w:eastAsiaTheme="majorEastAsia"/>
        <w:noProof/>
        <w:color w:val="01653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AC140" w14:textId="77777777" w:rsidR="009D406B" w:rsidRDefault="009D406B" w:rsidP="003B326C">
      <w:pPr>
        <w:spacing w:before="0" w:after="0"/>
      </w:pPr>
      <w:r>
        <w:separator/>
      </w:r>
    </w:p>
  </w:footnote>
  <w:footnote w:type="continuationSeparator" w:id="0">
    <w:p w14:paraId="2F1C45EE" w14:textId="77777777" w:rsidR="009D406B" w:rsidRDefault="009D406B" w:rsidP="003B32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0A7"/>
    <w:multiLevelType w:val="hybridMultilevel"/>
    <w:tmpl w:val="060EB382"/>
    <w:lvl w:ilvl="0" w:tplc="0432401A">
      <w:start w:val="1"/>
      <w:numFmt w:val="bullet"/>
      <w:pStyle w:val="Dash3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010"/>
    <w:multiLevelType w:val="hybridMultilevel"/>
    <w:tmpl w:val="3D648BFE"/>
    <w:lvl w:ilvl="0" w:tplc="E0689C7E">
      <w:start w:val="1"/>
      <w:numFmt w:val="lowerRoman"/>
      <w:pStyle w:val="DNU1"/>
      <w:lvlText w:val="(%1)"/>
      <w:lvlJc w:val="left"/>
      <w:pPr>
        <w:ind w:left="936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4742B66"/>
    <w:multiLevelType w:val="hybridMultilevel"/>
    <w:tmpl w:val="4EF4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B9E8">
      <w:start w:val="1"/>
      <w:numFmt w:val="bullet"/>
      <w:pStyle w:val="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6DBA"/>
    <w:multiLevelType w:val="hybridMultilevel"/>
    <w:tmpl w:val="A5C4E4E2"/>
    <w:lvl w:ilvl="0" w:tplc="618EDD18">
      <w:start w:val="1"/>
      <w:numFmt w:val="bullet"/>
      <w:pStyle w:val="06Table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CAB07AC"/>
    <w:multiLevelType w:val="hybridMultilevel"/>
    <w:tmpl w:val="6C0EF396"/>
    <w:lvl w:ilvl="0" w:tplc="60E498AA">
      <w:start w:val="1"/>
      <w:numFmt w:val="bullet"/>
      <w:pStyle w:val="Bullet-green"/>
      <w:lvlText w:val=""/>
      <w:lvlJc w:val="left"/>
      <w:pPr>
        <w:ind w:left="431" w:hanging="43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1653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4B6F98C">
      <w:numFmt w:val="bullet"/>
      <w:lvlText w:val="-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70642"/>
    <w:multiLevelType w:val="multilevel"/>
    <w:tmpl w:val="5798D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E02197"/>
    <w:multiLevelType w:val="multilevel"/>
    <w:tmpl w:val="76201C88"/>
    <w:lvl w:ilvl="0">
      <w:start w:val="1"/>
      <w:numFmt w:val="decimal"/>
      <w:pStyle w:val="DNU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A6"/>
    <w:rsid w:val="00012FA6"/>
    <w:rsid w:val="00013D5E"/>
    <w:rsid w:val="00023287"/>
    <w:rsid w:val="00035AC0"/>
    <w:rsid w:val="0004162C"/>
    <w:rsid w:val="000434EB"/>
    <w:rsid w:val="001069D5"/>
    <w:rsid w:val="001614D8"/>
    <w:rsid w:val="00197019"/>
    <w:rsid w:val="001A3667"/>
    <w:rsid w:val="001A4CE9"/>
    <w:rsid w:val="001C1FAE"/>
    <w:rsid w:val="00202E15"/>
    <w:rsid w:val="002531D1"/>
    <w:rsid w:val="002608AB"/>
    <w:rsid w:val="00260B4B"/>
    <w:rsid w:val="00280050"/>
    <w:rsid w:val="002A0658"/>
    <w:rsid w:val="002B02CC"/>
    <w:rsid w:val="002B1452"/>
    <w:rsid w:val="002E1D8A"/>
    <w:rsid w:val="002F19B2"/>
    <w:rsid w:val="00311627"/>
    <w:rsid w:val="00320AFF"/>
    <w:rsid w:val="003229EC"/>
    <w:rsid w:val="00345AD8"/>
    <w:rsid w:val="00347587"/>
    <w:rsid w:val="0035365B"/>
    <w:rsid w:val="0036158F"/>
    <w:rsid w:val="00363066"/>
    <w:rsid w:val="00366BA8"/>
    <w:rsid w:val="0037202B"/>
    <w:rsid w:val="00396210"/>
    <w:rsid w:val="003A5A8F"/>
    <w:rsid w:val="003B326C"/>
    <w:rsid w:val="003B35EA"/>
    <w:rsid w:val="003B469D"/>
    <w:rsid w:val="003C6168"/>
    <w:rsid w:val="003E7AA1"/>
    <w:rsid w:val="004046F1"/>
    <w:rsid w:val="004544E7"/>
    <w:rsid w:val="00473F20"/>
    <w:rsid w:val="0047428A"/>
    <w:rsid w:val="00482FB4"/>
    <w:rsid w:val="004D717C"/>
    <w:rsid w:val="004F2256"/>
    <w:rsid w:val="004F427E"/>
    <w:rsid w:val="004F47CA"/>
    <w:rsid w:val="00501A6A"/>
    <w:rsid w:val="00521CCF"/>
    <w:rsid w:val="00522C7F"/>
    <w:rsid w:val="005257DB"/>
    <w:rsid w:val="00532E72"/>
    <w:rsid w:val="0056031E"/>
    <w:rsid w:val="00584DC3"/>
    <w:rsid w:val="005B7C4E"/>
    <w:rsid w:val="005B7CA8"/>
    <w:rsid w:val="005C29DD"/>
    <w:rsid w:val="005C54CF"/>
    <w:rsid w:val="005E40FC"/>
    <w:rsid w:val="00604126"/>
    <w:rsid w:val="00620F06"/>
    <w:rsid w:val="00625E5E"/>
    <w:rsid w:val="00641EBB"/>
    <w:rsid w:val="00645BF6"/>
    <w:rsid w:val="0067793E"/>
    <w:rsid w:val="00691C39"/>
    <w:rsid w:val="006A6C9A"/>
    <w:rsid w:val="006D5432"/>
    <w:rsid w:val="00713EF6"/>
    <w:rsid w:val="00797281"/>
    <w:rsid w:val="007C3BEF"/>
    <w:rsid w:val="007C6D47"/>
    <w:rsid w:val="007D441B"/>
    <w:rsid w:val="007F5BA4"/>
    <w:rsid w:val="00806E31"/>
    <w:rsid w:val="008206A2"/>
    <w:rsid w:val="00865C86"/>
    <w:rsid w:val="00885067"/>
    <w:rsid w:val="0089556A"/>
    <w:rsid w:val="008960AF"/>
    <w:rsid w:val="008A5A8A"/>
    <w:rsid w:val="008B6D9E"/>
    <w:rsid w:val="009165D6"/>
    <w:rsid w:val="00922250"/>
    <w:rsid w:val="00941109"/>
    <w:rsid w:val="00963F48"/>
    <w:rsid w:val="00966538"/>
    <w:rsid w:val="00981110"/>
    <w:rsid w:val="00987256"/>
    <w:rsid w:val="009960DB"/>
    <w:rsid w:val="009C7C59"/>
    <w:rsid w:val="009D406B"/>
    <w:rsid w:val="009E1ADC"/>
    <w:rsid w:val="00A762AB"/>
    <w:rsid w:val="00A9059B"/>
    <w:rsid w:val="00A932EB"/>
    <w:rsid w:val="00AF2F3D"/>
    <w:rsid w:val="00AF5CF7"/>
    <w:rsid w:val="00B02F1E"/>
    <w:rsid w:val="00B35D7B"/>
    <w:rsid w:val="00B46025"/>
    <w:rsid w:val="00B632D0"/>
    <w:rsid w:val="00B803FB"/>
    <w:rsid w:val="00B854D9"/>
    <w:rsid w:val="00BC1C76"/>
    <w:rsid w:val="00C014FB"/>
    <w:rsid w:val="00C033C8"/>
    <w:rsid w:val="00C048DC"/>
    <w:rsid w:val="00C21A69"/>
    <w:rsid w:val="00C3509D"/>
    <w:rsid w:val="00C45E97"/>
    <w:rsid w:val="00C51FBE"/>
    <w:rsid w:val="00C85F6B"/>
    <w:rsid w:val="00C869E2"/>
    <w:rsid w:val="00C86FE0"/>
    <w:rsid w:val="00C87347"/>
    <w:rsid w:val="00C93EF4"/>
    <w:rsid w:val="00CB193B"/>
    <w:rsid w:val="00CB7D6E"/>
    <w:rsid w:val="00CE615D"/>
    <w:rsid w:val="00CF10DF"/>
    <w:rsid w:val="00D12175"/>
    <w:rsid w:val="00D12BCC"/>
    <w:rsid w:val="00D47398"/>
    <w:rsid w:val="00D95BF2"/>
    <w:rsid w:val="00DA4EDF"/>
    <w:rsid w:val="00DE7163"/>
    <w:rsid w:val="00E2190D"/>
    <w:rsid w:val="00E25EC0"/>
    <w:rsid w:val="00E37E30"/>
    <w:rsid w:val="00E55BDA"/>
    <w:rsid w:val="00EA1929"/>
    <w:rsid w:val="00EC5DC1"/>
    <w:rsid w:val="00ED4124"/>
    <w:rsid w:val="00F14D6C"/>
    <w:rsid w:val="00F25611"/>
    <w:rsid w:val="00F427CC"/>
    <w:rsid w:val="00F73517"/>
    <w:rsid w:val="00F90CFB"/>
    <w:rsid w:val="00FA744E"/>
    <w:rsid w:val="00FB78E5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A65A"/>
  <w15:chartTrackingRefBased/>
  <w15:docId w15:val="{C65E54B6-213A-4636-B849-3E395E5B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26C"/>
    <w:pPr>
      <w:spacing w:before="120" w:after="120" w:line="240" w:lineRule="auto"/>
    </w:pPr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6C"/>
    <w:pPr>
      <w:keepNext/>
      <w:spacing w:line="276" w:lineRule="auto"/>
      <w:ind w:left="567" w:hanging="567"/>
      <w:outlineLvl w:val="0"/>
    </w:pPr>
    <w:rPr>
      <w:rFonts w:eastAsiaTheme="minorHAnsi" w:cs="Arial"/>
      <w:b/>
      <w:bCs/>
      <w:color w:val="01653F"/>
      <w:kern w:val="32"/>
      <w:sz w:val="32"/>
      <w:szCs w:val="28"/>
      <w:lang w:val="en-US"/>
    </w:rPr>
  </w:style>
  <w:style w:type="paragraph" w:styleId="Heading2">
    <w:name w:val="heading 2"/>
    <w:aliases w:val="Level 2 Heading,Body Text (Reset numbering),HC level 1 Heading"/>
    <w:basedOn w:val="Normal"/>
    <w:next w:val="Normal"/>
    <w:link w:val="Heading2Char"/>
    <w:uiPriority w:val="5"/>
    <w:qFormat/>
    <w:rsid w:val="00885067"/>
    <w:pPr>
      <w:keepNext/>
      <w:spacing w:before="180" w:after="60" w:line="360" w:lineRule="auto"/>
      <w:contextualSpacing/>
      <w:outlineLvl w:val="1"/>
    </w:pPr>
    <w:rPr>
      <w:b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F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963F48"/>
    <w:pPr>
      <w:keepLines w:val="0"/>
      <w:spacing w:before="360" w:after="360"/>
      <w:ind w:left="-129" w:hanging="864"/>
      <w:outlineLvl w:val="3"/>
    </w:pPr>
    <w:rPr>
      <w:rFonts w:asciiTheme="minorHAnsi" w:eastAsiaTheme="minorHAnsi" w:hAnsiTheme="minorHAnsi" w:cs="Arial"/>
      <w:bCs/>
      <w:color w:val="01653F"/>
      <w:sz w:val="2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326C"/>
    <w:rPr>
      <w:rFonts w:asciiTheme="minorHAnsi" w:hAnsiTheme="minorHAnsi" w:cs="Arial"/>
      <w:b/>
      <w:bCs/>
      <w:color w:val="01653F"/>
      <w:kern w:val="32"/>
      <w:sz w:val="32"/>
      <w:szCs w:val="28"/>
      <w:lang w:val="en-US"/>
    </w:rPr>
  </w:style>
  <w:style w:type="character" w:customStyle="1" w:styleId="Heading2Char">
    <w:name w:val="Heading 2 Char"/>
    <w:aliases w:val="Level 2 Heading Char,Body Text (Reset numbering) Char,HC level 1 Heading Char"/>
    <w:basedOn w:val="DefaultParagraphFont"/>
    <w:link w:val="Heading2"/>
    <w:uiPriority w:val="5"/>
    <w:rsid w:val="003B326C"/>
    <w:rPr>
      <w:rFonts w:asciiTheme="minorHAnsi" w:eastAsia="Times New Roman" w:hAnsiTheme="minorHAnsi"/>
      <w:b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3B326C"/>
    <w:pPr>
      <w:pBdr>
        <w:top w:val="double" w:sz="12" w:space="31" w:color="B66113"/>
        <w:bottom w:val="double" w:sz="12" w:space="1" w:color="B66113"/>
      </w:pBdr>
      <w:jc w:val="center"/>
    </w:pPr>
    <w:rPr>
      <w:rFonts w:cs="Arial"/>
      <w:b/>
      <w:color w:val="01653F"/>
      <w:spacing w:val="5"/>
      <w:sz w:val="44"/>
      <w:szCs w:val="48"/>
      <w:lang w:eastAsia="en-AU"/>
    </w:rPr>
  </w:style>
  <w:style w:type="character" w:customStyle="1" w:styleId="SubtitleChar">
    <w:name w:val="Subtitle Char"/>
    <w:basedOn w:val="DefaultParagraphFont"/>
    <w:link w:val="Subtitle"/>
    <w:rsid w:val="003B326C"/>
    <w:rPr>
      <w:rFonts w:asciiTheme="minorHAnsi" w:eastAsia="Times New Roman" w:hAnsiTheme="minorHAnsi" w:cs="Arial"/>
      <w:b/>
      <w:color w:val="01653F"/>
      <w:spacing w:val="5"/>
      <w:sz w:val="44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3B326C"/>
    <w:pPr>
      <w:pBdr>
        <w:top w:val="double" w:sz="12" w:space="31" w:color="B66113"/>
        <w:bottom w:val="double" w:sz="12" w:space="1" w:color="B66113"/>
      </w:pBdr>
      <w:spacing w:before="240" w:line="312" w:lineRule="auto"/>
      <w:contextualSpacing/>
      <w:jc w:val="center"/>
    </w:pPr>
    <w:rPr>
      <w:rFonts w:cs="Arial"/>
      <w:b/>
      <w:spacing w:val="5"/>
      <w:sz w:val="52"/>
      <w:szCs w:val="60"/>
      <w:lang w:eastAsia="en-AU"/>
    </w:rPr>
  </w:style>
  <w:style w:type="character" w:customStyle="1" w:styleId="TitleChar">
    <w:name w:val="Title Char"/>
    <w:basedOn w:val="DefaultParagraphFont"/>
    <w:link w:val="Title"/>
    <w:rsid w:val="003B326C"/>
    <w:rPr>
      <w:rFonts w:asciiTheme="minorHAnsi" w:eastAsia="Times New Roman" w:hAnsiTheme="minorHAnsi" w:cs="Arial"/>
      <w:b/>
      <w:spacing w:val="5"/>
      <w:sz w:val="52"/>
      <w:szCs w:val="60"/>
      <w:lang w:eastAsia="en-AU"/>
    </w:rPr>
  </w:style>
  <w:style w:type="character" w:styleId="IntenseEmphasis">
    <w:name w:val="Intense Emphasis"/>
    <w:basedOn w:val="DefaultParagraphFont"/>
    <w:uiPriority w:val="21"/>
    <w:qFormat/>
    <w:rsid w:val="003B326C"/>
    <w:rPr>
      <w:b/>
      <w:bCs/>
      <w:i/>
      <w:iCs/>
      <w:color w:val="5B9BD5" w:themeColor="accent1"/>
    </w:rPr>
  </w:style>
  <w:style w:type="paragraph" w:styleId="Footer">
    <w:name w:val="footer"/>
    <w:basedOn w:val="Normal"/>
    <w:link w:val="FooterChar"/>
    <w:uiPriority w:val="99"/>
    <w:rsid w:val="003B3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6C"/>
    <w:rPr>
      <w:rFonts w:asciiTheme="minorHAnsi" w:eastAsia="Times New Roman" w:hAnsiTheme="minorHAnsi"/>
      <w:sz w:val="22"/>
    </w:rPr>
  </w:style>
  <w:style w:type="table" w:styleId="TableGrid">
    <w:name w:val="Table Grid"/>
    <w:basedOn w:val="TableNormal"/>
    <w:rsid w:val="003B326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Numbered">
    <w:name w:val="Heading 3 Numbered"/>
    <w:basedOn w:val="Heading2"/>
    <w:uiPriority w:val="5"/>
    <w:qFormat/>
    <w:rsid w:val="003B326C"/>
    <w:pPr>
      <w:spacing w:before="120" w:after="120" w:line="312" w:lineRule="auto"/>
      <w:ind w:left="720" w:hanging="720"/>
      <w:outlineLvl w:val="2"/>
    </w:pPr>
    <w:rPr>
      <w:rFonts w:eastAsiaTheme="minorHAnsi"/>
      <w:color w:val="B56011"/>
    </w:rPr>
  </w:style>
  <w:style w:type="paragraph" w:styleId="Header">
    <w:name w:val="header"/>
    <w:basedOn w:val="Normal"/>
    <w:link w:val="HeaderChar"/>
    <w:uiPriority w:val="99"/>
    <w:unhideWhenUsed/>
    <w:rsid w:val="003B32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326C"/>
    <w:rPr>
      <w:rFonts w:asciiTheme="minorHAnsi" w:eastAsia="Times New Roman" w:hAnsiTheme="minorHAnsi"/>
      <w:sz w:val="22"/>
    </w:rPr>
  </w:style>
  <w:style w:type="paragraph" w:customStyle="1" w:styleId="06Tablebullet">
    <w:name w:val="06. Table bullet"/>
    <w:qFormat/>
    <w:rsid w:val="00CE615D"/>
    <w:pPr>
      <w:numPr>
        <w:numId w:val="2"/>
      </w:numPr>
      <w:spacing w:after="0" w:line="240" w:lineRule="auto"/>
      <w:ind w:left="284" w:hanging="227"/>
    </w:pPr>
    <w:rPr>
      <w:sz w:val="18"/>
      <w:szCs w:val="22"/>
    </w:rPr>
  </w:style>
  <w:style w:type="paragraph" w:customStyle="1" w:styleId="Bullet2">
    <w:name w:val="Bullet 2"/>
    <w:basedOn w:val="ListParagraph"/>
    <w:link w:val="Bullet2Char"/>
    <w:qFormat/>
    <w:rsid w:val="00CE615D"/>
    <w:pPr>
      <w:numPr>
        <w:ilvl w:val="1"/>
        <w:numId w:val="3"/>
      </w:numPr>
      <w:spacing w:after="60" w:line="312" w:lineRule="auto"/>
      <w:contextualSpacing w:val="0"/>
    </w:pPr>
    <w:rPr>
      <w:rFonts w:eastAsiaTheme="minorHAnsi" w:cs="Arial"/>
      <w:szCs w:val="22"/>
      <w:lang w:eastAsia="en-AU"/>
    </w:rPr>
  </w:style>
  <w:style w:type="paragraph" w:customStyle="1" w:styleId="Bullet-green">
    <w:name w:val="Bullet - green"/>
    <w:basedOn w:val="Normal"/>
    <w:link w:val="Bullet-greenChar"/>
    <w:uiPriority w:val="14"/>
    <w:qFormat/>
    <w:rsid w:val="00CE615D"/>
    <w:pPr>
      <w:numPr>
        <w:numId w:val="4"/>
      </w:numPr>
      <w:spacing w:before="0" w:line="312" w:lineRule="auto"/>
    </w:pPr>
    <w:rPr>
      <w:lang w:eastAsia="en-AU"/>
    </w:rPr>
  </w:style>
  <w:style w:type="character" w:customStyle="1" w:styleId="Bullet-greenChar">
    <w:name w:val="Bullet - green Char"/>
    <w:basedOn w:val="DefaultParagraphFont"/>
    <w:link w:val="Bullet-green"/>
    <w:uiPriority w:val="14"/>
    <w:rsid w:val="00CE615D"/>
    <w:rPr>
      <w:rFonts w:asciiTheme="minorHAnsi" w:eastAsia="Times New Roman" w:hAnsiTheme="minorHAnsi"/>
      <w:sz w:val="22"/>
      <w:lang w:eastAsia="en-AU"/>
    </w:rPr>
  </w:style>
  <w:style w:type="character" w:customStyle="1" w:styleId="Bullet2Char">
    <w:name w:val="Bullet 2 Char"/>
    <w:basedOn w:val="DefaultParagraphFont"/>
    <w:link w:val="Bullet2"/>
    <w:locked/>
    <w:rsid w:val="00CE615D"/>
    <w:rPr>
      <w:rFonts w:asciiTheme="minorHAnsi" w:hAnsiTheme="minorHAnsi" w:cs="Arial"/>
      <w:sz w:val="22"/>
      <w:szCs w:val="22"/>
      <w:lang w:eastAsia="en-AU"/>
    </w:rPr>
  </w:style>
  <w:style w:type="paragraph" w:customStyle="1" w:styleId="Dash3">
    <w:name w:val="Dash 3"/>
    <w:basedOn w:val="Bullet2"/>
    <w:qFormat/>
    <w:rsid w:val="00CE615D"/>
    <w:pPr>
      <w:numPr>
        <w:ilvl w:val="0"/>
        <w:numId w:val="5"/>
      </w:numPr>
      <w:tabs>
        <w:tab w:val="num" w:pos="360"/>
      </w:tabs>
      <w:ind w:left="720" w:right="142"/>
    </w:pPr>
    <w:rPr>
      <w:rFonts w:ascii="Calibri" w:eastAsia="Times New Roman" w:hAnsi="Calibri" w:cs="Times New Roman"/>
      <w:szCs w:val="20"/>
      <w:lang w:val="en-US" w:eastAsia="en-US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CE615D"/>
    <w:pPr>
      <w:ind w:left="720"/>
      <w:contextualSpacing/>
    </w:pPr>
  </w:style>
  <w:style w:type="paragraph" w:customStyle="1" w:styleId="Bullettext">
    <w:name w:val="Bullet text"/>
    <w:basedOn w:val="Bullet-green"/>
    <w:link w:val="BullettextChar"/>
    <w:uiPriority w:val="14"/>
    <w:qFormat/>
    <w:rsid w:val="00E37E30"/>
    <w:pPr>
      <w:numPr>
        <w:numId w:val="0"/>
      </w:numPr>
      <w:spacing w:line="240" w:lineRule="auto"/>
      <w:ind w:left="431"/>
    </w:pPr>
    <w:rPr>
      <w:lang w:val="en-US"/>
    </w:rPr>
  </w:style>
  <w:style w:type="character" w:customStyle="1" w:styleId="BullettextChar">
    <w:name w:val="Bullet text Char"/>
    <w:basedOn w:val="Bullet-greenChar"/>
    <w:link w:val="Bullettext"/>
    <w:uiPriority w:val="14"/>
    <w:rsid w:val="00E37E30"/>
    <w:rPr>
      <w:rFonts w:asciiTheme="minorHAnsi" w:eastAsia="Times New Roman" w:hAnsiTheme="minorHAnsi"/>
      <w:sz w:val="22"/>
      <w:lang w:val="en-US" w:eastAsia="en-AU"/>
    </w:rPr>
  </w:style>
  <w:style w:type="paragraph" w:customStyle="1" w:styleId="DNU1">
    <w:name w:val="DNU1"/>
    <w:basedOn w:val="Normal"/>
    <w:uiPriority w:val="99"/>
    <w:locked/>
    <w:rsid w:val="00F73517"/>
    <w:pPr>
      <w:numPr>
        <w:numId w:val="6"/>
      </w:numPr>
      <w:tabs>
        <w:tab w:val="right" w:pos="432"/>
      </w:tabs>
      <w:autoSpaceDE w:val="0"/>
      <w:autoSpaceDN w:val="0"/>
      <w:adjustRightInd w:val="0"/>
      <w:spacing w:before="40" w:after="40"/>
      <w:contextualSpacing/>
    </w:pPr>
    <w:rPr>
      <w:rFonts w:ascii="Times New Roman" w:hAnsi="Times New Roman" w:cs="Arial"/>
      <w:color w:val="000000"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6"/>
    <w:rsid w:val="00963F48"/>
    <w:rPr>
      <w:rFonts w:asciiTheme="minorHAnsi" w:hAnsiTheme="minorHAnsi" w:cs="Arial"/>
      <w:bCs/>
      <w:color w:val="01653F"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F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D47398"/>
    <w:rPr>
      <w:rFonts w:asciiTheme="minorHAnsi" w:eastAsia="Times New Roman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F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EF6"/>
    <w:rPr>
      <w:rFonts w:asciiTheme="minorHAnsi" w:eastAsia="Times New Roman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F6"/>
    <w:rPr>
      <w:rFonts w:asciiTheme="minorHAnsi" w:eastAsia="Times New Roman" w:hAnsiTheme="minorHAnsi"/>
      <w:b/>
      <w:bCs/>
      <w:sz w:val="20"/>
      <w:szCs w:val="20"/>
    </w:rPr>
  </w:style>
  <w:style w:type="paragraph" w:customStyle="1" w:styleId="Normalpara">
    <w:name w:val="Normal para"/>
    <w:basedOn w:val="Normal"/>
    <w:link w:val="NormalparaChar"/>
    <w:qFormat/>
    <w:rsid w:val="008A5A8A"/>
    <w:pPr>
      <w:spacing w:after="60"/>
    </w:pPr>
    <w:rPr>
      <w:lang w:val="en-US" w:eastAsia="en-AU"/>
    </w:rPr>
  </w:style>
  <w:style w:type="character" w:customStyle="1" w:styleId="NormalparaChar">
    <w:name w:val="Normal para Char"/>
    <w:basedOn w:val="DefaultParagraphFont"/>
    <w:link w:val="Normalpara"/>
    <w:rsid w:val="008A5A8A"/>
    <w:rPr>
      <w:rFonts w:asciiTheme="minorHAnsi" w:eastAsia="Times New Roman" w:hAnsiTheme="minorHAnsi"/>
      <w:sz w:val="22"/>
      <w:lang w:val="en-US" w:eastAsia="en-AU"/>
    </w:rPr>
  </w:style>
  <w:style w:type="paragraph" w:customStyle="1" w:styleId="DNU4">
    <w:name w:val="DNU4"/>
    <w:basedOn w:val="Normal"/>
    <w:uiPriority w:val="99"/>
    <w:locked/>
    <w:rsid w:val="002F19B2"/>
    <w:pPr>
      <w:numPr>
        <w:numId w:val="7"/>
      </w:numPr>
      <w:spacing w:before="180" w:after="60" w:line="312" w:lineRule="auto"/>
      <w:contextualSpacing/>
    </w:pPr>
    <w:rPr>
      <w:rFonts w:eastAsiaTheme="minorHAnsi" w:cs="Arial"/>
      <w:szCs w:val="22"/>
      <w:lang w:val="en-US" w:eastAsia="en-A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B02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BD1587F-B418-4F51-9308-6ED9464C71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7CB1C4E44E6594BB76B6BF61AD03860" ma:contentTypeVersion="" ma:contentTypeDescription="PDMS Document Site Content Type" ma:contentTypeScope="" ma:versionID="1c58b7f036b2dfc504101d196d6df8d7">
  <xsd:schema xmlns:xsd="http://www.w3.org/2001/XMLSchema" xmlns:xs="http://www.w3.org/2001/XMLSchema" xmlns:p="http://schemas.microsoft.com/office/2006/metadata/properties" xmlns:ns2="9BD1587F-B418-4F51-9308-6ED9464C715E" targetNamespace="http://schemas.microsoft.com/office/2006/metadata/properties" ma:root="true" ma:fieldsID="130e4cf64865e5b5ee9c8355aa7e9321" ns2:_="">
    <xsd:import namespace="9BD1587F-B418-4F51-9308-6ED9464C715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587F-B418-4F51-9308-6ED9464C715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2636-9AA5-43B4-9FAE-792EF16F9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98128-A08E-4F6D-9A28-9AA387A72F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D1587F-B418-4F51-9308-6ED9464C71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74EBF7-2685-425E-95BD-0003DCFF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1587F-B418-4F51-9308-6ED9464C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F907D-2336-430E-83E0-362ECBB0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3746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Benefits Schedule Review Taskforce  – Taskforce Findings – Diagnostic Medicine Clinical Committee Report</vt:lpstr>
    </vt:vector>
  </TitlesOfParts>
  <Company>Department of Health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Benefits Schedule Review Taskforce  – Taskforce Findings – Diagnostic Medicine Clinical Committee Report</dc:title>
  <dc:subject>Medicare benefits schedule review</dc:subject>
  <dc:creator>Australian Government Department of Health</dc:creator>
  <cp:keywords>Medicare benefits schedule review; Diagnostic Medicine; Clinical</cp:keywords>
  <dc:description>_x000d_
_x000d_
</dc:description>
  <cp:lastModifiedBy>MASCHKE, Elvia</cp:lastModifiedBy>
  <cp:revision>3</cp:revision>
  <cp:lastPrinted>2019-05-22T23:17:00Z</cp:lastPrinted>
  <dcterms:created xsi:type="dcterms:W3CDTF">2020-12-07T01:02:00Z</dcterms:created>
  <dcterms:modified xsi:type="dcterms:W3CDTF">2020-12-07T01:07:00Z</dcterms:modified>
</cp:coreProperties>
</file>