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9A341" w14:textId="77777777" w:rsidR="00000709" w:rsidRPr="003B326C" w:rsidRDefault="00000709" w:rsidP="00000709">
      <w:pPr>
        <w:pStyle w:val="Subtitle"/>
        <w:spacing w:before="0" w:after="0" w:line="360" w:lineRule="auto"/>
        <w:rPr>
          <w:sz w:val="40"/>
        </w:rPr>
      </w:pPr>
      <w:bookmarkStart w:id="0" w:name="_GoBack"/>
      <w:bookmarkEnd w:id="0"/>
      <w:r w:rsidRPr="003B326C">
        <w:rPr>
          <w:sz w:val="40"/>
        </w:rPr>
        <w:t>Medicare Benefits Schedule Review Taskforce</w:t>
      </w:r>
    </w:p>
    <w:p w14:paraId="5238B53C" w14:textId="77777777" w:rsidR="00000709" w:rsidRPr="00156A27" w:rsidRDefault="00000709" w:rsidP="00000709">
      <w:pPr>
        <w:pStyle w:val="Title"/>
        <w:spacing w:before="0" w:after="0" w:line="360" w:lineRule="auto"/>
        <w:contextualSpacing w:val="0"/>
        <w:rPr>
          <w:sz w:val="44"/>
          <w:szCs w:val="44"/>
        </w:rPr>
      </w:pPr>
      <w:r w:rsidRPr="00156A27">
        <w:rPr>
          <w:sz w:val="44"/>
          <w:szCs w:val="44"/>
        </w:rPr>
        <w:t>Taskforce Findings</w:t>
      </w:r>
    </w:p>
    <w:p w14:paraId="648DAE53" w14:textId="77777777" w:rsidR="00000709" w:rsidRPr="009561C7" w:rsidRDefault="00000709" w:rsidP="00000709">
      <w:pPr>
        <w:pStyle w:val="Title"/>
        <w:spacing w:before="0" w:after="0" w:line="360" w:lineRule="auto"/>
        <w:contextualSpacing w:val="0"/>
        <w:rPr>
          <w:sz w:val="44"/>
          <w:szCs w:val="44"/>
        </w:rPr>
      </w:pPr>
      <w:r>
        <w:rPr>
          <w:sz w:val="44"/>
          <w:szCs w:val="44"/>
        </w:rPr>
        <w:t>Consumer Panel</w:t>
      </w:r>
      <w:r w:rsidRPr="009561C7">
        <w:rPr>
          <w:sz w:val="44"/>
          <w:szCs w:val="44"/>
        </w:rPr>
        <w:t xml:space="preserve"> </w:t>
      </w:r>
    </w:p>
    <w:p w14:paraId="2A65A17C" w14:textId="77777777" w:rsidR="00000709" w:rsidRPr="00156A27" w:rsidRDefault="00000709" w:rsidP="00000709">
      <w:pPr>
        <w:pStyle w:val="Title"/>
        <w:spacing w:before="0" w:after="0" w:line="360" w:lineRule="auto"/>
        <w:contextualSpacing w:val="0"/>
        <w:rPr>
          <w:sz w:val="44"/>
          <w:szCs w:val="44"/>
        </w:rPr>
      </w:pPr>
      <w:r w:rsidRPr="00156A27">
        <w:rPr>
          <w:sz w:val="44"/>
          <w:szCs w:val="44"/>
        </w:rPr>
        <w:t>Report</w:t>
      </w:r>
    </w:p>
    <w:p w14:paraId="17F0EB24" w14:textId="77777777" w:rsidR="00000709" w:rsidRPr="003B326C" w:rsidRDefault="00000709" w:rsidP="00000709">
      <w:pPr>
        <w:spacing w:after="0" w:line="360" w:lineRule="auto"/>
        <w:rPr>
          <w:rFonts w:cs="Arial"/>
          <w:color w:val="000000" w:themeColor="text1"/>
        </w:rPr>
      </w:pPr>
    </w:p>
    <w:p w14:paraId="1079766F" w14:textId="77777777" w:rsidR="00000709" w:rsidRDefault="00000709" w:rsidP="00000709">
      <w:pPr>
        <w:spacing w:before="120" w:after="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This document outlines the Medicare Benefits Schedule (MBS) Review Taskforce’s recommendations in response to the report from t</w:t>
      </w:r>
      <w:r w:rsidRPr="000D05F2">
        <w:rPr>
          <w:rFonts w:asciiTheme="minorHAnsi" w:hAnsiTheme="minorHAnsi" w:cstheme="minorHAnsi"/>
          <w:color w:val="000000" w:themeColor="text1"/>
        </w:rPr>
        <w:t xml:space="preserve">he </w:t>
      </w:r>
      <w:r>
        <w:rPr>
          <w:rFonts w:asciiTheme="minorHAnsi" w:hAnsiTheme="minorHAnsi" w:cstheme="minorHAnsi"/>
          <w:color w:val="000000" w:themeColor="text1"/>
        </w:rPr>
        <w:t>Consumer Panel</w:t>
      </w:r>
      <w:r w:rsidRPr="000D05F2">
        <w:rPr>
          <w:rFonts w:asciiTheme="minorHAnsi" w:hAnsiTheme="minorHAnsi" w:cstheme="minorHAnsi"/>
          <w:color w:val="000000" w:themeColor="text1"/>
        </w:rPr>
        <w:t>.</w:t>
      </w:r>
    </w:p>
    <w:p w14:paraId="1EC13633" w14:textId="77777777" w:rsidR="00000709" w:rsidRDefault="00000709" w:rsidP="00000709">
      <w:pPr>
        <w:spacing w:before="120" w:after="0" w:line="360" w:lineRule="auto"/>
        <w:rPr>
          <w:rFonts w:asciiTheme="minorHAnsi" w:hAnsiTheme="minorHAnsi" w:cstheme="minorHAnsi"/>
          <w:color w:val="000000" w:themeColor="text1"/>
        </w:rPr>
      </w:pPr>
      <w:r w:rsidRPr="00255D76">
        <w:rPr>
          <w:rFonts w:asciiTheme="minorHAnsi" w:hAnsiTheme="minorHAnsi" w:cstheme="minorHAnsi"/>
          <w:noProof/>
          <w:color w:val="000000" w:themeColor="text1"/>
          <w:lang w:eastAsia="en-AU"/>
        </w:rPr>
        <mc:AlternateContent>
          <mc:Choice Requires="wps">
            <w:drawing>
              <wp:anchor distT="45720" distB="45720" distL="114300" distR="114300" simplePos="0" relativeHeight="251661312" behindDoc="0" locked="0" layoutInCell="1" allowOverlap="1" wp14:anchorId="619A65ED" wp14:editId="7B451F1E">
                <wp:simplePos x="0" y="0"/>
                <wp:positionH relativeFrom="column">
                  <wp:posOffset>3489960</wp:posOffset>
                </wp:positionH>
                <wp:positionV relativeFrom="paragraph">
                  <wp:posOffset>141605</wp:posOffset>
                </wp:positionV>
                <wp:extent cx="2809875" cy="6381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D92B71" w14:paraId="4A349E97" w14:textId="77777777" w:rsidTr="007849E2">
                              <w:tc>
                                <w:tcPr>
                                  <w:tcW w:w="3544" w:type="dxa"/>
                                </w:tcPr>
                                <w:p w14:paraId="7DD32D8D" w14:textId="77777777" w:rsidR="00D92B71" w:rsidRPr="007849E2" w:rsidRDefault="00D92B71"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14:paraId="298764D9" w14:textId="77777777" w:rsidR="00D92B71" w:rsidRPr="007849E2" w:rsidRDefault="00D92B71" w:rsidP="007849E2">
                                  <w:pPr>
                                    <w:spacing w:before="60" w:after="60" w:line="240" w:lineRule="auto"/>
                                    <w:jc w:val="right"/>
                                    <w:rPr>
                                      <w:rFonts w:asciiTheme="minorHAnsi" w:hAnsiTheme="minorHAnsi" w:cstheme="minorHAnsi"/>
                                    </w:rPr>
                                  </w:pPr>
                                  <w:r>
                                    <w:rPr>
                                      <w:rFonts w:asciiTheme="minorHAnsi" w:hAnsiTheme="minorHAnsi" w:cstheme="minorHAnsi"/>
                                    </w:rPr>
                                    <w:t>n/a</w:t>
                                  </w:r>
                                </w:p>
                              </w:tc>
                            </w:tr>
                            <w:tr w:rsidR="00D92B71" w14:paraId="54AB229E" w14:textId="77777777" w:rsidTr="007849E2">
                              <w:tc>
                                <w:tcPr>
                                  <w:tcW w:w="3544" w:type="dxa"/>
                                </w:tcPr>
                                <w:p w14:paraId="5FB4E4D0" w14:textId="77777777" w:rsidR="00D92B71" w:rsidRPr="007849E2" w:rsidRDefault="00D92B71" w:rsidP="007849E2">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14:paraId="39BAF739" w14:textId="77777777" w:rsidR="00D92B71" w:rsidRPr="007849E2" w:rsidRDefault="00D92B71" w:rsidP="007849E2">
                                  <w:pPr>
                                    <w:spacing w:before="60" w:after="60" w:line="240" w:lineRule="auto"/>
                                    <w:jc w:val="right"/>
                                    <w:rPr>
                                      <w:rFonts w:asciiTheme="minorHAnsi" w:hAnsiTheme="minorHAnsi" w:cstheme="minorHAnsi"/>
                                    </w:rPr>
                                  </w:pPr>
                                  <w:r>
                                    <w:rPr>
                                      <w:rFonts w:asciiTheme="minorHAnsi" w:hAnsiTheme="minorHAnsi" w:cstheme="minorHAnsi"/>
                                    </w:rPr>
                                    <w:t>4</w:t>
                                  </w:r>
                                </w:p>
                              </w:tc>
                            </w:tr>
                            <w:tr w:rsidR="00D92B71" w14:paraId="45C711A6" w14:textId="77777777" w:rsidTr="007849E2">
                              <w:tc>
                                <w:tcPr>
                                  <w:tcW w:w="3544" w:type="dxa"/>
                                </w:tcPr>
                                <w:p w14:paraId="445BEA3B" w14:textId="77777777" w:rsidR="00D92B71" w:rsidRPr="007849E2" w:rsidRDefault="00D92B71" w:rsidP="007849E2">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14:paraId="1535A351" w14:textId="77777777" w:rsidR="00D92B71" w:rsidRPr="007849E2" w:rsidRDefault="00D92B71" w:rsidP="007849E2">
                                  <w:pPr>
                                    <w:spacing w:before="60" w:after="60" w:line="240" w:lineRule="auto"/>
                                    <w:rPr>
                                      <w:rFonts w:asciiTheme="minorHAnsi" w:hAnsiTheme="minorHAnsi" w:cstheme="minorHAnsi"/>
                                    </w:rPr>
                                  </w:pPr>
                                </w:p>
                              </w:tc>
                            </w:tr>
                          </w:tbl>
                          <w:p w14:paraId="00FCE221" w14:textId="77777777" w:rsidR="00D92B71" w:rsidRDefault="00D92B71" w:rsidP="00000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A65ED" id="_x0000_t202" coordsize="21600,21600" o:spt="202" path="m,l,21600r21600,l21600,xe">
                <v:stroke joinstyle="miter"/>
                <v:path gradientshapeok="t" o:connecttype="rect"/>
              </v:shapetype>
              <v:shape id="Text Box 2" o:spid="_x0000_s1026" type="#_x0000_t202" style="position:absolute;margin-left:274.8pt;margin-top:11.15pt;width:221.2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D92B71" w14:paraId="4A349E97" w14:textId="77777777" w:rsidTr="007849E2">
                        <w:tc>
                          <w:tcPr>
                            <w:tcW w:w="3544" w:type="dxa"/>
                          </w:tcPr>
                          <w:p w14:paraId="7DD32D8D" w14:textId="77777777" w:rsidR="00D92B71" w:rsidRPr="007849E2" w:rsidRDefault="00D92B71"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14:paraId="298764D9" w14:textId="77777777" w:rsidR="00D92B71" w:rsidRPr="007849E2" w:rsidRDefault="00D92B71" w:rsidP="007849E2">
                            <w:pPr>
                              <w:spacing w:before="60" w:after="60" w:line="240" w:lineRule="auto"/>
                              <w:jc w:val="right"/>
                              <w:rPr>
                                <w:rFonts w:asciiTheme="minorHAnsi" w:hAnsiTheme="minorHAnsi" w:cstheme="minorHAnsi"/>
                              </w:rPr>
                            </w:pPr>
                            <w:r>
                              <w:rPr>
                                <w:rFonts w:asciiTheme="minorHAnsi" w:hAnsiTheme="minorHAnsi" w:cstheme="minorHAnsi"/>
                              </w:rPr>
                              <w:t>n/a</w:t>
                            </w:r>
                          </w:p>
                        </w:tc>
                      </w:tr>
                      <w:tr w:rsidR="00D92B71" w14:paraId="54AB229E" w14:textId="77777777" w:rsidTr="007849E2">
                        <w:tc>
                          <w:tcPr>
                            <w:tcW w:w="3544" w:type="dxa"/>
                          </w:tcPr>
                          <w:p w14:paraId="5FB4E4D0" w14:textId="77777777" w:rsidR="00D92B71" w:rsidRPr="007849E2" w:rsidRDefault="00D92B71" w:rsidP="007849E2">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14:paraId="39BAF739" w14:textId="77777777" w:rsidR="00D92B71" w:rsidRPr="007849E2" w:rsidRDefault="00D92B71" w:rsidP="007849E2">
                            <w:pPr>
                              <w:spacing w:before="60" w:after="60" w:line="240" w:lineRule="auto"/>
                              <w:jc w:val="right"/>
                              <w:rPr>
                                <w:rFonts w:asciiTheme="minorHAnsi" w:hAnsiTheme="minorHAnsi" w:cstheme="minorHAnsi"/>
                              </w:rPr>
                            </w:pPr>
                            <w:r>
                              <w:rPr>
                                <w:rFonts w:asciiTheme="minorHAnsi" w:hAnsiTheme="minorHAnsi" w:cstheme="minorHAnsi"/>
                              </w:rPr>
                              <w:t>4</w:t>
                            </w:r>
                          </w:p>
                        </w:tc>
                      </w:tr>
                      <w:tr w:rsidR="00D92B71" w14:paraId="45C711A6" w14:textId="77777777" w:rsidTr="007849E2">
                        <w:tc>
                          <w:tcPr>
                            <w:tcW w:w="3544" w:type="dxa"/>
                          </w:tcPr>
                          <w:p w14:paraId="445BEA3B" w14:textId="77777777" w:rsidR="00D92B71" w:rsidRPr="007849E2" w:rsidRDefault="00D92B71" w:rsidP="007849E2">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14:paraId="1535A351" w14:textId="77777777" w:rsidR="00D92B71" w:rsidRPr="007849E2" w:rsidRDefault="00D92B71" w:rsidP="007849E2">
                            <w:pPr>
                              <w:spacing w:before="60" w:after="60" w:line="240" w:lineRule="auto"/>
                              <w:rPr>
                                <w:rFonts w:asciiTheme="minorHAnsi" w:hAnsiTheme="minorHAnsi" w:cstheme="minorHAnsi"/>
                              </w:rPr>
                            </w:pPr>
                          </w:p>
                        </w:tc>
                      </w:tr>
                    </w:tbl>
                    <w:p w14:paraId="00FCE221" w14:textId="77777777" w:rsidR="00D92B71" w:rsidRDefault="00D92B71" w:rsidP="00000709"/>
                  </w:txbxContent>
                </v:textbox>
                <w10:wrap type="square"/>
              </v:shape>
            </w:pict>
          </mc:Fallback>
        </mc:AlternateContent>
      </w:r>
      <w:r w:rsidRPr="000D05F2">
        <w:rPr>
          <w:rFonts w:asciiTheme="minorHAnsi" w:hAnsiTheme="minorHAnsi" w:cstheme="minorHAnsi"/>
          <w:color w:val="000000" w:themeColor="text1"/>
        </w:rPr>
        <w:t xml:space="preserve">The Taskforce endorsed </w:t>
      </w:r>
      <w:r>
        <w:rPr>
          <w:rFonts w:asciiTheme="minorHAnsi" w:hAnsiTheme="minorHAnsi" w:cstheme="minorHAnsi"/>
          <w:color w:val="000000" w:themeColor="text1"/>
        </w:rPr>
        <w:t xml:space="preserve">four </w:t>
      </w:r>
      <w:r w:rsidRPr="000D05F2">
        <w:rPr>
          <w:rFonts w:asciiTheme="minorHAnsi" w:hAnsiTheme="minorHAnsi" w:cstheme="minorHAnsi"/>
          <w:color w:val="000000" w:themeColor="text1"/>
        </w:rPr>
        <w:t xml:space="preserve">recommendations from the Final Report from the </w:t>
      </w:r>
      <w:r>
        <w:rPr>
          <w:rFonts w:asciiTheme="minorHAnsi" w:hAnsiTheme="minorHAnsi" w:cstheme="minorHAnsi"/>
          <w:color w:val="000000" w:themeColor="text1"/>
        </w:rPr>
        <w:t>Consumer Panel</w:t>
      </w:r>
      <w:r w:rsidRPr="000D05F2">
        <w:rPr>
          <w:rFonts w:asciiTheme="minorHAnsi" w:hAnsiTheme="minorHAnsi" w:cstheme="minorHAnsi"/>
          <w:color w:val="000000" w:themeColor="text1"/>
        </w:rPr>
        <w:t xml:space="preserve"> and submitted them to the Minister for Health for Government consideration. </w:t>
      </w:r>
    </w:p>
    <w:p w14:paraId="75490D01" w14:textId="77777777" w:rsidR="00000709" w:rsidRPr="000D05F2" w:rsidRDefault="00000709" w:rsidP="00000709">
      <w:pPr>
        <w:spacing w:before="120" w:after="0" w:line="360" w:lineRule="auto"/>
        <w:rPr>
          <w:rFonts w:asciiTheme="minorHAnsi" w:hAnsiTheme="minorHAnsi" w:cstheme="minorHAnsi"/>
          <w:color w:val="000000" w:themeColor="text1"/>
        </w:rPr>
      </w:pPr>
      <w:r w:rsidRPr="003765AD">
        <w:rPr>
          <w:rFonts w:asciiTheme="minorHAnsi" w:hAnsiTheme="minorHAnsi" w:cstheme="minorHAnsi"/>
          <w:color w:val="000000" w:themeColor="text1"/>
        </w:rPr>
        <w:t xml:space="preserve">The Consumer Panel has reflected on the experience of its members on MBS Review committees; feedback from the survey of committee chairs and consumers; public consultation feedback; and current literature and evidence regarding partnering with consumers effectively in health policy, research, services and care. The following recommendations are the outcome of the Panel workshopping these varied sources of information and perspectives on consumer engagement. </w:t>
      </w:r>
      <w:r w:rsidRPr="00610F14">
        <w:rPr>
          <w:rFonts w:asciiTheme="minorHAnsi" w:hAnsiTheme="minorHAnsi" w:cstheme="minorHAnsi"/>
        </w:rPr>
        <w:t xml:space="preserve"> </w:t>
      </w:r>
    </w:p>
    <w:p w14:paraId="0E84CE56" w14:textId="77777777" w:rsidR="00000709" w:rsidRPr="009D55F8" w:rsidRDefault="00000709" w:rsidP="00000709">
      <w:pPr>
        <w:spacing w:before="240" w:after="0" w:line="360" w:lineRule="auto"/>
        <w:ind w:left="2126" w:hanging="2126"/>
        <w:rPr>
          <w:rFonts w:asciiTheme="minorHAnsi" w:eastAsia="Times New Roman" w:hAnsiTheme="minorHAnsi"/>
          <w:b/>
          <w:color w:val="01653F"/>
          <w:sz w:val="32"/>
          <w:szCs w:val="24"/>
          <w:lang w:val="en-US"/>
        </w:rPr>
      </w:pPr>
      <w:r>
        <w:rPr>
          <w:rFonts w:asciiTheme="minorHAnsi" w:eastAsia="Times New Roman" w:hAnsiTheme="minorHAnsi"/>
          <w:b/>
          <w:color w:val="01653F"/>
          <w:sz w:val="32"/>
          <w:szCs w:val="24"/>
          <w:lang w:val="en-US"/>
        </w:rPr>
        <w:t>List of Taskforce R</w:t>
      </w:r>
      <w:r w:rsidRPr="009D55F8">
        <w:rPr>
          <w:rFonts w:asciiTheme="minorHAnsi" w:eastAsia="Times New Roman" w:hAnsiTheme="minorHAnsi"/>
          <w:b/>
          <w:color w:val="01653F"/>
          <w:sz w:val="32"/>
          <w:szCs w:val="24"/>
          <w:lang w:val="en-US"/>
        </w:rPr>
        <w:t>ecommendations</w:t>
      </w:r>
    </w:p>
    <w:p w14:paraId="17EC6D2C" w14:textId="77777777" w:rsidR="00000709" w:rsidRPr="003765AD" w:rsidRDefault="00000709" w:rsidP="00000709">
      <w:pPr>
        <w:spacing w:after="0" w:line="360" w:lineRule="auto"/>
        <w:rPr>
          <w:rFonts w:asciiTheme="minorHAnsi" w:eastAsia="Times New Roman" w:hAnsiTheme="minorHAnsi"/>
          <w:b/>
          <w:szCs w:val="24"/>
          <w:lang w:val="en-US"/>
        </w:rPr>
      </w:pPr>
      <w:bookmarkStart w:id="1" w:name="_Toc33103200"/>
      <w:r w:rsidRPr="003765AD">
        <w:rPr>
          <w:rFonts w:asciiTheme="minorHAnsi" w:eastAsia="Times New Roman" w:hAnsiTheme="minorHAnsi"/>
          <w:b/>
          <w:szCs w:val="24"/>
          <w:lang w:val="en-US"/>
        </w:rPr>
        <w:t>Recommendation 1: Principles</w:t>
      </w:r>
      <w:bookmarkEnd w:id="1"/>
    </w:p>
    <w:p w14:paraId="6424DFBD" w14:textId="77777777" w:rsidR="00000709" w:rsidRPr="003765AD" w:rsidRDefault="00000709" w:rsidP="00000709">
      <w:pPr>
        <w:spacing w:after="120" w:line="360" w:lineRule="auto"/>
        <w:rPr>
          <w:rFonts w:asciiTheme="minorHAnsi" w:eastAsia="Times New Roman" w:hAnsiTheme="minorHAnsi"/>
          <w:b/>
          <w:szCs w:val="24"/>
          <w:lang w:val="en-US"/>
        </w:rPr>
      </w:pPr>
      <w:r w:rsidRPr="003765AD">
        <w:rPr>
          <w:rFonts w:asciiTheme="minorHAnsi" w:eastAsia="Times New Roman" w:hAnsiTheme="minorHAnsi"/>
          <w:b/>
          <w:szCs w:val="24"/>
          <w:lang w:val="en-US"/>
        </w:rPr>
        <w:t xml:space="preserve">Apply principle-based decision-making to build a consumer-centred MBS </w:t>
      </w:r>
    </w:p>
    <w:p w14:paraId="75A83CAF" w14:textId="77777777" w:rsidR="00000709" w:rsidRPr="003765AD" w:rsidRDefault="00000709" w:rsidP="00000709">
      <w:pPr>
        <w:spacing w:after="180" w:line="240" w:lineRule="auto"/>
        <w:rPr>
          <w:rFonts w:ascii="Calibri" w:eastAsia="Times New Roman" w:hAnsi="Calibri"/>
          <w:szCs w:val="24"/>
          <w:lang w:val="en-US"/>
        </w:rPr>
      </w:pPr>
      <w:r w:rsidRPr="003765AD">
        <w:rPr>
          <w:rFonts w:ascii="Calibri" w:eastAsia="Times New Roman" w:hAnsi="Calibri"/>
          <w:szCs w:val="24"/>
          <w:lang w:val="en-US"/>
        </w:rPr>
        <w:t>One of the first outputs of the Consumer Panel was a set of principles to be applied in deliberations and decision-making to ensure a consumer-centred MBS. These Principles were endorsed by the Taskforce.</w:t>
      </w:r>
    </w:p>
    <w:p w14:paraId="522CFC69" w14:textId="77777777" w:rsidR="00000709" w:rsidRPr="003765AD" w:rsidRDefault="00000709" w:rsidP="00000709">
      <w:pPr>
        <w:spacing w:after="180" w:line="240" w:lineRule="auto"/>
        <w:rPr>
          <w:rFonts w:ascii="Calibri" w:eastAsia="Times New Roman" w:hAnsi="Calibri"/>
          <w:szCs w:val="24"/>
          <w:lang w:val="en-US"/>
        </w:rPr>
      </w:pPr>
      <w:r w:rsidRPr="003765AD">
        <w:rPr>
          <w:rFonts w:ascii="Calibri" w:eastAsia="Times New Roman" w:hAnsi="Calibri"/>
          <w:szCs w:val="24"/>
          <w:lang w:val="en-US"/>
        </w:rPr>
        <w:t>The Panel reiterates its recommendation (2016) that the following principles are applied and further developed in MBS Review deliberations and decision-making.</w:t>
      </w:r>
    </w:p>
    <w:p w14:paraId="22DC2548"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lastRenderedPageBreak/>
        <w:t xml:space="preserve">The MBS Review, and ongoing MBS management is co-designed. </w:t>
      </w:r>
    </w:p>
    <w:p w14:paraId="728F0C87"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Evidence-informed consumer engagement is integrated in the design, implementation, monitoring and evaluation of the MBS to ensure it meets the needs, values and preferences of consumers and the community*, not just clinicians, industry and policy makers.</w:t>
      </w:r>
    </w:p>
    <w:p w14:paraId="74E07AEB" w14:textId="77777777" w:rsidR="00000709" w:rsidRPr="003765AD" w:rsidRDefault="00000709" w:rsidP="00000709">
      <w:pPr>
        <w:spacing w:after="180" w:line="240" w:lineRule="auto"/>
        <w:ind w:left="851" w:right="-330"/>
        <w:rPr>
          <w:rFonts w:ascii="Calibri" w:eastAsia="Times New Roman" w:hAnsi="Calibri"/>
          <w:szCs w:val="20"/>
          <w:lang w:eastAsia="en-AU"/>
        </w:rPr>
      </w:pPr>
      <w:r w:rsidRPr="003765AD">
        <w:rPr>
          <w:rFonts w:ascii="Calibri" w:eastAsia="Times New Roman" w:hAnsi="Calibri"/>
          <w:szCs w:val="20"/>
          <w:lang w:eastAsia="en-AU"/>
        </w:rPr>
        <w:t xml:space="preserve">*As per the definition of consumer-centred care outlined in Patient-centred care: Improving quality and safety through partnerships with patients and consumers. </w:t>
      </w:r>
      <w:sdt>
        <w:sdtPr>
          <w:rPr>
            <w:rFonts w:ascii="Calibri" w:eastAsia="Times New Roman" w:hAnsi="Calibri"/>
            <w:szCs w:val="20"/>
            <w:lang w:eastAsia="en-AU"/>
          </w:rPr>
          <w:id w:val="-1182818800"/>
          <w:citation/>
        </w:sdtPr>
        <w:sdtEndPr/>
        <w:sdtContent>
          <w:r w:rsidRPr="003765AD">
            <w:rPr>
              <w:rFonts w:ascii="Calibri" w:eastAsia="Times New Roman" w:hAnsi="Calibri"/>
              <w:szCs w:val="20"/>
              <w:lang w:eastAsia="en-AU"/>
            </w:rPr>
            <w:fldChar w:fldCharType="begin"/>
          </w:r>
          <w:r w:rsidRPr="003765AD">
            <w:rPr>
              <w:rFonts w:ascii="Calibri" w:eastAsia="Times New Roman" w:hAnsi="Calibri"/>
              <w:szCs w:val="20"/>
              <w:lang w:eastAsia="en-AU"/>
            </w:rPr>
            <w:instrText xml:space="preserve"> CITATION Aus12 \l 3081 </w:instrText>
          </w:r>
          <w:r w:rsidRPr="003765AD">
            <w:rPr>
              <w:rFonts w:ascii="Calibri" w:eastAsia="Times New Roman" w:hAnsi="Calibri"/>
              <w:szCs w:val="20"/>
              <w:lang w:eastAsia="en-AU"/>
            </w:rPr>
            <w:fldChar w:fldCharType="separate"/>
          </w:r>
          <w:r w:rsidRPr="003765AD">
            <w:rPr>
              <w:rFonts w:ascii="Calibri" w:eastAsia="Times New Roman" w:hAnsi="Calibri"/>
              <w:noProof/>
              <w:szCs w:val="20"/>
              <w:lang w:eastAsia="en-AU"/>
            </w:rPr>
            <w:t>(6)</w:t>
          </w:r>
          <w:r w:rsidRPr="003765AD">
            <w:rPr>
              <w:rFonts w:ascii="Calibri" w:eastAsia="Times New Roman" w:hAnsi="Calibri"/>
              <w:szCs w:val="20"/>
              <w:lang w:eastAsia="en-AU"/>
            </w:rPr>
            <w:fldChar w:fldCharType="end"/>
          </w:r>
        </w:sdtContent>
      </w:sdt>
    </w:p>
    <w:p w14:paraId="62D88E84"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 xml:space="preserve">The MBS Review supports the development of an Australian health care system that is safe and high quality; provides equity of access and outcome for patients; delivers improvements in patient outcomes; supports the efficient and effective use of resources; and is sustainable. </w:t>
      </w:r>
    </w:p>
    <w:p w14:paraId="28E0559E"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Design and use of MBS Items support safe, evidence-based, high quality consumer-centred care.</w:t>
      </w:r>
    </w:p>
    <w:p w14:paraId="414144F2"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MBS items with significant potential health impacts are linked to contemporary evidence.</w:t>
      </w:r>
    </w:p>
    <w:p w14:paraId="7FFEDABE"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 xml:space="preserve">The MBS allows sufficient flexibility to tailor treatments and care to the specific needs of individual patients, which may not align directly with Guidelines, but where the variation is well considered and appropriate. </w:t>
      </w:r>
    </w:p>
    <w:p w14:paraId="6F1A9B43"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Design and use of MBS Items support fair and equitable access and outcomes for all.</w:t>
      </w:r>
    </w:p>
    <w:p w14:paraId="6AC35D70" w14:textId="77777777" w:rsidR="00000709" w:rsidRPr="003765AD" w:rsidRDefault="00000709" w:rsidP="00000709">
      <w:pPr>
        <w:spacing w:after="180" w:line="240" w:lineRule="auto"/>
        <w:ind w:left="720" w:right="-329" w:firstLine="131"/>
        <w:rPr>
          <w:rFonts w:ascii="Calibri" w:eastAsia="Times New Roman" w:hAnsi="Calibri"/>
          <w:szCs w:val="20"/>
          <w:lang w:eastAsia="en-AU"/>
        </w:rPr>
      </w:pPr>
      <w:r w:rsidRPr="003765AD">
        <w:rPr>
          <w:rFonts w:ascii="Calibri" w:eastAsia="Times New Roman" w:hAnsi="Calibri"/>
          <w:szCs w:val="20"/>
          <w:lang w:eastAsia="en-AU"/>
        </w:rPr>
        <w:t>For example:</w:t>
      </w:r>
    </w:p>
    <w:p w14:paraId="63E47484"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 xml:space="preserve">Address geographic location as a barrier by proactively looking at scope of practice of more than one clinical group, and reimbursement for clinical services that reflects the cost of service provision in regional and remote settings  </w:t>
      </w:r>
    </w:p>
    <w:p w14:paraId="4E56DC32"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 xml:space="preserve">Ensure changes to the MBS do not drive an unreasonable increase in out-of-pocket expenses, particularly for vulnerable groups  such as people with, or at risk of, multiple chronic diseases </w:t>
      </w:r>
    </w:p>
    <w:p w14:paraId="754A47BF" w14:textId="072B6223"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 xml:space="preserve">The MBS ensures equity of access to medical services, regardless of whether it is provided in the public or private sector. </w:t>
      </w:r>
    </w:p>
    <w:p w14:paraId="3DAF6592"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 xml:space="preserve">MBS Review processes encompass assessment of individual and systemic health quality and economic benefit. </w:t>
      </w:r>
    </w:p>
    <w:p w14:paraId="0CD85D32"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 xml:space="preserve">Real out of pocket (OOP) expenses for consumers are calculated when determining (relative) Item costs; a total OOP is calculated where multiple services are associated with the condition being treated; and for long term conditions the OOP is calculated for a longer period and potentially for the entire patient journey. </w:t>
      </w:r>
    </w:p>
    <w:p w14:paraId="637C01C2"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Quality and economic benefit (or cost effectiveness) are two different things to be balanced one against the other, and not assessed as one parameter.</w:t>
      </w:r>
    </w:p>
    <w:p w14:paraId="275C4AF7"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lastRenderedPageBreak/>
        <w:t xml:space="preserve">The MBS is a dynamic and responsive system that only funds services that improve health outcomes.  </w:t>
      </w:r>
    </w:p>
    <w:p w14:paraId="1AB4B741"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This may require new systems of data collection and analysis and new ways of public reporting.</w:t>
      </w:r>
    </w:p>
    <w:p w14:paraId="21E70411"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Use of MBS data is maximised for public benefit, and with appropriate governance to ensure that public benefit does not cause harm to the individual.</w:t>
      </w:r>
    </w:p>
    <w:p w14:paraId="3693D6A5"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Ongoing monitoring /post-market surveillance/data availability for research purposes is integrated into the use of the MBS to support evaluation and review for quality assurance.</w:t>
      </w:r>
    </w:p>
    <w:p w14:paraId="609E42F1"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 xml:space="preserve">Lack of evidence does not always mean that an item is not effective and should be removed. It does confirm the imperative for data collection and post market surveillance that can meaningfully track the appropriate use of MBS items. </w:t>
      </w:r>
    </w:p>
    <w:p w14:paraId="327B10F0"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 xml:space="preserve">The MBS Review does not remove access to a service where it is appropriate for the care of a small, defined patient group. </w:t>
      </w:r>
    </w:p>
    <w:p w14:paraId="3645848E"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 xml:space="preserve">If necessary, the descriptor can be amended to ensure Item use is targeted to the appropriate patients, and only accessed by the appropriately trained clinicians.  </w:t>
      </w:r>
    </w:p>
    <w:p w14:paraId="23FB0C5C"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Patient Reported (Adverse) Outcomes Measures (PR[A]OMs), Patient Reported Experience Measures (PREMS) and other quality of life measures are considered along with clinical outcomes measures when determining safety, quality, efficiency, efficacy, access and currency of MBS Items.</w:t>
      </w:r>
    </w:p>
    <w:p w14:paraId="7115F7EA" w14:textId="77777777" w:rsidR="00000709" w:rsidRPr="003765AD" w:rsidRDefault="00000709" w:rsidP="00000709">
      <w:pPr>
        <w:numPr>
          <w:ilvl w:val="0"/>
          <w:numId w:val="22"/>
        </w:numPr>
        <w:spacing w:before="180" w:after="180" w:line="240" w:lineRule="auto"/>
        <w:ind w:left="426" w:right="-329" w:hanging="426"/>
        <w:rPr>
          <w:rFonts w:ascii="Calibri" w:eastAsia="Times New Roman" w:hAnsi="Calibri"/>
          <w:b/>
          <w:szCs w:val="24"/>
          <w:lang w:eastAsia="en-AU"/>
        </w:rPr>
      </w:pPr>
      <w:r w:rsidRPr="003765AD">
        <w:rPr>
          <w:rFonts w:ascii="Calibri" w:eastAsia="Times New Roman" w:hAnsi="Calibri"/>
          <w:b/>
          <w:szCs w:val="24"/>
          <w:lang w:eastAsia="en-AU"/>
        </w:rPr>
        <w:t>Implementation of the MBS Review:</w:t>
      </w:r>
    </w:p>
    <w:p w14:paraId="72D4CBAF"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Supports business practices that enable consumers to make fully informed decisions including clinical information and cost comparisons across public and private options.</w:t>
      </w:r>
    </w:p>
    <w:p w14:paraId="6896E631"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Inhibits listing of multiple Items for single consultations/treatments.</w:t>
      </w:r>
    </w:p>
    <w:p w14:paraId="0009DC1E"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Addresses conflict of interest and full disclosure regarding any recommended device/service.</w:t>
      </w:r>
    </w:p>
    <w:p w14:paraId="154E171C"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Uses the MBS to fund universal access to safe health care, particularly for the most vulnerable – and not simply convenience of access.</w:t>
      </w:r>
    </w:p>
    <w:p w14:paraId="6FD94717"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 xml:space="preserve">Is reported upon publicly in ways that ensure clinicians and corporate beneficiaries of Medicare are accountable to consumers as patients and taxpayers. </w:t>
      </w:r>
    </w:p>
    <w:p w14:paraId="7D893482"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 xml:space="preserve">Is quality assured and incentivised through professional practice measures such as training. </w:t>
      </w:r>
    </w:p>
    <w:p w14:paraId="13B0504C" w14:textId="77777777" w:rsidR="00000709" w:rsidRPr="003765AD" w:rsidRDefault="00000709" w:rsidP="00000709">
      <w:pPr>
        <w:spacing w:after="180" w:line="240" w:lineRule="auto"/>
        <w:ind w:right="-187"/>
        <w:rPr>
          <w:rFonts w:ascii="Calibri" w:eastAsia="Times New Roman" w:hAnsi="Calibri" w:cs="Consolas"/>
          <w:b/>
        </w:rPr>
      </w:pPr>
      <w:r w:rsidRPr="003765AD">
        <w:rPr>
          <w:rFonts w:ascii="Calibri" w:eastAsia="Times New Roman" w:hAnsi="Calibri" w:cs="Consolas"/>
          <w:b/>
        </w:rPr>
        <w:t>Additional considerations</w:t>
      </w:r>
    </w:p>
    <w:p w14:paraId="6E052AD4" w14:textId="77777777" w:rsidR="00000709" w:rsidRPr="003765AD" w:rsidRDefault="00000709" w:rsidP="00000709">
      <w:pPr>
        <w:spacing w:after="180" w:line="240" w:lineRule="auto"/>
        <w:ind w:right="-188"/>
        <w:rPr>
          <w:rFonts w:ascii="Calibri" w:eastAsia="Times New Roman" w:hAnsi="Calibri"/>
        </w:rPr>
      </w:pPr>
      <w:r w:rsidRPr="003765AD">
        <w:rPr>
          <w:rFonts w:ascii="Calibri" w:eastAsia="Times New Roman" w:hAnsi="Calibri"/>
        </w:rPr>
        <w:t>The Panel also noted that:</w:t>
      </w:r>
    </w:p>
    <w:p w14:paraId="57490232"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lastRenderedPageBreak/>
        <w:t xml:space="preserve">Further development of consumer principles is likely to include principles related to reporting, disclosure, transparency and regulatory oversight as well as communication and informed (financial) consent. </w:t>
      </w:r>
      <w:r w:rsidRPr="003765AD">
        <w:rPr>
          <w:rFonts w:ascii="Calibri" w:eastAsia="Times New Roman" w:hAnsi="Calibri"/>
          <w:i/>
        </w:rPr>
        <w:t>For example:</w:t>
      </w:r>
    </w:p>
    <w:p w14:paraId="26E629AF"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Not every health service has a consumer cost reimbursement via the MBS</w:t>
      </w:r>
    </w:p>
    <w:p w14:paraId="66D9D92B"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Practitioners that exploit the MBS are reported to the regulatory authority</w:t>
      </w:r>
    </w:p>
    <w:p w14:paraId="4E6D221C" w14:textId="77777777" w:rsidR="00000709" w:rsidRPr="003765AD" w:rsidRDefault="00000709" w:rsidP="00000709">
      <w:pPr>
        <w:numPr>
          <w:ilvl w:val="0"/>
          <w:numId w:val="23"/>
        </w:numPr>
        <w:spacing w:before="180" w:after="180" w:line="240" w:lineRule="auto"/>
        <w:ind w:left="851" w:right="-330" w:hanging="425"/>
        <w:rPr>
          <w:rFonts w:ascii="Calibri" w:eastAsia="Times New Roman" w:hAnsi="Calibri"/>
          <w:szCs w:val="20"/>
          <w:lang w:eastAsia="en-AU"/>
        </w:rPr>
      </w:pPr>
      <w:r w:rsidRPr="003765AD">
        <w:rPr>
          <w:rFonts w:ascii="Calibri" w:eastAsia="Times New Roman" w:hAnsi="Calibri"/>
          <w:szCs w:val="20"/>
          <w:lang w:eastAsia="en-AU"/>
        </w:rPr>
        <w:t>Simplicity where possible in the MBS supports professional conduct – and identification and management of alleged unprofessional conduct.</w:t>
      </w:r>
    </w:p>
    <w:p w14:paraId="4BC25DB2"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All practitioners in the MBS Review can be considered to have a Conflict Of Interest: this is inevitable. Genuine, structured and supported consumer feedback in Review reports is required to ensure the conflicts have been successfully managed as well as to ensure the recommendations work in the best interests of the consumers to whom the reimbursements will be paid.</w:t>
      </w:r>
    </w:p>
    <w:p w14:paraId="7A91411D"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Principles and learnings from the MBS Review should be applied more broadly to future reviews in the public space, other government agencies or health technology processes.</w:t>
      </w:r>
    </w:p>
    <w:p w14:paraId="317BF25E" w14:textId="77777777" w:rsidR="00000709" w:rsidRPr="003765AD" w:rsidRDefault="00000709" w:rsidP="00000709">
      <w:pPr>
        <w:spacing w:after="0" w:line="360" w:lineRule="auto"/>
        <w:rPr>
          <w:rFonts w:asciiTheme="minorHAnsi" w:eastAsia="Times New Roman" w:hAnsiTheme="minorHAnsi"/>
          <w:b/>
          <w:szCs w:val="24"/>
          <w:lang w:val="en-US"/>
        </w:rPr>
      </w:pPr>
      <w:bookmarkStart w:id="2" w:name="_Toc33103201"/>
      <w:r w:rsidRPr="003765AD">
        <w:rPr>
          <w:rFonts w:asciiTheme="minorHAnsi" w:eastAsia="Times New Roman" w:hAnsiTheme="minorHAnsi"/>
          <w:b/>
          <w:szCs w:val="24"/>
          <w:lang w:val="en-US"/>
        </w:rPr>
        <w:t>Recommendation 2: Practice</w:t>
      </w:r>
      <w:bookmarkEnd w:id="2"/>
    </w:p>
    <w:p w14:paraId="7B0DCB4C" w14:textId="77777777" w:rsidR="00000709" w:rsidRPr="003765AD" w:rsidRDefault="00000709" w:rsidP="00000709">
      <w:pPr>
        <w:spacing w:line="240" w:lineRule="auto"/>
        <w:rPr>
          <w:rFonts w:asciiTheme="minorHAnsi" w:eastAsia="Times New Roman" w:hAnsiTheme="minorHAnsi"/>
          <w:b/>
          <w:szCs w:val="24"/>
          <w:lang w:val="en-US"/>
        </w:rPr>
      </w:pPr>
      <w:r w:rsidRPr="003765AD">
        <w:rPr>
          <w:rFonts w:asciiTheme="minorHAnsi" w:eastAsia="Times New Roman" w:hAnsiTheme="minorHAnsi"/>
          <w:b/>
          <w:szCs w:val="24"/>
          <w:lang w:val="en-US"/>
        </w:rPr>
        <w:t>The Consumer Panel Consumer Engagement Resource is used as a r</w:t>
      </w:r>
      <w:r>
        <w:rPr>
          <w:rFonts w:asciiTheme="minorHAnsi" w:eastAsia="Times New Roman" w:hAnsiTheme="minorHAnsi"/>
          <w:b/>
          <w:szCs w:val="24"/>
          <w:lang w:val="en-US"/>
        </w:rPr>
        <w:t xml:space="preserve">eference in future planning for </w:t>
      </w:r>
      <w:r w:rsidRPr="003765AD">
        <w:rPr>
          <w:rFonts w:asciiTheme="minorHAnsi" w:eastAsia="Times New Roman" w:hAnsiTheme="minorHAnsi"/>
          <w:b/>
          <w:szCs w:val="24"/>
          <w:lang w:val="en-US"/>
        </w:rPr>
        <w:t>ongoing review of the MBS.</w:t>
      </w:r>
    </w:p>
    <w:p w14:paraId="5B3D29EE" w14:textId="77777777" w:rsidR="00000709" w:rsidRPr="003765AD" w:rsidRDefault="00000709" w:rsidP="00000709">
      <w:pPr>
        <w:spacing w:after="180" w:line="240" w:lineRule="auto"/>
        <w:rPr>
          <w:rFonts w:ascii="Calibri" w:eastAsia="Times New Roman" w:hAnsi="Calibri"/>
          <w:szCs w:val="24"/>
          <w:lang w:eastAsia="en-AU"/>
        </w:rPr>
      </w:pPr>
      <w:r w:rsidRPr="003765AD">
        <w:rPr>
          <w:rFonts w:ascii="Calibri" w:eastAsia="Times New Roman" w:hAnsi="Calibri"/>
          <w:szCs w:val="24"/>
          <w:lang w:val="en-US"/>
        </w:rPr>
        <w:t>The Consumer Engagement Resource has a number of tools that could be further developed by and for all partners in any ongoing review of the MBS – and other health technologies. They include:</w:t>
      </w:r>
    </w:p>
    <w:p w14:paraId="547E6B19"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Consumer recruitment, role and expectations</w:t>
      </w:r>
    </w:p>
    <w:p w14:paraId="10DF7D8B"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Consumer principles to guide Review deliberations and decisions</w:t>
      </w:r>
    </w:p>
    <w:p w14:paraId="68E000B4"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Examples of questions to focus consumer perspectives in reports</w:t>
      </w:r>
    </w:p>
    <w:p w14:paraId="7487F6F8"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Critical checkpoints for consumer engagement in the work of clinical committees</w:t>
      </w:r>
    </w:p>
    <w:p w14:paraId="1F1A726B"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 xml:space="preserve">Recommended approach to targeted public consultation </w:t>
      </w:r>
    </w:p>
    <w:p w14:paraId="54A4431E"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Public communication checklist</w:t>
      </w:r>
    </w:p>
    <w:p w14:paraId="3CAFC458"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A consumer perspective on evidence</w:t>
      </w:r>
    </w:p>
    <w:p w14:paraId="3E0C33C5"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Hints and tips for consumers on committees</w:t>
      </w:r>
    </w:p>
    <w:p w14:paraId="752AD133"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Support available to consumers and others on committees</w:t>
      </w:r>
    </w:p>
    <w:p w14:paraId="06A87A0E"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Consumer-related terminology</w:t>
      </w:r>
    </w:p>
    <w:p w14:paraId="085F2D8D"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Consumer engagement summary</w:t>
      </w:r>
    </w:p>
    <w:p w14:paraId="4663321E"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Consumer impact statement</w:t>
      </w:r>
    </w:p>
    <w:p w14:paraId="66869611" w14:textId="77777777" w:rsidR="00000709" w:rsidRPr="003765AD" w:rsidRDefault="00000709" w:rsidP="00000709">
      <w:pPr>
        <w:numPr>
          <w:ilvl w:val="0"/>
          <w:numId w:val="24"/>
        </w:numPr>
        <w:spacing w:before="180" w:after="180" w:line="240" w:lineRule="auto"/>
        <w:ind w:right="-188"/>
        <w:rPr>
          <w:rFonts w:ascii="Calibri" w:eastAsia="Times New Roman" w:hAnsi="Calibri"/>
        </w:rPr>
      </w:pPr>
      <w:r w:rsidRPr="003765AD">
        <w:rPr>
          <w:rFonts w:ascii="Calibri" w:eastAsia="Times New Roman" w:hAnsi="Calibri"/>
        </w:rPr>
        <w:t>Consumer report i.e. summary table of recommendations and rationale.</w:t>
      </w:r>
    </w:p>
    <w:p w14:paraId="5437FCF7" w14:textId="77777777" w:rsidR="00000709" w:rsidRPr="003765AD" w:rsidRDefault="00000709" w:rsidP="00000709">
      <w:pPr>
        <w:spacing w:after="0" w:line="360" w:lineRule="auto"/>
        <w:rPr>
          <w:rFonts w:asciiTheme="minorHAnsi" w:eastAsia="Times New Roman" w:hAnsiTheme="minorHAnsi"/>
          <w:b/>
          <w:szCs w:val="24"/>
          <w:lang w:val="en-US"/>
        </w:rPr>
      </w:pPr>
      <w:bookmarkStart w:id="3" w:name="_Toc33103202"/>
      <w:r w:rsidRPr="003765AD">
        <w:rPr>
          <w:rFonts w:asciiTheme="minorHAnsi" w:eastAsia="Times New Roman" w:hAnsiTheme="minorHAnsi"/>
          <w:b/>
          <w:szCs w:val="24"/>
          <w:lang w:val="en-US"/>
        </w:rPr>
        <w:lastRenderedPageBreak/>
        <w:t>Recommendation 3: Priorities</w:t>
      </w:r>
      <w:bookmarkEnd w:id="3"/>
      <w:r w:rsidRPr="003765AD">
        <w:rPr>
          <w:rFonts w:asciiTheme="minorHAnsi" w:eastAsia="Times New Roman" w:hAnsiTheme="minorHAnsi"/>
          <w:b/>
          <w:szCs w:val="24"/>
          <w:lang w:val="en-US"/>
        </w:rPr>
        <w:t xml:space="preserve"> </w:t>
      </w:r>
    </w:p>
    <w:p w14:paraId="02F07410" w14:textId="77777777" w:rsidR="00000709" w:rsidRPr="003765AD" w:rsidRDefault="00000709" w:rsidP="00000709">
      <w:pPr>
        <w:spacing w:after="0" w:line="360" w:lineRule="auto"/>
        <w:rPr>
          <w:rFonts w:asciiTheme="minorHAnsi" w:eastAsia="Times New Roman" w:hAnsiTheme="minorHAnsi"/>
          <w:b/>
          <w:szCs w:val="24"/>
          <w:lang w:val="en-US"/>
        </w:rPr>
      </w:pPr>
      <w:r w:rsidRPr="003765AD">
        <w:rPr>
          <w:rFonts w:asciiTheme="minorHAnsi" w:eastAsia="Times New Roman" w:hAnsiTheme="minorHAnsi"/>
          <w:b/>
          <w:szCs w:val="24"/>
          <w:lang w:val="en-US"/>
        </w:rPr>
        <w:t>Consumer priorities and perspectives are key drivers of an ongoing MBS cycle of review.</w:t>
      </w:r>
    </w:p>
    <w:p w14:paraId="5DA1459B" w14:textId="77777777" w:rsidR="00000709" w:rsidRPr="003765AD" w:rsidRDefault="00000709" w:rsidP="00000709">
      <w:pPr>
        <w:spacing w:after="180" w:line="240" w:lineRule="auto"/>
        <w:rPr>
          <w:rFonts w:ascii="Calibri" w:eastAsia="Times New Roman" w:hAnsi="Calibri"/>
          <w:szCs w:val="24"/>
          <w:lang w:eastAsia="en-AU"/>
        </w:rPr>
      </w:pPr>
      <w:r w:rsidRPr="003765AD">
        <w:rPr>
          <w:rFonts w:ascii="Calibri" w:eastAsia="Times New Roman" w:hAnsi="Calibri"/>
          <w:szCs w:val="24"/>
          <w:lang w:eastAsia="en-AU"/>
        </w:rPr>
        <w:t>Consumer priorities and perspectives articulated in the MBS Review to date include:</w:t>
      </w:r>
    </w:p>
    <w:p w14:paraId="0EF82335" w14:textId="77777777" w:rsidR="00000709" w:rsidRPr="003765AD" w:rsidRDefault="00000709" w:rsidP="00000709">
      <w:pPr>
        <w:numPr>
          <w:ilvl w:val="0"/>
          <w:numId w:val="25"/>
        </w:numPr>
        <w:spacing w:before="180" w:after="180" w:line="240" w:lineRule="auto"/>
        <w:ind w:right="-329"/>
        <w:rPr>
          <w:rFonts w:ascii="Calibri" w:eastAsia="Times New Roman" w:hAnsi="Calibri"/>
          <w:szCs w:val="24"/>
          <w:lang w:eastAsia="en-AU"/>
        </w:rPr>
      </w:pPr>
      <w:r w:rsidRPr="003765AD">
        <w:rPr>
          <w:rFonts w:ascii="Calibri" w:eastAsia="Times New Roman" w:hAnsi="Calibri"/>
          <w:b/>
          <w:szCs w:val="24"/>
          <w:lang w:eastAsia="en-AU"/>
        </w:rPr>
        <w:t xml:space="preserve">Value: </w:t>
      </w:r>
      <w:r w:rsidRPr="003765AD">
        <w:rPr>
          <w:rFonts w:ascii="Calibri" w:eastAsia="Times New Roman" w:hAnsi="Calibri"/>
          <w:szCs w:val="24"/>
          <w:lang w:eastAsia="en-AU"/>
        </w:rPr>
        <w:t>integrate person-centred determinants of value including:</w:t>
      </w:r>
    </w:p>
    <w:p w14:paraId="606B4ED7" w14:textId="77777777" w:rsidR="00000709" w:rsidRPr="003765AD" w:rsidRDefault="00000709" w:rsidP="00000709">
      <w:pPr>
        <w:numPr>
          <w:ilvl w:val="1"/>
          <w:numId w:val="20"/>
        </w:numPr>
        <w:spacing w:before="180" w:after="180" w:line="240" w:lineRule="auto"/>
        <w:ind w:left="993" w:hanging="426"/>
        <w:rPr>
          <w:rFonts w:ascii="Calibri" w:eastAsia="Times New Roman" w:hAnsi="Calibri"/>
          <w:szCs w:val="24"/>
          <w:lang w:eastAsia="en-AU"/>
        </w:rPr>
      </w:pPr>
      <w:r w:rsidRPr="003765AD">
        <w:rPr>
          <w:rFonts w:ascii="Calibri" w:eastAsia="Times New Roman" w:hAnsi="Calibri"/>
          <w:szCs w:val="24"/>
          <w:lang w:eastAsia="en-AU"/>
        </w:rPr>
        <w:t>Equity of access and outcome.</w:t>
      </w:r>
    </w:p>
    <w:p w14:paraId="0FBC7CDA" w14:textId="77777777" w:rsidR="00000709" w:rsidRPr="003765AD" w:rsidRDefault="00000709" w:rsidP="00000709">
      <w:pPr>
        <w:numPr>
          <w:ilvl w:val="1"/>
          <w:numId w:val="20"/>
        </w:numPr>
        <w:spacing w:before="180" w:after="180" w:line="240" w:lineRule="auto"/>
        <w:ind w:left="993" w:hanging="426"/>
        <w:rPr>
          <w:rFonts w:ascii="Calibri" w:eastAsia="Times New Roman" w:hAnsi="Calibri"/>
          <w:szCs w:val="24"/>
          <w:lang w:eastAsia="en-AU"/>
        </w:rPr>
      </w:pPr>
      <w:r w:rsidRPr="003765AD">
        <w:rPr>
          <w:rFonts w:ascii="Calibri" w:eastAsia="Times New Roman" w:hAnsi="Calibri"/>
          <w:szCs w:val="24"/>
          <w:lang w:eastAsia="en-AU"/>
        </w:rPr>
        <w:t>Contribution to holistic, integrated, coordinated health (and social) care.</w:t>
      </w:r>
    </w:p>
    <w:p w14:paraId="4D0E7C81" w14:textId="77777777" w:rsidR="00000709" w:rsidRPr="003765AD" w:rsidRDefault="00000709" w:rsidP="00000709">
      <w:pPr>
        <w:numPr>
          <w:ilvl w:val="1"/>
          <w:numId w:val="20"/>
        </w:numPr>
        <w:spacing w:before="180" w:after="180" w:line="240" w:lineRule="auto"/>
        <w:ind w:left="993" w:hanging="426"/>
        <w:rPr>
          <w:rFonts w:ascii="Calibri" w:eastAsia="Times New Roman" w:hAnsi="Calibri"/>
          <w:szCs w:val="24"/>
          <w:lang w:eastAsia="en-AU"/>
        </w:rPr>
      </w:pPr>
      <w:r w:rsidRPr="003765AD">
        <w:rPr>
          <w:rFonts w:ascii="Calibri" w:eastAsia="Times New Roman" w:hAnsi="Calibri"/>
          <w:szCs w:val="24"/>
          <w:lang w:eastAsia="en-AU"/>
        </w:rPr>
        <w:t>Contribution to the person’s health care goals.</w:t>
      </w:r>
    </w:p>
    <w:p w14:paraId="3FCB3B61" w14:textId="77777777" w:rsidR="00000709" w:rsidRPr="003765AD" w:rsidRDefault="00000709" w:rsidP="00000709">
      <w:pPr>
        <w:numPr>
          <w:ilvl w:val="1"/>
          <w:numId w:val="20"/>
        </w:numPr>
        <w:spacing w:before="180" w:after="180" w:line="240" w:lineRule="auto"/>
        <w:ind w:left="993" w:hanging="426"/>
        <w:rPr>
          <w:rFonts w:ascii="Calibri" w:eastAsia="Times New Roman" w:hAnsi="Calibri"/>
          <w:szCs w:val="24"/>
          <w:lang w:eastAsia="en-AU"/>
        </w:rPr>
      </w:pPr>
      <w:r w:rsidRPr="003765AD">
        <w:rPr>
          <w:rFonts w:ascii="Calibri" w:eastAsia="Times New Roman" w:hAnsi="Calibri"/>
          <w:szCs w:val="24"/>
          <w:lang w:eastAsia="en-AU"/>
        </w:rPr>
        <w:t>Inclusive, acceptable, non-discriminatory practice.</w:t>
      </w:r>
    </w:p>
    <w:p w14:paraId="72B1BBE5" w14:textId="77777777" w:rsidR="00000709" w:rsidRPr="003765AD" w:rsidRDefault="00000709" w:rsidP="00000709">
      <w:pPr>
        <w:numPr>
          <w:ilvl w:val="1"/>
          <w:numId w:val="20"/>
        </w:numPr>
        <w:spacing w:before="180" w:after="180" w:line="240" w:lineRule="auto"/>
        <w:ind w:left="993" w:hanging="426"/>
        <w:rPr>
          <w:rFonts w:ascii="Calibri" w:eastAsia="Times New Roman" w:hAnsi="Calibri"/>
          <w:szCs w:val="24"/>
          <w:lang w:eastAsia="en-AU"/>
        </w:rPr>
      </w:pPr>
      <w:r w:rsidRPr="003765AD">
        <w:rPr>
          <w:rFonts w:ascii="Calibri" w:eastAsia="Times New Roman" w:hAnsi="Calibri"/>
          <w:szCs w:val="24"/>
          <w:lang w:eastAsia="en-AU"/>
        </w:rPr>
        <w:t>Evidence to support the above.</w:t>
      </w:r>
    </w:p>
    <w:p w14:paraId="27824138" w14:textId="77777777" w:rsidR="00000709" w:rsidRPr="003765AD" w:rsidRDefault="00000709" w:rsidP="00000709">
      <w:pPr>
        <w:numPr>
          <w:ilvl w:val="0"/>
          <w:numId w:val="20"/>
        </w:numPr>
        <w:spacing w:before="180" w:after="180" w:line="240" w:lineRule="auto"/>
        <w:ind w:left="426" w:hanging="426"/>
        <w:rPr>
          <w:rFonts w:ascii="Calibri" w:eastAsia="Times New Roman" w:hAnsi="Calibri"/>
          <w:i/>
          <w:szCs w:val="24"/>
          <w:lang w:eastAsia="en-AU"/>
        </w:rPr>
      </w:pPr>
      <w:r w:rsidRPr="003765AD">
        <w:rPr>
          <w:rFonts w:ascii="Calibri" w:eastAsia="Times New Roman" w:hAnsi="Calibri"/>
          <w:b/>
          <w:szCs w:val="24"/>
          <w:lang w:eastAsia="en-AU"/>
        </w:rPr>
        <w:t xml:space="preserve">Appropriate Access: </w:t>
      </w:r>
      <w:r w:rsidRPr="003765AD">
        <w:rPr>
          <w:rFonts w:ascii="Calibri" w:eastAsia="Times New Roman" w:hAnsi="Calibri"/>
          <w:szCs w:val="24"/>
          <w:lang w:eastAsia="en-AU"/>
        </w:rPr>
        <w:t xml:space="preserve">‘Appropriate is defined as </w:t>
      </w:r>
      <w:r w:rsidRPr="003765AD">
        <w:rPr>
          <w:rFonts w:ascii="Calibri" w:eastAsia="Times New Roman" w:hAnsi="Calibri"/>
          <w:i/>
          <w:szCs w:val="24"/>
          <w:lang w:eastAsia="en-AU"/>
        </w:rPr>
        <w:t>‘contributes to an improved health outcome’.</w:t>
      </w:r>
    </w:p>
    <w:p w14:paraId="4B0CD317"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Principles and rules: </w:t>
      </w:r>
      <w:r w:rsidRPr="003765AD">
        <w:rPr>
          <w:rFonts w:ascii="Calibri" w:eastAsia="Times New Roman" w:hAnsi="Calibri"/>
          <w:szCs w:val="24"/>
          <w:lang w:eastAsia="en-AU"/>
        </w:rPr>
        <w:t>undertake a comprehensive, person-centred care review of MBS principles and rules.</w:t>
      </w:r>
    </w:p>
    <w:p w14:paraId="460AF9B7"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Informed consent and informed financial consent: </w:t>
      </w:r>
      <w:r w:rsidRPr="003765AD">
        <w:rPr>
          <w:rFonts w:ascii="Calibri" w:eastAsia="Times New Roman" w:hAnsi="Calibri"/>
          <w:szCs w:val="24"/>
          <w:lang w:eastAsia="en-AU"/>
        </w:rPr>
        <w:t xml:space="preserve"> ensure these are explicitly described, required and audited for compliance.</w:t>
      </w:r>
      <w:r w:rsidRPr="003765AD">
        <w:rPr>
          <w:rFonts w:ascii="Calibri" w:eastAsia="Times New Roman" w:hAnsi="Calibri"/>
          <w:b/>
          <w:szCs w:val="24"/>
          <w:lang w:eastAsia="en-AU"/>
        </w:rPr>
        <w:t xml:space="preserve"> </w:t>
      </w:r>
    </w:p>
    <w:p w14:paraId="2E1AAB96"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Patient reported outcomes measures (PROMs): </w:t>
      </w:r>
      <w:r w:rsidRPr="003765AD">
        <w:rPr>
          <w:rFonts w:ascii="Calibri" w:eastAsia="Times New Roman" w:hAnsi="Calibri"/>
          <w:szCs w:val="24"/>
          <w:lang w:eastAsia="en-AU"/>
        </w:rPr>
        <w:t>actively seek and promote development and use of these in applications, assessments and reviews.</w:t>
      </w:r>
    </w:p>
    <w:p w14:paraId="5035659E"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Health economics: </w:t>
      </w:r>
      <w:r w:rsidRPr="003765AD">
        <w:rPr>
          <w:rFonts w:ascii="Calibri" w:eastAsia="Times New Roman" w:hAnsi="Calibri"/>
          <w:szCs w:val="24"/>
          <w:lang w:eastAsia="en-AU"/>
        </w:rPr>
        <w:t xml:space="preserve">include consumer costs, including out of pocket costs, in health economic assessments; assess health and economic benefit and cost at a system and individual level, and also longitudinally as well as episodically. </w:t>
      </w:r>
    </w:p>
    <w:p w14:paraId="2B884D38"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Integrated, coordinated care: </w:t>
      </w:r>
      <w:r w:rsidRPr="003765AD">
        <w:rPr>
          <w:rFonts w:ascii="Calibri" w:eastAsia="Times New Roman" w:hAnsi="Calibri"/>
          <w:szCs w:val="24"/>
          <w:lang w:eastAsia="en-AU"/>
        </w:rPr>
        <w:t>ensure items are not considered in isolation of the person’s holistic care and their overall use of the MBS – and the Pharmaceutical Benefits Schedule (PBS).</w:t>
      </w:r>
    </w:p>
    <w:p w14:paraId="2707299F"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Futures focus: </w:t>
      </w:r>
    </w:p>
    <w:p w14:paraId="58D48F27" w14:textId="77777777" w:rsidR="00000709" w:rsidRPr="003765AD" w:rsidRDefault="00000709" w:rsidP="00000709">
      <w:pPr>
        <w:numPr>
          <w:ilvl w:val="1"/>
          <w:numId w:val="20"/>
        </w:numPr>
        <w:spacing w:before="180" w:after="180" w:line="240" w:lineRule="auto"/>
        <w:ind w:left="993" w:hanging="426"/>
        <w:rPr>
          <w:rFonts w:ascii="Calibri" w:eastAsia="Times New Roman" w:hAnsi="Calibri"/>
          <w:szCs w:val="24"/>
          <w:lang w:eastAsia="en-AU"/>
        </w:rPr>
      </w:pPr>
      <w:r w:rsidRPr="003765AD">
        <w:rPr>
          <w:rFonts w:ascii="Calibri" w:eastAsia="Times New Roman" w:hAnsi="Calibri"/>
          <w:szCs w:val="24"/>
          <w:lang w:eastAsia="en-AU"/>
        </w:rPr>
        <w:t>Maintain a futures focus with ‘action items for the future’ a standard component of every review report.</w:t>
      </w:r>
    </w:p>
    <w:p w14:paraId="6D84B590" w14:textId="77777777" w:rsidR="00000709" w:rsidRPr="003765AD" w:rsidRDefault="00000709" w:rsidP="00000709">
      <w:pPr>
        <w:numPr>
          <w:ilvl w:val="1"/>
          <w:numId w:val="20"/>
        </w:numPr>
        <w:spacing w:before="180" w:after="180" w:line="240" w:lineRule="auto"/>
        <w:ind w:left="993" w:hanging="426"/>
        <w:rPr>
          <w:rFonts w:ascii="Calibri" w:eastAsia="Times New Roman" w:hAnsi="Calibri"/>
          <w:szCs w:val="24"/>
          <w:lang w:eastAsia="en-AU"/>
        </w:rPr>
      </w:pPr>
      <w:r w:rsidRPr="003765AD">
        <w:rPr>
          <w:rFonts w:ascii="Calibri" w:eastAsia="Times New Roman" w:hAnsi="Calibri"/>
          <w:szCs w:val="24"/>
          <w:lang w:eastAsia="en-AU"/>
        </w:rPr>
        <w:t>Considers elements of out-of-scope (but relevant) items, unintended consequences, workforce issues, effective data collection.</w:t>
      </w:r>
    </w:p>
    <w:p w14:paraId="173652D2" w14:textId="77777777" w:rsidR="00000709" w:rsidRPr="003765AD" w:rsidRDefault="00000709" w:rsidP="00000709">
      <w:pPr>
        <w:numPr>
          <w:ilvl w:val="0"/>
          <w:numId w:val="20"/>
        </w:numPr>
        <w:spacing w:before="180" w:after="180" w:line="240" w:lineRule="auto"/>
        <w:ind w:left="426" w:hanging="426"/>
        <w:rPr>
          <w:rFonts w:ascii="Calibri" w:eastAsia="Times New Roman" w:hAnsi="Calibri"/>
          <w:b/>
          <w:szCs w:val="24"/>
          <w:lang w:eastAsia="en-AU"/>
        </w:rPr>
      </w:pPr>
      <w:r w:rsidRPr="003765AD">
        <w:rPr>
          <w:rFonts w:ascii="Calibri" w:eastAsia="Times New Roman" w:hAnsi="Calibri"/>
          <w:b/>
          <w:szCs w:val="24"/>
          <w:lang w:eastAsia="en-AU"/>
        </w:rPr>
        <w:t xml:space="preserve">Data: </w:t>
      </w:r>
      <w:r w:rsidRPr="003765AD">
        <w:rPr>
          <w:rFonts w:ascii="Calibri" w:eastAsia="Times New Roman" w:hAnsi="Calibri"/>
          <w:szCs w:val="24"/>
          <w:lang w:eastAsia="en-AU"/>
        </w:rPr>
        <w:t>address the consumer-related data gap through a data strategy that includes care pathways; patient reported outcome measures (PROMs); variations in access to care; people’s motivations to take action for their health; social determinants and supply and demand.</w:t>
      </w:r>
    </w:p>
    <w:p w14:paraId="1A13FF5C"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Workforce</w:t>
      </w:r>
      <w:r w:rsidRPr="003765AD">
        <w:rPr>
          <w:rFonts w:ascii="Calibri" w:eastAsia="Times New Roman" w:hAnsi="Calibri"/>
          <w:szCs w:val="24"/>
          <w:lang w:eastAsia="en-AU"/>
        </w:rPr>
        <w:t>: integrate considerations of, and proactive planning for, workforce issues related to MBS reform.</w:t>
      </w:r>
    </w:p>
    <w:p w14:paraId="0C382153"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lastRenderedPageBreak/>
        <w:t>Equipment:</w:t>
      </w:r>
      <w:r w:rsidRPr="003765AD">
        <w:rPr>
          <w:rFonts w:ascii="Calibri" w:eastAsia="Times New Roman" w:hAnsi="Calibri"/>
          <w:szCs w:val="24"/>
          <w:lang w:eastAsia="en-AU"/>
        </w:rPr>
        <w:t xml:space="preserve"> incorporate considerations of equipment and other capital investment in the review process.</w:t>
      </w:r>
    </w:p>
    <w:p w14:paraId="606329C5"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Agility:</w:t>
      </w:r>
      <w:r w:rsidRPr="003765AD">
        <w:rPr>
          <w:rFonts w:ascii="Calibri" w:eastAsia="Times New Roman" w:hAnsi="Calibri"/>
          <w:szCs w:val="24"/>
          <w:lang w:eastAsia="en-AU"/>
        </w:rPr>
        <w:t xml:space="preserve"> able to adapt and adjust successfully in the face of on-going and rapid technological change in healthcare ensuring inclusive consumer engagement.</w:t>
      </w:r>
      <w:sdt>
        <w:sdtPr>
          <w:rPr>
            <w:rFonts w:ascii="Calibri" w:eastAsia="Times New Roman" w:hAnsi="Calibri"/>
            <w:szCs w:val="24"/>
            <w:lang w:eastAsia="en-AU"/>
          </w:rPr>
          <w:id w:val="1135605139"/>
          <w:citation/>
        </w:sdtPr>
        <w:sdtEndPr/>
        <w:sdtContent>
          <w:r w:rsidRPr="003765AD">
            <w:rPr>
              <w:rFonts w:ascii="Calibri" w:eastAsia="Times New Roman" w:hAnsi="Calibri"/>
              <w:szCs w:val="24"/>
              <w:lang w:eastAsia="en-AU"/>
            </w:rPr>
            <w:fldChar w:fldCharType="begin"/>
          </w:r>
          <w:r w:rsidRPr="003765AD">
            <w:rPr>
              <w:rFonts w:ascii="Calibri" w:eastAsia="Times New Roman" w:hAnsi="Calibri"/>
              <w:szCs w:val="24"/>
              <w:lang w:eastAsia="en-AU"/>
            </w:rPr>
            <w:instrText xml:space="preserve">CITATION McK17 \l 3081 </w:instrText>
          </w:r>
          <w:r w:rsidRPr="003765AD">
            <w:rPr>
              <w:rFonts w:ascii="Calibri" w:eastAsia="Times New Roman" w:hAnsi="Calibri"/>
              <w:szCs w:val="24"/>
              <w:lang w:eastAsia="en-AU"/>
            </w:rPr>
            <w:fldChar w:fldCharType="separate"/>
          </w:r>
          <w:r w:rsidRPr="003765AD">
            <w:rPr>
              <w:rFonts w:ascii="Calibri" w:eastAsia="Times New Roman" w:hAnsi="Calibri"/>
              <w:noProof/>
              <w:szCs w:val="24"/>
              <w:lang w:eastAsia="en-AU"/>
            </w:rPr>
            <w:t xml:space="preserve"> (9)</w:t>
          </w:r>
          <w:r w:rsidRPr="003765AD">
            <w:rPr>
              <w:rFonts w:ascii="Calibri" w:eastAsia="Times New Roman" w:hAnsi="Calibri"/>
              <w:szCs w:val="24"/>
              <w:lang w:eastAsia="en-AU"/>
            </w:rPr>
            <w:fldChar w:fldCharType="end"/>
          </w:r>
        </w:sdtContent>
      </w:sdt>
    </w:p>
    <w:p w14:paraId="57464262"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Audit on recommendations: </w:t>
      </w:r>
      <w:r w:rsidRPr="003765AD">
        <w:rPr>
          <w:rFonts w:ascii="Calibri" w:eastAsia="Times New Roman" w:hAnsi="Calibri"/>
          <w:szCs w:val="24"/>
          <w:lang w:eastAsia="en-AU"/>
        </w:rPr>
        <w:t>including data, access, quality and unintended consequences.</w:t>
      </w:r>
    </w:p>
    <w:p w14:paraId="3D6D7EF2"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Transparency: </w:t>
      </w:r>
      <w:r w:rsidRPr="003765AD">
        <w:rPr>
          <w:rFonts w:ascii="Calibri" w:eastAsia="Times New Roman" w:hAnsi="Calibri"/>
          <w:szCs w:val="24"/>
          <w:lang w:eastAsia="en-AU"/>
        </w:rPr>
        <w:t>both organisational and consumer-centred transparency in treatment options, out-of-pocket costs, potential risks and realistic outcomes.</w:t>
      </w:r>
      <w:sdt>
        <w:sdtPr>
          <w:rPr>
            <w:rFonts w:ascii="Calibri" w:eastAsia="Times New Roman" w:hAnsi="Calibri"/>
            <w:szCs w:val="24"/>
            <w:lang w:eastAsia="en-AU"/>
          </w:rPr>
          <w:id w:val="-812482736"/>
          <w:citation/>
        </w:sdtPr>
        <w:sdtEndPr/>
        <w:sdtContent>
          <w:r w:rsidRPr="003765AD">
            <w:rPr>
              <w:rFonts w:ascii="Calibri" w:eastAsia="Times New Roman" w:hAnsi="Calibri"/>
              <w:szCs w:val="24"/>
              <w:lang w:eastAsia="en-AU"/>
            </w:rPr>
            <w:fldChar w:fldCharType="begin"/>
          </w:r>
          <w:r w:rsidRPr="003765AD">
            <w:rPr>
              <w:rFonts w:ascii="Calibri" w:eastAsia="Times New Roman" w:hAnsi="Calibri"/>
              <w:szCs w:val="24"/>
              <w:lang w:eastAsia="en-AU"/>
            </w:rPr>
            <w:instrText xml:space="preserve">CITATION Gar18 \l 3081 </w:instrText>
          </w:r>
          <w:r w:rsidRPr="003765AD">
            <w:rPr>
              <w:rFonts w:ascii="Calibri" w:eastAsia="Times New Roman" w:hAnsi="Calibri"/>
              <w:szCs w:val="24"/>
              <w:lang w:eastAsia="en-AU"/>
            </w:rPr>
            <w:fldChar w:fldCharType="separate"/>
          </w:r>
          <w:r w:rsidRPr="003765AD">
            <w:rPr>
              <w:rFonts w:ascii="Calibri" w:eastAsia="Times New Roman" w:hAnsi="Calibri"/>
              <w:noProof/>
              <w:szCs w:val="24"/>
              <w:lang w:eastAsia="en-AU"/>
            </w:rPr>
            <w:t xml:space="preserve"> (10)</w:t>
          </w:r>
          <w:r w:rsidRPr="003765AD">
            <w:rPr>
              <w:rFonts w:ascii="Calibri" w:eastAsia="Times New Roman" w:hAnsi="Calibri"/>
              <w:szCs w:val="24"/>
              <w:lang w:eastAsia="en-AU"/>
            </w:rPr>
            <w:fldChar w:fldCharType="end"/>
          </w:r>
        </w:sdtContent>
      </w:sdt>
    </w:p>
    <w:p w14:paraId="2CABDF7C" w14:textId="77777777" w:rsidR="00000709" w:rsidRPr="003765AD" w:rsidRDefault="00000709" w:rsidP="00000709">
      <w:pPr>
        <w:numPr>
          <w:ilvl w:val="0"/>
          <w:numId w:val="20"/>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Structural Links between Health Systems: </w:t>
      </w:r>
      <w:r w:rsidRPr="003765AD">
        <w:rPr>
          <w:rFonts w:ascii="Calibri" w:eastAsia="Times New Roman" w:hAnsi="Calibri"/>
          <w:szCs w:val="24"/>
          <w:lang w:eastAsia="en-AU"/>
        </w:rPr>
        <w:t>creation of public policy that reflects stronger and better relationships between the various health-care delivery systems.</w:t>
      </w:r>
    </w:p>
    <w:p w14:paraId="58A95C28" w14:textId="77777777" w:rsidR="00000709" w:rsidRPr="003765AD" w:rsidRDefault="00000709" w:rsidP="00000709">
      <w:pPr>
        <w:spacing w:after="0" w:line="360" w:lineRule="auto"/>
        <w:rPr>
          <w:rFonts w:asciiTheme="minorHAnsi" w:eastAsia="Times New Roman" w:hAnsiTheme="minorHAnsi"/>
          <w:b/>
          <w:szCs w:val="24"/>
          <w:lang w:val="en-US"/>
        </w:rPr>
      </w:pPr>
      <w:bookmarkStart w:id="4" w:name="_Toc33103203"/>
      <w:r w:rsidRPr="003765AD">
        <w:rPr>
          <w:rFonts w:asciiTheme="minorHAnsi" w:eastAsia="Times New Roman" w:hAnsiTheme="minorHAnsi"/>
          <w:b/>
          <w:szCs w:val="24"/>
          <w:lang w:val="en-US"/>
        </w:rPr>
        <w:t>RECOMMENDATION 4: PARTNERSHIP</w:t>
      </w:r>
      <w:bookmarkEnd w:id="4"/>
    </w:p>
    <w:p w14:paraId="744148A3" w14:textId="77777777" w:rsidR="00000709" w:rsidRPr="003765AD" w:rsidRDefault="00000709" w:rsidP="00000709">
      <w:pPr>
        <w:spacing w:line="240" w:lineRule="auto"/>
        <w:rPr>
          <w:rFonts w:asciiTheme="minorHAnsi" w:eastAsia="Times New Roman" w:hAnsiTheme="minorHAnsi"/>
          <w:b/>
          <w:szCs w:val="24"/>
          <w:lang w:val="en-US"/>
        </w:rPr>
      </w:pPr>
      <w:r w:rsidRPr="003765AD">
        <w:rPr>
          <w:rFonts w:asciiTheme="minorHAnsi" w:eastAsia="Times New Roman" w:hAnsiTheme="minorHAnsi"/>
          <w:b/>
          <w:szCs w:val="24"/>
          <w:lang w:val="en-US"/>
        </w:rPr>
        <w:t>A genuine, evidence-informed partnership between consumers, clinicians, researchers and policy-makers drives an ongoing MBS cycle of review.</w:t>
      </w:r>
    </w:p>
    <w:p w14:paraId="078C9AD1" w14:textId="77777777" w:rsidR="00000709" w:rsidRPr="003765AD" w:rsidRDefault="00000709" w:rsidP="00000709">
      <w:pPr>
        <w:spacing w:after="180" w:line="240" w:lineRule="auto"/>
        <w:rPr>
          <w:rFonts w:ascii="Calibri" w:eastAsia="Times New Roman" w:hAnsi="Calibri"/>
          <w:szCs w:val="24"/>
          <w:lang w:eastAsia="en-AU"/>
        </w:rPr>
      </w:pPr>
      <w:r w:rsidRPr="003765AD">
        <w:rPr>
          <w:rFonts w:ascii="Calibri" w:eastAsia="Times New Roman" w:hAnsi="Calibri"/>
          <w:szCs w:val="24"/>
          <w:lang w:eastAsia="en-AU"/>
        </w:rPr>
        <w:t>Considerations to achieve this include:</w:t>
      </w:r>
    </w:p>
    <w:p w14:paraId="381BF24F" w14:textId="77777777" w:rsidR="00000709" w:rsidRPr="003765AD" w:rsidRDefault="00000709" w:rsidP="00000709">
      <w:pPr>
        <w:numPr>
          <w:ilvl w:val="3"/>
          <w:numId w:val="21"/>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Consumer Secretariat: </w:t>
      </w:r>
      <w:r w:rsidRPr="003765AD">
        <w:rPr>
          <w:rFonts w:ascii="Calibri" w:eastAsia="Times New Roman" w:hAnsi="Calibri"/>
          <w:szCs w:val="24"/>
          <w:lang w:eastAsia="en-AU"/>
        </w:rPr>
        <w:t xml:space="preserve"> establish and resource a Consumer Secretariat whose role is specifically to support consumer engagement in MBS reform.</w:t>
      </w:r>
    </w:p>
    <w:p w14:paraId="232B84E3" w14:textId="77777777" w:rsidR="00000709" w:rsidRPr="003765AD" w:rsidRDefault="00000709" w:rsidP="00000709">
      <w:pPr>
        <w:numPr>
          <w:ilvl w:val="3"/>
          <w:numId w:val="21"/>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Consumer engagement</w:t>
      </w:r>
      <w:r w:rsidRPr="003765AD">
        <w:rPr>
          <w:rFonts w:ascii="Calibri" w:eastAsia="Times New Roman" w:hAnsi="Calibri"/>
          <w:szCs w:val="24"/>
          <w:lang w:eastAsia="en-AU"/>
        </w:rPr>
        <w:t>: work with the Health Technology Assessment Consumer Consultative Committee to develop a systemic model of consumer engagement that includes communication with and feedback from targeted patient, consumer and community groups and the general public.</w:t>
      </w:r>
    </w:p>
    <w:p w14:paraId="5795B72E" w14:textId="77777777" w:rsidR="00000709" w:rsidRPr="003765AD" w:rsidRDefault="00000709" w:rsidP="00000709">
      <w:pPr>
        <w:numPr>
          <w:ilvl w:val="3"/>
          <w:numId w:val="21"/>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Capacity building</w:t>
      </w:r>
      <w:r w:rsidRPr="003765AD">
        <w:rPr>
          <w:rFonts w:ascii="Calibri" w:eastAsia="Times New Roman" w:hAnsi="Calibri"/>
          <w:szCs w:val="24"/>
          <w:lang w:eastAsia="en-AU"/>
        </w:rPr>
        <w:t xml:space="preserve">: work with the Health Technology Assessment Consumer Consultative Committee to develop sustainable systems for public communications (including plain language public summary documents) and education sessions and tools for patient, consumer and community groups who have an interest in the MBS. </w:t>
      </w:r>
    </w:p>
    <w:p w14:paraId="25A13AD3" w14:textId="77777777" w:rsidR="00000709" w:rsidRPr="003765AD" w:rsidRDefault="00000709" w:rsidP="00000709">
      <w:pPr>
        <w:numPr>
          <w:ilvl w:val="3"/>
          <w:numId w:val="21"/>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Health literacy</w:t>
      </w:r>
      <w:r w:rsidRPr="003765AD">
        <w:rPr>
          <w:rFonts w:ascii="Calibri" w:eastAsia="Times New Roman" w:hAnsi="Calibri"/>
          <w:szCs w:val="24"/>
          <w:lang w:eastAsia="en-AU"/>
        </w:rPr>
        <w:t>:</w:t>
      </w:r>
      <w:r w:rsidRPr="003765AD">
        <w:rPr>
          <w:rFonts w:ascii="Calibri" w:eastAsia="Times New Roman" w:hAnsi="Calibri"/>
          <w:b/>
          <w:szCs w:val="24"/>
          <w:lang w:eastAsia="en-AU"/>
        </w:rPr>
        <w:t xml:space="preserve"> </w:t>
      </w:r>
      <w:r w:rsidRPr="003765AD">
        <w:rPr>
          <w:rFonts w:ascii="Calibri" w:eastAsia="Times New Roman" w:hAnsi="Calibri"/>
          <w:szCs w:val="24"/>
          <w:lang w:eastAsia="en-AU"/>
        </w:rPr>
        <w:t>co-design tools for consumers and clinicians to support consumer health literacy in relation to consultations, tests and procedures. Include co-design shared decision-making/decision-support tools and processes and quality, accessible information, linking with Healthdirect as relevant.</w:t>
      </w:r>
    </w:p>
    <w:p w14:paraId="355A85B2" w14:textId="77777777" w:rsidR="00000709" w:rsidRPr="003765AD" w:rsidRDefault="00000709" w:rsidP="00000709">
      <w:pPr>
        <w:numPr>
          <w:ilvl w:val="3"/>
          <w:numId w:val="21"/>
        </w:numPr>
        <w:spacing w:before="180" w:after="180" w:line="240" w:lineRule="auto"/>
        <w:ind w:left="426" w:hanging="426"/>
        <w:rPr>
          <w:rFonts w:ascii="Calibri" w:eastAsia="Times New Roman" w:hAnsi="Calibri"/>
          <w:b/>
          <w:sz w:val="28"/>
          <w:szCs w:val="28"/>
          <w:lang w:eastAsia="en-AU"/>
        </w:rPr>
      </w:pPr>
      <w:r w:rsidRPr="003765AD">
        <w:rPr>
          <w:rFonts w:ascii="Calibri" w:eastAsia="Times New Roman" w:hAnsi="Calibri"/>
          <w:b/>
          <w:szCs w:val="24"/>
          <w:lang w:eastAsia="en-AU"/>
        </w:rPr>
        <w:t>Practitioner audits:</w:t>
      </w:r>
      <w:r w:rsidRPr="003765AD">
        <w:rPr>
          <w:rFonts w:ascii="Calibri" w:eastAsia="Times New Roman" w:hAnsi="Calibri"/>
          <w:szCs w:val="24"/>
          <w:lang w:eastAsia="en-AU"/>
        </w:rPr>
        <w:t xml:space="preserve"> co-design compliance priorities, processes and reporting and ‘peer’ supervision’ instruments.</w:t>
      </w:r>
    </w:p>
    <w:p w14:paraId="6CC7DDB8" w14:textId="77777777" w:rsidR="00000709" w:rsidRPr="003765AD" w:rsidRDefault="00000709" w:rsidP="00000709">
      <w:pPr>
        <w:numPr>
          <w:ilvl w:val="3"/>
          <w:numId w:val="21"/>
        </w:numPr>
        <w:spacing w:before="180" w:after="180" w:line="240" w:lineRule="auto"/>
        <w:ind w:left="426" w:hanging="426"/>
        <w:rPr>
          <w:rFonts w:ascii="Calibri" w:eastAsia="Times New Roman" w:hAnsi="Calibri"/>
          <w:b/>
          <w:szCs w:val="24"/>
          <w:lang w:eastAsia="en-AU"/>
        </w:rPr>
      </w:pPr>
      <w:r w:rsidRPr="003765AD">
        <w:rPr>
          <w:rFonts w:ascii="Calibri" w:eastAsia="Times New Roman" w:hAnsi="Calibri"/>
          <w:b/>
          <w:szCs w:val="24"/>
          <w:lang w:eastAsia="en-AU"/>
        </w:rPr>
        <w:t>Safety and quality</w:t>
      </w:r>
      <w:r w:rsidRPr="003765AD">
        <w:rPr>
          <w:rFonts w:ascii="Calibri" w:eastAsia="Times New Roman" w:hAnsi="Calibri"/>
          <w:szCs w:val="24"/>
          <w:lang w:eastAsia="en-AU"/>
        </w:rPr>
        <w:t xml:space="preserve">: coordinate schedules of work with the Australian Commission on Safety and Quality in Health Care, including development of clinical standards, partnering with consumers and patient reported outcomes (PROMs). </w:t>
      </w:r>
    </w:p>
    <w:p w14:paraId="4A91D6CD" w14:textId="77777777" w:rsidR="00000709" w:rsidRPr="003765AD" w:rsidRDefault="00000709" w:rsidP="00000709">
      <w:pPr>
        <w:numPr>
          <w:ilvl w:val="3"/>
          <w:numId w:val="21"/>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Clinical registries</w:t>
      </w:r>
      <w:r w:rsidRPr="003765AD">
        <w:rPr>
          <w:rFonts w:ascii="Calibri" w:eastAsia="Times New Roman" w:hAnsi="Calibri"/>
          <w:szCs w:val="24"/>
          <w:lang w:eastAsia="en-AU"/>
        </w:rPr>
        <w:t>: develop a coordinated approach to the establishment, quality assurance and use of clinical registries including the use of patient reported outcomes.</w:t>
      </w:r>
    </w:p>
    <w:p w14:paraId="57EA5328" w14:textId="77777777" w:rsidR="00000709" w:rsidRPr="003765AD" w:rsidRDefault="00000709" w:rsidP="00000709">
      <w:pPr>
        <w:numPr>
          <w:ilvl w:val="3"/>
          <w:numId w:val="21"/>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Quality assurance processes</w:t>
      </w:r>
      <w:r w:rsidRPr="003765AD">
        <w:rPr>
          <w:rFonts w:ascii="Calibri" w:eastAsia="Times New Roman" w:hAnsi="Calibri"/>
          <w:szCs w:val="24"/>
          <w:lang w:eastAsia="en-AU"/>
        </w:rPr>
        <w:t xml:space="preserve"> - integrate these and include:</w:t>
      </w:r>
    </w:p>
    <w:p w14:paraId="538519D2" w14:textId="77777777" w:rsidR="00000709" w:rsidRPr="003765AD" w:rsidRDefault="00000709" w:rsidP="00000709">
      <w:pPr>
        <w:numPr>
          <w:ilvl w:val="1"/>
          <w:numId w:val="20"/>
        </w:numPr>
        <w:spacing w:before="180" w:after="180" w:line="240" w:lineRule="auto"/>
        <w:ind w:left="1134" w:hanging="425"/>
        <w:rPr>
          <w:rFonts w:ascii="Calibri" w:eastAsia="Times New Roman" w:hAnsi="Calibri"/>
          <w:szCs w:val="24"/>
          <w:lang w:eastAsia="en-AU"/>
        </w:rPr>
      </w:pPr>
      <w:r w:rsidRPr="003765AD">
        <w:rPr>
          <w:rFonts w:ascii="Calibri" w:eastAsia="Times New Roman" w:hAnsi="Calibri"/>
          <w:szCs w:val="24"/>
          <w:lang w:eastAsia="en-AU"/>
        </w:rPr>
        <w:t>Co-designed standards, guidelines and professional and service accreditation.</w:t>
      </w:r>
    </w:p>
    <w:p w14:paraId="343C6388" w14:textId="77777777" w:rsidR="00000709" w:rsidRPr="003765AD" w:rsidRDefault="00000709" w:rsidP="00000709">
      <w:pPr>
        <w:numPr>
          <w:ilvl w:val="1"/>
          <w:numId w:val="20"/>
        </w:numPr>
        <w:spacing w:before="180" w:after="180" w:line="240" w:lineRule="auto"/>
        <w:ind w:left="1134" w:hanging="425"/>
        <w:rPr>
          <w:rFonts w:ascii="Calibri" w:eastAsia="Times New Roman" w:hAnsi="Calibri"/>
          <w:szCs w:val="24"/>
          <w:lang w:eastAsia="en-AU"/>
        </w:rPr>
      </w:pPr>
      <w:r w:rsidRPr="003765AD">
        <w:rPr>
          <w:rFonts w:ascii="Calibri" w:eastAsia="Times New Roman" w:hAnsi="Calibri"/>
          <w:szCs w:val="24"/>
          <w:lang w:eastAsia="en-AU"/>
        </w:rPr>
        <w:lastRenderedPageBreak/>
        <w:t xml:space="preserve">Review cycles including reports of predicted and actuals. </w:t>
      </w:r>
    </w:p>
    <w:p w14:paraId="0BC334DF" w14:textId="77777777" w:rsidR="00000709" w:rsidRPr="003765AD" w:rsidRDefault="00000709" w:rsidP="00000709">
      <w:pPr>
        <w:numPr>
          <w:ilvl w:val="3"/>
          <w:numId w:val="21"/>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New and developing knowledge</w:t>
      </w:r>
      <w:r w:rsidRPr="003765AD">
        <w:rPr>
          <w:rFonts w:ascii="Calibri" w:eastAsia="Times New Roman" w:hAnsi="Calibri"/>
          <w:szCs w:val="24"/>
          <w:lang w:eastAsia="en-AU"/>
        </w:rPr>
        <w:t xml:space="preserve">: build on the findings of the Taskforce. </w:t>
      </w:r>
    </w:p>
    <w:p w14:paraId="5AD00808" w14:textId="77777777" w:rsidR="00000709" w:rsidRPr="003765AD" w:rsidRDefault="00000709" w:rsidP="00000709">
      <w:pPr>
        <w:numPr>
          <w:ilvl w:val="3"/>
          <w:numId w:val="21"/>
        </w:numPr>
        <w:spacing w:before="180" w:after="180" w:line="240" w:lineRule="auto"/>
        <w:ind w:left="426" w:hanging="426"/>
        <w:rPr>
          <w:rFonts w:ascii="Calibri" w:eastAsia="Times New Roman" w:hAnsi="Calibri"/>
          <w:szCs w:val="24"/>
          <w:lang w:eastAsia="en-AU"/>
        </w:rPr>
      </w:pPr>
      <w:r w:rsidRPr="003765AD">
        <w:rPr>
          <w:rFonts w:ascii="Calibri" w:eastAsia="Times New Roman" w:hAnsi="Calibri"/>
          <w:b/>
          <w:szCs w:val="24"/>
          <w:lang w:eastAsia="en-AU"/>
        </w:rPr>
        <w:t xml:space="preserve">Research: </w:t>
      </w:r>
      <w:r w:rsidRPr="003765AD">
        <w:rPr>
          <w:rFonts w:ascii="Calibri" w:eastAsia="Times New Roman" w:hAnsi="Calibri"/>
          <w:szCs w:val="24"/>
          <w:lang w:eastAsia="en-AU"/>
        </w:rPr>
        <w:t>establish a research agenda and partnerships with a focus on how person-centred care, including genuine informed consent, can drive individual and systemic value in health care.</w:t>
      </w:r>
    </w:p>
    <w:p w14:paraId="79D0FD82" w14:textId="77777777" w:rsidR="00000709" w:rsidRDefault="00000709" w:rsidP="00000709">
      <w:pPr>
        <w:spacing w:after="0" w:line="360" w:lineRule="auto"/>
        <w:rPr>
          <w:rFonts w:asciiTheme="minorHAnsi" w:eastAsia="Times New Roman" w:hAnsiTheme="minorHAnsi"/>
          <w:b/>
          <w:szCs w:val="24"/>
          <w:lang w:val="en-US"/>
        </w:rPr>
      </w:pPr>
    </w:p>
    <w:p w14:paraId="32D53D40" w14:textId="23FB8AE9" w:rsidR="00000709" w:rsidRDefault="00000709">
      <w:pPr>
        <w:spacing w:after="0" w:line="240" w:lineRule="auto"/>
        <w:rPr>
          <w:rFonts w:asciiTheme="minorHAnsi" w:eastAsia="Times New Roman" w:hAnsiTheme="minorHAnsi"/>
          <w:b/>
          <w:szCs w:val="24"/>
          <w:lang w:val="en-US"/>
        </w:rPr>
      </w:pPr>
    </w:p>
    <w:sectPr w:rsidR="00000709" w:rsidSect="00F04DAA">
      <w:headerReference w:type="even" r:id="rId11"/>
      <w:headerReference w:type="default" r:id="rId12"/>
      <w:footerReference w:type="default" r:id="rId13"/>
      <w:headerReference w:type="first" r:id="rId14"/>
      <w:footerReference w:type="first" r:id="rId15"/>
      <w:pgSz w:w="11906" w:h="16838"/>
      <w:pgMar w:top="323" w:right="1134" w:bottom="1134" w:left="1134"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E18AE" w14:textId="77777777" w:rsidR="00D92B71" w:rsidRDefault="00D92B71">
      <w:pPr>
        <w:spacing w:after="0" w:line="240" w:lineRule="auto"/>
      </w:pPr>
      <w:r>
        <w:separator/>
      </w:r>
    </w:p>
  </w:endnote>
  <w:endnote w:type="continuationSeparator" w:id="0">
    <w:p w14:paraId="531E18B0" w14:textId="77777777" w:rsidR="00D92B71" w:rsidRDefault="00D9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4568" w14:textId="58561B0C" w:rsidR="00D92B71" w:rsidRPr="00610F14" w:rsidRDefault="00D92B71" w:rsidP="00F04DAA">
    <w:pPr>
      <w:pStyle w:val="Footer"/>
      <w:pBdr>
        <w:top w:val="single" w:sz="4" w:space="1" w:color="B56012"/>
      </w:pBdr>
      <w:tabs>
        <w:tab w:val="clear" w:pos="4513"/>
        <w:tab w:val="clear" w:pos="9026"/>
        <w:tab w:val="right" w:pos="9638"/>
      </w:tabs>
      <w:rPr>
        <w:rFonts w:asciiTheme="minorHAnsi" w:hAnsiTheme="minorHAnsi" w:cstheme="minorHAnsi"/>
        <w:color w:val="01653F"/>
        <w:sz w:val="18"/>
        <w:szCs w:val="18"/>
      </w:rPr>
    </w:pPr>
    <w:r w:rsidRPr="00610F14">
      <w:rPr>
        <w:rFonts w:asciiTheme="minorHAnsi" w:hAnsiTheme="minorHAnsi" w:cstheme="minorHAnsi"/>
        <w:color w:val="01653F"/>
        <w:sz w:val="18"/>
        <w:szCs w:val="18"/>
      </w:rPr>
      <w:t xml:space="preserve">Taskforce findings from the Final Report from the </w:t>
    </w:r>
    <w:r w:rsidR="00C75709">
      <w:rPr>
        <w:rFonts w:asciiTheme="minorHAnsi" w:hAnsiTheme="minorHAnsi" w:cstheme="minorHAnsi"/>
        <w:color w:val="01653F"/>
        <w:sz w:val="18"/>
        <w:szCs w:val="18"/>
      </w:rPr>
      <w:t>Consumer Panel</w:t>
    </w:r>
    <w:r w:rsidRPr="00610F14">
      <w:rPr>
        <w:rFonts w:asciiTheme="minorHAnsi" w:hAnsiTheme="minorHAnsi" w:cstheme="minorHAnsi"/>
        <w:color w:val="01653F"/>
        <w:sz w:val="18"/>
        <w:szCs w:val="18"/>
      </w:rPr>
      <w:tab/>
      <w:t xml:space="preserve">Page </w:t>
    </w:r>
    <w:r w:rsidRPr="00610F14">
      <w:rPr>
        <w:rFonts w:asciiTheme="minorHAnsi" w:hAnsiTheme="minorHAnsi" w:cstheme="minorHAnsi"/>
        <w:color w:val="01653F"/>
        <w:sz w:val="18"/>
        <w:szCs w:val="18"/>
      </w:rPr>
      <w:fldChar w:fldCharType="begin"/>
    </w:r>
    <w:r w:rsidRPr="00610F14">
      <w:rPr>
        <w:rFonts w:asciiTheme="minorHAnsi" w:hAnsiTheme="minorHAnsi" w:cstheme="minorHAnsi"/>
        <w:color w:val="01653F"/>
        <w:sz w:val="18"/>
        <w:szCs w:val="18"/>
      </w:rPr>
      <w:instrText xml:space="preserve"> PAGE   \* MERGEFORMAT </w:instrText>
    </w:r>
    <w:r w:rsidRPr="00610F14">
      <w:rPr>
        <w:rFonts w:asciiTheme="minorHAnsi" w:hAnsiTheme="minorHAnsi" w:cstheme="minorHAnsi"/>
        <w:color w:val="01653F"/>
        <w:sz w:val="18"/>
        <w:szCs w:val="18"/>
      </w:rPr>
      <w:fldChar w:fldCharType="separate"/>
    </w:r>
    <w:r w:rsidR="00D30505">
      <w:rPr>
        <w:rFonts w:asciiTheme="minorHAnsi" w:hAnsiTheme="minorHAnsi" w:cstheme="minorHAnsi"/>
        <w:noProof/>
        <w:color w:val="01653F"/>
        <w:sz w:val="18"/>
        <w:szCs w:val="18"/>
      </w:rPr>
      <w:t>1</w:t>
    </w:r>
    <w:r w:rsidRPr="00610F14">
      <w:rPr>
        <w:rFonts w:asciiTheme="minorHAnsi" w:hAnsiTheme="minorHAnsi" w:cstheme="minorHAnsi"/>
        <w:color w:val="01653F"/>
        <w:sz w:val="18"/>
        <w:szCs w:val="18"/>
      </w:rPr>
      <w:fldChar w:fldCharType="end"/>
    </w:r>
  </w:p>
  <w:p w14:paraId="531E18A0" w14:textId="77777777" w:rsidR="00D92B71" w:rsidRPr="00F04DAA" w:rsidRDefault="00D92B71" w:rsidP="00F0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3894" w14:textId="7EB6FE6E" w:rsidR="00D92B71" w:rsidRPr="00610F14" w:rsidRDefault="00D92B71" w:rsidP="00F04DAA">
    <w:pPr>
      <w:pStyle w:val="Footer"/>
      <w:pBdr>
        <w:top w:val="single" w:sz="4" w:space="1" w:color="B56012"/>
      </w:pBdr>
      <w:tabs>
        <w:tab w:val="clear" w:pos="4513"/>
        <w:tab w:val="clear" w:pos="9026"/>
        <w:tab w:val="right" w:pos="9638"/>
      </w:tabs>
      <w:rPr>
        <w:rFonts w:asciiTheme="minorHAnsi" w:hAnsiTheme="minorHAnsi" w:cstheme="minorHAnsi"/>
        <w:color w:val="01653F"/>
        <w:sz w:val="18"/>
        <w:szCs w:val="18"/>
      </w:rPr>
    </w:pPr>
    <w:r w:rsidRPr="00610F14">
      <w:rPr>
        <w:rFonts w:asciiTheme="minorHAnsi" w:hAnsiTheme="minorHAnsi" w:cstheme="minorHAnsi"/>
        <w:color w:val="01653F"/>
        <w:sz w:val="18"/>
        <w:szCs w:val="18"/>
      </w:rPr>
      <w:t xml:space="preserve">Taskforce findings from the Final Report from the </w:t>
    </w:r>
    <w:r>
      <w:rPr>
        <w:rFonts w:asciiTheme="minorHAnsi" w:hAnsiTheme="minorHAnsi" w:cstheme="minorHAnsi"/>
        <w:color w:val="01653F"/>
        <w:sz w:val="18"/>
        <w:szCs w:val="18"/>
      </w:rPr>
      <w:t>Mental Health</w:t>
    </w:r>
    <w:r w:rsidRPr="00610F14">
      <w:rPr>
        <w:rFonts w:asciiTheme="minorHAnsi" w:hAnsiTheme="minorHAnsi" w:cstheme="minorHAnsi"/>
        <w:color w:val="01653F"/>
        <w:sz w:val="18"/>
        <w:szCs w:val="18"/>
      </w:rPr>
      <w:t xml:space="preserve"> Reference Group</w:t>
    </w:r>
    <w:r w:rsidRPr="00610F14">
      <w:rPr>
        <w:rFonts w:asciiTheme="minorHAnsi" w:hAnsiTheme="minorHAnsi" w:cstheme="minorHAnsi"/>
        <w:color w:val="01653F"/>
        <w:sz w:val="18"/>
        <w:szCs w:val="18"/>
      </w:rPr>
      <w:tab/>
    </w:r>
    <w:r>
      <w:rPr>
        <w:rFonts w:asciiTheme="minorHAnsi" w:hAnsiTheme="minorHAnsi" w:cstheme="minorHAnsi"/>
        <w:color w:val="01653F"/>
        <w:sz w:val="18"/>
        <w:szCs w:val="18"/>
      </w:rPr>
      <w:t xml:space="preserve">  </w:t>
    </w:r>
    <w:r w:rsidRPr="00610F14">
      <w:rPr>
        <w:rFonts w:asciiTheme="minorHAnsi" w:hAnsiTheme="minorHAnsi" w:cstheme="minorHAnsi"/>
        <w:color w:val="01653F"/>
        <w:sz w:val="18"/>
        <w:szCs w:val="18"/>
      </w:rPr>
      <w:t xml:space="preserve">Page </w:t>
    </w:r>
    <w:r w:rsidRPr="00610F14">
      <w:rPr>
        <w:rFonts w:asciiTheme="minorHAnsi" w:hAnsiTheme="minorHAnsi" w:cstheme="minorHAnsi"/>
        <w:color w:val="01653F"/>
        <w:sz w:val="18"/>
        <w:szCs w:val="18"/>
      </w:rPr>
      <w:fldChar w:fldCharType="begin"/>
    </w:r>
    <w:r w:rsidRPr="00610F14">
      <w:rPr>
        <w:rFonts w:asciiTheme="minorHAnsi" w:hAnsiTheme="minorHAnsi" w:cstheme="minorHAnsi"/>
        <w:color w:val="01653F"/>
        <w:sz w:val="18"/>
        <w:szCs w:val="18"/>
      </w:rPr>
      <w:instrText xml:space="preserve"> PAGE   \* MERGEFORMAT </w:instrText>
    </w:r>
    <w:r w:rsidRPr="00610F14">
      <w:rPr>
        <w:rFonts w:asciiTheme="minorHAnsi" w:hAnsiTheme="minorHAnsi" w:cstheme="minorHAnsi"/>
        <w:color w:val="01653F"/>
        <w:sz w:val="18"/>
        <w:szCs w:val="18"/>
      </w:rPr>
      <w:fldChar w:fldCharType="separate"/>
    </w:r>
    <w:r>
      <w:rPr>
        <w:rFonts w:asciiTheme="minorHAnsi" w:hAnsiTheme="minorHAnsi" w:cstheme="minorHAnsi"/>
        <w:noProof/>
        <w:color w:val="01653F"/>
        <w:sz w:val="18"/>
        <w:szCs w:val="18"/>
      </w:rPr>
      <w:t>1</w:t>
    </w:r>
    <w:r w:rsidRPr="00610F14">
      <w:rPr>
        <w:rFonts w:asciiTheme="minorHAnsi" w:hAnsiTheme="minorHAnsi" w:cstheme="minorHAnsi"/>
        <w:color w:val="01653F"/>
        <w:sz w:val="18"/>
        <w:szCs w:val="18"/>
      </w:rPr>
      <w:fldChar w:fldCharType="end"/>
    </w:r>
  </w:p>
  <w:p w14:paraId="531E18A9" w14:textId="6B88CF61" w:rsidR="00D92B71" w:rsidRPr="00F04DAA" w:rsidRDefault="00D92B71" w:rsidP="00F0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18AA" w14:textId="77777777" w:rsidR="00D92B71" w:rsidRDefault="00D92B71">
      <w:pPr>
        <w:spacing w:after="0" w:line="240" w:lineRule="auto"/>
      </w:pPr>
      <w:r>
        <w:separator/>
      </w:r>
    </w:p>
  </w:footnote>
  <w:footnote w:type="continuationSeparator" w:id="0">
    <w:p w14:paraId="531E18AC" w14:textId="77777777" w:rsidR="00D92B71" w:rsidRDefault="00D9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9C" w14:textId="77777777" w:rsidR="00D92B71" w:rsidRDefault="00D92B71"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14:paraId="531E189D" w14:textId="77777777" w:rsidR="00D92B71" w:rsidRDefault="00D92B71"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A7" w14:textId="77777777" w:rsidR="00D92B71" w:rsidRPr="00F61C26" w:rsidRDefault="00D92B71"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0B248B"/>
    <w:multiLevelType w:val="hybridMultilevel"/>
    <w:tmpl w:val="4B741062"/>
    <w:lvl w:ilvl="0" w:tplc="04090005">
      <w:start w:val="1"/>
      <w:numFmt w:val="bullet"/>
      <w:lvlText w:val=""/>
      <w:lvlJc w:val="left"/>
      <w:pPr>
        <w:ind w:left="136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B29AB"/>
    <w:multiLevelType w:val="hybridMultilevel"/>
    <w:tmpl w:val="95E6423E"/>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3F277D"/>
    <w:multiLevelType w:val="hybridMultilevel"/>
    <w:tmpl w:val="3D0A2376"/>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2F34F1"/>
    <w:multiLevelType w:val="hybridMultilevel"/>
    <w:tmpl w:val="81B0CDEE"/>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D647E5"/>
    <w:multiLevelType w:val="hybridMultilevel"/>
    <w:tmpl w:val="966A08F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8D880E8A">
      <w:start w:val="1"/>
      <w:numFmt w:val="decimal"/>
      <w:lvlText w:val="%4."/>
      <w:lvlJc w:val="left"/>
      <w:pPr>
        <w:ind w:left="2520" w:hanging="360"/>
      </w:pPr>
      <w:rPr>
        <w:rFonts w:cs="Times New Roman"/>
        <w:b/>
        <w:sz w:val="22"/>
        <w:szCs w:val="22"/>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 w15:restartNumberingAfterBreak="0">
    <w:nsid w:val="0BA030A5"/>
    <w:multiLevelType w:val="hybridMultilevel"/>
    <w:tmpl w:val="D764B282"/>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863C6"/>
    <w:multiLevelType w:val="hybridMultilevel"/>
    <w:tmpl w:val="D41CE5C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B7095D"/>
    <w:multiLevelType w:val="hybridMultilevel"/>
    <w:tmpl w:val="C8DAE5E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504C9D"/>
    <w:multiLevelType w:val="hybridMultilevel"/>
    <w:tmpl w:val="CE8EAE4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904BFC"/>
    <w:multiLevelType w:val="hybridMultilevel"/>
    <w:tmpl w:val="86C0FDB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B540A7"/>
    <w:multiLevelType w:val="hybridMultilevel"/>
    <w:tmpl w:val="FDA2F788"/>
    <w:lvl w:ilvl="0" w:tplc="0432401A">
      <w:start w:val="1"/>
      <w:numFmt w:val="bullet"/>
      <w:pStyle w:val="Dash3"/>
      <w:lvlText w:val="-"/>
      <w:lvlJc w:val="left"/>
      <w:pPr>
        <w:ind w:left="1364"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C09D0"/>
    <w:multiLevelType w:val="hybridMultilevel"/>
    <w:tmpl w:val="520ADE3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5522C"/>
    <w:multiLevelType w:val="hybridMultilevel"/>
    <w:tmpl w:val="462A3A6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6900CE"/>
    <w:multiLevelType w:val="hybridMultilevel"/>
    <w:tmpl w:val="FE743B8E"/>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9919ED"/>
    <w:multiLevelType w:val="hybridMultilevel"/>
    <w:tmpl w:val="9588F44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723834"/>
    <w:multiLevelType w:val="hybridMultilevel"/>
    <w:tmpl w:val="DF9CE0BA"/>
    <w:lvl w:ilvl="0" w:tplc="CF741FEE">
      <w:start w:val="1"/>
      <w:numFmt w:val="upperLetter"/>
      <w:pStyle w:val="AppendixStyle1"/>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18" w15:restartNumberingAfterBreak="0">
    <w:nsid w:val="19CE306D"/>
    <w:multiLevelType w:val="hybridMultilevel"/>
    <w:tmpl w:val="0E2AC65E"/>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8047A2"/>
    <w:multiLevelType w:val="hybridMultilevel"/>
    <w:tmpl w:val="C3AC4E8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B675C0"/>
    <w:multiLevelType w:val="hybridMultilevel"/>
    <w:tmpl w:val="DBBC74FC"/>
    <w:lvl w:ilvl="0" w:tplc="72D8424A">
      <w:start w:val="1"/>
      <w:numFmt w:val="decimal"/>
      <w:lvlText w:val="%1."/>
      <w:lvlJc w:val="left"/>
      <w:pPr>
        <w:ind w:left="510" w:hanging="150"/>
      </w:pPr>
      <w:rPr>
        <w:rFonts w:hint="default"/>
        <w:b/>
        <w:color w:val="01653F"/>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FD1F0E"/>
    <w:multiLevelType w:val="hybridMultilevel"/>
    <w:tmpl w:val="1E8073C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F30CFB"/>
    <w:multiLevelType w:val="hybridMultilevel"/>
    <w:tmpl w:val="5428F66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745BC2"/>
    <w:multiLevelType w:val="multilevel"/>
    <w:tmpl w:val="E5E89F92"/>
    <w:numStyleLink w:val="BulletList"/>
  </w:abstractNum>
  <w:abstractNum w:abstractNumId="24" w15:restartNumberingAfterBreak="0">
    <w:nsid w:val="1F774CD8"/>
    <w:multiLevelType w:val="hybridMultilevel"/>
    <w:tmpl w:val="6008831C"/>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3259F3"/>
    <w:multiLevelType w:val="hybridMultilevel"/>
    <w:tmpl w:val="7E4A7B30"/>
    <w:lvl w:ilvl="0" w:tplc="36EC42B4">
      <w:start w:val="1"/>
      <w:numFmt w:val="bullet"/>
      <w:lvlText w:val=""/>
      <w:lvlJc w:val="left"/>
      <w:pPr>
        <w:ind w:left="1440" w:hanging="360"/>
      </w:pPr>
      <w:rPr>
        <w:rFonts w:ascii="Symbol" w:hAnsi="Symbol" w:hint="default"/>
        <w:color w:val="01653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26C87EA1"/>
    <w:multiLevelType w:val="hybridMultilevel"/>
    <w:tmpl w:val="5AF02B6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8C4CEF"/>
    <w:multiLevelType w:val="hybridMultilevel"/>
    <w:tmpl w:val="63B4653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0732E0"/>
    <w:multiLevelType w:val="hybridMultilevel"/>
    <w:tmpl w:val="CF7A114C"/>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652F2C"/>
    <w:multiLevelType w:val="hybridMultilevel"/>
    <w:tmpl w:val="EFE48A4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EC54C7"/>
    <w:multiLevelType w:val="hybridMultilevel"/>
    <w:tmpl w:val="24FADBAC"/>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236A36"/>
    <w:multiLevelType w:val="hybridMultilevel"/>
    <w:tmpl w:val="B918865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271609"/>
    <w:multiLevelType w:val="hybridMultilevel"/>
    <w:tmpl w:val="2D86E6E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88097C"/>
    <w:multiLevelType w:val="hybridMultilevel"/>
    <w:tmpl w:val="FC4C827C"/>
    <w:lvl w:ilvl="0" w:tplc="74B6F98C">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9A319E"/>
    <w:multiLevelType w:val="hybridMultilevel"/>
    <w:tmpl w:val="77C2C20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1746909"/>
    <w:multiLevelType w:val="hybridMultilevel"/>
    <w:tmpl w:val="B630078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927DEA"/>
    <w:multiLevelType w:val="hybridMultilevel"/>
    <w:tmpl w:val="71AE7984"/>
    <w:lvl w:ilvl="0" w:tplc="367470AE">
      <w:start w:val="1"/>
      <w:numFmt w:val="bullet"/>
      <w:pStyle w:val="Square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8" w15:restartNumberingAfterBreak="0">
    <w:nsid w:val="358733C5"/>
    <w:multiLevelType w:val="hybridMultilevel"/>
    <w:tmpl w:val="89283556"/>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BB60A1"/>
    <w:multiLevelType w:val="hybridMultilevel"/>
    <w:tmpl w:val="81FC1E00"/>
    <w:lvl w:ilvl="0" w:tplc="74B6F98C">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8D04C93"/>
    <w:multiLevelType w:val="hybridMultilevel"/>
    <w:tmpl w:val="B0A8D0C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9151B20"/>
    <w:multiLevelType w:val="hybridMultilevel"/>
    <w:tmpl w:val="09D6C30C"/>
    <w:lvl w:ilvl="0" w:tplc="58F6544A">
      <w:start w:val="1"/>
      <w:numFmt w:val="decimal"/>
      <w:lvlText w:val="%1."/>
      <w:lvlJc w:val="left"/>
      <w:pPr>
        <w:ind w:left="150" w:hanging="15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9E7001C"/>
    <w:multiLevelType w:val="hybridMultilevel"/>
    <w:tmpl w:val="C94611B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FF00A2"/>
    <w:multiLevelType w:val="hybridMultilevel"/>
    <w:tmpl w:val="E4D44B5E"/>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C1B1D0D"/>
    <w:multiLevelType w:val="hybridMultilevel"/>
    <w:tmpl w:val="69041EB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2311EE2"/>
    <w:multiLevelType w:val="hybridMultilevel"/>
    <w:tmpl w:val="DC04138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F968D9"/>
    <w:multiLevelType w:val="hybridMultilevel"/>
    <w:tmpl w:val="1A94212E"/>
    <w:lvl w:ilvl="0" w:tplc="261ECB94">
      <w:start w:val="1"/>
      <w:numFmt w:val="decimal"/>
      <w:pStyle w:val="Numbering"/>
      <w:lvlText w:val="%1."/>
      <w:lvlJc w:val="left"/>
      <w:pPr>
        <w:ind w:left="360" w:hanging="360"/>
      </w:pPr>
      <w:rPr>
        <w:b/>
        <w:color w:val="01653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614323F"/>
    <w:multiLevelType w:val="hybridMultilevel"/>
    <w:tmpl w:val="D1509C9C"/>
    <w:lvl w:ilvl="0" w:tplc="36EC42B4">
      <w:start w:val="1"/>
      <w:numFmt w:val="bullet"/>
      <w:lvlText w:val=""/>
      <w:lvlJc w:val="left"/>
      <w:pPr>
        <w:ind w:left="360" w:hanging="360"/>
      </w:pPr>
      <w:rPr>
        <w:rFonts w:ascii="Symbol" w:hAnsi="Symbol" w:hint="default"/>
        <w:color w:val="01653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7EA2D3D"/>
    <w:multiLevelType w:val="hybridMultilevel"/>
    <w:tmpl w:val="71565DC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8DD0EA1"/>
    <w:multiLevelType w:val="hybridMultilevel"/>
    <w:tmpl w:val="CFB4D13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B413A46"/>
    <w:multiLevelType w:val="hybridMultilevel"/>
    <w:tmpl w:val="AA9EF1A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BFE031D"/>
    <w:multiLevelType w:val="hybridMultilevel"/>
    <w:tmpl w:val="24CCED16"/>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2E46C7"/>
    <w:multiLevelType w:val="hybridMultilevel"/>
    <w:tmpl w:val="FEF0C5E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DE515F3"/>
    <w:multiLevelType w:val="hybridMultilevel"/>
    <w:tmpl w:val="7E36520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FE43A4"/>
    <w:multiLevelType w:val="hybridMultilevel"/>
    <w:tmpl w:val="6FEA06F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24F6D23"/>
    <w:multiLevelType w:val="hybridMultilevel"/>
    <w:tmpl w:val="615CA1AA"/>
    <w:lvl w:ilvl="0" w:tplc="04090005">
      <w:start w:val="1"/>
      <w:numFmt w:val="bullet"/>
      <w:lvlText w:val=""/>
      <w:lvlJc w:val="left"/>
      <w:pPr>
        <w:ind w:left="1364" w:hanging="360"/>
      </w:pPr>
      <w:rPr>
        <w:rFonts w:ascii="Wingdings" w:hAnsi="Wingding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7" w15:restartNumberingAfterBreak="0">
    <w:nsid w:val="56CF78D9"/>
    <w:multiLevelType w:val="hybridMultilevel"/>
    <w:tmpl w:val="E85255B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4F23AD"/>
    <w:multiLevelType w:val="hybridMultilevel"/>
    <w:tmpl w:val="98FC9892"/>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7F4B88"/>
    <w:multiLevelType w:val="hybridMultilevel"/>
    <w:tmpl w:val="B20E31E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9305F20"/>
    <w:multiLevelType w:val="hybridMultilevel"/>
    <w:tmpl w:val="238E50B8"/>
    <w:lvl w:ilvl="0" w:tplc="3626CA90">
      <w:start w:val="1"/>
      <w:numFmt w:val="decimal"/>
      <w:lvlText w:val="%1."/>
      <w:lvlJc w:val="left"/>
      <w:pPr>
        <w:ind w:left="720" w:hanging="360"/>
      </w:pPr>
      <w:rPr>
        <w:rFonts w:hint="default"/>
        <w:b/>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EB33887"/>
    <w:multiLevelType w:val="hybridMultilevel"/>
    <w:tmpl w:val="8B0CAB6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F3F4BAC"/>
    <w:multiLevelType w:val="hybridMultilevel"/>
    <w:tmpl w:val="8D72F72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10970E7"/>
    <w:multiLevelType w:val="hybridMultilevel"/>
    <w:tmpl w:val="30DA9A52"/>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25C353C"/>
    <w:multiLevelType w:val="hybridMultilevel"/>
    <w:tmpl w:val="1C70667E"/>
    <w:lvl w:ilvl="0" w:tplc="74B6F98C">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633710A8"/>
    <w:multiLevelType w:val="hybridMultilevel"/>
    <w:tmpl w:val="621C6B94"/>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4822D0D"/>
    <w:multiLevelType w:val="hybridMultilevel"/>
    <w:tmpl w:val="1210752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4B66BDD"/>
    <w:multiLevelType w:val="hybridMultilevel"/>
    <w:tmpl w:val="9FB450C0"/>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9" w15:restartNumberingAfterBreak="0">
    <w:nsid w:val="65A64D17"/>
    <w:multiLevelType w:val="hybridMultilevel"/>
    <w:tmpl w:val="7100AB4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5BA6F26"/>
    <w:multiLevelType w:val="hybridMultilevel"/>
    <w:tmpl w:val="AAAC358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5D723EA"/>
    <w:multiLevelType w:val="hybridMultilevel"/>
    <w:tmpl w:val="1A14BB1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6A934BB"/>
    <w:multiLevelType w:val="hybridMultilevel"/>
    <w:tmpl w:val="699C195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8FC5502"/>
    <w:multiLevelType w:val="hybridMultilevel"/>
    <w:tmpl w:val="9196A33E"/>
    <w:lvl w:ilvl="0" w:tplc="04090003">
      <w:start w:val="1"/>
      <w:numFmt w:val="bullet"/>
      <w:lvlText w:val="o"/>
      <w:lvlJc w:val="left"/>
      <w:pPr>
        <w:ind w:left="765" w:hanging="360"/>
      </w:pPr>
      <w:rPr>
        <w:rFonts w:ascii="Courier New" w:hAnsi="Courier New" w:cs="Courier New" w:hint="default"/>
      </w:rPr>
    </w:lvl>
    <w:lvl w:ilvl="1" w:tplc="74B6F98C">
      <w:numFmt w:val="bullet"/>
      <w:lvlText w:val="-"/>
      <w:lvlJc w:val="left"/>
      <w:pPr>
        <w:ind w:left="1485" w:hanging="360"/>
      </w:pPr>
      <w:rPr>
        <w:rFonts w:ascii="Calibri" w:eastAsia="Times New Roman" w:hAnsi="Calibri" w:cs="Times New Roman"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4" w15:restartNumberingAfterBreak="0">
    <w:nsid w:val="68FF3EE2"/>
    <w:multiLevelType w:val="hybridMultilevel"/>
    <w:tmpl w:val="5BD8DF26"/>
    <w:lvl w:ilvl="0" w:tplc="05D2A00A">
      <w:numFmt w:val="bullet"/>
      <w:lvlText w:val="-"/>
      <w:lvlJc w:val="left"/>
      <w:pPr>
        <w:ind w:left="720" w:hanging="360"/>
      </w:pPr>
      <w:rPr>
        <w:rFonts w:ascii="Calibri" w:eastAsia="MS Mincho" w:hAnsi="Calibri" w:cs="Calibri" w:hint="default"/>
      </w:rPr>
    </w:lvl>
    <w:lvl w:ilvl="1" w:tplc="3C7A6452">
      <w:start w:val="2"/>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B9D398F"/>
    <w:multiLevelType w:val="hybridMultilevel"/>
    <w:tmpl w:val="E4ECADE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CD4B7D"/>
    <w:multiLevelType w:val="hybridMultilevel"/>
    <w:tmpl w:val="6E52C2D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20A42C1"/>
    <w:multiLevelType w:val="hybridMultilevel"/>
    <w:tmpl w:val="700255BA"/>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31673C2"/>
    <w:multiLevelType w:val="hybridMultilevel"/>
    <w:tmpl w:val="6994AFE6"/>
    <w:lvl w:ilvl="0" w:tplc="0C090005">
      <w:start w:val="1"/>
      <w:numFmt w:val="bullet"/>
      <w:lvlText w:val=""/>
      <w:lvlJc w:val="left"/>
      <w:pPr>
        <w:ind w:left="2130" w:hanging="360"/>
      </w:pPr>
      <w:rPr>
        <w:rFonts w:ascii="Wingdings" w:hAnsi="Wingdings"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79" w15:restartNumberingAfterBreak="0">
    <w:nsid w:val="73F25871"/>
    <w:multiLevelType w:val="hybridMultilevel"/>
    <w:tmpl w:val="0FEC2D4C"/>
    <w:lvl w:ilvl="0" w:tplc="13D6454C">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271962"/>
    <w:multiLevelType w:val="hybridMultilevel"/>
    <w:tmpl w:val="00CE3986"/>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2" w15:restartNumberingAfterBreak="0">
    <w:nsid w:val="7B621F4E"/>
    <w:multiLevelType w:val="hybridMultilevel"/>
    <w:tmpl w:val="45EE26B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C43752F"/>
    <w:multiLevelType w:val="hybridMultilevel"/>
    <w:tmpl w:val="C14E46A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1"/>
  </w:num>
  <w:num w:numId="2">
    <w:abstractNumId w:val="0"/>
  </w:num>
  <w:num w:numId="3">
    <w:abstractNumId w:val="39"/>
  </w:num>
  <w:num w:numId="4">
    <w:abstractNumId w:val="34"/>
  </w:num>
  <w:num w:numId="5">
    <w:abstractNumId w:val="68"/>
  </w:num>
  <w:num w:numId="6">
    <w:abstractNumId w:val="23"/>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3"/>
  </w:num>
  <w:num w:numId="8">
    <w:abstractNumId w:val="73"/>
  </w:num>
  <w:num w:numId="9">
    <w:abstractNumId w:val="12"/>
  </w:num>
  <w:num w:numId="10">
    <w:abstractNumId w:val="79"/>
  </w:num>
  <w:num w:numId="11">
    <w:abstractNumId w:val="37"/>
  </w:num>
  <w:num w:numId="12">
    <w:abstractNumId w:val="47"/>
  </w:num>
  <w:num w:numId="13">
    <w:abstractNumId w:val="17"/>
  </w:num>
  <w:num w:numId="14">
    <w:abstractNumId w:val="1"/>
  </w:num>
  <w:num w:numId="15">
    <w:abstractNumId w:val="40"/>
  </w:num>
  <w:num w:numId="16">
    <w:abstractNumId w:val="64"/>
  </w:num>
  <w:num w:numId="17">
    <w:abstractNumId w:val="33"/>
  </w:num>
  <w:num w:numId="18">
    <w:abstractNumId w:val="56"/>
  </w:num>
  <w:num w:numId="19">
    <w:abstractNumId w:val="78"/>
  </w:num>
  <w:num w:numId="20">
    <w:abstractNumId w:val="60"/>
  </w:num>
  <w:num w:numId="21">
    <w:abstractNumId w:val="6"/>
  </w:num>
  <w:num w:numId="22">
    <w:abstractNumId w:val="20"/>
  </w:num>
  <w:num w:numId="23">
    <w:abstractNumId w:val="25"/>
  </w:num>
  <w:num w:numId="24">
    <w:abstractNumId w:val="48"/>
  </w:num>
  <w:num w:numId="25">
    <w:abstractNumId w:val="42"/>
  </w:num>
  <w:num w:numId="26">
    <w:abstractNumId w:val="57"/>
  </w:num>
  <w:num w:numId="27">
    <w:abstractNumId w:val="16"/>
  </w:num>
  <w:num w:numId="28">
    <w:abstractNumId w:val="80"/>
  </w:num>
  <w:num w:numId="29">
    <w:abstractNumId w:val="13"/>
  </w:num>
  <w:num w:numId="30">
    <w:abstractNumId w:val="70"/>
  </w:num>
  <w:num w:numId="31">
    <w:abstractNumId w:val="50"/>
  </w:num>
  <w:num w:numId="32">
    <w:abstractNumId w:val="41"/>
  </w:num>
  <w:num w:numId="33">
    <w:abstractNumId w:val="66"/>
  </w:num>
  <w:num w:numId="34">
    <w:abstractNumId w:val="63"/>
  </w:num>
  <w:num w:numId="35">
    <w:abstractNumId w:val="11"/>
  </w:num>
  <w:num w:numId="36">
    <w:abstractNumId w:val="72"/>
  </w:num>
  <w:num w:numId="37">
    <w:abstractNumId w:val="31"/>
  </w:num>
  <w:num w:numId="38">
    <w:abstractNumId w:val="54"/>
  </w:num>
  <w:num w:numId="39">
    <w:abstractNumId w:val="35"/>
  </w:num>
  <w:num w:numId="40">
    <w:abstractNumId w:val="71"/>
  </w:num>
  <w:num w:numId="41">
    <w:abstractNumId w:val="51"/>
  </w:num>
  <w:num w:numId="42">
    <w:abstractNumId w:val="18"/>
  </w:num>
  <w:num w:numId="43">
    <w:abstractNumId w:val="24"/>
  </w:num>
  <w:num w:numId="44">
    <w:abstractNumId w:val="83"/>
  </w:num>
  <w:num w:numId="45">
    <w:abstractNumId w:val="45"/>
  </w:num>
  <w:num w:numId="46">
    <w:abstractNumId w:val="52"/>
  </w:num>
  <w:num w:numId="47">
    <w:abstractNumId w:val="67"/>
  </w:num>
  <w:num w:numId="48">
    <w:abstractNumId w:val="46"/>
  </w:num>
  <w:num w:numId="49">
    <w:abstractNumId w:val="75"/>
  </w:num>
  <w:num w:numId="50">
    <w:abstractNumId w:val="32"/>
  </w:num>
  <w:num w:numId="51">
    <w:abstractNumId w:val="22"/>
  </w:num>
  <w:num w:numId="52">
    <w:abstractNumId w:val="14"/>
  </w:num>
  <w:num w:numId="53">
    <w:abstractNumId w:val="59"/>
  </w:num>
  <w:num w:numId="54">
    <w:abstractNumId w:val="27"/>
  </w:num>
  <w:num w:numId="55">
    <w:abstractNumId w:val="8"/>
  </w:num>
  <w:num w:numId="56">
    <w:abstractNumId w:val="65"/>
  </w:num>
  <w:num w:numId="57">
    <w:abstractNumId w:val="77"/>
  </w:num>
  <w:num w:numId="58">
    <w:abstractNumId w:val="5"/>
  </w:num>
  <w:num w:numId="59">
    <w:abstractNumId w:val="49"/>
  </w:num>
  <w:num w:numId="60">
    <w:abstractNumId w:val="30"/>
  </w:num>
  <w:num w:numId="61">
    <w:abstractNumId w:val="44"/>
  </w:num>
  <w:num w:numId="62">
    <w:abstractNumId w:val="61"/>
  </w:num>
  <w:num w:numId="63">
    <w:abstractNumId w:val="62"/>
  </w:num>
  <w:num w:numId="64">
    <w:abstractNumId w:val="4"/>
  </w:num>
  <w:num w:numId="65">
    <w:abstractNumId w:val="43"/>
  </w:num>
  <w:num w:numId="66">
    <w:abstractNumId w:val="69"/>
  </w:num>
  <w:num w:numId="67">
    <w:abstractNumId w:val="19"/>
  </w:num>
  <w:num w:numId="68">
    <w:abstractNumId w:val="2"/>
  </w:num>
  <w:num w:numId="69">
    <w:abstractNumId w:val="53"/>
  </w:num>
  <w:num w:numId="70">
    <w:abstractNumId w:val="29"/>
  </w:num>
  <w:num w:numId="71">
    <w:abstractNumId w:val="38"/>
  </w:num>
  <w:num w:numId="72">
    <w:abstractNumId w:val="28"/>
  </w:num>
  <w:num w:numId="73">
    <w:abstractNumId w:val="55"/>
  </w:num>
  <w:num w:numId="74">
    <w:abstractNumId w:val="82"/>
  </w:num>
  <w:num w:numId="75">
    <w:abstractNumId w:val="26"/>
  </w:num>
  <w:num w:numId="76">
    <w:abstractNumId w:val="15"/>
  </w:num>
  <w:num w:numId="77">
    <w:abstractNumId w:val="10"/>
  </w:num>
  <w:num w:numId="78">
    <w:abstractNumId w:val="74"/>
  </w:num>
  <w:num w:numId="79">
    <w:abstractNumId w:val="7"/>
  </w:num>
  <w:num w:numId="80">
    <w:abstractNumId w:val="21"/>
  </w:num>
  <w:num w:numId="81">
    <w:abstractNumId w:val="76"/>
  </w:num>
  <w:num w:numId="82">
    <w:abstractNumId w:val="36"/>
  </w:num>
  <w:num w:numId="83">
    <w:abstractNumId w:val="9"/>
  </w:num>
  <w:num w:numId="84">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0709"/>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0935"/>
    <w:rsid w:val="00062F4E"/>
    <w:rsid w:val="00063AF2"/>
    <w:rsid w:val="000642C0"/>
    <w:rsid w:val="000671E8"/>
    <w:rsid w:val="00067EF2"/>
    <w:rsid w:val="000759E5"/>
    <w:rsid w:val="00080A47"/>
    <w:rsid w:val="0008410F"/>
    <w:rsid w:val="00084AC6"/>
    <w:rsid w:val="00085C49"/>
    <w:rsid w:val="00091608"/>
    <w:rsid w:val="0009257B"/>
    <w:rsid w:val="00092839"/>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05F2"/>
    <w:rsid w:val="000D24BA"/>
    <w:rsid w:val="000D2887"/>
    <w:rsid w:val="000D35F3"/>
    <w:rsid w:val="000D61D0"/>
    <w:rsid w:val="000D641C"/>
    <w:rsid w:val="000D6D63"/>
    <w:rsid w:val="000E0081"/>
    <w:rsid w:val="000E07CF"/>
    <w:rsid w:val="000E5B13"/>
    <w:rsid w:val="0010543C"/>
    <w:rsid w:val="0011498E"/>
    <w:rsid w:val="00117A45"/>
    <w:rsid w:val="00120FE7"/>
    <w:rsid w:val="001219EE"/>
    <w:rsid w:val="001224AE"/>
    <w:rsid w:val="001337D4"/>
    <w:rsid w:val="00135AC3"/>
    <w:rsid w:val="00135FED"/>
    <w:rsid w:val="00141A7F"/>
    <w:rsid w:val="00142B4A"/>
    <w:rsid w:val="00143480"/>
    <w:rsid w:val="00146ED2"/>
    <w:rsid w:val="00147C12"/>
    <w:rsid w:val="001527A1"/>
    <w:rsid w:val="001530DC"/>
    <w:rsid w:val="001548C9"/>
    <w:rsid w:val="00154989"/>
    <w:rsid w:val="00154B16"/>
    <w:rsid w:val="00155A9F"/>
    <w:rsid w:val="00156731"/>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6449"/>
    <w:rsid w:val="001F228C"/>
    <w:rsid w:val="001F2ADA"/>
    <w:rsid w:val="001F7065"/>
    <w:rsid w:val="00200091"/>
    <w:rsid w:val="002016FF"/>
    <w:rsid w:val="00202C90"/>
    <w:rsid w:val="00213DE8"/>
    <w:rsid w:val="00214B4E"/>
    <w:rsid w:val="00216118"/>
    <w:rsid w:val="002177F4"/>
    <w:rsid w:val="002209AB"/>
    <w:rsid w:val="002251E3"/>
    <w:rsid w:val="00226F5F"/>
    <w:rsid w:val="00227A95"/>
    <w:rsid w:val="00231397"/>
    <w:rsid w:val="00232521"/>
    <w:rsid w:val="00234753"/>
    <w:rsid w:val="002364BA"/>
    <w:rsid w:val="0023777A"/>
    <w:rsid w:val="00242548"/>
    <w:rsid w:val="002473FC"/>
    <w:rsid w:val="0025060F"/>
    <w:rsid w:val="00252E3C"/>
    <w:rsid w:val="00255D76"/>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48E"/>
    <w:rsid w:val="002E278B"/>
    <w:rsid w:val="002E3BAF"/>
    <w:rsid w:val="002E418A"/>
    <w:rsid w:val="002E5D24"/>
    <w:rsid w:val="002F045A"/>
    <w:rsid w:val="002F18F8"/>
    <w:rsid w:val="002F3BBE"/>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30DCE"/>
    <w:rsid w:val="00331E11"/>
    <w:rsid w:val="003341FA"/>
    <w:rsid w:val="00334761"/>
    <w:rsid w:val="00335A95"/>
    <w:rsid w:val="00337BED"/>
    <w:rsid w:val="00341DCD"/>
    <w:rsid w:val="00344897"/>
    <w:rsid w:val="0034563E"/>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6068"/>
    <w:rsid w:val="003B60CC"/>
    <w:rsid w:val="003C2443"/>
    <w:rsid w:val="003C34A9"/>
    <w:rsid w:val="003C5DA3"/>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1141"/>
    <w:rsid w:val="004C1823"/>
    <w:rsid w:val="004C3EA0"/>
    <w:rsid w:val="004D564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81E"/>
    <w:rsid w:val="0052742A"/>
    <w:rsid w:val="00527851"/>
    <w:rsid w:val="00531DBF"/>
    <w:rsid w:val="00533AF6"/>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7C4A"/>
    <w:rsid w:val="005E276E"/>
    <w:rsid w:val="005E3DFC"/>
    <w:rsid w:val="005E436A"/>
    <w:rsid w:val="005E5D52"/>
    <w:rsid w:val="005E60AF"/>
    <w:rsid w:val="005F1DEA"/>
    <w:rsid w:val="005F607D"/>
    <w:rsid w:val="005F7572"/>
    <w:rsid w:val="0060436B"/>
    <w:rsid w:val="0060462F"/>
    <w:rsid w:val="00605432"/>
    <w:rsid w:val="00607FC9"/>
    <w:rsid w:val="0061002D"/>
    <w:rsid w:val="0061093B"/>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0873"/>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5111"/>
    <w:rsid w:val="00676A79"/>
    <w:rsid w:val="00676FCA"/>
    <w:rsid w:val="00677177"/>
    <w:rsid w:val="00684B33"/>
    <w:rsid w:val="00685897"/>
    <w:rsid w:val="0068612E"/>
    <w:rsid w:val="00687C92"/>
    <w:rsid w:val="0069039D"/>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471D"/>
    <w:rsid w:val="00767211"/>
    <w:rsid w:val="0076744F"/>
    <w:rsid w:val="00767BCE"/>
    <w:rsid w:val="007707DE"/>
    <w:rsid w:val="00770B5D"/>
    <w:rsid w:val="007752F1"/>
    <w:rsid w:val="00776768"/>
    <w:rsid w:val="007849E2"/>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D6F7A"/>
    <w:rsid w:val="007E24F6"/>
    <w:rsid w:val="007E70FA"/>
    <w:rsid w:val="007F044F"/>
    <w:rsid w:val="007F47DF"/>
    <w:rsid w:val="007F78B5"/>
    <w:rsid w:val="00800F64"/>
    <w:rsid w:val="00802F0B"/>
    <w:rsid w:val="00810A67"/>
    <w:rsid w:val="0081565D"/>
    <w:rsid w:val="008165C8"/>
    <w:rsid w:val="00821A31"/>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83898"/>
    <w:rsid w:val="00885D98"/>
    <w:rsid w:val="00890D4F"/>
    <w:rsid w:val="00895DB7"/>
    <w:rsid w:val="008A2B4A"/>
    <w:rsid w:val="008A3080"/>
    <w:rsid w:val="008A3C96"/>
    <w:rsid w:val="008B4019"/>
    <w:rsid w:val="008B65C9"/>
    <w:rsid w:val="008C18A4"/>
    <w:rsid w:val="008C2D4A"/>
    <w:rsid w:val="008D3900"/>
    <w:rsid w:val="008D45BD"/>
    <w:rsid w:val="008D6E1D"/>
    <w:rsid w:val="008E6A5D"/>
    <w:rsid w:val="008E79EF"/>
    <w:rsid w:val="008F2A1A"/>
    <w:rsid w:val="008F39B4"/>
    <w:rsid w:val="008F4162"/>
    <w:rsid w:val="008F7F68"/>
    <w:rsid w:val="00901945"/>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7481"/>
    <w:rsid w:val="00961517"/>
    <w:rsid w:val="0096170E"/>
    <w:rsid w:val="00967332"/>
    <w:rsid w:val="009675F7"/>
    <w:rsid w:val="00976E4A"/>
    <w:rsid w:val="00977E13"/>
    <w:rsid w:val="009852E6"/>
    <w:rsid w:val="00985F31"/>
    <w:rsid w:val="00992DD6"/>
    <w:rsid w:val="0099575B"/>
    <w:rsid w:val="009B0B9F"/>
    <w:rsid w:val="009B2B6E"/>
    <w:rsid w:val="009B38BE"/>
    <w:rsid w:val="009B4F17"/>
    <w:rsid w:val="009C035D"/>
    <w:rsid w:val="009C0791"/>
    <w:rsid w:val="009C333F"/>
    <w:rsid w:val="009C3D0F"/>
    <w:rsid w:val="009D2FDC"/>
    <w:rsid w:val="009D3035"/>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462FE"/>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4B22"/>
    <w:rsid w:val="00B25310"/>
    <w:rsid w:val="00B32801"/>
    <w:rsid w:val="00B32F8F"/>
    <w:rsid w:val="00B37075"/>
    <w:rsid w:val="00B37C14"/>
    <w:rsid w:val="00B404DC"/>
    <w:rsid w:val="00B41035"/>
    <w:rsid w:val="00B4799B"/>
    <w:rsid w:val="00B54DE9"/>
    <w:rsid w:val="00B553EC"/>
    <w:rsid w:val="00B55E3D"/>
    <w:rsid w:val="00B62B98"/>
    <w:rsid w:val="00B632CF"/>
    <w:rsid w:val="00B63A85"/>
    <w:rsid w:val="00B644BA"/>
    <w:rsid w:val="00B65E27"/>
    <w:rsid w:val="00B67D8D"/>
    <w:rsid w:val="00B70ED4"/>
    <w:rsid w:val="00B770A2"/>
    <w:rsid w:val="00B8023B"/>
    <w:rsid w:val="00B807C8"/>
    <w:rsid w:val="00B81370"/>
    <w:rsid w:val="00B8309E"/>
    <w:rsid w:val="00B86F9F"/>
    <w:rsid w:val="00B93DD0"/>
    <w:rsid w:val="00B97265"/>
    <w:rsid w:val="00B97732"/>
    <w:rsid w:val="00B97D89"/>
    <w:rsid w:val="00BA65A8"/>
    <w:rsid w:val="00BA6D19"/>
    <w:rsid w:val="00BA7461"/>
    <w:rsid w:val="00BA7DA9"/>
    <w:rsid w:val="00BC3919"/>
    <w:rsid w:val="00BC4215"/>
    <w:rsid w:val="00BD1A6F"/>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96B"/>
    <w:rsid w:val="00C17F88"/>
    <w:rsid w:val="00C229F2"/>
    <w:rsid w:val="00C22E15"/>
    <w:rsid w:val="00C2683F"/>
    <w:rsid w:val="00C3184D"/>
    <w:rsid w:val="00C37779"/>
    <w:rsid w:val="00C42606"/>
    <w:rsid w:val="00C4714E"/>
    <w:rsid w:val="00C51AC1"/>
    <w:rsid w:val="00C5256D"/>
    <w:rsid w:val="00C5366B"/>
    <w:rsid w:val="00C547F1"/>
    <w:rsid w:val="00C5504F"/>
    <w:rsid w:val="00C63376"/>
    <w:rsid w:val="00C634DE"/>
    <w:rsid w:val="00C66861"/>
    <w:rsid w:val="00C748E5"/>
    <w:rsid w:val="00C74F97"/>
    <w:rsid w:val="00C75709"/>
    <w:rsid w:val="00C8276E"/>
    <w:rsid w:val="00C842AC"/>
    <w:rsid w:val="00C85444"/>
    <w:rsid w:val="00C854A4"/>
    <w:rsid w:val="00C865F9"/>
    <w:rsid w:val="00C86DC8"/>
    <w:rsid w:val="00C87191"/>
    <w:rsid w:val="00CA0723"/>
    <w:rsid w:val="00CA23D2"/>
    <w:rsid w:val="00CA24B7"/>
    <w:rsid w:val="00CA61AB"/>
    <w:rsid w:val="00CB1690"/>
    <w:rsid w:val="00CB4611"/>
    <w:rsid w:val="00CB66D3"/>
    <w:rsid w:val="00CB6BB9"/>
    <w:rsid w:val="00CB6FB4"/>
    <w:rsid w:val="00CB734F"/>
    <w:rsid w:val="00CC1AE6"/>
    <w:rsid w:val="00CC4365"/>
    <w:rsid w:val="00CD11B0"/>
    <w:rsid w:val="00CD34A9"/>
    <w:rsid w:val="00CD3A95"/>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505"/>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492E"/>
    <w:rsid w:val="00D656AC"/>
    <w:rsid w:val="00D65CDF"/>
    <w:rsid w:val="00D66E20"/>
    <w:rsid w:val="00D76885"/>
    <w:rsid w:val="00D80F3B"/>
    <w:rsid w:val="00D822CD"/>
    <w:rsid w:val="00D85C55"/>
    <w:rsid w:val="00D85E55"/>
    <w:rsid w:val="00D86BA5"/>
    <w:rsid w:val="00D86C4E"/>
    <w:rsid w:val="00D873D1"/>
    <w:rsid w:val="00D92B7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7090"/>
    <w:rsid w:val="00E216DA"/>
    <w:rsid w:val="00E22AD5"/>
    <w:rsid w:val="00E32870"/>
    <w:rsid w:val="00E356E5"/>
    <w:rsid w:val="00E35F2D"/>
    <w:rsid w:val="00E36F81"/>
    <w:rsid w:val="00E44648"/>
    <w:rsid w:val="00E447F6"/>
    <w:rsid w:val="00E452FA"/>
    <w:rsid w:val="00E45765"/>
    <w:rsid w:val="00E45E10"/>
    <w:rsid w:val="00E5098C"/>
    <w:rsid w:val="00E5418E"/>
    <w:rsid w:val="00E54E05"/>
    <w:rsid w:val="00E57A1F"/>
    <w:rsid w:val="00E60213"/>
    <w:rsid w:val="00E63FF2"/>
    <w:rsid w:val="00E671F6"/>
    <w:rsid w:val="00E74D29"/>
    <w:rsid w:val="00E8150C"/>
    <w:rsid w:val="00E834FF"/>
    <w:rsid w:val="00E83C74"/>
    <w:rsid w:val="00E83CEE"/>
    <w:rsid w:val="00E8776C"/>
    <w:rsid w:val="00E90744"/>
    <w:rsid w:val="00E912F9"/>
    <w:rsid w:val="00E91736"/>
    <w:rsid w:val="00E9226D"/>
    <w:rsid w:val="00E923D6"/>
    <w:rsid w:val="00E94E48"/>
    <w:rsid w:val="00E9757A"/>
    <w:rsid w:val="00EA1318"/>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04DAA"/>
    <w:rsid w:val="00F10797"/>
    <w:rsid w:val="00F1723A"/>
    <w:rsid w:val="00F216AF"/>
    <w:rsid w:val="00F21E88"/>
    <w:rsid w:val="00F23756"/>
    <w:rsid w:val="00F2523A"/>
    <w:rsid w:val="00F25FFA"/>
    <w:rsid w:val="00F27207"/>
    <w:rsid w:val="00F30514"/>
    <w:rsid w:val="00F310D2"/>
    <w:rsid w:val="00F31790"/>
    <w:rsid w:val="00F36F3D"/>
    <w:rsid w:val="00F45097"/>
    <w:rsid w:val="00F45C5B"/>
    <w:rsid w:val="00F477BD"/>
    <w:rsid w:val="00F53491"/>
    <w:rsid w:val="00F60DC0"/>
    <w:rsid w:val="00F61C26"/>
    <w:rsid w:val="00F6587C"/>
    <w:rsid w:val="00F65A1C"/>
    <w:rsid w:val="00F66268"/>
    <w:rsid w:val="00F66F50"/>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481C"/>
    <w:rsid w:val="00FA61AA"/>
    <w:rsid w:val="00FA62B5"/>
    <w:rsid w:val="00FA6499"/>
    <w:rsid w:val="00FA6542"/>
    <w:rsid w:val="00FA69A4"/>
    <w:rsid w:val="00FA732F"/>
    <w:rsid w:val="00FB1279"/>
    <w:rsid w:val="00FB1495"/>
    <w:rsid w:val="00FB1BDC"/>
    <w:rsid w:val="00FB2DE0"/>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3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7"/>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7"/>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7"/>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890D4F"/>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890D4F"/>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890D4F"/>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890D4F"/>
    <w:rPr>
      <w:rFonts w:asciiTheme="minorHAnsi" w:eastAsia="Times New Roman" w:hAnsiTheme="minorHAnsi" w:cs="Arial"/>
      <w:b/>
      <w:spacing w:val="5"/>
      <w:sz w:val="52"/>
      <w:szCs w:val="60"/>
    </w:rPr>
  </w:style>
  <w:style w:type="paragraph" w:customStyle="1" w:styleId="Bullet2">
    <w:name w:val="Bullet 2"/>
    <w:basedOn w:val="Normal"/>
    <w:link w:val="Bullet2Char"/>
    <w:qFormat/>
    <w:rsid w:val="00F04DAA"/>
    <w:pPr>
      <w:spacing w:before="120" w:after="60" w:line="312" w:lineRule="auto"/>
      <w:ind w:right="142"/>
    </w:pPr>
    <w:rPr>
      <w:rFonts w:asciiTheme="minorHAnsi" w:eastAsia="Times New Roman" w:hAnsiTheme="minorHAnsi"/>
      <w:szCs w:val="20"/>
      <w:lang w:val="en-US"/>
    </w:rPr>
  </w:style>
  <w:style w:type="character" w:customStyle="1" w:styleId="Bullet2Char">
    <w:name w:val="Bullet 2 Char"/>
    <w:basedOn w:val="DefaultParagraphFont"/>
    <w:link w:val="Bullet2"/>
    <w:locked/>
    <w:rsid w:val="00F04DAA"/>
    <w:rPr>
      <w:rFonts w:asciiTheme="minorHAnsi" w:eastAsia="Times New Roman" w:hAnsiTheme="minorHAnsi"/>
      <w:szCs w:val="20"/>
      <w:lang w:val="en-US" w:eastAsia="en-US"/>
    </w:rPr>
  </w:style>
  <w:style w:type="paragraph" w:styleId="TOC1">
    <w:name w:val="toc 1"/>
    <w:basedOn w:val="Normal"/>
    <w:next w:val="Normal"/>
    <w:autoRedefine/>
    <w:uiPriority w:val="39"/>
    <w:qFormat/>
    <w:rsid w:val="00C42606"/>
    <w:pPr>
      <w:tabs>
        <w:tab w:val="left" w:pos="440"/>
        <w:tab w:val="left" w:pos="567"/>
        <w:tab w:val="right" w:leader="dot" w:pos="8302"/>
      </w:tabs>
      <w:spacing w:before="120" w:after="0" w:line="312" w:lineRule="auto"/>
      <w:ind w:left="340" w:hanging="340"/>
    </w:pPr>
    <w:rPr>
      <w:rFonts w:asciiTheme="minorHAnsi" w:eastAsia="Times New Roman" w:hAnsiTheme="minorHAnsi"/>
      <w:b/>
      <w:noProof/>
      <w:lang w:eastAsia="en-AU"/>
    </w:rPr>
  </w:style>
  <w:style w:type="paragraph" w:customStyle="1" w:styleId="Bullet-green">
    <w:name w:val="Bullet - green"/>
    <w:basedOn w:val="Normal"/>
    <w:link w:val="Bullet-greenChar"/>
    <w:uiPriority w:val="14"/>
    <w:qFormat/>
    <w:rsid w:val="00C42606"/>
    <w:pPr>
      <w:spacing w:after="120" w:line="312"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C42606"/>
    <w:rPr>
      <w:rFonts w:asciiTheme="minorHAnsi" w:eastAsia="Times New Roman" w:hAnsiTheme="minorHAnsi"/>
      <w:szCs w:val="24"/>
    </w:rPr>
  </w:style>
  <w:style w:type="paragraph" w:customStyle="1" w:styleId="Dash3">
    <w:name w:val="Dash 3"/>
    <w:basedOn w:val="Bullet2"/>
    <w:qFormat/>
    <w:rsid w:val="00C42606"/>
    <w:pPr>
      <w:numPr>
        <w:numId w:val="9"/>
      </w:numPr>
    </w:pPr>
    <w:rPr>
      <w:rFonts w:ascii="Calibri" w:hAnsi="Calibri"/>
    </w:rPr>
  </w:style>
  <w:style w:type="paragraph" w:customStyle="1" w:styleId="Squarebullet">
    <w:name w:val="Square bullet"/>
    <w:basedOn w:val="Bullet2"/>
    <w:qFormat/>
    <w:rsid w:val="00060935"/>
    <w:pPr>
      <w:numPr>
        <w:numId w:val="11"/>
      </w:numPr>
    </w:pPr>
  </w:style>
  <w:style w:type="paragraph" w:customStyle="1" w:styleId="Numbering">
    <w:name w:val="Numbering"/>
    <w:basedOn w:val="Normal"/>
    <w:link w:val="NumberingChar"/>
    <w:uiPriority w:val="14"/>
    <w:qFormat/>
    <w:rsid w:val="00060935"/>
    <w:pPr>
      <w:numPr>
        <w:numId w:val="12"/>
      </w:numPr>
      <w:spacing w:before="120" w:after="120" w:line="312" w:lineRule="auto"/>
      <w:contextualSpacing/>
    </w:pPr>
    <w:rPr>
      <w:rFonts w:asciiTheme="minorHAnsi" w:eastAsiaTheme="minorHAnsi" w:hAnsiTheme="minorHAnsi" w:cs="Arial"/>
      <w:lang w:val="en-US"/>
    </w:rPr>
  </w:style>
  <w:style w:type="character" w:customStyle="1" w:styleId="NumberingChar">
    <w:name w:val="Numbering Char"/>
    <w:basedOn w:val="DefaultParagraphFont"/>
    <w:link w:val="Numbering"/>
    <w:uiPriority w:val="14"/>
    <w:rsid w:val="00060935"/>
    <w:rPr>
      <w:rFonts w:asciiTheme="minorHAnsi" w:eastAsiaTheme="minorHAnsi" w:hAnsiTheme="minorHAnsi" w:cs="Arial"/>
      <w:lang w:val="en-US" w:eastAsia="en-US"/>
    </w:rPr>
  </w:style>
  <w:style w:type="paragraph" w:customStyle="1" w:styleId="AppendixStyle1">
    <w:name w:val="Appendix Style 1"/>
    <w:basedOn w:val="Normal"/>
    <w:next w:val="Normal"/>
    <w:qFormat/>
    <w:rsid w:val="001F228C"/>
    <w:pPr>
      <w:numPr>
        <w:numId w:val="13"/>
      </w:numPr>
      <w:spacing w:after="0" w:line="312" w:lineRule="auto"/>
      <w:outlineLvl w:val="0"/>
    </w:pPr>
    <w:rPr>
      <w:rFonts w:asciiTheme="minorHAnsi" w:eastAsia="Times New Roman" w:hAnsiTheme="minorHAnsi" w:cs="Arial"/>
      <w:b/>
      <w:color w:val="01653F"/>
      <w:sz w:val="32"/>
      <w:szCs w:val="24"/>
      <w:lang w:val="en-US"/>
    </w:rPr>
  </w:style>
  <w:style w:type="character" w:styleId="CommentReference">
    <w:name w:val="annotation reference"/>
    <w:basedOn w:val="DefaultParagraphFont"/>
    <w:uiPriority w:val="99"/>
    <w:semiHidden/>
    <w:unhideWhenUsed/>
    <w:rsid w:val="00CB4611"/>
    <w:rPr>
      <w:sz w:val="16"/>
      <w:szCs w:val="16"/>
    </w:rPr>
  </w:style>
  <w:style w:type="paragraph" w:styleId="CommentSubject">
    <w:name w:val="annotation subject"/>
    <w:basedOn w:val="CommentText"/>
    <w:next w:val="CommentText"/>
    <w:link w:val="CommentSubjectChar"/>
    <w:uiPriority w:val="99"/>
    <w:semiHidden/>
    <w:unhideWhenUsed/>
    <w:rsid w:val="00CB4611"/>
    <w:pPr>
      <w:spacing w:after="200"/>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CB4611"/>
    <w:rPr>
      <w:rFonts w:ascii="Times New Roman" w:eastAsia="Times New Roman" w:hAnsi="Times New Roman"/>
      <w:b/>
      <w:bCs/>
      <w:sz w:val="20"/>
      <w:szCs w:val="20"/>
      <w:lang w:eastAsia="en-US"/>
    </w:rPr>
  </w:style>
  <w:style w:type="paragraph" w:customStyle="1" w:styleId="BoxText">
    <w:name w:val="BoxText"/>
    <w:basedOn w:val="Normal"/>
    <w:qFormat/>
    <w:rsid w:val="00000709"/>
    <w:pPr>
      <w:pBdr>
        <w:top w:val="single" w:sz="12" w:space="4" w:color="C75F09"/>
        <w:left w:val="single" w:sz="12" w:space="4" w:color="C75F09"/>
        <w:bottom w:val="single" w:sz="12" w:space="4" w:color="C75F09"/>
        <w:right w:val="single" w:sz="12" w:space="4" w:color="C75F09"/>
      </w:pBdr>
      <w:spacing w:after="120" w:line="240" w:lineRule="auto"/>
    </w:pPr>
    <w:rPr>
      <w:rFonts w:ascii="Calibri" w:eastAsia="Times New Roman" w:hAnsi="Calibri"/>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8"/>
    <w:rsid w:val="000E5FD3"/>
    <w:rsid w:val="002653B6"/>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0E292120-FA9D-451A-9C54-02261D6DB7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533E059DC22341A1E37DF71753F967" ma:contentTypeVersion="" ma:contentTypeDescription="PDMS Document Site Content Type" ma:contentTypeScope="" ma:versionID="f3de396b6a3f87b98f05db96114157b1">
  <xsd:schema xmlns:xsd="http://www.w3.org/2001/XMLSchema" xmlns:xs="http://www.w3.org/2001/XMLSchema" xmlns:p="http://schemas.microsoft.com/office/2006/metadata/properties" xmlns:ns2="0E292120-FA9D-451A-9C54-02261D6DB74E" targetNamespace="http://schemas.microsoft.com/office/2006/metadata/properties" ma:root="true" ma:fieldsID="5566fe0cacbc587cd68426af7bcebca9" ns2:_="">
    <xsd:import namespace="0E292120-FA9D-451A-9C54-02261D6DB7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2120-FA9D-451A-9C54-02261D6DB7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Aus12</b:Tag>
    <b:SourceType>DocumentFromInternetSite</b:SourceType>
    <b:Guid>{3A0C2618-4C81-4B5F-8BCC-48783FD10CBB}</b:Guid>
    <b:Author>
      <b:Author>
        <b:Corporate>Australian Commission on Safety &amp; Quality in Health Care</b:Corporate>
      </b:Author>
    </b:Author>
    <b:Title>Patient-centred care: Improving quality and safety through partnerships with patients and consumers</b:Title>
    <b:Year>2011</b:Year>
    <b:Month>March</b:Month>
    <b:URL>https://www.safetyandquality.gov.au/sites/default/files/migrated/PCC_Paper_August.pdf</b:URL>
    <b:InternetSiteTitle>www.safetyandquality.gov.au</b:InternetSiteTitle>
    <b:RefOrder>6</b:RefOrder>
  </b:Source>
  <b:Source>
    <b:Tag>McK17</b:Tag>
    <b:SourceType>InternetSite</b:SourceType>
    <b:Guid>{B2ADC483-EE69-4B51-938F-AD59544EEDED}</b:Guid>
    <b:Title>Why agility is imperative for healthcare organizations</b:Title>
    <b:Year>2017</b:Year>
    <b:Month>May</b:Month>
    <b:URL>https://www.mckinsey.com/industries/healthcare-systems-and-services/our-insights/why-agility-is-imperative-for-healthcare-organizations?reload</b:URL>
    <b:Author>
      <b:Author>
        <b:Corporate>Berlin, Gretchen; De Smet, Aaron; Sodini, Maria</b:Corporate>
      </b:Author>
    </b:Author>
    <b:InternetSiteTitle>www.mckinsey.com</b:InternetSiteTitle>
    <b:RefOrder>9</b:RefOrder>
  </b:Source>
  <b:Source>
    <b:Tag>Gar18</b:Tag>
    <b:SourceType>InternetSite</b:SourceType>
    <b:Guid>{A6C04C8E-01C1-4A65-9A86-6D9CC80D1AB3}</b:Guid>
    <b:Title>Building a Culture of Transparency in Health Care</b:Title>
    <b:Year>2018</b:Year>
    <b:URL>https://hbr.org/2018/11/building-a-culture-of-transparency-in-health-care</b:URL>
    <b:Author>
      <b:Author>
        <b:Corporate>Kaplan, Gary</b:Corporate>
      </b:Author>
    </b:Author>
    <b:InternetSiteTitle>Harvard Business Review</b:InternetSiteTitle>
    <b:Month>November</b:Month>
    <b:Day>9</b:Day>
    <b:RefOrder>10</b:RefOrder>
  </b:Source>
</b:Sources>
</file>

<file path=customXml/itemProps1.xml><?xml version="1.0" encoding="utf-8"?>
<ds:datastoreItem xmlns:ds="http://schemas.openxmlformats.org/officeDocument/2006/customXml" ds:itemID="{B98186CA-2BB6-4C79-BFBB-7D7DB76DEE6E}">
  <ds:schemaRefs>
    <ds:schemaRef ds:uri="http://schemas.microsoft.com/office/2006/documentManagement/types"/>
    <ds:schemaRef ds:uri="http://purl.org/dc/terms/"/>
    <ds:schemaRef ds:uri="http://schemas.openxmlformats.org/package/2006/metadata/core-properties"/>
    <ds:schemaRef ds:uri="0E292120-FA9D-451A-9C54-02261D6DB74E"/>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3.xml><?xml version="1.0" encoding="utf-8"?>
<ds:datastoreItem xmlns:ds="http://schemas.openxmlformats.org/officeDocument/2006/customXml" ds:itemID="{EFD609C8-D33E-4CBF-8FC4-4EBE8439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2120-FA9D-451A-9C54-02261D6D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12F15-F09D-4FA0-9165-5D848A2A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10955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Minister Hunt submission template</dc:title>
  <dc:subject>MEDICARE BENEFITS SCHEDULE REVIEW (MBS REVIEW) – OUTCOMES OF MBS REVIEW TASKFORCE MEETING 11-12 DECEMBER 2018</dc:subject>
  <dc:creator>Dimkovski Anna</dc:creator>
  <cp:lastModifiedBy>DONNELLY, Sophie</cp:lastModifiedBy>
  <cp:revision>2</cp:revision>
  <cp:lastPrinted>2018-12-21T05:22:00Z</cp:lastPrinted>
  <dcterms:created xsi:type="dcterms:W3CDTF">2020-11-27T00:59:00Z</dcterms:created>
  <dcterms:modified xsi:type="dcterms:W3CDTF">2020-11-27T00:59:00Z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0x010100266966F133664895A6EE3632470D45F500BA533E059DC22341A1E37DF71753F967</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