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84" w:rsidRPr="00C04139" w:rsidRDefault="00932284" w:rsidP="00762B51">
      <w:pPr>
        <w:pStyle w:val="StyleSubtitle"/>
      </w:pPr>
      <w:r w:rsidRPr="00C04139">
        <w:t>Medicare Benefits Schedule R</w:t>
      </w:r>
      <w:bookmarkStart w:id="0" w:name="_GoBack"/>
      <w:bookmarkEnd w:id="0"/>
      <w:r w:rsidRPr="00C04139">
        <w:t>eview Taskforce</w:t>
      </w:r>
    </w:p>
    <w:p w:rsidR="00932284" w:rsidRPr="00C04139" w:rsidRDefault="006E45AF" w:rsidP="00762B51">
      <w:pPr>
        <w:pStyle w:val="Title"/>
      </w:pPr>
      <w:r w:rsidRPr="006E45AF">
        <w:t xml:space="preserve">Taskforce </w:t>
      </w:r>
      <w:r w:rsidRPr="00762B51">
        <w:t>Findings</w:t>
      </w:r>
      <w:r w:rsidR="00762B51">
        <w:br/>
        <w:t>Pathology Clinical Committee</w:t>
      </w:r>
      <w:r w:rsidR="00762B51">
        <w:br/>
      </w:r>
      <w:r w:rsidR="00A30DC7">
        <w:t>Blood Products Working Group</w:t>
      </w:r>
      <w:r w:rsidR="00AC6B06" w:rsidRPr="00C04139">
        <w:t xml:space="preserve"> </w:t>
      </w:r>
      <w:r w:rsidR="0026358E" w:rsidRPr="00762B51">
        <w:t>Report</w:t>
      </w:r>
    </w:p>
    <w:p w:rsidR="00932284" w:rsidRPr="00AB469A" w:rsidRDefault="00E2678D" w:rsidP="00D06BE5">
      <w:r w:rsidRPr="00AB469A">
        <w:t>This document outlines the Medica</w:t>
      </w:r>
      <w:r w:rsidR="00F339E7">
        <w:t>re</w:t>
      </w:r>
      <w:r w:rsidRPr="00AB469A">
        <w:t xml:space="preserve"> Benefits Schedule (MBS) Taskforce’s recommendations in response </w:t>
      </w:r>
      <w:r w:rsidR="00AC6B06">
        <w:t xml:space="preserve">to the </w:t>
      </w:r>
      <w:r w:rsidR="00A30DC7">
        <w:t>Blood Products Working Group</w:t>
      </w:r>
      <w:r w:rsidR="00762B51">
        <w:t xml:space="preserve"> Report.</w:t>
      </w:r>
    </w:p>
    <w:p w:rsidR="00932284" w:rsidRPr="00AB469A" w:rsidRDefault="00E2678D" w:rsidP="00D06BE5">
      <w:r w:rsidRPr="00AB469A">
        <w:t xml:space="preserve">The </w:t>
      </w:r>
      <w:r w:rsidR="006663DA">
        <w:t>Taskforce</w:t>
      </w:r>
      <w:r w:rsidRPr="00AB469A">
        <w:t xml:space="preserve"> considered the recommendations from the </w:t>
      </w:r>
      <w:r w:rsidR="00A30DC7">
        <w:t>Blood Products Working Group</w:t>
      </w:r>
      <w:r w:rsidRPr="00AB469A">
        <w:t xml:space="preserve"> and feedback from the public consultation.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he box to the right of the report lists a summary of the number of items reviewed at 7 and the number of recommendations made as 6."/>
      </w:tblPr>
      <w:tblGrid>
        <w:gridCol w:w="3006"/>
        <w:gridCol w:w="811"/>
      </w:tblGrid>
      <w:tr w:rsidR="00E2678D" w:rsidRPr="00AB469A" w:rsidTr="00FC4653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:rsidR="00E2678D" w:rsidRPr="00AB469A" w:rsidRDefault="00E2678D" w:rsidP="00AC1182">
            <w:pPr>
              <w:spacing w:before="0" w:after="0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E2678D" w:rsidRPr="00AB469A" w:rsidRDefault="00A30DC7" w:rsidP="00AC1182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E2678D" w:rsidRPr="00AB469A" w:rsidTr="00FC4653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:rsidR="00E2678D" w:rsidRPr="00AB469A" w:rsidRDefault="00E2678D" w:rsidP="00AC1182">
            <w:pPr>
              <w:spacing w:before="0" w:after="0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E2678D" w:rsidRPr="00AB469A" w:rsidRDefault="00A30DC7" w:rsidP="00AC1182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</w:tbl>
    <w:p w:rsidR="00932284" w:rsidRPr="00AB469A" w:rsidRDefault="00280E55" w:rsidP="00D06BE5">
      <w:r>
        <w:t xml:space="preserve">The Taskforce </w:t>
      </w:r>
      <w:r w:rsidR="00932284" w:rsidRPr="00AB469A">
        <w:t xml:space="preserve">endorsed all recommendations from </w:t>
      </w:r>
      <w:r w:rsidR="00AC6B06">
        <w:t xml:space="preserve">the </w:t>
      </w:r>
      <w:r w:rsidR="00A30DC7">
        <w:t>Blood Products Working Group</w:t>
      </w:r>
      <w:r w:rsidR="00932284" w:rsidRPr="00AB469A">
        <w:t xml:space="preserve"> and submitted them to the Minister for Healt</w:t>
      </w:r>
      <w:r w:rsidR="00762B51">
        <w:t>h for Government consideration.</w:t>
      </w:r>
    </w:p>
    <w:p w:rsidR="008D58B8" w:rsidRPr="00D06BE5" w:rsidRDefault="00932284" w:rsidP="00D06BE5">
      <w:r w:rsidRPr="00AB469A">
        <w:rPr>
          <w:rFonts w:cs="Arial"/>
          <w:color w:val="000000" w:themeColor="text1"/>
          <w:szCs w:val="22"/>
        </w:rPr>
        <w:t xml:space="preserve">The recommendations are intended to </w:t>
      </w:r>
      <w:r w:rsidR="005778D3" w:rsidRPr="00B0157E">
        <w:t>encourag</w:t>
      </w:r>
      <w:r w:rsidR="005778D3">
        <w:t>e</w:t>
      </w:r>
      <w:r w:rsidR="005778D3" w:rsidRPr="00B0157E">
        <w:t xml:space="preserve"> best practice, improv</w:t>
      </w:r>
      <w:r w:rsidR="005778D3">
        <w:t>e</w:t>
      </w:r>
      <w:r w:rsidR="005778D3" w:rsidRPr="00B0157E">
        <w:t xml:space="preserve"> patient care and safety, and </w:t>
      </w:r>
      <w:r w:rsidR="00E42A10" w:rsidRPr="00B0157E">
        <w:t>ensu</w:t>
      </w:r>
      <w:r w:rsidR="00E42A10">
        <w:t>re</w:t>
      </w:r>
      <w:r w:rsidR="00E42A10" w:rsidRPr="00B0157E">
        <w:t xml:space="preserve"> </w:t>
      </w:r>
      <w:r w:rsidR="005778D3" w:rsidRPr="00B0157E">
        <w:t>that MBS services provide value for the patient and the healthcare system</w:t>
      </w:r>
      <w:r w:rsidR="004306B2">
        <w:t xml:space="preserve"> through deleting</w:t>
      </w:r>
      <w:r w:rsidR="00E42A10">
        <w:t xml:space="preserve"> obsolete or low clinical value items; </w:t>
      </w:r>
      <w:r w:rsidR="004306B2">
        <w:t>consolidating</w:t>
      </w:r>
      <w:r w:rsidR="00E42A10">
        <w:t xml:space="preserve"> or splitting items to address potential misuse; modernis</w:t>
      </w:r>
      <w:r w:rsidR="004306B2">
        <w:t>ing</w:t>
      </w:r>
      <w:r w:rsidR="00E42A10">
        <w:t xml:space="preserve"> item descriptors to reflect best pract</w:t>
      </w:r>
      <w:r w:rsidR="004306B2">
        <w:t>ice; and providing</w:t>
      </w:r>
      <w:r w:rsidR="00E42A10">
        <w:t xml:space="preserve"> clinical guidance for appropriate item use through explanatory notes. </w:t>
      </w:r>
    </w:p>
    <w:p w:rsidR="00E2678D" w:rsidRDefault="00E2678D" w:rsidP="00762B51">
      <w:pPr>
        <w:pStyle w:val="Heading1"/>
      </w:pPr>
      <w:r w:rsidRPr="00A22898">
        <w:t>List of Taskforce recommendations</w:t>
      </w:r>
    </w:p>
    <w:p w:rsidR="0061274F" w:rsidRPr="00762B51" w:rsidRDefault="00D06BE5" w:rsidP="00762B51">
      <w:pPr>
        <w:pStyle w:val="Heading2"/>
      </w:pPr>
      <w:r w:rsidRPr="00D06BE5">
        <w:t>Recommendation</w:t>
      </w:r>
      <w:r>
        <w:t xml:space="preserve"> 1 –</w:t>
      </w:r>
      <w:r w:rsidR="0061274F">
        <w:t xml:space="preserve"> </w:t>
      </w:r>
      <w:r w:rsidR="00A30DC7">
        <w:t>Collection and transfusion of blood products</w:t>
      </w:r>
    </w:p>
    <w:p w:rsidR="00A14717" w:rsidRDefault="004306B2" w:rsidP="00D06BE5">
      <w:pPr>
        <w:rPr>
          <w:lang w:val="en-GB"/>
        </w:rPr>
      </w:pPr>
      <w:r>
        <w:rPr>
          <w:lang w:val="en-GB"/>
        </w:rPr>
        <w:t xml:space="preserve">The Taskforce </w:t>
      </w:r>
      <w:r w:rsidR="00A14717">
        <w:rPr>
          <w:lang w:val="en-GB"/>
        </w:rPr>
        <w:t>recommended changes to promote evidence based practice and prevent the inappropriate us of two items. The revised items will help prevent patients from receiving unnecessary or non-evidence based services which may pose a risk to their health and safety.</w:t>
      </w:r>
    </w:p>
    <w:p w:rsidR="00A14717" w:rsidRDefault="00A14717" w:rsidP="00D06BE5">
      <w:pPr>
        <w:rPr>
          <w:lang w:val="en-GB"/>
        </w:rPr>
      </w:pPr>
      <w:r>
        <w:rPr>
          <w:lang w:val="en-GB"/>
        </w:rPr>
        <w:t>The Taskforce recommends deleting one item which is no longer clinically relevant.</w:t>
      </w:r>
    </w:p>
    <w:p w:rsidR="0061274F" w:rsidRPr="00762B51" w:rsidRDefault="0061274F" w:rsidP="00762B51">
      <w:pPr>
        <w:pStyle w:val="Heading2"/>
      </w:pPr>
      <w:r>
        <w:t xml:space="preserve">Recommendation 2 – </w:t>
      </w:r>
      <w:r w:rsidR="00A30DC7">
        <w:t>Stem cell transplantations services</w:t>
      </w:r>
    </w:p>
    <w:p w:rsidR="00A14717" w:rsidRDefault="00321AD5" w:rsidP="00D06BE5">
      <w:pPr>
        <w:rPr>
          <w:szCs w:val="22"/>
        </w:rPr>
      </w:pPr>
      <w:r w:rsidRPr="00321AD5">
        <w:rPr>
          <w:szCs w:val="22"/>
          <w:lang w:val="en-US"/>
        </w:rPr>
        <w:t xml:space="preserve">The Taskforce recommends amending the MBS item descriptor for </w:t>
      </w:r>
      <w:r w:rsidR="00A30DC7" w:rsidRPr="00321AD5">
        <w:rPr>
          <w:szCs w:val="22"/>
          <w:lang w:val="en-US"/>
        </w:rPr>
        <w:t xml:space="preserve">stem cell transplantation </w:t>
      </w:r>
      <w:r w:rsidRPr="00321AD5">
        <w:rPr>
          <w:szCs w:val="22"/>
          <w:lang w:val="en-US"/>
        </w:rPr>
        <w:t>to align the service with</w:t>
      </w:r>
      <w:r w:rsidR="00A30DC7" w:rsidRPr="00321AD5">
        <w:rPr>
          <w:szCs w:val="22"/>
          <w:lang w:val="en-US"/>
        </w:rPr>
        <w:t xml:space="preserve"> contemporary best practice</w:t>
      </w:r>
      <w:r w:rsidRPr="00321AD5">
        <w:rPr>
          <w:szCs w:val="22"/>
          <w:lang w:val="en-US"/>
        </w:rPr>
        <w:t>. The item requires</w:t>
      </w:r>
      <w:r w:rsidRPr="00321AD5">
        <w:rPr>
          <w:szCs w:val="22"/>
        </w:rPr>
        <w:t xml:space="preserve"> the clinical el</w:t>
      </w:r>
      <w:r w:rsidR="00A14717">
        <w:rPr>
          <w:szCs w:val="22"/>
        </w:rPr>
        <w:t xml:space="preserve">igibility for the treatment to be </w:t>
      </w:r>
      <w:r w:rsidRPr="00321AD5">
        <w:rPr>
          <w:szCs w:val="22"/>
        </w:rPr>
        <w:t>based on international clinical guidelines</w:t>
      </w:r>
      <w:r w:rsidR="00A14717">
        <w:rPr>
          <w:szCs w:val="22"/>
        </w:rPr>
        <w:t>. These guidelines are set out in an explanatory note so that the MBS item does not become outdated.</w:t>
      </w:r>
    </w:p>
    <w:p w:rsidR="00321AD5" w:rsidRPr="00321AD5" w:rsidRDefault="00A14717" w:rsidP="00D06BE5">
      <w:pPr>
        <w:rPr>
          <w:szCs w:val="22"/>
          <w:lang w:val="en-US"/>
        </w:rPr>
      </w:pPr>
      <w:r>
        <w:rPr>
          <w:szCs w:val="22"/>
        </w:rPr>
        <w:t>The Taskforce has also recommended that</w:t>
      </w:r>
      <w:r w:rsidR="00321AD5" w:rsidRPr="00321AD5">
        <w:rPr>
          <w:szCs w:val="22"/>
        </w:rPr>
        <w:t xml:space="preserve"> </w:t>
      </w:r>
      <w:r w:rsidR="00321AD5" w:rsidRPr="00321AD5">
        <w:rPr>
          <w:szCs w:val="22"/>
          <w:lang w:val="en-US"/>
        </w:rPr>
        <w:t>the patient’s treatment be supervised by an exper</w:t>
      </w:r>
      <w:r w:rsidR="00762B51">
        <w:rPr>
          <w:szCs w:val="22"/>
          <w:lang w:val="en-US"/>
        </w:rPr>
        <w:t>ienced multi-disciplinary team.</w:t>
      </w:r>
    </w:p>
    <w:sectPr w:rsidR="00321AD5" w:rsidRPr="00321AD5" w:rsidSect="005D4630">
      <w:footerReference w:type="default" r:id="rId7"/>
      <w:pgSz w:w="11906" w:h="16838"/>
      <w:pgMar w:top="993" w:right="1800" w:bottom="1440" w:left="180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D5" w:rsidRDefault="00321AD5" w:rsidP="00932284">
      <w:r>
        <w:separator/>
      </w:r>
    </w:p>
    <w:p w:rsidR="00321AD5" w:rsidRDefault="00321AD5"/>
  </w:endnote>
  <w:endnote w:type="continuationSeparator" w:id="0">
    <w:p w:rsidR="00321AD5" w:rsidRDefault="00321AD5" w:rsidP="00932284">
      <w:r>
        <w:continuationSeparator/>
      </w:r>
    </w:p>
    <w:p w:rsidR="00321AD5" w:rsidRDefault="0032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D5" w:rsidRDefault="00321AD5" w:rsidP="005D4630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A14717">
      <w:rPr>
        <w:color w:val="01653F"/>
        <w:sz w:val="16"/>
      </w:rPr>
      <w:t>Blood Products</w:t>
    </w:r>
    <w:r>
      <w:rPr>
        <w:color w:val="01653F"/>
        <w:sz w:val="16"/>
      </w:rPr>
      <w:t xml:space="preserve">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</w:rPr>
      <w:fldChar w:fldCharType="separate"/>
    </w:r>
    <w:r w:rsidR="00762B51" w:rsidRPr="00762B51">
      <w:rPr>
        <w:rFonts w:eastAsiaTheme="majorEastAsia"/>
        <w:noProof/>
        <w:color w:val="01653F"/>
        <w:sz w:val="16"/>
      </w:rPr>
      <w:t>1</w:t>
    </w:r>
    <w:r w:rsidRPr="003B1222">
      <w:rPr>
        <w:rFonts w:eastAsiaTheme="majorEastAsia"/>
        <w:noProof/>
        <w:color w:val="01653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D5" w:rsidRDefault="00321AD5" w:rsidP="00932284">
      <w:r>
        <w:separator/>
      </w:r>
    </w:p>
    <w:p w:rsidR="00321AD5" w:rsidRDefault="00321AD5"/>
  </w:footnote>
  <w:footnote w:type="continuationSeparator" w:id="0">
    <w:p w:rsidR="00321AD5" w:rsidRDefault="00321AD5" w:rsidP="00932284">
      <w:r>
        <w:continuationSeparator/>
      </w:r>
    </w:p>
    <w:p w:rsidR="00321AD5" w:rsidRDefault="00321A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86D"/>
    <w:multiLevelType w:val="hybridMultilevel"/>
    <w:tmpl w:val="C220F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BAD"/>
    <w:multiLevelType w:val="multilevel"/>
    <w:tmpl w:val="B0E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23834"/>
    <w:multiLevelType w:val="hybridMultilevel"/>
    <w:tmpl w:val="AF8AEEAA"/>
    <w:lvl w:ilvl="0" w:tplc="6B88DACE">
      <w:start w:val="1"/>
      <w:numFmt w:val="upperLetter"/>
      <w:pStyle w:val="AppendixStyle1"/>
      <w:lvlText w:val="Appendix 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BFD"/>
    <w:multiLevelType w:val="multilevel"/>
    <w:tmpl w:val="D42414C6"/>
    <w:lvl w:ilvl="0">
      <w:start w:val="1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4" w15:restartNumberingAfterBreak="0">
    <w:nsid w:val="227E774B"/>
    <w:multiLevelType w:val="multilevel"/>
    <w:tmpl w:val="A21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2B66"/>
    <w:multiLevelType w:val="hybridMultilevel"/>
    <w:tmpl w:val="4EF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B9E8">
      <w:start w:val="1"/>
      <w:numFmt w:val="bullet"/>
      <w:pStyle w:val="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48BF"/>
    <w:multiLevelType w:val="multilevel"/>
    <w:tmpl w:val="399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70642"/>
    <w:multiLevelType w:val="multilevel"/>
    <w:tmpl w:val="5798D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574A11"/>
    <w:multiLevelType w:val="hybridMultilevel"/>
    <w:tmpl w:val="2BBC3E4A"/>
    <w:lvl w:ilvl="0" w:tplc="0CD805F4">
      <w:start w:val="1"/>
      <w:numFmt w:val="bullet"/>
      <w:pStyle w:val="02dash"/>
      <w:lvlText w:val="‒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C6A6A"/>
    <w:multiLevelType w:val="hybridMultilevel"/>
    <w:tmpl w:val="7EB44BA4"/>
    <w:lvl w:ilvl="0" w:tplc="5B2C068A">
      <w:start w:val="1"/>
      <w:numFmt w:val="decimal"/>
      <w:lvlText w:val="%1."/>
      <w:lvlJc w:val="left"/>
      <w:pPr>
        <w:ind w:left="765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254B0D"/>
    <w:multiLevelType w:val="hybridMultilevel"/>
    <w:tmpl w:val="FE1E8374"/>
    <w:lvl w:ilvl="0" w:tplc="63866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559E3"/>
    <w:multiLevelType w:val="multilevel"/>
    <w:tmpl w:val="438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017BF"/>
    <w:multiLevelType w:val="multilevel"/>
    <w:tmpl w:val="D42414C6"/>
    <w:lvl w:ilvl="0">
      <w:start w:val="1"/>
      <w:numFmt w:val="bullet"/>
      <w:pStyle w:val="01squarebullet"/>
      <w:lvlText w:val="Δ"/>
      <w:lvlJc w:val="left"/>
      <w:pPr>
        <w:ind w:left="1080" w:hanging="360"/>
      </w:pPr>
      <w:rPr>
        <w:rFonts w:ascii="Calibri" w:hAnsi="Calibri" w:cs="Times New Roman" w:hint="default"/>
        <w:color w:val="B66113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4" w15:restartNumberingAfterBreak="0">
    <w:nsid w:val="6E6A2E0D"/>
    <w:multiLevelType w:val="multilevel"/>
    <w:tmpl w:val="A3F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F07CB"/>
    <w:multiLevelType w:val="hybridMultilevel"/>
    <w:tmpl w:val="3EB62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575B2"/>
    <w:multiLevelType w:val="multilevel"/>
    <w:tmpl w:val="B4444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  <w:num w:numId="16">
    <w:abstractNumId w:val="13"/>
  </w:num>
  <w:num w:numId="17">
    <w:abstractNumId w:val="8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84"/>
    <w:rsid w:val="00001D35"/>
    <w:rsid w:val="00003743"/>
    <w:rsid w:val="00014D34"/>
    <w:rsid w:val="0002442F"/>
    <w:rsid w:val="00067456"/>
    <w:rsid w:val="000714CA"/>
    <w:rsid w:val="00082603"/>
    <w:rsid w:val="0008483A"/>
    <w:rsid w:val="00086B59"/>
    <w:rsid w:val="000A0FC3"/>
    <w:rsid w:val="000B3376"/>
    <w:rsid w:val="000B54D4"/>
    <w:rsid w:val="000E20F9"/>
    <w:rsid w:val="000F2FE1"/>
    <w:rsid w:val="00116BCA"/>
    <w:rsid w:val="001264DB"/>
    <w:rsid w:val="0017755B"/>
    <w:rsid w:val="00180FFC"/>
    <w:rsid w:val="001A1FC2"/>
    <w:rsid w:val="001A6DF4"/>
    <w:rsid w:val="001B03DF"/>
    <w:rsid w:val="001B3443"/>
    <w:rsid w:val="001F092B"/>
    <w:rsid w:val="002329AB"/>
    <w:rsid w:val="0026358E"/>
    <w:rsid w:val="00276B04"/>
    <w:rsid w:val="00280E55"/>
    <w:rsid w:val="002908B1"/>
    <w:rsid w:val="002A0F28"/>
    <w:rsid w:val="002A1C29"/>
    <w:rsid w:val="002A21FA"/>
    <w:rsid w:val="002A289E"/>
    <w:rsid w:val="002E69F5"/>
    <w:rsid w:val="002F3AE3"/>
    <w:rsid w:val="0030786C"/>
    <w:rsid w:val="00321AD5"/>
    <w:rsid w:val="00374E49"/>
    <w:rsid w:val="0038228F"/>
    <w:rsid w:val="003D17F9"/>
    <w:rsid w:val="003D51B1"/>
    <w:rsid w:val="003F16CD"/>
    <w:rsid w:val="00430161"/>
    <w:rsid w:val="004306B2"/>
    <w:rsid w:val="004454A8"/>
    <w:rsid w:val="0047266C"/>
    <w:rsid w:val="004867E2"/>
    <w:rsid w:val="004A5611"/>
    <w:rsid w:val="004B40C6"/>
    <w:rsid w:val="004B58A3"/>
    <w:rsid w:val="004D6896"/>
    <w:rsid w:val="0053556D"/>
    <w:rsid w:val="005778D3"/>
    <w:rsid w:val="00583D03"/>
    <w:rsid w:val="00597869"/>
    <w:rsid w:val="005D4630"/>
    <w:rsid w:val="005D7BBB"/>
    <w:rsid w:val="005E21AA"/>
    <w:rsid w:val="00605D5F"/>
    <w:rsid w:val="0061274F"/>
    <w:rsid w:val="00643A6C"/>
    <w:rsid w:val="006663DA"/>
    <w:rsid w:val="006720F4"/>
    <w:rsid w:val="00672D28"/>
    <w:rsid w:val="00676938"/>
    <w:rsid w:val="006A506F"/>
    <w:rsid w:val="006B1C44"/>
    <w:rsid w:val="006B346A"/>
    <w:rsid w:val="006E45AF"/>
    <w:rsid w:val="006E518B"/>
    <w:rsid w:val="00743231"/>
    <w:rsid w:val="00747537"/>
    <w:rsid w:val="0075367C"/>
    <w:rsid w:val="00754F91"/>
    <w:rsid w:val="00755C22"/>
    <w:rsid w:val="00762B51"/>
    <w:rsid w:val="00781E9D"/>
    <w:rsid w:val="007A07C7"/>
    <w:rsid w:val="007A2738"/>
    <w:rsid w:val="007A4F4B"/>
    <w:rsid w:val="007A5BE2"/>
    <w:rsid w:val="007A61C0"/>
    <w:rsid w:val="007B6422"/>
    <w:rsid w:val="007C37E0"/>
    <w:rsid w:val="00803C1F"/>
    <w:rsid w:val="008264EB"/>
    <w:rsid w:val="008333E4"/>
    <w:rsid w:val="00860262"/>
    <w:rsid w:val="00860CEB"/>
    <w:rsid w:val="008A0A04"/>
    <w:rsid w:val="008A0FB2"/>
    <w:rsid w:val="008B77D8"/>
    <w:rsid w:val="008C68FC"/>
    <w:rsid w:val="008D58B8"/>
    <w:rsid w:val="00905CFC"/>
    <w:rsid w:val="00932284"/>
    <w:rsid w:val="0095605A"/>
    <w:rsid w:val="009861A1"/>
    <w:rsid w:val="00987C33"/>
    <w:rsid w:val="009D79D8"/>
    <w:rsid w:val="00A14717"/>
    <w:rsid w:val="00A22898"/>
    <w:rsid w:val="00A30DC7"/>
    <w:rsid w:val="00A357C5"/>
    <w:rsid w:val="00A4512D"/>
    <w:rsid w:val="00A55930"/>
    <w:rsid w:val="00A57FD3"/>
    <w:rsid w:val="00A61485"/>
    <w:rsid w:val="00A705AF"/>
    <w:rsid w:val="00A90DAC"/>
    <w:rsid w:val="00AB469A"/>
    <w:rsid w:val="00AC1182"/>
    <w:rsid w:val="00AC3AAF"/>
    <w:rsid w:val="00AC6B06"/>
    <w:rsid w:val="00AF4852"/>
    <w:rsid w:val="00AF4B32"/>
    <w:rsid w:val="00AF4B7A"/>
    <w:rsid w:val="00B26077"/>
    <w:rsid w:val="00B3274D"/>
    <w:rsid w:val="00B42851"/>
    <w:rsid w:val="00B433E6"/>
    <w:rsid w:val="00B62E51"/>
    <w:rsid w:val="00B730C5"/>
    <w:rsid w:val="00B90F18"/>
    <w:rsid w:val="00BA35DA"/>
    <w:rsid w:val="00C04139"/>
    <w:rsid w:val="00C26467"/>
    <w:rsid w:val="00C86EF8"/>
    <w:rsid w:val="00C9572F"/>
    <w:rsid w:val="00CB5B1A"/>
    <w:rsid w:val="00CD3D5E"/>
    <w:rsid w:val="00CF7565"/>
    <w:rsid w:val="00D03589"/>
    <w:rsid w:val="00D06BE5"/>
    <w:rsid w:val="00D1535A"/>
    <w:rsid w:val="00D15DA6"/>
    <w:rsid w:val="00D56D2B"/>
    <w:rsid w:val="00D7697A"/>
    <w:rsid w:val="00D854A7"/>
    <w:rsid w:val="00DA0FFF"/>
    <w:rsid w:val="00DC6C72"/>
    <w:rsid w:val="00E01E1C"/>
    <w:rsid w:val="00E2678D"/>
    <w:rsid w:val="00E42A10"/>
    <w:rsid w:val="00E47BBC"/>
    <w:rsid w:val="00E768E3"/>
    <w:rsid w:val="00E8392D"/>
    <w:rsid w:val="00E97588"/>
    <w:rsid w:val="00EA1A68"/>
    <w:rsid w:val="00EC0E75"/>
    <w:rsid w:val="00EC11AF"/>
    <w:rsid w:val="00ED509A"/>
    <w:rsid w:val="00F03A9C"/>
    <w:rsid w:val="00F16A6A"/>
    <w:rsid w:val="00F1784C"/>
    <w:rsid w:val="00F32DB8"/>
    <w:rsid w:val="00F339E7"/>
    <w:rsid w:val="00F9564F"/>
    <w:rsid w:val="00FA74A5"/>
    <w:rsid w:val="00FB48E5"/>
    <w:rsid w:val="00FC465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34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E5"/>
    <w:pPr>
      <w:spacing w:before="120" w:after="120" w:line="360" w:lineRule="auto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22898"/>
    <w:pPr>
      <w:keepNext/>
      <w:spacing w:line="276" w:lineRule="auto"/>
      <w:ind w:left="567" w:hanging="567"/>
      <w:outlineLvl w:val="0"/>
    </w:pPr>
    <w:rPr>
      <w:rFonts w:eastAsiaTheme="minorHAnsi" w:cs="Arial"/>
      <w:b/>
      <w:bCs/>
      <w:color w:val="01653F"/>
      <w:kern w:val="32"/>
      <w:sz w:val="32"/>
      <w:szCs w:val="28"/>
      <w:lang w:val="en-US"/>
    </w:rPr>
  </w:style>
  <w:style w:type="paragraph" w:styleId="Heading2">
    <w:name w:val="heading 2"/>
    <w:basedOn w:val="Normal"/>
    <w:next w:val="Normal"/>
    <w:qFormat/>
    <w:rsid w:val="00D06BE5"/>
    <w:pPr>
      <w:keepNext/>
      <w:spacing w:before="180" w:after="60"/>
      <w:ind w:left="357" w:hanging="357"/>
      <w:contextualSpacing/>
      <w:outlineLvl w:val="1"/>
    </w:pPr>
    <w:rPr>
      <w:b/>
      <w:szCs w:val="22"/>
      <w:lang w:val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678D"/>
    <w:pPr>
      <w:keepNext/>
      <w:keepLines/>
      <w:spacing w:before="200" w:after="60" w:line="312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678D"/>
    <w:pPr>
      <w:keepNext/>
      <w:keepLines/>
      <w:spacing w:before="200" w:after="60" w:line="312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678D"/>
    <w:pPr>
      <w:keepNext/>
      <w:keepLines/>
      <w:spacing w:before="200" w:after="60" w:line="312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22898"/>
    <w:pPr>
      <w:pBdr>
        <w:top w:val="double" w:sz="12" w:space="31" w:color="B66113"/>
        <w:bottom w:val="double" w:sz="12" w:space="1" w:color="B66113"/>
      </w:pBdr>
      <w:jc w:val="center"/>
    </w:pPr>
    <w:rPr>
      <w:rFonts w:cs="Arial"/>
      <w:b/>
      <w:color w:val="01653F"/>
      <w:spacing w:val="5"/>
      <w:sz w:val="44"/>
      <w:szCs w:val="48"/>
      <w:lang w:eastAsia="en-AU"/>
    </w:rPr>
  </w:style>
  <w:style w:type="character" w:customStyle="1" w:styleId="SubtitleChar">
    <w:name w:val="Subtitle Char"/>
    <w:basedOn w:val="DefaultParagraphFont"/>
    <w:link w:val="Subtitle"/>
    <w:rsid w:val="00A22898"/>
    <w:rPr>
      <w:rFonts w:asciiTheme="minorHAnsi" w:hAnsiTheme="minorHAnsi" w:cs="Arial"/>
      <w:b/>
      <w:color w:val="01653F"/>
      <w:spacing w:val="5"/>
      <w:sz w:val="44"/>
      <w:szCs w:val="48"/>
    </w:rPr>
  </w:style>
  <w:style w:type="paragraph" w:styleId="Title">
    <w:name w:val="Title"/>
    <w:next w:val="Normal"/>
    <w:link w:val="TitleChar"/>
    <w:qFormat/>
    <w:rsid w:val="00762B51"/>
    <w:pPr>
      <w:pBdr>
        <w:bottom w:val="double" w:sz="12" w:space="1" w:color="B66113"/>
      </w:pBdr>
      <w:spacing w:before="240" w:line="312" w:lineRule="auto"/>
      <w:ind w:right="-284"/>
      <w:contextualSpacing/>
      <w:jc w:val="center"/>
    </w:pPr>
    <w:rPr>
      <w:rFonts w:asciiTheme="minorHAnsi" w:hAnsiTheme="minorHAnsi" w:cs="Arial"/>
      <w:b/>
      <w:spacing w:val="5"/>
      <w:sz w:val="52"/>
      <w:szCs w:val="60"/>
    </w:rPr>
  </w:style>
  <w:style w:type="character" w:customStyle="1" w:styleId="TitleChar">
    <w:name w:val="Title Char"/>
    <w:basedOn w:val="DefaultParagraphFont"/>
    <w:link w:val="Title"/>
    <w:rsid w:val="00762B51"/>
    <w:rPr>
      <w:rFonts w:asciiTheme="minorHAnsi" w:hAnsiTheme="minorHAnsi" w:cs="Arial"/>
      <w:b/>
      <w:spacing w:val="5"/>
      <w:sz w:val="52"/>
      <w:szCs w:val="60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93228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3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22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3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84"/>
    <w:rPr>
      <w:sz w:val="24"/>
      <w:szCs w:val="24"/>
      <w:lang w:eastAsia="en-US"/>
    </w:rPr>
  </w:style>
  <w:style w:type="table" w:styleId="TableGrid">
    <w:name w:val="Table Grid"/>
    <w:basedOn w:val="TableNormal"/>
    <w:rsid w:val="00E2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2678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2678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2678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Heading3Numbered">
    <w:name w:val="Heading 3 Numbered"/>
    <w:basedOn w:val="Heading2"/>
    <w:qFormat/>
    <w:rsid w:val="00E2678D"/>
    <w:pPr>
      <w:spacing w:before="120" w:after="120" w:line="312" w:lineRule="auto"/>
      <w:ind w:left="720" w:hanging="720"/>
      <w:outlineLvl w:val="2"/>
    </w:pPr>
    <w:rPr>
      <w:rFonts w:eastAsiaTheme="minorHAnsi"/>
      <w:color w:val="B56011"/>
    </w:rPr>
  </w:style>
  <w:style w:type="paragraph" w:customStyle="1" w:styleId="NormalBulleted">
    <w:name w:val="Normal Bulleted"/>
    <w:basedOn w:val="ListContinue"/>
    <w:link w:val="NormalBulletedChar"/>
    <w:qFormat/>
    <w:rsid w:val="00E2678D"/>
    <w:pPr>
      <w:numPr>
        <w:numId w:val="5"/>
      </w:numPr>
      <w:spacing w:before="180" w:line="312" w:lineRule="auto"/>
    </w:pPr>
    <w:rPr>
      <w:lang w:eastAsia="en-AU"/>
    </w:rPr>
  </w:style>
  <w:style w:type="character" w:customStyle="1" w:styleId="NormalBulletedChar">
    <w:name w:val="Normal Bulleted Char"/>
    <w:basedOn w:val="DefaultParagraphFont"/>
    <w:link w:val="NormalBulleted"/>
    <w:rsid w:val="00E2678D"/>
    <w:rPr>
      <w:rFonts w:asciiTheme="minorHAnsi" w:hAnsiTheme="minorHAnsi"/>
      <w:sz w:val="22"/>
      <w:szCs w:val="24"/>
    </w:rPr>
  </w:style>
  <w:style w:type="paragraph" w:customStyle="1" w:styleId="Bullet2">
    <w:name w:val="Bullet 2"/>
    <w:basedOn w:val="ListParagraph"/>
    <w:rsid w:val="00E2678D"/>
    <w:pPr>
      <w:numPr>
        <w:ilvl w:val="1"/>
        <w:numId w:val="4"/>
      </w:numPr>
      <w:spacing w:after="60" w:line="312" w:lineRule="auto"/>
      <w:contextualSpacing w:val="0"/>
    </w:pPr>
    <w:rPr>
      <w:rFonts w:eastAsiaTheme="minorHAnsi" w:cs="Arial"/>
      <w:szCs w:val="22"/>
      <w:lang w:eastAsia="en-AU"/>
    </w:rPr>
  </w:style>
  <w:style w:type="paragraph" w:styleId="ListContinue">
    <w:name w:val="List Continue"/>
    <w:basedOn w:val="Normal"/>
    <w:rsid w:val="00E2678D"/>
    <w:pPr>
      <w:ind w:left="283"/>
      <w:contextualSpacing/>
    </w:pPr>
  </w:style>
  <w:style w:type="paragraph" w:customStyle="1" w:styleId="AppendixStyle1">
    <w:name w:val="Appendix Style 1"/>
    <w:basedOn w:val="Normal"/>
    <w:next w:val="Normal"/>
    <w:qFormat/>
    <w:rsid w:val="005D4630"/>
    <w:pPr>
      <w:numPr>
        <w:numId w:val="7"/>
      </w:numPr>
      <w:spacing w:line="312" w:lineRule="auto"/>
      <w:outlineLvl w:val="0"/>
    </w:pPr>
    <w:rPr>
      <w:rFonts w:cs="Arial"/>
      <w:b/>
      <w:color w:val="016500"/>
      <w:sz w:val="32"/>
      <w:lang w:val="en-US"/>
    </w:rPr>
  </w:style>
  <w:style w:type="character" w:styleId="CommentReference">
    <w:name w:val="annotation reference"/>
    <w:basedOn w:val="DefaultParagraphFont"/>
    <w:rsid w:val="00583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D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3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D0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8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D03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F03A9C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03A9C"/>
    <w:rPr>
      <w:rFonts w:asciiTheme="minorHAnsi" w:hAnsiTheme="minorHAnsi"/>
      <w:lang w:eastAsia="en-US"/>
    </w:rPr>
  </w:style>
  <w:style w:type="character" w:styleId="EndnoteReference">
    <w:name w:val="endnote reference"/>
    <w:basedOn w:val="DefaultParagraphFont"/>
    <w:rsid w:val="00F03A9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08B1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paragraph" w:customStyle="1" w:styleId="01squarebullet">
    <w:name w:val="01 square bullet"/>
    <w:basedOn w:val="Normal"/>
    <w:uiPriority w:val="4"/>
    <w:qFormat/>
    <w:rsid w:val="005778D3"/>
    <w:pPr>
      <w:numPr>
        <w:numId w:val="13"/>
      </w:numPr>
      <w:ind w:right="142"/>
    </w:pPr>
    <w:rPr>
      <w:szCs w:val="20"/>
      <w:lang w:val="en-US"/>
    </w:rPr>
  </w:style>
  <w:style w:type="paragraph" w:customStyle="1" w:styleId="02dash">
    <w:name w:val="02 dash"/>
    <w:basedOn w:val="01squarebullet"/>
    <w:uiPriority w:val="4"/>
    <w:qFormat/>
    <w:rsid w:val="00CF7565"/>
    <w:pPr>
      <w:numPr>
        <w:numId w:val="15"/>
      </w:numPr>
      <w:tabs>
        <w:tab w:val="left" w:pos="646"/>
      </w:tabs>
    </w:pPr>
  </w:style>
  <w:style w:type="character" w:customStyle="1" w:styleId="tgc">
    <w:name w:val="_tgc"/>
    <w:basedOn w:val="DefaultParagraphFont"/>
    <w:rsid w:val="000A0FC3"/>
  </w:style>
  <w:style w:type="paragraph" w:customStyle="1" w:styleId="StyleSubtitle">
    <w:name w:val="Style Subtitle"/>
    <w:basedOn w:val="Subtitle"/>
    <w:rsid w:val="00762B51"/>
    <w:pPr>
      <w:pBdr>
        <w:bottom w:val="none" w:sz="0" w:space="0" w:color="auto"/>
      </w:pBdr>
      <w:spacing w:before="480" w:line="240" w:lineRule="auto"/>
    </w:pPr>
    <w:rPr>
      <w:rFonts w:cs="Times New Roman"/>
      <w:bCs/>
      <w:sz w:val="40"/>
      <w:szCs w:val="20"/>
    </w:rPr>
  </w:style>
  <w:style w:type="paragraph" w:customStyle="1" w:styleId="StyleHeading1">
    <w:name w:val="Style Heading 1"/>
    <w:basedOn w:val="Heading1"/>
    <w:rsid w:val="00762B51"/>
    <w:pPr>
      <w:spacing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Taskforce findings for pathology clinical committee blood product working group report</dc:title>
  <dc:subject>MBS Review Taskforce</dc:subject>
  <dc:creator/>
  <cp:keywords>MBS; Review; Taskforce;</cp:keywords>
  <cp:lastModifiedBy/>
  <cp:revision>1</cp:revision>
  <dcterms:created xsi:type="dcterms:W3CDTF">2020-12-03T01:30:00Z</dcterms:created>
  <dcterms:modified xsi:type="dcterms:W3CDTF">2020-12-03T01:30:00Z</dcterms:modified>
</cp:coreProperties>
</file>