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Default Extension="png" ContentType="image/png"/>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00009pt;margin-top:0pt;width:595.35pt;height:841.95pt;mso-position-horizontal-relative:page;mso-position-vertical-relative:page;z-index:-19721216" coordorigin="0,0" coordsize="11907,16839" alt="The cover page includes a picture of a male doctor interacting with a female, in feint font">
            <v:shape style="position:absolute;left:0;top:0;width:11907;height:16839" type="#_x0000_t75" alt="The cover page includes a picture of a male doctor interacting with a female, in feint font" stroked="false">
              <v:imagedata r:id="rId5" o:title=""/>
            </v:shape>
            <v:rect style="position:absolute;left:1913;top:13943;width:8049;height:29" filled="true" fillcolor="#bebebe" stroked="false">
              <v:fill type="solid"/>
            </v:rect>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5"/>
        </w:rPr>
      </w:pPr>
    </w:p>
    <w:p>
      <w:pPr>
        <w:spacing w:line="915" w:lineRule="exact" w:before="0"/>
        <w:ind w:left="1502" w:right="0" w:firstLine="0"/>
        <w:jc w:val="left"/>
        <w:rPr>
          <w:b/>
          <w:sz w:val="80"/>
        </w:rPr>
      </w:pPr>
      <w:r>
        <w:rPr>
          <w:b/>
          <w:color w:val="FFFFFF"/>
          <w:sz w:val="80"/>
        </w:rPr>
        <w:t>Medicare Benefits</w:t>
      </w:r>
    </w:p>
    <w:p>
      <w:pPr>
        <w:spacing w:before="0"/>
        <w:ind w:left="1502" w:right="4197" w:firstLine="0"/>
        <w:jc w:val="left"/>
        <w:rPr>
          <w:b/>
          <w:sz w:val="80"/>
        </w:rPr>
      </w:pPr>
      <w:r>
        <w:rPr>
          <w:b/>
          <w:color w:val="FFFFFF"/>
          <w:sz w:val="80"/>
        </w:rPr>
        <w:t>Schedule Review Taskforce</w:t>
      </w:r>
    </w:p>
    <w:p>
      <w:pPr>
        <w:pStyle w:val="BodyText"/>
        <w:rPr>
          <w:b/>
          <w:sz w:val="59"/>
        </w:rPr>
      </w:pPr>
    </w:p>
    <w:p>
      <w:pPr>
        <w:spacing w:before="1"/>
        <w:ind w:left="1502" w:right="3438" w:firstLine="0"/>
        <w:jc w:val="left"/>
        <w:rPr>
          <w:b/>
          <w:sz w:val="80"/>
        </w:rPr>
      </w:pPr>
      <w:r>
        <w:rPr>
          <w:b/>
          <w:color w:val="00643E"/>
          <w:sz w:val="80"/>
        </w:rPr>
        <w:t>Final Report on the Review of Pain Management MBS Items</w:t>
      </w:r>
    </w:p>
    <w:p>
      <w:pPr>
        <w:spacing w:before="540"/>
        <w:ind w:left="1502" w:right="0" w:firstLine="0"/>
        <w:jc w:val="left"/>
        <w:rPr>
          <w:sz w:val="40"/>
        </w:rPr>
      </w:pPr>
      <w:r>
        <w:rPr>
          <w:color w:val="00643E"/>
          <w:sz w:val="40"/>
        </w:rPr>
        <w:t>2019</w:t>
      </w:r>
    </w:p>
    <w:p>
      <w:pPr>
        <w:spacing w:after="0"/>
        <w:jc w:val="left"/>
        <w:rPr>
          <w:sz w:val="40"/>
        </w:rPr>
        <w:sectPr>
          <w:type w:val="continuous"/>
          <w:pgSz w:w="11910" w:h="16840"/>
          <w:pgMar w:top="1580" w:bottom="280" w:left="440" w:right="140"/>
        </w:sectPr>
      </w:pPr>
    </w:p>
    <w:p>
      <w:pPr>
        <w:pStyle w:val="BodyText"/>
        <w:rPr>
          <w:sz w:val="20"/>
        </w:rPr>
      </w:pPr>
    </w:p>
    <w:p>
      <w:pPr>
        <w:pStyle w:val="BodyText"/>
        <w:rPr>
          <w:sz w:val="20"/>
        </w:rPr>
      </w:pPr>
    </w:p>
    <w:p>
      <w:pPr>
        <w:pStyle w:val="BodyText"/>
        <w:rPr>
          <w:sz w:val="20"/>
        </w:rPr>
      </w:pPr>
    </w:p>
    <w:p>
      <w:pPr>
        <w:pStyle w:val="BodyText"/>
        <w:spacing w:before="1"/>
        <w:rPr>
          <w:sz w:val="11"/>
        </w:rPr>
      </w:pPr>
    </w:p>
    <w:p>
      <w:pPr>
        <w:pStyle w:val="BodyText"/>
        <w:ind w:left="1299"/>
        <w:rPr>
          <w:sz w:val="20"/>
        </w:rPr>
      </w:pPr>
      <w:r>
        <w:rPr>
          <w:position w:val="0"/>
          <w:sz w:val="20"/>
        </w:rPr>
        <w:pict>
          <v:shape style="width:420pt;height:152.550pt;mso-position-horizontal-relative:char;mso-position-vertical-relative:line" type="#_x0000_t202" filled="false" stroked="true" strokeweight="1.44pt" strokecolor="#974705">
            <w10:anchorlock/>
            <v:textbox inset="0,0,0,0">
              <w:txbxContent>
                <w:p>
                  <w:pPr>
                    <w:spacing w:before="0"/>
                    <w:ind w:left="28" w:right="0" w:firstLine="0"/>
                    <w:jc w:val="left"/>
                    <w:rPr>
                      <w:b/>
                      <w:sz w:val="32"/>
                    </w:rPr>
                  </w:pPr>
                  <w:r>
                    <w:rPr>
                      <w:b/>
                      <w:color w:val="00643E"/>
                      <w:sz w:val="32"/>
                    </w:rPr>
                    <w:t>Important note</w:t>
                  </w:r>
                </w:p>
                <w:p>
                  <w:pPr>
                    <w:pStyle w:val="BodyText"/>
                    <w:spacing w:before="120"/>
                    <w:ind w:left="28" w:right="79"/>
                  </w:pPr>
                  <w:r>
                    <w:rPr/>
                    <w:t>This Report contains the final recommendations from the MBS Review Taskforce following the consultation of the Pain Management Clinical Committee with stakeholders. Updates made to the Clinical Committee recommendations by the Taskforce are outlined in the table below.</w:t>
                  </w:r>
                </w:p>
                <w:p>
                  <w:pPr>
                    <w:pStyle w:val="BodyText"/>
                    <w:spacing w:before="118"/>
                    <w:ind w:left="28"/>
                  </w:pPr>
                  <w:r>
                    <w:rPr/>
                    <w:t>This report has now been forwarded to the Government for consideration.</w:t>
                  </w:r>
                </w:p>
                <w:p>
                  <w:pPr>
                    <w:pStyle w:val="BodyText"/>
                    <w:spacing w:before="120"/>
                    <w:ind w:left="28" w:right="1091"/>
                  </w:pPr>
                  <w:r>
                    <w:rPr/>
                    <w:t>The Taskforce welcomes ongoing feedback on this or any MBS Review report via: </w:t>
                  </w:r>
                  <w:hyperlink r:id="rId8">
                    <w:r>
                      <w:rPr>
                        <w:color w:val="0000FF"/>
                        <w:u w:val="single" w:color="0000FF"/>
                      </w:rPr>
                      <w:t>mbsreviews@health.gov.au</w:t>
                    </w:r>
                  </w:hyperlink>
                </w:p>
              </w:txbxContent>
            </v:textbox>
            <v:stroke dashstyle="solid"/>
          </v:shape>
        </w:pict>
      </w:r>
      <w:r>
        <w:rPr>
          <w:position w:val="0"/>
          <w:sz w:val="20"/>
        </w:rPr>
      </w:r>
    </w:p>
    <w:p>
      <w:pPr>
        <w:pStyle w:val="BodyText"/>
        <w:spacing w:before="9"/>
        <w:rPr>
          <w:sz w:val="7"/>
        </w:rPr>
      </w:pPr>
    </w:p>
    <w:tbl>
      <w:tblPr>
        <w:tblW w:w="0" w:type="auto"/>
        <w:jc w:val="left"/>
        <w:tblInd w:w="1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150"/>
        <w:gridCol w:w="4138"/>
      </w:tblGrid>
      <w:tr>
        <w:trPr>
          <w:trHeight w:val="587" w:hRule="atLeast"/>
        </w:trPr>
        <w:tc>
          <w:tcPr>
            <w:tcW w:w="4150" w:type="dxa"/>
            <w:shd w:val="clear" w:color="auto" w:fill="00643E"/>
          </w:tcPr>
          <w:p>
            <w:pPr>
              <w:pStyle w:val="TableParagraph"/>
              <w:spacing w:before="117"/>
              <w:ind w:left="107"/>
              <w:rPr>
                <w:b/>
                <w:sz w:val="22"/>
              </w:rPr>
            </w:pPr>
            <w:r>
              <w:rPr>
                <w:b/>
                <w:color w:val="FFFFFF"/>
                <w:sz w:val="22"/>
              </w:rPr>
              <w:t>Original recommendation</w:t>
            </w:r>
          </w:p>
        </w:tc>
        <w:tc>
          <w:tcPr>
            <w:tcW w:w="4138" w:type="dxa"/>
            <w:shd w:val="clear" w:color="auto" w:fill="00643E"/>
          </w:tcPr>
          <w:p>
            <w:pPr>
              <w:pStyle w:val="TableParagraph"/>
              <w:spacing w:before="117"/>
              <w:ind w:left="105"/>
              <w:rPr>
                <w:b/>
                <w:sz w:val="22"/>
              </w:rPr>
            </w:pPr>
            <w:r>
              <w:rPr>
                <w:b/>
                <w:color w:val="FFFFFF"/>
                <w:sz w:val="22"/>
              </w:rPr>
              <w:t>Updated recommendation</w:t>
            </w:r>
          </w:p>
        </w:tc>
      </w:tr>
      <w:tr>
        <w:trPr>
          <w:trHeight w:val="9220" w:hRule="atLeast"/>
        </w:trPr>
        <w:tc>
          <w:tcPr>
            <w:tcW w:w="4150" w:type="dxa"/>
          </w:tcPr>
          <w:p>
            <w:pPr>
              <w:pStyle w:val="TableParagraph"/>
              <w:spacing w:line="312" w:lineRule="auto" w:before="119"/>
              <w:ind w:left="107" w:right="560"/>
              <w:rPr>
                <w:b/>
                <w:sz w:val="22"/>
              </w:rPr>
            </w:pPr>
            <w:r>
              <w:rPr>
                <w:b/>
                <w:sz w:val="22"/>
              </w:rPr>
              <w:t>Recommendation 27: Access to group therapy for pain management</w:t>
            </w:r>
          </w:p>
          <w:p>
            <w:pPr>
              <w:pStyle w:val="TableParagraph"/>
              <w:spacing w:before="180"/>
              <w:ind w:left="107"/>
              <w:rPr>
                <w:sz w:val="22"/>
              </w:rPr>
            </w:pPr>
            <w:r>
              <w:rPr>
                <w:sz w:val="22"/>
              </w:rPr>
              <w:t>The Committee recommends:</w:t>
            </w:r>
          </w:p>
          <w:p>
            <w:pPr>
              <w:pStyle w:val="TableParagraph"/>
              <w:spacing w:before="3"/>
              <w:rPr>
                <w:sz w:val="21"/>
              </w:rPr>
            </w:pPr>
          </w:p>
          <w:p>
            <w:pPr>
              <w:pStyle w:val="TableParagraph"/>
              <w:numPr>
                <w:ilvl w:val="0"/>
                <w:numId w:val="1"/>
              </w:numPr>
              <w:tabs>
                <w:tab w:pos="554" w:val="left" w:leader="none"/>
              </w:tabs>
              <w:spacing w:line="312" w:lineRule="auto" w:before="0" w:after="0"/>
              <w:ind w:left="553" w:right="119" w:hanging="360"/>
              <w:jc w:val="left"/>
              <w:rPr>
                <w:sz w:val="22"/>
              </w:rPr>
            </w:pPr>
            <w:r>
              <w:rPr>
                <w:sz w:val="22"/>
              </w:rPr>
              <w:t>the creation of a new item that would be one of several allied health items that could be accessed following completion of a GP chronic disease management plan or a specific chronic pain management</w:t>
            </w:r>
            <w:r>
              <w:rPr>
                <w:spacing w:val="-4"/>
                <w:sz w:val="22"/>
              </w:rPr>
              <w:t> </w:t>
            </w:r>
            <w:r>
              <w:rPr>
                <w:sz w:val="22"/>
              </w:rPr>
              <w:t>plan,</w:t>
            </w:r>
          </w:p>
          <w:p>
            <w:pPr>
              <w:pStyle w:val="TableParagraph"/>
              <w:numPr>
                <w:ilvl w:val="0"/>
                <w:numId w:val="1"/>
              </w:numPr>
              <w:tabs>
                <w:tab w:pos="604" w:val="left" w:leader="none"/>
                <w:tab w:pos="605" w:val="left" w:leader="none"/>
              </w:tabs>
              <w:spacing w:line="312" w:lineRule="auto" w:before="1" w:after="0"/>
              <w:ind w:left="553" w:right="499" w:hanging="360"/>
              <w:jc w:val="left"/>
              <w:rPr>
                <w:sz w:val="22"/>
              </w:rPr>
            </w:pPr>
            <w:r>
              <w:rPr/>
              <w:tab/>
            </w:r>
            <w:r>
              <w:rPr>
                <w:sz w:val="22"/>
              </w:rPr>
              <w:t>that it be accessible by medical or allied health practitioners such as nurses, physiotherapists, exercise physiologists, psychologists, or occupational therapists,</w:t>
            </w:r>
            <w:r>
              <w:rPr>
                <w:spacing w:val="-1"/>
                <w:sz w:val="22"/>
              </w:rPr>
              <w:t> </w:t>
            </w:r>
            <w:r>
              <w:rPr>
                <w:sz w:val="22"/>
              </w:rPr>
              <w:t>and</w:t>
            </w:r>
          </w:p>
          <w:p>
            <w:pPr>
              <w:pStyle w:val="TableParagraph"/>
              <w:numPr>
                <w:ilvl w:val="0"/>
                <w:numId w:val="1"/>
              </w:numPr>
              <w:tabs>
                <w:tab w:pos="553" w:val="left" w:leader="none"/>
                <w:tab w:pos="554" w:val="left" w:leader="none"/>
              </w:tabs>
              <w:spacing w:line="312" w:lineRule="auto" w:before="0" w:after="0"/>
              <w:ind w:left="553" w:right="105" w:hanging="360"/>
              <w:jc w:val="left"/>
              <w:rPr>
                <w:sz w:val="22"/>
              </w:rPr>
            </w:pPr>
            <w:r>
              <w:rPr>
                <w:sz w:val="22"/>
              </w:rPr>
              <w:t>With training requirements to be determined by the relevant colleges or peak bodies.</w:t>
            </w:r>
          </w:p>
        </w:tc>
        <w:tc>
          <w:tcPr>
            <w:tcW w:w="4138" w:type="dxa"/>
          </w:tcPr>
          <w:p>
            <w:pPr>
              <w:pStyle w:val="TableParagraph"/>
              <w:spacing w:line="312" w:lineRule="auto" w:before="119"/>
              <w:ind w:left="105" w:right="550"/>
              <w:rPr>
                <w:b/>
                <w:sz w:val="22"/>
              </w:rPr>
            </w:pPr>
            <w:r>
              <w:rPr>
                <w:b/>
                <w:sz w:val="22"/>
              </w:rPr>
              <w:t>Recommendation 27: Access to group therapy for pain management</w:t>
            </w:r>
          </w:p>
          <w:p>
            <w:pPr>
              <w:pStyle w:val="TableParagraph"/>
              <w:spacing w:before="120"/>
              <w:ind w:left="105"/>
              <w:rPr>
                <w:sz w:val="22"/>
              </w:rPr>
            </w:pPr>
            <w:r>
              <w:rPr>
                <w:sz w:val="22"/>
              </w:rPr>
              <w:t>The Committee recommends:</w:t>
            </w:r>
          </w:p>
          <w:p>
            <w:pPr>
              <w:pStyle w:val="TableParagraph"/>
              <w:spacing w:before="4"/>
              <w:rPr>
                <w:sz w:val="16"/>
              </w:rPr>
            </w:pPr>
          </w:p>
          <w:p>
            <w:pPr>
              <w:pStyle w:val="TableParagraph"/>
              <w:spacing w:line="312" w:lineRule="auto"/>
              <w:ind w:left="105" w:right="141"/>
              <w:rPr>
                <w:sz w:val="22"/>
              </w:rPr>
            </w:pPr>
            <w:r>
              <w:rPr>
                <w:sz w:val="22"/>
              </w:rPr>
              <w:t>A new MBS item be created covering provision of a chronic pain management health service provided to a person by an eligible clinician being a physiotherapist, nurse, exercise physiologist, clinical psychologist or occupational therapist with training and credentialing requirements to be determined by the relevant Colleges or peak bodies as a GROUP SERVICE if:</w:t>
            </w:r>
          </w:p>
          <w:p>
            <w:pPr>
              <w:pStyle w:val="TableParagraph"/>
              <w:numPr>
                <w:ilvl w:val="0"/>
                <w:numId w:val="2"/>
              </w:numPr>
              <w:tabs>
                <w:tab w:pos="525" w:val="left" w:leader="none"/>
                <w:tab w:pos="526" w:val="left" w:leader="none"/>
              </w:tabs>
              <w:spacing w:line="312" w:lineRule="auto" w:before="120" w:after="0"/>
              <w:ind w:left="525" w:right="393" w:hanging="420"/>
              <w:jc w:val="left"/>
              <w:rPr>
                <w:sz w:val="22"/>
              </w:rPr>
            </w:pPr>
            <w:r>
              <w:rPr>
                <w:sz w:val="22"/>
              </w:rPr>
              <w:t>the service is provided to a person who is part of a group of between 4 and 12 patients inclusive; and</w:t>
            </w:r>
          </w:p>
          <w:p>
            <w:pPr>
              <w:pStyle w:val="TableParagraph"/>
              <w:numPr>
                <w:ilvl w:val="0"/>
                <w:numId w:val="2"/>
              </w:numPr>
              <w:tabs>
                <w:tab w:pos="525" w:val="left" w:leader="none"/>
                <w:tab w:pos="526" w:val="left" w:leader="none"/>
              </w:tabs>
              <w:spacing w:line="312" w:lineRule="auto" w:before="121" w:after="0"/>
              <w:ind w:left="525" w:right="244" w:hanging="420"/>
              <w:jc w:val="left"/>
              <w:rPr>
                <w:sz w:val="22"/>
              </w:rPr>
            </w:pPr>
            <w:r>
              <w:rPr>
                <w:sz w:val="22"/>
              </w:rPr>
              <w:t>the person is not an admitted patient of a hospital; and</w:t>
            </w:r>
          </w:p>
          <w:p>
            <w:pPr>
              <w:pStyle w:val="TableParagraph"/>
              <w:numPr>
                <w:ilvl w:val="0"/>
                <w:numId w:val="2"/>
              </w:numPr>
              <w:tabs>
                <w:tab w:pos="525" w:val="left" w:leader="none"/>
                <w:tab w:pos="526" w:val="left" w:leader="none"/>
              </w:tabs>
              <w:spacing w:line="312" w:lineRule="auto" w:before="120" w:after="0"/>
              <w:ind w:left="525" w:right="103" w:hanging="420"/>
              <w:jc w:val="left"/>
              <w:rPr>
                <w:sz w:val="22"/>
              </w:rPr>
            </w:pPr>
            <w:r>
              <w:rPr>
                <w:sz w:val="22"/>
              </w:rPr>
              <w:t>the patients are referred by a medical practitioner, as part of a GP Mental Health Treatment Plan or as part of a shared care plan; or referred by a medical practitioner (including a general practitioner or a specialist pain management physician);</w:t>
            </w:r>
            <w:r>
              <w:rPr>
                <w:spacing w:val="-1"/>
                <w:sz w:val="22"/>
              </w:rPr>
              <w:t> </w:t>
            </w:r>
            <w:r>
              <w:rPr>
                <w:sz w:val="22"/>
              </w:rPr>
              <w:t>and</w:t>
            </w:r>
          </w:p>
        </w:tc>
      </w:tr>
    </w:tbl>
    <w:p>
      <w:pPr>
        <w:spacing w:after="0" w:line="312" w:lineRule="auto"/>
        <w:jc w:val="left"/>
        <w:rPr>
          <w:sz w:val="22"/>
        </w:rPr>
        <w:sectPr>
          <w:headerReference w:type="default" r:id="rId6"/>
          <w:footerReference w:type="default" r:id="rId7"/>
          <w:pgSz w:w="11910" w:h="16840"/>
          <w:pgMar w:header="672" w:footer="978" w:top="1300" w:bottom="1160" w:left="440" w:right="140"/>
          <w:pgNumType w:start="2"/>
        </w:sectPr>
      </w:pPr>
    </w:p>
    <w:p>
      <w:pPr>
        <w:pStyle w:val="BodyText"/>
        <w:rPr>
          <w:sz w:val="20"/>
        </w:rPr>
      </w:pPr>
    </w:p>
    <w:p>
      <w:pPr>
        <w:pStyle w:val="BodyText"/>
        <w:spacing w:before="4"/>
        <w:rPr>
          <w:sz w:val="28"/>
        </w:rPr>
      </w:pPr>
    </w:p>
    <w:tbl>
      <w:tblPr>
        <w:tblW w:w="0" w:type="auto"/>
        <w:jc w:val="left"/>
        <w:tblInd w:w="1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150"/>
        <w:gridCol w:w="4138"/>
      </w:tblGrid>
      <w:tr>
        <w:trPr>
          <w:trHeight w:val="9219" w:hRule="atLeast"/>
        </w:trPr>
        <w:tc>
          <w:tcPr>
            <w:tcW w:w="4150" w:type="dxa"/>
            <w:tcBorders>
              <w:top w:val="nil"/>
            </w:tcBorders>
          </w:tcPr>
          <w:p>
            <w:pPr>
              <w:pStyle w:val="TableParagraph"/>
              <w:rPr>
                <w:rFonts w:ascii="Times New Roman"/>
                <w:sz w:val="20"/>
              </w:rPr>
            </w:pPr>
          </w:p>
        </w:tc>
        <w:tc>
          <w:tcPr>
            <w:tcW w:w="4138" w:type="dxa"/>
            <w:tcBorders>
              <w:top w:val="nil"/>
            </w:tcBorders>
          </w:tcPr>
          <w:p>
            <w:pPr>
              <w:pStyle w:val="TableParagraph"/>
              <w:numPr>
                <w:ilvl w:val="0"/>
                <w:numId w:val="3"/>
              </w:numPr>
              <w:tabs>
                <w:tab w:pos="525" w:val="left" w:leader="none"/>
                <w:tab w:pos="526" w:val="left" w:leader="none"/>
              </w:tabs>
              <w:spacing w:line="312" w:lineRule="auto" w:before="0" w:after="0"/>
              <w:ind w:left="525" w:right="284" w:hanging="420"/>
              <w:jc w:val="left"/>
              <w:rPr>
                <w:sz w:val="22"/>
              </w:rPr>
            </w:pPr>
            <w:r>
              <w:rPr>
                <w:sz w:val="22"/>
              </w:rPr>
              <w:t>the service is provided to a person involving the personal attendance by the eligible clinician; and</w:t>
            </w:r>
          </w:p>
          <w:p>
            <w:pPr>
              <w:pStyle w:val="TableParagraph"/>
              <w:numPr>
                <w:ilvl w:val="0"/>
                <w:numId w:val="3"/>
              </w:numPr>
              <w:tabs>
                <w:tab w:pos="525" w:val="left" w:leader="none"/>
                <w:tab w:pos="526" w:val="left" w:leader="none"/>
              </w:tabs>
              <w:spacing w:line="312" w:lineRule="auto" w:before="116" w:after="0"/>
              <w:ind w:left="525" w:right="441" w:hanging="420"/>
              <w:jc w:val="left"/>
              <w:rPr>
                <w:sz w:val="22"/>
              </w:rPr>
            </w:pPr>
            <w:r>
              <w:rPr>
                <w:sz w:val="22"/>
              </w:rPr>
              <w:t>the service is of at least 60 minutes duration;</w:t>
            </w:r>
            <w:r>
              <w:rPr>
                <w:spacing w:val="1"/>
                <w:sz w:val="22"/>
              </w:rPr>
              <w:t> </w:t>
            </w:r>
            <w:r>
              <w:rPr>
                <w:sz w:val="22"/>
              </w:rPr>
              <w:t>and</w:t>
            </w:r>
          </w:p>
          <w:p>
            <w:pPr>
              <w:pStyle w:val="TableParagraph"/>
              <w:numPr>
                <w:ilvl w:val="0"/>
                <w:numId w:val="3"/>
              </w:numPr>
              <w:tabs>
                <w:tab w:pos="525" w:val="left" w:leader="none"/>
                <w:tab w:pos="526" w:val="left" w:leader="none"/>
              </w:tabs>
              <w:spacing w:line="312" w:lineRule="auto" w:before="120" w:after="0"/>
              <w:ind w:left="525" w:right="103" w:hanging="420"/>
              <w:jc w:val="left"/>
              <w:rPr>
                <w:sz w:val="22"/>
              </w:rPr>
            </w:pPr>
            <w:r>
              <w:rPr>
                <w:sz w:val="22"/>
              </w:rPr>
              <w:t>eligibility is limited to up to 10 sessions in a calendar year;</w:t>
            </w:r>
            <w:r>
              <w:rPr>
                <w:spacing w:val="-3"/>
                <w:sz w:val="22"/>
              </w:rPr>
              <w:t> </w:t>
            </w:r>
            <w:r>
              <w:rPr>
                <w:sz w:val="22"/>
              </w:rPr>
              <w:t>and</w:t>
            </w:r>
          </w:p>
          <w:p>
            <w:pPr>
              <w:pStyle w:val="TableParagraph"/>
              <w:numPr>
                <w:ilvl w:val="0"/>
                <w:numId w:val="3"/>
              </w:numPr>
              <w:tabs>
                <w:tab w:pos="525" w:val="left" w:leader="none"/>
                <w:tab w:pos="526" w:val="left" w:leader="none"/>
              </w:tabs>
              <w:spacing w:line="312" w:lineRule="auto" w:before="120" w:after="0"/>
              <w:ind w:left="525" w:right="234" w:hanging="420"/>
              <w:jc w:val="left"/>
              <w:rPr>
                <w:sz w:val="22"/>
              </w:rPr>
            </w:pPr>
            <w:r>
              <w:rPr>
                <w:sz w:val="22"/>
              </w:rPr>
              <w:t>after the last service in the group services program the eligible clinician prepares, or contribute to, a written report to be provided to the referring medical practitioner;</w:t>
            </w:r>
            <w:r>
              <w:rPr>
                <w:spacing w:val="-2"/>
                <w:sz w:val="22"/>
              </w:rPr>
              <w:t> </w:t>
            </w:r>
            <w:r>
              <w:rPr>
                <w:sz w:val="22"/>
              </w:rPr>
              <w:t>and</w:t>
            </w:r>
          </w:p>
          <w:p>
            <w:pPr>
              <w:pStyle w:val="TableParagraph"/>
              <w:numPr>
                <w:ilvl w:val="0"/>
                <w:numId w:val="3"/>
              </w:numPr>
              <w:tabs>
                <w:tab w:pos="525" w:val="left" w:leader="none"/>
                <w:tab w:pos="526" w:val="left" w:leader="none"/>
              </w:tabs>
              <w:spacing w:line="312" w:lineRule="auto" w:before="120" w:after="0"/>
              <w:ind w:left="525" w:right="243" w:hanging="420"/>
              <w:jc w:val="left"/>
              <w:rPr>
                <w:sz w:val="22"/>
              </w:rPr>
            </w:pPr>
            <w:r>
              <w:rPr>
                <w:sz w:val="22"/>
              </w:rPr>
              <w:t>an attendance record for the group </w:t>
            </w:r>
            <w:r>
              <w:rPr>
                <w:spacing w:val="-7"/>
                <w:sz w:val="22"/>
              </w:rPr>
              <w:t>is </w:t>
            </w:r>
            <w:r>
              <w:rPr>
                <w:sz w:val="22"/>
              </w:rPr>
              <w:t>maintained by the eligible clinician; and</w:t>
            </w:r>
          </w:p>
          <w:p>
            <w:pPr>
              <w:pStyle w:val="TableParagraph"/>
              <w:numPr>
                <w:ilvl w:val="0"/>
                <w:numId w:val="3"/>
              </w:numPr>
              <w:tabs>
                <w:tab w:pos="525" w:val="left" w:leader="none"/>
                <w:tab w:pos="526" w:val="left" w:leader="none"/>
              </w:tabs>
              <w:spacing w:line="312" w:lineRule="auto" w:before="121" w:after="0"/>
              <w:ind w:left="525" w:right="247" w:hanging="420"/>
              <w:jc w:val="left"/>
              <w:rPr>
                <w:sz w:val="22"/>
              </w:rPr>
            </w:pPr>
            <w:r>
              <w:rPr>
                <w:sz w:val="22"/>
              </w:rPr>
              <w:t>in the case of a service in respect of which a private health insurance benefit is payable - the person who incurred the medical expenses in respect of the service has elected to claim the Medicare benefit in respect of the service, and not the private health insurance benefit.</w:t>
            </w:r>
          </w:p>
        </w:tc>
      </w:tr>
    </w:tbl>
    <w:p>
      <w:pPr>
        <w:spacing w:after="0" w:line="312" w:lineRule="auto"/>
        <w:jc w:val="left"/>
        <w:rPr>
          <w:sz w:val="22"/>
        </w:rPr>
        <w:sectPr>
          <w:pgSz w:w="11910" w:h="16840"/>
          <w:pgMar w:header="672" w:footer="978" w:top="1300" w:bottom="1160" w:left="440" w:right="140"/>
        </w:sectPr>
      </w:pPr>
    </w:p>
    <w:p>
      <w:pPr>
        <w:pStyle w:val="BodyText"/>
        <w:rPr>
          <w:sz w:val="20"/>
        </w:rPr>
      </w:pPr>
    </w:p>
    <w:p>
      <w:pPr>
        <w:pStyle w:val="BodyText"/>
        <w:rPr>
          <w:sz w:val="20"/>
        </w:rPr>
      </w:pPr>
    </w:p>
    <w:p>
      <w:pPr>
        <w:spacing w:before="170"/>
        <w:ind w:left="1358" w:right="0" w:firstLine="0"/>
        <w:jc w:val="left"/>
        <w:rPr>
          <w:b/>
          <w:sz w:val="40"/>
        </w:rPr>
      </w:pPr>
      <w:r>
        <w:rPr>
          <w:b/>
          <w:color w:val="00643E"/>
          <w:sz w:val="40"/>
        </w:rPr>
        <w:t>Table of contents</w:t>
      </w:r>
    </w:p>
    <w:p>
      <w:pPr>
        <w:pStyle w:val="Heading7"/>
        <w:numPr>
          <w:ilvl w:val="0"/>
          <w:numId w:val="4"/>
        </w:numPr>
        <w:tabs>
          <w:tab w:pos="1699" w:val="left" w:leader="none"/>
          <w:tab w:pos="9662" w:val="right" w:leader="dot"/>
        </w:tabs>
        <w:spacing w:line="240" w:lineRule="auto" w:before="117" w:after="0"/>
        <w:ind w:left="1698" w:right="0" w:hanging="341"/>
        <w:jc w:val="left"/>
      </w:pPr>
      <w:r>
        <w:rPr/>
        <w:drawing>
          <wp:anchor distT="0" distB="0" distL="0" distR="0" allowOverlap="1" layoutInCell="1" locked="0" behindDoc="0" simplePos="0" relativeHeight="2">
            <wp:simplePos x="0" y="0"/>
            <wp:positionH relativeFrom="page">
              <wp:posOffset>1365503</wp:posOffset>
            </wp:positionH>
            <wp:positionV relativeFrom="paragraph">
              <wp:posOffset>330500</wp:posOffset>
            </wp:positionV>
            <wp:extent cx="4927855" cy="102679"/>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11" cstate="print"/>
                    <a:stretch>
                      <a:fillRect/>
                    </a:stretch>
                  </pic:blipFill>
                  <pic:spPr>
                    <a:xfrm>
                      <a:off x="0" y="0"/>
                      <a:ext cx="4927855" cy="102679"/>
                    </a:xfrm>
                    <a:prstGeom prst="rect">
                      <a:avLst/>
                    </a:prstGeom>
                  </pic:spPr>
                </pic:pic>
              </a:graphicData>
            </a:graphic>
          </wp:anchor>
        </w:drawing>
      </w:r>
      <w:r>
        <w:rPr/>
        <w:drawing>
          <wp:anchor distT="0" distB="0" distL="0" distR="0" allowOverlap="1" layoutInCell="1" locked="0" behindDoc="0" simplePos="0" relativeHeight="3">
            <wp:simplePos x="0" y="0"/>
            <wp:positionH relativeFrom="page">
              <wp:posOffset>6349038</wp:posOffset>
            </wp:positionH>
            <wp:positionV relativeFrom="paragraph">
              <wp:posOffset>341204</wp:posOffset>
            </wp:positionV>
            <wp:extent cx="59670" cy="91440"/>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12" cstate="print"/>
                    <a:stretch>
                      <a:fillRect/>
                    </a:stretch>
                  </pic:blipFill>
                  <pic:spPr>
                    <a:xfrm>
                      <a:off x="0" y="0"/>
                      <a:ext cx="59670" cy="91440"/>
                    </a:xfrm>
                    <a:prstGeom prst="rect">
                      <a:avLst/>
                    </a:prstGeom>
                  </pic:spPr>
                </pic:pic>
              </a:graphicData>
            </a:graphic>
          </wp:anchor>
        </w:drawing>
      </w:r>
      <w:r>
        <w:rPr/>
        <w:drawing>
          <wp:anchor distT="0" distB="0" distL="0" distR="0" allowOverlap="1" layoutInCell="1" locked="0" behindDoc="0" simplePos="0" relativeHeight="4">
            <wp:simplePos x="0" y="0"/>
            <wp:positionH relativeFrom="page">
              <wp:posOffset>1365503</wp:posOffset>
            </wp:positionH>
            <wp:positionV relativeFrom="paragraph">
              <wp:posOffset>551480</wp:posOffset>
            </wp:positionV>
            <wp:extent cx="4888958" cy="126015"/>
            <wp:effectExtent l="0" t="0" r="0" b="0"/>
            <wp:wrapTopAndBottom/>
            <wp:docPr id="9" name="image5.png"/>
            <wp:cNvGraphicFramePr>
              <a:graphicFrameLocks noChangeAspect="1"/>
            </wp:cNvGraphicFramePr>
            <a:graphic>
              <a:graphicData uri="http://schemas.openxmlformats.org/drawingml/2006/picture">
                <pic:pic>
                  <pic:nvPicPr>
                    <pic:cNvPr id="10" name="image5.png"/>
                    <pic:cNvPicPr/>
                  </pic:nvPicPr>
                  <pic:blipFill>
                    <a:blip r:embed="rId13" cstate="print"/>
                    <a:stretch>
                      <a:fillRect/>
                    </a:stretch>
                  </pic:blipFill>
                  <pic:spPr>
                    <a:xfrm>
                      <a:off x="0" y="0"/>
                      <a:ext cx="4888958" cy="126015"/>
                    </a:xfrm>
                    <a:prstGeom prst="rect">
                      <a:avLst/>
                    </a:prstGeom>
                  </pic:spPr>
                </pic:pic>
              </a:graphicData>
            </a:graphic>
          </wp:anchor>
        </w:drawing>
      </w:r>
      <w:r>
        <w:rPr/>
        <w:drawing>
          <wp:anchor distT="0" distB="0" distL="0" distR="0" allowOverlap="1" layoutInCell="1" locked="0" behindDoc="0" simplePos="0" relativeHeight="5">
            <wp:simplePos x="0" y="0"/>
            <wp:positionH relativeFrom="page">
              <wp:posOffset>6349038</wp:posOffset>
            </wp:positionH>
            <wp:positionV relativeFrom="paragraph">
              <wp:posOffset>562184</wp:posOffset>
            </wp:positionV>
            <wp:extent cx="59670" cy="91440"/>
            <wp:effectExtent l="0" t="0" r="0" b="0"/>
            <wp:wrapTopAndBottom/>
            <wp:docPr id="11" name="image4.png"/>
            <wp:cNvGraphicFramePr>
              <a:graphicFrameLocks noChangeAspect="1"/>
            </wp:cNvGraphicFramePr>
            <a:graphic>
              <a:graphicData uri="http://schemas.openxmlformats.org/drawingml/2006/picture">
                <pic:pic>
                  <pic:nvPicPr>
                    <pic:cNvPr id="12" name="image4.png"/>
                    <pic:cNvPicPr/>
                  </pic:nvPicPr>
                  <pic:blipFill>
                    <a:blip r:embed="rId12" cstate="print"/>
                    <a:stretch>
                      <a:fillRect/>
                    </a:stretch>
                  </pic:blipFill>
                  <pic:spPr>
                    <a:xfrm>
                      <a:off x="0" y="0"/>
                      <a:ext cx="59670" cy="91440"/>
                    </a:xfrm>
                    <a:prstGeom prst="rect">
                      <a:avLst/>
                    </a:prstGeom>
                  </pic:spPr>
                </pic:pic>
              </a:graphicData>
            </a:graphic>
          </wp:anchor>
        </w:drawing>
      </w:r>
      <w:r>
        <w:rPr/>
        <w:drawing>
          <wp:anchor distT="0" distB="0" distL="0" distR="0" allowOverlap="1" layoutInCell="1" locked="0" behindDoc="0" simplePos="0" relativeHeight="6">
            <wp:simplePos x="0" y="0"/>
            <wp:positionH relativeFrom="page">
              <wp:posOffset>1365503</wp:posOffset>
            </wp:positionH>
            <wp:positionV relativeFrom="paragraph">
              <wp:posOffset>780080</wp:posOffset>
            </wp:positionV>
            <wp:extent cx="4874546" cy="121348"/>
            <wp:effectExtent l="0" t="0" r="0" b="0"/>
            <wp:wrapTopAndBottom/>
            <wp:docPr id="13" name="image6.png"/>
            <wp:cNvGraphicFramePr>
              <a:graphicFrameLocks noChangeAspect="1"/>
            </wp:cNvGraphicFramePr>
            <a:graphic>
              <a:graphicData uri="http://schemas.openxmlformats.org/drawingml/2006/picture">
                <pic:pic>
                  <pic:nvPicPr>
                    <pic:cNvPr id="14" name="image6.png"/>
                    <pic:cNvPicPr/>
                  </pic:nvPicPr>
                  <pic:blipFill>
                    <a:blip r:embed="rId14" cstate="print"/>
                    <a:stretch>
                      <a:fillRect/>
                    </a:stretch>
                  </pic:blipFill>
                  <pic:spPr>
                    <a:xfrm>
                      <a:off x="0" y="0"/>
                      <a:ext cx="4874546" cy="121348"/>
                    </a:xfrm>
                    <a:prstGeom prst="rect">
                      <a:avLst/>
                    </a:prstGeom>
                  </pic:spPr>
                </pic:pic>
              </a:graphicData>
            </a:graphic>
          </wp:anchor>
        </w:drawing>
      </w:r>
      <w:r>
        <w:rPr/>
        <w:drawing>
          <wp:anchor distT="0" distB="0" distL="0" distR="0" allowOverlap="1" layoutInCell="1" locked="0" behindDoc="0" simplePos="0" relativeHeight="7">
            <wp:simplePos x="0" y="0"/>
            <wp:positionH relativeFrom="page">
              <wp:posOffset>6283478</wp:posOffset>
            </wp:positionH>
            <wp:positionV relativeFrom="paragraph">
              <wp:posOffset>784688</wp:posOffset>
            </wp:positionV>
            <wp:extent cx="127737" cy="91440"/>
            <wp:effectExtent l="0" t="0" r="0" b="0"/>
            <wp:wrapTopAndBottom/>
            <wp:docPr id="15" name="image7.png"/>
            <wp:cNvGraphicFramePr>
              <a:graphicFrameLocks noChangeAspect="1"/>
            </wp:cNvGraphicFramePr>
            <a:graphic>
              <a:graphicData uri="http://schemas.openxmlformats.org/drawingml/2006/picture">
                <pic:pic>
                  <pic:nvPicPr>
                    <pic:cNvPr id="16" name="image7.png"/>
                    <pic:cNvPicPr/>
                  </pic:nvPicPr>
                  <pic:blipFill>
                    <a:blip r:embed="rId15" cstate="print"/>
                    <a:stretch>
                      <a:fillRect/>
                    </a:stretch>
                  </pic:blipFill>
                  <pic:spPr>
                    <a:xfrm>
                      <a:off x="0" y="0"/>
                      <a:ext cx="127737" cy="91440"/>
                    </a:xfrm>
                    <a:prstGeom prst="rect">
                      <a:avLst/>
                    </a:prstGeom>
                  </pic:spPr>
                </pic:pic>
              </a:graphicData>
            </a:graphic>
          </wp:anchor>
        </w:drawing>
      </w:r>
      <w:r>
        <w:rPr/>
        <w:drawing>
          <wp:anchor distT="0" distB="0" distL="0" distR="0" allowOverlap="1" layoutInCell="1" locked="0" behindDoc="0" simplePos="0" relativeHeight="8">
            <wp:simplePos x="0" y="0"/>
            <wp:positionH relativeFrom="page">
              <wp:posOffset>1365503</wp:posOffset>
            </wp:positionH>
            <wp:positionV relativeFrom="paragraph">
              <wp:posOffset>994964</wp:posOffset>
            </wp:positionV>
            <wp:extent cx="4819536" cy="126015"/>
            <wp:effectExtent l="0" t="0" r="0" b="0"/>
            <wp:wrapTopAndBottom/>
            <wp:docPr id="17" name="image8.png"/>
            <wp:cNvGraphicFramePr>
              <a:graphicFrameLocks noChangeAspect="1"/>
            </wp:cNvGraphicFramePr>
            <a:graphic>
              <a:graphicData uri="http://schemas.openxmlformats.org/drawingml/2006/picture">
                <pic:pic>
                  <pic:nvPicPr>
                    <pic:cNvPr id="18" name="image8.png"/>
                    <pic:cNvPicPr/>
                  </pic:nvPicPr>
                  <pic:blipFill>
                    <a:blip r:embed="rId16" cstate="print"/>
                    <a:stretch>
                      <a:fillRect/>
                    </a:stretch>
                  </pic:blipFill>
                  <pic:spPr>
                    <a:xfrm>
                      <a:off x="0" y="0"/>
                      <a:ext cx="4819536" cy="126015"/>
                    </a:xfrm>
                    <a:prstGeom prst="rect">
                      <a:avLst/>
                    </a:prstGeom>
                  </pic:spPr>
                </pic:pic>
              </a:graphicData>
            </a:graphic>
          </wp:anchor>
        </w:drawing>
      </w:r>
      <w:r>
        <w:rPr/>
        <w:drawing>
          <wp:anchor distT="0" distB="0" distL="0" distR="0" allowOverlap="1" layoutInCell="1" locked="0" behindDoc="0" simplePos="0" relativeHeight="9">
            <wp:simplePos x="0" y="0"/>
            <wp:positionH relativeFrom="page">
              <wp:posOffset>6283478</wp:posOffset>
            </wp:positionH>
            <wp:positionV relativeFrom="paragraph">
              <wp:posOffset>1005668</wp:posOffset>
            </wp:positionV>
            <wp:extent cx="127737" cy="91440"/>
            <wp:effectExtent l="0" t="0" r="0" b="0"/>
            <wp:wrapTopAndBottom/>
            <wp:docPr id="19" name="image9.png"/>
            <wp:cNvGraphicFramePr>
              <a:graphicFrameLocks noChangeAspect="1"/>
            </wp:cNvGraphicFramePr>
            <a:graphic>
              <a:graphicData uri="http://schemas.openxmlformats.org/drawingml/2006/picture">
                <pic:pic>
                  <pic:nvPicPr>
                    <pic:cNvPr id="20" name="image9.png"/>
                    <pic:cNvPicPr/>
                  </pic:nvPicPr>
                  <pic:blipFill>
                    <a:blip r:embed="rId17" cstate="print"/>
                    <a:stretch>
                      <a:fillRect/>
                    </a:stretch>
                  </pic:blipFill>
                  <pic:spPr>
                    <a:xfrm>
                      <a:off x="0" y="0"/>
                      <a:ext cx="127737" cy="91440"/>
                    </a:xfrm>
                    <a:prstGeom prst="rect">
                      <a:avLst/>
                    </a:prstGeom>
                  </pic:spPr>
                </pic:pic>
              </a:graphicData>
            </a:graphic>
          </wp:anchor>
        </w:drawing>
      </w:r>
      <w:r>
        <w:rPr/>
        <w:drawing>
          <wp:anchor distT="0" distB="0" distL="0" distR="0" allowOverlap="1" layoutInCell="1" locked="0" behindDoc="0" simplePos="0" relativeHeight="10">
            <wp:simplePos x="0" y="0"/>
            <wp:positionH relativeFrom="page">
              <wp:posOffset>1653539</wp:posOffset>
            </wp:positionH>
            <wp:positionV relativeFrom="paragraph">
              <wp:posOffset>1217468</wp:posOffset>
            </wp:positionV>
            <wp:extent cx="4534303" cy="126015"/>
            <wp:effectExtent l="0" t="0" r="0" b="0"/>
            <wp:wrapTopAndBottom/>
            <wp:docPr id="21" name="image10.png"/>
            <wp:cNvGraphicFramePr>
              <a:graphicFrameLocks noChangeAspect="1"/>
            </wp:cNvGraphicFramePr>
            <a:graphic>
              <a:graphicData uri="http://schemas.openxmlformats.org/drawingml/2006/picture">
                <pic:pic>
                  <pic:nvPicPr>
                    <pic:cNvPr id="22" name="image10.png"/>
                    <pic:cNvPicPr/>
                  </pic:nvPicPr>
                  <pic:blipFill>
                    <a:blip r:embed="rId18" cstate="print"/>
                    <a:stretch>
                      <a:fillRect/>
                    </a:stretch>
                  </pic:blipFill>
                  <pic:spPr>
                    <a:xfrm>
                      <a:off x="0" y="0"/>
                      <a:ext cx="4534303" cy="126015"/>
                    </a:xfrm>
                    <a:prstGeom prst="rect">
                      <a:avLst/>
                    </a:prstGeom>
                  </pic:spPr>
                </pic:pic>
              </a:graphicData>
            </a:graphic>
          </wp:anchor>
        </w:drawing>
      </w:r>
      <w:r>
        <w:rPr/>
        <w:drawing>
          <wp:anchor distT="0" distB="0" distL="0" distR="0" allowOverlap="1" layoutInCell="1" locked="0" behindDoc="0" simplePos="0" relativeHeight="11">
            <wp:simplePos x="0" y="0"/>
            <wp:positionH relativeFrom="page">
              <wp:posOffset>6283478</wp:posOffset>
            </wp:positionH>
            <wp:positionV relativeFrom="paragraph">
              <wp:posOffset>1228172</wp:posOffset>
            </wp:positionV>
            <wp:extent cx="127737" cy="91440"/>
            <wp:effectExtent l="0" t="0" r="0" b="0"/>
            <wp:wrapTopAndBottom/>
            <wp:docPr id="23" name="image11.png"/>
            <wp:cNvGraphicFramePr>
              <a:graphicFrameLocks noChangeAspect="1"/>
            </wp:cNvGraphicFramePr>
            <a:graphic>
              <a:graphicData uri="http://schemas.openxmlformats.org/drawingml/2006/picture">
                <pic:pic>
                  <pic:nvPicPr>
                    <pic:cNvPr id="24" name="image11.png"/>
                    <pic:cNvPicPr/>
                  </pic:nvPicPr>
                  <pic:blipFill>
                    <a:blip r:embed="rId19" cstate="print"/>
                    <a:stretch>
                      <a:fillRect/>
                    </a:stretch>
                  </pic:blipFill>
                  <pic:spPr>
                    <a:xfrm>
                      <a:off x="0" y="0"/>
                      <a:ext cx="127737" cy="91440"/>
                    </a:xfrm>
                    <a:prstGeom prst="rect">
                      <a:avLst/>
                    </a:prstGeom>
                  </pic:spPr>
                </pic:pic>
              </a:graphicData>
            </a:graphic>
          </wp:anchor>
        </w:drawing>
      </w:r>
      <w:r>
        <w:rPr/>
        <w:drawing>
          <wp:anchor distT="0" distB="0" distL="0" distR="0" allowOverlap="1" layoutInCell="1" locked="0" behindDoc="0" simplePos="0" relativeHeight="12">
            <wp:simplePos x="0" y="0"/>
            <wp:positionH relativeFrom="page">
              <wp:posOffset>1653539</wp:posOffset>
            </wp:positionH>
            <wp:positionV relativeFrom="paragraph">
              <wp:posOffset>1438448</wp:posOffset>
            </wp:positionV>
            <wp:extent cx="4570378" cy="102679"/>
            <wp:effectExtent l="0" t="0" r="0" b="0"/>
            <wp:wrapTopAndBottom/>
            <wp:docPr id="25" name="image12.png"/>
            <wp:cNvGraphicFramePr>
              <a:graphicFrameLocks noChangeAspect="1"/>
            </wp:cNvGraphicFramePr>
            <a:graphic>
              <a:graphicData uri="http://schemas.openxmlformats.org/drawingml/2006/picture">
                <pic:pic>
                  <pic:nvPicPr>
                    <pic:cNvPr id="26" name="image12.png"/>
                    <pic:cNvPicPr/>
                  </pic:nvPicPr>
                  <pic:blipFill>
                    <a:blip r:embed="rId20" cstate="print"/>
                    <a:stretch>
                      <a:fillRect/>
                    </a:stretch>
                  </pic:blipFill>
                  <pic:spPr>
                    <a:xfrm>
                      <a:off x="0" y="0"/>
                      <a:ext cx="4570378" cy="102679"/>
                    </a:xfrm>
                    <a:prstGeom prst="rect">
                      <a:avLst/>
                    </a:prstGeom>
                  </pic:spPr>
                </pic:pic>
              </a:graphicData>
            </a:graphic>
          </wp:anchor>
        </w:drawing>
      </w:r>
      <w:r>
        <w:rPr/>
        <w:drawing>
          <wp:anchor distT="0" distB="0" distL="0" distR="0" allowOverlap="1" layoutInCell="1" locked="0" behindDoc="0" simplePos="0" relativeHeight="13">
            <wp:simplePos x="0" y="0"/>
            <wp:positionH relativeFrom="page">
              <wp:posOffset>6283533</wp:posOffset>
            </wp:positionH>
            <wp:positionV relativeFrom="paragraph">
              <wp:posOffset>1449306</wp:posOffset>
            </wp:positionV>
            <wp:extent cx="125648" cy="90487"/>
            <wp:effectExtent l="0" t="0" r="0" b="0"/>
            <wp:wrapTopAndBottom/>
            <wp:docPr id="27" name="image13.png"/>
            <wp:cNvGraphicFramePr>
              <a:graphicFrameLocks noChangeAspect="1"/>
            </wp:cNvGraphicFramePr>
            <a:graphic>
              <a:graphicData uri="http://schemas.openxmlformats.org/drawingml/2006/picture">
                <pic:pic>
                  <pic:nvPicPr>
                    <pic:cNvPr id="28" name="image13.png"/>
                    <pic:cNvPicPr/>
                  </pic:nvPicPr>
                  <pic:blipFill>
                    <a:blip r:embed="rId21" cstate="print"/>
                    <a:stretch>
                      <a:fillRect/>
                    </a:stretch>
                  </pic:blipFill>
                  <pic:spPr>
                    <a:xfrm>
                      <a:off x="0" y="0"/>
                      <a:ext cx="125648" cy="90487"/>
                    </a:xfrm>
                    <a:prstGeom prst="rect">
                      <a:avLst/>
                    </a:prstGeom>
                  </pic:spPr>
                </pic:pic>
              </a:graphicData>
            </a:graphic>
          </wp:anchor>
        </w:drawing>
      </w:r>
      <w:r>
        <w:rPr/>
        <w:drawing>
          <wp:anchor distT="0" distB="0" distL="0" distR="0" allowOverlap="1" layoutInCell="1" locked="0" behindDoc="0" simplePos="0" relativeHeight="14">
            <wp:simplePos x="0" y="0"/>
            <wp:positionH relativeFrom="page">
              <wp:posOffset>1653539</wp:posOffset>
            </wp:positionH>
            <wp:positionV relativeFrom="paragraph">
              <wp:posOffset>1659428</wp:posOffset>
            </wp:positionV>
            <wp:extent cx="4570378" cy="102679"/>
            <wp:effectExtent l="0" t="0" r="0" b="0"/>
            <wp:wrapTopAndBottom/>
            <wp:docPr id="29" name="image14.png"/>
            <wp:cNvGraphicFramePr>
              <a:graphicFrameLocks noChangeAspect="1"/>
            </wp:cNvGraphicFramePr>
            <a:graphic>
              <a:graphicData uri="http://schemas.openxmlformats.org/drawingml/2006/picture">
                <pic:pic>
                  <pic:nvPicPr>
                    <pic:cNvPr id="30" name="image14.png"/>
                    <pic:cNvPicPr/>
                  </pic:nvPicPr>
                  <pic:blipFill>
                    <a:blip r:embed="rId22" cstate="print"/>
                    <a:stretch>
                      <a:fillRect/>
                    </a:stretch>
                  </pic:blipFill>
                  <pic:spPr>
                    <a:xfrm>
                      <a:off x="0" y="0"/>
                      <a:ext cx="4570378" cy="102679"/>
                    </a:xfrm>
                    <a:prstGeom prst="rect">
                      <a:avLst/>
                    </a:prstGeom>
                  </pic:spPr>
                </pic:pic>
              </a:graphicData>
            </a:graphic>
          </wp:anchor>
        </w:drawing>
      </w:r>
      <w:r>
        <w:rPr/>
        <w:drawing>
          <wp:anchor distT="0" distB="0" distL="0" distR="0" allowOverlap="1" layoutInCell="1" locked="0" behindDoc="0" simplePos="0" relativeHeight="15">
            <wp:simplePos x="0" y="0"/>
            <wp:positionH relativeFrom="page">
              <wp:posOffset>6283533</wp:posOffset>
            </wp:positionH>
            <wp:positionV relativeFrom="paragraph">
              <wp:posOffset>1670286</wp:posOffset>
            </wp:positionV>
            <wp:extent cx="125648" cy="90487"/>
            <wp:effectExtent l="0" t="0" r="0" b="0"/>
            <wp:wrapTopAndBottom/>
            <wp:docPr id="31" name="image13.png"/>
            <wp:cNvGraphicFramePr>
              <a:graphicFrameLocks noChangeAspect="1"/>
            </wp:cNvGraphicFramePr>
            <a:graphic>
              <a:graphicData uri="http://schemas.openxmlformats.org/drawingml/2006/picture">
                <pic:pic>
                  <pic:nvPicPr>
                    <pic:cNvPr id="32" name="image13.png"/>
                    <pic:cNvPicPr/>
                  </pic:nvPicPr>
                  <pic:blipFill>
                    <a:blip r:embed="rId21" cstate="print"/>
                    <a:stretch>
                      <a:fillRect/>
                    </a:stretch>
                  </pic:blipFill>
                  <pic:spPr>
                    <a:xfrm>
                      <a:off x="0" y="0"/>
                      <a:ext cx="125648" cy="90487"/>
                    </a:xfrm>
                    <a:prstGeom prst="rect">
                      <a:avLst/>
                    </a:prstGeom>
                  </pic:spPr>
                </pic:pic>
              </a:graphicData>
            </a:graphic>
          </wp:anchor>
        </w:drawing>
      </w:r>
      <w:r>
        <w:rPr/>
        <w:drawing>
          <wp:anchor distT="0" distB="0" distL="0" distR="0" allowOverlap="1" layoutInCell="1" locked="0" behindDoc="0" simplePos="0" relativeHeight="16">
            <wp:simplePos x="0" y="0"/>
            <wp:positionH relativeFrom="page">
              <wp:posOffset>1653539</wp:posOffset>
            </wp:positionH>
            <wp:positionV relativeFrom="paragraph">
              <wp:posOffset>1881932</wp:posOffset>
            </wp:positionV>
            <wp:extent cx="4570378" cy="102679"/>
            <wp:effectExtent l="0" t="0" r="0" b="0"/>
            <wp:wrapTopAndBottom/>
            <wp:docPr id="33" name="image15.png"/>
            <wp:cNvGraphicFramePr>
              <a:graphicFrameLocks noChangeAspect="1"/>
            </wp:cNvGraphicFramePr>
            <a:graphic>
              <a:graphicData uri="http://schemas.openxmlformats.org/drawingml/2006/picture">
                <pic:pic>
                  <pic:nvPicPr>
                    <pic:cNvPr id="34" name="image15.png"/>
                    <pic:cNvPicPr/>
                  </pic:nvPicPr>
                  <pic:blipFill>
                    <a:blip r:embed="rId23" cstate="print"/>
                    <a:stretch>
                      <a:fillRect/>
                    </a:stretch>
                  </pic:blipFill>
                  <pic:spPr>
                    <a:xfrm>
                      <a:off x="0" y="0"/>
                      <a:ext cx="4570378" cy="102679"/>
                    </a:xfrm>
                    <a:prstGeom prst="rect">
                      <a:avLst/>
                    </a:prstGeom>
                  </pic:spPr>
                </pic:pic>
              </a:graphicData>
            </a:graphic>
          </wp:anchor>
        </w:drawing>
      </w:r>
      <w:r>
        <w:rPr/>
        <w:drawing>
          <wp:anchor distT="0" distB="0" distL="0" distR="0" allowOverlap="1" layoutInCell="1" locked="0" behindDoc="0" simplePos="0" relativeHeight="17">
            <wp:simplePos x="0" y="0"/>
            <wp:positionH relativeFrom="page">
              <wp:posOffset>6283533</wp:posOffset>
            </wp:positionH>
            <wp:positionV relativeFrom="paragraph">
              <wp:posOffset>1892790</wp:posOffset>
            </wp:positionV>
            <wp:extent cx="125648" cy="90487"/>
            <wp:effectExtent l="0" t="0" r="0" b="0"/>
            <wp:wrapTopAndBottom/>
            <wp:docPr id="35" name="image13.png"/>
            <wp:cNvGraphicFramePr>
              <a:graphicFrameLocks noChangeAspect="1"/>
            </wp:cNvGraphicFramePr>
            <a:graphic>
              <a:graphicData uri="http://schemas.openxmlformats.org/drawingml/2006/picture">
                <pic:pic>
                  <pic:nvPicPr>
                    <pic:cNvPr id="36" name="image13.png"/>
                    <pic:cNvPicPr/>
                  </pic:nvPicPr>
                  <pic:blipFill>
                    <a:blip r:embed="rId21" cstate="print"/>
                    <a:stretch>
                      <a:fillRect/>
                    </a:stretch>
                  </pic:blipFill>
                  <pic:spPr>
                    <a:xfrm>
                      <a:off x="0" y="0"/>
                      <a:ext cx="125648" cy="90487"/>
                    </a:xfrm>
                    <a:prstGeom prst="rect">
                      <a:avLst/>
                    </a:prstGeom>
                  </pic:spPr>
                </pic:pic>
              </a:graphicData>
            </a:graphic>
          </wp:anchor>
        </w:drawing>
      </w:r>
      <w:r>
        <w:rPr/>
        <w:drawing>
          <wp:anchor distT="0" distB="0" distL="0" distR="0" allowOverlap="1" layoutInCell="1" locked="0" behindDoc="0" simplePos="0" relativeHeight="18">
            <wp:simplePos x="0" y="0"/>
            <wp:positionH relativeFrom="page">
              <wp:posOffset>1365503</wp:posOffset>
            </wp:positionH>
            <wp:positionV relativeFrom="paragraph">
              <wp:posOffset>2107485</wp:posOffset>
            </wp:positionV>
            <wp:extent cx="4912288" cy="123825"/>
            <wp:effectExtent l="0" t="0" r="0" b="0"/>
            <wp:wrapTopAndBottom/>
            <wp:docPr id="37" name="image16.png"/>
            <wp:cNvGraphicFramePr>
              <a:graphicFrameLocks noChangeAspect="1"/>
            </wp:cNvGraphicFramePr>
            <a:graphic>
              <a:graphicData uri="http://schemas.openxmlformats.org/drawingml/2006/picture">
                <pic:pic>
                  <pic:nvPicPr>
                    <pic:cNvPr id="38" name="image16.png"/>
                    <pic:cNvPicPr/>
                  </pic:nvPicPr>
                  <pic:blipFill>
                    <a:blip r:embed="rId24" cstate="print"/>
                    <a:stretch>
                      <a:fillRect/>
                    </a:stretch>
                  </pic:blipFill>
                  <pic:spPr>
                    <a:xfrm>
                      <a:off x="0" y="0"/>
                      <a:ext cx="4912288" cy="123825"/>
                    </a:xfrm>
                    <a:prstGeom prst="rect">
                      <a:avLst/>
                    </a:prstGeom>
                  </pic:spPr>
                </pic:pic>
              </a:graphicData>
            </a:graphic>
          </wp:anchor>
        </w:drawing>
      </w:r>
      <w:r>
        <w:rPr/>
        <w:drawing>
          <wp:anchor distT="0" distB="0" distL="0" distR="0" allowOverlap="1" layoutInCell="1" locked="0" behindDoc="0" simplePos="0" relativeHeight="19">
            <wp:simplePos x="0" y="0"/>
            <wp:positionH relativeFrom="page">
              <wp:posOffset>6283533</wp:posOffset>
            </wp:positionH>
            <wp:positionV relativeFrom="paragraph">
              <wp:posOffset>2113770</wp:posOffset>
            </wp:positionV>
            <wp:extent cx="125648" cy="90487"/>
            <wp:effectExtent l="0" t="0" r="0" b="0"/>
            <wp:wrapTopAndBottom/>
            <wp:docPr id="39" name="image17.png"/>
            <wp:cNvGraphicFramePr>
              <a:graphicFrameLocks noChangeAspect="1"/>
            </wp:cNvGraphicFramePr>
            <a:graphic>
              <a:graphicData uri="http://schemas.openxmlformats.org/drawingml/2006/picture">
                <pic:pic>
                  <pic:nvPicPr>
                    <pic:cNvPr id="40" name="image17.png"/>
                    <pic:cNvPicPr/>
                  </pic:nvPicPr>
                  <pic:blipFill>
                    <a:blip r:embed="rId25" cstate="print"/>
                    <a:stretch>
                      <a:fillRect/>
                    </a:stretch>
                  </pic:blipFill>
                  <pic:spPr>
                    <a:xfrm>
                      <a:off x="0" y="0"/>
                      <a:ext cx="125648" cy="90487"/>
                    </a:xfrm>
                    <a:prstGeom prst="rect">
                      <a:avLst/>
                    </a:prstGeom>
                  </pic:spPr>
                </pic:pic>
              </a:graphicData>
            </a:graphic>
          </wp:anchor>
        </w:drawing>
      </w:r>
      <w:r>
        <w:rPr/>
        <w:drawing>
          <wp:anchor distT="0" distB="0" distL="0" distR="0" allowOverlap="1" layoutInCell="1" locked="0" behindDoc="0" simplePos="0" relativeHeight="20">
            <wp:simplePos x="0" y="0"/>
            <wp:positionH relativeFrom="page">
              <wp:posOffset>1365503</wp:posOffset>
            </wp:positionH>
            <wp:positionV relativeFrom="paragraph">
              <wp:posOffset>2331512</wp:posOffset>
            </wp:positionV>
            <wp:extent cx="4874546" cy="121348"/>
            <wp:effectExtent l="0" t="0" r="0" b="0"/>
            <wp:wrapTopAndBottom/>
            <wp:docPr id="41" name="image18.png"/>
            <wp:cNvGraphicFramePr>
              <a:graphicFrameLocks noChangeAspect="1"/>
            </wp:cNvGraphicFramePr>
            <a:graphic>
              <a:graphicData uri="http://schemas.openxmlformats.org/drawingml/2006/picture">
                <pic:pic>
                  <pic:nvPicPr>
                    <pic:cNvPr id="42" name="image18.png"/>
                    <pic:cNvPicPr/>
                  </pic:nvPicPr>
                  <pic:blipFill>
                    <a:blip r:embed="rId26" cstate="print"/>
                    <a:stretch>
                      <a:fillRect/>
                    </a:stretch>
                  </pic:blipFill>
                  <pic:spPr>
                    <a:xfrm>
                      <a:off x="0" y="0"/>
                      <a:ext cx="4874546" cy="121348"/>
                    </a:xfrm>
                    <a:prstGeom prst="rect">
                      <a:avLst/>
                    </a:prstGeom>
                  </pic:spPr>
                </pic:pic>
              </a:graphicData>
            </a:graphic>
          </wp:anchor>
        </w:drawing>
      </w:r>
      <w:r>
        <w:rPr/>
        <w:drawing>
          <wp:anchor distT="0" distB="0" distL="0" distR="0" allowOverlap="1" layoutInCell="1" locked="0" behindDoc="0" simplePos="0" relativeHeight="21">
            <wp:simplePos x="0" y="0"/>
            <wp:positionH relativeFrom="page">
              <wp:posOffset>6283533</wp:posOffset>
            </wp:positionH>
            <wp:positionV relativeFrom="paragraph">
              <wp:posOffset>2336274</wp:posOffset>
            </wp:positionV>
            <wp:extent cx="125648" cy="90487"/>
            <wp:effectExtent l="0" t="0" r="0" b="0"/>
            <wp:wrapTopAndBottom/>
            <wp:docPr id="43" name="image17.png"/>
            <wp:cNvGraphicFramePr>
              <a:graphicFrameLocks noChangeAspect="1"/>
            </wp:cNvGraphicFramePr>
            <a:graphic>
              <a:graphicData uri="http://schemas.openxmlformats.org/drawingml/2006/picture">
                <pic:pic>
                  <pic:nvPicPr>
                    <pic:cNvPr id="44" name="image17.png"/>
                    <pic:cNvPicPr/>
                  </pic:nvPicPr>
                  <pic:blipFill>
                    <a:blip r:embed="rId25" cstate="print"/>
                    <a:stretch>
                      <a:fillRect/>
                    </a:stretch>
                  </pic:blipFill>
                  <pic:spPr>
                    <a:xfrm>
                      <a:off x="0" y="0"/>
                      <a:ext cx="125648" cy="90487"/>
                    </a:xfrm>
                    <a:prstGeom prst="rect">
                      <a:avLst/>
                    </a:prstGeom>
                  </pic:spPr>
                </pic:pic>
              </a:graphicData>
            </a:graphic>
          </wp:anchor>
        </w:drawing>
      </w:r>
      <w:r>
        <w:rPr/>
        <w:t>Executive</w:t>
      </w:r>
      <w:r>
        <w:rPr>
          <w:spacing w:val="-2"/>
        </w:rPr>
        <w:t> </w:t>
      </w:r>
      <w:r>
        <w:rPr/>
        <w:t>summary</w:t>
        <w:tab/>
        <w:t>9</w:t>
      </w:r>
    </w:p>
    <w:p>
      <w:pPr>
        <w:pStyle w:val="BodyText"/>
        <w:spacing w:before="8"/>
        <w:rPr>
          <w:b/>
          <w:sz w:val="9"/>
        </w:rPr>
      </w:pPr>
    </w:p>
    <w:p>
      <w:pPr>
        <w:pStyle w:val="BodyText"/>
        <w:spacing w:before="8"/>
        <w:rPr>
          <w:b/>
          <w:sz w:val="7"/>
        </w:rPr>
      </w:pPr>
    </w:p>
    <w:p>
      <w:pPr>
        <w:pStyle w:val="BodyText"/>
        <w:spacing w:before="6"/>
        <w:rPr>
          <w:b/>
          <w:sz w:val="6"/>
        </w:rPr>
      </w:pPr>
    </w:p>
    <w:p>
      <w:pPr>
        <w:pStyle w:val="BodyText"/>
        <w:spacing w:before="10"/>
        <w:rPr>
          <w:b/>
          <w:sz w:val="6"/>
        </w:rPr>
      </w:pPr>
    </w:p>
    <w:p>
      <w:pPr>
        <w:pStyle w:val="BodyText"/>
        <w:spacing w:before="8"/>
        <w:rPr>
          <w:b/>
          <w:sz w:val="6"/>
        </w:rPr>
      </w:pPr>
    </w:p>
    <w:p>
      <w:pPr>
        <w:pStyle w:val="BodyText"/>
        <w:spacing w:before="8"/>
        <w:rPr>
          <w:b/>
          <w:sz w:val="9"/>
        </w:rPr>
      </w:pPr>
    </w:p>
    <w:p>
      <w:pPr>
        <w:pStyle w:val="BodyText"/>
        <w:spacing w:before="10"/>
        <w:rPr>
          <w:b/>
          <w:sz w:val="9"/>
        </w:rPr>
      </w:pPr>
    </w:p>
    <w:p>
      <w:pPr>
        <w:pStyle w:val="BodyText"/>
        <w:spacing w:before="3"/>
        <w:rPr>
          <w:b/>
          <w:sz w:val="10"/>
        </w:rPr>
      </w:pPr>
    </w:p>
    <w:p>
      <w:pPr>
        <w:pStyle w:val="BodyText"/>
        <w:spacing w:before="4"/>
        <w:rPr>
          <w:b/>
          <w:sz w:val="7"/>
        </w:rPr>
      </w:pPr>
    </w:p>
    <w:p>
      <w:pPr>
        <w:pStyle w:val="Heading7"/>
        <w:numPr>
          <w:ilvl w:val="0"/>
          <w:numId w:val="4"/>
        </w:numPr>
        <w:tabs>
          <w:tab w:pos="1699" w:val="left" w:leader="none"/>
          <w:tab w:pos="9437" w:val="left" w:leader="dot"/>
        </w:tabs>
        <w:spacing w:line="240" w:lineRule="auto" w:before="186" w:after="134"/>
        <w:ind w:left="1698" w:right="0" w:hanging="341"/>
        <w:jc w:val="left"/>
      </w:pPr>
      <w:r>
        <w:rPr/>
        <w:t>About the Medicare Benefits Schedule</w:t>
      </w:r>
      <w:r>
        <w:rPr>
          <w:spacing w:val="-15"/>
        </w:rPr>
        <w:t> </w:t>
      </w:r>
      <w:r>
        <w:rPr/>
        <w:t>(MBS)</w:t>
      </w:r>
      <w:r>
        <w:rPr>
          <w:spacing w:val="-2"/>
        </w:rPr>
        <w:t> </w:t>
      </w:r>
      <w:r>
        <w:rPr/>
        <w:t>Review</w:t>
        <w:tab/>
        <w:t>13</w:t>
      </w:r>
    </w:p>
    <w:p>
      <w:pPr>
        <w:spacing w:line="161" w:lineRule="exact"/>
        <w:ind w:left="1705" w:right="0" w:firstLine="0"/>
        <w:rPr>
          <w:sz w:val="14"/>
        </w:rPr>
      </w:pPr>
      <w:r>
        <w:rPr>
          <w:position w:val="-2"/>
          <w:sz w:val="16"/>
        </w:rPr>
        <w:drawing>
          <wp:inline distT="0" distB="0" distL="0" distR="0">
            <wp:extent cx="4860923" cy="102679"/>
            <wp:effectExtent l="0" t="0" r="0" b="0"/>
            <wp:docPr id="45" name="image19.png"/>
            <wp:cNvGraphicFramePr>
              <a:graphicFrameLocks noChangeAspect="1"/>
            </wp:cNvGraphicFramePr>
            <a:graphic>
              <a:graphicData uri="http://schemas.openxmlformats.org/drawingml/2006/picture">
                <pic:pic>
                  <pic:nvPicPr>
                    <pic:cNvPr id="46" name="image19.png"/>
                    <pic:cNvPicPr/>
                  </pic:nvPicPr>
                  <pic:blipFill>
                    <a:blip r:embed="rId27" cstate="print"/>
                    <a:stretch>
                      <a:fillRect/>
                    </a:stretch>
                  </pic:blipFill>
                  <pic:spPr>
                    <a:xfrm>
                      <a:off x="0" y="0"/>
                      <a:ext cx="4860923" cy="102679"/>
                    </a:xfrm>
                    <a:prstGeom prst="rect">
                      <a:avLst/>
                    </a:prstGeom>
                  </pic:spPr>
                </pic:pic>
              </a:graphicData>
            </a:graphic>
          </wp:inline>
        </w:drawing>
      </w:r>
      <w:r>
        <w:rPr>
          <w:position w:val="-2"/>
          <w:sz w:val="16"/>
        </w:rPr>
      </w:r>
      <w:r>
        <w:rPr>
          <w:rFonts w:ascii="Times New Roman"/>
          <w:spacing w:val="59"/>
          <w:position w:val="-2"/>
          <w:sz w:val="14"/>
        </w:rPr>
        <w:t> </w:t>
      </w:r>
      <w:r>
        <w:rPr>
          <w:spacing w:val="59"/>
          <w:position w:val="-2"/>
          <w:sz w:val="14"/>
        </w:rPr>
        <w:drawing>
          <wp:inline distT="0" distB="0" distL="0" distR="0">
            <wp:extent cx="124658" cy="91439"/>
            <wp:effectExtent l="0" t="0" r="0" b="0"/>
            <wp:docPr id="47" name="image20.png"/>
            <wp:cNvGraphicFramePr>
              <a:graphicFrameLocks noChangeAspect="1"/>
            </wp:cNvGraphicFramePr>
            <a:graphic>
              <a:graphicData uri="http://schemas.openxmlformats.org/drawingml/2006/picture">
                <pic:pic>
                  <pic:nvPicPr>
                    <pic:cNvPr id="48" name="image20.png"/>
                    <pic:cNvPicPr/>
                  </pic:nvPicPr>
                  <pic:blipFill>
                    <a:blip r:embed="rId28" cstate="print"/>
                    <a:stretch>
                      <a:fillRect/>
                    </a:stretch>
                  </pic:blipFill>
                  <pic:spPr>
                    <a:xfrm>
                      <a:off x="0" y="0"/>
                      <a:ext cx="124658" cy="91439"/>
                    </a:xfrm>
                    <a:prstGeom prst="rect">
                      <a:avLst/>
                    </a:prstGeom>
                  </pic:spPr>
                </pic:pic>
              </a:graphicData>
            </a:graphic>
          </wp:inline>
        </w:drawing>
      </w:r>
      <w:r>
        <w:rPr>
          <w:spacing w:val="59"/>
          <w:position w:val="-2"/>
          <w:sz w:val="14"/>
        </w:rPr>
      </w:r>
    </w:p>
    <w:p>
      <w:pPr>
        <w:pStyle w:val="BodyText"/>
        <w:spacing w:before="1"/>
        <w:rPr>
          <w:b/>
          <w:sz w:val="12"/>
        </w:rPr>
      </w:pPr>
      <w:r>
        <w:rPr/>
        <w:drawing>
          <wp:anchor distT="0" distB="0" distL="0" distR="0" allowOverlap="1" layoutInCell="1" locked="0" behindDoc="0" simplePos="0" relativeHeight="22">
            <wp:simplePos x="0" y="0"/>
            <wp:positionH relativeFrom="page">
              <wp:posOffset>1650492</wp:posOffset>
            </wp:positionH>
            <wp:positionV relativeFrom="paragraph">
              <wp:posOffset>118745</wp:posOffset>
            </wp:positionV>
            <wp:extent cx="4573420" cy="102679"/>
            <wp:effectExtent l="0" t="0" r="0" b="0"/>
            <wp:wrapTopAndBottom/>
            <wp:docPr id="49" name="image21.png"/>
            <wp:cNvGraphicFramePr>
              <a:graphicFrameLocks noChangeAspect="1"/>
            </wp:cNvGraphicFramePr>
            <a:graphic>
              <a:graphicData uri="http://schemas.openxmlformats.org/drawingml/2006/picture">
                <pic:pic>
                  <pic:nvPicPr>
                    <pic:cNvPr id="50" name="image21.png"/>
                    <pic:cNvPicPr/>
                  </pic:nvPicPr>
                  <pic:blipFill>
                    <a:blip r:embed="rId29" cstate="print"/>
                    <a:stretch>
                      <a:fillRect/>
                    </a:stretch>
                  </pic:blipFill>
                  <pic:spPr>
                    <a:xfrm>
                      <a:off x="0" y="0"/>
                      <a:ext cx="4573420" cy="102679"/>
                    </a:xfrm>
                    <a:prstGeom prst="rect">
                      <a:avLst/>
                    </a:prstGeom>
                  </pic:spPr>
                </pic:pic>
              </a:graphicData>
            </a:graphic>
          </wp:anchor>
        </w:drawing>
      </w:r>
      <w:r>
        <w:rPr/>
        <w:drawing>
          <wp:anchor distT="0" distB="0" distL="0" distR="0" allowOverlap="1" layoutInCell="1" locked="0" behindDoc="0" simplePos="0" relativeHeight="23">
            <wp:simplePos x="0" y="0"/>
            <wp:positionH relativeFrom="page">
              <wp:posOffset>6283533</wp:posOffset>
            </wp:positionH>
            <wp:positionV relativeFrom="paragraph">
              <wp:posOffset>129449</wp:posOffset>
            </wp:positionV>
            <wp:extent cx="124658" cy="91439"/>
            <wp:effectExtent l="0" t="0" r="0" b="0"/>
            <wp:wrapTopAndBottom/>
            <wp:docPr id="51" name="image22.png"/>
            <wp:cNvGraphicFramePr>
              <a:graphicFrameLocks noChangeAspect="1"/>
            </wp:cNvGraphicFramePr>
            <a:graphic>
              <a:graphicData uri="http://schemas.openxmlformats.org/drawingml/2006/picture">
                <pic:pic>
                  <pic:nvPicPr>
                    <pic:cNvPr id="52" name="image22.png"/>
                    <pic:cNvPicPr/>
                  </pic:nvPicPr>
                  <pic:blipFill>
                    <a:blip r:embed="rId30" cstate="print"/>
                    <a:stretch>
                      <a:fillRect/>
                    </a:stretch>
                  </pic:blipFill>
                  <pic:spPr>
                    <a:xfrm>
                      <a:off x="0" y="0"/>
                      <a:ext cx="124658" cy="91439"/>
                    </a:xfrm>
                    <a:prstGeom prst="rect">
                      <a:avLst/>
                    </a:prstGeom>
                  </pic:spPr>
                </pic:pic>
              </a:graphicData>
            </a:graphic>
          </wp:anchor>
        </w:drawing>
      </w:r>
      <w:r>
        <w:rPr/>
        <w:drawing>
          <wp:anchor distT="0" distB="0" distL="0" distR="0" allowOverlap="1" layoutInCell="1" locked="0" behindDoc="0" simplePos="0" relativeHeight="24">
            <wp:simplePos x="0" y="0"/>
            <wp:positionH relativeFrom="page">
              <wp:posOffset>1362455</wp:posOffset>
            </wp:positionH>
            <wp:positionV relativeFrom="paragraph">
              <wp:posOffset>341249</wp:posOffset>
            </wp:positionV>
            <wp:extent cx="4860923" cy="102679"/>
            <wp:effectExtent l="0" t="0" r="0" b="0"/>
            <wp:wrapTopAndBottom/>
            <wp:docPr id="53" name="image23.png"/>
            <wp:cNvGraphicFramePr>
              <a:graphicFrameLocks noChangeAspect="1"/>
            </wp:cNvGraphicFramePr>
            <a:graphic>
              <a:graphicData uri="http://schemas.openxmlformats.org/drawingml/2006/picture">
                <pic:pic>
                  <pic:nvPicPr>
                    <pic:cNvPr id="54" name="image23.png"/>
                    <pic:cNvPicPr/>
                  </pic:nvPicPr>
                  <pic:blipFill>
                    <a:blip r:embed="rId31" cstate="print"/>
                    <a:stretch>
                      <a:fillRect/>
                    </a:stretch>
                  </pic:blipFill>
                  <pic:spPr>
                    <a:xfrm>
                      <a:off x="0" y="0"/>
                      <a:ext cx="4860923" cy="102679"/>
                    </a:xfrm>
                    <a:prstGeom prst="rect">
                      <a:avLst/>
                    </a:prstGeom>
                  </pic:spPr>
                </pic:pic>
              </a:graphicData>
            </a:graphic>
          </wp:anchor>
        </w:drawing>
      </w:r>
      <w:r>
        <w:rPr/>
        <w:drawing>
          <wp:anchor distT="0" distB="0" distL="0" distR="0" allowOverlap="1" layoutInCell="1" locked="0" behindDoc="0" simplePos="0" relativeHeight="25">
            <wp:simplePos x="0" y="0"/>
            <wp:positionH relativeFrom="page">
              <wp:posOffset>6283533</wp:posOffset>
            </wp:positionH>
            <wp:positionV relativeFrom="paragraph">
              <wp:posOffset>351953</wp:posOffset>
            </wp:positionV>
            <wp:extent cx="124658" cy="91439"/>
            <wp:effectExtent l="0" t="0" r="0" b="0"/>
            <wp:wrapTopAndBottom/>
            <wp:docPr id="55" name="image24.png"/>
            <wp:cNvGraphicFramePr>
              <a:graphicFrameLocks noChangeAspect="1"/>
            </wp:cNvGraphicFramePr>
            <a:graphic>
              <a:graphicData uri="http://schemas.openxmlformats.org/drawingml/2006/picture">
                <pic:pic>
                  <pic:nvPicPr>
                    <pic:cNvPr id="56" name="image24.png"/>
                    <pic:cNvPicPr/>
                  </pic:nvPicPr>
                  <pic:blipFill>
                    <a:blip r:embed="rId32" cstate="print"/>
                    <a:stretch>
                      <a:fillRect/>
                    </a:stretch>
                  </pic:blipFill>
                  <pic:spPr>
                    <a:xfrm>
                      <a:off x="0" y="0"/>
                      <a:ext cx="124658" cy="91439"/>
                    </a:xfrm>
                    <a:prstGeom prst="rect">
                      <a:avLst/>
                    </a:prstGeom>
                  </pic:spPr>
                </pic:pic>
              </a:graphicData>
            </a:graphic>
          </wp:anchor>
        </w:drawing>
      </w:r>
      <w:r>
        <w:rPr/>
        <w:drawing>
          <wp:anchor distT="0" distB="0" distL="0" distR="0" allowOverlap="1" layoutInCell="1" locked="0" behindDoc="0" simplePos="0" relativeHeight="26">
            <wp:simplePos x="0" y="0"/>
            <wp:positionH relativeFrom="page">
              <wp:posOffset>1362455</wp:posOffset>
            </wp:positionH>
            <wp:positionV relativeFrom="paragraph">
              <wp:posOffset>562229</wp:posOffset>
            </wp:positionV>
            <wp:extent cx="4860923" cy="102679"/>
            <wp:effectExtent l="0" t="0" r="0" b="0"/>
            <wp:wrapTopAndBottom/>
            <wp:docPr id="57" name="image25.png"/>
            <wp:cNvGraphicFramePr>
              <a:graphicFrameLocks noChangeAspect="1"/>
            </wp:cNvGraphicFramePr>
            <a:graphic>
              <a:graphicData uri="http://schemas.openxmlformats.org/drawingml/2006/picture">
                <pic:pic>
                  <pic:nvPicPr>
                    <pic:cNvPr id="58" name="image25.png"/>
                    <pic:cNvPicPr/>
                  </pic:nvPicPr>
                  <pic:blipFill>
                    <a:blip r:embed="rId33" cstate="print"/>
                    <a:stretch>
                      <a:fillRect/>
                    </a:stretch>
                  </pic:blipFill>
                  <pic:spPr>
                    <a:xfrm>
                      <a:off x="0" y="0"/>
                      <a:ext cx="4860923" cy="102679"/>
                    </a:xfrm>
                    <a:prstGeom prst="rect">
                      <a:avLst/>
                    </a:prstGeom>
                  </pic:spPr>
                </pic:pic>
              </a:graphicData>
            </a:graphic>
          </wp:anchor>
        </w:drawing>
      </w:r>
      <w:r>
        <w:rPr/>
        <w:drawing>
          <wp:anchor distT="0" distB="0" distL="0" distR="0" allowOverlap="1" layoutInCell="1" locked="0" behindDoc="0" simplePos="0" relativeHeight="27">
            <wp:simplePos x="0" y="0"/>
            <wp:positionH relativeFrom="page">
              <wp:posOffset>6283533</wp:posOffset>
            </wp:positionH>
            <wp:positionV relativeFrom="paragraph">
              <wp:posOffset>572933</wp:posOffset>
            </wp:positionV>
            <wp:extent cx="124658" cy="91439"/>
            <wp:effectExtent l="0" t="0" r="0" b="0"/>
            <wp:wrapTopAndBottom/>
            <wp:docPr id="59" name="image24.png"/>
            <wp:cNvGraphicFramePr>
              <a:graphicFrameLocks noChangeAspect="1"/>
            </wp:cNvGraphicFramePr>
            <a:graphic>
              <a:graphicData uri="http://schemas.openxmlformats.org/drawingml/2006/picture">
                <pic:pic>
                  <pic:nvPicPr>
                    <pic:cNvPr id="60" name="image24.png"/>
                    <pic:cNvPicPr/>
                  </pic:nvPicPr>
                  <pic:blipFill>
                    <a:blip r:embed="rId32" cstate="print"/>
                    <a:stretch>
                      <a:fillRect/>
                    </a:stretch>
                  </pic:blipFill>
                  <pic:spPr>
                    <a:xfrm>
                      <a:off x="0" y="0"/>
                      <a:ext cx="124658" cy="91439"/>
                    </a:xfrm>
                    <a:prstGeom prst="rect">
                      <a:avLst/>
                    </a:prstGeom>
                  </pic:spPr>
                </pic:pic>
              </a:graphicData>
            </a:graphic>
          </wp:anchor>
        </w:drawing>
      </w:r>
      <w:r>
        <w:rPr/>
        <w:drawing>
          <wp:anchor distT="0" distB="0" distL="0" distR="0" allowOverlap="1" layoutInCell="1" locked="0" behindDoc="0" simplePos="0" relativeHeight="28">
            <wp:simplePos x="0" y="0"/>
            <wp:positionH relativeFrom="page">
              <wp:posOffset>1650492</wp:posOffset>
            </wp:positionH>
            <wp:positionV relativeFrom="paragraph">
              <wp:posOffset>784733</wp:posOffset>
            </wp:positionV>
            <wp:extent cx="4537321" cy="126015"/>
            <wp:effectExtent l="0" t="0" r="0" b="0"/>
            <wp:wrapTopAndBottom/>
            <wp:docPr id="61" name="image26.png"/>
            <wp:cNvGraphicFramePr>
              <a:graphicFrameLocks noChangeAspect="1"/>
            </wp:cNvGraphicFramePr>
            <a:graphic>
              <a:graphicData uri="http://schemas.openxmlformats.org/drawingml/2006/picture">
                <pic:pic>
                  <pic:nvPicPr>
                    <pic:cNvPr id="62" name="image26.png"/>
                    <pic:cNvPicPr/>
                  </pic:nvPicPr>
                  <pic:blipFill>
                    <a:blip r:embed="rId34" cstate="print"/>
                    <a:stretch>
                      <a:fillRect/>
                    </a:stretch>
                  </pic:blipFill>
                  <pic:spPr>
                    <a:xfrm>
                      <a:off x="0" y="0"/>
                      <a:ext cx="4537321" cy="126015"/>
                    </a:xfrm>
                    <a:prstGeom prst="rect">
                      <a:avLst/>
                    </a:prstGeom>
                  </pic:spPr>
                </pic:pic>
              </a:graphicData>
            </a:graphic>
          </wp:anchor>
        </w:drawing>
      </w:r>
      <w:r>
        <w:rPr/>
        <w:drawing>
          <wp:anchor distT="0" distB="0" distL="0" distR="0" allowOverlap="1" layoutInCell="1" locked="0" behindDoc="0" simplePos="0" relativeHeight="29">
            <wp:simplePos x="0" y="0"/>
            <wp:positionH relativeFrom="page">
              <wp:posOffset>6283533</wp:posOffset>
            </wp:positionH>
            <wp:positionV relativeFrom="paragraph">
              <wp:posOffset>795437</wp:posOffset>
            </wp:positionV>
            <wp:extent cx="124658" cy="91439"/>
            <wp:effectExtent l="0" t="0" r="0" b="0"/>
            <wp:wrapTopAndBottom/>
            <wp:docPr id="63" name="image24.png"/>
            <wp:cNvGraphicFramePr>
              <a:graphicFrameLocks noChangeAspect="1"/>
            </wp:cNvGraphicFramePr>
            <a:graphic>
              <a:graphicData uri="http://schemas.openxmlformats.org/drawingml/2006/picture">
                <pic:pic>
                  <pic:nvPicPr>
                    <pic:cNvPr id="64" name="image24.png"/>
                    <pic:cNvPicPr/>
                  </pic:nvPicPr>
                  <pic:blipFill>
                    <a:blip r:embed="rId32" cstate="print"/>
                    <a:stretch>
                      <a:fillRect/>
                    </a:stretch>
                  </pic:blipFill>
                  <pic:spPr>
                    <a:xfrm>
                      <a:off x="0" y="0"/>
                      <a:ext cx="124658" cy="91439"/>
                    </a:xfrm>
                    <a:prstGeom prst="rect">
                      <a:avLst/>
                    </a:prstGeom>
                  </pic:spPr>
                </pic:pic>
              </a:graphicData>
            </a:graphic>
          </wp:anchor>
        </w:drawing>
      </w:r>
      <w:r>
        <w:rPr/>
        <w:drawing>
          <wp:anchor distT="0" distB="0" distL="0" distR="0" allowOverlap="1" layoutInCell="1" locked="0" behindDoc="0" simplePos="0" relativeHeight="30">
            <wp:simplePos x="0" y="0"/>
            <wp:positionH relativeFrom="page">
              <wp:posOffset>1362455</wp:posOffset>
            </wp:positionH>
            <wp:positionV relativeFrom="paragraph">
              <wp:posOffset>1005713</wp:posOffset>
            </wp:positionV>
            <wp:extent cx="4822554" cy="126015"/>
            <wp:effectExtent l="0" t="0" r="0" b="0"/>
            <wp:wrapTopAndBottom/>
            <wp:docPr id="65" name="image27.png"/>
            <wp:cNvGraphicFramePr>
              <a:graphicFrameLocks noChangeAspect="1"/>
            </wp:cNvGraphicFramePr>
            <a:graphic>
              <a:graphicData uri="http://schemas.openxmlformats.org/drawingml/2006/picture">
                <pic:pic>
                  <pic:nvPicPr>
                    <pic:cNvPr id="66" name="image27.png"/>
                    <pic:cNvPicPr/>
                  </pic:nvPicPr>
                  <pic:blipFill>
                    <a:blip r:embed="rId35" cstate="print"/>
                    <a:stretch>
                      <a:fillRect/>
                    </a:stretch>
                  </pic:blipFill>
                  <pic:spPr>
                    <a:xfrm>
                      <a:off x="0" y="0"/>
                      <a:ext cx="4822554" cy="126015"/>
                    </a:xfrm>
                    <a:prstGeom prst="rect">
                      <a:avLst/>
                    </a:prstGeom>
                  </pic:spPr>
                </pic:pic>
              </a:graphicData>
            </a:graphic>
          </wp:anchor>
        </w:drawing>
      </w:r>
      <w:r>
        <w:rPr/>
        <w:drawing>
          <wp:anchor distT="0" distB="0" distL="0" distR="0" allowOverlap="1" layoutInCell="1" locked="0" behindDoc="0" simplePos="0" relativeHeight="31">
            <wp:simplePos x="0" y="0"/>
            <wp:positionH relativeFrom="page">
              <wp:posOffset>6283478</wp:posOffset>
            </wp:positionH>
            <wp:positionV relativeFrom="paragraph">
              <wp:posOffset>1016417</wp:posOffset>
            </wp:positionV>
            <wp:extent cx="127737" cy="91439"/>
            <wp:effectExtent l="0" t="0" r="0" b="0"/>
            <wp:wrapTopAndBottom/>
            <wp:docPr id="67" name="image28.png"/>
            <wp:cNvGraphicFramePr>
              <a:graphicFrameLocks noChangeAspect="1"/>
            </wp:cNvGraphicFramePr>
            <a:graphic>
              <a:graphicData uri="http://schemas.openxmlformats.org/drawingml/2006/picture">
                <pic:pic>
                  <pic:nvPicPr>
                    <pic:cNvPr id="68" name="image28.png"/>
                    <pic:cNvPicPr/>
                  </pic:nvPicPr>
                  <pic:blipFill>
                    <a:blip r:embed="rId36" cstate="print"/>
                    <a:stretch>
                      <a:fillRect/>
                    </a:stretch>
                  </pic:blipFill>
                  <pic:spPr>
                    <a:xfrm>
                      <a:off x="0" y="0"/>
                      <a:ext cx="127737" cy="91439"/>
                    </a:xfrm>
                    <a:prstGeom prst="rect">
                      <a:avLst/>
                    </a:prstGeom>
                  </pic:spPr>
                </pic:pic>
              </a:graphicData>
            </a:graphic>
          </wp:anchor>
        </w:drawing>
      </w:r>
    </w:p>
    <w:p>
      <w:pPr>
        <w:pStyle w:val="BodyText"/>
        <w:spacing w:before="10"/>
        <w:rPr>
          <w:b/>
          <w:sz w:val="9"/>
        </w:rPr>
      </w:pPr>
    </w:p>
    <w:p>
      <w:pPr>
        <w:pStyle w:val="BodyText"/>
        <w:spacing w:before="8"/>
        <w:rPr>
          <w:b/>
          <w:sz w:val="9"/>
        </w:rPr>
      </w:pPr>
    </w:p>
    <w:p>
      <w:pPr>
        <w:pStyle w:val="BodyText"/>
        <w:spacing w:before="10"/>
        <w:rPr>
          <w:b/>
          <w:sz w:val="9"/>
        </w:rPr>
      </w:pPr>
    </w:p>
    <w:p>
      <w:pPr>
        <w:pStyle w:val="BodyText"/>
        <w:spacing w:before="8"/>
        <w:rPr>
          <w:b/>
          <w:sz w:val="6"/>
        </w:rPr>
      </w:pPr>
    </w:p>
    <w:p>
      <w:pPr>
        <w:pStyle w:val="Heading7"/>
        <w:numPr>
          <w:ilvl w:val="0"/>
          <w:numId w:val="4"/>
        </w:numPr>
        <w:tabs>
          <w:tab w:pos="1699" w:val="left" w:leader="none"/>
          <w:tab w:pos="9663" w:val="right" w:leader="dot"/>
        </w:tabs>
        <w:spacing w:line="240" w:lineRule="auto" w:before="190" w:after="132"/>
        <w:ind w:left="1698" w:right="0" w:hanging="341"/>
        <w:jc w:val="left"/>
      </w:pPr>
      <w:r>
        <w:rPr/>
        <w:t>About the Pain Management</w:t>
      </w:r>
      <w:r>
        <w:rPr>
          <w:spacing w:val="-2"/>
        </w:rPr>
        <w:t> </w:t>
      </w:r>
      <w:r>
        <w:rPr/>
        <w:t>Clinical</w:t>
      </w:r>
      <w:r>
        <w:rPr>
          <w:spacing w:val="-3"/>
        </w:rPr>
        <w:t> </w:t>
      </w:r>
      <w:r>
        <w:rPr/>
        <w:t>Committee</w:t>
        <w:tab/>
        <w:t>17</w:t>
      </w:r>
    </w:p>
    <w:p>
      <w:pPr>
        <w:spacing w:line="198" w:lineRule="exact"/>
        <w:ind w:left="1703" w:right="0" w:firstLine="0"/>
        <w:rPr>
          <w:sz w:val="14"/>
        </w:rPr>
      </w:pPr>
      <w:r>
        <w:rPr>
          <w:position w:val="-3"/>
          <w:sz w:val="19"/>
        </w:rPr>
        <w:drawing>
          <wp:inline distT="0" distB="0" distL="0" distR="0">
            <wp:extent cx="4824064" cy="126015"/>
            <wp:effectExtent l="0" t="0" r="0" b="0"/>
            <wp:docPr id="69" name="image29.png"/>
            <wp:cNvGraphicFramePr>
              <a:graphicFrameLocks noChangeAspect="1"/>
            </wp:cNvGraphicFramePr>
            <a:graphic>
              <a:graphicData uri="http://schemas.openxmlformats.org/drawingml/2006/picture">
                <pic:pic>
                  <pic:nvPicPr>
                    <pic:cNvPr id="70" name="image29.png"/>
                    <pic:cNvPicPr/>
                  </pic:nvPicPr>
                  <pic:blipFill>
                    <a:blip r:embed="rId37" cstate="print"/>
                    <a:stretch>
                      <a:fillRect/>
                    </a:stretch>
                  </pic:blipFill>
                  <pic:spPr>
                    <a:xfrm>
                      <a:off x="0" y="0"/>
                      <a:ext cx="4824064" cy="126015"/>
                    </a:xfrm>
                    <a:prstGeom prst="rect">
                      <a:avLst/>
                    </a:prstGeom>
                  </pic:spPr>
                </pic:pic>
              </a:graphicData>
            </a:graphic>
          </wp:inline>
        </w:drawing>
      </w:r>
      <w:r>
        <w:rPr>
          <w:position w:val="-3"/>
          <w:sz w:val="19"/>
        </w:rPr>
      </w:r>
      <w:r>
        <w:rPr>
          <w:rFonts w:ascii="Times New Roman"/>
          <w:spacing w:val="120"/>
          <w:position w:val="-3"/>
          <w:sz w:val="14"/>
        </w:rPr>
        <w:t> </w:t>
      </w:r>
      <w:r>
        <w:rPr>
          <w:spacing w:val="120"/>
          <w:sz w:val="14"/>
        </w:rPr>
        <w:drawing>
          <wp:inline distT="0" distB="0" distL="0" distR="0">
            <wp:extent cx="126116" cy="91439"/>
            <wp:effectExtent l="0" t="0" r="0" b="0"/>
            <wp:docPr id="71" name="image30.png"/>
            <wp:cNvGraphicFramePr>
              <a:graphicFrameLocks noChangeAspect="1"/>
            </wp:cNvGraphicFramePr>
            <a:graphic>
              <a:graphicData uri="http://schemas.openxmlformats.org/drawingml/2006/picture">
                <pic:pic>
                  <pic:nvPicPr>
                    <pic:cNvPr id="72" name="image30.png"/>
                    <pic:cNvPicPr/>
                  </pic:nvPicPr>
                  <pic:blipFill>
                    <a:blip r:embed="rId38" cstate="print"/>
                    <a:stretch>
                      <a:fillRect/>
                    </a:stretch>
                  </pic:blipFill>
                  <pic:spPr>
                    <a:xfrm>
                      <a:off x="0" y="0"/>
                      <a:ext cx="126116" cy="91439"/>
                    </a:xfrm>
                    <a:prstGeom prst="rect">
                      <a:avLst/>
                    </a:prstGeom>
                  </pic:spPr>
                </pic:pic>
              </a:graphicData>
            </a:graphic>
          </wp:inline>
        </w:drawing>
      </w:r>
      <w:r>
        <w:rPr>
          <w:spacing w:val="120"/>
          <w:sz w:val="14"/>
        </w:rPr>
      </w:r>
    </w:p>
    <w:p>
      <w:pPr>
        <w:pStyle w:val="BodyText"/>
        <w:spacing w:before="3"/>
        <w:rPr>
          <w:b/>
          <w:sz w:val="9"/>
        </w:rPr>
      </w:pPr>
      <w:r>
        <w:rPr/>
        <w:drawing>
          <wp:anchor distT="0" distB="0" distL="0" distR="0" allowOverlap="1" layoutInCell="1" locked="0" behindDoc="0" simplePos="0" relativeHeight="32">
            <wp:simplePos x="0" y="0"/>
            <wp:positionH relativeFrom="page">
              <wp:posOffset>1360932</wp:posOffset>
            </wp:positionH>
            <wp:positionV relativeFrom="paragraph">
              <wp:posOffset>96773</wp:posOffset>
            </wp:positionV>
            <wp:extent cx="4862444" cy="102679"/>
            <wp:effectExtent l="0" t="0" r="0" b="0"/>
            <wp:wrapTopAndBottom/>
            <wp:docPr id="73" name="image31.png"/>
            <wp:cNvGraphicFramePr>
              <a:graphicFrameLocks noChangeAspect="1"/>
            </wp:cNvGraphicFramePr>
            <a:graphic>
              <a:graphicData uri="http://schemas.openxmlformats.org/drawingml/2006/picture">
                <pic:pic>
                  <pic:nvPicPr>
                    <pic:cNvPr id="74" name="image31.png"/>
                    <pic:cNvPicPr/>
                  </pic:nvPicPr>
                  <pic:blipFill>
                    <a:blip r:embed="rId39" cstate="print"/>
                    <a:stretch>
                      <a:fillRect/>
                    </a:stretch>
                  </pic:blipFill>
                  <pic:spPr>
                    <a:xfrm>
                      <a:off x="0" y="0"/>
                      <a:ext cx="4862444" cy="102679"/>
                    </a:xfrm>
                    <a:prstGeom prst="rect">
                      <a:avLst/>
                    </a:prstGeom>
                  </pic:spPr>
                </pic:pic>
              </a:graphicData>
            </a:graphic>
          </wp:anchor>
        </w:drawing>
      </w:r>
      <w:r>
        <w:rPr/>
        <w:drawing>
          <wp:anchor distT="0" distB="0" distL="0" distR="0" allowOverlap="1" layoutInCell="1" locked="0" behindDoc="0" simplePos="0" relativeHeight="33">
            <wp:simplePos x="0" y="0"/>
            <wp:positionH relativeFrom="page">
              <wp:posOffset>6283533</wp:posOffset>
            </wp:positionH>
            <wp:positionV relativeFrom="paragraph">
              <wp:posOffset>107478</wp:posOffset>
            </wp:positionV>
            <wp:extent cx="124658" cy="91439"/>
            <wp:effectExtent l="0" t="0" r="0" b="0"/>
            <wp:wrapTopAndBottom/>
            <wp:docPr id="75" name="image32.png"/>
            <wp:cNvGraphicFramePr>
              <a:graphicFrameLocks noChangeAspect="1"/>
            </wp:cNvGraphicFramePr>
            <a:graphic>
              <a:graphicData uri="http://schemas.openxmlformats.org/drawingml/2006/picture">
                <pic:pic>
                  <pic:nvPicPr>
                    <pic:cNvPr id="76" name="image32.png"/>
                    <pic:cNvPicPr/>
                  </pic:nvPicPr>
                  <pic:blipFill>
                    <a:blip r:embed="rId40" cstate="print"/>
                    <a:stretch>
                      <a:fillRect/>
                    </a:stretch>
                  </pic:blipFill>
                  <pic:spPr>
                    <a:xfrm>
                      <a:off x="0" y="0"/>
                      <a:ext cx="124658" cy="91439"/>
                    </a:xfrm>
                    <a:prstGeom prst="rect">
                      <a:avLst/>
                    </a:prstGeom>
                  </pic:spPr>
                </pic:pic>
              </a:graphicData>
            </a:graphic>
          </wp:anchor>
        </w:drawing>
      </w:r>
      <w:r>
        <w:rPr/>
        <w:drawing>
          <wp:anchor distT="0" distB="0" distL="0" distR="0" allowOverlap="1" layoutInCell="1" locked="0" behindDoc="0" simplePos="0" relativeHeight="34">
            <wp:simplePos x="0" y="0"/>
            <wp:positionH relativeFrom="page">
              <wp:posOffset>1360932</wp:posOffset>
            </wp:positionH>
            <wp:positionV relativeFrom="paragraph">
              <wp:posOffset>317754</wp:posOffset>
            </wp:positionV>
            <wp:extent cx="4824064" cy="126015"/>
            <wp:effectExtent l="0" t="0" r="0" b="0"/>
            <wp:wrapTopAndBottom/>
            <wp:docPr id="77" name="image33.png"/>
            <wp:cNvGraphicFramePr>
              <a:graphicFrameLocks noChangeAspect="1"/>
            </wp:cNvGraphicFramePr>
            <a:graphic>
              <a:graphicData uri="http://schemas.openxmlformats.org/drawingml/2006/picture">
                <pic:pic>
                  <pic:nvPicPr>
                    <pic:cNvPr id="78" name="image33.png"/>
                    <pic:cNvPicPr/>
                  </pic:nvPicPr>
                  <pic:blipFill>
                    <a:blip r:embed="rId41" cstate="print"/>
                    <a:stretch>
                      <a:fillRect/>
                    </a:stretch>
                  </pic:blipFill>
                  <pic:spPr>
                    <a:xfrm>
                      <a:off x="0" y="0"/>
                      <a:ext cx="4824064" cy="126015"/>
                    </a:xfrm>
                    <a:prstGeom prst="rect">
                      <a:avLst/>
                    </a:prstGeom>
                  </pic:spPr>
                </pic:pic>
              </a:graphicData>
            </a:graphic>
          </wp:anchor>
        </w:drawing>
      </w:r>
      <w:r>
        <w:rPr/>
        <w:drawing>
          <wp:anchor distT="0" distB="0" distL="0" distR="0" allowOverlap="1" layoutInCell="1" locked="0" behindDoc="0" simplePos="0" relativeHeight="35">
            <wp:simplePos x="0" y="0"/>
            <wp:positionH relativeFrom="page">
              <wp:posOffset>6283533</wp:posOffset>
            </wp:positionH>
            <wp:positionV relativeFrom="paragraph">
              <wp:posOffset>328458</wp:posOffset>
            </wp:positionV>
            <wp:extent cx="124658" cy="91439"/>
            <wp:effectExtent l="0" t="0" r="0" b="0"/>
            <wp:wrapTopAndBottom/>
            <wp:docPr id="79" name="image32.png"/>
            <wp:cNvGraphicFramePr>
              <a:graphicFrameLocks noChangeAspect="1"/>
            </wp:cNvGraphicFramePr>
            <a:graphic>
              <a:graphicData uri="http://schemas.openxmlformats.org/drawingml/2006/picture">
                <pic:pic>
                  <pic:nvPicPr>
                    <pic:cNvPr id="80" name="image32.png"/>
                    <pic:cNvPicPr/>
                  </pic:nvPicPr>
                  <pic:blipFill>
                    <a:blip r:embed="rId40" cstate="print"/>
                    <a:stretch>
                      <a:fillRect/>
                    </a:stretch>
                  </pic:blipFill>
                  <pic:spPr>
                    <a:xfrm>
                      <a:off x="0" y="0"/>
                      <a:ext cx="124658" cy="91439"/>
                    </a:xfrm>
                    <a:prstGeom prst="rect">
                      <a:avLst/>
                    </a:prstGeom>
                  </pic:spPr>
                </pic:pic>
              </a:graphicData>
            </a:graphic>
          </wp:anchor>
        </w:drawing>
      </w:r>
      <w:r>
        <w:rPr/>
        <w:drawing>
          <wp:anchor distT="0" distB="0" distL="0" distR="0" allowOverlap="1" layoutInCell="1" locked="0" behindDoc="0" simplePos="0" relativeHeight="36">
            <wp:simplePos x="0" y="0"/>
            <wp:positionH relativeFrom="page">
              <wp:posOffset>1360932</wp:posOffset>
            </wp:positionH>
            <wp:positionV relativeFrom="paragraph">
              <wp:posOffset>538733</wp:posOffset>
            </wp:positionV>
            <wp:extent cx="4824064" cy="126015"/>
            <wp:effectExtent l="0" t="0" r="0" b="0"/>
            <wp:wrapTopAndBottom/>
            <wp:docPr id="81" name="image34.png"/>
            <wp:cNvGraphicFramePr>
              <a:graphicFrameLocks noChangeAspect="1"/>
            </wp:cNvGraphicFramePr>
            <a:graphic>
              <a:graphicData uri="http://schemas.openxmlformats.org/drawingml/2006/picture">
                <pic:pic>
                  <pic:nvPicPr>
                    <pic:cNvPr id="82" name="image34.png"/>
                    <pic:cNvPicPr/>
                  </pic:nvPicPr>
                  <pic:blipFill>
                    <a:blip r:embed="rId42" cstate="print"/>
                    <a:stretch>
                      <a:fillRect/>
                    </a:stretch>
                  </pic:blipFill>
                  <pic:spPr>
                    <a:xfrm>
                      <a:off x="0" y="0"/>
                      <a:ext cx="4824064" cy="126015"/>
                    </a:xfrm>
                    <a:prstGeom prst="rect">
                      <a:avLst/>
                    </a:prstGeom>
                  </pic:spPr>
                </pic:pic>
              </a:graphicData>
            </a:graphic>
          </wp:anchor>
        </w:drawing>
      </w:r>
      <w:r>
        <w:rPr/>
        <w:drawing>
          <wp:anchor distT="0" distB="0" distL="0" distR="0" allowOverlap="1" layoutInCell="1" locked="0" behindDoc="0" simplePos="0" relativeHeight="37">
            <wp:simplePos x="0" y="0"/>
            <wp:positionH relativeFrom="page">
              <wp:posOffset>6280535</wp:posOffset>
            </wp:positionH>
            <wp:positionV relativeFrom="paragraph">
              <wp:posOffset>549438</wp:posOffset>
            </wp:positionV>
            <wp:extent cx="130657" cy="91439"/>
            <wp:effectExtent l="0" t="0" r="0" b="0"/>
            <wp:wrapTopAndBottom/>
            <wp:docPr id="83" name="image35.png"/>
            <wp:cNvGraphicFramePr>
              <a:graphicFrameLocks noChangeAspect="1"/>
            </wp:cNvGraphicFramePr>
            <a:graphic>
              <a:graphicData uri="http://schemas.openxmlformats.org/drawingml/2006/picture">
                <pic:pic>
                  <pic:nvPicPr>
                    <pic:cNvPr id="84" name="image35.png"/>
                    <pic:cNvPicPr/>
                  </pic:nvPicPr>
                  <pic:blipFill>
                    <a:blip r:embed="rId43" cstate="print"/>
                    <a:stretch>
                      <a:fillRect/>
                    </a:stretch>
                  </pic:blipFill>
                  <pic:spPr>
                    <a:xfrm>
                      <a:off x="0" y="0"/>
                      <a:ext cx="130657" cy="91439"/>
                    </a:xfrm>
                    <a:prstGeom prst="rect">
                      <a:avLst/>
                    </a:prstGeom>
                  </pic:spPr>
                </pic:pic>
              </a:graphicData>
            </a:graphic>
          </wp:anchor>
        </w:drawing>
      </w:r>
      <w:r>
        <w:rPr/>
        <w:drawing>
          <wp:anchor distT="0" distB="0" distL="0" distR="0" allowOverlap="1" layoutInCell="1" locked="0" behindDoc="0" simplePos="0" relativeHeight="38">
            <wp:simplePos x="0" y="0"/>
            <wp:positionH relativeFrom="page">
              <wp:posOffset>1360932</wp:posOffset>
            </wp:positionH>
            <wp:positionV relativeFrom="paragraph">
              <wp:posOffset>761237</wp:posOffset>
            </wp:positionV>
            <wp:extent cx="4824064" cy="126015"/>
            <wp:effectExtent l="0" t="0" r="0" b="0"/>
            <wp:wrapTopAndBottom/>
            <wp:docPr id="85" name="image36.png"/>
            <wp:cNvGraphicFramePr>
              <a:graphicFrameLocks noChangeAspect="1"/>
            </wp:cNvGraphicFramePr>
            <a:graphic>
              <a:graphicData uri="http://schemas.openxmlformats.org/drawingml/2006/picture">
                <pic:pic>
                  <pic:nvPicPr>
                    <pic:cNvPr id="86" name="image36.png"/>
                    <pic:cNvPicPr/>
                  </pic:nvPicPr>
                  <pic:blipFill>
                    <a:blip r:embed="rId44" cstate="print"/>
                    <a:stretch>
                      <a:fillRect/>
                    </a:stretch>
                  </pic:blipFill>
                  <pic:spPr>
                    <a:xfrm>
                      <a:off x="0" y="0"/>
                      <a:ext cx="4824064" cy="126015"/>
                    </a:xfrm>
                    <a:prstGeom prst="rect">
                      <a:avLst/>
                    </a:prstGeom>
                  </pic:spPr>
                </pic:pic>
              </a:graphicData>
            </a:graphic>
          </wp:anchor>
        </w:drawing>
      </w:r>
      <w:r>
        <w:rPr/>
        <w:drawing>
          <wp:anchor distT="0" distB="0" distL="0" distR="0" allowOverlap="1" layoutInCell="1" locked="0" behindDoc="0" simplePos="0" relativeHeight="39">
            <wp:simplePos x="0" y="0"/>
            <wp:positionH relativeFrom="page">
              <wp:posOffset>6280430</wp:posOffset>
            </wp:positionH>
            <wp:positionV relativeFrom="paragraph">
              <wp:posOffset>772096</wp:posOffset>
            </wp:positionV>
            <wp:extent cx="128751" cy="90487"/>
            <wp:effectExtent l="0" t="0" r="0" b="0"/>
            <wp:wrapTopAndBottom/>
            <wp:docPr id="87" name="image37.png"/>
            <wp:cNvGraphicFramePr>
              <a:graphicFrameLocks noChangeAspect="1"/>
            </wp:cNvGraphicFramePr>
            <a:graphic>
              <a:graphicData uri="http://schemas.openxmlformats.org/drawingml/2006/picture">
                <pic:pic>
                  <pic:nvPicPr>
                    <pic:cNvPr id="88" name="image37.png"/>
                    <pic:cNvPicPr/>
                  </pic:nvPicPr>
                  <pic:blipFill>
                    <a:blip r:embed="rId45" cstate="print"/>
                    <a:stretch>
                      <a:fillRect/>
                    </a:stretch>
                  </pic:blipFill>
                  <pic:spPr>
                    <a:xfrm>
                      <a:off x="0" y="0"/>
                      <a:ext cx="128751" cy="90487"/>
                    </a:xfrm>
                    <a:prstGeom prst="rect">
                      <a:avLst/>
                    </a:prstGeom>
                  </pic:spPr>
                </pic:pic>
              </a:graphicData>
            </a:graphic>
          </wp:anchor>
        </w:drawing>
      </w:r>
    </w:p>
    <w:p>
      <w:pPr>
        <w:pStyle w:val="BodyText"/>
        <w:spacing w:before="8"/>
        <w:rPr>
          <w:b/>
          <w:sz w:val="9"/>
        </w:rPr>
      </w:pPr>
    </w:p>
    <w:p>
      <w:pPr>
        <w:pStyle w:val="BodyText"/>
        <w:spacing w:before="8"/>
        <w:rPr>
          <w:b/>
          <w:sz w:val="6"/>
        </w:rPr>
      </w:pPr>
    </w:p>
    <w:p>
      <w:pPr>
        <w:pStyle w:val="BodyText"/>
        <w:spacing w:before="10"/>
        <w:rPr>
          <w:b/>
          <w:sz w:val="6"/>
        </w:rPr>
      </w:pPr>
    </w:p>
    <w:p>
      <w:pPr>
        <w:pStyle w:val="Heading7"/>
        <w:numPr>
          <w:ilvl w:val="0"/>
          <w:numId w:val="4"/>
        </w:numPr>
        <w:tabs>
          <w:tab w:pos="1699" w:val="left" w:leader="none"/>
          <w:tab w:pos="9437" w:val="left" w:leader="dot"/>
        </w:tabs>
        <w:spacing w:line="240" w:lineRule="auto" w:before="188" w:after="134"/>
        <w:ind w:left="1698" w:right="0" w:hanging="341"/>
        <w:jc w:val="left"/>
      </w:pPr>
      <w:r>
        <w:rPr/>
        <w:t>Recommendations</w:t>
      </w:r>
      <w:r>
        <w:rPr>
          <w:spacing w:val="-4"/>
        </w:rPr>
        <w:t> </w:t>
      </w:r>
      <w:r>
        <w:rPr/>
        <w:t>for</w:t>
      </w:r>
      <w:r>
        <w:rPr>
          <w:spacing w:val="-3"/>
        </w:rPr>
        <w:t> </w:t>
      </w:r>
      <w:r>
        <w:rPr/>
        <w:t>change</w:t>
        <w:tab/>
        <w:t>24</w:t>
      </w:r>
    </w:p>
    <w:p>
      <w:pPr>
        <w:spacing w:line="198" w:lineRule="exact"/>
        <w:ind w:left="1698" w:right="0" w:firstLine="0"/>
        <w:rPr>
          <w:sz w:val="14"/>
        </w:rPr>
      </w:pPr>
      <w:r>
        <w:rPr>
          <w:position w:val="-3"/>
          <w:sz w:val="19"/>
        </w:rPr>
        <w:drawing>
          <wp:inline distT="0" distB="0" distL="0" distR="0">
            <wp:extent cx="4827082" cy="126015"/>
            <wp:effectExtent l="0" t="0" r="0" b="0"/>
            <wp:docPr id="89" name="image38.png"/>
            <wp:cNvGraphicFramePr>
              <a:graphicFrameLocks noChangeAspect="1"/>
            </wp:cNvGraphicFramePr>
            <a:graphic>
              <a:graphicData uri="http://schemas.openxmlformats.org/drawingml/2006/picture">
                <pic:pic>
                  <pic:nvPicPr>
                    <pic:cNvPr id="90" name="image38.png"/>
                    <pic:cNvPicPr/>
                  </pic:nvPicPr>
                  <pic:blipFill>
                    <a:blip r:embed="rId46" cstate="print"/>
                    <a:stretch>
                      <a:fillRect/>
                    </a:stretch>
                  </pic:blipFill>
                  <pic:spPr>
                    <a:xfrm>
                      <a:off x="0" y="0"/>
                      <a:ext cx="4827082" cy="126015"/>
                    </a:xfrm>
                    <a:prstGeom prst="rect">
                      <a:avLst/>
                    </a:prstGeom>
                  </pic:spPr>
                </pic:pic>
              </a:graphicData>
            </a:graphic>
          </wp:inline>
        </w:drawing>
      </w:r>
      <w:r>
        <w:rPr>
          <w:position w:val="-3"/>
          <w:sz w:val="19"/>
        </w:rPr>
      </w:r>
      <w:r>
        <w:rPr>
          <w:rFonts w:ascii="Times New Roman"/>
          <w:spacing w:val="115"/>
          <w:position w:val="-3"/>
          <w:sz w:val="14"/>
        </w:rPr>
        <w:t> </w:t>
      </w:r>
      <w:r>
        <w:rPr>
          <w:spacing w:val="115"/>
          <w:sz w:val="14"/>
        </w:rPr>
        <w:drawing>
          <wp:inline distT="0" distB="0" distL="0" distR="0">
            <wp:extent cx="130657" cy="91439"/>
            <wp:effectExtent l="0" t="0" r="0" b="0"/>
            <wp:docPr id="91" name="image39.png"/>
            <wp:cNvGraphicFramePr>
              <a:graphicFrameLocks noChangeAspect="1"/>
            </wp:cNvGraphicFramePr>
            <a:graphic>
              <a:graphicData uri="http://schemas.openxmlformats.org/drawingml/2006/picture">
                <pic:pic>
                  <pic:nvPicPr>
                    <pic:cNvPr id="92" name="image39.png"/>
                    <pic:cNvPicPr/>
                  </pic:nvPicPr>
                  <pic:blipFill>
                    <a:blip r:embed="rId47" cstate="print"/>
                    <a:stretch>
                      <a:fillRect/>
                    </a:stretch>
                  </pic:blipFill>
                  <pic:spPr>
                    <a:xfrm>
                      <a:off x="0" y="0"/>
                      <a:ext cx="130657" cy="91439"/>
                    </a:xfrm>
                    <a:prstGeom prst="rect">
                      <a:avLst/>
                    </a:prstGeom>
                  </pic:spPr>
                </pic:pic>
              </a:graphicData>
            </a:graphic>
          </wp:inline>
        </w:drawing>
      </w:r>
      <w:r>
        <w:rPr>
          <w:spacing w:val="115"/>
          <w:sz w:val="14"/>
        </w:rPr>
      </w:r>
    </w:p>
    <w:p>
      <w:pPr>
        <w:pStyle w:val="BodyText"/>
        <w:spacing w:before="1"/>
        <w:rPr>
          <w:b/>
          <w:sz w:val="9"/>
        </w:rPr>
      </w:pPr>
      <w:r>
        <w:rPr/>
        <w:drawing>
          <wp:anchor distT="0" distB="0" distL="0" distR="0" allowOverlap="1" layoutInCell="1" locked="0" behindDoc="0" simplePos="0" relativeHeight="40">
            <wp:simplePos x="0" y="0"/>
            <wp:positionH relativeFrom="page">
              <wp:posOffset>1645920</wp:posOffset>
            </wp:positionH>
            <wp:positionV relativeFrom="paragraph">
              <wp:posOffset>95250</wp:posOffset>
            </wp:positionV>
            <wp:extent cx="4114753" cy="126015"/>
            <wp:effectExtent l="0" t="0" r="0" b="0"/>
            <wp:wrapTopAndBottom/>
            <wp:docPr id="93" name="image40.png"/>
            <wp:cNvGraphicFramePr>
              <a:graphicFrameLocks noChangeAspect="1"/>
            </wp:cNvGraphicFramePr>
            <a:graphic>
              <a:graphicData uri="http://schemas.openxmlformats.org/drawingml/2006/picture">
                <pic:pic>
                  <pic:nvPicPr>
                    <pic:cNvPr id="94" name="image40.png"/>
                    <pic:cNvPicPr/>
                  </pic:nvPicPr>
                  <pic:blipFill>
                    <a:blip r:embed="rId48" cstate="print"/>
                    <a:stretch>
                      <a:fillRect/>
                    </a:stretch>
                  </pic:blipFill>
                  <pic:spPr>
                    <a:xfrm>
                      <a:off x="0" y="0"/>
                      <a:ext cx="4114753" cy="126015"/>
                    </a:xfrm>
                    <a:prstGeom prst="rect">
                      <a:avLst/>
                    </a:prstGeom>
                  </pic:spPr>
                </pic:pic>
              </a:graphicData>
            </a:graphic>
          </wp:anchor>
        </w:drawing>
      </w:r>
      <w:r>
        <w:rPr/>
        <w:drawing>
          <wp:anchor distT="0" distB="0" distL="0" distR="0" allowOverlap="1" layoutInCell="1" locked="0" behindDoc="0" simplePos="0" relativeHeight="41">
            <wp:simplePos x="0" y="0"/>
            <wp:positionH relativeFrom="page">
              <wp:posOffset>2080260</wp:posOffset>
            </wp:positionH>
            <wp:positionV relativeFrom="paragraph">
              <wp:posOffset>317754</wp:posOffset>
            </wp:positionV>
            <wp:extent cx="4144448" cy="102679"/>
            <wp:effectExtent l="0" t="0" r="0" b="0"/>
            <wp:wrapTopAndBottom/>
            <wp:docPr id="95" name="image41.png"/>
            <wp:cNvGraphicFramePr>
              <a:graphicFrameLocks noChangeAspect="1"/>
            </wp:cNvGraphicFramePr>
            <a:graphic>
              <a:graphicData uri="http://schemas.openxmlformats.org/drawingml/2006/picture">
                <pic:pic>
                  <pic:nvPicPr>
                    <pic:cNvPr id="96" name="image41.png"/>
                    <pic:cNvPicPr/>
                  </pic:nvPicPr>
                  <pic:blipFill>
                    <a:blip r:embed="rId49" cstate="print"/>
                    <a:stretch>
                      <a:fillRect/>
                    </a:stretch>
                  </pic:blipFill>
                  <pic:spPr>
                    <a:xfrm>
                      <a:off x="0" y="0"/>
                      <a:ext cx="4144448" cy="102679"/>
                    </a:xfrm>
                    <a:prstGeom prst="rect">
                      <a:avLst/>
                    </a:prstGeom>
                  </pic:spPr>
                </pic:pic>
              </a:graphicData>
            </a:graphic>
          </wp:anchor>
        </w:drawing>
      </w:r>
      <w:r>
        <w:rPr/>
        <w:drawing>
          <wp:anchor distT="0" distB="0" distL="0" distR="0" allowOverlap="1" layoutInCell="1" locked="0" behindDoc="0" simplePos="0" relativeHeight="42">
            <wp:simplePos x="0" y="0"/>
            <wp:positionH relativeFrom="page">
              <wp:posOffset>6280482</wp:posOffset>
            </wp:positionH>
            <wp:positionV relativeFrom="paragraph">
              <wp:posOffset>328458</wp:posOffset>
            </wp:positionV>
            <wp:extent cx="129197" cy="91439"/>
            <wp:effectExtent l="0" t="0" r="0" b="0"/>
            <wp:wrapTopAndBottom/>
            <wp:docPr id="97" name="image42.png"/>
            <wp:cNvGraphicFramePr>
              <a:graphicFrameLocks noChangeAspect="1"/>
            </wp:cNvGraphicFramePr>
            <a:graphic>
              <a:graphicData uri="http://schemas.openxmlformats.org/drawingml/2006/picture">
                <pic:pic>
                  <pic:nvPicPr>
                    <pic:cNvPr id="98" name="image42.png"/>
                    <pic:cNvPicPr/>
                  </pic:nvPicPr>
                  <pic:blipFill>
                    <a:blip r:embed="rId50" cstate="print"/>
                    <a:stretch>
                      <a:fillRect/>
                    </a:stretch>
                  </pic:blipFill>
                  <pic:spPr>
                    <a:xfrm>
                      <a:off x="0" y="0"/>
                      <a:ext cx="129197" cy="91439"/>
                    </a:xfrm>
                    <a:prstGeom prst="rect">
                      <a:avLst/>
                    </a:prstGeom>
                  </pic:spPr>
                </pic:pic>
              </a:graphicData>
            </a:graphic>
          </wp:anchor>
        </w:drawing>
      </w:r>
      <w:r>
        <w:rPr/>
        <w:drawing>
          <wp:anchor distT="0" distB="0" distL="0" distR="0" allowOverlap="1" layoutInCell="1" locked="0" behindDoc="0" simplePos="0" relativeHeight="43">
            <wp:simplePos x="0" y="0"/>
            <wp:positionH relativeFrom="page">
              <wp:posOffset>1645920</wp:posOffset>
            </wp:positionH>
            <wp:positionV relativeFrom="paragraph">
              <wp:posOffset>538733</wp:posOffset>
            </wp:positionV>
            <wp:extent cx="4577984" cy="102679"/>
            <wp:effectExtent l="0" t="0" r="0" b="0"/>
            <wp:wrapTopAndBottom/>
            <wp:docPr id="99" name="image43.png"/>
            <wp:cNvGraphicFramePr>
              <a:graphicFrameLocks noChangeAspect="1"/>
            </wp:cNvGraphicFramePr>
            <a:graphic>
              <a:graphicData uri="http://schemas.openxmlformats.org/drawingml/2006/picture">
                <pic:pic>
                  <pic:nvPicPr>
                    <pic:cNvPr id="100" name="image43.png"/>
                    <pic:cNvPicPr/>
                  </pic:nvPicPr>
                  <pic:blipFill>
                    <a:blip r:embed="rId51" cstate="print"/>
                    <a:stretch>
                      <a:fillRect/>
                    </a:stretch>
                  </pic:blipFill>
                  <pic:spPr>
                    <a:xfrm>
                      <a:off x="0" y="0"/>
                      <a:ext cx="4577984" cy="102679"/>
                    </a:xfrm>
                    <a:prstGeom prst="rect">
                      <a:avLst/>
                    </a:prstGeom>
                  </pic:spPr>
                </pic:pic>
              </a:graphicData>
            </a:graphic>
          </wp:anchor>
        </w:drawing>
      </w:r>
      <w:r>
        <w:rPr/>
        <w:drawing>
          <wp:anchor distT="0" distB="0" distL="0" distR="0" allowOverlap="1" layoutInCell="1" locked="0" behindDoc="0" simplePos="0" relativeHeight="44">
            <wp:simplePos x="0" y="0"/>
            <wp:positionH relativeFrom="page">
              <wp:posOffset>6280482</wp:posOffset>
            </wp:positionH>
            <wp:positionV relativeFrom="paragraph">
              <wp:posOffset>549438</wp:posOffset>
            </wp:positionV>
            <wp:extent cx="129197" cy="91439"/>
            <wp:effectExtent l="0" t="0" r="0" b="0"/>
            <wp:wrapTopAndBottom/>
            <wp:docPr id="101" name="image44.png"/>
            <wp:cNvGraphicFramePr>
              <a:graphicFrameLocks noChangeAspect="1"/>
            </wp:cNvGraphicFramePr>
            <a:graphic>
              <a:graphicData uri="http://schemas.openxmlformats.org/drawingml/2006/picture">
                <pic:pic>
                  <pic:nvPicPr>
                    <pic:cNvPr id="102" name="image44.png"/>
                    <pic:cNvPicPr/>
                  </pic:nvPicPr>
                  <pic:blipFill>
                    <a:blip r:embed="rId52" cstate="print"/>
                    <a:stretch>
                      <a:fillRect/>
                    </a:stretch>
                  </pic:blipFill>
                  <pic:spPr>
                    <a:xfrm>
                      <a:off x="0" y="0"/>
                      <a:ext cx="129197" cy="91439"/>
                    </a:xfrm>
                    <a:prstGeom prst="rect">
                      <a:avLst/>
                    </a:prstGeom>
                  </pic:spPr>
                </pic:pic>
              </a:graphicData>
            </a:graphic>
          </wp:anchor>
        </w:drawing>
      </w:r>
      <w:r>
        <w:rPr/>
        <w:drawing>
          <wp:anchor distT="0" distB="0" distL="0" distR="0" allowOverlap="1" layoutInCell="1" locked="0" behindDoc="0" simplePos="0" relativeHeight="45">
            <wp:simplePos x="0" y="0"/>
            <wp:positionH relativeFrom="page">
              <wp:posOffset>1645920</wp:posOffset>
            </wp:positionH>
            <wp:positionV relativeFrom="paragraph">
              <wp:posOffset>761237</wp:posOffset>
            </wp:positionV>
            <wp:extent cx="4268689" cy="126015"/>
            <wp:effectExtent l="0" t="0" r="0" b="0"/>
            <wp:wrapTopAndBottom/>
            <wp:docPr id="103" name="image45.png"/>
            <wp:cNvGraphicFramePr>
              <a:graphicFrameLocks noChangeAspect="1"/>
            </wp:cNvGraphicFramePr>
            <a:graphic>
              <a:graphicData uri="http://schemas.openxmlformats.org/drawingml/2006/picture">
                <pic:pic>
                  <pic:nvPicPr>
                    <pic:cNvPr id="104" name="image45.png"/>
                    <pic:cNvPicPr/>
                  </pic:nvPicPr>
                  <pic:blipFill>
                    <a:blip r:embed="rId53" cstate="print"/>
                    <a:stretch>
                      <a:fillRect/>
                    </a:stretch>
                  </pic:blipFill>
                  <pic:spPr>
                    <a:xfrm>
                      <a:off x="0" y="0"/>
                      <a:ext cx="4268689" cy="126015"/>
                    </a:xfrm>
                    <a:prstGeom prst="rect">
                      <a:avLst/>
                    </a:prstGeom>
                  </pic:spPr>
                </pic:pic>
              </a:graphicData>
            </a:graphic>
          </wp:anchor>
        </w:drawing>
      </w:r>
      <w:r>
        <w:rPr/>
        <w:drawing>
          <wp:anchor distT="0" distB="0" distL="0" distR="0" allowOverlap="1" layoutInCell="1" locked="0" behindDoc="0" simplePos="0" relativeHeight="46">
            <wp:simplePos x="0" y="0"/>
            <wp:positionH relativeFrom="page">
              <wp:posOffset>2081783</wp:posOffset>
            </wp:positionH>
            <wp:positionV relativeFrom="paragraph">
              <wp:posOffset>982217</wp:posOffset>
            </wp:positionV>
            <wp:extent cx="4110226" cy="126015"/>
            <wp:effectExtent l="0" t="0" r="0" b="0"/>
            <wp:wrapTopAndBottom/>
            <wp:docPr id="105" name="image46.png"/>
            <wp:cNvGraphicFramePr>
              <a:graphicFrameLocks noChangeAspect="1"/>
            </wp:cNvGraphicFramePr>
            <a:graphic>
              <a:graphicData uri="http://schemas.openxmlformats.org/drawingml/2006/picture">
                <pic:pic>
                  <pic:nvPicPr>
                    <pic:cNvPr id="106" name="image46.png"/>
                    <pic:cNvPicPr/>
                  </pic:nvPicPr>
                  <pic:blipFill>
                    <a:blip r:embed="rId54" cstate="print"/>
                    <a:stretch>
                      <a:fillRect/>
                    </a:stretch>
                  </pic:blipFill>
                  <pic:spPr>
                    <a:xfrm>
                      <a:off x="0" y="0"/>
                      <a:ext cx="4110226" cy="126015"/>
                    </a:xfrm>
                    <a:prstGeom prst="rect">
                      <a:avLst/>
                    </a:prstGeom>
                  </pic:spPr>
                </pic:pic>
              </a:graphicData>
            </a:graphic>
          </wp:anchor>
        </w:drawing>
      </w:r>
      <w:r>
        <w:rPr/>
        <w:drawing>
          <wp:anchor distT="0" distB="0" distL="0" distR="0" allowOverlap="1" layoutInCell="1" locked="0" behindDoc="0" simplePos="0" relativeHeight="47">
            <wp:simplePos x="0" y="0"/>
            <wp:positionH relativeFrom="page">
              <wp:posOffset>6280482</wp:posOffset>
            </wp:positionH>
            <wp:positionV relativeFrom="paragraph">
              <wp:posOffset>992922</wp:posOffset>
            </wp:positionV>
            <wp:extent cx="129197" cy="91439"/>
            <wp:effectExtent l="0" t="0" r="0" b="0"/>
            <wp:wrapTopAndBottom/>
            <wp:docPr id="107" name="image47.png"/>
            <wp:cNvGraphicFramePr>
              <a:graphicFrameLocks noChangeAspect="1"/>
            </wp:cNvGraphicFramePr>
            <a:graphic>
              <a:graphicData uri="http://schemas.openxmlformats.org/drawingml/2006/picture">
                <pic:pic>
                  <pic:nvPicPr>
                    <pic:cNvPr id="108" name="image47.png"/>
                    <pic:cNvPicPr/>
                  </pic:nvPicPr>
                  <pic:blipFill>
                    <a:blip r:embed="rId55" cstate="print"/>
                    <a:stretch>
                      <a:fillRect/>
                    </a:stretch>
                  </pic:blipFill>
                  <pic:spPr>
                    <a:xfrm>
                      <a:off x="0" y="0"/>
                      <a:ext cx="129197" cy="91439"/>
                    </a:xfrm>
                    <a:prstGeom prst="rect">
                      <a:avLst/>
                    </a:prstGeom>
                  </pic:spPr>
                </pic:pic>
              </a:graphicData>
            </a:graphic>
          </wp:anchor>
        </w:drawing>
      </w:r>
      <w:r>
        <w:rPr/>
        <w:drawing>
          <wp:anchor distT="0" distB="0" distL="0" distR="0" allowOverlap="1" layoutInCell="1" locked="0" behindDoc="0" simplePos="0" relativeHeight="48">
            <wp:simplePos x="0" y="0"/>
            <wp:positionH relativeFrom="page">
              <wp:posOffset>1645920</wp:posOffset>
            </wp:positionH>
            <wp:positionV relativeFrom="paragraph">
              <wp:posOffset>1204722</wp:posOffset>
            </wp:positionV>
            <wp:extent cx="4577984" cy="102679"/>
            <wp:effectExtent l="0" t="0" r="0" b="0"/>
            <wp:wrapTopAndBottom/>
            <wp:docPr id="109" name="image48.png"/>
            <wp:cNvGraphicFramePr>
              <a:graphicFrameLocks noChangeAspect="1"/>
            </wp:cNvGraphicFramePr>
            <a:graphic>
              <a:graphicData uri="http://schemas.openxmlformats.org/drawingml/2006/picture">
                <pic:pic>
                  <pic:nvPicPr>
                    <pic:cNvPr id="110" name="image48.png"/>
                    <pic:cNvPicPr/>
                  </pic:nvPicPr>
                  <pic:blipFill>
                    <a:blip r:embed="rId56" cstate="print"/>
                    <a:stretch>
                      <a:fillRect/>
                    </a:stretch>
                  </pic:blipFill>
                  <pic:spPr>
                    <a:xfrm>
                      <a:off x="0" y="0"/>
                      <a:ext cx="4577984" cy="102679"/>
                    </a:xfrm>
                    <a:prstGeom prst="rect">
                      <a:avLst/>
                    </a:prstGeom>
                  </pic:spPr>
                </pic:pic>
              </a:graphicData>
            </a:graphic>
          </wp:anchor>
        </w:drawing>
      </w:r>
      <w:r>
        <w:rPr/>
        <w:drawing>
          <wp:anchor distT="0" distB="0" distL="0" distR="0" allowOverlap="1" layoutInCell="1" locked="0" behindDoc="0" simplePos="0" relativeHeight="49">
            <wp:simplePos x="0" y="0"/>
            <wp:positionH relativeFrom="page">
              <wp:posOffset>6280482</wp:posOffset>
            </wp:positionH>
            <wp:positionV relativeFrom="paragraph">
              <wp:posOffset>1215426</wp:posOffset>
            </wp:positionV>
            <wp:extent cx="129197" cy="91439"/>
            <wp:effectExtent l="0" t="0" r="0" b="0"/>
            <wp:wrapTopAndBottom/>
            <wp:docPr id="111" name="image49.png"/>
            <wp:cNvGraphicFramePr>
              <a:graphicFrameLocks noChangeAspect="1"/>
            </wp:cNvGraphicFramePr>
            <a:graphic>
              <a:graphicData uri="http://schemas.openxmlformats.org/drawingml/2006/picture">
                <pic:pic>
                  <pic:nvPicPr>
                    <pic:cNvPr id="112" name="image49.png"/>
                    <pic:cNvPicPr/>
                  </pic:nvPicPr>
                  <pic:blipFill>
                    <a:blip r:embed="rId57" cstate="print"/>
                    <a:stretch>
                      <a:fillRect/>
                    </a:stretch>
                  </pic:blipFill>
                  <pic:spPr>
                    <a:xfrm>
                      <a:off x="0" y="0"/>
                      <a:ext cx="129197" cy="91439"/>
                    </a:xfrm>
                    <a:prstGeom prst="rect">
                      <a:avLst/>
                    </a:prstGeom>
                  </pic:spPr>
                </pic:pic>
              </a:graphicData>
            </a:graphic>
          </wp:anchor>
        </w:drawing>
      </w:r>
      <w:r>
        <w:rPr/>
        <w:drawing>
          <wp:anchor distT="0" distB="0" distL="0" distR="0" allowOverlap="1" layoutInCell="1" locked="0" behindDoc="0" simplePos="0" relativeHeight="50">
            <wp:simplePos x="0" y="0"/>
            <wp:positionH relativeFrom="page">
              <wp:posOffset>1645920</wp:posOffset>
            </wp:positionH>
            <wp:positionV relativeFrom="paragraph">
              <wp:posOffset>1425702</wp:posOffset>
            </wp:positionV>
            <wp:extent cx="4214359" cy="126015"/>
            <wp:effectExtent l="0" t="0" r="0" b="0"/>
            <wp:wrapTopAndBottom/>
            <wp:docPr id="113" name="image50.png"/>
            <wp:cNvGraphicFramePr>
              <a:graphicFrameLocks noChangeAspect="1"/>
            </wp:cNvGraphicFramePr>
            <a:graphic>
              <a:graphicData uri="http://schemas.openxmlformats.org/drawingml/2006/picture">
                <pic:pic>
                  <pic:nvPicPr>
                    <pic:cNvPr id="114" name="image50.png"/>
                    <pic:cNvPicPr/>
                  </pic:nvPicPr>
                  <pic:blipFill>
                    <a:blip r:embed="rId58" cstate="print"/>
                    <a:stretch>
                      <a:fillRect/>
                    </a:stretch>
                  </pic:blipFill>
                  <pic:spPr>
                    <a:xfrm>
                      <a:off x="0" y="0"/>
                      <a:ext cx="4214359" cy="126015"/>
                    </a:xfrm>
                    <a:prstGeom prst="rect">
                      <a:avLst/>
                    </a:prstGeom>
                  </pic:spPr>
                </pic:pic>
              </a:graphicData>
            </a:graphic>
          </wp:anchor>
        </w:drawing>
      </w:r>
      <w:r>
        <w:rPr/>
        <w:drawing>
          <wp:anchor distT="0" distB="0" distL="0" distR="0" allowOverlap="1" layoutInCell="1" locked="0" behindDoc="0" simplePos="0" relativeHeight="51">
            <wp:simplePos x="0" y="0"/>
            <wp:positionH relativeFrom="page">
              <wp:posOffset>2081783</wp:posOffset>
            </wp:positionH>
            <wp:positionV relativeFrom="paragraph">
              <wp:posOffset>1648205</wp:posOffset>
            </wp:positionV>
            <wp:extent cx="4110226" cy="126015"/>
            <wp:effectExtent l="0" t="0" r="0" b="0"/>
            <wp:wrapTopAndBottom/>
            <wp:docPr id="115" name="image51.png"/>
            <wp:cNvGraphicFramePr>
              <a:graphicFrameLocks noChangeAspect="1"/>
            </wp:cNvGraphicFramePr>
            <a:graphic>
              <a:graphicData uri="http://schemas.openxmlformats.org/drawingml/2006/picture">
                <pic:pic>
                  <pic:nvPicPr>
                    <pic:cNvPr id="116" name="image51.png"/>
                    <pic:cNvPicPr/>
                  </pic:nvPicPr>
                  <pic:blipFill>
                    <a:blip r:embed="rId59" cstate="print"/>
                    <a:stretch>
                      <a:fillRect/>
                    </a:stretch>
                  </pic:blipFill>
                  <pic:spPr>
                    <a:xfrm>
                      <a:off x="0" y="0"/>
                      <a:ext cx="4110226" cy="126015"/>
                    </a:xfrm>
                    <a:prstGeom prst="rect">
                      <a:avLst/>
                    </a:prstGeom>
                  </pic:spPr>
                </pic:pic>
              </a:graphicData>
            </a:graphic>
          </wp:anchor>
        </w:drawing>
      </w:r>
      <w:r>
        <w:rPr/>
        <w:drawing>
          <wp:anchor distT="0" distB="0" distL="0" distR="0" allowOverlap="1" layoutInCell="1" locked="0" behindDoc="0" simplePos="0" relativeHeight="52">
            <wp:simplePos x="0" y="0"/>
            <wp:positionH relativeFrom="page">
              <wp:posOffset>6280430</wp:posOffset>
            </wp:positionH>
            <wp:positionV relativeFrom="paragraph">
              <wp:posOffset>1658910</wp:posOffset>
            </wp:positionV>
            <wp:extent cx="127737" cy="91440"/>
            <wp:effectExtent l="0" t="0" r="0" b="0"/>
            <wp:wrapTopAndBottom/>
            <wp:docPr id="117" name="image52.png"/>
            <wp:cNvGraphicFramePr>
              <a:graphicFrameLocks noChangeAspect="1"/>
            </wp:cNvGraphicFramePr>
            <a:graphic>
              <a:graphicData uri="http://schemas.openxmlformats.org/drawingml/2006/picture">
                <pic:pic>
                  <pic:nvPicPr>
                    <pic:cNvPr id="118" name="image52.png"/>
                    <pic:cNvPicPr/>
                  </pic:nvPicPr>
                  <pic:blipFill>
                    <a:blip r:embed="rId60" cstate="print"/>
                    <a:stretch>
                      <a:fillRect/>
                    </a:stretch>
                  </pic:blipFill>
                  <pic:spPr>
                    <a:xfrm>
                      <a:off x="0" y="0"/>
                      <a:ext cx="127737" cy="91440"/>
                    </a:xfrm>
                    <a:prstGeom prst="rect">
                      <a:avLst/>
                    </a:prstGeom>
                  </pic:spPr>
                </pic:pic>
              </a:graphicData>
            </a:graphic>
          </wp:anchor>
        </w:drawing>
      </w:r>
      <w:r>
        <w:rPr/>
        <w:drawing>
          <wp:anchor distT="0" distB="0" distL="0" distR="0" allowOverlap="1" layoutInCell="1" locked="0" behindDoc="0" simplePos="0" relativeHeight="53">
            <wp:simplePos x="0" y="0"/>
            <wp:positionH relativeFrom="page">
              <wp:posOffset>1645920</wp:posOffset>
            </wp:positionH>
            <wp:positionV relativeFrom="paragraph">
              <wp:posOffset>1869185</wp:posOffset>
            </wp:positionV>
            <wp:extent cx="4577984" cy="102679"/>
            <wp:effectExtent l="0" t="0" r="0" b="0"/>
            <wp:wrapTopAndBottom/>
            <wp:docPr id="119" name="image53.png"/>
            <wp:cNvGraphicFramePr>
              <a:graphicFrameLocks noChangeAspect="1"/>
            </wp:cNvGraphicFramePr>
            <a:graphic>
              <a:graphicData uri="http://schemas.openxmlformats.org/drawingml/2006/picture">
                <pic:pic>
                  <pic:nvPicPr>
                    <pic:cNvPr id="120" name="image53.png"/>
                    <pic:cNvPicPr/>
                  </pic:nvPicPr>
                  <pic:blipFill>
                    <a:blip r:embed="rId61" cstate="print"/>
                    <a:stretch>
                      <a:fillRect/>
                    </a:stretch>
                  </pic:blipFill>
                  <pic:spPr>
                    <a:xfrm>
                      <a:off x="0" y="0"/>
                      <a:ext cx="4577984" cy="102679"/>
                    </a:xfrm>
                    <a:prstGeom prst="rect">
                      <a:avLst/>
                    </a:prstGeom>
                  </pic:spPr>
                </pic:pic>
              </a:graphicData>
            </a:graphic>
          </wp:anchor>
        </w:drawing>
      </w:r>
      <w:r>
        <w:rPr/>
        <w:drawing>
          <wp:anchor distT="0" distB="0" distL="0" distR="0" allowOverlap="1" layoutInCell="1" locked="0" behindDoc="0" simplePos="0" relativeHeight="54">
            <wp:simplePos x="0" y="0"/>
            <wp:positionH relativeFrom="page">
              <wp:posOffset>6280430</wp:posOffset>
            </wp:positionH>
            <wp:positionV relativeFrom="paragraph">
              <wp:posOffset>1879890</wp:posOffset>
            </wp:positionV>
            <wp:extent cx="127737" cy="91440"/>
            <wp:effectExtent l="0" t="0" r="0" b="0"/>
            <wp:wrapTopAndBottom/>
            <wp:docPr id="121" name="image54.png"/>
            <wp:cNvGraphicFramePr>
              <a:graphicFrameLocks noChangeAspect="1"/>
            </wp:cNvGraphicFramePr>
            <a:graphic>
              <a:graphicData uri="http://schemas.openxmlformats.org/drawingml/2006/picture">
                <pic:pic>
                  <pic:nvPicPr>
                    <pic:cNvPr id="122" name="image54.png"/>
                    <pic:cNvPicPr/>
                  </pic:nvPicPr>
                  <pic:blipFill>
                    <a:blip r:embed="rId62" cstate="print"/>
                    <a:stretch>
                      <a:fillRect/>
                    </a:stretch>
                  </pic:blipFill>
                  <pic:spPr>
                    <a:xfrm>
                      <a:off x="0" y="0"/>
                      <a:ext cx="127737" cy="91440"/>
                    </a:xfrm>
                    <a:prstGeom prst="rect">
                      <a:avLst/>
                    </a:prstGeom>
                  </pic:spPr>
                </pic:pic>
              </a:graphicData>
            </a:graphic>
          </wp:anchor>
        </w:drawing>
      </w:r>
    </w:p>
    <w:p>
      <w:pPr>
        <w:pStyle w:val="BodyText"/>
        <w:spacing w:before="10"/>
        <w:rPr>
          <w:b/>
          <w:sz w:val="6"/>
        </w:rPr>
      </w:pPr>
    </w:p>
    <w:p>
      <w:pPr>
        <w:pStyle w:val="BodyText"/>
        <w:spacing w:before="8"/>
        <w:rPr>
          <w:b/>
          <w:sz w:val="9"/>
        </w:rPr>
      </w:pPr>
    </w:p>
    <w:p>
      <w:pPr>
        <w:pStyle w:val="BodyText"/>
        <w:spacing w:before="10"/>
        <w:rPr>
          <w:b/>
          <w:sz w:val="9"/>
        </w:rPr>
      </w:pPr>
    </w:p>
    <w:p>
      <w:pPr>
        <w:pStyle w:val="BodyText"/>
        <w:spacing w:before="8"/>
        <w:rPr>
          <w:b/>
          <w:sz w:val="6"/>
        </w:rPr>
      </w:pPr>
    </w:p>
    <w:p>
      <w:pPr>
        <w:pStyle w:val="BodyText"/>
        <w:spacing w:before="10"/>
        <w:rPr>
          <w:b/>
          <w:sz w:val="6"/>
        </w:rPr>
      </w:pPr>
    </w:p>
    <w:p>
      <w:pPr>
        <w:pStyle w:val="BodyText"/>
        <w:spacing w:before="8"/>
        <w:rPr>
          <w:b/>
          <w:sz w:val="9"/>
        </w:rPr>
      </w:pPr>
    </w:p>
    <w:p>
      <w:pPr>
        <w:pStyle w:val="BodyText"/>
        <w:spacing w:before="10"/>
        <w:rPr>
          <w:b/>
          <w:sz w:val="6"/>
        </w:rPr>
      </w:pPr>
    </w:p>
    <w:p>
      <w:pPr>
        <w:pStyle w:val="BodyText"/>
        <w:spacing w:before="8"/>
        <w:rPr>
          <w:b/>
          <w:sz w:val="6"/>
        </w:rPr>
      </w:pPr>
    </w:p>
    <w:p>
      <w:pPr>
        <w:pStyle w:val="BodyText"/>
        <w:rPr>
          <w:b/>
          <w:sz w:val="20"/>
        </w:rPr>
      </w:pPr>
    </w:p>
    <w:p>
      <w:pPr>
        <w:pStyle w:val="BodyText"/>
        <w:spacing w:before="1"/>
        <w:rPr>
          <w:b/>
          <w:sz w:val="20"/>
        </w:rPr>
      </w:pPr>
      <w:r>
        <w:rPr/>
        <w:pict>
          <v:rect style="position:absolute;margin-left:88.463997pt;margin-top:14.233969pt;width:418.51pt;height:1.44pt;mso-position-horizontal-relative:page;mso-position-vertical-relative:paragraph;z-index:-15700480;mso-wrap-distance-left:0;mso-wrap-distance-right:0" filled="true" fillcolor="#bebebe" stroked="false">
            <v:fill type="solid"/>
            <w10:wrap type="topAndBottom"/>
          </v:rect>
        </w:pict>
      </w:r>
    </w:p>
    <w:p>
      <w:pPr>
        <w:spacing w:after="0"/>
        <w:rPr>
          <w:sz w:val="20"/>
        </w:rPr>
        <w:sectPr>
          <w:headerReference w:type="default" r:id="rId9"/>
          <w:footerReference w:type="default" r:id="rId10"/>
          <w:pgSz w:w="11910" w:h="16840"/>
          <w:pgMar w:header="672" w:footer="734" w:top="1300" w:bottom="920" w:left="440" w:right="140"/>
        </w:sectPr>
      </w:pPr>
    </w:p>
    <w:p>
      <w:pPr>
        <w:pStyle w:val="BodyText"/>
        <w:rPr>
          <w:b/>
          <w:sz w:val="20"/>
        </w:rPr>
      </w:pPr>
    </w:p>
    <w:p>
      <w:pPr>
        <w:pStyle w:val="BodyText"/>
        <w:rPr>
          <w:b/>
          <w:sz w:val="20"/>
        </w:rPr>
      </w:pPr>
    </w:p>
    <w:p>
      <w:pPr>
        <w:pStyle w:val="BodyText"/>
        <w:spacing w:before="3"/>
        <w:rPr>
          <w:b/>
          <w:sz w:val="13"/>
        </w:rPr>
      </w:pPr>
    </w:p>
    <w:p>
      <w:pPr>
        <w:pStyle w:val="BodyText"/>
        <w:spacing w:line="198" w:lineRule="exact"/>
        <w:ind w:left="2152"/>
        <w:rPr>
          <w:sz w:val="19"/>
        </w:rPr>
      </w:pPr>
      <w:r>
        <w:rPr>
          <w:position w:val="-3"/>
          <w:sz w:val="19"/>
        </w:rPr>
        <w:drawing>
          <wp:inline distT="0" distB="0" distL="0" distR="0">
            <wp:extent cx="4214359" cy="126015"/>
            <wp:effectExtent l="0" t="0" r="0" b="0"/>
            <wp:docPr id="125" name="image55.png"/>
            <wp:cNvGraphicFramePr>
              <a:graphicFrameLocks noChangeAspect="1"/>
            </wp:cNvGraphicFramePr>
            <a:graphic>
              <a:graphicData uri="http://schemas.openxmlformats.org/drawingml/2006/picture">
                <pic:pic>
                  <pic:nvPicPr>
                    <pic:cNvPr id="126" name="image55.png"/>
                    <pic:cNvPicPr/>
                  </pic:nvPicPr>
                  <pic:blipFill>
                    <a:blip r:embed="rId65" cstate="print"/>
                    <a:stretch>
                      <a:fillRect/>
                    </a:stretch>
                  </pic:blipFill>
                  <pic:spPr>
                    <a:xfrm>
                      <a:off x="0" y="0"/>
                      <a:ext cx="4214359" cy="126015"/>
                    </a:xfrm>
                    <a:prstGeom prst="rect">
                      <a:avLst/>
                    </a:prstGeom>
                  </pic:spPr>
                </pic:pic>
              </a:graphicData>
            </a:graphic>
          </wp:inline>
        </w:drawing>
      </w:r>
      <w:r>
        <w:rPr>
          <w:position w:val="-3"/>
          <w:sz w:val="19"/>
        </w:rPr>
      </w:r>
    </w:p>
    <w:p>
      <w:pPr>
        <w:pStyle w:val="BodyText"/>
        <w:spacing w:before="1"/>
        <w:rPr>
          <w:b/>
          <w:sz w:val="9"/>
        </w:rPr>
      </w:pPr>
      <w:r>
        <w:rPr/>
        <w:drawing>
          <wp:anchor distT="0" distB="0" distL="0" distR="0" allowOverlap="1" layoutInCell="1" locked="0" behindDoc="0" simplePos="0" relativeHeight="56">
            <wp:simplePos x="0" y="0"/>
            <wp:positionH relativeFrom="page">
              <wp:posOffset>2081783</wp:posOffset>
            </wp:positionH>
            <wp:positionV relativeFrom="paragraph">
              <wp:posOffset>95250</wp:posOffset>
            </wp:positionV>
            <wp:extent cx="4110226" cy="126015"/>
            <wp:effectExtent l="0" t="0" r="0" b="0"/>
            <wp:wrapTopAndBottom/>
            <wp:docPr id="127" name="image56.png"/>
            <wp:cNvGraphicFramePr>
              <a:graphicFrameLocks noChangeAspect="1"/>
            </wp:cNvGraphicFramePr>
            <a:graphic>
              <a:graphicData uri="http://schemas.openxmlformats.org/drawingml/2006/picture">
                <pic:pic>
                  <pic:nvPicPr>
                    <pic:cNvPr id="128" name="image56.png"/>
                    <pic:cNvPicPr/>
                  </pic:nvPicPr>
                  <pic:blipFill>
                    <a:blip r:embed="rId66" cstate="print"/>
                    <a:stretch>
                      <a:fillRect/>
                    </a:stretch>
                  </pic:blipFill>
                  <pic:spPr>
                    <a:xfrm>
                      <a:off x="0" y="0"/>
                      <a:ext cx="4110226" cy="126015"/>
                    </a:xfrm>
                    <a:prstGeom prst="rect">
                      <a:avLst/>
                    </a:prstGeom>
                  </pic:spPr>
                </pic:pic>
              </a:graphicData>
            </a:graphic>
          </wp:anchor>
        </w:drawing>
      </w:r>
      <w:r>
        <w:rPr/>
        <w:drawing>
          <wp:anchor distT="0" distB="0" distL="0" distR="0" allowOverlap="1" layoutInCell="1" locked="0" behindDoc="0" simplePos="0" relativeHeight="57">
            <wp:simplePos x="0" y="0"/>
            <wp:positionH relativeFrom="page">
              <wp:posOffset>6278905</wp:posOffset>
            </wp:positionH>
            <wp:positionV relativeFrom="paragraph">
              <wp:posOffset>105954</wp:posOffset>
            </wp:positionV>
            <wp:extent cx="132274" cy="91440"/>
            <wp:effectExtent l="0" t="0" r="0" b="0"/>
            <wp:wrapTopAndBottom/>
            <wp:docPr id="129" name="image57.png"/>
            <wp:cNvGraphicFramePr>
              <a:graphicFrameLocks noChangeAspect="1"/>
            </wp:cNvGraphicFramePr>
            <a:graphic>
              <a:graphicData uri="http://schemas.openxmlformats.org/drawingml/2006/picture">
                <pic:pic>
                  <pic:nvPicPr>
                    <pic:cNvPr id="130" name="image57.png"/>
                    <pic:cNvPicPr/>
                  </pic:nvPicPr>
                  <pic:blipFill>
                    <a:blip r:embed="rId67" cstate="print"/>
                    <a:stretch>
                      <a:fillRect/>
                    </a:stretch>
                  </pic:blipFill>
                  <pic:spPr>
                    <a:xfrm>
                      <a:off x="0" y="0"/>
                      <a:ext cx="132274" cy="91440"/>
                    </a:xfrm>
                    <a:prstGeom prst="rect">
                      <a:avLst/>
                    </a:prstGeom>
                  </pic:spPr>
                </pic:pic>
              </a:graphicData>
            </a:graphic>
          </wp:anchor>
        </w:drawing>
      </w:r>
      <w:r>
        <w:rPr/>
        <w:drawing>
          <wp:anchor distT="0" distB="0" distL="0" distR="0" allowOverlap="1" layoutInCell="1" locked="0" behindDoc="0" simplePos="0" relativeHeight="58">
            <wp:simplePos x="0" y="0"/>
            <wp:positionH relativeFrom="page">
              <wp:posOffset>1645920</wp:posOffset>
            </wp:positionH>
            <wp:positionV relativeFrom="paragraph">
              <wp:posOffset>317754</wp:posOffset>
            </wp:positionV>
            <wp:extent cx="4577984" cy="102679"/>
            <wp:effectExtent l="0" t="0" r="0" b="0"/>
            <wp:wrapTopAndBottom/>
            <wp:docPr id="131" name="image58.png"/>
            <wp:cNvGraphicFramePr>
              <a:graphicFrameLocks noChangeAspect="1"/>
            </wp:cNvGraphicFramePr>
            <a:graphic>
              <a:graphicData uri="http://schemas.openxmlformats.org/drawingml/2006/picture">
                <pic:pic>
                  <pic:nvPicPr>
                    <pic:cNvPr id="132" name="image58.png"/>
                    <pic:cNvPicPr/>
                  </pic:nvPicPr>
                  <pic:blipFill>
                    <a:blip r:embed="rId68" cstate="print"/>
                    <a:stretch>
                      <a:fillRect/>
                    </a:stretch>
                  </pic:blipFill>
                  <pic:spPr>
                    <a:xfrm>
                      <a:off x="0" y="0"/>
                      <a:ext cx="4577984" cy="102679"/>
                    </a:xfrm>
                    <a:prstGeom prst="rect">
                      <a:avLst/>
                    </a:prstGeom>
                  </pic:spPr>
                </pic:pic>
              </a:graphicData>
            </a:graphic>
          </wp:anchor>
        </w:drawing>
      </w:r>
      <w:r>
        <w:rPr/>
        <w:drawing>
          <wp:anchor distT="0" distB="0" distL="0" distR="0" allowOverlap="1" layoutInCell="1" locked="0" behindDoc="0" simplePos="0" relativeHeight="59">
            <wp:simplePos x="0" y="0"/>
            <wp:positionH relativeFrom="page">
              <wp:posOffset>6278905</wp:posOffset>
            </wp:positionH>
            <wp:positionV relativeFrom="paragraph">
              <wp:posOffset>328458</wp:posOffset>
            </wp:positionV>
            <wp:extent cx="132274" cy="91440"/>
            <wp:effectExtent l="0" t="0" r="0" b="0"/>
            <wp:wrapTopAndBottom/>
            <wp:docPr id="133" name="image59.png"/>
            <wp:cNvGraphicFramePr>
              <a:graphicFrameLocks noChangeAspect="1"/>
            </wp:cNvGraphicFramePr>
            <a:graphic>
              <a:graphicData uri="http://schemas.openxmlformats.org/drawingml/2006/picture">
                <pic:pic>
                  <pic:nvPicPr>
                    <pic:cNvPr id="134" name="image59.png"/>
                    <pic:cNvPicPr/>
                  </pic:nvPicPr>
                  <pic:blipFill>
                    <a:blip r:embed="rId69" cstate="print"/>
                    <a:stretch>
                      <a:fillRect/>
                    </a:stretch>
                  </pic:blipFill>
                  <pic:spPr>
                    <a:xfrm>
                      <a:off x="0" y="0"/>
                      <a:ext cx="132274" cy="91440"/>
                    </a:xfrm>
                    <a:prstGeom prst="rect">
                      <a:avLst/>
                    </a:prstGeom>
                  </pic:spPr>
                </pic:pic>
              </a:graphicData>
            </a:graphic>
          </wp:anchor>
        </w:drawing>
      </w:r>
      <w:r>
        <w:rPr/>
        <w:drawing>
          <wp:anchor distT="0" distB="0" distL="0" distR="0" allowOverlap="1" layoutInCell="1" locked="0" behindDoc="0" simplePos="0" relativeHeight="60">
            <wp:simplePos x="0" y="0"/>
            <wp:positionH relativeFrom="page">
              <wp:posOffset>1645920</wp:posOffset>
            </wp:positionH>
            <wp:positionV relativeFrom="paragraph">
              <wp:posOffset>537209</wp:posOffset>
            </wp:positionV>
            <wp:extent cx="4585093" cy="128016"/>
            <wp:effectExtent l="0" t="0" r="0" b="0"/>
            <wp:wrapTopAndBottom/>
            <wp:docPr id="135" name="image60.png"/>
            <wp:cNvGraphicFramePr>
              <a:graphicFrameLocks noChangeAspect="1"/>
            </wp:cNvGraphicFramePr>
            <a:graphic>
              <a:graphicData uri="http://schemas.openxmlformats.org/drawingml/2006/picture">
                <pic:pic>
                  <pic:nvPicPr>
                    <pic:cNvPr id="136" name="image60.png"/>
                    <pic:cNvPicPr/>
                  </pic:nvPicPr>
                  <pic:blipFill>
                    <a:blip r:embed="rId70" cstate="print"/>
                    <a:stretch>
                      <a:fillRect/>
                    </a:stretch>
                  </pic:blipFill>
                  <pic:spPr>
                    <a:xfrm>
                      <a:off x="0" y="0"/>
                      <a:ext cx="4585093" cy="128016"/>
                    </a:xfrm>
                    <a:prstGeom prst="rect">
                      <a:avLst/>
                    </a:prstGeom>
                  </pic:spPr>
                </pic:pic>
              </a:graphicData>
            </a:graphic>
          </wp:anchor>
        </w:drawing>
      </w:r>
      <w:r>
        <w:rPr/>
        <w:drawing>
          <wp:anchor distT="0" distB="0" distL="0" distR="0" allowOverlap="1" layoutInCell="1" locked="0" behindDoc="0" simplePos="0" relativeHeight="61">
            <wp:simplePos x="0" y="0"/>
            <wp:positionH relativeFrom="page">
              <wp:posOffset>2078735</wp:posOffset>
            </wp:positionH>
            <wp:positionV relativeFrom="paragraph">
              <wp:posOffset>759713</wp:posOffset>
            </wp:positionV>
            <wp:extent cx="4129084" cy="128016"/>
            <wp:effectExtent l="0" t="0" r="0" b="0"/>
            <wp:wrapTopAndBottom/>
            <wp:docPr id="137" name="image61.png"/>
            <wp:cNvGraphicFramePr>
              <a:graphicFrameLocks noChangeAspect="1"/>
            </wp:cNvGraphicFramePr>
            <a:graphic>
              <a:graphicData uri="http://schemas.openxmlformats.org/drawingml/2006/picture">
                <pic:pic>
                  <pic:nvPicPr>
                    <pic:cNvPr id="138" name="image61.png"/>
                    <pic:cNvPicPr/>
                  </pic:nvPicPr>
                  <pic:blipFill>
                    <a:blip r:embed="rId71" cstate="print"/>
                    <a:stretch>
                      <a:fillRect/>
                    </a:stretch>
                  </pic:blipFill>
                  <pic:spPr>
                    <a:xfrm>
                      <a:off x="0" y="0"/>
                      <a:ext cx="4129084" cy="128016"/>
                    </a:xfrm>
                    <a:prstGeom prst="rect">
                      <a:avLst/>
                    </a:prstGeom>
                  </pic:spPr>
                </pic:pic>
              </a:graphicData>
            </a:graphic>
          </wp:anchor>
        </w:drawing>
      </w:r>
      <w:r>
        <w:rPr/>
        <w:drawing>
          <wp:anchor distT="0" distB="0" distL="0" distR="0" allowOverlap="1" layoutInCell="1" locked="0" behindDoc="0" simplePos="0" relativeHeight="62">
            <wp:simplePos x="0" y="0"/>
            <wp:positionH relativeFrom="page">
              <wp:posOffset>6278958</wp:posOffset>
            </wp:positionH>
            <wp:positionV relativeFrom="paragraph">
              <wp:posOffset>771942</wp:posOffset>
            </wp:positionV>
            <wp:extent cx="129197" cy="91440"/>
            <wp:effectExtent l="0" t="0" r="0" b="0"/>
            <wp:wrapTopAndBottom/>
            <wp:docPr id="139" name="image62.png"/>
            <wp:cNvGraphicFramePr>
              <a:graphicFrameLocks noChangeAspect="1"/>
            </wp:cNvGraphicFramePr>
            <a:graphic>
              <a:graphicData uri="http://schemas.openxmlformats.org/drawingml/2006/picture">
                <pic:pic>
                  <pic:nvPicPr>
                    <pic:cNvPr id="140" name="image62.png"/>
                    <pic:cNvPicPr/>
                  </pic:nvPicPr>
                  <pic:blipFill>
                    <a:blip r:embed="rId72" cstate="print"/>
                    <a:stretch>
                      <a:fillRect/>
                    </a:stretch>
                  </pic:blipFill>
                  <pic:spPr>
                    <a:xfrm>
                      <a:off x="0" y="0"/>
                      <a:ext cx="129197" cy="91440"/>
                    </a:xfrm>
                    <a:prstGeom prst="rect">
                      <a:avLst/>
                    </a:prstGeom>
                  </pic:spPr>
                </pic:pic>
              </a:graphicData>
            </a:graphic>
          </wp:anchor>
        </w:drawing>
      </w:r>
      <w:r>
        <w:rPr/>
        <w:drawing>
          <wp:anchor distT="0" distB="0" distL="0" distR="0" allowOverlap="1" layoutInCell="1" locked="0" behindDoc="0" simplePos="0" relativeHeight="63">
            <wp:simplePos x="0" y="0"/>
            <wp:positionH relativeFrom="page">
              <wp:posOffset>1642872</wp:posOffset>
            </wp:positionH>
            <wp:positionV relativeFrom="paragraph">
              <wp:posOffset>980694</wp:posOffset>
            </wp:positionV>
            <wp:extent cx="4562369" cy="128016"/>
            <wp:effectExtent l="0" t="0" r="0" b="0"/>
            <wp:wrapTopAndBottom/>
            <wp:docPr id="141" name="image63.png"/>
            <wp:cNvGraphicFramePr>
              <a:graphicFrameLocks noChangeAspect="1"/>
            </wp:cNvGraphicFramePr>
            <a:graphic>
              <a:graphicData uri="http://schemas.openxmlformats.org/drawingml/2006/picture">
                <pic:pic>
                  <pic:nvPicPr>
                    <pic:cNvPr id="142" name="image63.png"/>
                    <pic:cNvPicPr/>
                  </pic:nvPicPr>
                  <pic:blipFill>
                    <a:blip r:embed="rId73" cstate="print"/>
                    <a:stretch>
                      <a:fillRect/>
                    </a:stretch>
                  </pic:blipFill>
                  <pic:spPr>
                    <a:xfrm>
                      <a:off x="0" y="0"/>
                      <a:ext cx="4562369" cy="128016"/>
                    </a:xfrm>
                    <a:prstGeom prst="rect">
                      <a:avLst/>
                    </a:prstGeom>
                  </pic:spPr>
                </pic:pic>
              </a:graphicData>
            </a:graphic>
          </wp:anchor>
        </w:drawing>
      </w:r>
      <w:r>
        <w:rPr/>
        <w:drawing>
          <wp:anchor distT="0" distB="0" distL="0" distR="0" allowOverlap="1" layoutInCell="1" locked="0" behindDoc="0" simplePos="0" relativeHeight="64">
            <wp:simplePos x="0" y="0"/>
            <wp:positionH relativeFrom="page">
              <wp:posOffset>6278958</wp:posOffset>
            </wp:positionH>
            <wp:positionV relativeFrom="paragraph">
              <wp:posOffset>992922</wp:posOffset>
            </wp:positionV>
            <wp:extent cx="129197" cy="91440"/>
            <wp:effectExtent l="0" t="0" r="0" b="0"/>
            <wp:wrapTopAndBottom/>
            <wp:docPr id="143" name="image64.png"/>
            <wp:cNvGraphicFramePr>
              <a:graphicFrameLocks noChangeAspect="1"/>
            </wp:cNvGraphicFramePr>
            <a:graphic>
              <a:graphicData uri="http://schemas.openxmlformats.org/drawingml/2006/picture">
                <pic:pic>
                  <pic:nvPicPr>
                    <pic:cNvPr id="144" name="image64.png"/>
                    <pic:cNvPicPr/>
                  </pic:nvPicPr>
                  <pic:blipFill>
                    <a:blip r:embed="rId74" cstate="print"/>
                    <a:stretch>
                      <a:fillRect/>
                    </a:stretch>
                  </pic:blipFill>
                  <pic:spPr>
                    <a:xfrm>
                      <a:off x="0" y="0"/>
                      <a:ext cx="129197" cy="91440"/>
                    </a:xfrm>
                    <a:prstGeom prst="rect">
                      <a:avLst/>
                    </a:prstGeom>
                  </pic:spPr>
                </pic:pic>
              </a:graphicData>
            </a:graphic>
          </wp:anchor>
        </w:drawing>
      </w:r>
      <w:r>
        <w:rPr/>
        <w:drawing>
          <wp:anchor distT="0" distB="0" distL="0" distR="0" allowOverlap="1" layoutInCell="1" locked="0" behindDoc="0" simplePos="0" relativeHeight="65">
            <wp:simplePos x="0" y="0"/>
            <wp:positionH relativeFrom="page">
              <wp:posOffset>1645920</wp:posOffset>
            </wp:positionH>
            <wp:positionV relativeFrom="paragraph">
              <wp:posOffset>1204722</wp:posOffset>
            </wp:positionV>
            <wp:extent cx="4577984" cy="102679"/>
            <wp:effectExtent l="0" t="0" r="0" b="0"/>
            <wp:wrapTopAndBottom/>
            <wp:docPr id="145" name="image65.png"/>
            <wp:cNvGraphicFramePr>
              <a:graphicFrameLocks noChangeAspect="1"/>
            </wp:cNvGraphicFramePr>
            <a:graphic>
              <a:graphicData uri="http://schemas.openxmlformats.org/drawingml/2006/picture">
                <pic:pic>
                  <pic:nvPicPr>
                    <pic:cNvPr id="146" name="image65.png"/>
                    <pic:cNvPicPr/>
                  </pic:nvPicPr>
                  <pic:blipFill>
                    <a:blip r:embed="rId75" cstate="print"/>
                    <a:stretch>
                      <a:fillRect/>
                    </a:stretch>
                  </pic:blipFill>
                  <pic:spPr>
                    <a:xfrm>
                      <a:off x="0" y="0"/>
                      <a:ext cx="4577984" cy="102679"/>
                    </a:xfrm>
                    <a:prstGeom prst="rect">
                      <a:avLst/>
                    </a:prstGeom>
                  </pic:spPr>
                </pic:pic>
              </a:graphicData>
            </a:graphic>
          </wp:anchor>
        </w:drawing>
      </w:r>
      <w:r>
        <w:rPr/>
        <w:drawing>
          <wp:anchor distT="0" distB="0" distL="0" distR="0" allowOverlap="1" layoutInCell="1" locked="0" behindDoc="0" simplePos="0" relativeHeight="66">
            <wp:simplePos x="0" y="0"/>
            <wp:positionH relativeFrom="page">
              <wp:posOffset>6278958</wp:posOffset>
            </wp:positionH>
            <wp:positionV relativeFrom="paragraph">
              <wp:posOffset>1215426</wp:posOffset>
            </wp:positionV>
            <wp:extent cx="129197" cy="91440"/>
            <wp:effectExtent l="0" t="0" r="0" b="0"/>
            <wp:wrapTopAndBottom/>
            <wp:docPr id="147" name="image64.png"/>
            <wp:cNvGraphicFramePr>
              <a:graphicFrameLocks noChangeAspect="1"/>
            </wp:cNvGraphicFramePr>
            <a:graphic>
              <a:graphicData uri="http://schemas.openxmlformats.org/drawingml/2006/picture">
                <pic:pic>
                  <pic:nvPicPr>
                    <pic:cNvPr id="148" name="image64.png"/>
                    <pic:cNvPicPr/>
                  </pic:nvPicPr>
                  <pic:blipFill>
                    <a:blip r:embed="rId74" cstate="print"/>
                    <a:stretch>
                      <a:fillRect/>
                    </a:stretch>
                  </pic:blipFill>
                  <pic:spPr>
                    <a:xfrm>
                      <a:off x="0" y="0"/>
                      <a:ext cx="129197" cy="91440"/>
                    </a:xfrm>
                    <a:prstGeom prst="rect">
                      <a:avLst/>
                    </a:prstGeom>
                  </pic:spPr>
                </pic:pic>
              </a:graphicData>
            </a:graphic>
          </wp:anchor>
        </w:drawing>
      </w:r>
      <w:r>
        <w:rPr/>
        <w:drawing>
          <wp:anchor distT="0" distB="0" distL="0" distR="0" allowOverlap="1" layoutInCell="1" locked="0" behindDoc="0" simplePos="0" relativeHeight="67">
            <wp:simplePos x="0" y="0"/>
            <wp:positionH relativeFrom="page">
              <wp:posOffset>1645920</wp:posOffset>
            </wp:positionH>
            <wp:positionV relativeFrom="paragraph">
              <wp:posOffset>1425702</wp:posOffset>
            </wp:positionV>
            <wp:extent cx="4541849" cy="126015"/>
            <wp:effectExtent l="0" t="0" r="0" b="0"/>
            <wp:wrapTopAndBottom/>
            <wp:docPr id="149" name="image66.png"/>
            <wp:cNvGraphicFramePr>
              <a:graphicFrameLocks noChangeAspect="1"/>
            </wp:cNvGraphicFramePr>
            <a:graphic>
              <a:graphicData uri="http://schemas.openxmlformats.org/drawingml/2006/picture">
                <pic:pic>
                  <pic:nvPicPr>
                    <pic:cNvPr id="150" name="image66.png"/>
                    <pic:cNvPicPr/>
                  </pic:nvPicPr>
                  <pic:blipFill>
                    <a:blip r:embed="rId76" cstate="print"/>
                    <a:stretch>
                      <a:fillRect/>
                    </a:stretch>
                  </pic:blipFill>
                  <pic:spPr>
                    <a:xfrm>
                      <a:off x="0" y="0"/>
                      <a:ext cx="4541849" cy="126015"/>
                    </a:xfrm>
                    <a:prstGeom prst="rect">
                      <a:avLst/>
                    </a:prstGeom>
                  </pic:spPr>
                </pic:pic>
              </a:graphicData>
            </a:graphic>
          </wp:anchor>
        </w:drawing>
      </w:r>
      <w:r>
        <w:rPr/>
        <w:drawing>
          <wp:anchor distT="0" distB="0" distL="0" distR="0" allowOverlap="1" layoutInCell="1" locked="0" behindDoc="0" simplePos="0" relativeHeight="68">
            <wp:simplePos x="0" y="0"/>
            <wp:positionH relativeFrom="page">
              <wp:posOffset>6278958</wp:posOffset>
            </wp:positionH>
            <wp:positionV relativeFrom="paragraph">
              <wp:posOffset>1436406</wp:posOffset>
            </wp:positionV>
            <wp:extent cx="129197" cy="91440"/>
            <wp:effectExtent l="0" t="0" r="0" b="0"/>
            <wp:wrapTopAndBottom/>
            <wp:docPr id="151" name="image67.png"/>
            <wp:cNvGraphicFramePr>
              <a:graphicFrameLocks noChangeAspect="1"/>
            </wp:cNvGraphicFramePr>
            <a:graphic>
              <a:graphicData uri="http://schemas.openxmlformats.org/drawingml/2006/picture">
                <pic:pic>
                  <pic:nvPicPr>
                    <pic:cNvPr id="152" name="image67.png"/>
                    <pic:cNvPicPr/>
                  </pic:nvPicPr>
                  <pic:blipFill>
                    <a:blip r:embed="rId77" cstate="print"/>
                    <a:stretch>
                      <a:fillRect/>
                    </a:stretch>
                  </pic:blipFill>
                  <pic:spPr>
                    <a:xfrm>
                      <a:off x="0" y="0"/>
                      <a:ext cx="129197" cy="91440"/>
                    </a:xfrm>
                    <a:prstGeom prst="rect">
                      <a:avLst/>
                    </a:prstGeom>
                  </pic:spPr>
                </pic:pic>
              </a:graphicData>
            </a:graphic>
          </wp:anchor>
        </w:drawing>
      </w:r>
      <w:r>
        <w:rPr/>
        <w:drawing>
          <wp:anchor distT="0" distB="0" distL="0" distR="0" allowOverlap="1" layoutInCell="1" locked="0" behindDoc="0" simplePos="0" relativeHeight="69">
            <wp:simplePos x="0" y="0"/>
            <wp:positionH relativeFrom="page">
              <wp:posOffset>1645920</wp:posOffset>
            </wp:positionH>
            <wp:positionV relativeFrom="paragraph">
              <wp:posOffset>1646682</wp:posOffset>
            </wp:positionV>
            <wp:extent cx="4577984" cy="102679"/>
            <wp:effectExtent l="0" t="0" r="0" b="0"/>
            <wp:wrapTopAndBottom/>
            <wp:docPr id="153" name="image68.png"/>
            <wp:cNvGraphicFramePr>
              <a:graphicFrameLocks noChangeAspect="1"/>
            </wp:cNvGraphicFramePr>
            <a:graphic>
              <a:graphicData uri="http://schemas.openxmlformats.org/drawingml/2006/picture">
                <pic:pic>
                  <pic:nvPicPr>
                    <pic:cNvPr id="154" name="image68.png"/>
                    <pic:cNvPicPr/>
                  </pic:nvPicPr>
                  <pic:blipFill>
                    <a:blip r:embed="rId78" cstate="print"/>
                    <a:stretch>
                      <a:fillRect/>
                    </a:stretch>
                  </pic:blipFill>
                  <pic:spPr>
                    <a:xfrm>
                      <a:off x="0" y="0"/>
                      <a:ext cx="4577984" cy="102679"/>
                    </a:xfrm>
                    <a:prstGeom prst="rect">
                      <a:avLst/>
                    </a:prstGeom>
                  </pic:spPr>
                </pic:pic>
              </a:graphicData>
            </a:graphic>
          </wp:anchor>
        </w:drawing>
      </w:r>
      <w:r>
        <w:rPr/>
        <w:drawing>
          <wp:anchor distT="0" distB="0" distL="0" distR="0" allowOverlap="1" layoutInCell="1" locked="0" behindDoc="0" simplePos="0" relativeHeight="70">
            <wp:simplePos x="0" y="0"/>
            <wp:positionH relativeFrom="page">
              <wp:posOffset>6278958</wp:posOffset>
            </wp:positionH>
            <wp:positionV relativeFrom="paragraph">
              <wp:posOffset>1657386</wp:posOffset>
            </wp:positionV>
            <wp:extent cx="129197" cy="91440"/>
            <wp:effectExtent l="0" t="0" r="0" b="0"/>
            <wp:wrapTopAndBottom/>
            <wp:docPr id="155" name="image67.png"/>
            <wp:cNvGraphicFramePr>
              <a:graphicFrameLocks noChangeAspect="1"/>
            </wp:cNvGraphicFramePr>
            <a:graphic>
              <a:graphicData uri="http://schemas.openxmlformats.org/drawingml/2006/picture">
                <pic:pic>
                  <pic:nvPicPr>
                    <pic:cNvPr id="156" name="image67.png"/>
                    <pic:cNvPicPr/>
                  </pic:nvPicPr>
                  <pic:blipFill>
                    <a:blip r:embed="rId77" cstate="print"/>
                    <a:stretch>
                      <a:fillRect/>
                    </a:stretch>
                  </pic:blipFill>
                  <pic:spPr>
                    <a:xfrm>
                      <a:off x="0" y="0"/>
                      <a:ext cx="129197" cy="91440"/>
                    </a:xfrm>
                    <a:prstGeom prst="rect">
                      <a:avLst/>
                    </a:prstGeom>
                  </pic:spPr>
                </pic:pic>
              </a:graphicData>
            </a:graphic>
          </wp:anchor>
        </w:drawing>
      </w:r>
      <w:r>
        <w:rPr/>
        <w:drawing>
          <wp:anchor distT="0" distB="0" distL="0" distR="0" allowOverlap="1" layoutInCell="1" locked="0" behindDoc="0" simplePos="0" relativeHeight="71">
            <wp:simplePos x="0" y="0"/>
            <wp:positionH relativeFrom="page">
              <wp:posOffset>1645920</wp:posOffset>
            </wp:positionH>
            <wp:positionV relativeFrom="paragraph">
              <wp:posOffset>1869185</wp:posOffset>
            </wp:positionV>
            <wp:extent cx="4335092" cy="126015"/>
            <wp:effectExtent l="0" t="0" r="0" b="0"/>
            <wp:wrapTopAndBottom/>
            <wp:docPr id="157" name="image69.png"/>
            <wp:cNvGraphicFramePr>
              <a:graphicFrameLocks noChangeAspect="1"/>
            </wp:cNvGraphicFramePr>
            <a:graphic>
              <a:graphicData uri="http://schemas.openxmlformats.org/drawingml/2006/picture">
                <pic:pic>
                  <pic:nvPicPr>
                    <pic:cNvPr id="158" name="image69.png"/>
                    <pic:cNvPicPr/>
                  </pic:nvPicPr>
                  <pic:blipFill>
                    <a:blip r:embed="rId79" cstate="print"/>
                    <a:stretch>
                      <a:fillRect/>
                    </a:stretch>
                  </pic:blipFill>
                  <pic:spPr>
                    <a:xfrm>
                      <a:off x="0" y="0"/>
                      <a:ext cx="4335092" cy="126015"/>
                    </a:xfrm>
                    <a:prstGeom prst="rect">
                      <a:avLst/>
                    </a:prstGeom>
                  </pic:spPr>
                </pic:pic>
              </a:graphicData>
            </a:graphic>
          </wp:anchor>
        </w:drawing>
      </w:r>
      <w:r>
        <w:rPr/>
        <w:drawing>
          <wp:anchor distT="0" distB="0" distL="0" distR="0" allowOverlap="1" layoutInCell="1" locked="0" behindDoc="0" simplePos="0" relativeHeight="72">
            <wp:simplePos x="0" y="0"/>
            <wp:positionH relativeFrom="page">
              <wp:posOffset>2083307</wp:posOffset>
            </wp:positionH>
            <wp:positionV relativeFrom="paragraph">
              <wp:posOffset>2090166</wp:posOffset>
            </wp:positionV>
            <wp:extent cx="4108717" cy="126015"/>
            <wp:effectExtent l="0" t="0" r="0" b="0"/>
            <wp:wrapTopAndBottom/>
            <wp:docPr id="159" name="image70.png"/>
            <wp:cNvGraphicFramePr>
              <a:graphicFrameLocks noChangeAspect="1"/>
            </wp:cNvGraphicFramePr>
            <a:graphic>
              <a:graphicData uri="http://schemas.openxmlformats.org/drawingml/2006/picture">
                <pic:pic>
                  <pic:nvPicPr>
                    <pic:cNvPr id="160" name="image70.png"/>
                    <pic:cNvPicPr/>
                  </pic:nvPicPr>
                  <pic:blipFill>
                    <a:blip r:embed="rId80" cstate="print"/>
                    <a:stretch>
                      <a:fillRect/>
                    </a:stretch>
                  </pic:blipFill>
                  <pic:spPr>
                    <a:xfrm>
                      <a:off x="0" y="0"/>
                      <a:ext cx="4108717" cy="126015"/>
                    </a:xfrm>
                    <a:prstGeom prst="rect">
                      <a:avLst/>
                    </a:prstGeom>
                  </pic:spPr>
                </pic:pic>
              </a:graphicData>
            </a:graphic>
          </wp:anchor>
        </w:drawing>
      </w:r>
      <w:r>
        <w:rPr/>
        <w:drawing>
          <wp:anchor distT="0" distB="0" distL="0" distR="0" allowOverlap="1" layoutInCell="1" locked="0" behindDoc="0" simplePos="0" relativeHeight="73">
            <wp:simplePos x="0" y="0"/>
            <wp:positionH relativeFrom="page">
              <wp:posOffset>6278958</wp:posOffset>
            </wp:positionH>
            <wp:positionV relativeFrom="paragraph">
              <wp:posOffset>2100870</wp:posOffset>
            </wp:positionV>
            <wp:extent cx="129197" cy="91440"/>
            <wp:effectExtent l="0" t="0" r="0" b="0"/>
            <wp:wrapTopAndBottom/>
            <wp:docPr id="161" name="image71.png"/>
            <wp:cNvGraphicFramePr>
              <a:graphicFrameLocks noChangeAspect="1"/>
            </wp:cNvGraphicFramePr>
            <a:graphic>
              <a:graphicData uri="http://schemas.openxmlformats.org/drawingml/2006/picture">
                <pic:pic>
                  <pic:nvPicPr>
                    <pic:cNvPr id="162" name="image71.png"/>
                    <pic:cNvPicPr/>
                  </pic:nvPicPr>
                  <pic:blipFill>
                    <a:blip r:embed="rId81" cstate="print"/>
                    <a:stretch>
                      <a:fillRect/>
                    </a:stretch>
                  </pic:blipFill>
                  <pic:spPr>
                    <a:xfrm>
                      <a:off x="0" y="0"/>
                      <a:ext cx="129197" cy="91440"/>
                    </a:xfrm>
                    <a:prstGeom prst="rect">
                      <a:avLst/>
                    </a:prstGeom>
                  </pic:spPr>
                </pic:pic>
              </a:graphicData>
            </a:graphic>
          </wp:anchor>
        </w:drawing>
      </w:r>
      <w:r>
        <w:rPr/>
        <w:drawing>
          <wp:anchor distT="0" distB="0" distL="0" distR="0" allowOverlap="1" layoutInCell="1" locked="0" behindDoc="0" simplePos="0" relativeHeight="74">
            <wp:simplePos x="0" y="0"/>
            <wp:positionH relativeFrom="page">
              <wp:posOffset>1645920</wp:posOffset>
            </wp:positionH>
            <wp:positionV relativeFrom="paragraph">
              <wp:posOffset>2312670</wp:posOffset>
            </wp:positionV>
            <wp:extent cx="4577984" cy="102679"/>
            <wp:effectExtent l="0" t="0" r="0" b="0"/>
            <wp:wrapTopAndBottom/>
            <wp:docPr id="163" name="image72.png"/>
            <wp:cNvGraphicFramePr>
              <a:graphicFrameLocks noChangeAspect="1"/>
            </wp:cNvGraphicFramePr>
            <a:graphic>
              <a:graphicData uri="http://schemas.openxmlformats.org/drawingml/2006/picture">
                <pic:pic>
                  <pic:nvPicPr>
                    <pic:cNvPr id="164" name="image72.png"/>
                    <pic:cNvPicPr/>
                  </pic:nvPicPr>
                  <pic:blipFill>
                    <a:blip r:embed="rId82" cstate="print"/>
                    <a:stretch>
                      <a:fillRect/>
                    </a:stretch>
                  </pic:blipFill>
                  <pic:spPr>
                    <a:xfrm>
                      <a:off x="0" y="0"/>
                      <a:ext cx="4577984" cy="102679"/>
                    </a:xfrm>
                    <a:prstGeom prst="rect">
                      <a:avLst/>
                    </a:prstGeom>
                  </pic:spPr>
                </pic:pic>
              </a:graphicData>
            </a:graphic>
          </wp:anchor>
        </w:drawing>
      </w:r>
      <w:r>
        <w:rPr/>
        <w:drawing>
          <wp:anchor distT="0" distB="0" distL="0" distR="0" allowOverlap="1" layoutInCell="1" locked="0" behindDoc="0" simplePos="0" relativeHeight="75">
            <wp:simplePos x="0" y="0"/>
            <wp:positionH relativeFrom="page">
              <wp:posOffset>6278958</wp:posOffset>
            </wp:positionH>
            <wp:positionV relativeFrom="paragraph">
              <wp:posOffset>2323374</wp:posOffset>
            </wp:positionV>
            <wp:extent cx="129197" cy="91440"/>
            <wp:effectExtent l="0" t="0" r="0" b="0"/>
            <wp:wrapTopAndBottom/>
            <wp:docPr id="165" name="image73.png"/>
            <wp:cNvGraphicFramePr>
              <a:graphicFrameLocks noChangeAspect="1"/>
            </wp:cNvGraphicFramePr>
            <a:graphic>
              <a:graphicData uri="http://schemas.openxmlformats.org/drawingml/2006/picture">
                <pic:pic>
                  <pic:nvPicPr>
                    <pic:cNvPr id="166" name="image73.png"/>
                    <pic:cNvPicPr/>
                  </pic:nvPicPr>
                  <pic:blipFill>
                    <a:blip r:embed="rId83" cstate="print"/>
                    <a:stretch>
                      <a:fillRect/>
                    </a:stretch>
                  </pic:blipFill>
                  <pic:spPr>
                    <a:xfrm>
                      <a:off x="0" y="0"/>
                      <a:ext cx="129197" cy="91440"/>
                    </a:xfrm>
                    <a:prstGeom prst="rect">
                      <a:avLst/>
                    </a:prstGeom>
                  </pic:spPr>
                </pic:pic>
              </a:graphicData>
            </a:graphic>
          </wp:anchor>
        </w:drawing>
      </w:r>
      <w:r>
        <w:rPr/>
        <w:drawing>
          <wp:anchor distT="0" distB="0" distL="0" distR="0" allowOverlap="1" layoutInCell="1" locked="0" behindDoc="0" simplePos="0" relativeHeight="76">
            <wp:simplePos x="0" y="0"/>
            <wp:positionH relativeFrom="page">
              <wp:posOffset>1645920</wp:posOffset>
            </wp:positionH>
            <wp:positionV relativeFrom="paragraph">
              <wp:posOffset>2533650</wp:posOffset>
            </wp:positionV>
            <wp:extent cx="4042313" cy="126015"/>
            <wp:effectExtent l="0" t="0" r="0" b="0"/>
            <wp:wrapTopAndBottom/>
            <wp:docPr id="167" name="image74.png"/>
            <wp:cNvGraphicFramePr>
              <a:graphicFrameLocks noChangeAspect="1"/>
            </wp:cNvGraphicFramePr>
            <a:graphic>
              <a:graphicData uri="http://schemas.openxmlformats.org/drawingml/2006/picture">
                <pic:pic>
                  <pic:nvPicPr>
                    <pic:cNvPr id="168" name="image74.png"/>
                    <pic:cNvPicPr/>
                  </pic:nvPicPr>
                  <pic:blipFill>
                    <a:blip r:embed="rId84" cstate="print"/>
                    <a:stretch>
                      <a:fillRect/>
                    </a:stretch>
                  </pic:blipFill>
                  <pic:spPr>
                    <a:xfrm>
                      <a:off x="0" y="0"/>
                      <a:ext cx="4042313" cy="126015"/>
                    </a:xfrm>
                    <a:prstGeom prst="rect">
                      <a:avLst/>
                    </a:prstGeom>
                  </pic:spPr>
                </pic:pic>
              </a:graphicData>
            </a:graphic>
          </wp:anchor>
        </w:drawing>
      </w:r>
      <w:r>
        <w:rPr/>
        <w:drawing>
          <wp:anchor distT="0" distB="0" distL="0" distR="0" allowOverlap="1" layoutInCell="1" locked="0" behindDoc="0" simplePos="0" relativeHeight="77">
            <wp:simplePos x="0" y="0"/>
            <wp:positionH relativeFrom="page">
              <wp:posOffset>2078735</wp:posOffset>
            </wp:positionH>
            <wp:positionV relativeFrom="paragraph">
              <wp:posOffset>2756154</wp:posOffset>
            </wp:positionV>
            <wp:extent cx="4113244" cy="126015"/>
            <wp:effectExtent l="0" t="0" r="0" b="0"/>
            <wp:wrapTopAndBottom/>
            <wp:docPr id="169" name="image75.png"/>
            <wp:cNvGraphicFramePr>
              <a:graphicFrameLocks noChangeAspect="1"/>
            </wp:cNvGraphicFramePr>
            <a:graphic>
              <a:graphicData uri="http://schemas.openxmlformats.org/drawingml/2006/picture">
                <pic:pic>
                  <pic:nvPicPr>
                    <pic:cNvPr id="170" name="image75.png"/>
                    <pic:cNvPicPr/>
                  </pic:nvPicPr>
                  <pic:blipFill>
                    <a:blip r:embed="rId85" cstate="print"/>
                    <a:stretch>
                      <a:fillRect/>
                    </a:stretch>
                  </pic:blipFill>
                  <pic:spPr>
                    <a:xfrm>
                      <a:off x="0" y="0"/>
                      <a:ext cx="4113244" cy="126015"/>
                    </a:xfrm>
                    <a:prstGeom prst="rect">
                      <a:avLst/>
                    </a:prstGeom>
                  </pic:spPr>
                </pic:pic>
              </a:graphicData>
            </a:graphic>
          </wp:anchor>
        </w:drawing>
      </w:r>
      <w:r>
        <w:rPr/>
        <w:drawing>
          <wp:anchor distT="0" distB="0" distL="0" distR="0" allowOverlap="1" layoutInCell="1" locked="0" behindDoc="0" simplePos="0" relativeHeight="78">
            <wp:simplePos x="0" y="0"/>
            <wp:positionH relativeFrom="page">
              <wp:posOffset>6278958</wp:posOffset>
            </wp:positionH>
            <wp:positionV relativeFrom="paragraph">
              <wp:posOffset>2766858</wp:posOffset>
            </wp:positionV>
            <wp:extent cx="129197" cy="91439"/>
            <wp:effectExtent l="0" t="0" r="0" b="0"/>
            <wp:wrapTopAndBottom/>
            <wp:docPr id="171" name="image76.png"/>
            <wp:cNvGraphicFramePr>
              <a:graphicFrameLocks noChangeAspect="1"/>
            </wp:cNvGraphicFramePr>
            <a:graphic>
              <a:graphicData uri="http://schemas.openxmlformats.org/drawingml/2006/picture">
                <pic:pic>
                  <pic:nvPicPr>
                    <pic:cNvPr id="172" name="image76.png"/>
                    <pic:cNvPicPr/>
                  </pic:nvPicPr>
                  <pic:blipFill>
                    <a:blip r:embed="rId86" cstate="print"/>
                    <a:stretch>
                      <a:fillRect/>
                    </a:stretch>
                  </pic:blipFill>
                  <pic:spPr>
                    <a:xfrm>
                      <a:off x="0" y="0"/>
                      <a:ext cx="129197" cy="91439"/>
                    </a:xfrm>
                    <a:prstGeom prst="rect">
                      <a:avLst/>
                    </a:prstGeom>
                  </pic:spPr>
                </pic:pic>
              </a:graphicData>
            </a:graphic>
          </wp:anchor>
        </w:drawing>
      </w:r>
      <w:r>
        <w:rPr/>
        <w:drawing>
          <wp:anchor distT="0" distB="0" distL="0" distR="0" allowOverlap="1" layoutInCell="1" locked="0" behindDoc="0" simplePos="0" relativeHeight="79">
            <wp:simplePos x="0" y="0"/>
            <wp:positionH relativeFrom="page">
              <wp:posOffset>1645920</wp:posOffset>
            </wp:positionH>
            <wp:positionV relativeFrom="paragraph">
              <wp:posOffset>2977133</wp:posOffset>
            </wp:positionV>
            <wp:extent cx="4577984" cy="102679"/>
            <wp:effectExtent l="0" t="0" r="0" b="0"/>
            <wp:wrapTopAndBottom/>
            <wp:docPr id="173" name="image77.png"/>
            <wp:cNvGraphicFramePr>
              <a:graphicFrameLocks noChangeAspect="1"/>
            </wp:cNvGraphicFramePr>
            <a:graphic>
              <a:graphicData uri="http://schemas.openxmlformats.org/drawingml/2006/picture">
                <pic:pic>
                  <pic:nvPicPr>
                    <pic:cNvPr id="174" name="image77.png"/>
                    <pic:cNvPicPr/>
                  </pic:nvPicPr>
                  <pic:blipFill>
                    <a:blip r:embed="rId87" cstate="print"/>
                    <a:stretch>
                      <a:fillRect/>
                    </a:stretch>
                  </pic:blipFill>
                  <pic:spPr>
                    <a:xfrm>
                      <a:off x="0" y="0"/>
                      <a:ext cx="4577984" cy="102679"/>
                    </a:xfrm>
                    <a:prstGeom prst="rect">
                      <a:avLst/>
                    </a:prstGeom>
                  </pic:spPr>
                </pic:pic>
              </a:graphicData>
            </a:graphic>
          </wp:anchor>
        </w:drawing>
      </w:r>
      <w:r>
        <w:rPr/>
        <w:drawing>
          <wp:anchor distT="0" distB="0" distL="0" distR="0" allowOverlap="1" layoutInCell="1" locked="0" behindDoc="0" simplePos="0" relativeHeight="80">
            <wp:simplePos x="0" y="0"/>
            <wp:positionH relativeFrom="page">
              <wp:posOffset>6278958</wp:posOffset>
            </wp:positionH>
            <wp:positionV relativeFrom="paragraph">
              <wp:posOffset>2987838</wp:posOffset>
            </wp:positionV>
            <wp:extent cx="129197" cy="91439"/>
            <wp:effectExtent l="0" t="0" r="0" b="0"/>
            <wp:wrapTopAndBottom/>
            <wp:docPr id="175" name="image78.png"/>
            <wp:cNvGraphicFramePr>
              <a:graphicFrameLocks noChangeAspect="1"/>
            </wp:cNvGraphicFramePr>
            <a:graphic>
              <a:graphicData uri="http://schemas.openxmlformats.org/drawingml/2006/picture">
                <pic:pic>
                  <pic:nvPicPr>
                    <pic:cNvPr id="176" name="image78.png"/>
                    <pic:cNvPicPr/>
                  </pic:nvPicPr>
                  <pic:blipFill>
                    <a:blip r:embed="rId88" cstate="print"/>
                    <a:stretch>
                      <a:fillRect/>
                    </a:stretch>
                  </pic:blipFill>
                  <pic:spPr>
                    <a:xfrm>
                      <a:off x="0" y="0"/>
                      <a:ext cx="129197" cy="91439"/>
                    </a:xfrm>
                    <a:prstGeom prst="rect">
                      <a:avLst/>
                    </a:prstGeom>
                  </pic:spPr>
                </pic:pic>
              </a:graphicData>
            </a:graphic>
          </wp:anchor>
        </w:drawing>
      </w:r>
      <w:r>
        <w:rPr/>
        <w:drawing>
          <wp:anchor distT="0" distB="0" distL="0" distR="0" allowOverlap="1" layoutInCell="1" locked="0" behindDoc="0" simplePos="0" relativeHeight="81">
            <wp:simplePos x="0" y="0"/>
            <wp:positionH relativeFrom="page">
              <wp:posOffset>1645920</wp:posOffset>
            </wp:positionH>
            <wp:positionV relativeFrom="paragraph">
              <wp:posOffset>3199638</wp:posOffset>
            </wp:positionV>
            <wp:extent cx="4668619" cy="126015"/>
            <wp:effectExtent l="0" t="0" r="0" b="0"/>
            <wp:wrapTopAndBottom/>
            <wp:docPr id="177" name="image79.png"/>
            <wp:cNvGraphicFramePr>
              <a:graphicFrameLocks noChangeAspect="1"/>
            </wp:cNvGraphicFramePr>
            <a:graphic>
              <a:graphicData uri="http://schemas.openxmlformats.org/drawingml/2006/picture">
                <pic:pic>
                  <pic:nvPicPr>
                    <pic:cNvPr id="178" name="image79.png"/>
                    <pic:cNvPicPr/>
                  </pic:nvPicPr>
                  <pic:blipFill>
                    <a:blip r:embed="rId89" cstate="print"/>
                    <a:stretch>
                      <a:fillRect/>
                    </a:stretch>
                  </pic:blipFill>
                  <pic:spPr>
                    <a:xfrm>
                      <a:off x="0" y="0"/>
                      <a:ext cx="4668619" cy="126015"/>
                    </a:xfrm>
                    <a:prstGeom prst="rect">
                      <a:avLst/>
                    </a:prstGeom>
                  </pic:spPr>
                </pic:pic>
              </a:graphicData>
            </a:graphic>
          </wp:anchor>
        </w:drawing>
      </w:r>
      <w:r>
        <w:rPr/>
        <w:drawing>
          <wp:anchor distT="0" distB="0" distL="0" distR="0" allowOverlap="1" layoutInCell="1" locked="0" behindDoc="0" simplePos="0" relativeHeight="82">
            <wp:simplePos x="0" y="0"/>
            <wp:positionH relativeFrom="page">
              <wp:posOffset>2081783</wp:posOffset>
            </wp:positionH>
            <wp:positionV relativeFrom="paragraph">
              <wp:posOffset>3425190</wp:posOffset>
            </wp:positionV>
            <wp:extent cx="4189284" cy="123825"/>
            <wp:effectExtent l="0" t="0" r="0" b="0"/>
            <wp:wrapTopAndBottom/>
            <wp:docPr id="179" name="image80.png"/>
            <wp:cNvGraphicFramePr>
              <a:graphicFrameLocks noChangeAspect="1"/>
            </wp:cNvGraphicFramePr>
            <a:graphic>
              <a:graphicData uri="http://schemas.openxmlformats.org/drawingml/2006/picture">
                <pic:pic>
                  <pic:nvPicPr>
                    <pic:cNvPr id="180" name="image80.png"/>
                    <pic:cNvPicPr/>
                  </pic:nvPicPr>
                  <pic:blipFill>
                    <a:blip r:embed="rId90" cstate="print"/>
                    <a:stretch>
                      <a:fillRect/>
                    </a:stretch>
                  </pic:blipFill>
                  <pic:spPr>
                    <a:xfrm>
                      <a:off x="0" y="0"/>
                      <a:ext cx="4189284" cy="123825"/>
                    </a:xfrm>
                    <a:prstGeom prst="rect">
                      <a:avLst/>
                    </a:prstGeom>
                  </pic:spPr>
                </pic:pic>
              </a:graphicData>
            </a:graphic>
          </wp:anchor>
        </w:drawing>
      </w:r>
      <w:r>
        <w:rPr/>
        <w:drawing>
          <wp:anchor distT="0" distB="0" distL="0" distR="0" allowOverlap="1" layoutInCell="1" locked="0" behindDoc="0" simplePos="0" relativeHeight="83">
            <wp:simplePos x="0" y="0"/>
            <wp:positionH relativeFrom="page">
              <wp:posOffset>6278905</wp:posOffset>
            </wp:positionH>
            <wp:positionV relativeFrom="paragraph">
              <wp:posOffset>3431322</wp:posOffset>
            </wp:positionV>
            <wp:extent cx="132274" cy="91439"/>
            <wp:effectExtent l="0" t="0" r="0" b="0"/>
            <wp:wrapTopAndBottom/>
            <wp:docPr id="181" name="image81.png"/>
            <wp:cNvGraphicFramePr>
              <a:graphicFrameLocks noChangeAspect="1"/>
            </wp:cNvGraphicFramePr>
            <a:graphic>
              <a:graphicData uri="http://schemas.openxmlformats.org/drawingml/2006/picture">
                <pic:pic>
                  <pic:nvPicPr>
                    <pic:cNvPr id="182" name="image81.png"/>
                    <pic:cNvPicPr/>
                  </pic:nvPicPr>
                  <pic:blipFill>
                    <a:blip r:embed="rId91" cstate="print"/>
                    <a:stretch>
                      <a:fillRect/>
                    </a:stretch>
                  </pic:blipFill>
                  <pic:spPr>
                    <a:xfrm>
                      <a:off x="0" y="0"/>
                      <a:ext cx="132274" cy="91439"/>
                    </a:xfrm>
                    <a:prstGeom prst="rect">
                      <a:avLst/>
                    </a:prstGeom>
                  </pic:spPr>
                </pic:pic>
              </a:graphicData>
            </a:graphic>
          </wp:anchor>
        </w:drawing>
      </w:r>
      <w:r>
        <w:rPr/>
        <w:drawing>
          <wp:anchor distT="0" distB="0" distL="0" distR="0" allowOverlap="1" layoutInCell="1" locked="0" behindDoc="0" simplePos="0" relativeHeight="84">
            <wp:simplePos x="0" y="0"/>
            <wp:positionH relativeFrom="page">
              <wp:posOffset>1645920</wp:posOffset>
            </wp:positionH>
            <wp:positionV relativeFrom="paragraph">
              <wp:posOffset>3643121</wp:posOffset>
            </wp:positionV>
            <wp:extent cx="4577984" cy="102679"/>
            <wp:effectExtent l="0" t="0" r="0" b="0"/>
            <wp:wrapTopAndBottom/>
            <wp:docPr id="183" name="image82.png"/>
            <wp:cNvGraphicFramePr>
              <a:graphicFrameLocks noChangeAspect="1"/>
            </wp:cNvGraphicFramePr>
            <a:graphic>
              <a:graphicData uri="http://schemas.openxmlformats.org/drawingml/2006/picture">
                <pic:pic>
                  <pic:nvPicPr>
                    <pic:cNvPr id="184" name="image82.png"/>
                    <pic:cNvPicPr/>
                  </pic:nvPicPr>
                  <pic:blipFill>
                    <a:blip r:embed="rId92" cstate="print"/>
                    <a:stretch>
                      <a:fillRect/>
                    </a:stretch>
                  </pic:blipFill>
                  <pic:spPr>
                    <a:xfrm>
                      <a:off x="0" y="0"/>
                      <a:ext cx="4577984" cy="102679"/>
                    </a:xfrm>
                    <a:prstGeom prst="rect">
                      <a:avLst/>
                    </a:prstGeom>
                  </pic:spPr>
                </pic:pic>
              </a:graphicData>
            </a:graphic>
          </wp:anchor>
        </w:drawing>
      </w:r>
      <w:r>
        <w:rPr/>
        <w:drawing>
          <wp:anchor distT="0" distB="0" distL="0" distR="0" allowOverlap="1" layoutInCell="1" locked="0" behindDoc="0" simplePos="0" relativeHeight="85">
            <wp:simplePos x="0" y="0"/>
            <wp:positionH relativeFrom="page">
              <wp:posOffset>6278905</wp:posOffset>
            </wp:positionH>
            <wp:positionV relativeFrom="paragraph">
              <wp:posOffset>3653826</wp:posOffset>
            </wp:positionV>
            <wp:extent cx="132274" cy="91439"/>
            <wp:effectExtent l="0" t="0" r="0" b="0"/>
            <wp:wrapTopAndBottom/>
            <wp:docPr id="185" name="image83.png"/>
            <wp:cNvGraphicFramePr>
              <a:graphicFrameLocks noChangeAspect="1"/>
            </wp:cNvGraphicFramePr>
            <a:graphic>
              <a:graphicData uri="http://schemas.openxmlformats.org/drawingml/2006/picture">
                <pic:pic>
                  <pic:nvPicPr>
                    <pic:cNvPr id="186" name="image83.png"/>
                    <pic:cNvPicPr/>
                  </pic:nvPicPr>
                  <pic:blipFill>
                    <a:blip r:embed="rId93" cstate="print"/>
                    <a:stretch>
                      <a:fillRect/>
                    </a:stretch>
                  </pic:blipFill>
                  <pic:spPr>
                    <a:xfrm>
                      <a:off x="0" y="0"/>
                      <a:ext cx="132274" cy="91439"/>
                    </a:xfrm>
                    <a:prstGeom prst="rect">
                      <a:avLst/>
                    </a:prstGeom>
                  </pic:spPr>
                </pic:pic>
              </a:graphicData>
            </a:graphic>
          </wp:anchor>
        </w:drawing>
      </w:r>
      <w:r>
        <w:rPr/>
        <w:drawing>
          <wp:anchor distT="0" distB="0" distL="0" distR="0" allowOverlap="1" layoutInCell="1" locked="0" behindDoc="0" simplePos="0" relativeHeight="86">
            <wp:simplePos x="0" y="0"/>
            <wp:positionH relativeFrom="page">
              <wp:posOffset>1645920</wp:posOffset>
            </wp:positionH>
            <wp:positionV relativeFrom="paragraph">
              <wp:posOffset>3864102</wp:posOffset>
            </wp:positionV>
            <wp:extent cx="4555431" cy="126015"/>
            <wp:effectExtent l="0" t="0" r="0" b="0"/>
            <wp:wrapTopAndBottom/>
            <wp:docPr id="187" name="image84.png"/>
            <wp:cNvGraphicFramePr>
              <a:graphicFrameLocks noChangeAspect="1"/>
            </wp:cNvGraphicFramePr>
            <a:graphic>
              <a:graphicData uri="http://schemas.openxmlformats.org/drawingml/2006/picture">
                <pic:pic>
                  <pic:nvPicPr>
                    <pic:cNvPr id="188" name="image84.png"/>
                    <pic:cNvPicPr/>
                  </pic:nvPicPr>
                  <pic:blipFill>
                    <a:blip r:embed="rId94" cstate="print"/>
                    <a:stretch>
                      <a:fillRect/>
                    </a:stretch>
                  </pic:blipFill>
                  <pic:spPr>
                    <a:xfrm>
                      <a:off x="0" y="0"/>
                      <a:ext cx="4555431" cy="126015"/>
                    </a:xfrm>
                    <a:prstGeom prst="rect">
                      <a:avLst/>
                    </a:prstGeom>
                  </pic:spPr>
                </pic:pic>
              </a:graphicData>
            </a:graphic>
          </wp:anchor>
        </w:drawing>
      </w:r>
      <w:r>
        <w:rPr/>
        <w:drawing>
          <wp:anchor distT="0" distB="0" distL="0" distR="0" allowOverlap="1" layoutInCell="1" locked="0" behindDoc="0" simplePos="0" relativeHeight="87">
            <wp:simplePos x="0" y="0"/>
            <wp:positionH relativeFrom="page">
              <wp:posOffset>2083307</wp:posOffset>
            </wp:positionH>
            <wp:positionV relativeFrom="paragraph">
              <wp:posOffset>4086605</wp:posOffset>
            </wp:positionV>
            <wp:extent cx="4141406" cy="102679"/>
            <wp:effectExtent l="0" t="0" r="0" b="0"/>
            <wp:wrapTopAndBottom/>
            <wp:docPr id="189" name="image85.png"/>
            <wp:cNvGraphicFramePr>
              <a:graphicFrameLocks noChangeAspect="1"/>
            </wp:cNvGraphicFramePr>
            <a:graphic>
              <a:graphicData uri="http://schemas.openxmlformats.org/drawingml/2006/picture">
                <pic:pic>
                  <pic:nvPicPr>
                    <pic:cNvPr id="190" name="image85.png"/>
                    <pic:cNvPicPr/>
                  </pic:nvPicPr>
                  <pic:blipFill>
                    <a:blip r:embed="rId95" cstate="print"/>
                    <a:stretch>
                      <a:fillRect/>
                    </a:stretch>
                  </pic:blipFill>
                  <pic:spPr>
                    <a:xfrm>
                      <a:off x="0" y="0"/>
                      <a:ext cx="4141406" cy="102679"/>
                    </a:xfrm>
                    <a:prstGeom prst="rect">
                      <a:avLst/>
                    </a:prstGeom>
                  </pic:spPr>
                </pic:pic>
              </a:graphicData>
            </a:graphic>
          </wp:anchor>
        </w:drawing>
      </w:r>
      <w:r>
        <w:rPr/>
        <w:drawing>
          <wp:anchor distT="0" distB="0" distL="0" distR="0" allowOverlap="1" layoutInCell="1" locked="0" behindDoc="0" simplePos="0" relativeHeight="88">
            <wp:simplePos x="0" y="0"/>
            <wp:positionH relativeFrom="page">
              <wp:posOffset>6278958</wp:posOffset>
            </wp:positionH>
            <wp:positionV relativeFrom="paragraph">
              <wp:posOffset>4097310</wp:posOffset>
            </wp:positionV>
            <wp:extent cx="129197" cy="91439"/>
            <wp:effectExtent l="0" t="0" r="0" b="0"/>
            <wp:wrapTopAndBottom/>
            <wp:docPr id="191" name="image86.png"/>
            <wp:cNvGraphicFramePr>
              <a:graphicFrameLocks noChangeAspect="1"/>
            </wp:cNvGraphicFramePr>
            <a:graphic>
              <a:graphicData uri="http://schemas.openxmlformats.org/drawingml/2006/picture">
                <pic:pic>
                  <pic:nvPicPr>
                    <pic:cNvPr id="192" name="image86.png"/>
                    <pic:cNvPicPr/>
                  </pic:nvPicPr>
                  <pic:blipFill>
                    <a:blip r:embed="rId96" cstate="print"/>
                    <a:stretch>
                      <a:fillRect/>
                    </a:stretch>
                  </pic:blipFill>
                  <pic:spPr>
                    <a:xfrm>
                      <a:off x="0" y="0"/>
                      <a:ext cx="129197" cy="91439"/>
                    </a:xfrm>
                    <a:prstGeom prst="rect">
                      <a:avLst/>
                    </a:prstGeom>
                  </pic:spPr>
                </pic:pic>
              </a:graphicData>
            </a:graphic>
          </wp:anchor>
        </w:drawing>
      </w:r>
      <w:r>
        <w:rPr/>
        <w:drawing>
          <wp:anchor distT="0" distB="0" distL="0" distR="0" allowOverlap="1" layoutInCell="1" locked="0" behindDoc="0" simplePos="0" relativeHeight="89">
            <wp:simplePos x="0" y="0"/>
            <wp:positionH relativeFrom="page">
              <wp:posOffset>1645920</wp:posOffset>
            </wp:positionH>
            <wp:positionV relativeFrom="paragraph">
              <wp:posOffset>4307585</wp:posOffset>
            </wp:positionV>
            <wp:extent cx="4577984" cy="102679"/>
            <wp:effectExtent l="0" t="0" r="0" b="0"/>
            <wp:wrapTopAndBottom/>
            <wp:docPr id="193" name="image87.png"/>
            <wp:cNvGraphicFramePr>
              <a:graphicFrameLocks noChangeAspect="1"/>
            </wp:cNvGraphicFramePr>
            <a:graphic>
              <a:graphicData uri="http://schemas.openxmlformats.org/drawingml/2006/picture">
                <pic:pic>
                  <pic:nvPicPr>
                    <pic:cNvPr id="194" name="image87.png"/>
                    <pic:cNvPicPr/>
                  </pic:nvPicPr>
                  <pic:blipFill>
                    <a:blip r:embed="rId97" cstate="print"/>
                    <a:stretch>
                      <a:fillRect/>
                    </a:stretch>
                  </pic:blipFill>
                  <pic:spPr>
                    <a:xfrm>
                      <a:off x="0" y="0"/>
                      <a:ext cx="4577984" cy="102679"/>
                    </a:xfrm>
                    <a:prstGeom prst="rect">
                      <a:avLst/>
                    </a:prstGeom>
                  </pic:spPr>
                </pic:pic>
              </a:graphicData>
            </a:graphic>
          </wp:anchor>
        </w:drawing>
      </w:r>
      <w:r>
        <w:rPr/>
        <w:drawing>
          <wp:anchor distT="0" distB="0" distL="0" distR="0" allowOverlap="1" layoutInCell="1" locked="0" behindDoc="0" simplePos="0" relativeHeight="90">
            <wp:simplePos x="0" y="0"/>
            <wp:positionH relativeFrom="page">
              <wp:posOffset>6278958</wp:posOffset>
            </wp:positionH>
            <wp:positionV relativeFrom="paragraph">
              <wp:posOffset>4318290</wp:posOffset>
            </wp:positionV>
            <wp:extent cx="129197" cy="91439"/>
            <wp:effectExtent l="0" t="0" r="0" b="0"/>
            <wp:wrapTopAndBottom/>
            <wp:docPr id="195" name="image86.png"/>
            <wp:cNvGraphicFramePr>
              <a:graphicFrameLocks noChangeAspect="1"/>
            </wp:cNvGraphicFramePr>
            <a:graphic>
              <a:graphicData uri="http://schemas.openxmlformats.org/drawingml/2006/picture">
                <pic:pic>
                  <pic:nvPicPr>
                    <pic:cNvPr id="196" name="image86.png"/>
                    <pic:cNvPicPr/>
                  </pic:nvPicPr>
                  <pic:blipFill>
                    <a:blip r:embed="rId96" cstate="print"/>
                    <a:stretch>
                      <a:fillRect/>
                    </a:stretch>
                  </pic:blipFill>
                  <pic:spPr>
                    <a:xfrm>
                      <a:off x="0" y="0"/>
                      <a:ext cx="129197" cy="91439"/>
                    </a:xfrm>
                    <a:prstGeom prst="rect">
                      <a:avLst/>
                    </a:prstGeom>
                  </pic:spPr>
                </pic:pic>
              </a:graphicData>
            </a:graphic>
          </wp:anchor>
        </w:drawing>
      </w:r>
      <w:r>
        <w:rPr/>
        <w:drawing>
          <wp:anchor distT="0" distB="0" distL="0" distR="0" allowOverlap="1" layoutInCell="1" locked="0" behindDoc="0" simplePos="0" relativeHeight="91">
            <wp:simplePos x="0" y="0"/>
            <wp:positionH relativeFrom="page">
              <wp:posOffset>1645920</wp:posOffset>
            </wp:positionH>
            <wp:positionV relativeFrom="paragraph">
              <wp:posOffset>4530090</wp:posOffset>
            </wp:positionV>
            <wp:extent cx="4541849" cy="126015"/>
            <wp:effectExtent l="0" t="0" r="0" b="0"/>
            <wp:wrapTopAndBottom/>
            <wp:docPr id="197" name="image88.png"/>
            <wp:cNvGraphicFramePr>
              <a:graphicFrameLocks noChangeAspect="1"/>
            </wp:cNvGraphicFramePr>
            <a:graphic>
              <a:graphicData uri="http://schemas.openxmlformats.org/drawingml/2006/picture">
                <pic:pic>
                  <pic:nvPicPr>
                    <pic:cNvPr id="198" name="image88.png"/>
                    <pic:cNvPicPr/>
                  </pic:nvPicPr>
                  <pic:blipFill>
                    <a:blip r:embed="rId98" cstate="print"/>
                    <a:stretch>
                      <a:fillRect/>
                    </a:stretch>
                  </pic:blipFill>
                  <pic:spPr>
                    <a:xfrm>
                      <a:off x="0" y="0"/>
                      <a:ext cx="4541849" cy="126015"/>
                    </a:xfrm>
                    <a:prstGeom prst="rect">
                      <a:avLst/>
                    </a:prstGeom>
                  </pic:spPr>
                </pic:pic>
              </a:graphicData>
            </a:graphic>
          </wp:anchor>
        </w:drawing>
      </w:r>
      <w:r>
        <w:rPr/>
        <w:drawing>
          <wp:anchor distT="0" distB="0" distL="0" distR="0" allowOverlap="1" layoutInCell="1" locked="0" behindDoc="0" simplePos="0" relativeHeight="92">
            <wp:simplePos x="0" y="0"/>
            <wp:positionH relativeFrom="page">
              <wp:posOffset>6278958</wp:posOffset>
            </wp:positionH>
            <wp:positionV relativeFrom="paragraph">
              <wp:posOffset>4540794</wp:posOffset>
            </wp:positionV>
            <wp:extent cx="129197" cy="91439"/>
            <wp:effectExtent l="0" t="0" r="0" b="0"/>
            <wp:wrapTopAndBottom/>
            <wp:docPr id="199" name="image89.png"/>
            <wp:cNvGraphicFramePr>
              <a:graphicFrameLocks noChangeAspect="1"/>
            </wp:cNvGraphicFramePr>
            <a:graphic>
              <a:graphicData uri="http://schemas.openxmlformats.org/drawingml/2006/picture">
                <pic:pic>
                  <pic:nvPicPr>
                    <pic:cNvPr id="200" name="image89.png"/>
                    <pic:cNvPicPr/>
                  </pic:nvPicPr>
                  <pic:blipFill>
                    <a:blip r:embed="rId99" cstate="print"/>
                    <a:stretch>
                      <a:fillRect/>
                    </a:stretch>
                  </pic:blipFill>
                  <pic:spPr>
                    <a:xfrm>
                      <a:off x="0" y="0"/>
                      <a:ext cx="129197" cy="91439"/>
                    </a:xfrm>
                    <a:prstGeom prst="rect">
                      <a:avLst/>
                    </a:prstGeom>
                  </pic:spPr>
                </pic:pic>
              </a:graphicData>
            </a:graphic>
          </wp:anchor>
        </w:drawing>
      </w:r>
      <w:r>
        <w:rPr/>
        <w:drawing>
          <wp:anchor distT="0" distB="0" distL="0" distR="0" allowOverlap="1" layoutInCell="1" locked="0" behindDoc="0" simplePos="0" relativeHeight="93">
            <wp:simplePos x="0" y="0"/>
            <wp:positionH relativeFrom="page">
              <wp:posOffset>1645920</wp:posOffset>
            </wp:positionH>
            <wp:positionV relativeFrom="paragraph">
              <wp:posOffset>4751070</wp:posOffset>
            </wp:positionV>
            <wp:extent cx="4577984" cy="102679"/>
            <wp:effectExtent l="0" t="0" r="0" b="0"/>
            <wp:wrapTopAndBottom/>
            <wp:docPr id="201" name="image90.png"/>
            <wp:cNvGraphicFramePr>
              <a:graphicFrameLocks noChangeAspect="1"/>
            </wp:cNvGraphicFramePr>
            <a:graphic>
              <a:graphicData uri="http://schemas.openxmlformats.org/drawingml/2006/picture">
                <pic:pic>
                  <pic:nvPicPr>
                    <pic:cNvPr id="202" name="image90.png"/>
                    <pic:cNvPicPr/>
                  </pic:nvPicPr>
                  <pic:blipFill>
                    <a:blip r:embed="rId100" cstate="print"/>
                    <a:stretch>
                      <a:fillRect/>
                    </a:stretch>
                  </pic:blipFill>
                  <pic:spPr>
                    <a:xfrm>
                      <a:off x="0" y="0"/>
                      <a:ext cx="4577984" cy="102679"/>
                    </a:xfrm>
                    <a:prstGeom prst="rect">
                      <a:avLst/>
                    </a:prstGeom>
                  </pic:spPr>
                </pic:pic>
              </a:graphicData>
            </a:graphic>
          </wp:anchor>
        </w:drawing>
      </w:r>
      <w:r>
        <w:rPr/>
        <w:drawing>
          <wp:anchor distT="0" distB="0" distL="0" distR="0" allowOverlap="1" layoutInCell="1" locked="0" behindDoc="0" simplePos="0" relativeHeight="94">
            <wp:simplePos x="0" y="0"/>
            <wp:positionH relativeFrom="page">
              <wp:posOffset>6279011</wp:posOffset>
            </wp:positionH>
            <wp:positionV relativeFrom="paragraph">
              <wp:posOffset>4761774</wp:posOffset>
            </wp:positionV>
            <wp:extent cx="130657" cy="91439"/>
            <wp:effectExtent l="0" t="0" r="0" b="0"/>
            <wp:wrapTopAndBottom/>
            <wp:docPr id="203" name="image91.png"/>
            <wp:cNvGraphicFramePr>
              <a:graphicFrameLocks noChangeAspect="1"/>
            </wp:cNvGraphicFramePr>
            <a:graphic>
              <a:graphicData uri="http://schemas.openxmlformats.org/drawingml/2006/picture">
                <pic:pic>
                  <pic:nvPicPr>
                    <pic:cNvPr id="204" name="image91.png"/>
                    <pic:cNvPicPr/>
                  </pic:nvPicPr>
                  <pic:blipFill>
                    <a:blip r:embed="rId101" cstate="print"/>
                    <a:stretch>
                      <a:fillRect/>
                    </a:stretch>
                  </pic:blipFill>
                  <pic:spPr>
                    <a:xfrm>
                      <a:off x="0" y="0"/>
                      <a:ext cx="130657" cy="91439"/>
                    </a:xfrm>
                    <a:prstGeom prst="rect">
                      <a:avLst/>
                    </a:prstGeom>
                  </pic:spPr>
                </pic:pic>
              </a:graphicData>
            </a:graphic>
          </wp:anchor>
        </w:drawing>
      </w:r>
      <w:r>
        <w:rPr/>
        <w:drawing>
          <wp:anchor distT="0" distB="0" distL="0" distR="0" allowOverlap="1" layoutInCell="1" locked="0" behindDoc="0" simplePos="0" relativeHeight="95">
            <wp:simplePos x="0" y="0"/>
            <wp:positionH relativeFrom="page">
              <wp:posOffset>1645920</wp:posOffset>
            </wp:positionH>
            <wp:positionV relativeFrom="paragraph">
              <wp:posOffset>4972050</wp:posOffset>
            </wp:positionV>
            <wp:extent cx="3927616" cy="126015"/>
            <wp:effectExtent l="0" t="0" r="0" b="0"/>
            <wp:wrapTopAndBottom/>
            <wp:docPr id="205" name="image92.png"/>
            <wp:cNvGraphicFramePr>
              <a:graphicFrameLocks noChangeAspect="1"/>
            </wp:cNvGraphicFramePr>
            <a:graphic>
              <a:graphicData uri="http://schemas.openxmlformats.org/drawingml/2006/picture">
                <pic:pic>
                  <pic:nvPicPr>
                    <pic:cNvPr id="206" name="image92.png"/>
                    <pic:cNvPicPr/>
                  </pic:nvPicPr>
                  <pic:blipFill>
                    <a:blip r:embed="rId102" cstate="print"/>
                    <a:stretch>
                      <a:fillRect/>
                    </a:stretch>
                  </pic:blipFill>
                  <pic:spPr>
                    <a:xfrm>
                      <a:off x="0" y="0"/>
                      <a:ext cx="3927616" cy="126015"/>
                    </a:xfrm>
                    <a:prstGeom prst="rect">
                      <a:avLst/>
                    </a:prstGeom>
                  </pic:spPr>
                </pic:pic>
              </a:graphicData>
            </a:graphic>
          </wp:anchor>
        </w:drawing>
      </w:r>
      <w:r>
        <w:rPr/>
        <w:drawing>
          <wp:anchor distT="0" distB="0" distL="0" distR="0" allowOverlap="1" layoutInCell="1" locked="0" behindDoc="0" simplePos="0" relativeHeight="96">
            <wp:simplePos x="0" y="0"/>
            <wp:positionH relativeFrom="page">
              <wp:posOffset>2083307</wp:posOffset>
            </wp:positionH>
            <wp:positionV relativeFrom="paragraph">
              <wp:posOffset>5194553</wp:posOffset>
            </wp:positionV>
            <wp:extent cx="4108717" cy="126015"/>
            <wp:effectExtent l="0" t="0" r="0" b="0"/>
            <wp:wrapTopAndBottom/>
            <wp:docPr id="207" name="image93.png"/>
            <wp:cNvGraphicFramePr>
              <a:graphicFrameLocks noChangeAspect="1"/>
            </wp:cNvGraphicFramePr>
            <a:graphic>
              <a:graphicData uri="http://schemas.openxmlformats.org/drawingml/2006/picture">
                <pic:pic>
                  <pic:nvPicPr>
                    <pic:cNvPr id="208" name="image93.png"/>
                    <pic:cNvPicPr/>
                  </pic:nvPicPr>
                  <pic:blipFill>
                    <a:blip r:embed="rId103" cstate="print"/>
                    <a:stretch>
                      <a:fillRect/>
                    </a:stretch>
                  </pic:blipFill>
                  <pic:spPr>
                    <a:xfrm>
                      <a:off x="0" y="0"/>
                      <a:ext cx="4108717" cy="126015"/>
                    </a:xfrm>
                    <a:prstGeom prst="rect">
                      <a:avLst/>
                    </a:prstGeom>
                  </pic:spPr>
                </pic:pic>
              </a:graphicData>
            </a:graphic>
          </wp:anchor>
        </w:drawing>
      </w:r>
      <w:r>
        <w:rPr/>
        <w:drawing>
          <wp:anchor distT="0" distB="0" distL="0" distR="0" allowOverlap="1" layoutInCell="1" locked="0" behindDoc="0" simplePos="0" relativeHeight="97">
            <wp:simplePos x="0" y="0"/>
            <wp:positionH relativeFrom="page">
              <wp:posOffset>6278958</wp:posOffset>
            </wp:positionH>
            <wp:positionV relativeFrom="paragraph">
              <wp:posOffset>5205258</wp:posOffset>
            </wp:positionV>
            <wp:extent cx="129197" cy="91439"/>
            <wp:effectExtent l="0" t="0" r="0" b="0"/>
            <wp:wrapTopAndBottom/>
            <wp:docPr id="209" name="image94.png"/>
            <wp:cNvGraphicFramePr>
              <a:graphicFrameLocks noChangeAspect="1"/>
            </wp:cNvGraphicFramePr>
            <a:graphic>
              <a:graphicData uri="http://schemas.openxmlformats.org/drawingml/2006/picture">
                <pic:pic>
                  <pic:nvPicPr>
                    <pic:cNvPr id="210" name="image94.png"/>
                    <pic:cNvPicPr/>
                  </pic:nvPicPr>
                  <pic:blipFill>
                    <a:blip r:embed="rId104" cstate="print"/>
                    <a:stretch>
                      <a:fillRect/>
                    </a:stretch>
                  </pic:blipFill>
                  <pic:spPr>
                    <a:xfrm>
                      <a:off x="0" y="0"/>
                      <a:ext cx="129197" cy="91439"/>
                    </a:xfrm>
                    <a:prstGeom prst="rect">
                      <a:avLst/>
                    </a:prstGeom>
                  </pic:spPr>
                </pic:pic>
              </a:graphicData>
            </a:graphic>
          </wp:anchor>
        </w:drawing>
      </w:r>
      <w:r>
        <w:rPr/>
        <w:drawing>
          <wp:anchor distT="0" distB="0" distL="0" distR="0" allowOverlap="1" layoutInCell="1" locked="0" behindDoc="0" simplePos="0" relativeHeight="98">
            <wp:simplePos x="0" y="0"/>
            <wp:positionH relativeFrom="page">
              <wp:posOffset>1645920</wp:posOffset>
            </wp:positionH>
            <wp:positionV relativeFrom="paragraph">
              <wp:posOffset>5415534</wp:posOffset>
            </wp:positionV>
            <wp:extent cx="4577984" cy="102679"/>
            <wp:effectExtent l="0" t="0" r="0" b="0"/>
            <wp:wrapTopAndBottom/>
            <wp:docPr id="211" name="image95.png"/>
            <wp:cNvGraphicFramePr>
              <a:graphicFrameLocks noChangeAspect="1"/>
            </wp:cNvGraphicFramePr>
            <a:graphic>
              <a:graphicData uri="http://schemas.openxmlformats.org/drawingml/2006/picture">
                <pic:pic>
                  <pic:nvPicPr>
                    <pic:cNvPr id="212" name="image95.png"/>
                    <pic:cNvPicPr/>
                  </pic:nvPicPr>
                  <pic:blipFill>
                    <a:blip r:embed="rId105" cstate="print"/>
                    <a:stretch>
                      <a:fillRect/>
                    </a:stretch>
                  </pic:blipFill>
                  <pic:spPr>
                    <a:xfrm>
                      <a:off x="0" y="0"/>
                      <a:ext cx="4577984" cy="102679"/>
                    </a:xfrm>
                    <a:prstGeom prst="rect">
                      <a:avLst/>
                    </a:prstGeom>
                  </pic:spPr>
                </pic:pic>
              </a:graphicData>
            </a:graphic>
          </wp:anchor>
        </w:drawing>
      </w:r>
      <w:r>
        <w:rPr/>
        <w:drawing>
          <wp:anchor distT="0" distB="0" distL="0" distR="0" allowOverlap="1" layoutInCell="1" locked="0" behindDoc="0" simplePos="0" relativeHeight="99">
            <wp:simplePos x="0" y="0"/>
            <wp:positionH relativeFrom="page">
              <wp:posOffset>6278958</wp:posOffset>
            </wp:positionH>
            <wp:positionV relativeFrom="paragraph">
              <wp:posOffset>5426238</wp:posOffset>
            </wp:positionV>
            <wp:extent cx="129197" cy="91439"/>
            <wp:effectExtent l="0" t="0" r="0" b="0"/>
            <wp:wrapTopAndBottom/>
            <wp:docPr id="213" name="image96.png"/>
            <wp:cNvGraphicFramePr>
              <a:graphicFrameLocks noChangeAspect="1"/>
            </wp:cNvGraphicFramePr>
            <a:graphic>
              <a:graphicData uri="http://schemas.openxmlformats.org/drawingml/2006/picture">
                <pic:pic>
                  <pic:nvPicPr>
                    <pic:cNvPr id="214" name="image96.png"/>
                    <pic:cNvPicPr/>
                  </pic:nvPicPr>
                  <pic:blipFill>
                    <a:blip r:embed="rId106" cstate="print"/>
                    <a:stretch>
                      <a:fillRect/>
                    </a:stretch>
                  </pic:blipFill>
                  <pic:spPr>
                    <a:xfrm>
                      <a:off x="0" y="0"/>
                      <a:ext cx="129197" cy="91439"/>
                    </a:xfrm>
                    <a:prstGeom prst="rect">
                      <a:avLst/>
                    </a:prstGeom>
                  </pic:spPr>
                </pic:pic>
              </a:graphicData>
            </a:graphic>
          </wp:anchor>
        </w:drawing>
      </w:r>
      <w:r>
        <w:rPr/>
        <w:pict>
          <v:group style="position:absolute;margin-left:106.919998pt;margin-top:443.940002pt;width:398pt;height:10.050pt;mso-position-horizontal-relative:page;mso-position-vertical-relative:paragraph;z-index:-15677440;mso-wrap-distance-left:0;mso-wrap-distance-right:0" coordorigin="2138,8879" coordsize="7960,201">
            <v:shape style="position:absolute;left:2138;top:8878;width:7677;height:201" type="#_x0000_t75" stroked="false">
              <v:imagedata r:id="rId107" o:title=""/>
            </v:shape>
            <v:shape style="position:absolute;left:9883;top:8895;width:215;height:146" type="#_x0000_t75" stroked="false">
              <v:imagedata r:id="rId108" o:title=""/>
            </v:shape>
            <w10:wrap type="topAndBottom"/>
          </v:group>
        </w:pict>
      </w:r>
      <w:r>
        <w:rPr/>
        <w:pict>
          <v:group style="position:absolute;margin-left:129.600006pt;margin-top:461.339996pt;width:375.1pt;height:8.1pt;mso-position-horizontal-relative:page;mso-position-vertical-relative:paragraph;z-index:-15676928;mso-wrap-distance-left:0;mso-wrap-distance-right:0" coordorigin="2592,9227" coordsize="7502,162">
            <v:shape style="position:absolute;left:2592;top:9226;width:7223;height:162" type="#_x0000_t75" stroked="false">
              <v:imagedata r:id="rId109" o:title=""/>
            </v:shape>
            <v:shape style="position:absolute;left:9883;top:9243;width:210;height:146" type="#_x0000_t75" stroked="false">
              <v:imagedata r:id="rId110" o:title=""/>
            </v:shape>
            <w10:wrap type="topAndBottom"/>
          </v:group>
        </w:pict>
      </w:r>
      <w:r>
        <w:rPr/>
        <w:drawing>
          <wp:anchor distT="0" distB="0" distL="0" distR="0" allowOverlap="1" layoutInCell="1" locked="0" behindDoc="0" simplePos="0" relativeHeight="102">
            <wp:simplePos x="0" y="0"/>
            <wp:positionH relativeFrom="page">
              <wp:posOffset>1645920</wp:posOffset>
            </wp:positionH>
            <wp:positionV relativeFrom="paragraph">
              <wp:posOffset>6081521</wp:posOffset>
            </wp:positionV>
            <wp:extent cx="4718422" cy="126015"/>
            <wp:effectExtent l="0" t="0" r="0" b="0"/>
            <wp:wrapTopAndBottom/>
            <wp:docPr id="215" name="image101.png"/>
            <wp:cNvGraphicFramePr>
              <a:graphicFrameLocks noChangeAspect="1"/>
            </wp:cNvGraphicFramePr>
            <a:graphic>
              <a:graphicData uri="http://schemas.openxmlformats.org/drawingml/2006/picture">
                <pic:pic>
                  <pic:nvPicPr>
                    <pic:cNvPr id="216" name="image101.png"/>
                    <pic:cNvPicPr/>
                  </pic:nvPicPr>
                  <pic:blipFill>
                    <a:blip r:embed="rId111" cstate="print"/>
                    <a:stretch>
                      <a:fillRect/>
                    </a:stretch>
                  </pic:blipFill>
                  <pic:spPr>
                    <a:xfrm>
                      <a:off x="0" y="0"/>
                      <a:ext cx="4718422" cy="126015"/>
                    </a:xfrm>
                    <a:prstGeom prst="rect">
                      <a:avLst/>
                    </a:prstGeom>
                  </pic:spPr>
                </pic:pic>
              </a:graphicData>
            </a:graphic>
          </wp:anchor>
        </w:drawing>
      </w:r>
      <w:r>
        <w:rPr/>
        <w:pict>
          <v:group style="position:absolute;margin-left:163.679993pt;margin-top:496.26001pt;width:341pt;height:10.050pt;mso-position-horizontal-relative:page;mso-position-vertical-relative:paragraph;z-index:-15675904;mso-wrap-distance-left:0;mso-wrap-distance-right:0" coordorigin="3274,9925" coordsize="6820,201">
            <v:shape style="position:absolute;left:3273;top:9925;width:6542;height:201" type="#_x0000_t75" stroked="false">
              <v:imagedata r:id="rId112" o:title=""/>
            </v:shape>
            <v:shape style="position:absolute;left:9883;top:9942;width:210;height:146" type="#_x0000_t75" stroked="false">
              <v:imagedata r:id="rId113" o:title=""/>
            </v:shape>
            <w10:wrap type="topAndBottom"/>
          </v:group>
        </w:pict>
      </w:r>
      <w:r>
        <w:rPr/>
        <w:pict>
          <v:group style="position:absolute;margin-left:129.600006pt;margin-top:513.780029pt;width:375.3pt;height:8.1pt;mso-position-horizontal-relative:page;mso-position-vertical-relative:paragraph;z-index:-15675392;mso-wrap-distance-left:0;mso-wrap-distance-right:0" coordorigin="2592,10276" coordsize="7506,162">
            <v:shape style="position:absolute;left:2592;top:10275;width:7223;height:162" type="#_x0000_t75" stroked="false">
              <v:imagedata r:id="rId114" o:title=""/>
            </v:shape>
            <v:shape style="position:absolute;left:9883;top:10292;width:215;height:146" type="#_x0000_t75" stroked="false">
              <v:imagedata r:id="rId115" o:title=""/>
            </v:shape>
            <w10:wrap type="topAndBottom"/>
          </v:group>
        </w:pict>
      </w:r>
      <w:r>
        <w:rPr/>
        <w:drawing>
          <wp:anchor distT="0" distB="0" distL="0" distR="0" allowOverlap="1" layoutInCell="1" locked="0" behindDoc="0" simplePos="0" relativeHeight="105">
            <wp:simplePos x="0" y="0"/>
            <wp:positionH relativeFrom="page">
              <wp:posOffset>1645920</wp:posOffset>
            </wp:positionH>
            <wp:positionV relativeFrom="paragraph">
              <wp:posOffset>6745985</wp:posOffset>
            </wp:positionV>
            <wp:extent cx="4645981" cy="126015"/>
            <wp:effectExtent l="0" t="0" r="0" b="0"/>
            <wp:wrapTopAndBottom/>
            <wp:docPr id="217" name="image106.png"/>
            <wp:cNvGraphicFramePr>
              <a:graphicFrameLocks noChangeAspect="1"/>
            </wp:cNvGraphicFramePr>
            <a:graphic>
              <a:graphicData uri="http://schemas.openxmlformats.org/drawingml/2006/picture">
                <pic:pic>
                  <pic:nvPicPr>
                    <pic:cNvPr id="218" name="image106.png"/>
                    <pic:cNvPicPr/>
                  </pic:nvPicPr>
                  <pic:blipFill>
                    <a:blip r:embed="rId116" cstate="print"/>
                    <a:stretch>
                      <a:fillRect/>
                    </a:stretch>
                  </pic:blipFill>
                  <pic:spPr>
                    <a:xfrm>
                      <a:off x="0" y="0"/>
                      <a:ext cx="4645981" cy="126015"/>
                    </a:xfrm>
                    <a:prstGeom prst="rect">
                      <a:avLst/>
                    </a:prstGeom>
                  </pic:spPr>
                </pic:pic>
              </a:graphicData>
            </a:graphic>
          </wp:anchor>
        </w:drawing>
      </w:r>
      <w:r>
        <w:rPr/>
        <w:pict>
          <v:group style="position:absolute;margin-left:163.800003pt;margin-top:548.700012pt;width:340.9pt;height:8.1pt;mso-position-horizontal-relative:page;mso-position-vertical-relative:paragraph;z-index:-15674368;mso-wrap-distance-left:0;mso-wrap-distance-right:0" coordorigin="3276,10974" coordsize="6818,162">
            <v:shape style="position:absolute;left:3276;top:10974;width:6539;height:162" type="#_x0000_t75" stroked="false">
              <v:imagedata r:id="rId117" o:title=""/>
            </v:shape>
            <v:shape style="position:absolute;left:9883;top:10990;width:210;height:146" type="#_x0000_t75" stroked="false">
              <v:imagedata r:id="rId118" o:title=""/>
            </v:shape>
            <w10:wrap type="topAndBottom"/>
          </v:group>
        </w:pict>
      </w:r>
      <w:r>
        <w:rPr/>
        <w:pict>
          <v:group style="position:absolute;margin-left:129.600006pt;margin-top:566.099976pt;width:375.2pt;height:8.1pt;mso-position-horizontal-relative:page;mso-position-vertical-relative:paragraph;z-index:-15673856;mso-wrap-distance-left:0;mso-wrap-distance-right:0" coordorigin="2592,11322" coordsize="7504,162">
            <v:shape style="position:absolute;left:2592;top:11322;width:7223;height:162" type="#_x0000_t75" stroked="false">
              <v:imagedata r:id="rId119" o:title=""/>
            </v:shape>
            <v:shape style="position:absolute;left:9883;top:11338;width:213;height:146" type="#_x0000_t75" stroked="false">
              <v:imagedata r:id="rId120" o:title=""/>
            </v:shape>
            <w10:wrap type="topAndBottom"/>
          </v:group>
        </w:pict>
      </w:r>
      <w:r>
        <w:rPr/>
        <w:drawing>
          <wp:anchor distT="0" distB="0" distL="0" distR="0" allowOverlap="1" layoutInCell="1" locked="0" behindDoc="0" simplePos="0" relativeHeight="108">
            <wp:simplePos x="0" y="0"/>
            <wp:positionH relativeFrom="page">
              <wp:posOffset>1645920</wp:posOffset>
            </wp:positionH>
            <wp:positionV relativeFrom="paragraph">
              <wp:posOffset>7411973</wp:posOffset>
            </wp:positionV>
            <wp:extent cx="4630890" cy="126015"/>
            <wp:effectExtent l="0" t="0" r="0" b="0"/>
            <wp:wrapTopAndBottom/>
            <wp:docPr id="219" name="image111.png"/>
            <wp:cNvGraphicFramePr>
              <a:graphicFrameLocks noChangeAspect="1"/>
            </wp:cNvGraphicFramePr>
            <a:graphic>
              <a:graphicData uri="http://schemas.openxmlformats.org/drawingml/2006/picture">
                <pic:pic>
                  <pic:nvPicPr>
                    <pic:cNvPr id="220" name="image111.png"/>
                    <pic:cNvPicPr/>
                  </pic:nvPicPr>
                  <pic:blipFill>
                    <a:blip r:embed="rId121" cstate="print"/>
                    <a:stretch>
                      <a:fillRect/>
                    </a:stretch>
                  </pic:blipFill>
                  <pic:spPr>
                    <a:xfrm>
                      <a:off x="0" y="0"/>
                      <a:ext cx="4630890" cy="126015"/>
                    </a:xfrm>
                    <a:prstGeom prst="rect">
                      <a:avLst/>
                    </a:prstGeom>
                  </pic:spPr>
                </pic:pic>
              </a:graphicData>
            </a:graphic>
          </wp:anchor>
        </w:drawing>
      </w:r>
      <w:r>
        <w:rPr/>
        <w:pict>
          <v:group style="position:absolute;margin-left:166.080002pt;margin-top:601.862854pt;width:338.7pt;height:7.3pt;mso-position-horizontal-relative:page;mso-position-vertical-relative:paragraph;z-index:-15672832;mso-wrap-distance-left:0;mso-wrap-distance-right:0" coordorigin="3322,12037" coordsize="6774,146">
            <v:shape style="position:absolute;left:3321;top:12145;width:6494;height:38" type="#_x0000_t75" stroked="false">
              <v:imagedata r:id="rId122" o:title=""/>
            </v:shape>
            <v:shape style="position:absolute;left:9883;top:12037;width:213;height:146" type="#_x0000_t75" stroked="false">
              <v:imagedata r:id="rId123" o:title=""/>
            </v:shape>
            <w10:wrap type="topAndBottom"/>
          </v:group>
        </w:pict>
      </w:r>
      <w:r>
        <w:rPr/>
        <w:pict>
          <v:group style="position:absolute;margin-left:129.600006pt;margin-top:618.539978pt;width:375.2pt;height:8.1pt;mso-position-horizontal-relative:page;mso-position-vertical-relative:paragraph;z-index:-15672320;mso-wrap-distance-left:0;mso-wrap-distance-right:0" coordorigin="2592,12371" coordsize="7504,162">
            <v:shape style="position:absolute;left:2592;top:12370;width:7223;height:162" type="#_x0000_t75" stroked="false">
              <v:imagedata r:id="rId124" o:title=""/>
            </v:shape>
            <v:shape style="position:absolute;left:9883;top:12387;width:213;height:146" type="#_x0000_t75" stroked="false">
              <v:imagedata r:id="rId123" o:title=""/>
            </v:shape>
            <w10:wrap type="topAndBottom"/>
          </v:group>
        </w:pict>
      </w:r>
    </w:p>
    <w:p>
      <w:pPr>
        <w:pStyle w:val="BodyText"/>
        <w:spacing w:before="10"/>
        <w:rPr>
          <w:b/>
          <w:sz w:val="6"/>
        </w:rPr>
      </w:pPr>
    </w:p>
    <w:p>
      <w:pPr>
        <w:pStyle w:val="BodyText"/>
        <w:spacing w:before="6"/>
        <w:rPr>
          <w:b/>
          <w:sz w:val="9"/>
        </w:rPr>
      </w:pPr>
    </w:p>
    <w:p>
      <w:pPr>
        <w:pStyle w:val="BodyText"/>
        <w:spacing w:before="7"/>
        <w:rPr>
          <w:b/>
          <w:sz w:val="6"/>
        </w:rPr>
      </w:pPr>
    </w:p>
    <w:p>
      <w:pPr>
        <w:pStyle w:val="BodyText"/>
        <w:spacing w:before="5"/>
        <w:rPr>
          <w:b/>
          <w:sz w:val="6"/>
        </w:rPr>
      </w:pPr>
    </w:p>
    <w:p>
      <w:pPr>
        <w:pStyle w:val="BodyText"/>
        <w:spacing w:before="9"/>
        <w:rPr>
          <w:b/>
          <w:sz w:val="6"/>
        </w:rPr>
      </w:pPr>
    </w:p>
    <w:p>
      <w:pPr>
        <w:pStyle w:val="BodyText"/>
        <w:spacing w:before="8"/>
        <w:rPr>
          <w:b/>
          <w:sz w:val="9"/>
        </w:rPr>
      </w:pPr>
    </w:p>
    <w:p>
      <w:pPr>
        <w:pStyle w:val="BodyText"/>
        <w:spacing w:before="8"/>
        <w:rPr>
          <w:b/>
          <w:sz w:val="6"/>
        </w:rPr>
      </w:pPr>
    </w:p>
    <w:p>
      <w:pPr>
        <w:pStyle w:val="BodyText"/>
        <w:spacing w:before="10"/>
        <w:rPr>
          <w:b/>
          <w:sz w:val="9"/>
        </w:rPr>
      </w:pPr>
    </w:p>
    <w:p>
      <w:pPr>
        <w:pStyle w:val="BodyText"/>
        <w:spacing w:before="8"/>
        <w:rPr>
          <w:b/>
          <w:sz w:val="6"/>
        </w:rPr>
      </w:pPr>
    </w:p>
    <w:p>
      <w:pPr>
        <w:pStyle w:val="BodyText"/>
        <w:spacing w:before="10"/>
        <w:rPr>
          <w:b/>
          <w:sz w:val="6"/>
        </w:rPr>
      </w:pPr>
    </w:p>
    <w:p>
      <w:pPr>
        <w:pStyle w:val="BodyText"/>
        <w:spacing w:before="8"/>
        <w:rPr>
          <w:b/>
          <w:sz w:val="9"/>
        </w:rPr>
      </w:pPr>
    </w:p>
    <w:p>
      <w:pPr>
        <w:pStyle w:val="BodyText"/>
        <w:spacing w:before="10"/>
        <w:rPr>
          <w:b/>
          <w:sz w:val="6"/>
        </w:rPr>
      </w:pPr>
    </w:p>
    <w:p>
      <w:pPr>
        <w:pStyle w:val="BodyText"/>
        <w:spacing w:before="8"/>
        <w:rPr>
          <w:b/>
          <w:sz w:val="6"/>
        </w:rPr>
      </w:pPr>
    </w:p>
    <w:p>
      <w:pPr>
        <w:pStyle w:val="BodyText"/>
        <w:spacing w:before="10"/>
        <w:rPr>
          <w:b/>
          <w:sz w:val="9"/>
        </w:rPr>
      </w:pPr>
    </w:p>
    <w:p>
      <w:pPr>
        <w:pStyle w:val="BodyText"/>
        <w:spacing w:before="3"/>
        <w:rPr>
          <w:b/>
          <w:sz w:val="7"/>
        </w:rPr>
      </w:pPr>
    </w:p>
    <w:p>
      <w:pPr>
        <w:pStyle w:val="BodyText"/>
        <w:spacing w:before="6"/>
        <w:rPr>
          <w:b/>
          <w:sz w:val="6"/>
        </w:rPr>
      </w:pPr>
    </w:p>
    <w:p>
      <w:pPr>
        <w:pStyle w:val="BodyText"/>
        <w:spacing w:before="8"/>
        <w:rPr>
          <w:b/>
          <w:sz w:val="9"/>
        </w:rPr>
      </w:pPr>
    </w:p>
    <w:p>
      <w:pPr>
        <w:pStyle w:val="BodyText"/>
        <w:spacing w:before="10"/>
        <w:rPr>
          <w:b/>
          <w:sz w:val="6"/>
        </w:rPr>
      </w:pPr>
    </w:p>
    <w:p>
      <w:pPr>
        <w:pStyle w:val="BodyText"/>
        <w:spacing w:before="8"/>
        <w:rPr>
          <w:b/>
          <w:sz w:val="9"/>
        </w:rPr>
      </w:pPr>
    </w:p>
    <w:p>
      <w:pPr>
        <w:pStyle w:val="BodyText"/>
        <w:spacing w:before="10"/>
        <w:rPr>
          <w:b/>
          <w:sz w:val="9"/>
        </w:rPr>
      </w:pPr>
    </w:p>
    <w:p>
      <w:pPr>
        <w:pStyle w:val="BodyText"/>
        <w:spacing w:before="8"/>
        <w:rPr>
          <w:b/>
          <w:sz w:val="6"/>
        </w:rPr>
      </w:pPr>
    </w:p>
    <w:p>
      <w:pPr>
        <w:pStyle w:val="BodyText"/>
        <w:spacing w:before="8"/>
        <w:rPr>
          <w:b/>
          <w:sz w:val="9"/>
        </w:rPr>
      </w:pPr>
    </w:p>
    <w:p>
      <w:pPr>
        <w:pStyle w:val="BodyText"/>
        <w:spacing w:before="10"/>
        <w:rPr>
          <w:b/>
          <w:sz w:val="6"/>
        </w:rPr>
      </w:pPr>
    </w:p>
    <w:p>
      <w:pPr>
        <w:pStyle w:val="BodyText"/>
        <w:spacing w:before="8"/>
        <w:rPr>
          <w:b/>
          <w:sz w:val="6"/>
        </w:rPr>
      </w:pPr>
    </w:p>
    <w:p>
      <w:pPr>
        <w:pStyle w:val="BodyText"/>
        <w:spacing w:before="10"/>
        <w:rPr>
          <w:b/>
          <w:sz w:val="9"/>
        </w:rPr>
      </w:pPr>
    </w:p>
    <w:p>
      <w:pPr>
        <w:pStyle w:val="BodyText"/>
        <w:spacing w:before="6"/>
        <w:rPr>
          <w:b/>
          <w:sz w:val="6"/>
        </w:rPr>
      </w:pPr>
    </w:p>
    <w:p>
      <w:pPr>
        <w:pStyle w:val="BodyText"/>
        <w:spacing w:before="10"/>
        <w:rPr>
          <w:b/>
          <w:sz w:val="9"/>
        </w:rPr>
      </w:pPr>
    </w:p>
    <w:p>
      <w:pPr>
        <w:pStyle w:val="BodyText"/>
        <w:spacing w:before="8"/>
        <w:rPr>
          <w:b/>
          <w:sz w:val="6"/>
        </w:rPr>
      </w:pPr>
    </w:p>
    <w:p>
      <w:pPr>
        <w:pStyle w:val="BodyText"/>
        <w:spacing w:before="8"/>
        <w:rPr>
          <w:b/>
          <w:sz w:val="6"/>
        </w:rPr>
      </w:pPr>
    </w:p>
    <w:p>
      <w:pPr>
        <w:pStyle w:val="BodyText"/>
        <w:spacing w:before="8"/>
        <w:rPr>
          <w:b/>
          <w:sz w:val="9"/>
        </w:rPr>
      </w:pPr>
    </w:p>
    <w:p>
      <w:pPr>
        <w:pStyle w:val="BodyText"/>
        <w:spacing w:before="10"/>
        <w:rPr>
          <w:b/>
          <w:sz w:val="6"/>
        </w:rPr>
      </w:pPr>
    </w:p>
    <w:p>
      <w:pPr>
        <w:pStyle w:val="BodyText"/>
        <w:spacing w:before="8"/>
        <w:rPr>
          <w:b/>
          <w:sz w:val="9"/>
        </w:rPr>
      </w:pPr>
    </w:p>
    <w:p>
      <w:pPr>
        <w:pStyle w:val="BodyText"/>
        <w:spacing w:before="10"/>
        <w:rPr>
          <w:b/>
          <w:sz w:val="9"/>
        </w:rPr>
      </w:pPr>
    </w:p>
    <w:p>
      <w:pPr>
        <w:pStyle w:val="BodyText"/>
        <w:rPr>
          <w:b/>
          <w:sz w:val="8"/>
        </w:rPr>
      </w:pPr>
    </w:p>
    <w:p>
      <w:pPr>
        <w:pStyle w:val="BodyText"/>
        <w:spacing w:before="10"/>
        <w:rPr>
          <w:b/>
          <w:sz w:val="9"/>
        </w:rPr>
      </w:pPr>
    </w:p>
    <w:p>
      <w:pPr>
        <w:spacing w:after="0"/>
        <w:rPr>
          <w:sz w:val="9"/>
        </w:rPr>
        <w:sectPr>
          <w:headerReference w:type="default" r:id="rId63"/>
          <w:footerReference w:type="default" r:id="rId64"/>
          <w:pgSz w:w="11910" w:h="16840"/>
          <w:pgMar w:header="672" w:footer="734" w:top="1300" w:bottom="920" w:left="440" w:right="140"/>
          <w:pgNumType w:start="5"/>
        </w:sectPr>
      </w:pPr>
    </w:p>
    <w:p>
      <w:pPr>
        <w:pStyle w:val="BodyText"/>
        <w:spacing w:before="1"/>
        <w:rPr>
          <w:b/>
          <w:sz w:val="12"/>
        </w:rPr>
      </w:pPr>
    </w:p>
    <w:p>
      <w:pPr>
        <w:pStyle w:val="BodyText"/>
        <w:spacing w:line="200" w:lineRule="exact"/>
        <w:ind w:left="2838"/>
        <w:rPr>
          <w:sz w:val="20"/>
        </w:rPr>
      </w:pPr>
      <w:r>
        <w:rPr>
          <w:position w:val="-3"/>
          <w:sz w:val="20"/>
        </w:rPr>
        <w:pict>
          <v:group style="width:340.75pt;height:10.050pt;mso-position-horizontal-relative:char;mso-position-vertical-relative:line" coordorigin="0,0" coordsize="6815,201">
            <v:shape style="position:absolute;left:0;top:0;width:6537;height:201" type="#_x0000_t75" stroked="false">
              <v:imagedata r:id="rId127" o:title=""/>
            </v:shape>
            <v:shape style="position:absolute;left:6604;top:19;width:210;height:146" type="#_x0000_t75" stroked="false">
              <v:imagedata r:id="rId128" o:title=""/>
            </v:shape>
          </v:group>
        </w:pict>
      </w:r>
      <w:r>
        <w:rPr>
          <w:position w:val="-3"/>
          <w:sz w:val="20"/>
        </w:rPr>
      </w:r>
    </w:p>
    <w:p>
      <w:pPr>
        <w:pStyle w:val="BodyText"/>
        <w:spacing w:before="1"/>
        <w:rPr>
          <w:b/>
          <w:sz w:val="9"/>
        </w:rPr>
      </w:pPr>
      <w:r>
        <w:rPr/>
        <w:drawing>
          <wp:anchor distT="0" distB="0" distL="0" distR="0" allowOverlap="1" layoutInCell="1" locked="0" behindDoc="0" simplePos="0" relativeHeight="112">
            <wp:simplePos x="0" y="0"/>
            <wp:positionH relativeFrom="page">
              <wp:posOffset>1645920</wp:posOffset>
            </wp:positionH>
            <wp:positionV relativeFrom="paragraph">
              <wp:posOffset>95503</wp:posOffset>
            </wp:positionV>
            <wp:extent cx="4577984" cy="102679"/>
            <wp:effectExtent l="0" t="0" r="0" b="0"/>
            <wp:wrapTopAndBottom/>
            <wp:docPr id="235" name="image123.png"/>
            <wp:cNvGraphicFramePr>
              <a:graphicFrameLocks noChangeAspect="1"/>
            </wp:cNvGraphicFramePr>
            <a:graphic>
              <a:graphicData uri="http://schemas.openxmlformats.org/drawingml/2006/picture">
                <pic:pic>
                  <pic:nvPicPr>
                    <pic:cNvPr id="236" name="image123.png"/>
                    <pic:cNvPicPr/>
                  </pic:nvPicPr>
                  <pic:blipFill>
                    <a:blip r:embed="rId129" cstate="print"/>
                    <a:stretch>
                      <a:fillRect/>
                    </a:stretch>
                  </pic:blipFill>
                  <pic:spPr>
                    <a:xfrm>
                      <a:off x="0" y="0"/>
                      <a:ext cx="4577984" cy="102679"/>
                    </a:xfrm>
                    <a:prstGeom prst="rect">
                      <a:avLst/>
                    </a:prstGeom>
                  </pic:spPr>
                </pic:pic>
              </a:graphicData>
            </a:graphic>
          </wp:anchor>
        </w:drawing>
      </w:r>
      <w:r>
        <w:rPr/>
        <w:drawing>
          <wp:anchor distT="0" distB="0" distL="0" distR="0" allowOverlap="1" layoutInCell="1" locked="0" behindDoc="0" simplePos="0" relativeHeight="113">
            <wp:simplePos x="0" y="0"/>
            <wp:positionH relativeFrom="page">
              <wp:posOffset>6278905</wp:posOffset>
            </wp:positionH>
            <wp:positionV relativeFrom="paragraph">
              <wp:posOffset>106208</wp:posOffset>
            </wp:positionV>
            <wp:extent cx="132274" cy="91440"/>
            <wp:effectExtent l="0" t="0" r="0" b="0"/>
            <wp:wrapTopAndBottom/>
            <wp:docPr id="237" name="image124.png"/>
            <wp:cNvGraphicFramePr>
              <a:graphicFrameLocks noChangeAspect="1"/>
            </wp:cNvGraphicFramePr>
            <a:graphic>
              <a:graphicData uri="http://schemas.openxmlformats.org/drawingml/2006/picture">
                <pic:pic>
                  <pic:nvPicPr>
                    <pic:cNvPr id="238" name="image124.png"/>
                    <pic:cNvPicPr/>
                  </pic:nvPicPr>
                  <pic:blipFill>
                    <a:blip r:embed="rId130" cstate="print"/>
                    <a:stretch>
                      <a:fillRect/>
                    </a:stretch>
                  </pic:blipFill>
                  <pic:spPr>
                    <a:xfrm>
                      <a:off x="0" y="0"/>
                      <a:ext cx="132274" cy="91440"/>
                    </a:xfrm>
                    <a:prstGeom prst="rect">
                      <a:avLst/>
                    </a:prstGeom>
                  </pic:spPr>
                </pic:pic>
              </a:graphicData>
            </a:graphic>
          </wp:anchor>
        </w:drawing>
      </w:r>
      <w:r>
        <w:rPr/>
        <w:drawing>
          <wp:anchor distT="0" distB="0" distL="0" distR="0" allowOverlap="1" layoutInCell="1" locked="0" behindDoc="0" simplePos="0" relativeHeight="114">
            <wp:simplePos x="0" y="0"/>
            <wp:positionH relativeFrom="page">
              <wp:posOffset>1645920</wp:posOffset>
            </wp:positionH>
            <wp:positionV relativeFrom="paragraph">
              <wp:posOffset>318008</wp:posOffset>
            </wp:positionV>
            <wp:extent cx="4353202" cy="126015"/>
            <wp:effectExtent l="0" t="0" r="0" b="0"/>
            <wp:wrapTopAndBottom/>
            <wp:docPr id="239" name="image125.png"/>
            <wp:cNvGraphicFramePr>
              <a:graphicFrameLocks noChangeAspect="1"/>
            </wp:cNvGraphicFramePr>
            <a:graphic>
              <a:graphicData uri="http://schemas.openxmlformats.org/drawingml/2006/picture">
                <pic:pic>
                  <pic:nvPicPr>
                    <pic:cNvPr id="240" name="image125.png"/>
                    <pic:cNvPicPr/>
                  </pic:nvPicPr>
                  <pic:blipFill>
                    <a:blip r:embed="rId131" cstate="print"/>
                    <a:stretch>
                      <a:fillRect/>
                    </a:stretch>
                  </pic:blipFill>
                  <pic:spPr>
                    <a:xfrm>
                      <a:off x="0" y="0"/>
                      <a:ext cx="4353202" cy="126015"/>
                    </a:xfrm>
                    <a:prstGeom prst="rect">
                      <a:avLst/>
                    </a:prstGeom>
                  </pic:spPr>
                </pic:pic>
              </a:graphicData>
            </a:graphic>
          </wp:anchor>
        </w:drawing>
      </w:r>
      <w:r>
        <w:rPr/>
        <w:drawing>
          <wp:anchor distT="0" distB="0" distL="0" distR="0" allowOverlap="1" layoutInCell="1" locked="0" behindDoc="0" simplePos="0" relativeHeight="115">
            <wp:simplePos x="0" y="0"/>
            <wp:positionH relativeFrom="page">
              <wp:posOffset>2080260</wp:posOffset>
            </wp:positionH>
            <wp:positionV relativeFrom="paragraph">
              <wp:posOffset>538987</wp:posOffset>
            </wp:positionV>
            <wp:extent cx="4190822" cy="123825"/>
            <wp:effectExtent l="0" t="0" r="0" b="0"/>
            <wp:wrapTopAndBottom/>
            <wp:docPr id="241" name="image126.png"/>
            <wp:cNvGraphicFramePr>
              <a:graphicFrameLocks noChangeAspect="1"/>
            </wp:cNvGraphicFramePr>
            <a:graphic>
              <a:graphicData uri="http://schemas.openxmlformats.org/drawingml/2006/picture">
                <pic:pic>
                  <pic:nvPicPr>
                    <pic:cNvPr id="242" name="image126.png"/>
                    <pic:cNvPicPr/>
                  </pic:nvPicPr>
                  <pic:blipFill>
                    <a:blip r:embed="rId132" cstate="print"/>
                    <a:stretch>
                      <a:fillRect/>
                    </a:stretch>
                  </pic:blipFill>
                  <pic:spPr>
                    <a:xfrm>
                      <a:off x="0" y="0"/>
                      <a:ext cx="4190822" cy="123825"/>
                    </a:xfrm>
                    <a:prstGeom prst="rect">
                      <a:avLst/>
                    </a:prstGeom>
                  </pic:spPr>
                </pic:pic>
              </a:graphicData>
            </a:graphic>
          </wp:anchor>
        </w:drawing>
      </w:r>
      <w:r>
        <w:rPr/>
        <w:drawing>
          <wp:anchor distT="0" distB="0" distL="0" distR="0" allowOverlap="1" layoutInCell="1" locked="0" behindDoc="0" simplePos="0" relativeHeight="116">
            <wp:simplePos x="0" y="0"/>
            <wp:positionH relativeFrom="page">
              <wp:posOffset>6278958</wp:posOffset>
            </wp:positionH>
            <wp:positionV relativeFrom="paragraph">
              <wp:posOffset>549692</wp:posOffset>
            </wp:positionV>
            <wp:extent cx="129197" cy="91440"/>
            <wp:effectExtent l="0" t="0" r="0" b="0"/>
            <wp:wrapTopAndBottom/>
            <wp:docPr id="243" name="image127.png"/>
            <wp:cNvGraphicFramePr>
              <a:graphicFrameLocks noChangeAspect="1"/>
            </wp:cNvGraphicFramePr>
            <a:graphic>
              <a:graphicData uri="http://schemas.openxmlformats.org/drawingml/2006/picture">
                <pic:pic>
                  <pic:nvPicPr>
                    <pic:cNvPr id="244" name="image127.png"/>
                    <pic:cNvPicPr/>
                  </pic:nvPicPr>
                  <pic:blipFill>
                    <a:blip r:embed="rId133" cstate="print"/>
                    <a:stretch>
                      <a:fillRect/>
                    </a:stretch>
                  </pic:blipFill>
                  <pic:spPr>
                    <a:xfrm>
                      <a:off x="0" y="0"/>
                      <a:ext cx="129197" cy="91440"/>
                    </a:xfrm>
                    <a:prstGeom prst="rect">
                      <a:avLst/>
                    </a:prstGeom>
                  </pic:spPr>
                </pic:pic>
              </a:graphicData>
            </a:graphic>
          </wp:anchor>
        </w:drawing>
      </w:r>
      <w:r>
        <w:rPr/>
        <w:drawing>
          <wp:anchor distT="0" distB="0" distL="0" distR="0" allowOverlap="1" layoutInCell="1" locked="0" behindDoc="0" simplePos="0" relativeHeight="117">
            <wp:simplePos x="0" y="0"/>
            <wp:positionH relativeFrom="page">
              <wp:posOffset>1645920</wp:posOffset>
            </wp:positionH>
            <wp:positionV relativeFrom="paragraph">
              <wp:posOffset>759968</wp:posOffset>
            </wp:positionV>
            <wp:extent cx="4577984" cy="102679"/>
            <wp:effectExtent l="0" t="0" r="0" b="0"/>
            <wp:wrapTopAndBottom/>
            <wp:docPr id="245" name="image128.png"/>
            <wp:cNvGraphicFramePr>
              <a:graphicFrameLocks noChangeAspect="1"/>
            </wp:cNvGraphicFramePr>
            <a:graphic>
              <a:graphicData uri="http://schemas.openxmlformats.org/drawingml/2006/picture">
                <pic:pic>
                  <pic:nvPicPr>
                    <pic:cNvPr id="246" name="image128.png"/>
                    <pic:cNvPicPr/>
                  </pic:nvPicPr>
                  <pic:blipFill>
                    <a:blip r:embed="rId134" cstate="print"/>
                    <a:stretch>
                      <a:fillRect/>
                    </a:stretch>
                  </pic:blipFill>
                  <pic:spPr>
                    <a:xfrm>
                      <a:off x="0" y="0"/>
                      <a:ext cx="4577984" cy="102679"/>
                    </a:xfrm>
                    <a:prstGeom prst="rect">
                      <a:avLst/>
                    </a:prstGeom>
                  </pic:spPr>
                </pic:pic>
              </a:graphicData>
            </a:graphic>
          </wp:anchor>
        </w:drawing>
      </w:r>
      <w:r>
        <w:rPr/>
        <w:drawing>
          <wp:anchor distT="0" distB="0" distL="0" distR="0" allowOverlap="1" layoutInCell="1" locked="0" behindDoc="0" simplePos="0" relativeHeight="118">
            <wp:simplePos x="0" y="0"/>
            <wp:positionH relativeFrom="page">
              <wp:posOffset>6278958</wp:posOffset>
            </wp:positionH>
            <wp:positionV relativeFrom="paragraph">
              <wp:posOffset>770672</wp:posOffset>
            </wp:positionV>
            <wp:extent cx="129197" cy="91440"/>
            <wp:effectExtent l="0" t="0" r="0" b="0"/>
            <wp:wrapTopAndBottom/>
            <wp:docPr id="247" name="image129.png"/>
            <wp:cNvGraphicFramePr>
              <a:graphicFrameLocks noChangeAspect="1"/>
            </wp:cNvGraphicFramePr>
            <a:graphic>
              <a:graphicData uri="http://schemas.openxmlformats.org/drawingml/2006/picture">
                <pic:pic>
                  <pic:nvPicPr>
                    <pic:cNvPr id="248" name="image129.png"/>
                    <pic:cNvPicPr/>
                  </pic:nvPicPr>
                  <pic:blipFill>
                    <a:blip r:embed="rId135" cstate="print"/>
                    <a:stretch>
                      <a:fillRect/>
                    </a:stretch>
                  </pic:blipFill>
                  <pic:spPr>
                    <a:xfrm>
                      <a:off x="0" y="0"/>
                      <a:ext cx="129197" cy="91440"/>
                    </a:xfrm>
                    <a:prstGeom prst="rect">
                      <a:avLst/>
                    </a:prstGeom>
                  </pic:spPr>
                </pic:pic>
              </a:graphicData>
            </a:graphic>
          </wp:anchor>
        </w:drawing>
      </w:r>
      <w:r>
        <w:rPr/>
        <w:drawing>
          <wp:anchor distT="0" distB="0" distL="0" distR="0" allowOverlap="1" layoutInCell="1" locked="0" behindDoc="0" simplePos="0" relativeHeight="119">
            <wp:simplePos x="0" y="0"/>
            <wp:positionH relativeFrom="page">
              <wp:posOffset>1357883</wp:posOffset>
            </wp:positionH>
            <wp:positionV relativeFrom="paragraph">
              <wp:posOffset>982472</wp:posOffset>
            </wp:positionV>
            <wp:extent cx="4827082" cy="126015"/>
            <wp:effectExtent l="0" t="0" r="0" b="0"/>
            <wp:wrapTopAndBottom/>
            <wp:docPr id="249" name="image130.png"/>
            <wp:cNvGraphicFramePr>
              <a:graphicFrameLocks noChangeAspect="1"/>
            </wp:cNvGraphicFramePr>
            <a:graphic>
              <a:graphicData uri="http://schemas.openxmlformats.org/drawingml/2006/picture">
                <pic:pic>
                  <pic:nvPicPr>
                    <pic:cNvPr id="250" name="image130.png"/>
                    <pic:cNvPicPr/>
                  </pic:nvPicPr>
                  <pic:blipFill>
                    <a:blip r:embed="rId136" cstate="print"/>
                    <a:stretch>
                      <a:fillRect/>
                    </a:stretch>
                  </pic:blipFill>
                  <pic:spPr>
                    <a:xfrm>
                      <a:off x="0" y="0"/>
                      <a:ext cx="4827082" cy="126015"/>
                    </a:xfrm>
                    <a:prstGeom prst="rect">
                      <a:avLst/>
                    </a:prstGeom>
                  </pic:spPr>
                </pic:pic>
              </a:graphicData>
            </a:graphic>
          </wp:anchor>
        </w:drawing>
      </w:r>
      <w:r>
        <w:rPr/>
        <w:drawing>
          <wp:anchor distT="0" distB="0" distL="0" distR="0" allowOverlap="1" layoutInCell="1" locked="0" behindDoc="0" simplePos="0" relativeHeight="120">
            <wp:simplePos x="0" y="0"/>
            <wp:positionH relativeFrom="page">
              <wp:posOffset>6278958</wp:posOffset>
            </wp:positionH>
            <wp:positionV relativeFrom="paragraph">
              <wp:posOffset>993176</wp:posOffset>
            </wp:positionV>
            <wp:extent cx="129197" cy="91440"/>
            <wp:effectExtent l="0" t="0" r="0" b="0"/>
            <wp:wrapTopAndBottom/>
            <wp:docPr id="251" name="image131.png"/>
            <wp:cNvGraphicFramePr>
              <a:graphicFrameLocks noChangeAspect="1"/>
            </wp:cNvGraphicFramePr>
            <a:graphic>
              <a:graphicData uri="http://schemas.openxmlformats.org/drawingml/2006/picture">
                <pic:pic>
                  <pic:nvPicPr>
                    <pic:cNvPr id="252" name="image131.png"/>
                    <pic:cNvPicPr/>
                  </pic:nvPicPr>
                  <pic:blipFill>
                    <a:blip r:embed="rId137" cstate="print"/>
                    <a:stretch>
                      <a:fillRect/>
                    </a:stretch>
                  </pic:blipFill>
                  <pic:spPr>
                    <a:xfrm>
                      <a:off x="0" y="0"/>
                      <a:ext cx="129197" cy="91440"/>
                    </a:xfrm>
                    <a:prstGeom prst="rect">
                      <a:avLst/>
                    </a:prstGeom>
                  </pic:spPr>
                </pic:pic>
              </a:graphicData>
            </a:graphic>
          </wp:anchor>
        </w:drawing>
      </w:r>
      <w:r>
        <w:rPr/>
        <w:drawing>
          <wp:anchor distT="0" distB="0" distL="0" distR="0" allowOverlap="1" layoutInCell="1" locked="0" behindDoc="0" simplePos="0" relativeHeight="121">
            <wp:simplePos x="0" y="0"/>
            <wp:positionH relativeFrom="page">
              <wp:posOffset>1645920</wp:posOffset>
            </wp:positionH>
            <wp:positionV relativeFrom="paragraph">
              <wp:posOffset>1203452</wp:posOffset>
            </wp:positionV>
            <wp:extent cx="4475445" cy="126015"/>
            <wp:effectExtent l="0" t="0" r="0" b="0"/>
            <wp:wrapTopAndBottom/>
            <wp:docPr id="253" name="image132.png"/>
            <wp:cNvGraphicFramePr>
              <a:graphicFrameLocks noChangeAspect="1"/>
            </wp:cNvGraphicFramePr>
            <a:graphic>
              <a:graphicData uri="http://schemas.openxmlformats.org/drawingml/2006/picture">
                <pic:pic>
                  <pic:nvPicPr>
                    <pic:cNvPr id="254" name="image132.png"/>
                    <pic:cNvPicPr/>
                  </pic:nvPicPr>
                  <pic:blipFill>
                    <a:blip r:embed="rId138" cstate="print"/>
                    <a:stretch>
                      <a:fillRect/>
                    </a:stretch>
                  </pic:blipFill>
                  <pic:spPr>
                    <a:xfrm>
                      <a:off x="0" y="0"/>
                      <a:ext cx="4475445" cy="126015"/>
                    </a:xfrm>
                    <a:prstGeom prst="rect">
                      <a:avLst/>
                    </a:prstGeom>
                  </pic:spPr>
                </pic:pic>
              </a:graphicData>
            </a:graphic>
          </wp:anchor>
        </w:drawing>
      </w:r>
      <w:r>
        <w:rPr/>
        <w:drawing>
          <wp:anchor distT="0" distB="0" distL="0" distR="0" allowOverlap="1" layoutInCell="1" locked="0" behindDoc="0" simplePos="0" relativeHeight="122">
            <wp:simplePos x="0" y="0"/>
            <wp:positionH relativeFrom="page">
              <wp:posOffset>2084832</wp:posOffset>
            </wp:positionH>
            <wp:positionV relativeFrom="paragraph">
              <wp:posOffset>1425955</wp:posOffset>
            </wp:positionV>
            <wp:extent cx="3987780" cy="123825"/>
            <wp:effectExtent l="0" t="0" r="0" b="0"/>
            <wp:wrapTopAndBottom/>
            <wp:docPr id="255" name="image133.png"/>
            <wp:cNvGraphicFramePr>
              <a:graphicFrameLocks noChangeAspect="1"/>
            </wp:cNvGraphicFramePr>
            <a:graphic>
              <a:graphicData uri="http://schemas.openxmlformats.org/drawingml/2006/picture">
                <pic:pic>
                  <pic:nvPicPr>
                    <pic:cNvPr id="256" name="image133.png"/>
                    <pic:cNvPicPr/>
                  </pic:nvPicPr>
                  <pic:blipFill>
                    <a:blip r:embed="rId139" cstate="print"/>
                    <a:stretch>
                      <a:fillRect/>
                    </a:stretch>
                  </pic:blipFill>
                  <pic:spPr>
                    <a:xfrm>
                      <a:off x="0" y="0"/>
                      <a:ext cx="3987780" cy="123825"/>
                    </a:xfrm>
                    <a:prstGeom prst="rect">
                      <a:avLst/>
                    </a:prstGeom>
                  </pic:spPr>
                </pic:pic>
              </a:graphicData>
            </a:graphic>
          </wp:anchor>
        </w:drawing>
      </w:r>
      <w:r>
        <w:rPr/>
        <w:drawing>
          <wp:anchor distT="0" distB="0" distL="0" distR="0" allowOverlap="1" layoutInCell="1" locked="0" behindDoc="0" simplePos="0" relativeHeight="123">
            <wp:simplePos x="0" y="0"/>
            <wp:positionH relativeFrom="page">
              <wp:posOffset>2084832</wp:posOffset>
            </wp:positionH>
            <wp:positionV relativeFrom="paragraph">
              <wp:posOffset>1653032</wp:posOffset>
            </wp:positionV>
            <wp:extent cx="4114907" cy="96011"/>
            <wp:effectExtent l="0" t="0" r="0" b="0"/>
            <wp:wrapTopAndBottom/>
            <wp:docPr id="257" name="image134.png"/>
            <wp:cNvGraphicFramePr>
              <a:graphicFrameLocks noChangeAspect="1"/>
            </wp:cNvGraphicFramePr>
            <a:graphic>
              <a:graphicData uri="http://schemas.openxmlformats.org/drawingml/2006/picture">
                <pic:pic>
                  <pic:nvPicPr>
                    <pic:cNvPr id="258" name="image134.png"/>
                    <pic:cNvPicPr/>
                  </pic:nvPicPr>
                  <pic:blipFill>
                    <a:blip r:embed="rId140" cstate="print"/>
                    <a:stretch>
                      <a:fillRect/>
                    </a:stretch>
                  </pic:blipFill>
                  <pic:spPr>
                    <a:xfrm>
                      <a:off x="0" y="0"/>
                      <a:ext cx="4114907" cy="96011"/>
                    </a:xfrm>
                    <a:prstGeom prst="rect">
                      <a:avLst/>
                    </a:prstGeom>
                  </pic:spPr>
                </pic:pic>
              </a:graphicData>
            </a:graphic>
          </wp:anchor>
        </w:drawing>
      </w:r>
      <w:r>
        <w:rPr/>
        <w:drawing>
          <wp:anchor distT="0" distB="0" distL="0" distR="0" allowOverlap="1" layoutInCell="1" locked="0" behindDoc="0" simplePos="0" relativeHeight="124">
            <wp:simplePos x="0" y="0"/>
            <wp:positionH relativeFrom="page">
              <wp:posOffset>6278958</wp:posOffset>
            </wp:positionH>
            <wp:positionV relativeFrom="paragraph">
              <wp:posOffset>1657640</wp:posOffset>
            </wp:positionV>
            <wp:extent cx="129197" cy="91440"/>
            <wp:effectExtent l="0" t="0" r="0" b="0"/>
            <wp:wrapTopAndBottom/>
            <wp:docPr id="259" name="image135.png"/>
            <wp:cNvGraphicFramePr>
              <a:graphicFrameLocks noChangeAspect="1"/>
            </wp:cNvGraphicFramePr>
            <a:graphic>
              <a:graphicData uri="http://schemas.openxmlformats.org/drawingml/2006/picture">
                <pic:pic>
                  <pic:nvPicPr>
                    <pic:cNvPr id="260" name="image135.png"/>
                    <pic:cNvPicPr/>
                  </pic:nvPicPr>
                  <pic:blipFill>
                    <a:blip r:embed="rId141" cstate="print"/>
                    <a:stretch>
                      <a:fillRect/>
                    </a:stretch>
                  </pic:blipFill>
                  <pic:spPr>
                    <a:xfrm>
                      <a:off x="0" y="0"/>
                      <a:ext cx="129197" cy="91440"/>
                    </a:xfrm>
                    <a:prstGeom prst="rect">
                      <a:avLst/>
                    </a:prstGeom>
                  </pic:spPr>
                </pic:pic>
              </a:graphicData>
            </a:graphic>
          </wp:anchor>
        </w:drawing>
      </w:r>
      <w:r>
        <w:rPr/>
        <w:drawing>
          <wp:anchor distT="0" distB="0" distL="0" distR="0" allowOverlap="1" layoutInCell="1" locked="0" behindDoc="0" simplePos="0" relativeHeight="125">
            <wp:simplePos x="0" y="0"/>
            <wp:positionH relativeFrom="page">
              <wp:posOffset>1645920</wp:posOffset>
            </wp:positionH>
            <wp:positionV relativeFrom="paragraph">
              <wp:posOffset>1869441</wp:posOffset>
            </wp:positionV>
            <wp:extent cx="4578041" cy="102679"/>
            <wp:effectExtent l="0" t="0" r="0" b="0"/>
            <wp:wrapTopAndBottom/>
            <wp:docPr id="261" name="image136.png"/>
            <wp:cNvGraphicFramePr>
              <a:graphicFrameLocks noChangeAspect="1"/>
            </wp:cNvGraphicFramePr>
            <a:graphic>
              <a:graphicData uri="http://schemas.openxmlformats.org/drawingml/2006/picture">
                <pic:pic>
                  <pic:nvPicPr>
                    <pic:cNvPr id="262" name="image136.png"/>
                    <pic:cNvPicPr/>
                  </pic:nvPicPr>
                  <pic:blipFill>
                    <a:blip r:embed="rId142" cstate="print"/>
                    <a:stretch>
                      <a:fillRect/>
                    </a:stretch>
                  </pic:blipFill>
                  <pic:spPr>
                    <a:xfrm>
                      <a:off x="0" y="0"/>
                      <a:ext cx="4578041" cy="102679"/>
                    </a:xfrm>
                    <a:prstGeom prst="rect">
                      <a:avLst/>
                    </a:prstGeom>
                  </pic:spPr>
                </pic:pic>
              </a:graphicData>
            </a:graphic>
          </wp:anchor>
        </w:drawing>
      </w:r>
      <w:r>
        <w:rPr/>
        <w:drawing>
          <wp:anchor distT="0" distB="0" distL="0" distR="0" allowOverlap="1" layoutInCell="1" locked="0" behindDoc="0" simplePos="0" relativeHeight="126">
            <wp:simplePos x="0" y="0"/>
            <wp:positionH relativeFrom="page">
              <wp:posOffset>6278905</wp:posOffset>
            </wp:positionH>
            <wp:positionV relativeFrom="paragraph">
              <wp:posOffset>1880144</wp:posOffset>
            </wp:positionV>
            <wp:extent cx="132274" cy="91439"/>
            <wp:effectExtent l="0" t="0" r="0" b="0"/>
            <wp:wrapTopAndBottom/>
            <wp:docPr id="263" name="image137.png"/>
            <wp:cNvGraphicFramePr>
              <a:graphicFrameLocks noChangeAspect="1"/>
            </wp:cNvGraphicFramePr>
            <a:graphic>
              <a:graphicData uri="http://schemas.openxmlformats.org/drawingml/2006/picture">
                <pic:pic>
                  <pic:nvPicPr>
                    <pic:cNvPr id="264" name="image137.png"/>
                    <pic:cNvPicPr/>
                  </pic:nvPicPr>
                  <pic:blipFill>
                    <a:blip r:embed="rId143" cstate="print"/>
                    <a:stretch>
                      <a:fillRect/>
                    </a:stretch>
                  </pic:blipFill>
                  <pic:spPr>
                    <a:xfrm>
                      <a:off x="0" y="0"/>
                      <a:ext cx="132274" cy="91439"/>
                    </a:xfrm>
                    <a:prstGeom prst="rect">
                      <a:avLst/>
                    </a:prstGeom>
                  </pic:spPr>
                </pic:pic>
              </a:graphicData>
            </a:graphic>
          </wp:anchor>
        </w:drawing>
      </w:r>
      <w:r>
        <w:rPr/>
        <w:drawing>
          <wp:anchor distT="0" distB="0" distL="0" distR="0" allowOverlap="1" layoutInCell="1" locked="0" behindDoc="0" simplePos="0" relativeHeight="127">
            <wp:simplePos x="0" y="0"/>
            <wp:positionH relativeFrom="page">
              <wp:posOffset>1645920</wp:posOffset>
            </wp:positionH>
            <wp:positionV relativeFrom="paragraph">
              <wp:posOffset>2090420</wp:posOffset>
            </wp:positionV>
            <wp:extent cx="4635417" cy="126015"/>
            <wp:effectExtent l="0" t="0" r="0" b="0"/>
            <wp:wrapTopAndBottom/>
            <wp:docPr id="265" name="image138.png"/>
            <wp:cNvGraphicFramePr>
              <a:graphicFrameLocks noChangeAspect="1"/>
            </wp:cNvGraphicFramePr>
            <a:graphic>
              <a:graphicData uri="http://schemas.openxmlformats.org/drawingml/2006/picture">
                <pic:pic>
                  <pic:nvPicPr>
                    <pic:cNvPr id="266" name="image138.png"/>
                    <pic:cNvPicPr/>
                  </pic:nvPicPr>
                  <pic:blipFill>
                    <a:blip r:embed="rId144" cstate="print"/>
                    <a:stretch>
                      <a:fillRect/>
                    </a:stretch>
                  </pic:blipFill>
                  <pic:spPr>
                    <a:xfrm>
                      <a:off x="0" y="0"/>
                      <a:ext cx="4635417" cy="126015"/>
                    </a:xfrm>
                    <a:prstGeom prst="rect">
                      <a:avLst/>
                    </a:prstGeom>
                  </pic:spPr>
                </pic:pic>
              </a:graphicData>
            </a:graphic>
          </wp:anchor>
        </w:drawing>
      </w:r>
      <w:r>
        <w:rPr/>
        <w:drawing>
          <wp:anchor distT="0" distB="0" distL="0" distR="0" allowOverlap="1" layoutInCell="1" locked="0" behindDoc="0" simplePos="0" relativeHeight="128">
            <wp:simplePos x="0" y="0"/>
            <wp:positionH relativeFrom="page">
              <wp:posOffset>2109216</wp:posOffset>
            </wp:positionH>
            <wp:positionV relativeFrom="paragraph">
              <wp:posOffset>2392172</wp:posOffset>
            </wp:positionV>
            <wp:extent cx="4156433" cy="23812"/>
            <wp:effectExtent l="0" t="0" r="0" b="0"/>
            <wp:wrapTopAndBottom/>
            <wp:docPr id="267" name="image139.png"/>
            <wp:cNvGraphicFramePr>
              <a:graphicFrameLocks noChangeAspect="1"/>
            </wp:cNvGraphicFramePr>
            <a:graphic>
              <a:graphicData uri="http://schemas.openxmlformats.org/drawingml/2006/picture">
                <pic:pic>
                  <pic:nvPicPr>
                    <pic:cNvPr id="268" name="image139.png"/>
                    <pic:cNvPicPr/>
                  </pic:nvPicPr>
                  <pic:blipFill>
                    <a:blip r:embed="rId145" cstate="print"/>
                    <a:stretch>
                      <a:fillRect/>
                    </a:stretch>
                  </pic:blipFill>
                  <pic:spPr>
                    <a:xfrm>
                      <a:off x="0" y="0"/>
                      <a:ext cx="4156433" cy="23812"/>
                    </a:xfrm>
                    <a:prstGeom prst="rect">
                      <a:avLst/>
                    </a:prstGeom>
                  </pic:spPr>
                </pic:pic>
              </a:graphicData>
            </a:graphic>
          </wp:anchor>
        </w:drawing>
      </w:r>
      <w:r>
        <w:rPr/>
        <w:drawing>
          <wp:anchor distT="0" distB="0" distL="0" distR="0" allowOverlap="1" layoutInCell="1" locked="0" behindDoc="0" simplePos="0" relativeHeight="129">
            <wp:simplePos x="0" y="0"/>
            <wp:positionH relativeFrom="page">
              <wp:posOffset>6278905</wp:posOffset>
            </wp:positionH>
            <wp:positionV relativeFrom="paragraph">
              <wp:posOffset>2323628</wp:posOffset>
            </wp:positionV>
            <wp:extent cx="132274" cy="91439"/>
            <wp:effectExtent l="0" t="0" r="0" b="0"/>
            <wp:wrapTopAndBottom/>
            <wp:docPr id="269" name="image140.png"/>
            <wp:cNvGraphicFramePr>
              <a:graphicFrameLocks noChangeAspect="1"/>
            </wp:cNvGraphicFramePr>
            <a:graphic>
              <a:graphicData uri="http://schemas.openxmlformats.org/drawingml/2006/picture">
                <pic:pic>
                  <pic:nvPicPr>
                    <pic:cNvPr id="270" name="image140.png"/>
                    <pic:cNvPicPr/>
                  </pic:nvPicPr>
                  <pic:blipFill>
                    <a:blip r:embed="rId146" cstate="print"/>
                    <a:stretch>
                      <a:fillRect/>
                    </a:stretch>
                  </pic:blipFill>
                  <pic:spPr>
                    <a:xfrm>
                      <a:off x="0" y="0"/>
                      <a:ext cx="132274" cy="91439"/>
                    </a:xfrm>
                    <a:prstGeom prst="rect">
                      <a:avLst/>
                    </a:prstGeom>
                  </pic:spPr>
                </pic:pic>
              </a:graphicData>
            </a:graphic>
          </wp:anchor>
        </w:drawing>
      </w:r>
      <w:r>
        <w:rPr/>
        <w:drawing>
          <wp:anchor distT="0" distB="0" distL="0" distR="0" allowOverlap="1" layoutInCell="1" locked="0" behindDoc="0" simplePos="0" relativeHeight="130">
            <wp:simplePos x="0" y="0"/>
            <wp:positionH relativeFrom="page">
              <wp:posOffset>1645920</wp:posOffset>
            </wp:positionH>
            <wp:positionV relativeFrom="paragraph">
              <wp:posOffset>2533904</wp:posOffset>
            </wp:positionV>
            <wp:extent cx="4577984" cy="102679"/>
            <wp:effectExtent l="0" t="0" r="0" b="0"/>
            <wp:wrapTopAndBottom/>
            <wp:docPr id="271" name="image141.png"/>
            <wp:cNvGraphicFramePr>
              <a:graphicFrameLocks noChangeAspect="1"/>
            </wp:cNvGraphicFramePr>
            <a:graphic>
              <a:graphicData uri="http://schemas.openxmlformats.org/drawingml/2006/picture">
                <pic:pic>
                  <pic:nvPicPr>
                    <pic:cNvPr id="272" name="image141.png"/>
                    <pic:cNvPicPr/>
                  </pic:nvPicPr>
                  <pic:blipFill>
                    <a:blip r:embed="rId147" cstate="print"/>
                    <a:stretch>
                      <a:fillRect/>
                    </a:stretch>
                  </pic:blipFill>
                  <pic:spPr>
                    <a:xfrm>
                      <a:off x="0" y="0"/>
                      <a:ext cx="4577984" cy="102679"/>
                    </a:xfrm>
                    <a:prstGeom prst="rect">
                      <a:avLst/>
                    </a:prstGeom>
                  </pic:spPr>
                </pic:pic>
              </a:graphicData>
            </a:graphic>
          </wp:anchor>
        </w:drawing>
      </w:r>
      <w:r>
        <w:rPr/>
        <w:drawing>
          <wp:anchor distT="0" distB="0" distL="0" distR="0" allowOverlap="1" layoutInCell="1" locked="0" behindDoc="0" simplePos="0" relativeHeight="131">
            <wp:simplePos x="0" y="0"/>
            <wp:positionH relativeFrom="page">
              <wp:posOffset>6278958</wp:posOffset>
            </wp:positionH>
            <wp:positionV relativeFrom="paragraph">
              <wp:posOffset>2544608</wp:posOffset>
            </wp:positionV>
            <wp:extent cx="129197" cy="91439"/>
            <wp:effectExtent l="0" t="0" r="0" b="0"/>
            <wp:wrapTopAndBottom/>
            <wp:docPr id="273" name="image142.png"/>
            <wp:cNvGraphicFramePr>
              <a:graphicFrameLocks noChangeAspect="1"/>
            </wp:cNvGraphicFramePr>
            <a:graphic>
              <a:graphicData uri="http://schemas.openxmlformats.org/drawingml/2006/picture">
                <pic:pic>
                  <pic:nvPicPr>
                    <pic:cNvPr id="274" name="image142.png"/>
                    <pic:cNvPicPr/>
                  </pic:nvPicPr>
                  <pic:blipFill>
                    <a:blip r:embed="rId148" cstate="print"/>
                    <a:stretch>
                      <a:fillRect/>
                    </a:stretch>
                  </pic:blipFill>
                  <pic:spPr>
                    <a:xfrm>
                      <a:off x="0" y="0"/>
                      <a:ext cx="129197" cy="91439"/>
                    </a:xfrm>
                    <a:prstGeom prst="rect">
                      <a:avLst/>
                    </a:prstGeom>
                  </pic:spPr>
                </pic:pic>
              </a:graphicData>
            </a:graphic>
          </wp:anchor>
        </w:drawing>
      </w:r>
      <w:r>
        <w:rPr/>
        <w:drawing>
          <wp:anchor distT="0" distB="0" distL="0" distR="0" allowOverlap="1" layoutInCell="1" locked="0" behindDoc="0" simplePos="0" relativeHeight="132">
            <wp:simplePos x="0" y="0"/>
            <wp:positionH relativeFrom="page">
              <wp:posOffset>1645920</wp:posOffset>
            </wp:positionH>
            <wp:positionV relativeFrom="paragraph">
              <wp:posOffset>2756407</wp:posOffset>
            </wp:positionV>
            <wp:extent cx="4689747" cy="126015"/>
            <wp:effectExtent l="0" t="0" r="0" b="0"/>
            <wp:wrapTopAndBottom/>
            <wp:docPr id="275" name="image143.png"/>
            <wp:cNvGraphicFramePr>
              <a:graphicFrameLocks noChangeAspect="1"/>
            </wp:cNvGraphicFramePr>
            <a:graphic>
              <a:graphicData uri="http://schemas.openxmlformats.org/drawingml/2006/picture">
                <pic:pic>
                  <pic:nvPicPr>
                    <pic:cNvPr id="276" name="image143.png"/>
                    <pic:cNvPicPr/>
                  </pic:nvPicPr>
                  <pic:blipFill>
                    <a:blip r:embed="rId149" cstate="print"/>
                    <a:stretch>
                      <a:fillRect/>
                    </a:stretch>
                  </pic:blipFill>
                  <pic:spPr>
                    <a:xfrm>
                      <a:off x="0" y="0"/>
                      <a:ext cx="4689747" cy="126015"/>
                    </a:xfrm>
                    <a:prstGeom prst="rect">
                      <a:avLst/>
                    </a:prstGeom>
                  </pic:spPr>
                </pic:pic>
              </a:graphicData>
            </a:graphic>
          </wp:anchor>
        </w:drawing>
      </w:r>
      <w:r>
        <w:rPr/>
        <w:drawing>
          <wp:anchor distT="0" distB="0" distL="0" distR="0" allowOverlap="1" layoutInCell="1" locked="0" behindDoc="0" simplePos="0" relativeHeight="133">
            <wp:simplePos x="0" y="0"/>
            <wp:positionH relativeFrom="page">
              <wp:posOffset>2109216</wp:posOffset>
            </wp:positionH>
            <wp:positionV relativeFrom="paragraph">
              <wp:posOffset>3056635</wp:posOffset>
            </wp:positionV>
            <wp:extent cx="4156433" cy="23812"/>
            <wp:effectExtent l="0" t="0" r="0" b="0"/>
            <wp:wrapTopAndBottom/>
            <wp:docPr id="277" name="image144.png"/>
            <wp:cNvGraphicFramePr>
              <a:graphicFrameLocks noChangeAspect="1"/>
            </wp:cNvGraphicFramePr>
            <a:graphic>
              <a:graphicData uri="http://schemas.openxmlformats.org/drawingml/2006/picture">
                <pic:pic>
                  <pic:nvPicPr>
                    <pic:cNvPr id="278" name="image144.png"/>
                    <pic:cNvPicPr/>
                  </pic:nvPicPr>
                  <pic:blipFill>
                    <a:blip r:embed="rId150" cstate="print"/>
                    <a:stretch>
                      <a:fillRect/>
                    </a:stretch>
                  </pic:blipFill>
                  <pic:spPr>
                    <a:xfrm>
                      <a:off x="0" y="0"/>
                      <a:ext cx="4156433" cy="23812"/>
                    </a:xfrm>
                    <a:prstGeom prst="rect">
                      <a:avLst/>
                    </a:prstGeom>
                  </pic:spPr>
                </pic:pic>
              </a:graphicData>
            </a:graphic>
          </wp:anchor>
        </w:drawing>
      </w:r>
      <w:r>
        <w:rPr/>
        <w:drawing>
          <wp:anchor distT="0" distB="0" distL="0" distR="0" allowOverlap="1" layoutInCell="1" locked="0" behindDoc="0" simplePos="0" relativeHeight="134">
            <wp:simplePos x="0" y="0"/>
            <wp:positionH relativeFrom="page">
              <wp:posOffset>6278958</wp:posOffset>
            </wp:positionH>
            <wp:positionV relativeFrom="paragraph">
              <wp:posOffset>2988092</wp:posOffset>
            </wp:positionV>
            <wp:extent cx="129197" cy="91439"/>
            <wp:effectExtent l="0" t="0" r="0" b="0"/>
            <wp:wrapTopAndBottom/>
            <wp:docPr id="279" name="image142.png"/>
            <wp:cNvGraphicFramePr>
              <a:graphicFrameLocks noChangeAspect="1"/>
            </wp:cNvGraphicFramePr>
            <a:graphic>
              <a:graphicData uri="http://schemas.openxmlformats.org/drawingml/2006/picture">
                <pic:pic>
                  <pic:nvPicPr>
                    <pic:cNvPr id="280" name="image142.png"/>
                    <pic:cNvPicPr/>
                  </pic:nvPicPr>
                  <pic:blipFill>
                    <a:blip r:embed="rId148" cstate="print"/>
                    <a:stretch>
                      <a:fillRect/>
                    </a:stretch>
                  </pic:blipFill>
                  <pic:spPr>
                    <a:xfrm>
                      <a:off x="0" y="0"/>
                      <a:ext cx="129197" cy="91439"/>
                    </a:xfrm>
                    <a:prstGeom prst="rect">
                      <a:avLst/>
                    </a:prstGeom>
                  </pic:spPr>
                </pic:pic>
              </a:graphicData>
            </a:graphic>
          </wp:anchor>
        </w:drawing>
      </w:r>
      <w:r>
        <w:rPr/>
        <w:drawing>
          <wp:anchor distT="0" distB="0" distL="0" distR="0" allowOverlap="1" layoutInCell="1" locked="0" behindDoc="0" simplePos="0" relativeHeight="135">
            <wp:simplePos x="0" y="0"/>
            <wp:positionH relativeFrom="page">
              <wp:posOffset>1645920</wp:posOffset>
            </wp:positionH>
            <wp:positionV relativeFrom="paragraph">
              <wp:posOffset>3199892</wp:posOffset>
            </wp:positionV>
            <wp:extent cx="4577984" cy="102679"/>
            <wp:effectExtent l="0" t="0" r="0" b="0"/>
            <wp:wrapTopAndBottom/>
            <wp:docPr id="281" name="image145.png"/>
            <wp:cNvGraphicFramePr>
              <a:graphicFrameLocks noChangeAspect="1"/>
            </wp:cNvGraphicFramePr>
            <a:graphic>
              <a:graphicData uri="http://schemas.openxmlformats.org/drawingml/2006/picture">
                <pic:pic>
                  <pic:nvPicPr>
                    <pic:cNvPr id="282" name="image145.png"/>
                    <pic:cNvPicPr/>
                  </pic:nvPicPr>
                  <pic:blipFill>
                    <a:blip r:embed="rId151" cstate="print"/>
                    <a:stretch>
                      <a:fillRect/>
                    </a:stretch>
                  </pic:blipFill>
                  <pic:spPr>
                    <a:xfrm>
                      <a:off x="0" y="0"/>
                      <a:ext cx="4577984" cy="102679"/>
                    </a:xfrm>
                    <a:prstGeom prst="rect">
                      <a:avLst/>
                    </a:prstGeom>
                  </pic:spPr>
                </pic:pic>
              </a:graphicData>
            </a:graphic>
          </wp:anchor>
        </w:drawing>
      </w:r>
      <w:r>
        <w:rPr/>
        <w:drawing>
          <wp:anchor distT="0" distB="0" distL="0" distR="0" allowOverlap="1" layoutInCell="1" locked="0" behindDoc="0" simplePos="0" relativeHeight="136">
            <wp:simplePos x="0" y="0"/>
            <wp:positionH relativeFrom="page">
              <wp:posOffset>6279011</wp:posOffset>
            </wp:positionH>
            <wp:positionV relativeFrom="paragraph">
              <wp:posOffset>3210596</wp:posOffset>
            </wp:positionV>
            <wp:extent cx="130657" cy="91439"/>
            <wp:effectExtent l="0" t="0" r="0" b="0"/>
            <wp:wrapTopAndBottom/>
            <wp:docPr id="283" name="image146.png"/>
            <wp:cNvGraphicFramePr>
              <a:graphicFrameLocks noChangeAspect="1"/>
            </wp:cNvGraphicFramePr>
            <a:graphic>
              <a:graphicData uri="http://schemas.openxmlformats.org/drawingml/2006/picture">
                <pic:pic>
                  <pic:nvPicPr>
                    <pic:cNvPr id="284" name="image146.png"/>
                    <pic:cNvPicPr/>
                  </pic:nvPicPr>
                  <pic:blipFill>
                    <a:blip r:embed="rId152" cstate="print"/>
                    <a:stretch>
                      <a:fillRect/>
                    </a:stretch>
                  </pic:blipFill>
                  <pic:spPr>
                    <a:xfrm>
                      <a:off x="0" y="0"/>
                      <a:ext cx="130657" cy="91439"/>
                    </a:xfrm>
                    <a:prstGeom prst="rect">
                      <a:avLst/>
                    </a:prstGeom>
                  </pic:spPr>
                </pic:pic>
              </a:graphicData>
            </a:graphic>
          </wp:anchor>
        </w:drawing>
      </w:r>
    </w:p>
    <w:p>
      <w:pPr>
        <w:pStyle w:val="BodyText"/>
        <w:spacing w:before="10"/>
        <w:rPr>
          <w:b/>
          <w:sz w:val="9"/>
        </w:rPr>
      </w:pPr>
    </w:p>
    <w:p>
      <w:pPr>
        <w:pStyle w:val="BodyText"/>
        <w:spacing w:before="8"/>
        <w:rPr>
          <w:b/>
          <w:sz w:val="6"/>
        </w:rPr>
      </w:pPr>
    </w:p>
    <w:p>
      <w:pPr>
        <w:pStyle w:val="BodyText"/>
        <w:spacing w:before="11"/>
        <w:rPr>
          <w:b/>
          <w:sz w:val="6"/>
        </w:rPr>
      </w:pPr>
    </w:p>
    <w:p>
      <w:pPr>
        <w:pStyle w:val="BodyText"/>
        <w:spacing w:before="10"/>
        <w:rPr>
          <w:b/>
          <w:sz w:val="9"/>
        </w:rPr>
      </w:pPr>
    </w:p>
    <w:p>
      <w:pPr>
        <w:pStyle w:val="BodyText"/>
        <w:spacing w:before="8"/>
        <w:rPr>
          <w:b/>
          <w:sz w:val="6"/>
        </w:rPr>
      </w:pPr>
    </w:p>
    <w:p>
      <w:pPr>
        <w:pStyle w:val="BodyText"/>
        <w:spacing w:before="10"/>
        <w:rPr>
          <w:b/>
          <w:sz w:val="6"/>
        </w:rPr>
      </w:pPr>
    </w:p>
    <w:p>
      <w:pPr>
        <w:pStyle w:val="BodyText"/>
        <w:spacing w:before="9"/>
        <w:rPr>
          <w:b/>
          <w:sz w:val="7"/>
        </w:rPr>
      </w:pPr>
    </w:p>
    <w:p>
      <w:pPr>
        <w:pStyle w:val="BodyText"/>
        <w:spacing w:before="11"/>
        <w:rPr>
          <w:b/>
          <w:sz w:val="9"/>
        </w:rPr>
      </w:pPr>
    </w:p>
    <w:p>
      <w:pPr>
        <w:pStyle w:val="BodyText"/>
        <w:spacing w:before="8"/>
        <w:rPr>
          <w:b/>
          <w:sz w:val="9"/>
        </w:rPr>
      </w:pPr>
    </w:p>
    <w:p>
      <w:pPr>
        <w:pStyle w:val="BodyText"/>
        <w:spacing w:before="3"/>
        <w:rPr>
          <w:b/>
          <w:sz w:val="8"/>
        </w:rPr>
      </w:pPr>
    </w:p>
    <w:p>
      <w:pPr>
        <w:pStyle w:val="BodyText"/>
        <w:spacing w:before="7"/>
        <w:rPr>
          <w:b/>
          <w:sz w:val="9"/>
        </w:rPr>
      </w:pPr>
    </w:p>
    <w:p>
      <w:pPr>
        <w:pStyle w:val="BodyText"/>
        <w:spacing w:before="10"/>
        <w:rPr>
          <w:b/>
          <w:sz w:val="9"/>
        </w:rPr>
      </w:pPr>
    </w:p>
    <w:p>
      <w:pPr>
        <w:pStyle w:val="BodyText"/>
        <w:rPr>
          <w:b/>
          <w:sz w:val="8"/>
        </w:rPr>
      </w:pPr>
    </w:p>
    <w:p>
      <w:pPr>
        <w:pStyle w:val="BodyText"/>
        <w:spacing w:before="10"/>
        <w:rPr>
          <w:b/>
          <w:sz w:val="9"/>
        </w:rPr>
      </w:pPr>
    </w:p>
    <w:p>
      <w:pPr>
        <w:pStyle w:val="BodyText"/>
        <w:spacing w:before="10"/>
        <w:rPr>
          <w:b/>
          <w:sz w:val="13"/>
        </w:rPr>
      </w:pPr>
    </w:p>
    <w:p>
      <w:pPr>
        <w:pStyle w:val="Heading7"/>
        <w:numPr>
          <w:ilvl w:val="0"/>
          <w:numId w:val="4"/>
        </w:numPr>
        <w:tabs>
          <w:tab w:pos="1699" w:val="left" w:leader="none"/>
          <w:tab w:pos="9437" w:val="left" w:leader="dot"/>
        </w:tabs>
        <w:spacing w:line="240" w:lineRule="auto" w:before="56" w:after="0"/>
        <w:ind w:left="1698" w:right="0" w:hanging="341"/>
        <w:jc w:val="left"/>
      </w:pPr>
      <w:r>
        <w:rPr/>
        <w:drawing>
          <wp:anchor distT="0" distB="0" distL="0" distR="0" allowOverlap="1" layoutInCell="1" locked="0" behindDoc="0" simplePos="0" relativeHeight="137">
            <wp:simplePos x="0" y="0"/>
            <wp:positionH relativeFrom="page">
              <wp:posOffset>1360932</wp:posOffset>
            </wp:positionH>
            <wp:positionV relativeFrom="paragraph">
              <wp:posOffset>291383</wp:posOffset>
            </wp:positionV>
            <wp:extent cx="4862444" cy="102679"/>
            <wp:effectExtent l="0" t="0" r="0" b="0"/>
            <wp:wrapTopAndBottom/>
            <wp:docPr id="285" name="image147.png"/>
            <wp:cNvGraphicFramePr>
              <a:graphicFrameLocks noChangeAspect="1"/>
            </wp:cNvGraphicFramePr>
            <a:graphic>
              <a:graphicData uri="http://schemas.openxmlformats.org/drawingml/2006/picture">
                <pic:pic>
                  <pic:nvPicPr>
                    <pic:cNvPr id="286" name="image147.png"/>
                    <pic:cNvPicPr/>
                  </pic:nvPicPr>
                  <pic:blipFill>
                    <a:blip r:embed="rId153" cstate="print"/>
                    <a:stretch>
                      <a:fillRect/>
                    </a:stretch>
                  </pic:blipFill>
                  <pic:spPr>
                    <a:xfrm>
                      <a:off x="0" y="0"/>
                      <a:ext cx="4862444" cy="102679"/>
                    </a:xfrm>
                    <a:prstGeom prst="rect">
                      <a:avLst/>
                    </a:prstGeom>
                  </pic:spPr>
                </pic:pic>
              </a:graphicData>
            </a:graphic>
          </wp:anchor>
        </w:drawing>
      </w:r>
      <w:r>
        <w:rPr/>
        <w:drawing>
          <wp:anchor distT="0" distB="0" distL="0" distR="0" allowOverlap="1" layoutInCell="1" locked="0" behindDoc="0" simplePos="0" relativeHeight="138">
            <wp:simplePos x="0" y="0"/>
            <wp:positionH relativeFrom="page">
              <wp:posOffset>6279011</wp:posOffset>
            </wp:positionH>
            <wp:positionV relativeFrom="paragraph">
              <wp:posOffset>302088</wp:posOffset>
            </wp:positionV>
            <wp:extent cx="130657" cy="91439"/>
            <wp:effectExtent l="0" t="0" r="0" b="0"/>
            <wp:wrapTopAndBottom/>
            <wp:docPr id="287" name="image148.png"/>
            <wp:cNvGraphicFramePr>
              <a:graphicFrameLocks noChangeAspect="1"/>
            </wp:cNvGraphicFramePr>
            <a:graphic>
              <a:graphicData uri="http://schemas.openxmlformats.org/drawingml/2006/picture">
                <pic:pic>
                  <pic:nvPicPr>
                    <pic:cNvPr id="288" name="image148.png"/>
                    <pic:cNvPicPr/>
                  </pic:nvPicPr>
                  <pic:blipFill>
                    <a:blip r:embed="rId154" cstate="print"/>
                    <a:stretch>
                      <a:fillRect/>
                    </a:stretch>
                  </pic:blipFill>
                  <pic:spPr>
                    <a:xfrm>
                      <a:off x="0" y="0"/>
                      <a:ext cx="130657" cy="91439"/>
                    </a:xfrm>
                    <a:prstGeom prst="rect">
                      <a:avLst/>
                    </a:prstGeom>
                  </pic:spPr>
                </pic:pic>
              </a:graphicData>
            </a:graphic>
          </wp:anchor>
        </w:drawing>
      </w:r>
      <w:r>
        <w:rPr/>
        <w:drawing>
          <wp:anchor distT="0" distB="0" distL="0" distR="0" allowOverlap="1" layoutInCell="1" locked="0" behindDoc="0" simplePos="0" relativeHeight="139">
            <wp:simplePos x="0" y="0"/>
            <wp:positionH relativeFrom="page">
              <wp:posOffset>1648967</wp:posOffset>
            </wp:positionH>
            <wp:positionV relativeFrom="paragraph">
              <wp:posOffset>512363</wp:posOffset>
            </wp:positionV>
            <wp:extent cx="4738421" cy="123825"/>
            <wp:effectExtent l="0" t="0" r="0" b="0"/>
            <wp:wrapTopAndBottom/>
            <wp:docPr id="289" name="image149.png"/>
            <wp:cNvGraphicFramePr>
              <a:graphicFrameLocks noChangeAspect="1"/>
            </wp:cNvGraphicFramePr>
            <a:graphic>
              <a:graphicData uri="http://schemas.openxmlformats.org/drawingml/2006/picture">
                <pic:pic>
                  <pic:nvPicPr>
                    <pic:cNvPr id="290" name="image149.png"/>
                    <pic:cNvPicPr/>
                  </pic:nvPicPr>
                  <pic:blipFill>
                    <a:blip r:embed="rId155" cstate="print"/>
                    <a:stretch>
                      <a:fillRect/>
                    </a:stretch>
                  </pic:blipFill>
                  <pic:spPr>
                    <a:xfrm>
                      <a:off x="0" y="0"/>
                      <a:ext cx="4738421" cy="123825"/>
                    </a:xfrm>
                    <a:prstGeom prst="rect">
                      <a:avLst/>
                    </a:prstGeom>
                  </pic:spPr>
                </pic:pic>
              </a:graphicData>
            </a:graphic>
          </wp:anchor>
        </w:drawing>
      </w:r>
      <w:r>
        <w:rPr/>
        <w:drawing>
          <wp:anchor distT="0" distB="0" distL="0" distR="0" allowOverlap="1" layoutInCell="1" locked="0" behindDoc="0" simplePos="0" relativeHeight="140">
            <wp:simplePos x="0" y="0"/>
            <wp:positionH relativeFrom="page">
              <wp:posOffset>2083307</wp:posOffset>
            </wp:positionH>
            <wp:positionV relativeFrom="paragraph">
              <wp:posOffset>733343</wp:posOffset>
            </wp:positionV>
            <wp:extent cx="4108717" cy="126015"/>
            <wp:effectExtent l="0" t="0" r="0" b="0"/>
            <wp:wrapTopAndBottom/>
            <wp:docPr id="291" name="image150.png"/>
            <wp:cNvGraphicFramePr>
              <a:graphicFrameLocks noChangeAspect="1"/>
            </wp:cNvGraphicFramePr>
            <a:graphic>
              <a:graphicData uri="http://schemas.openxmlformats.org/drawingml/2006/picture">
                <pic:pic>
                  <pic:nvPicPr>
                    <pic:cNvPr id="292" name="image150.png"/>
                    <pic:cNvPicPr/>
                  </pic:nvPicPr>
                  <pic:blipFill>
                    <a:blip r:embed="rId156" cstate="print"/>
                    <a:stretch>
                      <a:fillRect/>
                    </a:stretch>
                  </pic:blipFill>
                  <pic:spPr>
                    <a:xfrm>
                      <a:off x="0" y="0"/>
                      <a:ext cx="4108717" cy="126015"/>
                    </a:xfrm>
                    <a:prstGeom prst="rect">
                      <a:avLst/>
                    </a:prstGeom>
                  </pic:spPr>
                </pic:pic>
              </a:graphicData>
            </a:graphic>
          </wp:anchor>
        </w:drawing>
      </w:r>
      <w:r>
        <w:rPr/>
        <w:drawing>
          <wp:anchor distT="0" distB="0" distL="0" distR="0" allowOverlap="1" layoutInCell="1" locked="0" behindDoc="0" simplePos="0" relativeHeight="141">
            <wp:simplePos x="0" y="0"/>
            <wp:positionH relativeFrom="page">
              <wp:posOffset>6279011</wp:posOffset>
            </wp:positionH>
            <wp:positionV relativeFrom="paragraph">
              <wp:posOffset>744048</wp:posOffset>
            </wp:positionV>
            <wp:extent cx="130657" cy="91439"/>
            <wp:effectExtent l="0" t="0" r="0" b="0"/>
            <wp:wrapTopAndBottom/>
            <wp:docPr id="293" name="image148.png"/>
            <wp:cNvGraphicFramePr>
              <a:graphicFrameLocks noChangeAspect="1"/>
            </wp:cNvGraphicFramePr>
            <a:graphic>
              <a:graphicData uri="http://schemas.openxmlformats.org/drawingml/2006/picture">
                <pic:pic>
                  <pic:nvPicPr>
                    <pic:cNvPr id="294" name="image148.png"/>
                    <pic:cNvPicPr/>
                  </pic:nvPicPr>
                  <pic:blipFill>
                    <a:blip r:embed="rId154" cstate="print"/>
                    <a:stretch>
                      <a:fillRect/>
                    </a:stretch>
                  </pic:blipFill>
                  <pic:spPr>
                    <a:xfrm>
                      <a:off x="0" y="0"/>
                      <a:ext cx="130657" cy="91439"/>
                    </a:xfrm>
                    <a:prstGeom prst="rect">
                      <a:avLst/>
                    </a:prstGeom>
                  </pic:spPr>
                </pic:pic>
              </a:graphicData>
            </a:graphic>
          </wp:anchor>
        </w:drawing>
      </w:r>
      <w:r>
        <w:rPr/>
        <w:drawing>
          <wp:anchor distT="0" distB="0" distL="0" distR="0" allowOverlap="1" layoutInCell="1" locked="0" behindDoc="0" simplePos="0" relativeHeight="142">
            <wp:simplePos x="0" y="0"/>
            <wp:positionH relativeFrom="page">
              <wp:posOffset>1648967</wp:posOffset>
            </wp:positionH>
            <wp:positionV relativeFrom="paragraph">
              <wp:posOffset>955847</wp:posOffset>
            </wp:positionV>
            <wp:extent cx="4574942" cy="102679"/>
            <wp:effectExtent l="0" t="0" r="0" b="0"/>
            <wp:wrapTopAndBottom/>
            <wp:docPr id="295" name="image151.png"/>
            <wp:cNvGraphicFramePr>
              <a:graphicFrameLocks noChangeAspect="1"/>
            </wp:cNvGraphicFramePr>
            <a:graphic>
              <a:graphicData uri="http://schemas.openxmlformats.org/drawingml/2006/picture">
                <pic:pic>
                  <pic:nvPicPr>
                    <pic:cNvPr id="296" name="image151.png"/>
                    <pic:cNvPicPr/>
                  </pic:nvPicPr>
                  <pic:blipFill>
                    <a:blip r:embed="rId157" cstate="print"/>
                    <a:stretch>
                      <a:fillRect/>
                    </a:stretch>
                  </pic:blipFill>
                  <pic:spPr>
                    <a:xfrm>
                      <a:off x="0" y="0"/>
                      <a:ext cx="4574942" cy="102679"/>
                    </a:xfrm>
                    <a:prstGeom prst="rect">
                      <a:avLst/>
                    </a:prstGeom>
                  </pic:spPr>
                </pic:pic>
              </a:graphicData>
            </a:graphic>
          </wp:anchor>
        </w:drawing>
      </w:r>
      <w:r>
        <w:rPr/>
        <w:drawing>
          <wp:anchor distT="0" distB="0" distL="0" distR="0" allowOverlap="1" layoutInCell="1" locked="0" behindDoc="0" simplePos="0" relativeHeight="143">
            <wp:simplePos x="0" y="0"/>
            <wp:positionH relativeFrom="page">
              <wp:posOffset>6279011</wp:posOffset>
            </wp:positionH>
            <wp:positionV relativeFrom="paragraph">
              <wp:posOffset>966552</wp:posOffset>
            </wp:positionV>
            <wp:extent cx="130657" cy="91439"/>
            <wp:effectExtent l="0" t="0" r="0" b="0"/>
            <wp:wrapTopAndBottom/>
            <wp:docPr id="297" name="image148.png"/>
            <wp:cNvGraphicFramePr>
              <a:graphicFrameLocks noChangeAspect="1"/>
            </wp:cNvGraphicFramePr>
            <a:graphic>
              <a:graphicData uri="http://schemas.openxmlformats.org/drawingml/2006/picture">
                <pic:pic>
                  <pic:nvPicPr>
                    <pic:cNvPr id="298" name="image148.png"/>
                    <pic:cNvPicPr/>
                  </pic:nvPicPr>
                  <pic:blipFill>
                    <a:blip r:embed="rId154" cstate="print"/>
                    <a:stretch>
                      <a:fillRect/>
                    </a:stretch>
                  </pic:blipFill>
                  <pic:spPr>
                    <a:xfrm>
                      <a:off x="0" y="0"/>
                      <a:ext cx="130657" cy="91439"/>
                    </a:xfrm>
                    <a:prstGeom prst="rect">
                      <a:avLst/>
                    </a:prstGeom>
                  </pic:spPr>
                </pic:pic>
              </a:graphicData>
            </a:graphic>
          </wp:anchor>
        </w:drawing>
      </w:r>
      <w:r>
        <w:rPr/>
        <w:drawing>
          <wp:anchor distT="0" distB="0" distL="0" distR="0" allowOverlap="1" layoutInCell="1" locked="0" behindDoc="0" simplePos="0" relativeHeight="144">
            <wp:simplePos x="0" y="0"/>
            <wp:positionH relativeFrom="page">
              <wp:posOffset>1360932</wp:posOffset>
            </wp:positionH>
            <wp:positionV relativeFrom="paragraph">
              <wp:posOffset>1176827</wp:posOffset>
            </wp:positionV>
            <wp:extent cx="4862444" cy="102679"/>
            <wp:effectExtent l="0" t="0" r="0" b="0"/>
            <wp:wrapTopAndBottom/>
            <wp:docPr id="299" name="image152.png"/>
            <wp:cNvGraphicFramePr>
              <a:graphicFrameLocks noChangeAspect="1"/>
            </wp:cNvGraphicFramePr>
            <a:graphic>
              <a:graphicData uri="http://schemas.openxmlformats.org/drawingml/2006/picture">
                <pic:pic>
                  <pic:nvPicPr>
                    <pic:cNvPr id="300" name="image152.png"/>
                    <pic:cNvPicPr/>
                  </pic:nvPicPr>
                  <pic:blipFill>
                    <a:blip r:embed="rId158" cstate="print"/>
                    <a:stretch>
                      <a:fillRect/>
                    </a:stretch>
                  </pic:blipFill>
                  <pic:spPr>
                    <a:xfrm>
                      <a:off x="0" y="0"/>
                      <a:ext cx="4862444" cy="102679"/>
                    </a:xfrm>
                    <a:prstGeom prst="rect">
                      <a:avLst/>
                    </a:prstGeom>
                  </pic:spPr>
                </pic:pic>
              </a:graphicData>
            </a:graphic>
          </wp:anchor>
        </w:drawing>
      </w:r>
      <w:r>
        <w:rPr/>
        <w:drawing>
          <wp:anchor distT="0" distB="0" distL="0" distR="0" allowOverlap="1" layoutInCell="1" locked="0" behindDoc="0" simplePos="0" relativeHeight="145">
            <wp:simplePos x="0" y="0"/>
            <wp:positionH relativeFrom="page">
              <wp:posOffset>6279011</wp:posOffset>
            </wp:positionH>
            <wp:positionV relativeFrom="paragraph">
              <wp:posOffset>1187532</wp:posOffset>
            </wp:positionV>
            <wp:extent cx="130657" cy="91439"/>
            <wp:effectExtent l="0" t="0" r="0" b="0"/>
            <wp:wrapTopAndBottom/>
            <wp:docPr id="301" name="image153.png"/>
            <wp:cNvGraphicFramePr>
              <a:graphicFrameLocks noChangeAspect="1"/>
            </wp:cNvGraphicFramePr>
            <a:graphic>
              <a:graphicData uri="http://schemas.openxmlformats.org/drawingml/2006/picture">
                <pic:pic>
                  <pic:nvPicPr>
                    <pic:cNvPr id="302" name="image153.png"/>
                    <pic:cNvPicPr/>
                  </pic:nvPicPr>
                  <pic:blipFill>
                    <a:blip r:embed="rId159" cstate="print"/>
                    <a:stretch>
                      <a:fillRect/>
                    </a:stretch>
                  </pic:blipFill>
                  <pic:spPr>
                    <a:xfrm>
                      <a:off x="0" y="0"/>
                      <a:ext cx="130657" cy="91439"/>
                    </a:xfrm>
                    <a:prstGeom prst="rect">
                      <a:avLst/>
                    </a:prstGeom>
                  </pic:spPr>
                </pic:pic>
              </a:graphicData>
            </a:graphic>
          </wp:anchor>
        </w:drawing>
      </w:r>
      <w:r>
        <w:rPr/>
        <w:drawing>
          <wp:anchor distT="0" distB="0" distL="0" distR="0" allowOverlap="1" layoutInCell="1" locked="0" behindDoc="0" simplePos="0" relativeHeight="146">
            <wp:simplePos x="0" y="0"/>
            <wp:positionH relativeFrom="page">
              <wp:posOffset>1648967</wp:posOffset>
            </wp:positionH>
            <wp:positionV relativeFrom="paragraph">
              <wp:posOffset>1399331</wp:posOffset>
            </wp:positionV>
            <wp:extent cx="4676893" cy="123825"/>
            <wp:effectExtent l="0" t="0" r="0" b="0"/>
            <wp:wrapTopAndBottom/>
            <wp:docPr id="303" name="image154.png"/>
            <wp:cNvGraphicFramePr>
              <a:graphicFrameLocks noChangeAspect="1"/>
            </wp:cNvGraphicFramePr>
            <a:graphic>
              <a:graphicData uri="http://schemas.openxmlformats.org/drawingml/2006/picture">
                <pic:pic>
                  <pic:nvPicPr>
                    <pic:cNvPr id="304" name="image154.png"/>
                    <pic:cNvPicPr/>
                  </pic:nvPicPr>
                  <pic:blipFill>
                    <a:blip r:embed="rId160" cstate="print"/>
                    <a:stretch>
                      <a:fillRect/>
                    </a:stretch>
                  </pic:blipFill>
                  <pic:spPr>
                    <a:xfrm>
                      <a:off x="0" y="0"/>
                      <a:ext cx="4676893" cy="123825"/>
                    </a:xfrm>
                    <a:prstGeom prst="rect">
                      <a:avLst/>
                    </a:prstGeom>
                  </pic:spPr>
                </pic:pic>
              </a:graphicData>
            </a:graphic>
          </wp:anchor>
        </w:drawing>
      </w:r>
      <w:r>
        <w:rPr/>
        <w:drawing>
          <wp:anchor distT="0" distB="0" distL="0" distR="0" allowOverlap="1" layoutInCell="1" locked="0" behindDoc="0" simplePos="0" relativeHeight="147">
            <wp:simplePos x="0" y="0"/>
            <wp:positionH relativeFrom="page">
              <wp:posOffset>2084832</wp:posOffset>
            </wp:positionH>
            <wp:positionV relativeFrom="paragraph">
              <wp:posOffset>1626407</wp:posOffset>
            </wp:positionV>
            <wp:extent cx="4114907" cy="96012"/>
            <wp:effectExtent l="0" t="0" r="0" b="0"/>
            <wp:wrapTopAndBottom/>
            <wp:docPr id="305" name="image155.png"/>
            <wp:cNvGraphicFramePr>
              <a:graphicFrameLocks noChangeAspect="1"/>
            </wp:cNvGraphicFramePr>
            <a:graphic>
              <a:graphicData uri="http://schemas.openxmlformats.org/drawingml/2006/picture">
                <pic:pic>
                  <pic:nvPicPr>
                    <pic:cNvPr id="306" name="image155.png"/>
                    <pic:cNvPicPr/>
                  </pic:nvPicPr>
                  <pic:blipFill>
                    <a:blip r:embed="rId161" cstate="print"/>
                    <a:stretch>
                      <a:fillRect/>
                    </a:stretch>
                  </pic:blipFill>
                  <pic:spPr>
                    <a:xfrm>
                      <a:off x="0" y="0"/>
                      <a:ext cx="4114907" cy="96012"/>
                    </a:xfrm>
                    <a:prstGeom prst="rect">
                      <a:avLst/>
                    </a:prstGeom>
                  </pic:spPr>
                </pic:pic>
              </a:graphicData>
            </a:graphic>
          </wp:anchor>
        </w:drawing>
      </w:r>
      <w:r>
        <w:rPr/>
        <w:drawing>
          <wp:anchor distT="0" distB="0" distL="0" distR="0" allowOverlap="1" layoutInCell="1" locked="0" behindDoc="0" simplePos="0" relativeHeight="148">
            <wp:simplePos x="0" y="0"/>
            <wp:positionH relativeFrom="page">
              <wp:posOffset>6279011</wp:posOffset>
            </wp:positionH>
            <wp:positionV relativeFrom="paragraph">
              <wp:posOffset>1631016</wp:posOffset>
            </wp:positionV>
            <wp:extent cx="130657" cy="91439"/>
            <wp:effectExtent l="0" t="0" r="0" b="0"/>
            <wp:wrapTopAndBottom/>
            <wp:docPr id="307" name="image156.png"/>
            <wp:cNvGraphicFramePr>
              <a:graphicFrameLocks noChangeAspect="1"/>
            </wp:cNvGraphicFramePr>
            <a:graphic>
              <a:graphicData uri="http://schemas.openxmlformats.org/drawingml/2006/picture">
                <pic:pic>
                  <pic:nvPicPr>
                    <pic:cNvPr id="308" name="image156.png"/>
                    <pic:cNvPicPr/>
                  </pic:nvPicPr>
                  <pic:blipFill>
                    <a:blip r:embed="rId162" cstate="print"/>
                    <a:stretch>
                      <a:fillRect/>
                    </a:stretch>
                  </pic:blipFill>
                  <pic:spPr>
                    <a:xfrm>
                      <a:off x="0" y="0"/>
                      <a:ext cx="130657" cy="91439"/>
                    </a:xfrm>
                    <a:prstGeom prst="rect">
                      <a:avLst/>
                    </a:prstGeom>
                  </pic:spPr>
                </pic:pic>
              </a:graphicData>
            </a:graphic>
          </wp:anchor>
        </w:drawing>
      </w:r>
      <w:r>
        <w:rPr/>
        <w:drawing>
          <wp:anchor distT="0" distB="0" distL="0" distR="0" allowOverlap="1" layoutInCell="1" locked="0" behindDoc="0" simplePos="0" relativeHeight="149">
            <wp:simplePos x="0" y="0"/>
            <wp:positionH relativeFrom="page">
              <wp:posOffset>1648967</wp:posOffset>
            </wp:positionH>
            <wp:positionV relativeFrom="paragraph">
              <wp:posOffset>1842816</wp:posOffset>
            </wp:positionV>
            <wp:extent cx="4574942" cy="102679"/>
            <wp:effectExtent l="0" t="0" r="0" b="0"/>
            <wp:wrapTopAndBottom/>
            <wp:docPr id="309" name="image157.png"/>
            <wp:cNvGraphicFramePr>
              <a:graphicFrameLocks noChangeAspect="1"/>
            </wp:cNvGraphicFramePr>
            <a:graphic>
              <a:graphicData uri="http://schemas.openxmlformats.org/drawingml/2006/picture">
                <pic:pic>
                  <pic:nvPicPr>
                    <pic:cNvPr id="310" name="image157.png"/>
                    <pic:cNvPicPr/>
                  </pic:nvPicPr>
                  <pic:blipFill>
                    <a:blip r:embed="rId163" cstate="print"/>
                    <a:stretch>
                      <a:fillRect/>
                    </a:stretch>
                  </pic:blipFill>
                  <pic:spPr>
                    <a:xfrm>
                      <a:off x="0" y="0"/>
                      <a:ext cx="4574942" cy="102679"/>
                    </a:xfrm>
                    <a:prstGeom prst="rect">
                      <a:avLst/>
                    </a:prstGeom>
                  </pic:spPr>
                </pic:pic>
              </a:graphicData>
            </a:graphic>
          </wp:anchor>
        </w:drawing>
      </w:r>
      <w:r>
        <w:rPr/>
        <w:drawing>
          <wp:anchor distT="0" distB="0" distL="0" distR="0" allowOverlap="1" layoutInCell="1" locked="0" behindDoc="0" simplePos="0" relativeHeight="150">
            <wp:simplePos x="0" y="0"/>
            <wp:positionH relativeFrom="page">
              <wp:posOffset>6278958</wp:posOffset>
            </wp:positionH>
            <wp:positionV relativeFrom="paragraph">
              <wp:posOffset>1853520</wp:posOffset>
            </wp:positionV>
            <wp:extent cx="129197" cy="91439"/>
            <wp:effectExtent l="0" t="0" r="0" b="0"/>
            <wp:wrapTopAndBottom/>
            <wp:docPr id="311" name="image158.png"/>
            <wp:cNvGraphicFramePr>
              <a:graphicFrameLocks noChangeAspect="1"/>
            </wp:cNvGraphicFramePr>
            <a:graphic>
              <a:graphicData uri="http://schemas.openxmlformats.org/drawingml/2006/picture">
                <pic:pic>
                  <pic:nvPicPr>
                    <pic:cNvPr id="312" name="image158.png"/>
                    <pic:cNvPicPr/>
                  </pic:nvPicPr>
                  <pic:blipFill>
                    <a:blip r:embed="rId164" cstate="print"/>
                    <a:stretch>
                      <a:fillRect/>
                    </a:stretch>
                  </pic:blipFill>
                  <pic:spPr>
                    <a:xfrm>
                      <a:off x="0" y="0"/>
                      <a:ext cx="129197" cy="91439"/>
                    </a:xfrm>
                    <a:prstGeom prst="rect">
                      <a:avLst/>
                    </a:prstGeom>
                  </pic:spPr>
                </pic:pic>
              </a:graphicData>
            </a:graphic>
          </wp:anchor>
        </w:drawing>
      </w:r>
      <w:r>
        <w:rPr/>
        <w:t>Recommendations for deletions</w:t>
      </w:r>
      <w:r>
        <w:rPr>
          <w:spacing w:val="-9"/>
        </w:rPr>
        <w:t> </w:t>
      </w:r>
      <w:r>
        <w:rPr/>
        <w:t>and/or</w:t>
      </w:r>
      <w:r>
        <w:rPr>
          <w:spacing w:val="-4"/>
        </w:rPr>
        <w:t> </w:t>
      </w:r>
      <w:r>
        <w:rPr/>
        <w:t>review</w:t>
        <w:tab/>
        <w:t>57</w:t>
      </w:r>
    </w:p>
    <w:p>
      <w:pPr>
        <w:pStyle w:val="BodyText"/>
        <w:spacing w:before="8"/>
        <w:rPr>
          <w:b/>
          <w:sz w:val="9"/>
        </w:rPr>
      </w:pPr>
    </w:p>
    <w:p>
      <w:pPr>
        <w:pStyle w:val="BodyText"/>
        <w:spacing w:before="11"/>
        <w:rPr>
          <w:b/>
          <w:sz w:val="6"/>
        </w:rPr>
      </w:pPr>
    </w:p>
    <w:p>
      <w:pPr>
        <w:pStyle w:val="BodyText"/>
        <w:spacing w:before="10"/>
        <w:rPr>
          <w:b/>
          <w:sz w:val="6"/>
        </w:rPr>
      </w:pPr>
    </w:p>
    <w:p>
      <w:pPr>
        <w:pStyle w:val="BodyText"/>
        <w:spacing w:before="8"/>
        <w:rPr>
          <w:b/>
          <w:sz w:val="9"/>
        </w:rPr>
      </w:pPr>
    </w:p>
    <w:p>
      <w:pPr>
        <w:pStyle w:val="BodyText"/>
        <w:spacing w:before="10"/>
        <w:rPr>
          <w:b/>
          <w:sz w:val="9"/>
        </w:rPr>
      </w:pPr>
    </w:p>
    <w:p>
      <w:pPr>
        <w:pStyle w:val="BodyText"/>
        <w:spacing w:before="9"/>
        <w:rPr>
          <w:b/>
          <w:sz w:val="7"/>
        </w:rPr>
      </w:pPr>
    </w:p>
    <w:p>
      <w:pPr>
        <w:pStyle w:val="BodyText"/>
        <w:spacing w:before="11"/>
        <w:rPr>
          <w:b/>
          <w:sz w:val="9"/>
        </w:rPr>
      </w:pPr>
    </w:p>
    <w:p>
      <w:pPr>
        <w:pStyle w:val="BodyText"/>
        <w:spacing w:before="5"/>
        <w:rPr>
          <w:b/>
          <w:sz w:val="18"/>
        </w:rPr>
      </w:pPr>
    </w:p>
    <w:p>
      <w:pPr>
        <w:pStyle w:val="Heading7"/>
        <w:numPr>
          <w:ilvl w:val="0"/>
          <w:numId w:val="4"/>
        </w:numPr>
        <w:tabs>
          <w:tab w:pos="1699" w:val="left" w:leader="none"/>
          <w:tab w:pos="9437" w:val="left" w:leader="dot"/>
        </w:tabs>
        <w:spacing w:line="240" w:lineRule="auto" w:before="0" w:after="0"/>
        <w:ind w:left="1698" w:right="0" w:hanging="341"/>
        <w:jc w:val="left"/>
      </w:pPr>
      <w:r>
        <w:rPr/>
        <w:drawing>
          <wp:anchor distT="0" distB="0" distL="0" distR="0" allowOverlap="1" layoutInCell="1" locked="0" behindDoc="0" simplePos="0" relativeHeight="151">
            <wp:simplePos x="0" y="0"/>
            <wp:positionH relativeFrom="page">
              <wp:posOffset>1360932</wp:posOffset>
            </wp:positionH>
            <wp:positionV relativeFrom="paragraph">
              <wp:posOffset>255570</wp:posOffset>
            </wp:positionV>
            <wp:extent cx="4824064" cy="126015"/>
            <wp:effectExtent l="0" t="0" r="0" b="0"/>
            <wp:wrapTopAndBottom/>
            <wp:docPr id="313" name="image159.png"/>
            <wp:cNvGraphicFramePr>
              <a:graphicFrameLocks noChangeAspect="1"/>
            </wp:cNvGraphicFramePr>
            <a:graphic>
              <a:graphicData uri="http://schemas.openxmlformats.org/drawingml/2006/picture">
                <pic:pic>
                  <pic:nvPicPr>
                    <pic:cNvPr id="314" name="image159.png"/>
                    <pic:cNvPicPr/>
                  </pic:nvPicPr>
                  <pic:blipFill>
                    <a:blip r:embed="rId165" cstate="print"/>
                    <a:stretch>
                      <a:fillRect/>
                    </a:stretch>
                  </pic:blipFill>
                  <pic:spPr>
                    <a:xfrm>
                      <a:off x="0" y="0"/>
                      <a:ext cx="4824064" cy="126015"/>
                    </a:xfrm>
                    <a:prstGeom prst="rect">
                      <a:avLst/>
                    </a:prstGeom>
                  </pic:spPr>
                </pic:pic>
              </a:graphicData>
            </a:graphic>
          </wp:anchor>
        </w:drawing>
      </w:r>
      <w:r>
        <w:rPr/>
        <w:drawing>
          <wp:anchor distT="0" distB="0" distL="0" distR="0" allowOverlap="1" layoutInCell="1" locked="0" behindDoc="0" simplePos="0" relativeHeight="152">
            <wp:simplePos x="0" y="0"/>
            <wp:positionH relativeFrom="page">
              <wp:posOffset>6278905</wp:posOffset>
            </wp:positionH>
            <wp:positionV relativeFrom="paragraph">
              <wp:posOffset>266274</wp:posOffset>
            </wp:positionV>
            <wp:extent cx="132274" cy="91439"/>
            <wp:effectExtent l="0" t="0" r="0" b="0"/>
            <wp:wrapTopAndBottom/>
            <wp:docPr id="315" name="image160.png"/>
            <wp:cNvGraphicFramePr>
              <a:graphicFrameLocks noChangeAspect="1"/>
            </wp:cNvGraphicFramePr>
            <a:graphic>
              <a:graphicData uri="http://schemas.openxmlformats.org/drawingml/2006/picture">
                <pic:pic>
                  <pic:nvPicPr>
                    <pic:cNvPr id="316" name="image160.png"/>
                    <pic:cNvPicPr/>
                  </pic:nvPicPr>
                  <pic:blipFill>
                    <a:blip r:embed="rId166" cstate="print"/>
                    <a:stretch>
                      <a:fillRect/>
                    </a:stretch>
                  </pic:blipFill>
                  <pic:spPr>
                    <a:xfrm>
                      <a:off x="0" y="0"/>
                      <a:ext cx="132274" cy="91439"/>
                    </a:xfrm>
                    <a:prstGeom prst="rect">
                      <a:avLst/>
                    </a:prstGeom>
                  </pic:spPr>
                </pic:pic>
              </a:graphicData>
            </a:graphic>
          </wp:anchor>
        </w:drawing>
      </w:r>
      <w:r>
        <w:rPr/>
        <w:drawing>
          <wp:anchor distT="0" distB="0" distL="0" distR="0" allowOverlap="1" layoutInCell="1" locked="0" behindDoc="0" simplePos="0" relativeHeight="153">
            <wp:simplePos x="0" y="0"/>
            <wp:positionH relativeFrom="page">
              <wp:posOffset>1648967</wp:posOffset>
            </wp:positionH>
            <wp:positionV relativeFrom="paragraph">
              <wp:posOffset>475026</wp:posOffset>
            </wp:positionV>
            <wp:extent cx="3948801" cy="128016"/>
            <wp:effectExtent l="0" t="0" r="0" b="0"/>
            <wp:wrapTopAndBottom/>
            <wp:docPr id="317" name="image161.png"/>
            <wp:cNvGraphicFramePr>
              <a:graphicFrameLocks noChangeAspect="1"/>
            </wp:cNvGraphicFramePr>
            <a:graphic>
              <a:graphicData uri="http://schemas.openxmlformats.org/drawingml/2006/picture">
                <pic:pic>
                  <pic:nvPicPr>
                    <pic:cNvPr id="318" name="image161.png"/>
                    <pic:cNvPicPr/>
                  </pic:nvPicPr>
                  <pic:blipFill>
                    <a:blip r:embed="rId167" cstate="print"/>
                    <a:stretch>
                      <a:fillRect/>
                    </a:stretch>
                  </pic:blipFill>
                  <pic:spPr>
                    <a:xfrm>
                      <a:off x="0" y="0"/>
                      <a:ext cx="3948801" cy="128016"/>
                    </a:xfrm>
                    <a:prstGeom prst="rect">
                      <a:avLst/>
                    </a:prstGeom>
                  </pic:spPr>
                </pic:pic>
              </a:graphicData>
            </a:graphic>
          </wp:anchor>
        </w:drawing>
      </w:r>
      <w:r>
        <w:rPr/>
        <w:drawing>
          <wp:anchor distT="0" distB="0" distL="0" distR="0" allowOverlap="1" layoutInCell="1" locked="0" behindDoc="0" simplePos="0" relativeHeight="154">
            <wp:simplePos x="0" y="0"/>
            <wp:positionH relativeFrom="page">
              <wp:posOffset>2080260</wp:posOffset>
            </wp:positionH>
            <wp:positionV relativeFrom="paragraph">
              <wp:posOffset>697530</wp:posOffset>
            </wp:positionV>
            <wp:extent cx="4111735" cy="126015"/>
            <wp:effectExtent l="0" t="0" r="0" b="0"/>
            <wp:wrapTopAndBottom/>
            <wp:docPr id="319" name="image162.png"/>
            <wp:cNvGraphicFramePr>
              <a:graphicFrameLocks noChangeAspect="1"/>
            </wp:cNvGraphicFramePr>
            <a:graphic>
              <a:graphicData uri="http://schemas.openxmlformats.org/drawingml/2006/picture">
                <pic:pic>
                  <pic:nvPicPr>
                    <pic:cNvPr id="320" name="image162.png"/>
                    <pic:cNvPicPr/>
                  </pic:nvPicPr>
                  <pic:blipFill>
                    <a:blip r:embed="rId168" cstate="print"/>
                    <a:stretch>
                      <a:fillRect/>
                    </a:stretch>
                  </pic:blipFill>
                  <pic:spPr>
                    <a:xfrm>
                      <a:off x="0" y="0"/>
                      <a:ext cx="4111735" cy="126015"/>
                    </a:xfrm>
                    <a:prstGeom prst="rect">
                      <a:avLst/>
                    </a:prstGeom>
                  </pic:spPr>
                </pic:pic>
              </a:graphicData>
            </a:graphic>
          </wp:anchor>
        </w:drawing>
      </w:r>
      <w:r>
        <w:rPr/>
        <w:drawing>
          <wp:anchor distT="0" distB="0" distL="0" distR="0" allowOverlap="1" layoutInCell="1" locked="0" behindDoc="0" simplePos="0" relativeHeight="155">
            <wp:simplePos x="0" y="0"/>
            <wp:positionH relativeFrom="page">
              <wp:posOffset>6278905</wp:posOffset>
            </wp:positionH>
            <wp:positionV relativeFrom="paragraph">
              <wp:posOffset>709758</wp:posOffset>
            </wp:positionV>
            <wp:extent cx="132274" cy="91439"/>
            <wp:effectExtent l="0" t="0" r="0" b="0"/>
            <wp:wrapTopAndBottom/>
            <wp:docPr id="321" name="image163.png"/>
            <wp:cNvGraphicFramePr>
              <a:graphicFrameLocks noChangeAspect="1"/>
            </wp:cNvGraphicFramePr>
            <a:graphic>
              <a:graphicData uri="http://schemas.openxmlformats.org/drawingml/2006/picture">
                <pic:pic>
                  <pic:nvPicPr>
                    <pic:cNvPr id="322" name="image163.png"/>
                    <pic:cNvPicPr/>
                  </pic:nvPicPr>
                  <pic:blipFill>
                    <a:blip r:embed="rId169" cstate="print"/>
                    <a:stretch>
                      <a:fillRect/>
                    </a:stretch>
                  </pic:blipFill>
                  <pic:spPr>
                    <a:xfrm>
                      <a:off x="0" y="0"/>
                      <a:ext cx="132274" cy="91439"/>
                    </a:xfrm>
                    <a:prstGeom prst="rect">
                      <a:avLst/>
                    </a:prstGeom>
                  </pic:spPr>
                </pic:pic>
              </a:graphicData>
            </a:graphic>
          </wp:anchor>
        </w:drawing>
      </w:r>
      <w:r>
        <w:rPr/>
        <w:drawing>
          <wp:anchor distT="0" distB="0" distL="0" distR="0" allowOverlap="1" layoutInCell="1" locked="0" behindDoc="0" simplePos="0" relativeHeight="156">
            <wp:simplePos x="0" y="0"/>
            <wp:positionH relativeFrom="page">
              <wp:posOffset>1648967</wp:posOffset>
            </wp:positionH>
            <wp:positionV relativeFrom="paragraph">
              <wp:posOffset>920034</wp:posOffset>
            </wp:positionV>
            <wp:extent cx="4574942" cy="102679"/>
            <wp:effectExtent l="0" t="0" r="0" b="0"/>
            <wp:wrapTopAndBottom/>
            <wp:docPr id="323" name="image164.png"/>
            <wp:cNvGraphicFramePr>
              <a:graphicFrameLocks noChangeAspect="1"/>
            </wp:cNvGraphicFramePr>
            <a:graphic>
              <a:graphicData uri="http://schemas.openxmlformats.org/drawingml/2006/picture">
                <pic:pic>
                  <pic:nvPicPr>
                    <pic:cNvPr id="324" name="image164.png"/>
                    <pic:cNvPicPr/>
                  </pic:nvPicPr>
                  <pic:blipFill>
                    <a:blip r:embed="rId170" cstate="print"/>
                    <a:stretch>
                      <a:fillRect/>
                    </a:stretch>
                  </pic:blipFill>
                  <pic:spPr>
                    <a:xfrm>
                      <a:off x="0" y="0"/>
                      <a:ext cx="4574942" cy="102679"/>
                    </a:xfrm>
                    <a:prstGeom prst="rect">
                      <a:avLst/>
                    </a:prstGeom>
                  </pic:spPr>
                </pic:pic>
              </a:graphicData>
            </a:graphic>
          </wp:anchor>
        </w:drawing>
      </w:r>
      <w:r>
        <w:rPr/>
        <w:drawing>
          <wp:anchor distT="0" distB="0" distL="0" distR="0" allowOverlap="1" layoutInCell="1" locked="0" behindDoc="0" simplePos="0" relativeHeight="157">
            <wp:simplePos x="0" y="0"/>
            <wp:positionH relativeFrom="page">
              <wp:posOffset>6278905</wp:posOffset>
            </wp:positionH>
            <wp:positionV relativeFrom="paragraph">
              <wp:posOffset>930738</wp:posOffset>
            </wp:positionV>
            <wp:extent cx="132274" cy="91439"/>
            <wp:effectExtent l="0" t="0" r="0" b="0"/>
            <wp:wrapTopAndBottom/>
            <wp:docPr id="325" name="image165.png"/>
            <wp:cNvGraphicFramePr>
              <a:graphicFrameLocks noChangeAspect="1"/>
            </wp:cNvGraphicFramePr>
            <a:graphic>
              <a:graphicData uri="http://schemas.openxmlformats.org/drawingml/2006/picture">
                <pic:pic>
                  <pic:nvPicPr>
                    <pic:cNvPr id="326" name="image165.png"/>
                    <pic:cNvPicPr/>
                  </pic:nvPicPr>
                  <pic:blipFill>
                    <a:blip r:embed="rId171" cstate="print"/>
                    <a:stretch>
                      <a:fillRect/>
                    </a:stretch>
                  </pic:blipFill>
                  <pic:spPr>
                    <a:xfrm>
                      <a:off x="0" y="0"/>
                      <a:ext cx="132274" cy="91439"/>
                    </a:xfrm>
                    <a:prstGeom prst="rect">
                      <a:avLst/>
                    </a:prstGeom>
                  </pic:spPr>
                </pic:pic>
              </a:graphicData>
            </a:graphic>
          </wp:anchor>
        </w:drawing>
      </w:r>
      <w:r>
        <w:rPr/>
        <w:t>Recommendations for</w:t>
      </w:r>
      <w:r>
        <w:rPr>
          <w:spacing w:val="-5"/>
        </w:rPr>
        <w:t> </w:t>
      </w:r>
      <w:r>
        <w:rPr/>
        <w:t>new</w:t>
      </w:r>
      <w:r>
        <w:rPr>
          <w:spacing w:val="-1"/>
        </w:rPr>
        <w:t> </w:t>
      </w:r>
      <w:r>
        <w:rPr/>
        <w:t>items</w:t>
        <w:tab/>
        <w:t>60</w:t>
      </w:r>
    </w:p>
    <w:p>
      <w:pPr>
        <w:pStyle w:val="BodyText"/>
        <w:spacing w:before="5"/>
        <w:rPr>
          <w:b/>
          <w:sz w:val="6"/>
        </w:rPr>
      </w:pPr>
    </w:p>
    <w:p>
      <w:pPr>
        <w:pStyle w:val="BodyText"/>
        <w:spacing w:before="7"/>
        <w:rPr>
          <w:b/>
          <w:sz w:val="6"/>
        </w:rPr>
      </w:pPr>
    </w:p>
    <w:p>
      <w:pPr>
        <w:pStyle w:val="BodyText"/>
        <w:spacing w:before="10"/>
        <w:rPr>
          <w:b/>
          <w:sz w:val="6"/>
        </w:rPr>
      </w:pPr>
    </w:p>
    <w:p>
      <w:pPr>
        <w:pStyle w:val="BodyText"/>
        <w:spacing w:before="8"/>
        <w:rPr>
          <w:b/>
          <w:sz w:val="18"/>
        </w:rPr>
      </w:pPr>
    </w:p>
    <w:p>
      <w:pPr>
        <w:pStyle w:val="Heading7"/>
        <w:numPr>
          <w:ilvl w:val="0"/>
          <w:numId w:val="4"/>
        </w:numPr>
        <w:tabs>
          <w:tab w:pos="1699" w:val="left" w:leader="none"/>
          <w:tab w:pos="9437" w:val="left" w:leader="dot"/>
        </w:tabs>
        <w:spacing w:line="312" w:lineRule="auto" w:before="0" w:after="0"/>
        <w:ind w:left="1698" w:right="1660" w:hanging="341"/>
        <w:jc w:val="left"/>
      </w:pPr>
      <w:r>
        <w:rPr/>
        <w:drawing>
          <wp:anchor distT="0" distB="0" distL="0" distR="0" allowOverlap="1" layoutInCell="1" locked="0" behindDoc="0" simplePos="0" relativeHeight="158">
            <wp:simplePos x="0" y="0"/>
            <wp:positionH relativeFrom="page">
              <wp:posOffset>1360932</wp:posOffset>
            </wp:positionH>
            <wp:positionV relativeFrom="paragraph">
              <wp:posOffset>476169</wp:posOffset>
            </wp:positionV>
            <wp:extent cx="4824064" cy="126015"/>
            <wp:effectExtent l="0" t="0" r="0" b="0"/>
            <wp:wrapTopAndBottom/>
            <wp:docPr id="327" name="image166.png"/>
            <wp:cNvGraphicFramePr>
              <a:graphicFrameLocks noChangeAspect="1"/>
            </wp:cNvGraphicFramePr>
            <a:graphic>
              <a:graphicData uri="http://schemas.openxmlformats.org/drawingml/2006/picture">
                <pic:pic>
                  <pic:nvPicPr>
                    <pic:cNvPr id="328" name="image166.png"/>
                    <pic:cNvPicPr/>
                  </pic:nvPicPr>
                  <pic:blipFill>
                    <a:blip r:embed="rId172" cstate="print"/>
                    <a:stretch>
                      <a:fillRect/>
                    </a:stretch>
                  </pic:blipFill>
                  <pic:spPr>
                    <a:xfrm>
                      <a:off x="0" y="0"/>
                      <a:ext cx="4824064" cy="126015"/>
                    </a:xfrm>
                    <a:prstGeom prst="rect">
                      <a:avLst/>
                    </a:prstGeom>
                  </pic:spPr>
                </pic:pic>
              </a:graphicData>
            </a:graphic>
          </wp:anchor>
        </w:drawing>
      </w:r>
      <w:r>
        <w:rPr/>
        <w:drawing>
          <wp:anchor distT="0" distB="0" distL="0" distR="0" allowOverlap="1" layoutInCell="1" locked="0" behindDoc="0" simplePos="0" relativeHeight="159">
            <wp:simplePos x="0" y="0"/>
            <wp:positionH relativeFrom="page">
              <wp:posOffset>6278958</wp:posOffset>
            </wp:positionH>
            <wp:positionV relativeFrom="paragraph">
              <wp:posOffset>486873</wp:posOffset>
            </wp:positionV>
            <wp:extent cx="129197" cy="91440"/>
            <wp:effectExtent l="0" t="0" r="0" b="0"/>
            <wp:wrapTopAndBottom/>
            <wp:docPr id="329" name="image167.png"/>
            <wp:cNvGraphicFramePr>
              <a:graphicFrameLocks noChangeAspect="1"/>
            </wp:cNvGraphicFramePr>
            <a:graphic>
              <a:graphicData uri="http://schemas.openxmlformats.org/drawingml/2006/picture">
                <pic:pic>
                  <pic:nvPicPr>
                    <pic:cNvPr id="330" name="image167.png"/>
                    <pic:cNvPicPr/>
                  </pic:nvPicPr>
                  <pic:blipFill>
                    <a:blip r:embed="rId173" cstate="print"/>
                    <a:stretch>
                      <a:fillRect/>
                    </a:stretch>
                  </pic:blipFill>
                  <pic:spPr>
                    <a:xfrm>
                      <a:off x="0" y="0"/>
                      <a:ext cx="129197" cy="91440"/>
                    </a:xfrm>
                    <a:prstGeom prst="rect">
                      <a:avLst/>
                    </a:prstGeom>
                  </pic:spPr>
                </pic:pic>
              </a:graphicData>
            </a:graphic>
          </wp:anchor>
        </w:drawing>
      </w:r>
      <w:r>
        <w:rPr/>
        <w:t>Recommendations to improve access to evidence based care for people with chronic pain</w:t>
        <w:tab/>
      </w:r>
      <w:r>
        <w:rPr>
          <w:spacing w:val="-8"/>
        </w:rPr>
        <w:t>62</w:t>
      </w:r>
    </w:p>
    <w:p>
      <w:pPr>
        <w:spacing w:after="0" w:line="312" w:lineRule="auto"/>
        <w:jc w:val="left"/>
        <w:sectPr>
          <w:headerReference w:type="default" r:id="rId125"/>
          <w:footerReference w:type="default" r:id="rId126"/>
          <w:pgSz w:w="11910" w:h="16840"/>
          <w:pgMar w:header="672" w:footer="734" w:top="3200" w:bottom="920" w:left="440" w:right="140"/>
        </w:sectPr>
      </w:pPr>
    </w:p>
    <w:p>
      <w:pPr>
        <w:pStyle w:val="BodyText"/>
        <w:spacing w:before="3"/>
        <w:rPr>
          <w:b/>
          <w:sz w:val="12"/>
        </w:rPr>
      </w:pPr>
    </w:p>
    <w:p>
      <w:pPr>
        <w:spacing w:line="198" w:lineRule="exact"/>
        <w:ind w:left="2156" w:right="0" w:firstLine="0"/>
        <w:rPr>
          <w:sz w:val="14"/>
        </w:rPr>
      </w:pPr>
      <w:r>
        <w:rPr>
          <w:position w:val="-3"/>
          <w:sz w:val="19"/>
        </w:rPr>
        <w:drawing>
          <wp:inline distT="0" distB="0" distL="0" distR="0">
            <wp:extent cx="4538830" cy="126015"/>
            <wp:effectExtent l="0" t="0" r="0" b="0"/>
            <wp:docPr id="331" name="image168.png"/>
            <wp:cNvGraphicFramePr>
              <a:graphicFrameLocks noChangeAspect="1"/>
            </wp:cNvGraphicFramePr>
            <a:graphic>
              <a:graphicData uri="http://schemas.openxmlformats.org/drawingml/2006/picture">
                <pic:pic>
                  <pic:nvPicPr>
                    <pic:cNvPr id="332" name="image168.png"/>
                    <pic:cNvPicPr/>
                  </pic:nvPicPr>
                  <pic:blipFill>
                    <a:blip r:embed="rId174" cstate="print"/>
                    <a:stretch>
                      <a:fillRect/>
                    </a:stretch>
                  </pic:blipFill>
                  <pic:spPr>
                    <a:xfrm>
                      <a:off x="0" y="0"/>
                      <a:ext cx="4538830" cy="126015"/>
                    </a:xfrm>
                    <a:prstGeom prst="rect">
                      <a:avLst/>
                    </a:prstGeom>
                  </pic:spPr>
                </pic:pic>
              </a:graphicData>
            </a:graphic>
          </wp:inline>
        </w:drawing>
      </w:r>
      <w:r>
        <w:rPr>
          <w:position w:val="-3"/>
          <w:sz w:val="19"/>
        </w:rPr>
      </w:r>
      <w:r>
        <w:rPr>
          <w:rFonts w:ascii="Times New Roman"/>
          <w:spacing w:val="108"/>
          <w:position w:val="-3"/>
          <w:sz w:val="14"/>
        </w:rPr>
        <w:t> </w:t>
      </w:r>
      <w:r>
        <w:rPr>
          <w:spacing w:val="108"/>
          <w:sz w:val="14"/>
        </w:rPr>
        <w:drawing>
          <wp:inline distT="0" distB="0" distL="0" distR="0">
            <wp:extent cx="129197" cy="91440"/>
            <wp:effectExtent l="0" t="0" r="0" b="0"/>
            <wp:docPr id="333" name="image169.png"/>
            <wp:cNvGraphicFramePr>
              <a:graphicFrameLocks noChangeAspect="1"/>
            </wp:cNvGraphicFramePr>
            <a:graphic>
              <a:graphicData uri="http://schemas.openxmlformats.org/drawingml/2006/picture">
                <pic:pic>
                  <pic:nvPicPr>
                    <pic:cNvPr id="334" name="image169.png"/>
                    <pic:cNvPicPr/>
                  </pic:nvPicPr>
                  <pic:blipFill>
                    <a:blip r:embed="rId175" cstate="print"/>
                    <a:stretch>
                      <a:fillRect/>
                    </a:stretch>
                  </pic:blipFill>
                  <pic:spPr>
                    <a:xfrm>
                      <a:off x="0" y="0"/>
                      <a:ext cx="129197" cy="91440"/>
                    </a:xfrm>
                    <a:prstGeom prst="rect">
                      <a:avLst/>
                    </a:prstGeom>
                  </pic:spPr>
                </pic:pic>
              </a:graphicData>
            </a:graphic>
          </wp:inline>
        </w:drawing>
      </w:r>
      <w:r>
        <w:rPr>
          <w:spacing w:val="108"/>
          <w:sz w:val="14"/>
        </w:rPr>
      </w:r>
    </w:p>
    <w:p>
      <w:pPr>
        <w:pStyle w:val="BodyText"/>
        <w:spacing w:before="1"/>
        <w:rPr>
          <w:b/>
          <w:sz w:val="9"/>
        </w:rPr>
      </w:pPr>
      <w:r>
        <w:rPr/>
        <w:drawing>
          <wp:anchor distT="0" distB="0" distL="0" distR="0" allowOverlap="1" layoutInCell="1" locked="0" behindDoc="0" simplePos="0" relativeHeight="160">
            <wp:simplePos x="0" y="0"/>
            <wp:positionH relativeFrom="page">
              <wp:posOffset>1648967</wp:posOffset>
            </wp:positionH>
            <wp:positionV relativeFrom="paragraph">
              <wp:posOffset>95250</wp:posOffset>
            </wp:positionV>
            <wp:extent cx="4574942" cy="102679"/>
            <wp:effectExtent l="0" t="0" r="0" b="0"/>
            <wp:wrapTopAndBottom/>
            <wp:docPr id="335" name="image170.png"/>
            <wp:cNvGraphicFramePr>
              <a:graphicFrameLocks noChangeAspect="1"/>
            </wp:cNvGraphicFramePr>
            <a:graphic>
              <a:graphicData uri="http://schemas.openxmlformats.org/drawingml/2006/picture">
                <pic:pic>
                  <pic:nvPicPr>
                    <pic:cNvPr id="336" name="image170.png"/>
                    <pic:cNvPicPr/>
                  </pic:nvPicPr>
                  <pic:blipFill>
                    <a:blip r:embed="rId176" cstate="print"/>
                    <a:stretch>
                      <a:fillRect/>
                    </a:stretch>
                  </pic:blipFill>
                  <pic:spPr>
                    <a:xfrm>
                      <a:off x="0" y="0"/>
                      <a:ext cx="4574942" cy="102679"/>
                    </a:xfrm>
                    <a:prstGeom prst="rect">
                      <a:avLst/>
                    </a:prstGeom>
                  </pic:spPr>
                </pic:pic>
              </a:graphicData>
            </a:graphic>
          </wp:anchor>
        </w:drawing>
      </w:r>
      <w:r>
        <w:rPr/>
        <w:drawing>
          <wp:anchor distT="0" distB="0" distL="0" distR="0" allowOverlap="1" layoutInCell="1" locked="0" behindDoc="0" simplePos="0" relativeHeight="161">
            <wp:simplePos x="0" y="0"/>
            <wp:positionH relativeFrom="page">
              <wp:posOffset>6278958</wp:posOffset>
            </wp:positionH>
            <wp:positionV relativeFrom="paragraph">
              <wp:posOffset>105954</wp:posOffset>
            </wp:positionV>
            <wp:extent cx="129197" cy="91440"/>
            <wp:effectExtent l="0" t="0" r="0" b="0"/>
            <wp:wrapTopAndBottom/>
            <wp:docPr id="337" name="image171.png"/>
            <wp:cNvGraphicFramePr>
              <a:graphicFrameLocks noChangeAspect="1"/>
            </wp:cNvGraphicFramePr>
            <a:graphic>
              <a:graphicData uri="http://schemas.openxmlformats.org/drawingml/2006/picture">
                <pic:pic>
                  <pic:nvPicPr>
                    <pic:cNvPr id="338" name="image171.png"/>
                    <pic:cNvPicPr/>
                  </pic:nvPicPr>
                  <pic:blipFill>
                    <a:blip r:embed="rId177" cstate="print"/>
                    <a:stretch>
                      <a:fillRect/>
                    </a:stretch>
                  </pic:blipFill>
                  <pic:spPr>
                    <a:xfrm>
                      <a:off x="0" y="0"/>
                      <a:ext cx="129197" cy="91440"/>
                    </a:xfrm>
                    <a:prstGeom prst="rect">
                      <a:avLst/>
                    </a:prstGeom>
                  </pic:spPr>
                </pic:pic>
              </a:graphicData>
            </a:graphic>
          </wp:anchor>
        </w:drawing>
      </w:r>
    </w:p>
    <w:p>
      <w:pPr>
        <w:pStyle w:val="BodyText"/>
        <w:spacing w:before="11"/>
        <w:rPr>
          <w:b/>
          <w:sz w:val="13"/>
        </w:rPr>
      </w:pPr>
    </w:p>
    <w:sdt>
      <w:sdtPr>
        <w:docPartObj>
          <w:docPartGallery w:val="Table of Contents"/>
          <w:docPartUnique/>
        </w:docPartObj>
      </w:sdtPr>
      <w:sdtEndPr/>
      <w:sdtContent>
        <w:p>
          <w:pPr>
            <w:pStyle w:val="TOC1"/>
            <w:numPr>
              <w:ilvl w:val="0"/>
              <w:numId w:val="4"/>
            </w:numPr>
            <w:tabs>
              <w:tab w:pos="1699" w:val="left" w:leader="none"/>
              <w:tab w:pos="9663" w:val="right" w:leader="dot"/>
            </w:tabs>
            <w:spacing w:line="240" w:lineRule="auto" w:before="57" w:after="0"/>
            <w:ind w:left="1698" w:right="0" w:hanging="341"/>
            <w:jc w:val="left"/>
          </w:pPr>
          <w:r>
            <w:rPr/>
            <w:drawing>
              <wp:anchor distT="0" distB="0" distL="0" distR="0" allowOverlap="1" layoutInCell="1" locked="0" behindDoc="0" simplePos="0" relativeHeight="15811584">
                <wp:simplePos x="0" y="0"/>
                <wp:positionH relativeFrom="page">
                  <wp:posOffset>6279011</wp:posOffset>
                </wp:positionH>
                <wp:positionV relativeFrom="paragraph">
                  <wp:posOffset>-661587</wp:posOffset>
                </wp:positionV>
                <wp:extent cx="131694" cy="92165"/>
                <wp:effectExtent l="0" t="0" r="0" b="0"/>
                <wp:wrapNone/>
                <wp:docPr id="339" name="image172.png"/>
                <wp:cNvGraphicFramePr>
                  <a:graphicFrameLocks noChangeAspect="1"/>
                </wp:cNvGraphicFramePr>
                <a:graphic>
                  <a:graphicData uri="http://schemas.openxmlformats.org/drawingml/2006/picture">
                    <pic:pic>
                      <pic:nvPicPr>
                        <pic:cNvPr id="340" name="image172.png"/>
                        <pic:cNvPicPr/>
                      </pic:nvPicPr>
                      <pic:blipFill>
                        <a:blip r:embed="rId178" cstate="print"/>
                        <a:stretch>
                          <a:fillRect/>
                        </a:stretch>
                      </pic:blipFill>
                      <pic:spPr>
                        <a:xfrm>
                          <a:off x="0" y="0"/>
                          <a:ext cx="131694" cy="92165"/>
                        </a:xfrm>
                        <a:prstGeom prst="rect">
                          <a:avLst/>
                        </a:prstGeom>
                      </pic:spPr>
                    </pic:pic>
                  </a:graphicData>
                </a:graphic>
              </wp:anchor>
            </w:drawing>
          </w:r>
          <w:hyperlink w:history="true" w:anchor="_TOC_250003">
            <w:r>
              <w:rPr/>
              <w:t>Consumer</w:t>
            </w:r>
            <w:r>
              <w:rPr>
                <w:spacing w:val="-3"/>
              </w:rPr>
              <w:t> </w:t>
            </w:r>
            <w:r>
              <w:rPr/>
              <w:t>impact statement</w:t>
              <w:tab/>
              <w:t>71</w:t>
            </w:r>
          </w:hyperlink>
        </w:p>
        <w:p>
          <w:pPr>
            <w:pStyle w:val="TOC1"/>
            <w:numPr>
              <w:ilvl w:val="0"/>
              <w:numId w:val="4"/>
            </w:numPr>
            <w:tabs>
              <w:tab w:pos="1699" w:val="left" w:leader="none"/>
              <w:tab w:pos="9663" w:val="right" w:leader="dot"/>
            </w:tabs>
            <w:spacing w:line="240" w:lineRule="auto" w:before="199" w:after="0"/>
            <w:ind w:left="1698" w:right="0" w:hanging="341"/>
            <w:jc w:val="left"/>
          </w:pPr>
          <w:hyperlink w:history="true" w:anchor="_TOC_250002">
            <w:r>
              <w:rPr/>
              <w:t>References</w:t>
              <w:tab/>
              <w:t>73</w:t>
            </w:r>
          </w:hyperlink>
        </w:p>
        <w:p>
          <w:pPr>
            <w:pStyle w:val="TOC1"/>
            <w:numPr>
              <w:ilvl w:val="0"/>
              <w:numId w:val="4"/>
            </w:numPr>
            <w:tabs>
              <w:tab w:pos="1699" w:val="left" w:leader="none"/>
              <w:tab w:pos="9663" w:val="right" w:leader="dot"/>
            </w:tabs>
            <w:spacing w:line="240" w:lineRule="auto" w:before="200" w:after="0"/>
            <w:ind w:left="1698" w:right="0" w:hanging="341"/>
            <w:jc w:val="left"/>
          </w:pPr>
          <w:hyperlink w:history="true" w:anchor="_TOC_250001">
            <w:r>
              <w:rPr/>
              <w:t>Glossary</w:t>
              <w:tab/>
              <w:t>76</w:t>
            </w:r>
          </w:hyperlink>
        </w:p>
        <w:p>
          <w:pPr>
            <w:pStyle w:val="TOC2"/>
            <w:tabs>
              <w:tab w:pos="9663" w:val="right" w:leader="dot"/>
            </w:tabs>
            <w:rPr>
              <w:i w:val="0"/>
              <w:sz w:val="22"/>
            </w:rPr>
          </w:pPr>
          <w:hyperlink w:history="true" w:anchor="_TOC_250000">
            <w:r>
              <w:rPr>
                <w:b w:val="0"/>
                <w:i w:val="0"/>
                <w:position w:val="-3"/>
              </w:rPr>
            </w:r>
            <w:r>
              <w:rPr>
                <w:rFonts w:ascii="Times New Roman"/>
                <w:b w:val="0"/>
                <w:i w:val="0"/>
                <w:sz w:val="20"/>
              </w:rPr>
              <w:t>         </w:t>
            </w:r>
            <w:r>
              <w:rPr>
                <w:i w:val="0"/>
                <w:sz w:val="22"/>
              </w:rPr>
              <w:t>Summary</w:t>
            </w:r>
            <w:r>
              <w:rPr>
                <w:i w:val="0"/>
                <w:spacing w:val="-1"/>
                <w:sz w:val="22"/>
              </w:rPr>
              <w:t> </w:t>
            </w:r>
            <w:r>
              <w:rPr>
                <w:i w:val="0"/>
                <w:sz w:val="22"/>
              </w:rPr>
              <w:t>for</w:t>
            </w:r>
            <w:r>
              <w:rPr>
                <w:i w:val="0"/>
                <w:spacing w:val="-2"/>
                <w:sz w:val="22"/>
              </w:rPr>
              <w:t> </w:t>
            </w:r>
            <w:r>
              <w:rPr>
                <w:i w:val="0"/>
                <w:sz w:val="22"/>
              </w:rPr>
              <w:t>consumers</w:t>
              <w:tab/>
              <w:t>80</w:t>
            </w:r>
          </w:hyperlink>
          <w:r>
            <w:rPr>
              <w:b w:val="0"/>
              <w:i w:val="0"/>
              <w:position w:val="-3"/>
            </w:rPr>
            <w:drawing>
              <wp:inline distT="0" distB="0" distL="0" distR="0">
                <wp:extent cx="651510" cy="127253"/>
                <wp:effectExtent l="0" t="0" r="0" b="0"/>
                <wp:docPr id="341" name="image173.png"/>
                <wp:cNvGraphicFramePr>
                  <a:graphicFrameLocks noChangeAspect="1"/>
                </wp:cNvGraphicFramePr>
                <a:graphic>
                  <a:graphicData uri="http://schemas.openxmlformats.org/drawingml/2006/picture">
                    <pic:pic>
                      <pic:nvPicPr>
                        <pic:cNvPr id="342" name="image173.png"/>
                        <pic:cNvPicPr/>
                      </pic:nvPicPr>
                      <pic:blipFill>
                        <a:blip r:embed="rId179" cstate="print"/>
                        <a:stretch>
                          <a:fillRect/>
                        </a:stretch>
                      </pic:blipFill>
                      <pic:spPr>
                        <a:xfrm>
                          <a:off x="0" y="0"/>
                          <a:ext cx="651510" cy="127253"/>
                        </a:xfrm>
                        <a:prstGeom prst="rect">
                          <a:avLst/>
                        </a:prstGeom>
                      </pic:spPr>
                    </pic:pic>
                  </a:graphicData>
                </a:graphic>
              </wp:inline>
            </w:drawing>
          </w:r>
        </w:p>
      </w:sdtContent>
    </w:sdt>
    <w:p>
      <w:pPr>
        <w:spacing w:after="0"/>
        <w:rPr>
          <w:sz w:val="22"/>
        </w:rPr>
        <w:sectPr>
          <w:pgSz w:w="11910" w:h="16840"/>
          <w:pgMar w:header="672" w:footer="734" w:top="3200" w:bottom="1160" w:left="440" w:right="140"/>
        </w:sectPr>
      </w:pPr>
    </w:p>
    <w:p>
      <w:pPr>
        <w:pStyle w:val="BodyText"/>
        <w:rPr>
          <w:b/>
          <w:sz w:val="32"/>
        </w:rPr>
      </w:pPr>
    </w:p>
    <w:p>
      <w:pPr>
        <w:spacing w:before="209"/>
        <w:ind w:left="1358" w:right="0" w:firstLine="0"/>
        <w:jc w:val="left"/>
        <w:rPr>
          <w:b/>
          <w:sz w:val="32"/>
        </w:rPr>
      </w:pPr>
      <w:r>
        <w:rPr>
          <w:b/>
          <w:color w:val="00643E"/>
          <w:sz w:val="32"/>
        </w:rPr>
        <w:t>List of tables</w:t>
      </w:r>
    </w:p>
    <w:p>
      <w:pPr>
        <w:tabs>
          <w:tab w:pos="9459" w:val="left" w:leader="dot"/>
        </w:tabs>
        <w:spacing w:before="115"/>
        <w:ind w:left="1358" w:right="0" w:firstLine="0"/>
        <w:jc w:val="left"/>
        <w:rPr>
          <w:sz w:val="20"/>
        </w:rPr>
      </w:pPr>
      <w:hyperlink w:history="true" w:anchor="_bookmark0">
        <w:r>
          <w:rPr>
            <w:sz w:val="20"/>
          </w:rPr>
          <w:t>Table 1: Pain Management Clinical</w:t>
        </w:r>
        <w:r>
          <w:rPr>
            <w:spacing w:val="-12"/>
            <w:sz w:val="20"/>
          </w:rPr>
          <w:t> </w:t>
        </w:r>
        <w:r>
          <w:rPr>
            <w:sz w:val="20"/>
          </w:rPr>
          <w:t>Committee</w:t>
        </w:r>
        <w:r>
          <w:rPr>
            <w:spacing w:val="-1"/>
            <w:sz w:val="20"/>
          </w:rPr>
          <w:t> </w:t>
        </w:r>
        <w:r>
          <w:rPr>
            <w:sz w:val="20"/>
          </w:rPr>
          <w:t>members</w:t>
          <w:tab/>
          <w:t>17</w:t>
        </w:r>
      </w:hyperlink>
    </w:p>
    <w:p>
      <w:pPr>
        <w:tabs>
          <w:tab w:pos="9459" w:val="left" w:leader="dot"/>
        </w:tabs>
        <w:spacing w:before="75"/>
        <w:ind w:left="1358" w:right="0" w:firstLine="0"/>
        <w:jc w:val="left"/>
        <w:rPr>
          <w:sz w:val="20"/>
        </w:rPr>
      </w:pPr>
      <w:hyperlink w:history="true" w:anchor="_bookmark3">
        <w:r>
          <w:rPr>
            <w:sz w:val="20"/>
          </w:rPr>
          <w:t>Table 2: Working Group Memberships and</w:t>
        </w:r>
        <w:r>
          <w:rPr>
            <w:spacing w:val="-16"/>
            <w:sz w:val="20"/>
          </w:rPr>
          <w:t> </w:t>
        </w:r>
        <w:r>
          <w:rPr>
            <w:sz w:val="20"/>
          </w:rPr>
          <w:t>Items</w:t>
        </w:r>
        <w:r>
          <w:rPr>
            <w:spacing w:val="-4"/>
            <w:sz w:val="20"/>
          </w:rPr>
          <w:t> </w:t>
        </w:r>
        <w:r>
          <w:rPr>
            <w:sz w:val="20"/>
          </w:rPr>
          <w:t>Considered</w:t>
          <w:tab/>
          <w:t>21</w:t>
        </w:r>
      </w:hyperlink>
    </w:p>
    <w:p>
      <w:pPr>
        <w:tabs>
          <w:tab w:pos="9459" w:val="left" w:leader="dot"/>
        </w:tabs>
        <w:spacing w:before="73"/>
        <w:ind w:left="1358" w:right="0" w:firstLine="0"/>
        <w:jc w:val="left"/>
        <w:rPr>
          <w:sz w:val="20"/>
        </w:rPr>
      </w:pPr>
      <w:hyperlink w:history="true" w:anchor="_bookmark4">
        <w:r>
          <w:rPr>
            <w:sz w:val="20"/>
          </w:rPr>
          <w:t>Table 3: Items identified as requiring</w:t>
        </w:r>
        <w:r>
          <w:rPr>
            <w:spacing w:val="-13"/>
            <w:sz w:val="20"/>
          </w:rPr>
          <w:t> </w:t>
        </w:r>
        <w:r>
          <w:rPr>
            <w:sz w:val="20"/>
          </w:rPr>
          <w:t>no</w:t>
        </w:r>
        <w:r>
          <w:rPr>
            <w:spacing w:val="-1"/>
            <w:sz w:val="20"/>
          </w:rPr>
          <w:t> </w:t>
        </w:r>
        <w:r>
          <w:rPr>
            <w:sz w:val="20"/>
          </w:rPr>
          <w:t>change</w:t>
          <w:tab/>
          <w:t>22</w:t>
        </w:r>
      </w:hyperlink>
    </w:p>
    <w:p>
      <w:pPr>
        <w:tabs>
          <w:tab w:pos="9459" w:val="left" w:leader="dot"/>
        </w:tabs>
        <w:spacing w:before="73"/>
        <w:ind w:left="1358" w:right="0" w:firstLine="0"/>
        <w:jc w:val="left"/>
        <w:rPr>
          <w:sz w:val="20"/>
        </w:rPr>
      </w:pPr>
      <w:hyperlink w:history="true" w:anchor="_bookmark5">
        <w:r>
          <w:rPr>
            <w:sz w:val="20"/>
          </w:rPr>
          <w:t>Table 4: Nerve Blocks and Spinal Injections items considered by</w:t>
        </w:r>
        <w:r>
          <w:rPr>
            <w:spacing w:val="-24"/>
            <w:sz w:val="20"/>
          </w:rPr>
          <w:t> </w:t>
        </w:r>
        <w:r>
          <w:rPr>
            <w:sz w:val="20"/>
          </w:rPr>
          <w:t>working</w:t>
        </w:r>
        <w:r>
          <w:rPr>
            <w:spacing w:val="-2"/>
            <w:sz w:val="20"/>
          </w:rPr>
          <w:t> </w:t>
        </w:r>
        <w:r>
          <w:rPr>
            <w:sz w:val="20"/>
          </w:rPr>
          <w:t>group</w:t>
          <w:tab/>
          <w:t>24</w:t>
        </w:r>
      </w:hyperlink>
    </w:p>
    <w:p>
      <w:pPr>
        <w:tabs>
          <w:tab w:pos="9459" w:val="left" w:leader="dot"/>
        </w:tabs>
        <w:spacing w:before="72"/>
        <w:ind w:left="1358" w:right="0" w:firstLine="0"/>
        <w:jc w:val="left"/>
        <w:rPr>
          <w:sz w:val="20"/>
        </w:rPr>
      </w:pPr>
      <w:hyperlink w:history="true" w:anchor="_bookmark6">
        <w:r>
          <w:rPr>
            <w:sz w:val="20"/>
          </w:rPr>
          <w:t>Table 5: Implanted Device items considered by</w:t>
        </w:r>
        <w:r>
          <w:rPr>
            <w:spacing w:val="-15"/>
            <w:sz w:val="20"/>
          </w:rPr>
          <w:t> </w:t>
        </w:r>
        <w:r>
          <w:rPr>
            <w:sz w:val="20"/>
          </w:rPr>
          <w:t>working</w:t>
        </w:r>
        <w:r>
          <w:rPr>
            <w:spacing w:val="-2"/>
            <w:sz w:val="20"/>
          </w:rPr>
          <w:t> </w:t>
        </w:r>
        <w:r>
          <w:rPr>
            <w:sz w:val="20"/>
          </w:rPr>
          <w:t>group</w:t>
          <w:tab/>
          <w:t>40</w:t>
        </w:r>
      </w:hyperlink>
    </w:p>
    <w:p>
      <w:pPr>
        <w:tabs>
          <w:tab w:pos="9459" w:val="left" w:leader="dot"/>
        </w:tabs>
        <w:spacing w:before="75"/>
        <w:ind w:left="1358" w:right="0" w:firstLine="0"/>
        <w:jc w:val="left"/>
        <w:rPr>
          <w:sz w:val="20"/>
        </w:rPr>
      </w:pPr>
      <w:hyperlink w:history="true" w:anchor="_bookmark7">
        <w:r>
          <w:rPr>
            <w:sz w:val="20"/>
          </w:rPr>
          <w:t>Table 6: Surgical Co-claiming items considered by</w:t>
        </w:r>
        <w:r>
          <w:rPr>
            <w:spacing w:val="-16"/>
            <w:sz w:val="20"/>
          </w:rPr>
          <w:t> </w:t>
        </w:r>
        <w:r>
          <w:rPr>
            <w:sz w:val="20"/>
          </w:rPr>
          <w:t>working</w:t>
        </w:r>
        <w:r>
          <w:rPr>
            <w:spacing w:val="-2"/>
            <w:sz w:val="20"/>
          </w:rPr>
          <w:t> </w:t>
        </w:r>
        <w:r>
          <w:rPr>
            <w:sz w:val="20"/>
          </w:rPr>
          <w:t>group</w:t>
          <w:tab/>
          <w:t>52</w:t>
        </w:r>
      </w:hyperlink>
    </w:p>
    <w:p>
      <w:pPr>
        <w:tabs>
          <w:tab w:pos="9459" w:val="left" w:leader="dot"/>
        </w:tabs>
        <w:spacing w:before="73"/>
        <w:ind w:left="1358" w:right="0" w:firstLine="0"/>
        <w:jc w:val="left"/>
        <w:rPr>
          <w:sz w:val="20"/>
        </w:rPr>
      </w:pPr>
      <w:hyperlink w:history="true" w:anchor="_bookmark8">
        <w:r>
          <w:rPr>
            <w:sz w:val="20"/>
          </w:rPr>
          <w:t>Table 7: Items</w:t>
        </w:r>
        <w:r>
          <w:rPr>
            <w:spacing w:val="-6"/>
            <w:sz w:val="20"/>
          </w:rPr>
          <w:t> </w:t>
        </w:r>
        <w:r>
          <w:rPr>
            <w:sz w:val="20"/>
          </w:rPr>
          <w:t>–</w:t>
        </w:r>
        <w:r>
          <w:rPr>
            <w:spacing w:val="-1"/>
            <w:sz w:val="20"/>
          </w:rPr>
          <w:t> </w:t>
        </w:r>
        <w:r>
          <w:rPr>
            <w:sz w:val="20"/>
          </w:rPr>
          <w:t>Deletions</w:t>
          <w:tab/>
          <w:t>57</w:t>
        </w:r>
      </w:hyperlink>
    </w:p>
    <w:p>
      <w:pPr>
        <w:tabs>
          <w:tab w:pos="9459" w:val="left" w:leader="dot"/>
        </w:tabs>
        <w:spacing w:before="73"/>
        <w:ind w:left="1358" w:right="0" w:firstLine="0"/>
        <w:jc w:val="left"/>
        <w:rPr>
          <w:sz w:val="20"/>
        </w:rPr>
      </w:pPr>
      <w:hyperlink w:history="true" w:anchor="_bookmark9">
        <w:r>
          <w:rPr>
            <w:sz w:val="20"/>
          </w:rPr>
          <w:t>Table 8: Items – Referrals to other</w:t>
        </w:r>
        <w:r>
          <w:rPr>
            <w:spacing w:val="-15"/>
            <w:sz w:val="20"/>
          </w:rPr>
          <w:t> </w:t>
        </w:r>
        <w:r>
          <w:rPr>
            <w:sz w:val="20"/>
          </w:rPr>
          <w:t>clinical</w:t>
        </w:r>
        <w:r>
          <w:rPr>
            <w:spacing w:val="-1"/>
            <w:sz w:val="20"/>
          </w:rPr>
          <w:t> </w:t>
        </w:r>
        <w:r>
          <w:rPr>
            <w:sz w:val="20"/>
          </w:rPr>
          <w:t>committees</w:t>
          <w:tab/>
          <w:t>58</w:t>
        </w:r>
      </w:hyperlink>
    </w:p>
    <w:p>
      <w:pPr>
        <w:tabs>
          <w:tab w:pos="9459" w:val="left" w:leader="dot"/>
        </w:tabs>
        <w:spacing w:before="72"/>
        <w:ind w:left="1358" w:right="0" w:firstLine="0"/>
        <w:jc w:val="left"/>
        <w:rPr>
          <w:sz w:val="20"/>
        </w:rPr>
      </w:pPr>
      <w:hyperlink w:history="true" w:anchor="_bookmark11">
        <w:r>
          <w:rPr>
            <w:sz w:val="20"/>
          </w:rPr>
          <w:t>Table 9: Summary</w:t>
        </w:r>
        <w:r>
          <w:rPr>
            <w:spacing w:val="-11"/>
            <w:sz w:val="20"/>
          </w:rPr>
          <w:t> </w:t>
        </w:r>
        <w:r>
          <w:rPr>
            <w:sz w:val="20"/>
          </w:rPr>
          <w:t>for Consumers</w:t>
          <w:tab/>
          <w:t>80</w:t>
        </w:r>
      </w:hyperlink>
    </w:p>
    <w:p>
      <w:pPr>
        <w:pStyle w:val="BodyText"/>
        <w:rPr>
          <w:sz w:val="20"/>
        </w:rPr>
      </w:pPr>
    </w:p>
    <w:p>
      <w:pPr>
        <w:spacing w:before="150"/>
        <w:ind w:left="1358" w:right="0" w:firstLine="0"/>
        <w:jc w:val="left"/>
        <w:rPr>
          <w:b/>
          <w:sz w:val="32"/>
        </w:rPr>
      </w:pPr>
      <w:r>
        <w:rPr>
          <w:b/>
          <w:color w:val="00643E"/>
          <w:sz w:val="32"/>
        </w:rPr>
        <w:t>List of figures</w:t>
      </w:r>
    </w:p>
    <w:p>
      <w:pPr>
        <w:tabs>
          <w:tab w:pos="9459" w:val="left" w:leader="dot"/>
        </w:tabs>
        <w:spacing w:before="114"/>
        <w:ind w:left="1358" w:right="0" w:firstLine="0"/>
        <w:jc w:val="left"/>
        <w:rPr>
          <w:sz w:val="20"/>
        </w:rPr>
      </w:pPr>
      <w:hyperlink w:history="true" w:anchor="_bookmark2">
        <w:r>
          <w:rPr>
            <w:b/>
            <w:sz w:val="20"/>
          </w:rPr>
          <w:t>Figure 1: pain management item growth</w:t>
        </w:r>
        <w:r>
          <w:rPr>
            <w:b/>
            <w:spacing w:val="-9"/>
            <w:sz w:val="20"/>
          </w:rPr>
          <w:t> </w:t>
        </w:r>
        <w:r>
          <w:rPr>
            <w:b/>
            <w:sz w:val="20"/>
          </w:rPr>
          <w:t>-</w:t>
        </w:r>
        <w:r>
          <w:rPr>
            <w:b/>
            <w:spacing w:val="-4"/>
            <w:sz w:val="20"/>
          </w:rPr>
          <w:t> </w:t>
        </w:r>
        <w:r>
          <w:rPr>
            <w:b/>
            <w:sz w:val="20"/>
          </w:rPr>
          <w:t>2011/12–2016/17</w:t>
          <w:tab/>
        </w:r>
        <w:r>
          <w:rPr>
            <w:sz w:val="20"/>
          </w:rPr>
          <w:t>20</w:t>
        </w:r>
      </w:hyperlink>
    </w:p>
    <w:p>
      <w:pPr>
        <w:spacing w:after="0"/>
        <w:jc w:val="left"/>
        <w:rPr>
          <w:sz w:val="20"/>
        </w:rPr>
        <w:sectPr>
          <w:headerReference w:type="default" r:id="rId180"/>
          <w:footerReference w:type="default" r:id="rId181"/>
          <w:pgSz w:w="11910" w:h="16840"/>
          <w:pgMar w:header="672" w:footer="978" w:top="1300" w:bottom="1160" w:left="440" w:right="140"/>
        </w:sectPr>
      </w:pPr>
    </w:p>
    <w:p>
      <w:pPr>
        <w:pStyle w:val="BodyText"/>
        <w:rPr>
          <w:sz w:val="20"/>
        </w:rPr>
      </w:pPr>
    </w:p>
    <w:p>
      <w:pPr>
        <w:pStyle w:val="BodyText"/>
        <w:spacing w:before="9"/>
        <w:rPr>
          <w:sz w:val="27"/>
        </w:rPr>
      </w:pPr>
    </w:p>
    <w:p>
      <w:pPr>
        <w:pStyle w:val="ListParagraph"/>
        <w:numPr>
          <w:ilvl w:val="0"/>
          <w:numId w:val="5"/>
        </w:numPr>
        <w:tabs>
          <w:tab w:pos="1790" w:val="left" w:leader="none"/>
        </w:tabs>
        <w:spacing w:line="240" w:lineRule="auto" w:before="20" w:after="0"/>
        <w:ind w:left="1790" w:right="0" w:hanging="432"/>
        <w:jc w:val="left"/>
        <w:rPr>
          <w:b/>
          <w:sz w:val="40"/>
        </w:rPr>
      </w:pPr>
      <w:r>
        <w:rPr>
          <w:b/>
          <w:color w:val="00643E"/>
          <w:sz w:val="40"/>
        </w:rPr>
        <w:t>Executive</w:t>
      </w:r>
      <w:r>
        <w:rPr>
          <w:b/>
          <w:color w:val="00643E"/>
          <w:spacing w:val="-1"/>
          <w:sz w:val="40"/>
        </w:rPr>
        <w:t> </w:t>
      </w:r>
      <w:r>
        <w:rPr>
          <w:b/>
          <w:color w:val="00643E"/>
          <w:sz w:val="40"/>
        </w:rPr>
        <w:t>summary</w:t>
      </w:r>
    </w:p>
    <w:p>
      <w:pPr>
        <w:pStyle w:val="BodyText"/>
        <w:spacing w:before="9"/>
        <w:rPr>
          <w:b/>
          <w:sz w:val="26"/>
        </w:rPr>
      </w:pPr>
      <w:r>
        <w:rPr/>
        <w:pict>
          <v:rect style="position:absolute;margin-left:88.463997pt;margin-top:18.299414pt;width:418.51pt;height:1.92pt;mso-position-horizontal-relative:page;mso-position-vertical-relative:paragraph;z-index:-15645184;mso-wrap-distance-left:0;mso-wrap-distance-right:0" filled="true" fillcolor="#bebebe" stroked="false">
            <v:fill type="solid"/>
            <w10:wrap type="topAndBottom"/>
          </v:rect>
        </w:pict>
      </w:r>
    </w:p>
    <w:p>
      <w:pPr>
        <w:pStyle w:val="BodyText"/>
        <w:rPr>
          <w:b/>
          <w:sz w:val="20"/>
        </w:rPr>
      </w:pPr>
    </w:p>
    <w:p>
      <w:pPr>
        <w:pStyle w:val="BodyText"/>
        <w:rPr>
          <w:b/>
          <w:sz w:val="20"/>
        </w:rPr>
      </w:pPr>
    </w:p>
    <w:p>
      <w:pPr>
        <w:pStyle w:val="Heading3"/>
        <w:spacing w:before="202"/>
      </w:pPr>
      <w:r>
        <w:rPr/>
        <w:drawing>
          <wp:anchor distT="0" distB="0" distL="0" distR="0" allowOverlap="1" layoutInCell="1" locked="0" behindDoc="0" simplePos="0" relativeHeight="15812608">
            <wp:simplePos x="0" y="0"/>
            <wp:positionH relativeFrom="page">
              <wp:posOffset>1147625</wp:posOffset>
            </wp:positionH>
            <wp:positionV relativeFrom="paragraph">
              <wp:posOffset>181679</wp:posOffset>
            </wp:positionV>
            <wp:extent cx="194256" cy="107346"/>
            <wp:effectExtent l="0" t="0" r="0" b="0"/>
            <wp:wrapNone/>
            <wp:docPr id="345" name="image174.png"/>
            <wp:cNvGraphicFramePr>
              <a:graphicFrameLocks noChangeAspect="1"/>
            </wp:cNvGraphicFramePr>
            <a:graphic>
              <a:graphicData uri="http://schemas.openxmlformats.org/drawingml/2006/picture">
                <pic:pic>
                  <pic:nvPicPr>
                    <pic:cNvPr id="346" name="image174.png"/>
                    <pic:cNvPicPr/>
                  </pic:nvPicPr>
                  <pic:blipFill>
                    <a:blip r:embed="rId182" cstate="print"/>
                    <a:stretch>
                      <a:fillRect/>
                    </a:stretch>
                  </pic:blipFill>
                  <pic:spPr>
                    <a:xfrm>
                      <a:off x="0" y="0"/>
                      <a:ext cx="194256" cy="107346"/>
                    </a:xfrm>
                    <a:prstGeom prst="rect">
                      <a:avLst/>
                    </a:prstGeom>
                  </pic:spPr>
                </pic:pic>
              </a:graphicData>
            </a:graphic>
          </wp:anchor>
        </w:drawing>
      </w:r>
      <w:r>
        <w:rPr>
          <w:color w:val="00643E"/>
        </w:rPr>
        <w:t>Introduction</w:t>
      </w:r>
    </w:p>
    <w:p>
      <w:pPr>
        <w:pStyle w:val="BodyText"/>
        <w:spacing w:before="7"/>
        <w:rPr>
          <w:b/>
          <w:sz w:val="17"/>
        </w:rPr>
      </w:pPr>
    </w:p>
    <w:p>
      <w:pPr>
        <w:pStyle w:val="BodyText"/>
        <w:spacing w:line="312" w:lineRule="auto" w:before="56"/>
        <w:ind w:left="1358" w:right="1736"/>
      </w:pPr>
      <w:r>
        <w:rPr/>
        <w:t>The Medicare Benefits Schedule (MBS) Review Taskforce (the Taskforce) is undertaking a program of work that considers how more than 5,700 items on the MBS can be aligned with contemporary clinical evidence and practice and improve health outcomes for patients. The Taskforce will also seek to identify any services that may be unnecessary, outdated or potentially unsafe.</w:t>
      </w:r>
    </w:p>
    <w:p>
      <w:pPr>
        <w:pStyle w:val="BodyText"/>
        <w:spacing w:line="312" w:lineRule="auto" w:before="182"/>
        <w:ind w:left="1358" w:right="1918"/>
      </w:pPr>
      <w:r>
        <w:rPr/>
        <w:t>The Taskforce is committed to providing recommendations to the Minister for Health (the Minister) that will allow the MBS to deliver on each of these four key goals:</w:t>
      </w:r>
    </w:p>
    <w:p>
      <w:pPr>
        <w:pStyle w:val="BodyText"/>
        <w:spacing w:before="72"/>
        <w:ind w:left="2219"/>
      </w:pPr>
      <w:r>
        <w:rPr/>
        <w:drawing>
          <wp:anchor distT="0" distB="0" distL="0" distR="0" allowOverlap="1" layoutInCell="1" locked="0" behindDoc="0" simplePos="0" relativeHeight="15813120">
            <wp:simplePos x="0" y="0"/>
            <wp:positionH relativeFrom="page">
              <wp:posOffset>1423606</wp:posOffset>
            </wp:positionH>
            <wp:positionV relativeFrom="paragraph">
              <wp:posOffset>114282</wp:posOffset>
            </wp:positionV>
            <wp:extent cx="52387" cy="52387"/>
            <wp:effectExtent l="0" t="0" r="0" b="0"/>
            <wp:wrapNone/>
            <wp:docPr id="347" name="image175.png"/>
            <wp:cNvGraphicFramePr>
              <a:graphicFrameLocks noChangeAspect="1"/>
            </wp:cNvGraphicFramePr>
            <a:graphic>
              <a:graphicData uri="http://schemas.openxmlformats.org/drawingml/2006/picture">
                <pic:pic>
                  <pic:nvPicPr>
                    <pic:cNvPr id="348" name="image175.png"/>
                    <pic:cNvPicPr/>
                  </pic:nvPicPr>
                  <pic:blipFill>
                    <a:blip r:embed="rId183" cstate="print"/>
                    <a:stretch>
                      <a:fillRect/>
                    </a:stretch>
                  </pic:blipFill>
                  <pic:spPr>
                    <a:xfrm>
                      <a:off x="0" y="0"/>
                      <a:ext cx="52387" cy="52387"/>
                    </a:xfrm>
                    <a:prstGeom prst="rect">
                      <a:avLst/>
                    </a:prstGeom>
                  </pic:spPr>
                </pic:pic>
              </a:graphicData>
            </a:graphic>
          </wp:anchor>
        </w:drawing>
      </w:r>
      <w:r>
        <w:rPr/>
        <w:t>Affordable and universal access.</w:t>
      </w:r>
    </w:p>
    <w:p>
      <w:pPr>
        <w:pStyle w:val="BodyText"/>
        <w:spacing w:before="9"/>
        <w:rPr>
          <w:sz w:val="12"/>
        </w:rPr>
      </w:pPr>
    </w:p>
    <w:p>
      <w:pPr>
        <w:pStyle w:val="BodyText"/>
        <w:spacing w:before="56"/>
        <w:ind w:left="2219"/>
      </w:pPr>
      <w:r>
        <w:rPr/>
        <w:drawing>
          <wp:anchor distT="0" distB="0" distL="0" distR="0" allowOverlap="1" layoutInCell="1" locked="0" behindDoc="0" simplePos="0" relativeHeight="15813632">
            <wp:simplePos x="0" y="0"/>
            <wp:positionH relativeFrom="page">
              <wp:posOffset>1423606</wp:posOffset>
            </wp:positionH>
            <wp:positionV relativeFrom="paragraph">
              <wp:posOffset>104122</wp:posOffset>
            </wp:positionV>
            <wp:extent cx="52387" cy="52387"/>
            <wp:effectExtent l="0" t="0" r="0" b="0"/>
            <wp:wrapNone/>
            <wp:docPr id="349" name="image176.png"/>
            <wp:cNvGraphicFramePr>
              <a:graphicFrameLocks noChangeAspect="1"/>
            </wp:cNvGraphicFramePr>
            <a:graphic>
              <a:graphicData uri="http://schemas.openxmlformats.org/drawingml/2006/picture">
                <pic:pic>
                  <pic:nvPicPr>
                    <pic:cNvPr id="350" name="image176.png"/>
                    <pic:cNvPicPr/>
                  </pic:nvPicPr>
                  <pic:blipFill>
                    <a:blip r:embed="rId184" cstate="print"/>
                    <a:stretch>
                      <a:fillRect/>
                    </a:stretch>
                  </pic:blipFill>
                  <pic:spPr>
                    <a:xfrm>
                      <a:off x="0" y="0"/>
                      <a:ext cx="52387" cy="52387"/>
                    </a:xfrm>
                    <a:prstGeom prst="rect">
                      <a:avLst/>
                    </a:prstGeom>
                  </pic:spPr>
                </pic:pic>
              </a:graphicData>
            </a:graphic>
          </wp:anchor>
        </w:drawing>
      </w:r>
      <w:r>
        <w:rPr/>
        <w:t>Best-practice health services.</w:t>
      </w:r>
    </w:p>
    <w:p>
      <w:pPr>
        <w:pStyle w:val="BodyText"/>
        <w:spacing w:before="9"/>
        <w:rPr>
          <w:sz w:val="12"/>
        </w:rPr>
      </w:pPr>
    </w:p>
    <w:p>
      <w:pPr>
        <w:pStyle w:val="BodyText"/>
        <w:spacing w:before="56"/>
        <w:ind w:left="2219"/>
      </w:pPr>
      <w:r>
        <w:rPr/>
        <w:drawing>
          <wp:anchor distT="0" distB="0" distL="0" distR="0" allowOverlap="1" layoutInCell="1" locked="0" behindDoc="0" simplePos="0" relativeHeight="15814144">
            <wp:simplePos x="0" y="0"/>
            <wp:positionH relativeFrom="page">
              <wp:posOffset>1423606</wp:posOffset>
            </wp:positionH>
            <wp:positionV relativeFrom="paragraph">
              <wp:posOffset>104122</wp:posOffset>
            </wp:positionV>
            <wp:extent cx="52387" cy="52387"/>
            <wp:effectExtent l="0" t="0" r="0" b="0"/>
            <wp:wrapNone/>
            <wp:docPr id="351" name="image176.png"/>
            <wp:cNvGraphicFramePr>
              <a:graphicFrameLocks noChangeAspect="1"/>
            </wp:cNvGraphicFramePr>
            <a:graphic>
              <a:graphicData uri="http://schemas.openxmlformats.org/drawingml/2006/picture">
                <pic:pic>
                  <pic:nvPicPr>
                    <pic:cNvPr id="352" name="image176.png"/>
                    <pic:cNvPicPr/>
                  </pic:nvPicPr>
                  <pic:blipFill>
                    <a:blip r:embed="rId184" cstate="print"/>
                    <a:stretch>
                      <a:fillRect/>
                    </a:stretch>
                  </pic:blipFill>
                  <pic:spPr>
                    <a:xfrm>
                      <a:off x="0" y="0"/>
                      <a:ext cx="52387" cy="52387"/>
                    </a:xfrm>
                    <a:prstGeom prst="rect">
                      <a:avLst/>
                    </a:prstGeom>
                  </pic:spPr>
                </pic:pic>
              </a:graphicData>
            </a:graphic>
          </wp:anchor>
        </w:drawing>
      </w:r>
      <w:r>
        <w:rPr/>
        <w:t>Value for the individual patient.</w:t>
      </w:r>
    </w:p>
    <w:p>
      <w:pPr>
        <w:pStyle w:val="BodyText"/>
        <w:spacing w:before="11"/>
        <w:rPr>
          <w:sz w:val="12"/>
        </w:rPr>
      </w:pPr>
    </w:p>
    <w:p>
      <w:pPr>
        <w:pStyle w:val="BodyText"/>
        <w:spacing w:before="56"/>
        <w:ind w:left="2219"/>
      </w:pPr>
      <w:r>
        <w:rPr/>
        <w:drawing>
          <wp:anchor distT="0" distB="0" distL="0" distR="0" allowOverlap="1" layoutInCell="1" locked="0" behindDoc="0" simplePos="0" relativeHeight="15814656">
            <wp:simplePos x="0" y="0"/>
            <wp:positionH relativeFrom="page">
              <wp:posOffset>1423606</wp:posOffset>
            </wp:positionH>
            <wp:positionV relativeFrom="paragraph">
              <wp:posOffset>104122</wp:posOffset>
            </wp:positionV>
            <wp:extent cx="52387" cy="52387"/>
            <wp:effectExtent l="0" t="0" r="0" b="0"/>
            <wp:wrapNone/>
            <wp:docPr id="353" name="image176.png"/>
            <wp:cNvGraphicFramePr>
              <a:graphicFrameLocks noChangeAspect="1"/>
            </wp:cNvGraphicFramePr>
            <a:graphic>
              <a:graphicData uri="http://schemas.openxmlformats.org/drawingml/2006/picture">
                <pic:pic>
                  <pic:nvPicPr>
                    <pic:cNvPr id="354" name="image176.png"/>
                    <pic:cNvPicPr/>
                  </pic:nvPicPr>
                  <pic:blipFill>
                    <a:blip r:embed="rId184" cstate="print"/>
                    <a:stretch>
                      <a:fillRect/>
                    </a:stretch>
                  </pic:blipFill>
                  <pic:spPr>
                    <a:xfrm>
                      <a:off x="0" y="0"/>
                      <a:ext cx="52387" cy="52387"/>
                    </a:xfrm>
                    <a:prstGeom prst="rect">
                      <a:avLst/>
                    </a:prstGeom>
                  </pic:spPr>
                </pic:pic>
              </a:graphicData>
            </a:graphic>
          </wp:anchor>
        </w:drawing>
      </w:r>
      <w:r>
        <w:rPr/>
        <w:t>Value for the health system.</w:t>
      </w:r>
    </w:p>
    <w:p>
      <w:pPr>
        <w:pStyle w:val="BodyText"/>
        <w:spacing w:before="8"/>
        <w:rPr>
          <w:sz w:val="16"/>
        </w:rPr>
      </w:pPr>
    </w:p>
    <w:p>
      <w:pPr>
        <w:pStyle w:val="BodyText"/>
        <w:spacing w:line="312" w:lineRule="auto" w:before="57"/>
        <w:ind w:left="1358" w:right="1945"/>
      </w:pPr>
      <w:r>
        <w:rPr/>
        <w:t>The Taskforce has endorsed a methodology whereby the necessary clinical review of MBS items is undertaken by clinical committees and working groups.</w:t>
      </w:r>
    </w:p>
    <w:p>
      <w:pPr>
        <w:pStyle w:val="Heading3"/>
        <w:spacing w:before="123"/>
      </w:pPr>
      <w:r>
        <w:rPr/>
        <w:drawing>
          <wp:anchor distT="0" distB="0" distL="0" distR="0" allowOverlap="1" layoutInCell="1" locked="0" behindDoc="0" simplePos="0" relativeHeight="15815168">
            <wp:simplePos x="0" y="0"/>
            <wp:positionH relativeFrom="page">
              <wp:posOffset>1147660</wp:posOffset>
            </wp:positionH>
            <wp:positionV relativeFrom="paragraph">
              <wp:posOffset>129418</wp:posOffset>
            </wp:positionV>
            <wp:extent cx="195745" cy="108807"/>
            <wp:effectExtent l="0" t="0" r="0" b="0"/>
            <wp:wrapNone/>
            <wp:docPr id="355" name="image177.png"/>
            <wp:cNvGraphicFramePr>
              <a:graphicFrameLocks noChangeAspect="1"/>
            </wp:cNvGraphicFramePr>
            <a:graphic>
              <a:graphicData uri="http://schemas.openxmlformats.org/drawingml/2006/picture">
                <pic:pic>
                  <pic:nvPicPr>
                    <pic:cNvPr id="356" name="image177.png"/>
                    <pic:cNvPicPr/>
                  </pic:nvPicPr>
                  <pic:blipFill>
                    <a:blip r:embed="rId185" cstate="print"/>
                    <a:stretch>
                      <a:fillRect/>
                    </a:stretch>
                  </pic:blipFill>
                  <pic:spPr>
                    <a:xfrm>
                      <a:off x="0" y="0"/>
                      <a:ext cx="195745" cy="108807"/>
                    </a:xfrm>
                    <a:prstGeom prst="rect">
                      <a:avLst/>
                    </a:prstGeom>
                  </pic:spPr>
                </pic:pic>
              </a:graphicData>
            </a:graphic>
          </wp:anchor>
        </w:drawing>
      </w:r>
      <w:r>
        <w:rPr>
          <w:color w:val="00643E"/>
        </w:rPr>
        <w:t>Review of the pain management items</w:t>
      </w:r>
    </w:p>
    <w:p>
      <w:pPr>
        <w:pStyle w:val="BodyText"/>
        <w:spacing w:before="9"/>
        <w:rPr>
          <w:b/>
          <w:sz w:val="17"/>
        </w:rPr>
      </w:pPr>
    </w:p>
    <w:p>
      <w:pPr>
        <w:pStyle w:val="BodyText"/>
        <w:spacing w:line="312" w:lineRule="auto" w:before="56"/>
        <w:ind w:left="1358" w:right="1710"/>
        <w:jc w:val="both"/>
      </w:pPr>
      <w:r>
        <w:rPr/>
        <w:t>The Pain Management Clinical Committee (the Committee) was established in 2018 to make recommendations to the Taskforce on MBS items in its area of responsibility, based on rapid evidence review and clinical expertise.</w:t>
      </w:r>
    </w:p>
    <w:p>
      <w:pPr>
        <w:pStyle w:val="BodyText"/>
        <w:spacing w:line="312" w:lineRule="auto" w:before="179"/>
        <w:ind w:left="1358" w:right="1970"/>
      </w:pPr>
      <w:r>
        <w:rPr/>
        <w:t>The Committee reviewed 62 MBS items, five of which were later referred to other clinical committees for review as they more closely related to the work of those committees</w:t>
      </w:r>
    </w:p>
    <w:p>
      <w:pPr>
        <w:pStyle w:val="BodyText"/>
        <w:spacing w:line="312" w:lineRule="auto" w:before="180"/>
        <w:ind w:left="1358" w:right="1773"/>
      </w:pPr>
      <w:r>
        <w:rPr/>
        <w:t>In 2016/17, the 62 items accounted for approximately 650,000 services and $52.7 million in benefits.</w:t>
      </w:r>
    </w:p>
    <w:p>
      <w:pPr>
        <w:pStyle w:val="BodyText"/>
        <w:spacing w:line="312" w:lineRule="auto" w:before="181"/>
        <w:ind w:left="1358" w:right="1867"/>
        <w:jc w:val="both"/>
      </w:pPr>
      <w:r>
        <w:rPr/>
        <w:t>Pain related procedures are used by a wide variety of medical practitioners. The growth in procedures may in part be related to an attempt to reduce long-term opioid use however, some of the increase may not be in accordance with the original intention of the item.</w:t>
      </w:r>
    </w:p>
    <w:p>
      <w:pPr>
        <w:spacing w:after="0" w:line="312" w:lineRule="auto"/>
        <w:jc w:val="both"/>
        <w:sectPr>
          <w:pgSz w:w="11910" w:h="16840"/>
          <w:pgMar w:header="672" w:footer="978" w:top="1300" w:bottom="1160" w:left="440" w:right="140"/>
        </w:sectPr>
      </w:pPr>
    </w:p>
    <w:p>
      <w:pPr>
        <w:pStyle w:val="BodyText"/>
        <w:rPr>
          <w:sz w:val="20"/>
        </w:rPr>
      </w:pPr>
    </w:p>
    <w:p>
      <w:pPr>
        <w:pStyle w:val="BodyText"/>
        <w:spacing w:before="3"/>
        <w:rPr>
          <w:sz w:val="25"/>
        </w:rPr>
      </w:pPr>
    </w:p>
    <w:p>
      <w:pPr>
        <w:pStyle w:val="Heading3"/>
      </w:pPr>
      <w:r>
        <w:rPr/>
        <w:drawing>
          <wp:anchor distT="0" distB="0" distL="0" distR="0" allowOverlap="1" layoutInCell="1" locked="0" behindDoc="0" simplePos="0" relativeHeight="15815680">
            <wp:simplePos x="0" y="0"/>
            <wp:positionH relativeFrom="page">
              <wp:posOffset>1147660</wp:posOffset>
            </wp:positionH>
            <wp:positionV relativeFrom="paragraph">
              <wp:posOffset>81665</wp:posOffset>
            </wp:positionV>
            <wp:extent cx="195745" cy="110459"/>
            <wp:effectExtent l="0" t="0" r="0" b="0"/>
            <wp:wrapNone/>
            <wp:docPr id="357" name="image178.png"/>
            <wp:cNvGraphicFramePr>
              <a:graphicFrameLocks noChangeAspect="1"/>
            </wp:cNvGraphicFramePr>
            <a:graphic>
              <a:graphicData uri="http://schemas.openxmlformats.org/drawingml/2006/picture">
                <pic:pic>
                  <pic:nvPicPr>
                    <pic:cNvPr id="358" name="image178.png"/>
                    <pic:cNvPicPr/>
                  </pic:nvPicPr>
                  <pic:blipFill>
                    <a:blip r:embed="rId186" cstate="print"/>
                    <a:stretch>
                      <a:fillRect/>
                    </a:stretch>
                  </pic:blipFill>
                  <pic:spPr>
                    <a:xfrm>
                      <a:off x="0" y="0"/>
                      <a:ext cx="195745" cy="110459"/>
                    </a:xfrm>
                    <a:prstGeom prst="rect">
                      <a:avLst/>
                    </a:prstGeom>
                  </pic:spPr>
                </pic:pic>
              </a:graphicData>
            </a:graphic>
          </wp:anchor>
        </w:drawing>
      </w:r>
      <w:r>
        <w:rPr>
          <w:color w:val="00643E"/>
        </w:rPr>
        <w:t>Key Issues</w:t>
      </w:r>
    </w:p>
    <w:p>
      <w:pPr>
        <w:pStyle w:val="BodyText"/>
        <w:spacing w:before="9"/>
        <w:rPr>
          <w:b/>
          <w:sz w:val="17"/>
        </w:rPr>
      </w:pPr>
    </w:p>
    <w:p>
      <w:pPr>
        <w:pStyle w:val="BodyText"/>
        <w:spacing w:line="312" w:lineRule="auto" w:before="56"/>
        <w:ind w:left="1358" w:right="1765"/>
      </w:pPr>
      <w:r>
        <w:rPr/>
        <w:t>Pain management is a field which touches most areas of medical practice, be it due to physical injury, disease, surgery or psychologically based. The specialty of pain medicine is a recent development, emerging to meet the needs of the increasingly complex world of</w:t>
      </w:r>
    </w:p>
    <w:p>
      <w:pPr>
        <w:pStyle w:val="BodyText"/>
        <w:spacing w:line="312" w:lineRule="auto"/>
        <w:ind w:left="1358" w:right="1869"/>
      </w:pPr>
      <w:r>
        <w:rPr/>
        <w:t>today’s medical practitioner and their patients. Diagnosis and treatment of pain is not straightforward and relies on an understanding of multiple interactions across the fields of biopsychosocial knowledge and practice.</w:t>
      </w:r>
    </w:p>
    <w:p>
      <w:pPr>
        <w:pStyle w:val="BodyText"/>
        <w:spacing w:line="312" w:lineRule="auto" w:before="178"/>
        <w:ind w:left="1358" w:right="1807"/>
      </w:pPr>
      <w:r>
        <w:rPr/>
        <w:t>As the specialism of pain management matures it is clear that the structures that support it also need to mature. The Committee’s recommendations seek to assist the MBS to reflect this new environment. The recommendations cover:</w:t>
      </w:r>
    </w:p>
    <w:p>
      <w:pPr>
        <w:pStyle w:val="ListParagraph"/>
        <w:numPr>
          <w:ilvl w:val="0"/>
          <w:numId w:val="6"/>
        </w:numPr>
        <w:tabs>
          <w:tab w:pos="2130" w:val="left" w:leader="none"/>
          <w:tab w:pos="2131" w:val="left" w:leader="none"/>
        </w:tabs>
        <w:spacing w:line="309" w:lineRule="auto" w:before="183" w:after="0"/>
        <w:ind w:left="2130" w:right="2338" w:hanging="360"/>
        <w:jc w:val="left"/>
        <w:rPr>
          <w:sz w:val="22"/>
        </w:rPr>
      </w:pPr>
      <w:r>
        <w:rPr>
          <w:sz w:val="22"/>
        </w:rPr>
        <w:t>changes to the current pain management items to reflect best practice and increasing targeted use of the MBS through better clarity of descriptions and explanatory</w:t>
      </w:r>
      <w:r>
        <w:rPr>
          <w:spacing w:val="-1"/>
          <w:sz w:val="22"/>
        </w:rPr>
        <w:t> </w:t>
      </w:r>
      <w:r>
        <w:rPr>
          <w:sz w:val="22"/>
        </w:rPr>
        <w:t>notes,</w:t>
      </w:r>
    </w:p>
    <w:p>
      <w:pPr>
        <w:pStyle w:val="ListParagraph"/>
        <w:numPr>
          <w:ilvl w:val="0"/>
          <w:numId w:val="6"/>
        </w:numPr>
        <w:tabs>
          <w:tab w:pos="2130" w:val="left" w:leader="none"/>
          <w:tab w:pos="2131" w:val="left" w:leader="none"/>
        </w:tabs>
        <w:spacing w:line="240" w:lineRule="auto" w:before="7" w:after="0"/>
        <w:ind w:left="2130" w:right="0" w:hanging="361"/>
        <w:jc w:val="left"/>
        <w:rPr>
          <w:sz w:val="22"/>
        </w:rPr>
      </w:pPr>
      <w:r>
        <w:rPr>
          <w:sz w:val="22"/>
        </w:rPr>
        <w:t>deletions of outdated</w:t>
      </w:r>
      <w:r>
        <w:rPr>
          <w:spacing w:val="-7"/>
          <w:sz w:val="22"/>
        </w:rPr>
        <w:t> </w:t>
      </w:r>
      <w:r>
        <w:rPr>
          <w:sz w:val="22"/>
        </w:rPr>
        <w:t>items,</w:t>
      </w:r>
    </w:p>
    <w:p>
      <w:pPr>
        <w:pStyle w:val="ListParagraph"/>
        <w:numPr>
          <w:ilvl w:val="0"/>
          <w:numId w:val="6"/>
        </w:numPr>
        <w:tabs>
          <w:tab w:pos="2181" w:val="left" w:leader="none"/>
          <w:tab w:pos="2182" w:val="left" w:leader="none"/>
        </w:tabs>
        <w:spacing w:line="240" w:lineRule="auto" w:before="80" w:after="0"/>
        <w:ind w:left="2181" w:right="0" w:hanging="412"/>
        <w:jc w:val="left"/>
        <w:rPr>
          <w:sz w:val="22"/>
        </w:rPr>
      </w:pPr>
      <w:r>
        <w:rPr>
          <w:sz w:val="22"/>
        </w:rPr>
        <w:t>referrals to other clinical committees to ensure thorough and appropriate</w:t>
      </w:r>
      <w:r>
        <w:rPr>
          <w:spacing w:val="-11"/>
          <w:sz w:val="22"/>
        </w:rPr>
        <w:t> </w:t>
      </w:r>
      <w:r>
        <w:rPr>
          <w:sz w:val="22"/>
        </w:rPr>
        <w:t>review,</w:t>
      </w:r>
    </w:p>
    <w:p>
      <w:pPr>
        <w:pStyle w:val="ListParagraph"/>
        <w:numPr>
          <w:ilvl w:val="0"/>
          <w:numId w:val="6"/>
        </w:numPr>
        <w:tabs>
          <w:tab w:pos="2131" w:val="left" w:leader="none"/>
        </w:tabs>
        <w:spacing w:line="307" w:lineRule="auto" w:before="82" w:after="0"/>
        <w:ind w:left="2130" w:right="1800" w:hanging="360"/>
        <w:jc w:val="both"/>
        <w:rPr>
          <w:sz w:val="22"/>
        </w:rPr>
      </w:pPr>
      <w:r>
        <w:rPr>
          <w:sz w:val="22"/>
        </w:rPr>
        <w:t>suggested new areas of coverage that would provide significant benefits to patient health and improve value for money across the health system,</w:t>
      </w:r>
      <w:r>
        <w:rPr>
          <w:spacing w:val="-12"/>
          <w:sz w:val="22"/>
        </w:rPr>
        <w:t> </w:t>
      </w:r>
      <w:r>
        <w:rPr>
          <w:sz w:val="22"/>
        </w:rPr>
        <w:t>and</w:t>
      </w:r>
    </w:p>
    <w:p>
      <w:pPr>
        <w:pStyle w:val="ListParagraph"/>
        <w:numPr>
          <w:ilvl w:val="0"/>
          <w:numId w:val="6"/>
        </w:numPr>
        <w:tabs>
          <w:tab w:pos="2131" w:val="left" w:leader="none"/>
        </w:tabs>
        <w:spacing w:line="312" w:lineRule="auto" w:before="11" w:after="0"/>
        <w:ind w:left="2130" w:right="1854" w:hanging="360"/>
        <w:jc w:val="both"/>
        <w:rPr>
          <w:sz w:val="22"/>
        </w:rPr>
      </w:pPr>
      <w:r>
        <w:rPr>
          <w:sz w:val="22"/>
        </w:rPr>
        <w:t>where it’s seen that the complete medical service could include imaging as part of clinical best practice, the Committee is of the opinion that MBS descriptors should be updated to reference this inclusion and the fee should be increased to support the consolidation of imaging options with the respective</w:t>
      </w:r>
      <w:r>
        <w:rPr>
          <w:spacing w:val="-3"/>
          <w:sz w:val="22"/>
        </w:rPr>
        <w:t> </w:t>
      </w:r>
      <w:r>
        <w:rPr>
          <w:sz w:val="22"/>
        </w:rPr>
        <w:t>item.</w:t>
      </w:r>
    </w:p>
    <w:p>
      <w:pPr>
        <w:pStyle w:val="ListParagraph"/>
        <w:numPr>
          <w:ilvl w:val="0"/>
          <w:numId w:val="6"/>
        </w:numPr>
        <w:tabs>
          <w:tab w:pos="2130" w:val="left" w:leader="none"/>
          <w:tab w:pos="2131" w:val="left" w:leader="none"/>
        </w:tabs>
        <w:spacing w:line="312" w:lineRule="auto" w:before="0" w:after="0"/>
        <w:ind w:left="2130" w:right="1683" w:hanging="360"/>
        <w:jc w:val="left"/>
        <w:rPr>
          <w:sz w:val="22"/>
        </w:rPr>
      </w:pPr>
      <w:r>
        <w:rPr>
          <w:sz w:val="22"/>
        </w:rPr>
        <w:t>restriction of the combination of nerve block and surgical procedure item numbers in keeping with consolidation of the complete medical service. Targeted percutaneous nerve blocks will still be permitted in addition to surgical item numbers however field infiltration blocks and blocks performed under open surgical exposure will not be permitted to be</w:t>
      </w:r>
      <w:r>
        <w:rPr>
          <w:spacing w:val="-1"/>
          <w:sz w:val="22"/>
        </w:rPr>
        <w:t> </w:t>
      </w:r>
      <w:r>
        <w:rPr>
          <w:sz w:val="22"/>
        </w:rPr>
        <w:t>co-claimed.</w:t>
      </w:r>
    </w:p>
    <w:p>
      <w:pPr>
        <w:pStyle w:val="Heading3"/>
        <w:spacing w:before="122"/>
      </w:pPr>
      <w:r>
        <w:rPr/>
        <w:drawing>
          <wp:anchor distT="0" distB="0" distL="0" distR="0" allowOverlap="1" layoutInCell="1" locked="0" behindDoc="0" simplePos="0" relativeHeight="15816192">
            <wp:simplePos x="0" y="0"/>
            <wp:positionH relativeFrom="page">
              <wp:posOffset>1147623</wp:posOffset>
            </wp:positionH>
            <wp:positionV relativeFrom="paragraph">
              <wp:posOffset>130245</wp:posOffset>
            </wp:positionV>
            <wp:extent cx="198830" cy="107345"/>
            <wp:effectExtent l="0" t="0" r="0" b="0"/>
            <wp:wrapNone/>
            <wp:docPr id="359" name="image179.png"/>
            <wp:cNvGraphicFramePr>
              <a:graphicFrameLocks noChangeAspect="1"/>
            </wp:cNvGraphicFramePr>
            <a:graphic>
              <a:graphicData uri="http://schemas.openxmlformats.org/drawingml/2006/picture">
                <pic:pic>
                  <pic:nvPicPr>
                    <pic:cNvPr id="360" name="image179.png"/>
                    <pic:cNvPicPr/>
                  </pic:nvPicPr>
                  <pic:blipFill>
                    <a:blip r:embed="rId187" cstate="print"/>
                    <a:stretch>
                      <a:fillRect/>
                    </a:stretch>
                  </pic:blipFill>
                  <pic:spPr>
                    <a:xfrm>
                      <a:off x="0" y="0"/>
                      <a:ext cx="198830" cy="107345"/>
                    </a:xfrm>
                    <a:prstGeom prst="rect">
                      <a:avLst/>
                    </a:prstGeom>
                  </pic:spPr>
                </pic:pic>
              </a:graphicData>
            </a:graphic>
          </wp:anchor>
        </w:drawing>
      </w:r>
      <w:r>
        <w:rPr>
          <w:color w:val="00643E"/>
        </w:rPr>
        <w:t>Key recommendations</w:t>
      </w:r>
    </w:p>
    <w:p>
      <w:pPr>
        <w:pStyle w:val="BodyText"/>
        <w:spacing w:before="7"/>
        <w:rPr>
          <w:b/>
          <w:sz w:val="17"/>
        </w:rPr>
      </w:pPr>
    </w:p>
    <w:p>
      <w:pPr>
        <w:pStyle w:val="BodyText"/>
        <w:spacing w:line="312" w:lineRule="auto" w:before="56"/>
        <w:ind w:left="1358" w:right="2745"/>
      </w:pPr>
      <w:r>
        <w:rPr/>
        <w:t>The Committee has made some 29 recommendations across three major areas – recommendations for change, deletion and referrals and new items.</w:t>
      </w:r>
    </w:p>
    <w:p>
      <w:pPr>
        <w:pStyle w:val="BodyText"/>
        <w:spacing w:before="181"/>
        <w:ind w:left="1358"/>
      </w:pPr>
      <w:r>
        <w:rPr/>
        <w:t>The key recommendations from each area are outlined below:</w:t>
      </w:r>
    </w:p>
    <w:p>
      <w:pPr>
        <w:pStyle w:val="BodyText"/>
        <w:spacing w:before="8"/>
        <w:rPr>
          <w:sz w:val="16"/>
        </w:rPr>
      </w:pPr>
    </w:p>
    <w:p>
      <w:pPr>
        <w:pStyle w:val="Heading4"/>
        <w:numPr>
          <w:ilvl w:val="2"/>
          <w:numId w:val="7"/>
        </w:numPr>
        <w:tabs>
          <w:tab w:pos="2077" w:val="left" w:leader="none"/>
          <w:tab w:pos="2078" w:val="left" w:leader="none"/>
        </w:tabs>
        <w:spacing w:line="240" w:lineRule="auto" w:before="1" w:after="0"/>
        <w:ind w:left="2078" w:right="0" w:hanging="720"/>
        <w:jc w:val="left"/>
      </w:pPr>
      <w:r>
        <w:rPr/>
        <w:t>Recommendations for change</w:t>
      </w:r>
    </w:p>
    <w:p>
      <w:pPr>
        <w:pStyle w:val="BodyText"/>
        <w:spacing w:before="3"/>
        <w:rPr>
          <w:b/>
          <w:sz w:val="13"/>
        </w:rPr>
      </w:pPr>
    </w:p>
    <w:p>
      <w:pPr>
        <w:pStyle w:val="BodyText"/>
        <w:spacing w:line="312" w:lineRule="auto" w:before="56"/>
        <w:ind w:left="2219" w:right="1760"/>
      </w:pPr>
      <w:r>
        <w:rPr/>
        <w:drawing>
          <wp:anchor distT="0" distB="0" distL="0" distR="0" allowOverlap="1" layoutInCell="1" locked="0" behindDoc="0" simplePos="0" relativeHeight="15816704">
            <wp:simplePos x="0" y="0"/>
            <wp:positionH relativeFrom="page">
              <wp:posOffset>1423606</wp:posOffset>
            </wp:positionH>
            <wp:positionV relativeFrom="paragraph">
              <wp:posOffset>103487</wp:posOffset>
            </wp:positionV>
            <wp:extent cx="52387" cy="52387"/>
            <wp:effectExtent l="0" t="0" r="0" b="0"/>
            <wp:wrapNone/>
            <wp:docPr id="361" name="image180.png"/>
            <wp:cNvGraphicFramePr>
              <a:graphicFrameLocks noChangeAspect="1"/>
            </wp:cNvGraphicFramePr>
            <a:graphic>
              <a:graphicData uri="http://schemas.openxmlformats.org/drawingml/2006/picture">
                <pic:pic>
                  <pic:nvPicPr>
                    <pic:cNvPr id="362" name="image180.png"/>
                    <pic:cNvPicPr/>
                  </pic:nvPicPr>
                  <pic:blipFill>
                    <a:blip r:embed="rId188" cstate="print"/>
                    <a:stretch>
                      <a:fillRect/>
                    </a:stretch>
                  </pic:blipFill>
                  <pic:spPr>
                    <a:xfrm>
                      <a:off x="0" y="0"/>
                      <a:ext cx="52387" cy="52387"/>
                    </a:xfrm>
                    <a:prstGeom prst="rect">
                      <a:avLst/>
                    </a:prstGeom>
                  </pic:spPr>
                </pic:pic>
              </a:graphicData>
            </a:graphic>
          </wp:anchor>
        </w:drawing>
      </w:r>
      <w:r>
        <w:rPr/>
        <w:t>Removal of co claiming of field infiltration nerve blocks or nerve blocks performed under open surgical exposure with surgical items, in keeping with the philosophy of a complete medical service.</w:t>
      </w:r>
    </w:p>
    <w:p>
      <w:pPr>
        <w:spacing w:after="0" w:line="312" w:lineRule="auto"/>
        <w:sectPr>
          <w:pgSz w:w="11910" w:h="16840"/>
          <w:pgMar w:header="672" w:footer="978" w:top="1300" w:bottom="1160" w:left="440" w:right="140"/>
        </w:sectPr>
      </w:pPr>
    </w:p>
    <w:p>
      <w:pPr>
        <w:pStyle w:val="BodyText"/>
        <w:rPr>
          <w:sz w:val="20"/>
        </w:rPr>
      </w:pPr>
    </w:p>
    <w:p>
      <w:pPr>
        <w:pStyle w:val="BodyText"/>
        <w:spacing w:before="3"/>
        <w:rPr>
          <w:sz w:val="25"/>
        </w:rPr>
      </w:pPr>
    </w:p>
    <w:p>
      <w:pPr>
        <w:pStyle w:val="BodyText"/>
        <w:spacing w:line="312" w:lineRule="auto" w:before="57"/>
        <w:ind w:left="2219" w:right="2111"/>
        <w:jc w:val="both"/>
      </w:pPr>
      <w:r>
        <w:rPr/>
        <w:t>Revision of descriptors for spinal injections for management of chronic pain to bring greater clarity about clinical practice and also to differentiate them from radiological diagnostic procedures, which have their own item numbers.</w:t>
      </w:r>
    </w:p>
    <w:p>
      <w:pPr>
        <w:pStyle w:val="BodyText"/>
        <w:spacing w:line="312" w:lineRule="auto" w:before="131"/>
        <w:ind w:left="2219" w:right="1866"/>
      </w:pPr>
      <w:r>
        <w:rPr/>
        <w:t>Addition of explanatory notes to guide best practice use of implanted devices for the management of chronic pain.</w:t>
      </w:r>
    </w:p>
    <w:p>
      <w:pPr>
        <w:pStyle w:val="Heading4"/>
        <w:numPr>
          <w:ilvl w:val="2"/>
          <w:numId w:val="7"/>
        </w:numPr>
        <w:tabs>
          <w:tab w:pos="2077" w:val="left" w:leader="none"/>
          <w:tab w:pos="2078" w:val="left" w:leader="none"/>
        </w:tabs>
        <w:spacing w:line="240" w:lineRule="auto" w:before="122" w:after="0"/>
        <w:ind w:left="2078" w:right="0" w:hanging="720"/>
        <w:jc w:val="left"/>
      </w:pPr>
      <w:r>
        <w:rPr/>
        <w:t>Recommendations for deletions and</w:t>
      </w:r>
      <w:r>
        <w:rPr>
          <w:spacing w:val="-5"/>
        </w:rPr>
        <w:t> </w:t>
      </w:r>
      <w:r>
        <w:rPr/>
        <w:t>referrals</w:t>
      </w:r>
    </w:p>
    <w:p>
      <w:pPr>
        <w:pStyle w:val="ListParagraph"/>
        <w:numPr>
          <w:ilvl w:val="0"/>
          <w:numId w:val="8"/>
        </w:numPr>
        <w:tabs>
          <w:tab w:pos="2077" w:val="left" w:leader="none"/>
          <w:tab w:pos="2078" w:val="left" w:leader="none"/>
        </w:tabs>
        <w:spacing w:line="307" w:lineRule="auto" w:before="207" w:after="0"/>
        <w:ind w:left="2078" w:right="1755" w:hanging="360"/>
        <w:jc w:val="left"/>
        <w:rPr>
          <w:sz w:val="22"/>
        </w:rPr>
      </w:pPr>
      <w:r>
        <w:rPr>
          <w:sz w:val="22"/>
        </w:rPr>
        <w:t>The Committee identified a small number of obsolete items that were not reflective of current or best practice – refer to Recommendation</w:t>
      </w:r>
      <w:r>
        <w:rPr>
          <w:spacing w:val="-5"/>
          <w:sz w:val="22"/>
        </w:rPr>
        <w:t> </w:t>
      </w:r>
      <w:r>
        <w:rPr>
          <w:sz w:val="22"/>
        </w:rPr>
        <w:t>23.</w:t>
      </w:r>
    </w:p>
    <w:p>
      <w:pPr>
        <w:pStyle w:val="ListParagraph"/>
        <w:numPr>
          <w:ilvl w:val="0"/>
          <w:numId w:val="8"/>
        </w:numPr>
        <w:tabs>
          <w:tab w:pos="2077" w:val="left" w:leader="none"/>
          <w:tab w:pos="2078" w:val="left" w:leader="none"/>
        </w:tabs>
        <w:spacing w:line="309" w:lineRule="auto" w:before="128" w:after="0"/>
        <w:ind w:left="2078" w:right="1841" w:hanging="360"/>
        <w:jc w:val="left"/>
        <w:rPr>
          <w:sz w:val="22"/>
        </w:rPr>
      </w:pPr>
      <w:r>
        <w:rPr>
          <w:sz w:val="22"/>
        </w:rPr>
        <w:t>The Committee also identified a number of items worth reviewing over the coming years, mostly due to continuing changes in best practice or technology. Most of these are referred to within the recommendations for</w:t>
      </w:r>
      <w:r>
        <w:rPr>
          <w:spacing w:val="-6"/>
          <w:sz w:val="22"/>
        </w:rPr>
        <w:t> </w:t>
      </w:r>
      <w:r>
        <w:rPr>
          <w:sz w:val="22"/>
        </w:rPr>
        <w:t>change.</w:t>
      </w:r>
    </w:p>
    <w:p>
      <w:pPr>
        <w:pStyle w:val="ListParagraph"/>
        <w:numPr>
          <w:ilvl w:val="0"/>
          <w:numId w:val="8"/>
        </w:numPr>
        <w:tabs>
          <w:tab w:pos="2077" w:val="left" w:leader="none"/>
          <w:tab w:pos="2078" w:val="left" w:leader="none"/>
        </w:tabs>
        <w:spacing w:line="307" w:lineRule="auto" w:before="130" w:after="0"/>
        <w:ind w:left="2078" w:right="1750" w:hanging="360"/>
        <w:jc w:val="left"/>
        <w:rPr>
          <w:sz w:val="22"/>
        </w:rPr>
      </w:pPr>
      <w:r>
        <w:rPr>
          <w:sz w:val="22"/>
        </w:rPr>
        <w:t>The Committee also referred five items to two other clinical committees as usage of those items was predominately in their specialist areas – refer</w:t>
      </w:r>
      <w:r>
        <w:rPr>
          <w:spacing w:val="-12"/>
          <w:sz w:val="22"/>
        </w:rPr>
        <w:t> </w:t>
      </w:r>
      <w:r>
        <w:rPr>
          <w:sz w:val="22"/>
        </w:rPr>
        <w:t>to</w:t>
      </w:r>
    </w:p>
    <w:p>
      <w:pPr>
        <w:pStyle w:val="BodyText"/>
        <w:spacing w:before="8"/>
        <w:ind w:left="2078"/>
      </w:pPr>
      <w:r>
        <w:rPr/>
        <w:t>Recommendation 24.</w:t>
      </w:r>
    </w:p>
    <w:p>
      <w:pPr>
        <w:pStyle w:val="BodyText"/>
        <w:spacing w:before="9"/>
        <w:rPr>
          <w:sz w:val="16"/>
        </w:rPr>
      </w:pPr>
    </w:p>
    <w:p>
      <w:pPr>
        <w:pStyle w:val="Heading4"/>
        <w:numPr>
          <w:ilvl w:val="2"/>
          <w:numId w:val="7"/>
        </w:numPr>
        <w:tabs>
          <w:tab w:pos="2077" w:val="left" w:leader="none"/>
          <w:tab w:pos="2078" w:val="left" w:leader="none"/>
        </w:tabs>
        <w:spacing w:line="240" w:lineRule="auto" w:before="1" w:after="0"/>
        <w:ind w:left="2078" w:right="0" w:hanging="720"/>
        <w:jc w:val="left"/>
      </w:pPr>
      <w:r>
        <w:rPr/>
        <w:t>Recommendations for new</w:t>
      </w:r>
      <w:r>
        <w:rPr>
          <w:spacing w:val="-1"/>
        </w:rPr>
        <w:t> </w:t>
      </w:r>
      <w:r>
        <w:rPr/>
        <w:t>items</w:t>
      </w:r>
    </w:p>
    <w:p>
      <w:pPr>
        <w:pStyle w:val="BodyText"/>
        <w:spacing w:before="3"/>
        <w:rPr>
          <w:b/>
          <w:sz w:val="13"/>
        </w:rPr>
      </w:pPr>
    </w:p>
    <w:p>
      <w:pPr>
        <w:pStyle w:val="BodyText"/>
        <w:spacing w:line="312" w:lineRule="auto" w:before="56"/>
        <w:ind w:left="2219" w:right="1676"/>
      </w:pPr>
      <w:r>
        <w:rPr/>
        <w:drawing>
          <wp:anchor distT="0" distB="0" distL="0" distR="0" allowOverlap="1" layoutInCell="1" locked="0" behindDoc="0" simplePos="0" relativeHeight="15817216">
            <wp:simplePos x="0" y="0"/>
            <wp:positionH relativeFrom="page">
              <wp:posOffset>1423606</wp:posOffset>
            </wp:positionH>
            <wp:positionV relativeFrom="paragraph">
              <wp:posOffset>104122</wp:posOffset>
            </wp:positionV>
            <wp:extent cx="52387" cy="52387"/>
            <wp:effectExtent l="0" t="0" r="0" b="0"/>
            <wp:wrapNone/>
            <wp:docPr id="369" name="image176.png"/>
            <wp:cNvGraphicFramePr>
              <a:graphicFrameLocks noChangeAspect="1"/>
            </wp:cNvGraphicFramePr>
            <a:graphic>
              <a:graphicData uri="http://schemas.openxmlformats.org/drawingml/2006/picture">
                <pic:pic>
                  <pic:nvPicPr>
                    <pic:cNvPr id="370" name="image176.png"/>
                    <pic:cNvPicPr/>
                  </pic:nvPicPr>
                  <pic:blipFill>
                    <a:blip r:embed="rId184" cstate="print"/>
                    <a:stretch>
                      <a:fillRect/>
                    </a:stretch>
                  </pic:blipFill>
                  <pic:spPr>
                    <a:xfrm>
                      <a:off x="0" y="0"/>
                      <a:ext cx="52387" cy="52387"/>
                    </a:xfrm>
                    <a:prstGeom prst="rect">
                      <a:avLst/>
                    </a:prstGeom>
                  </pic:spPr>
                </pic:pic>
              </a:graphicData>
            </a:graphic>
          </wp:anchor>
        </w:drawing>
      </w:r>
      <w:r>
        <w:rPr/>
        <w:t>The Committee recommends that the MBS support high value care of chronic pain, including non-cancer pain, through the support of multidisciplinary approaches including planning, monitoring and review through consultations, group pain management and telehealth. These recommendations recognise the emerging and established best practice of multidisciplinary approaches, for example Mental Health Care Planning.</w:t>
      </w:r>
    </w:p>
    <w:p>
      <w:pPr>
        <w:pStyle w:val="Heading4"/>
        <w:numPr>
          <w:ilvl w:val="2"/>
          <w:numId w:val="7"/>
        </w:numPr>
        <w:tabs>
          <w:tab w:pos="2077" w:val="left" w:leader="none"/>
          <w:tab w:pos="2078" w:val="left" w:leader="none"/>
        </w:tabs>
        <w:spacing w:line="240" w:lineRule="auto" w:before="121" w:after="0"/>
        <w:ind w:left="2078" w:right="0" w:hanging="720"/>
        <w:jc w:val="left"/>
      </w:pPr>
      <w:r>
        <w:rPr/>
        <w:t>Recommendations for future</w:t>
      </w:r>
      <w:r>
        <w:rPr>
          <w:spacing w:val="-5"/>
        </w:rPr>
        <w:t> </w:t>
      </w:r>
      <w:r>
        <w:rPr/>
        <w:t>review</w:t>
      </w:r>
    </w:p>
    <w:p>
      <w:pPr>
        <w:pStyle w:val="BodyText"/>
        <w:spacing w:before="3"/>
        <w:rPr>
          <w:b/>
          <w:sz w:val="13"/>
        </w:rPr>
      </w:pPr>
    </w:p>
    <w:p>
      <w:pPr>
        <w:pStyle w:val="BodyText"/>
        <w:spacing w:line="312" w:lineRule="auto" w:before="56"/>
        <w:ind w:left="2219" w:right="1905"/>
      </w:pPr>
      <w:r>
        <w:rPr/>
        <w:drawing>
          <wp:anchor distT="0" distB="0" distL="0" distR="0" allowOverlap="1" layoutInCell="1" locked="0" behindDoc="0" simplePos="0" relativeHeight="15817728">
            <wp:simplePos x="0" y="0"/>
            <wp:positionH relativeFrom="page">
              <wp:posOffset>1423606</wp:posOffset>
            </wp:positionH>
            <wp:positionV relativeFrom="paragraph">
              <wp:posOffset>103868</wp:posOffset>
            </wp:positionV>
            <wp:extent cx="52387" cy="52387"/>
            <wp:effectExtent l="0" t="0" r="0" b="0"/>
            <wp:wrapNone/>
            <wp:docPr id="371" name="image176.png"/>
            <wp:cNvGraphicFramePr>
              <a:graphicFrameLocks noChangeAspect="1"/>
            </wp:cNvGraphicFramePr>
            <a:graphic>
              <a:graphicData uri="http://schemas.openxmlformats.org/drawingml/2006/picture">
                <pic:pic>
                  <pic:nvPicPr>
                    <pic:cNvPr id="372" name="image176.png"/>
                    <pic:cNvPicPr/>
                  </pic:nvPicPr>
                  <pic:blipFill>
                    <a:blip r:embed="rId184" cstate="print"/>
                    <a:stretch>
                      <a:fillRect/>
                    </a:stretch>
                  </pic:blipFill>
                  <pic:spPr>
                    <a:xfrm>
                      <a:off x="0" y="0"/>
                      <a:ext cx="52387" cy="52387"/>
                    </a:xfrm>
                    <a:prstGeom prst="rect">
                      <a:avLst/>
                    </a:prstGeom>
                  </pic:spPr>
                </pic:pic>
              </a:graphicData>
            </a:graphic>
          </wp:anchor>
        </w:drawing>
      </w:r>
      <w:r>
        <w:rPr/>
        <w:t>The Committee recommends a number of items be further reviewed as part of a future or ongoing review process for various reasons such as:</w:t>
      </w:r>
    </w:p>
    <w:p>
      <w:pPr>
        <w:pStyle w:val="ListParagraph"/>
        <w:numPr>
          <w:ilvl w:val="3"/>
          <w:numId w:val="7"/>
        </w:numPr>
        <w:tabs>
          <w:tab w:pos="3640" w:val="left" w:leader="none"/>
          <w:tab w:pos="3641" w:val="left" w:leader="none"/>
        </w:tabs>
        <w:spacing w:line="240" w:lineRule="auto" w:before="121" w:after="0"/>
        <w:ind w:left="3641" w:right="0" w:hanging="771"/>
        <w:jc w:val="left"/>
        <w:rPr>
          <w:sz w:val="22"/>
        </w:rPr>
      </w:pPr>
      <w:r>
        <w:rPr>
          <w:sz w:val="22"/>
        </w:rPr>
        <w:t>to ascertain the impact of recommendations made by the</w:t>
      </w:r>
      <w:r>
        <w:rPr>
          <w:spacing w:val="-17"/>
          <w:sz w:val="22"/>
        </w:rPr>
        <w:t> </w:t>
      </w:r>
      <w:r>
        <w:rPr>
          <w:sz w:val="22"/>
        </w:rPr>
        <w:t>PMCC,</w:t>
      </w:r>
    </w:p>
    <w:p>
      <w:pPr>
        <w:pStyle w:val="BodyText"/>
        <w:spacing w:before="3"/>
        <w:rPr>
          <w:sz w:val="16"/>
        </w:rPr>
      </w:pPr>
    </w:p>
    <w:p>
      <w:pPr>
        <w:pStyle w:val="ListParagraph"/>
        <w:numPr>
          <w:ilvl w:val="3"/>
          <w:numId w:val="7"/>
        </w:numPr>
        <w:tabs>
          <w:tab w:pos="3590" w:val="left" w:leader="none"/>
          <w:tab w:pos="3591" w:val="left" w:leader="none"/>
        </w:tabs>
        <w:spacing w:line="312" w:lineRule="auto" w:before="1" w:after="0"/>
        <w:ind w:left="3590" w:right="3000" w:hanging="721"/>
        <w:jc w:val="left"/>
        <w:rPr>
          <w:sz w:val="22"/>
        </w:rPr>
      </w:pPr>
      <w:r>
        <w:rPr>
          <w:sz w:val="22"/>
        </w:rPr>
        <w:t>to review new evidence or guidelines currently being developed/researched, </w:t>
      </w:r>
      <w:r>
        <w:rPr>
          <w:spacing w:val="-3"/>
          <w:sz w:val="22"/>
        </w:rPr>
        <w:t>and</w:t>
      </w:r>
    </w:p>
    <w:p>
      <w:pPr>
        <w:pStyle w:val="ListParagraph"/>
        <w:numPr>
          <w:ilvl w:val="3"/>
          <w:numId w:val="7"/>
        </w:numPr>
        <w:tabs>
          <w:tab w:pos="3590" w:val="left" w:leader="none"/>
          <w:tab w:pos="3591" w:val="left" w:leader="none"/>
        </w:tabs>
        <w:spacing w:line="312" w:lineRule="auto" w:before="120" w:after="0"/>
        <w:ind w:left="3590" w:right="1877" w:hanging="721"/>
        <w:jc w:val="left"/>
        <w:rPr>
          <w:sz w:val="22"/>
        </w:rPr>
      </w:pPr>
      <w:r>
        <w:rPr>
          <w:sz w:val="22"/>
        </w:rPr>
        <w:t>to review certain items in line with themes which are overarching across the MBS as a whole, such as, the consideration to items forming, where possible, a complete medical</w:t>
      </w:r>
      <w:r>
        <w:rPr>
          <w:spacing w:val="-10"/>
          <w:sz w:val="22"/>
        </w:rPr>
        <w:t> </w:t>
      </w:r>
      <w:r>
        <w:rPr>
          <w:sz w:val="22"/>
        </w:rPr>
        <w:t>service.</w:t>
      </w:r>
    </w:p>
    <w:p>
      <w:pPr>
        <w:spacing w:after="0" w:line="312" w:lineRule="auto"/>
        <w:jc w:val="left"/>
        <w:rPr>
          <w:sz w:val="22"/>
        </w:rPr>
        <w:sectPr>
          <w:headerReference w:type="default" r:id="rId189"/>
          <w:footerReference w:type="default" r:id="rId190"/>
          <w:pgSz w:w="11910" w:h="16840"/>
          <w:pgMar w:header="672" w:footer="978" w:top="1300" w:bottom="1160" w:left="440" w:right="140"/>
        </w:sectPr>
      </w:pPr>
    </w:p>
    <w:p>
      <w:pPr>
        <w:pStyle w:val="BodyText"/>
        <w:rPr>
          <w:sz w:val="20"/>
        </w:rPr>
      </w:pPr>
    </w:p>
    <w:p>
      <w:pPr>
        <w:pStyle w:val="BodyText"/>
        <w:spacing w:before="3"/>
        <w:rPr>
          <w:sz w:val="25"/>
        </w:rPr>
      </w:pPr>
    </w:p>
    <w:p>
      <w:pPr>
        <w:pStyle w:val="Heading3"/>
      </w:pPr>
      <w:r>
        <w:rPr/>
        <w:drawing>
          <wp:anchor distT="0" distB="0" distL="0" distR="0" allowOverlap="1" layoutInCell="1" locked="0" behindDoc="0" simplePos="0" relativeHeight="15818240">
            <wp:simplePos x="0" y="0"/>
            <wp:positionH relativeFrom="page">
              <wp:posOffset>1147625</wp:posOffset>
            </wp:positionH>
            <wp:positionV relativeFrom="paragraph">
              <wp:posOffset>83317</wp:posOffset>
            </wp:positionV>
            <wp:extent cx="194256" cy="108807"/>
            <wp:effectExtent l="0" t="0" r="0" b="0"/>
            <wp:wrapNone/>
            <wp:docPr id="375" name="image181.png"/>
            <wp:cNvGraphicFramePr>
              <a:graphicFrameLocks noChangeAspect="1"/>
            </wp:cNvGraphicFramePr>
            <a:graphic>
              <a:graphicData uri="http://schemas.openxmlformats.org/drawingml/2006/picture">
                <pic:pic>
                  <pic:nvPicPr>
                    <pic:cNvPr id="376" name="image181.png"/>
                    <pic:cNvPicPr/>
                  </pic:nvPicPr>
                  <pic:blipFill>
                    <a:blip r:embed="rId193" cstate="print"/>
                    <a:stretch>
                      <a:fillRect/>
                    </a:stretch>
                  </pic:blipFill>
                  <pic:spPr>
                    <a:xfrm>
                      <a:off x="0" y="0"/>
                      <a:ext cx="194256" cy="108807"/>
                    </a:xfrm>
                    <a:prstGeom prst="rect">
                      <a:avLst/>
                    </a:prstGeom>
                  </pic:spPr>
                </pic:pic>
              </a:graphicData>
            </a:graphic>
          </wp:anchor>
        </w:drawing>
      </w:r>
      <w:r>
        <w:rPr>
          <w:color w:val="00643E"/>
        </w:rPr>
        <w:t>Consumer impact</w:t>
      </w:r>
    </w:p>
    <w:p>
      <w:pPr>
        <w:pStyle w:val="BodyText"/>
        <w:spacing w:before="9"/>
        <w:rPr>
          <w:b/>
          <w:sz w:val="17"/>
        </w:rPr>
      </w:pPr>
    </w:p>
    <w:p>
      <w:pPr>
        <w:pStyle w:val="BodyText"/>
        <w:spacing w:line="312" w:lineRule="auto" w:before="56"/>
        <w:ind w:left="1358" w:right="1749"/>
      </w:pPr>
      <w:r>
        <w:rPr/>
        <w:t>All recommendations have been summarised for consumers in Appendix B – Summary for consumers. The summary describes the medical service, the recommendation of the clinical experts and the reasoning behind the recommendations. A consumer impact statement is available in </w:t>
      </w:r>
      <w:hyperlink w:history="true" w:anchor="_bookmark10">
        <w:r>
          <w:rPr/>
          <w:t>Section 8</w:t>
        </w:r>
      </w:hyperlink>
      <w:r>
        <w:rPr/>
        <w:t>.</w:t>
      </w:r>
    </w:p>
    <w:p>
      <w:pPr>
        <w:pStyle w:val="BodyText"/>
        <w:spacing w:line="312" w:lineRule="auto" w:before="181"/>
        <w:ind w:left="1358" w:right="1816"/>
      </w:pPr>
      <w:r>
        <w:rPr/>
        <w:t>The Committee believes it is important to find out from consumers if they will be helped or disadvantaged by the recommendations—and how and why. Following targeted consultation with the Consumer's Health Forum, the Committee will assess the advice in order to make sure that all the important concerns are addressed. The Taskforce will then provide the recommendations to Government.</w:t>
      </w:r>
    </w:p>
    <w:p>
      <w:pPr>
        <w:pStyle w:val="BodyText"/>
        <w:spacing w:line="312" w:lineRule="auto" w:before="180"/>
        <w:ind w:left="1358" w:right="1859"/>
      </w:pPr>
      <w:r>
        <w:rPr/>
        <w:t>Both patients and clinicians are expected to benefit from these recommendations because they address concerns regarding patient safety and quality of care, and because they take steps to simplify the MBS and make it easier to use and understand. In addition, the Committee's recommendations promote the provision of higher value medical care, which can reduce unnecessary medications, procedures and related out-of-pocket fees for patients, while supporting access to modern effective procedures.</w:t>
      </w:r>
    </w:p>
    <w:p>
      <w:pPr>
        <w:pStyle w:val="Heading3"/>
        <w:spacing w:before="123"/>
      </w:pPr>
      <w:r>
        <w:rPr/>
        <w:drawing>
          <wp:anchor distT="0" distB="0" distL="0" distR="0" allowOverlap="1" layoutInCell="1" locked="0" behindDoc="0" simplePos="0" relativeHeight="15818752">
            <wp:simplePos x="0" y="0"/>
            <wp:positionH relativeFrom="page">
              <wp:posOffset>1147589</wp:posOffset>
            </wp:positionH>
            <wp:positionV relativeFrom="paragraph">
              <wp:posOffset>129544</wp:posOffset>
            </wp:positionV>
            <wp:extent cx="197340" cy="110459"/>
            <wp:effectExtent l="0" t="0" r="0" b="0"/>
            <wp:wrapNone/>
            <wp:docPr id="377" name="image182.png"/>
            <wp:cNvGraphicFramePr>
              <a:graphicFrameLocks noChangeAspect="1"/>
            </wp:cNvGraphicFramePr>
            <a:graphic>
              <a:graphicData uri="http://schemas.openxmlformats.org/drawingml/2006/picture">
                <pic:pic>
                  <pic:nvPicPr>
                    <pic:cNvPr id="378" name="image182.png"/>
                    <pic:cNvPicPr/>
                  </pic:nvPicPr>
                  <pic:blipFill>
                    <a:blip r:embed="rId194" cstate="print"/>
                    <a:stretch>
                      <a:fillRect/>
                    </a:stretch>
                  </pic:blipFill>
                  <pic:spPr>
                    <a:xfrm>
                      <a:off x="0" y="0"/>
                      <a:ext cx="197340" cy="110459"/>
                    </a:xfrm>
                    <a:prstGeom prst="rect">
                      <a:avLst/>
                    </a:prstGeom>
                  </pic:spPr>
                </pic:pic>
              </a:graphicData>
            </a:graphic>
          </wp:anchor>
        </w:drawing>
      </w:r>
      <w:r>
        <w:rPr>
          <w:color w:val="00643E"/>
        </w:rPr>
        <w:t>Next Steps</w:t>
      </w:r>
    </w:p>
    <w:p>
      <w:pPr>
        <w:pStyle w:val="BodyText"/>
        <w:spacing w:before="9"/>
        <w:rPr>
          <w:b/>
          <w:sz w:val="17"/>
        </w:rPr>
      </w:pPr>
    </w:p>
    <w:p>
      <w:pPr>
        <w:pStyle w:val="BodyText"/>
        <w:spacing w:line="312" w:lineRule="auto" w:before="56"/>
        <w:ind w:left="1358" w:right="1686"/>
      </w:pPr>
      <w:r>
        <w:rPr/>
        <w:t>The MBS Taskforce considered the report and feedback from stakeholders and endorsed the Pain Management Clinical Committee Draft Report to the Minister for Health, for Government consideration.</w:t>
      </w:r>
    </w:p>
    <w:p>
      <w:pPr>
        <w:spacing w:after="0" w:line="312" w:lineRule="auto"/>
        <w:sectPr>
          <w:headerReference w:type="default" r:id="rId191"/>
          <w:footerReference w:type="default" r:id="rId192"/>
          <w:pgSz w:w="11910" w:h="16840"/>
          <w:pgMar w:header="672" w:footer="978" w:top="1300" w:bottom="1160" w:left="440" w:right="140"/>
        </w:sectPr>
      </w:pPr>
    </w:p>
    <w:p>
      <w:pPr>
        <w:pStyle w:val="BodyText"/>
        <w:rPr>
          <w:sz w:val="20"/>
        </w:rPr>
      </w:pPr>
    </w:p>
    <w:p>
      <w:pPr>
        <w:pStyle w:val="BodyText"/>
        <w:spacing w:before="5"/>
        <w:rPr>
          <w:sz w:val="27"/>
        </w:rPr>
      </w:pPr>
    </w:p>
    <w:p>
      <w:pPr>
        <w:pStyle w:val="ListParagraph"/>
        <w:numPr>
          <w:ilvl w:val="0"/>
          <w:numId w:val="5"/>
        </w:numPr>
        <w:tabs>
          <w:tab w:pos="1790" w:val="left" w:leader="none"/>
        </w:tabs>
        <w:spacing w:line="314" w:lineRule="auto" w:before="20" w:after="0"/>
        <w:ind w:left="1790" w:right="2049" w:hanging="432"/>
        <w:jc w:val="left"/>
        <w:rPr>
          <w:b/>
          <w:sz w:val="40"/>
        </w:rPr>
      </w:pPr>
      <w:r>
        <w:rPr>
          <w:b/>
          <w:color w:val="00643E"/>
          <w:sz w:val="40"/>
        </w:rPr>
        <w:t>About the Medicare Benefits Schedule (MBS) Review</w:t>
      </w:r>
    </w:p>
    <w:p>
      <w:pPr>
        <w:pStyle w:val="BodyText"/>
        <w:spacing w:before="2"/>
        <w:rPr>
          <w:b/>
          <w:sz w:val="14"/>
        </w:rPr>
      </w:pPr>
      <w:r>
        <w:rPr/>
        <w:pict>
          <v:rect style="position:absolute;margin-left:88.463997pt;margin-top:10.628633pt;width:418.51pt;height:1.92pt;mso-position-horizontal-relative:page;mso-position-vertical-relative:paragraph;z-index:-15638016;mso-wrap-distance-left:0;mso-wrap-distance-right:0" filled="true" fillcolor="#bebebe" stroked="false">
            <v:fill type="solid"/>
            <w10:wrap type="topAndBottom"/>
          </v:rect>
        </w:pict>
      </w:r>
    </w:p>
    <w:p>
      <w:pPr>
        <w:pStyle w:val="BodyText"/>
        <w:rPr>
          <w:b/>
          <w:sz w:val="20"/>
        </w:rPr>
      </w:pPr>
    </w:p>
    <w:p>
      <w:pPr>
        <w:pStyle w:val="BodyText"/>
        <w:rPr>
          <w:b/>
          <w:sz w:val="20"/>
        </w:rPr>
      </w:pPr>
    </w:p>
    <w:p>
      <w:pPr>
        <w:pStyle w:val="Heading3"/>
        <w:spacing w:before="202"/>
      </w:pPr>
      <w:r>
        <w:rPr/>
        <w:drawing>
          <wp:anchor distT="0" distB="0" distL="0" distR="0" allowOverlap="1" layoutInCell="1" locked="0" behindDoc="0" simplePos="0" relativeHeight="15819776">
            <wp:simplePos x="0" y="0"/>
            <wp:positionH relativeFrom="page">
              <wp:posOffset>1143051</wp:posOffset>
            </wp:positionH>
            <wp:positionV relativeFrom="paragraph">
              <wp:posOffset>180218</wp:posOffset>
            </wp:positionV>
            <wp:extent cx="198830" cy="108807"/>
            <wp:effectExtent l="0" t="0" r="0" b="0"/>
            <wp:wrapNone/>
            <wp:docPr id="379" name="image183.png"/>
            <wp:cNvGraphicFramePr>
              <a:graphicFrameLocks noChangeAspect="1"/>
            </wp:cNvGraphicFramePr>
            <a:graphic>
              <a:graphicData uri="http://schemas.openxmlformats.org/drawingml/2006/picture">
                <pic:pic>
                  <pic:nvPicPr>
                    <pic:cNvPr id="380" name="image183.png"/>
                    <pic:cNvPicPr/>
                  </pic:nvPicPr>
                  <pic:blipFill>
                    <a:blip r:embed="rId195" cstate="print"/>
                    <a:stretch>
                      <a:fillRect/>
                    </a:stretch>
                  </pic:blipFill>
                  <pic:spPr>
                    <a:xfrm>
                      <a:off x="0" y="0"/>
                      <a:ext cx="198830" cy="108807"/>
                    </a:xfrm>
                    <a:prstGeom prst="rect">
                      <a:avLst/>
                    </a:prstGeom>
                  </pic:spPr>
                </pic:pic>
              </a:graphicData>
            </a:graphic>
          </wp:anchor>
        </w:drawing>
      </w:r>
      <w:r>
        <w:rPr>
          <w:color w:val="00643E"/>
        </w:rPr>
        <w:t>Medicare and the MBS</w:t>
      </w:r>
    </w:p>
    <w:p>
      <w:pPr>
        <w:pStyle w:val="BodyText"/>
        <w:spacing w:before="5"/>
        <w:rPr>
          <w:b/>
          <w:sz w:val="13"/>
        </w:rPr>
      </w:pPr>
    </w:p>
    <w:p>
      <w:pPr>
        <w:pStyle w:val="Heading4"/>
        <w:tabs>
          <w:tab w:pos="2077" w:val="left" w:leader="none"/>
        </w:tabs>
        <w:spacing w:before="52"/>
        <w:ind w:left="1358" w:firstLine="0"/>
      </w:pPr>
      <w:r>
        <w:rPr/>
        <w:t>2.1.1</w:t>
        <w:tab/>
        <w:t>What is Medicare?</w:t>
      </w:r>
    </w:p>
    <w:p>
      <w:pPr>
        <w:pStyle w:val="BodyText"/>
        <w:spacing w:before="9"/>
        <w:rPr>
          <w:b/>
          <w:sz w:val="21"/>
        </w:rPr>
      </w:pPr>
    </w:p>
    <w:p>
      <w:pPr>
        <w:pStyle w:val="BodyText"/>
        <w:spacing w:line="312" w:lineRule="auto"/>
        <w:ind w:left="1358" w:right="1666"/>
      </w:pPr>
      <w:r>
        <w:rPr/>
        <w:t>Medicare is Australia’s universal health scheme. It enables all Australian residents (and some overseas visitors) to have access to a wide range of health services and medicines at little or no cost.</w:t>
      </w:r>
    </w:p>
    <w:p>
      <w:pPr>
        <w:pStyle w:val="BodyText"/>
        <w:spacing w:line="374" w:lineRule="auto" w:before="180"/>
        <w:ind w:left="2219" w:right="4845" w:hanging="862"/>
      </w:pPr>
      <w:r>
        <w:rPr/>
        <w:drawing>
          <wp:anchor distT="0" distB="0" distL="0" distR="0" allowOverlap="1" layoutInCell="1" locked="0" behindDoc="1" simplePos="0" relativeHeight="483686912">
            <wp:simplePos x="0" y="0"/>
            <wp:positionH relativeFrom="page">
              <wp:posOffset>1423606</wp:posOffset>
            </wp:positionH>
            <wp:positionV relativeFrom="paragraph">
              <wp:posOffset>449562</wp:posOffset>
            </wp:positionV>
            <wp:extent cx="52387" cy="52387"/>
            <wp:effectExtent l="0" t="0" r="0" b="0"/>
            <wp:wrapNone/>
            <wp:docPr id="381" name="image176.png"/>
            <wp:cNvGraphicFramePr>
              <a:graphicFrameLocks noChangeAspect="1"/>
            </wp:cNvGraphicFramePr>
            <a:graphic>
              <a:graphicData uri="http://schemas.openxmlformats.org/drawingml/2006/picture">
                <pic:pic>
                  <pic:nvPicPr>
                    <pic:cNvPr id="382" name="image176.png"/>
                    <pic:cNvPicPr/>
                  </pic:nvPicPr>
                  <pic:blipFill>
                    <a:blip r:embed="rId184" cstate="print"/>
                    <a:stretch>
                      <a:fillRect/>
                    </a:stretch>
                  </pic:blipFill>
                  <pic:spPr>
                    <a:xfrm>
                      <a:off x="0" y="0"/>
                      <a:ext cx="52387" cy="52387"/>
                    </a:xfrm>
                    <a:prstGeom prst="rect">
                      <a:avLst/>
                    </a:prstGeom>
                  </pic:spPr>
                </pic:pic>
              </a:graphicData>
            </a:graphic>
          </wp:anchor>
        </w:drawing>
      </w:r>
      <w:r>
        <w:rPr/>
        <w:t>Introduced in 1984, Medicare has three components: Free public hospital services for public patients.</w:t>
      </w:r>
    </w:p>
    <w:p>
      <w:pPr>
        <w:pStyle w:val="BodyText"/>
        <w:spacing w:before="65"/>
        <w:ind w:left="2219"/>
      </w:pPr>
      <w:r>
        <w:rPr/>
        <w:drawing>
          <wp:anchor distT="0" distB="0" distL="0" distR="0" allowOverlap="1" layoutInCell="1" locked="0" behindDoc="0" simplePos="0" relativeHeight="15820800">
            <wp:simplePos x="0" y="0"/>
            <wp:positionH relativeFrom="page">
              <wp:posOffset>1423606</wp:posOffset>
            </wp:positionH>
            <wp:positionV relativeFrom="paragraph">
              <wp:posOffset>109837</wp:posOffset>
            </wp:positionV>
            <wp:extent cx="52387" cy="52387"/>
            <wp:effectExtent l="0" t="0" r="0" b="0"/>
            <wp:wrapNone/>
            <wp:docPr id="383" name="image176.png"/>
            <wp:cNvGraphicFramePr>
              <a:graphicFrameLocks noChangeAspect="1"/>
            </wp:cNvGraphicFramePr>
            <a:graphic>
              <a:graphicData uri="http://schemas.openxmlformats.org/drawingml/2006/picture">
                <pic:pic>
                  <pic:nvPicPr>
                    <pic:cNvPr id="384" name="image176.png"/>
                    <pic:cNvPicPr/>
                  </pic:nvPicPr>
                  <pic:blipFill>
                    <a:blip r:embed="rId184" cstate="print"/>
                    <a:stretch>
                      <a:fillRect/>
                    </a:stretch>
                  </pic:blipFill>
                  <pic:spPr>
                    <a:xfrm>
                      <a:off x="0" y="0"/>
                      <a:ext cx="52387" cy="52387"/>
                    </a:xfrm>
                    <a:prstGeom prst="rect">
                      <a:avLst/>
                    </a:prstGeom>
                  </pic:spPr>
                </pic:pic>
              </a:graphicData>
            </a:graphic>
          </wp:anchor>
        </w:drawing>
      </w:r>
      <w:r>
        <w:rPr/>
        <w:t>Subsidised drugs covered by the Pharmaceutical Benefits Scheme (PBS).</w:t>
      </w:r>
    </w:p>
    <w:p>
      <w:pPr>
        <w:pStyle w:val="BodyText"/>
        <w:spacing w:before="8"/>
        <w:rPr>
          <w:sz w:val="12"/>
        </w:rPr>
      </w:pPr>
    </w:p>
    <w:p>
      <w:pPr>
        <w:pStyle w:val="BodyText"/>
        <w:spacing w:before="56"/>
        <w:ind w:left="2219"/>
      </w:pPr>
      <w:r>
        <w:rPr/>
        <w:drawing>
          <wp:anchor distT="0" distB="0" distL="0" distR="0" allowOverlap="1" layoutInCell="1" locked="0" behindDoc="0" simplePos="0" relativeHeight="15821312">
            <wp:simplePos x="0" y="0"/>
            <wp:positionH relativeFrom="page">
              <wp:posOffset>1423606</wp:posOffset>
            </wp:positionH>
            <wp:positionV relativeFrom="paragraph">
              <wp:posOffset>104122</wp:posOffset>
            </wp:positionV>
            <wp:extent cx="52387" cy="52387"/>
            <wp:effectExtent l="0" t="0" r="0" b="0"/>
            <wp:wrapNone/>
            <wp:docPr id="385" name="image176.png"/>
            <wp:cNvGraphicFramePr>
              <a:graphicFrameLocks noChangeAspect="1"/>
            </wp:cNvGraphicFramePr>
            <a:graphic>
              <a:graphicData uri="http://schemas.openxmlformats.org/drawingml/2006/picture">
                <pic:pic>
                  <pic:nvPicPr>
                    <pic:cNvPr id="386" name="image176.png"/>
                    <pic:cNvPicPr/>
                  </pic:nvPicPr>
                  <pic:blipFill>
                    <a:blip r:embed="rId184" cstate="print"/>
                    <a:stretch>
                      <a:fillRect/>
                    </a:stretch>
                  </pic:blipFill>
                  <pic:spPr>
                    <a:xfrm>
                      <a:off x="0" y="0"/>
                      <a:ext cx="52387" cy="52387"/>
                    </a:xfrm>
                    <a:prstGeom prst="rect">
                      <a:avLst/>
                    </a:prstGeom>
                  </pic:spPr>
                </pic:pic>
              </a:graphicData>
            </a:graphic>
          </wp:anchor>
        </w:drawing>
      </w:r>
      <w:r>
        <w:rPr/>
        <w:t>Subsidised health professional services listed on the MBS.</w:t>
      </w:r>
    </w:p>
    <w:p>
      <w:pPr>
        <w:pStyle w:val="BodyText"/>
        <w:spacing w:before="12"/>
        <w:rPr>
          <w:sz w:val="12"/>
        </w:rPr>
      </w:pPr>
    </w:p>
    <w:p>
      <w:pPr>
        <w:pStyle w:val="Heading3"/>
      </w:pPr>
      <w:r>
        <w:rPr/>
        <w:drawing>
          <wp:anchor distT="0" distB="0" distL="0" distR="0" allowOverlap="1" layoutInCell="1" locked="0" behindDoc="0" simplePos="0" relativeHeight="15821824">
            <wp:simplePos x="0" y="0"/>
            <wp:positionH relativeFrom="page">
              <wp:posOffset>1143086</wp:posOffset>
            </wp:positionH>
            <wp:positionV relativeFrom="paragraph">
              <wp:posOffset>81412</wp:posOffset>
            </wp:positionV>
            <wp:extent cx="200319" cy="108807"/>
            <wp:effectExtent l="0" t="0" r="0" b="0"/>
            <wp:wrapNone/>
            <wp:docPr id="387" name="image184.png"/>
            <wp:cNvGraphicFramePr>
              <a:graphicFrameLocks noChangeAspect="1"/>
            </wp:cNvGraphicFramePr>
            <a:graphic>
              <a:graphicData uri="http://schemas.openxmlformats.org/drawingml/2006/picture">
                <pic:pic>
                  <pic:nvPicPr>
                    <pic:cNvPr id="388" name="image184.png"/>
                    <pic:cNvPicPr/>
                  </pic:nvPicPr>
                  <pic:blipFill>
                    <a:blip r:embed="rId196" cstate="print"/>
                    <a:stretch>
                      <a:fillRect/>
                    </a:stretch>
                  </pic:blipFill>
                  <pic:spPr>
                    <a:xfrm>
                      <a:off x="0" y="0"/>
                      <a:ext cx="200319" cy="108807"/>
                    </a:xfrm>
                    <a:prstGeom prst="rect">
                      <a:avLst/>
                    </a:prstGeom>
                  </pic:spPr>
                </pic:pic>
              </a:graphicData>
            </a:graphic>
          </wp:anchor>
        </w:drawing>
      </w:r>
      <w:r>
        <w:rPr>
          <w:color w:val="00643E"/>
        </w:rPr>
        <w:t>What is the MBS?</w:t>
      </w:r>
    </w:p>
    <w:p>
      <w:pPr>
        <w:pStyle w:val="BodyText"/>
        <w:spacing w:before="6"/>
        <w:rPr>
          <w:b/>
          <w:sz w:val="17"/>
        </w:rPr>
      </w:pPr>
    </w:p>
    <w:p>
      <w:pPr>
        <w:pStyle w:val="BodyText"/>
        <w:spacing w:line="312" w:lineRule="auto" w:before="56"/>
        <w:ind w:left="1358" w:right="1684"/>
      </w:pPr>
      <w:r>
        <w:rPr/>
        <w:t>The MBS is a listing of the health professional services subsidised by the Australian Government. There are more than 5,700 MBS items, which provide benefits to patients for a comprehensive range of services, including consultations, diagnostic tests and operations.</w:t>
      </w:r>
    </w:p>
    <w:p>
      <w:pPr>
        <w:pStyle w:val="Heading3"/>
        <w:spacing w:before="125"/>
      </w:pPr>
      <w:r>
        <w:rPr/>
        <w:drawing>
          <wp:anchor distT="0" distB="0" distL="0" distR="0" allowOverlap="1" layoutInCell="1" locked="0" behindDoc="0" simplePos="0" relativeHeight="15822336">
            <wp:simplePos x="0" y="0"/>
            <wp:positionH relativeFrom="page">
              <wp:posOffset>1143086</wp:posOffset>
            </wp:positionH>
            <wp:positionV relativeFrom="paragraph">
              <wp:posOffset>130560</wp:posOffset>
            </wp:positionV>
            <wp:extent cx="200319" cy="110459"/>
            <wp:effectExtent l="0" t="0" r="0" b="0"/>
            <wp:wrapNone/>
            <wp:docPr id="389" name="image185.png"/>
            <wp:cNvGraphicFramePr>
              <a:graphicFrameLocks noChangeAspect="1"/>
            </wp:cNvGraphicFramePr>
            <a:graphic>
              <a:graphicData uri="http://schemas.openxmlformats.org/drawingml/2006/picture">
                <pic:pic>
                  <pic:nvPicPr>
                    <pic:cNvPr id="390" name="image185.png"/>
                    <pic:cNvPicPr/>
                  </pic:nvPicPr>
                  <pic:blipFill>
                    <a:blip r:embed="rId197" cstate="print"/>
                    <a:stretch>
                      <a:fillRect/>
                    </a:stretch>
                  </pic:blipFill>
                  <pic:spPr>
                    <a:xfrm>
                      <a:off x="0" y="0"/>
                      <a:ext cx="200319" cy="110459"/>
                    </a:xfrm>
                    <a:prstGeom prst="rect">
                      <a:avLst/>
                    </a:prstGeom>
                  </pic:spPr>
                </pic:pic>
              </a:graphicData>
            </a:graphic>
          </wp:anchor>
        </w:drawing>
      </w:r>
      <w:r>
        <w:rPr>
          <w:color w:val="00643E"/>
        </w:rPr>
        <w:t>What is the MBS Review Taskforce?</w:t>
      </w:r>
    </w:p>
    <w:p>
      <w:pPr>
        <w:pStyle w:val="BodyText"/>
        <w:spacing w:before="9"/>
        <w:rPr>
          <w:b/>
          <w:sz w:val="17"/>
        </w:rPr>
      </w:pPr>
    </w:p>
    <w:p>
      <w:pPr>
        <w:pStyle w:val="BodyText"/>
        <w:spacing w:line="312" w:lineRule="auto" w:before="56"/>
        <w:ind w:left="1358" w:right="1684"/>
      </w:pPr>
      <w:r>
        <w:rPr/>
        <w:t>The Government established the MBS Review Taskforce (the Taskforce) as an advisory body to review all of the 5,700 MBS items to ensure they are aligned with contemporary clinical evidence and practice and improve health outcomes for patients. The Taskforce will also modernise the MBS by identifying any services that may be unnecessary, outdated or potentially unsafe. The MBS Review (the Review) is clinician-led, and there are no targets for savings attached to the review.</w:t>
      </w:r>
    </w:p>
    <w:p>
      <w:pPr>
        <w:pStyle w:val="Heading4"/>
        <w:tabs>
          <w:tab w:pos="2077" w:val="left" w:leader="none"/>
        </w:tabs>
        <w:spacing w:before="123"/>
        <w:ind w:left="1358" w:firstLine="0"/>
      </w:pPr>
      <w:r>
        <w:rPr/>
        <w:t>2.3.1</w:t>
        <w:tab/>
        <w:t>What are the goals of the</w:t>
      </w:r>
      <w:r>
        <w:rPr>
          <w:spacing w:val="-7"/>
        </w:rPr>
        <w:t> </w:t>
      </w:r>
      <w:r>
        <w:rPr/>
        <w:t>Taskforce?</w:t>
      </w:r>
    </w:p>
    <w:p>
      <w:pPr>
        <w:pStyle w:val="BodyText"/>
        <w:spacing w:before="8"/>
        <w:rPr>
          <w:b/>
          <w:sz w:val="21"/>
        </w:rPr>
      </w:pPr>
    </w:p>
    <w:p>
      <w:pPr>
        <w:pStyle w:val="BodyText"/>
        <w:spacing w:line="312" w:lineRule="auto"/>
        <w:ind w:left="1358" w:right="1978"/>
      </w:pPr>
      <w:r>
        <w:rPr/>
        <w:t>The Taskforce is committed to providing recommendations to the Minister that will allow the MBS to deliver on each of four key goals:</w:t>
      </w:r>
    </w:p>
    <w:p>
      <w:pPr>
        <w:pStyle w:val="BodyText"/>
        <w:spacing w:line="312" w:lineRule="auto" w:before="72"/>
        <w:ind w:left="2219" w:right="2238"/>
      </w:pPr>
      <w:r>
        <w:rPr/>
        <w:drawing>
          <wp:anchor distT="0" distB="0" distL="0" distR="0" allowOverlap="1" layoutInCell="1" locked="0" behindDoc="0" simplePos="0" relativeHeight="15822848">
            <wp:simplePos x="0" y="0"/>
            <wp:positionH relativeFrom="page">
              <wp:posOffset>1423606</wp:posOffset>
            </wp:positionH>
            <wp:positionV relativeFrom="paragraph">
              <wp:posOffset>113647</wp:posOffset>
            </wp:positionV>
            <wp:extent cx="52387" cy="52387"/>
            <wp:effectExtent l="0" t="0" r="0" b="0"/>
            <wp:wrapNone/>
            <wp:docPr id="391" name="image176.png"/>
            <wp:cNvGraphicFramePr>
              <a:graphicFrameLocks noChangeAspect="1"/>
            </wp:cNvGraphicFramePr>
            <a:graphic>
              <a:graphicData uri="http://schemas.openxmlformats.org/drawingml/2006/picture">
                <pic:pic>
                  <pic:nvPicPr>
                    <pic:cNvPr id="392" name="image176.png"/>
                    <pic:cNvPicPr/>
                  </pic:nvPicPr>
                  <pic:blipFill>
                    <a:blip r:embed="rId184" cstate="print"/>
                    <a:stretch>
                      <a:fillRect/>
                    </a:stretch>
                  </pic:blipFill>
                  <pic:spPr>
                    <a:xfrm>
                      <a:off x="0" y="0"/>
                      <a:ext cx="52387" cy="52387"/>
                    </a:xfrm>
                    <a:prstGeom prst="rect">
                      <a:avLst/>
                    </a:prstGeom>
                  </pic:spPr>
                </pic:pic>
              </a:graphicData>
            </a:graphic>
          </wp:anchor>
        </w:drawing>
      </w:r>
      <w:r>
        <w:rPr>
          <w:b/>
        </w:rPr>
        <w:t>Affordable and universal access </w:t>
      </w:r>
      <w:r>
        <w:rPr/>
        <w:t>— the evidence demonstrates that the MBS supports very good access to primary care services for most Australians, particularly in urban Australia. However, despite increases in the specialist</w:t>
      </w:r>
    </w:p>
    <w:p>
      <w:pPr>
        <w:spacing w:after="0" w:line="312" w:lineRule="auto"/>
        <w:sectPr>
          <w:pgSz w:w="11910" w:h="16840"/>
          <w:pgMar w:header="672" w:footer="978" w:top="1300" w:bottom="1160" w:left="440" w:right="140"/>
        </w:sectPr>
      </w:pPr>
    </w:p>
    <w:p>
      <w:pPr>
        <w:pStyle w:val="BodyText"/>
        <w:rPr>
          <w:sz w:val="20"/>
        </w:rPr>
      </w:pPr>
    </w:p>
    <w:p>
      <w:pPr>
        <w:pStyle w:val="BodyText"/>
        <w:spacing w:before="3"/>
        <w:rPr>
          <w:sz w:val="24"/>
        </w:rPr>
      </w:pPr>
    </w:p>
    <w:p>
      <w:pPr>
        <w:pStyle w:val="BodyText"/>
        <w:spacing w:line="312" w:lineRule="auto" w:before="57"/>
        <w:ind w:left="2219" w:right="2452"/>
      </w:pPr>
      <w:r>
        <w:rPr/>
        <w:t>workforce over the last decade, access to many specialist services remains problematic, with some rural patients being particularly under-serviced.</w:t>
      </w:r>
    </w:p>
    <w:p>
      <w:pPr>
        <w:pStyle w:val="BodyText"/>
        <w:spacing w:line="312" w:lineRule="auto" w:before="132"/>
        <w:ind w:left="2219" w:right="1720"/>
      </w:pPr>
      <w:r>
        <w:rPr>
          <w:b/>
        </w:rPr>
        <w:t>Best practice health services </w:t>
      </w:r>
      <w:r>
        <w:rPr/>
        <w:t>— one of the core objectives of the MBS Review is to modernise the MBS, ensuring that individual items and their descriptors are consistent with contemporary best practice and the evidence base when possible. Although the Medical Services Advisory Committee (MSAC) plays a crucial role in thoroughly evaluating new services, the vast majority of existing MBS items pre- date this process and have never been reviewed.</w:t>
      </w:r>
    </w:p>
    <w:p>
      <w:pPr>
        <w:pStyle w:val="BodyText"/>
        <w:spacing w:line="312" w:lineRule="auto" w:before="130"/>
        <w:ind w:left="2219" w:right="1749"/>
      </w:pPr>
      <w:r>
        <w:rPr/>
        <w:drawing>
          <wp:anchor distT="0" distB="0" distL="0" distR="0" allowOverlap="1" layoutInCell="1" locked="0" behindDoc="0" simplePos="0" relativeHeight="15823360">
            <wp:simplePos x="0" y="0"/>
            <wp:positionH relativeFrom="page">
              <wp:posOffset>1423606</wp:posOffset>
            </wp:positionH>
            <wp:positionV relativeFrom="paragraph">
              <wp:posOffset>151493</wp:posOffset>
            </wp:positionV>
            <wp:extent cx="52387" cy="52387"/>
            <wp:effectExtent l="0" t="0" r="0" b="0"/>
            <wp:wrapNone/>
            <wp:docPr id="397" name="image176.png"/>
            <wp:cNvGraphicFramePr>
              <a:graphicFrameLocks noChangeAspect="1"/>
            </wp:cNvGraphicFramePr>
            <a:graphic>
              <a:graphicData uri="http://schemas.openxmlformats.org/drawingml/2006/picture">
                <pic:pic>
                  <pic:nvPicPr>
                    <pic:cNvPr id="398" name="image176.png"/>
                    <pic:cNvPicPr/>
                  </pic:nvPicPr>
                  <pic:blipFill>
                    <a:blip r:embed="rId184" cstate="print"/>
                    <a:stretch>
                      <a:fillRect/>
                    </a:stretch>
                  </pic:blipFill>
                  <pic:spPr>
                    <a:xfrm>
                      <a:off x="0" y="0"/>
                      <a:ext cx="52387" cy="52387"/>
                    </a:xfrm>
                    <a:prstGeom prst="rect">
                      <a:avLst/>
                    </a:prstGeom>
                  </pic:spPr>
                </pic:pic>
              </a:graphicData>
            </a:graphic>
          </wp:anchor>
        </w:drawing>
      </w:r>
      <w:r>
        <w:rPr>
          <w:b/>
        </w:rPr>
        <w:t>Value for the individual patient </w:t>
      </w:r>
      <w:r>
        <w:rPr/>
        <w:t>— another core objective of the MBS Review is to support the delivery of services that are appropriate to the patient’s needs, provide real clinical value and do not expose the patient to unnecessary risk or expense.</w:t>
      </w:r>
    </w:p>
    <w:p>
      <w:pPr>
        <w:pStyle w:val="BodyText"/>
        <w:spacing w:line="312" w:lineRule="auto" w:before="133"/>
        <w:ind w:left="2219" w:right="1670"/>
      </w:pPr>
      <w:r>
        <w:rPr/>
        <w:drawing>
          <wp:anchor distT="0" distB="0" distL="0" distR="0" allowOverlap="1" layoutInCell="1" locked="0" behindDoc="0" simplePos="0" relativeHeight="15823872">
            <wp:simplePos x="0" y="0"/>
            <wp:positionH relativeFrom="page">
              <wp:posOffset>1423606</wp:posOffset>
            </wp:positionH>
            <wp:positionV relativeFrom="paragraph">
              <wp:posOffset>153017</wp:posOffset>
            </wp:positionV>
            <wp:extent cx="52387" cy="52387"/>
            <wp:effectExtent l="0" t="0" r="0" b="0"/>
            <wp:wrapNone/>
            <wp:docPr id="399" name="image176.png"/>
            <wp:cNvGraphicFramePr>
              <a:graphicFrameLocks noChangeAspect="1"/>
            </wp:cNvGraphicFramePr>
            <a:graphic>
              <a:graphicData uri="http://schemas.openxmlformats.org/drawingml/2006/picture">
                <pic:pic>
                  <pic:nvPicPr>
                    <pic:cNvPr id="400" name="image176.png"/>
                    <pic:cNvPicPr/>
                  </pic:nvPicPr>
                  <pic:blipFill>
                    <a:blip r:embed="rId184" cstate="print"/>
                    <a:stretch>
                      <a:fillRect/>
                    </a:stretch>
                  </pic:blipFill>
                  <pic:spPr>
                    <a:xfrm>
                      <a:off x="0" y="0"/>
                      <a:ext cx="52387" cy="52387"/>
                    </a:xfrm>
                    <a:prstGeom prst="rect">
                      <a:avLst/>
                    </a:prstGeom>
                  </pic:spPr>
                </pic:pic>
              </a:graphicData>
            </a:graphic>
          </wp:anchor>
        </w:drawing>
      </w:r>
      <w:r>
        <w:rPr>
          <w:b/>
        </w:rPr>
        <w:t>Value for the health system </w:t>
      </w:r>
      <w:r>
        <w:rPr/>
        <w:t>— achieving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pPr>
        <w:pStyle w:val="Heading3"/>
        <w:spacing w:before="123"/>
      </w:pPr>
      <w:r>
        <w:rPr/>
        <w:drawing>
          <wp:anchor distT="0" distB="0" distL="0" distR="0" allowOverlap="1" layoutInCell="1" locked="0" behindDoc="0" simplePos="0" relativeHeight="15824384">
            <wp:simplePos x="0" y="0"/>
            <wp:positionH relativeFrom="page">
              <wp:posOffset>1143050</wp:posOffset>
            </wp:positionH>
            <wp:positionV relativeFrom="paragraph">
              <wp:posOffset>129672</wp:posOffset>
            </wp:positionV>
            <wp:extent cx="203403" cy="108807"/>
            <wp:effectExtent l="0" t="0" r="0" b="0"/>
            <wp:wrapNone/>
            <wp:docPr id="401" name="image186.png"/>
            <wp:cNvGraphicFramePr>
              <a:graphicFrameLocks noChangeAspect="1"/>
            </wp:cNvGraphicFramePr>
            <a:graphic>
              <a:graphicData uri="http://schemas.openxmlformats.org/drawingml/2006/picture">
                <pic:pic>
                  <pic:nvPicPr>
                    <pic:cNvPr id="402" name="image186.png"/>
                    <pic:cNvPicPr/>
                  </pic:nvPicPr>
                  <pic:blipFill>
                    <a:blip r:embed="rId200" cstate="print"/>
                    <a:stretch>
                      <a:fillRect/>
                    </a:stretch>
                  </pic:blipFill>
                  <pic:spPr>
                    <a:xfrm>
                      <a:off x="0" y="0"/>
                      <a:ext cx="203403" cy="108807"/>
                    </a:xfrm>
                    <a:prstGeom prst="rect">
                      <a:avLst/>
                    </a:prstGeom>
                  </pic:spPr>
                </pic:pic>
              </a:graphicData>
            </a:graphic>
          </wp:anchor>
        </w:drawing>
      </w:r>
      <w:r>
        <w:rPr>
          <w:color w:val="00643E"/>
        </w:rPr>
        <w:t>The Taskforce’s approach</w:t>
      </w:r>
    </w:p>
    <w:p>
      <w:pPr>
        <w:pStyle w:val="BodyText"/>
        <w:spacing w:before="9"/>
        <w:rPr>
          <w:b/>
          <w:sz w:val="17"/>
        </w:rPr>
      </w:pPr>
    </w:p>
    <w:p>
      <w:pPr>
        <w:pStyle w:val="BodyText"/>
        <w:spacing w:before="57"/>
        <w:ind w:left="1358"/>
      </w:pPr>
      <w:r>
        <w:rPr/>
        <w:t>The Taskforce is reviewing existing MBS items, with a primary focus on ensuring that</w:t>
      </w:r>
    </w:p>
    <w:p>
      <w:pPr>
        <w:pStyle w:val="BodyText"/>
        <w:spacing w:line="312" w:lineRule="auto" w:before="79"/>
        <w:ind w:left="1358" w:right="1735"/>
      </w:pPr>
      <w:r>
        <w:rPr/>
        <w:t>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w:t>
      </w:r>
    </w:p>
    <w:p>
      <w:pPr>
        <w:pStyle w:val="BodyText"/>
        <w:spacing w:line="312" w:lineRule="auto" w:before="179"/>
        <w:ind w:left="1358" w:right="1715"/>
      </w:pPr>
      <w:r>
        <w:rPr/>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pPr>
        <w:pStyle w:val="BodyText"/>
        <w:spacing w:line="312" w:lineRule="auto" w:before="182"/>
        <w:ind w:left="1358" w:right="1707"/>
      </w:pPr>
      <w:r>
        <w:rPr/>
        <w:t>As the Review is clinician-led, the Taskforce decided that clinical committees should conduct the detailed review of MBS items. The committees are broad-based in their membership, and members have been appointed in an individual capacity, rather than as representatives of any organisation.</w:t>
      </w:r>
    </w:p>
    <w:p>
      <w:pPr>
        <w:spacing w:after="0" w:line="312" w:lineRule="auto"/>
        <w:sectPr>
          <w:headerReference w:type="default" r:id="rId198"/>
          <w:footerReference w:type="default" r:id="rId199"/>
          <w:pgSz w:w="11910" w:h="16840"/>
          <w:pgMar w:header="672" w:footer="978" w:top="1300" w:bottom="1160" w:left="440" w:right="140"/>
        </w:sectPr>
      </w:pPr>
    </w:p>
    <w:p>
      <w:pPr>
        <w:pStyle w:val="BodyText"/>
        <w:rPr>
          <w:sz w:val="20"/>
        </w:rPr>
      </w:pPr>
    </w:p>
    <w:p>
      <w:pPr>
        <w:pStyle w:val="BodyText"/>
        <w:spacing w:before="3"/>
        <w:rPr>
          <w:sz w:val="24"/>
        </w:rPr>
      </w:pPr>
    </w:p>
    <w:p>
      <w:pPr>
        <w:pStyle w:val="BodyText"/>
        <w:spacing w:before="57"/>
        <w:ind w:left="1358"/>
        <w:jc w:val="both"/>
      </w:pPr>
      <w:r>
        <w:rPr/>
        <w:t>The Taskforce asked the committees to review MBS items using a framework based on</w:t>
      </w:r>
    </w:p>
    <w:p>
      <w:pPr>
        <w:pStyle w:val="BodyText"/>
        <w:spacing w:line="312" w:lineRule="auto" w:before="79"/>
        <w:ind w:left="1358" w:right="1909"/>
        <w:jc w:val="both"/>
      </w:pPr>
      <w:r>
        <w:rPr/>
        <w:t>Professor Adam Elshaug’s appropriate use criteria </w:t>
      </w:r>
      <w:r>
        <w:rPr>
          <w:sz w:val="18"/>
        </w:rPr>
        <w:t>(Elshaug, 2016). </w:t>
      </w:r>
      <w:r>
        <w:rPr/>
        <w:t>The framework consists</w:t>
      </w:r>
      <w:r>
        <w:rPr>
          <w:spacing w:val="-32"/>
        </w:rPr>
        <w:t> </w:t>
      </w:r>
      <w:r>
        <w:rPr/>
        <w:t>of seven</w:t>
      </w:r>
      <w:r>
        <w:rPr>
          <w:spacing w:val="-1"/>
        </w:rPr>
        <w:t> </w:t>
      </w:r>
      <w:r>
        <w:rPr/>
        <w:t>steps:</w:t>
      </w:r>
    </w:p>
    <w:p>
      <w:pPr>
        <w:pStyle w:val="ListParagraph"/>
        <w:numPr>
          <w:ilvl w:val="0"/>
          <w:numId w:val="9"/>
        </w:numPr>
        <w:tabs>
          <w:tab w:pos="1718" w:val="left" w:leader="none"/>
        </w:tabs>
        <w:spacing w:line="312" w:lineRule="auto" w:before="120" w:after="0"/>
        <w:ind w:left="1718" w:right="1983" w:hanging="360"/>
        <w:jc w:val="both"/>
        <w:rPr>
          <w:sz w:val="22"/>
        </w:rPr>
      </w:pPr>
      <w:r>
        <w:rPr>
          <w:sz w:val="22"/>
        </w:rPr>
        <w:t>Develop an initial fact base for all items under consideration, drawing on the relevant data and</w:t>
      </w:r>
      <w:r>
        <w:rPr>
          <w:spacing w:val="-1"/>
          <w:sz w:val="22"/>
        </w:rPr>
        <w:t> </w:t>
      </w:r>
      <w:r>
        <w:rPr>
          <w:sz w:val="22"/>
        </w:rPr>
        <w:t>literature.</w:t>
      </w:r>
    </w:p>
    <w:p>
      <w:pPr>
        <w:pStyle w:val="ListParagraph"/>
        <w:numPr>
          <w:ilvl w:val="0"/>
          <w:numId w:val="9"/>
        </w:numPr>
        <w:tabs>
          <w:tab w:pos="1718" w:val="left" w:leader="none"/>
        </w:tabs>
        <w:spacing w:line="312" w:lineRule="auto" w:before="0" w:after="0"/>
        <w:ind w:left="1718" w:right="1737" w:hanging="360"/>
        <w:jc w:val="both"/>
        <w:rPr>
          <w:sz w:val="22"/>
        </w:rPr>
      </w:pPr>
      <w:r>
        <w:rPr>
          <w:sz w:val="22"/>
        </w:rPr>
        <w:t>Identify items that are obsolete, are of questionable clinical value,</w:t>
      </w:r>
      <w:r>
        <w:rPr>
          <w:sz w:val="22"/>
          <w:vertAlign w:val="superscript"/>
        </w:rPr>
        <w:t>1</w:t>
      </w:r>
      <w:r>
        <w:rPr>
          <w:sz w:val="22"/>
          <w:vertAlign w:val="baseline"/>
        </w:rPr>
        <w:t> are misused</w:t>
      </w:r>
      <w:r>
        <w:rPr>
          <w:sz w:val="22"/>
          <w:vertAlign w:val="superscript"/>
        </w:rPr>
        <w:t>2</w:t>
      </w:r>
      <w:r>
        <w:rPr>
          <w:sz w:val="22"/>
          <w:vertAlign w:val="baseline"/>
        </w:rPr>
        <w:t> and/or pose a risk to patient safety. This step includes prioritising items as “priority 1”, “priority 2” or “priority 3”, using a prioritisation methodology (described in more detail</w:t>
      </w:r>
      <w:r>
        <w:rPr>
          <w:spacing w:val="-18"/>
          <w:sz w:val="22"/>
          <w:vertAlign w:val="baseline"/>
        </w:rPr>
        <w:t> </w:t>
      </w:r>
      <w:r>
        <w:rPr>
          <w:sz w:val="22"/>
          <w:vertAlign w:val="baseline"/>
        </w:rPr>
        <w:t>below).</w:t>
      </w:r>
    </w:p>
    <w:p>
      <w:pPr>
        <w:pStyle w:val="ListParagraph"/>
        <w:numPr>
          <w:ilvl w:val="0"/>
          <w:numId w:val="9"/>
        </w:numPr>
        <w:tabs>
          <w:tab w:pos="1718" w:val="left" w:leader="none"/>
        </w:tabs>
        <w:spacing w:line="312" w:lineRule="auto" w:before="0" w:after="0"/>
        <w:ind w:left="1718" w:right="1665" w:hanging="360"/>
        <w:jc w:val="left"/>
        <w:rPr>
          <w:sz w:val="22"/>
        </w:rPr>
      </w:pPr>
      <w:r>
        <w:rPr>
          <w:sz w:val="22"/>
        </w:rPr>
        <w:t>Identify any issues, develop hypotheses for recommendations and create a work plan (including establishing working groups, when required) to arrive at recommendations for each item.</w:t>
      </w:r>
    </w:p>
    <w:p>
      <w:pPr>
        <w:pStyle w:val="ListParagraph"/>
        <w:numPr>
          <w:ilvl w:val="0"/>
          <w:numId w:val="9"/>
        </w:numPr>
        <w:tabs>
          <w:tab w:pos="1718" w:val="left" w:leader="none"/>
        </w:tabs>
        <w:spacing w:line="312" w:lineRule="auto" w:before="2" w:after="0"/>
        <w:ind w:left="1718" w:right="1742" w:hanging="360"/>
        <w:jc w:val="left"/>
        <w:rPr>
          <w:sz w:val="22"/>
        </w:rPr>
      </w:pPr>
      <w:r>
        <w:rPr>
          <w:sz w:val="22"/>
        </w:rPr>
        <w:t>Gather further data, clinical guidelines and relevant literature in order to make provisional recommendations and draft accompanying rationales, as per the work plan. This process begins with priority 1 items, continues with priority 2 items and concludes with priority 3 items. This step also involves consultation with relevant stakeholders within the committee, working groups, and relevant colleagues or colleges. For complex cases, full appropriate use criteria were developed for the item’s explanatory</w:t>
      </w:r>
      <w:r>
        <w:rPr>
          <w:spacing w:val="-12"/>
          <w:sz w:val="22"/>
        </w:rPr>
        <w:t> </w:t>
      </w:r>
      <w:r>
        <w:rPr>
          <w:sz w:val="22"/>
        </w:rPr>
        <w:t>notes.</w:t>
      </w:r>
    </w:p>
    <w:p>
      <w:pPr>
        <w:pStyle w:val="ListParagraph"/>
        <w:numPr>
          <w:ilvl w:val="0"/>
          <w:numId w:val="9"/>
        </w:numPr>
        <w:tabs>
          <w:tab w:pos="1718" w:val="left" w:leader="none"/>
        </w:tabs>
        <w:spacing w:line="312" w:lineRule="auto" w:before="0" w:after="0"/>
        <w:ind w:left="1718" w:right="1808" w:hanging="360"/>
        <w:jc w:val="left"/>
        <w:rPr>
          <w:sz w:val="22"/>
        </w:rPr>
      </w:pPr>
      <w:r>
        <w:rPr>
          <w:sz w:val="22"/>
        </w:rPr>
        <w:t>Review the provisional recommendations and the accompanying rationales, and gather further evidence as</w:t>
      </w:r>
      <w:r>
        <w:rPr>
          <w:spacing w:val="-3"/>
          <w:sz w:val="22"/>
        </w:rPr>
        <w:t> </w:t>
      </w:r>
      <w:r>
        <w:rPr>
          <w:sz w:val="22"/>
        </w:rPr>
        <w:t>required.</w:t>
      </w:r>
    </w:p>
    <w:p>
      <w:pPr>
        <w:pStyle w:val="ListParagraph"/>
        <w:numPr>
          <w:ilvl w:val="0"/>
          <w:numId w:val="9"/>
        </w:numPr>
        <w:tabs>
          <w:tab w:pos="1718" w:val="left" w:leader="none"/>
        </w:tabs>
        <w:spacing w:line="240" w:lineRule="auto" w:before="0" w:after="0"/>
        <w:ind w:left="1718" w:right="0" w:hanging="360"/>
        <w:jc w:val="left"/>
        <w:rPr>
          <w:sz w:val="22"/>
        </w:rPr>
      </w:pPr>
      <w:r>
        <w:rPr>
          <w:sz w:val="22"/>
        </w:rPr>
        <w:t>Finalise the recommendations in preparation for broader stakeholder</w:t>
      </w:r>
      <w:r>
        <w:rPr>
          <w:spacing w:val="-6"/>
          <w:sz w:val="22"/>
        </w:rPr>
        <w:t> </w:t>
      </w:r>
      <w:r>
        <w:rPr>
          <w:sz w:val="22"/>
        </w:rPr>
        <w:t>consultation.</w:t>
      </w:r>
    </w:p>
    <w:p>
      <w:pPr>
        <w:pStyle w:val="ListParagraph"/>
        <w:numPr>
          <w:ilvl w:val="0"/>
          <w:numId w:val="9"/>
        </w:numPr>
        <w:tabs>
          <w:tab w:pos="1718" w:val="left" w:leader="none"/>
        </w:tabs>
        <w:spacing w:line="314" w:lineRule="auto" w:before="80" w:after="0"/>
        <w:ind w:left="1718" w:right="2044" w:hanging="360"/>
        <w:jc w:val="left"/>
        <w:rPr>
          <w:sz w:val="22"/>
        </w:rPr>
      </w:pPr>
      <w:r>
        <w:rPr>
          <w:sz w:val="22"/>
        </w:rPr>
        <w:t>Incorporate feedback gathered during stakeholder consultation and finalise a clinical review report, which provides recommendations for the</w:t>
      </w:r>
      <w:r>
        <w:rPr>
          <w:spacing w:val="-3"/>
          <w:sz w:val="22"/>
        </w:rPr>
        <w:t> </w:t>
      </w:r>
      <w:r>
        <w:rPr>
          <w:sz w:val="22"/>
        </w:rPr>
        <w:t>Taskforce.</w:t>
      </w:r>
    </w:p>
    <w:p>
      <w:pPr>
        <w:pStyle w:val="BodyText"/>
        <w:spacing w:line="312" w:lineRule="auto" w:before="175"/>
        <w:ind w:left="1358" w:right="1706"/>
        <w:rPr>
          <w:sz w:val="18"/>
        </w:rPr>
      </w:pPr>
      <w:r>
        <w:rPr/>
        <w:t>All MBS items will be reviewed during the course of the Review. However, given the breadth of the review and its timeframe, each clinical committee has to develop a work plan and assign priorities, keeping in mind the objectives of the review. Committees use a robust prioritisation methodology to focus their attention and resources on the most important items requiring review. This was determined based on a combination of two standard metrics, derived from the appropriate use criteria </w:t>
      </w:r>
      <w:r>
        <w:rPr>
          <w:sz w:val="18"/>
        </w:rPr>
        <w:t>(Elshaug, 2016):</w:t>
      </w:r>
    </w:p>
    <w:p>
      <w:pPr>
        <w:pStyle w:val="BodyText"/>
        <w:rPr>
          <w:sz w:val="20"/>
        </w:rPr>
      </w:pPr>
    </w:p>
    <w:p>
      <w:pPr>
        <w:pStyle w:val="BodyText"/>
        <w:rPr>
          <w:sz w:val="20"/>
        </w:rPr>
      </w:pPr>
    </w:p>
    <w:p>
      <w:pPr>
        <w:pStyle w:val="BodyText"/>
        <w:spacing w:before="2"/>
      </w:pPr>
      <w:r>
        <w:rPr/>
        <w:pict>
          <v:rect style="position:absolute;margin-left:89.903999pt;margin-top:15.489054pt;width:144.020pt;height:.71997pt;mso-position-horizontal-relative:page;mso-position-vertical-relative:paragraph;z-index:-15632384;mso-wrap-distance-left:0;mso-wrap-distance-right:0" filled="true" fillcolor="#000000" stroked="false">
            <v:fill type="solid"/>
            <w10:wrap type="topAndBottom"/>
          </v:rect>
        </w:pict>
      </w:r>
    </w:p>
    <w:p>
      <w:pPr>
        <w:pStyle w:val="BodyText"/>
        <w:rPr>
          <w:sz w:val="20"/>
        </w:rPr>
      </w:pPr>
    </w:p>
    <w:p>
      <w:pPr>
        <w:pStyle w:val="BodyText"/>
        <w:rPr>
          <w:sz w:val="20"/>
        </w:rPr>
      </w:pPr>
    </w:p>
    <w:p>
      <w:pPr>
        <w:pStyle w:val="BodyText"/>
        <w:spacing w:before="10"/>
        <w:rPr>
          <w:sz w:val="26"/>
        </w:rPr>
      </w:pPr>
    </w:p>
    <w:p>
      <w:pPr>
        <w:spacing w:line="312" w:lineRule="auto" w:before="69"/>
        <w:ind w:left="1358" w:right="1723" w:firstLine="0"/>
        <w:jc w:val="left"/>
        <w:rPr>
          <w:sz w:val="18"/>
        </w:rPr>
      </w:pPr>
      <w:r>
        <w:rPr>
          <w:position w:val="5"/>
          <w:sz w:val="12"/>
        </w:rPr>
        <w:t>1 </w:t>
      </w:r>
      <w:r>
        <w:rPr>
          <w:sz w:val="18"/>
        </w:rPr>
        <w:t>The use of an intervention that evidence suggests confers no or very little benefit on patients; or where the risk of harm exceeds the likely benefit; or, more broadly, where the added costs of the intervention do not provide proportional added benefits.</w:t>
      </w:r>
    </w:p>
    <w:p>
      <w:pPr>
        <w:spacing w:line="314" w:lineRule="auto" w:before="139"/>
        <w:ind w:left="1358" w:right="2082" w:firstLine="0"/>
        <w:jc w:val="left"/>
        <w:rPr>
          <w:sz w:val="18"/>
        </w:rPr>
      </w:pPr>
      <w:r>
        <w:rPr>
          <w:position w:val="5"/>
          <w:sz w:val="12"/>
        </w:rPr>
        <w:t>2 </w:t>
      </w:r>
      <w:r>
        <w:rPr>
          <w:sz w:val="18"/>
        </w:rPr>
        <w:t>The use of MBS services for purposes other than those intended. This includes a range of behaviours, from failing to adhere to particular item descriptors or rules through to deliberate fraud.</w:t>
      </w:r>
    </w:p>
    <w:p>
      <w:pPr>
        <w:spacing w:after="0" w:line="314" w:lineRule="auto"/>
        <w:jc w:val="left"/>
        <w:rPr>
          <w:sz w:val="18"/>
        </w:rPr>
        <w:sectPr>
          <w:headerReference w:type="default" r:id="rId201"/>
          <w:footerReference w:type="default" r:id="rId202"/>
          <w:pgSz w:w="11910" w:h="16840"/>
          <w:pgMar w:header="672" w:footer="978" w:top="1300" w:bottom="1160" w:left="440" w:right="140"/>
        </w:sectPr>
      </w:pPr>
    </w:p>
    <w:p>
      <w:pPr>
        <w:pStyle w:val="BodyText"/>
        <w:rPr>
          <w:sz w:val="20"/>
        </w:rPr>
      </w:pPr>
    </w:p>
    <w:p>
      <w:pPr>
        <w:pStyle w:val="BodyText"/>
        <w:spacing w:before="3"/>
        <w:rPr>
          <w:sz w:val="25"/>
        </w:rPr>
      </w:pPr>
    </w:p>
    <w:p>
      <w:pPr>
        <w:pStyle w:val="BodyText"/>
        <w:spacing w:before="57"/>
        <w:ind w:left="2219"/>
      </w:pPr>
      <w:r>
        <w:rPr/>
        <w:t>Service volume.</w:t>
      </w:r>
    </w:p>
    <w:p>
      <w:pPr>
        <w:pStyle w:val="BodyText"/>
        <w:spacing w:before="8"/>
        <w:rPr>
          <w:sz w:val="12"/>
        </w:rPr>
      </w:pPr>
    </w:p>
    <w:p>
      <w:pPr>
        <w:pStyle w:val="BodyText"/>
        <w:spacing w:line="312" w:lineRule="auto" w:before="56"/>
        <w:ind w:left="2219" w:right="1858"/>
      </w:pPr>
      <w:r>
        <w:rPr/>
        <w:t>The likelihood that the item needed to be revised, determined by indicators such as identified safety concerns, geographic or temporal variation, delivery irregularity, the potential misuse of indications or other concerns raised by the clinical committee (such as inappropriate co-claiming).</w:t>
      </w:r>
    </w:p>
    <w:p>
      <w:pPr>
        <w:spacing w:after="0" w:line="312" w:lineRule="auto"/>
        <w:sectPr>
          <w:headerReference w:type="default" r:id="rId203"/>
          <w:footerReference w:type="default" r:id="rId204"/>
          <w:pgSz w:w="11910" w:h="16840"/>
          <w:pgMar w:header="672" w:footer="978" w:top="1300" w:bottom="1160" w:left="440" w:right="140"/>
        </w:sectPr>
      </w:pPr>
    </w:p>
    <w:p>
      <w:pPr>
        <w:pStyle w:val="BodyText"/>
        <w:rPr>
          <w:sz w:val="20"/>
        </w:rPr>
      </w:pPr>
    </w:p>
    <w:p>
      <w:pPr>
        <w:pStyle w:val="BodyText"/>
        <w:spacing w:before="5"/>
        <w:rPr>
          <w:sz w:val="27"/>
        </w:rPr>
      </w:pPr>
    </w:p>
    <w:p>
      <w:pPr>
        <w:pStyle w:val="ListParagraph"/>
        <w:numPr>
          <w:ilvl w:val="0"/>
          <w:numId w:val="10"/>
        </w:numPr>
        <w:tabs>
          <w:tab w:pos="1790" w:val="left" w:leader="none"/>
        </w:tabs>
        <w:spacing w:line="314" w:lineRule="auto" w:before="20" w:after="0"/>
        <w:ind w:left="1790" w:right="3451" w:hanging="432"/>
        <w:jc w:val="left"/>
        <w:rPr>
          <w:b/>
          <w:sz w:val="40"/>
        </w:rPr>
      </w:pPr>
      <w:r>
        <w:rPr>
          <w:b/>
          <w:color w:val="00643E"/>
          <w:sz w:val="40"/>
        </w:rPr>
        <w:t>About the Pain Management Clinical Committee</w:t>
      </w:r>
    </w:p>
    <w:p>
      <w:pPr>
        <w:pStyle w:val="BodyText"/>
        <w:spacing w:before="2"/>
        <w:rPr>
          <w:b/>
          <w:sz w:val="14"/>
        </w:rPr>
      </w:pPr>
      <w:r>
        <w:rPr/>
        <w:pict>
          <v:rect style="position:absolute;margin-left:88.463997pt;margin-top:10.628633pt;width:418.51pt;height:1.92pt;mso-position-horizontal-relative:page;mso-position-vertical-relative:paragraph;z-index:-15631872;mso-wrap-distance-left:0;mso-wrap-distance-right:0" filled="true" fillcolor="#bebebe" stroked="false">
            <v:fill type="solid"/>
            <w10:wrap type="topAndBottom"/>
          </v:rect>
        </w:pict>
      </w:r>
    </w:p>
    <w:p>
      <w:pPr>
        <w:pStyle w:val="BodyText"/>
        <w:rPr>
          <w:b/>
          <w:sz w:val="20"/>
        </w:rPr>
      </w:pPr>
    </w:p>
    <w:p>
      <w:pPr>
        <w:pStyle w:val="BodyText"/>
        <w:rPr>
          <w:b/>
          <w:sz w:val="20"/>
        </w:rPr>
      </w:pPr>
    </w:p>
    <w:p>
      <w:pPr>
        <w:pStyle w:val="BodyText"/>
        <w:spacing w:before="4"/>
        <w:rPr>
          <w:b/>
          <w:sz w:val="16"/>
        </w:rPr>
      </w:pPr>
    </w:p>
    <w:p>
      <w:pPr>
        <w:pStyle w:val="BodyText"/>
        <w:spacing w:line="312" w:lineRule="auto"/>
        <w:ind w:left="1358" w:right="1788"/>
      </w:pPr>
      <w:r>
        <w:rPr/>
        <w:t>The Pain Management Clinical Committee (the Committee) was established in June 2018 to make recommendations to the Taskforce on MBS items within its remit, based on rapid evidence review and clinical expertise.</w:t>
      </w:r>
    </w:p>
    <w:p>
      <w:pPr>
        <w:pStyle w:val="Heading3"/>
        <w:spacing w:before="122"/>
      </w:pPr>
      <w:r>
        <w:rPr/>
        <w:drawing>
          <wp:anchor distT="0" distB="0" distL="0" distR="0" allowOverlap="1" layoutInCell="1" locked="0" behindDoc="0" simplePos="0" relativeHeight="15825920">
            <wp:simplePos x="0" y="0"/>
            <wp:positionH relativeFrom="page">
              <wp:posOffset>1143051</wp:posOffset>
            </wp:positionH>
            <wp:positionV relativeFrom="paragraph">
              <wp:posOffset>129289</wp:posOffset>
            </wp:positionV>
            <wp:extent cx="198830" cy="110460"/>
            <wp:effectExtent l="0" t="0" r="0" b="0"/>
            <wp:wrapNone/>
            <wp:docPr id="413" name="image187.png"/>
            <wp:cNvGraphicFramePr>
              <a:graphicFrameLocks noChangeAspect="1"/>
            </wp:cNvGraphicFramePr>
            <a:graphic>
              <a:graphicData uri="http://schemas.openxmlformats.org/drawingml/2006/picture">
                <pic:pic>
                  <pic:nvPicPr>
                    <pic:cNvPr id="414" name="image187.png"/>
                    <pic:cNvPicPr/>
                  </pic:nvPicPr>
                  <pic:blipFill>
                    <a:blip r:embed="rId207" cstate="print"/>
                    <a:stretch>
                      <a:fillRect/>
                    </a:stretch>
                  </pic:blipFill>
                  <pic:spPr>
                    <a:xfrm>
                      <a:off x="0" y="0"/>
                      <a:ext cx="198830" cy="110460"/>
                    </a:xfrm>
                    <a:prstGeom prst="rect">
                      <a:avLst/>
                    </a:prstGeom>
                  </pic:spPr>
                </pic:pic>
              </a:graphicData>
            </a:graphic>
          </wp:anchor>
        </w:drawing>
      </w:r>
      <w:r>
        <w:rPr>
          <w:color w:val="00643E"/>
        </w:rPr>
        <w:t>Pain Management Clinical Committee members</w:t>
      </w:r>
    </w:p>
    <w:p>
      <w:pPr>
        <w:pStyle w:val="BodyText"/>
        <w:spacing w:before="4"/>
        <w:rPr>
          <w:b/>
        </w:rPr>
      </w:pPr>
    </w:p>
    <w:p>
      <w:pPr>
        <w:pStyle w:val="BodyText"/>
        <w:spacing w:line="312" w:lineRule="auto" w:before="1"/>
        <w:ind w:left="1358" w:right="1664"/>
      </w:pPr>
      <w:r>
        <w:rPr/>
        <w:t>The Committee consists of 17 members, whose names, positions/organisations and declared conflicts of interest are listed in </w:t>
      </w:r>
      <w:hyperlink w:history="true" w:anchor="_bookmark0">
        <w:r>
          <w:rPr>
            <w:u w:val="single"/>
          </w:rPr>
          <w:t>Table 1</w:t>
        </w:r>
      </w:hyperlink>
      <w:r>
        <w:rPr/>
        <w:t>.</w:t>
      </w:r>
    </w:p>
    <w:p>
      <w:pPr>
        <w:spacing w:before="122"/>
        <w:ind w:left="1358" w:right="0" w:firstLine="0"/>
        <w:jc w:val="left"/>
        <w:rPr>
          <w:b/>
          <w:sz w:val="20"/>
        </w:rPr>
      </w:pPr>
      <w:bookmarkStart w:name="_bookmark0" w:id="1"/>
      <w:bookmarkEnd w:id="1"/>
      <w:r>
        <w:rPr/>
      </w:r>
      <w:r>
        <w:rPr>
          <w:b/>
          <w:sz w:val="20"/>
          <w:u w:val="single"/>
        </w:rPr>
        <w:t>Table 1</w:t>
      </w:r>
      <w:bookmarkStart w:name="_bookmark1" w:id="2"/>
      <w:bookmarkEnd w:id="2"/>
      <w:r>
        <w:rPr>
          <w:b/>
          <w:sz w:val="20"/>
          <w:u w:val="single"/>
        </w:rPr>
        <w:t>:</w:t>
      </w:r>
      <w:r>
        <w:rPr>
          <w:b/>
          <w:sz w:val="20"/>
          <w:u w:val="single"/>
        </w:rPr>
        <w:t> Pain Management Clinical Committee members</w:t>
      </w:r>
    </w:p>
    <w:p>
      <w:pPr>
        <w:pStyle w:val="BodyText"/>
        <w:spacing w:after="1"/>
        <w:rPr>
          <w:b/>
          <w:sz w:val="16"/>
        </w:rPr>
      </w:pPr>
    </w:p>
    <w:tbl>
      <w:tblPr>
        <w:tblW w:w="0" w:type="auto"/>
        <w:jc w:val="left"/>
        <w:tblInd w:w="13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02"/>
        <w:gridCol w:w="3779"/>
        <w:gridCol w:w="2529"/>
      </w:tblGrid>
      <w:tr>
        <w:trPr>
          <w:trHeight w:val="415" w:hRule="atLeast"/>
        </w:trPr>
        <w:tc>
          <w:tcPr>
            <w:tcW w:w="2002" w:type="dxa"/>
            <w:shd w:val="clear" w:color="auto" w:fill="00643E"/>
          </w:tcPr>
          <w:p>
            <w:pPr>
              <w:pStyle w:val="TableParagraph"/>
              <w:spacing w:before="66"/>
              <w:ind w:left="115"/>
              <w:rPr>
                <w:b/>
                <w:sz w:val="18"/>
              </w:rPr>
            </w:pPr>
            <w:r>
              <w:rPr>
                <w:b/>
                <w:sz w:val="18"/>
              </w:rPr>
              <w:t>Name</w:t>
            </w:r>
          </w:p>
        </w:tc>
        <w:tc>
          <w:tcPr>
            <w:tcW w:w="3779" w:type="dxa"/>
            <w:shd w:val="clear" w:color="auto" w:fill="00643E"/>
          </w:tcPr>
          <w:p>
            <w:pPr>
              <w:pStyle w:val="TableParagraph"/>
              <w:spacing w:before="66"/>
              <w:ind w:left="278"/>
              <w:rPr>
                <w:b/>
                <w:sz w:val="18"/>
              </w:rPr>
            </w:pPr>
            <w:r>
              <w:rPr>
                <w:b/>
                <w:sz w:val="18"/>
              </w:rPr>
              <w:t>Position/organisation</w:t>
            </w:r>
          </w:p>
        </w:tc>
        <w:tc>
          <w:tcPr>
            <w:tcW w:w="2529" w:type="dxa"/>
            <w:shd w:val="clear" w:color="auto" w:fill="00643E"/>
          </w:tcPr>
          <w:p>
            <w:pPr>
              <w:pStyle w:val="TableParagraph"/>
              <w:spacing w:before="66"/>
              <w:ind w:left="162"/>
              <w:rPr>
                <w:b/>
                <w:sz w:val="18"/>
              </w:rPr>
            </w:pPr>
            <w:r>
              <w:rPr>
                <w:b/>
                <w:sz w:val="18"/>
              </w:rPr>
              <w:t>Declared conflict of interest</w:t>
            </w:r>
          </w:p>
        </w:tc>
      </w:tr>
      <w:tr>
        <w:trPr>
          <w:trHeight w:val="3307" w:hRule="atLeast"/>
        </w:trPr>
        <w:tc>
          <w:tcPr>
            <w:tcW w:w="2002" w:type="dxa"/>
            <w:tcBorders>
              <w:bottom w:val="single" w:sz="4" w:space="0" w:color="00643E"/>
            </w:tcBorders>
          </w:tcPr>
          <w:p>
            <w:pPr>
              <w:pStyle w:val="TableParagraph"/>
              <w:spacing w:before="133"/>
              <w:ind w:left="115"/>
              <w:rPr>
                <w:sz w:val="18"/>
              </w:rPr>
            </w:pPr>
            <w:r>
              <w:rPr>
                <w:sz w:val="18"/>
              </w:rPr>
              <w:t>Dr Chris Hayes</w:t>
            </w:r>
          </w:p>
        </w:tc>
        <w:tc>
          <w:tcPr>
            <w:tcW w:w="3779" w:type="dxa"/>
            <w:tcBorders>
              <w:bottom w:val="single" w:sz="4" w:space="0" w:color="00643E"/>
            </w:tcBorders>
          </w:tcPr>
          <w:p>
            <w:pPr>
              <w:pStyle w:val="TableParagraph"/>
              <w:spacing w:line="312" w:lineRule="auto" w:before="131"/>
              <w:ind w:left="278"/>
              <w:rPr>
                <w:sz w:val="18"/>
              </w:rPr>
            </w:pPr>
            <w:r>
              <w:rPr>
                <w:sz w:val="18"/>
              </w:rPr>
              <w:t>Director of Hunter Integrated Pain Service; specialist pain medicine physician, immediate past Dean, Faculty of Pain Medicine, Australia and New Zealand College of Anaesthetists.</w:t>
            </w:r>
          </w:p>
        </w:tc>
        <w:tc>
          <w:tcPr>
            <w:tcW w:w="2529" w:type="dxa"/>
            <w:tcBorders>
              <w:bottom w:val="single" w:sz="4" w:space="0" w:color="00643E"/>
            </w:tcBorders>
          </w:tcPr>
          <w:p>
            <w:pPr>
              <w:pStyle w:val="TableParagraph"/>
              <w:spacing w:line="312" w:lineRule="auto" w:before="131"/>
              <w:ind w:left="162" w:right="194"/>
              <w:rPr>
                <w:sz w:val="18"/>
              </w:rPr>
            </w:pPr>
            <w:r>
              <w:rPr>
                <w:sz w:val="18"/>
              </w:rPr>
              <w:t>Board member Painaustralia, co-Chair Clinical and Management Advisory Committee of the electronic Persistent Pain Outcomes Collaboration (ePPOC), Chair Faculty of Pain Medicine’s Research and Innovation Committee, member of NSW Agency for Clinical Innovation Pain Network Executive</w:t>
            </w:r>
          </w:p>
        </w:tc>
      </w:tr>
      <w:tr>
        <w:trPr>
          <w:trHeight w:val="1309" w:hRule="atLeast"/>
        </w:trPr>
        <w:tc>
          <w:tcPr>
            <w:tcW w:w="2002" w:type="dxa"/>
            <w:tcBorders>
              <w:top w:val="single" w:sz="4" w:space="0" w:color="00643E"/>
              <w:bottom w:val="single" w:sz="4" w:space="0" w:color="00643E"/>
            </w:tcBorders>
          </w:tcPr>
          <w:p>
            <w:pPr>
              <w:pStyle w:val="TableParagraph"/>
              <w:spacing w:before="135"/>
              <w:ind w:left="115"/>
              <w:rPr>
                <w:sz w:val="18"/>
              </w:rPr>
            </w:pPr>
            <w:r>
              <w:rPr>
                <w:sz w:val="18"/>
              </w:rPr>
              <w:t>Dr Lindy Roberts</w:t>
            </w:r>
          </w:p>
        </w:tc>
        <w:tc>
          <w:tcPr>
            <w:tcW w:w="3779" w:type="dxa"/>
            <w:tcBorders>
              <w:top w:val="single" w:sz="4" w:space="0" w:color="00643E"/>
              <w:bottom w:val="single" w:sz="4" w:space="0" w:color="00643E"/>
            </w:tcBorders>
          </w:tcPr>
          <w:p>
            <w:pPr>
              <w:pStyle w:val="TableParagraph"/>
              <w:spacing w:line="312" w:lineRule="auto" w:before="133"/>
              <w:ind w:left="278" w:right="467"/>
              <w:rPr>
                <w:sz w:val="18"/>
              </w:rPr>
            </w:pPr>
            <w:r>
              <w:rPr>
                <w:sz w:val="18"/>
              </w:rPr>
              <w:t>Specialist anaesthetist and specialist pain medicine physician; former President, Australian and New Zealand College of Anaesthetists.</w:t>
            </w:r>
          </w:p>
        </w:tc>
        <w:tc>
          <w:tcPr>
            <w:tcW w:w="2529" w:type="dxa"/>
            <w:tcBorders>
              <w:top w:val="single" w:sz="4" w:space="0" w:color="00643E"/>
              <w:bottom w:val="single" w:sz="4" w:space="0" w:color="00643E"/>
            </w:tcBorders>
          </w:tcPr>
          <w:p>
            <w:pPr>
              <w:pStyle w:val="TableParagraph"/>
              <w:spacing w:line="312" w:lineRule="auto" w:before="133"/>
              <w:ind w:left="162" w:right="201"/>
              <w:rPr>
                <w:sz w:val="18"/>
              </w:rPr>
            </w:pPr>
            <w:r>
              <w:rPr>
                <w:sz w:val="18"/>
              </w:rPr>
              <w:t>Part-time employee (8hrs/week) of the Australian and New Zealand College of Anaesthetists.</w:t>
            </w:r>
          </w:p>
        </w:tc>
      </w:tr>
      <w:tr>
        <w:trPr>
          <w:trHeight w:val="1025" w:hRule="atLeast"/>
        </w:trPr>
        <w:tc>
          <w:tcPr>
            <w:tcW w:w="2002" w:type="dxa"/>
            <w:tcBorders>
              <w:top w:val="single" w:sz="4" w:space="0" w:color="00643E"/>
              <w:bottom w:val="single" w:sz="4" w:space="0" w:color="00643E"/>
            </w:tcBorders>
          </w:tcPr>
          <w:p>
            <w:pPr>
              <w:pStyle w:val="TableParagraph"/>
              <w:spacing w:before="133"/>
              <w:ind w:left="115"/>
              <w:rPr>
                <w:sz w:val="18"/>
              </w:rPr>
            </w:pPr>
            <w:r>
              <w:rPr>
                <w:sz w:val="18"/>
              </w:rPr>
              <w:t>A/Prof Carolyn Arnold</w:t>
            </w:r>
          </w:p>
        </w:tc>
        <w:tc>
          <w:tcPr>
            <w:tcW w:w="3779" w:type="dxa"/>
            <w:tcBorders>
              <w:top w:val="single" w:sz="4" w:space="0" w:color="00643E"/>
              <w:bottom w:val="single" w:sz="4" w:space="0" w:color="00643E"/>
            </w:tcBorders>
          </w:tcPr>
          <w:p>
            <w:pPr>
              <w:pStyle w:val="TableParagraph"/>
              <w:spacing w:line="314" w:lineRule="auto" w:before="131"/>
              <w:ind w:left="278" w:right="174"/>
              <w:rPr>
                <w:sz w:val="18"/>
              </w:rPr>
            </w:pPr>
            <w:r>
              <w:rPr>
                <w:sz w:val="18"/>
              </w:rPr>
              <w:t>Specialist Pain Medicine Physician and also in Rehabilitation Medicine; past President, Australian Pain Society.</w:t>
            </w:r>
          </w:p>
        </w:tc>
        <w:tc>
          <w:tcPr>
            <w:tcW w:w="2529" w:type="dxa"/>
            <w:tcBorders>
              <w:top w:val="single" w:sz="4" w:space="0" w:color="00643E"/>
              <w:bottom w:val="single" w:sz="4" w:space="0" w:color="00643E"/>
            </w:tcBorders>
          </w:tcPr>
          <w:p>
            <w:pPr>
              <w:pStyle w:val="TableParagraph"/>
              <w:spacing w:before="133"/>
              <w:ind w:left="162"/>
              <w:rPr>
                <w:sz w:val="18"/>
              </w:rPr>
            </w:pPr>
            <w:r>
              <w:rPr>
                <w:sz w:val="18"/>
              </w:rPr>
              <w:t>Nil</w:t>
            </w:r>
          </w:p>
        </w:tc>
      </w:tr>
      <w:tr>
        <w:trPr>
          <w:trHeight w:val="1310" w:hRule="atLeast"/>
        </w:trPr>
        <w:tc>
          <w:tcPr>
            <w:tcW w:w="2002" w:type="dxa"/>
            <w:tcBorders>
              <w:top w:val="single" w:sz="4" w:space="0" w:color="00643E"/>
              <w:bottom w:val="single" w:sz="4" w:space="0" w:color="00643E"/>
            </w:tcBorders>
          </w:tcPr>
          <w:p>
            <w:pPr>
              <w:pStyle w:val="TableParagraph"/>
              <w:spacing w:before="133"/>
              <w:ind w:left="115"/>
              <w:rPr>
                <w:sz w:val="18"/>
              </w:rPr>
            </w:pPr>
            <w:r>
              <w:rPr>
                <w:sz w:val="18"/>
              </w:rPr>
              <w:t>Dr Marc Russo</w:t>
            </w:r>
          </w:p>
        </w:tc>
        <w:tc>
          <w:tcPr>
            <w:tcW w:w="3779" w:type="dxa"/>
            <w:tcBorders>
              <w:top w:val="single" w:sz="4" w:space="0" w:color="00643E"/>
              <w:bottom w:val="single" w:sz="4" w:space="0" w:color="00643E"/>
            </w:tcBorders>
          </w:tcPr>
          <w:p>
            <w:pPr>
              <w:pStyle w:val="TableParagraph"/>
              <w:spacing w:line="312" w:lineRule="auto" w:before="131"/>
              <w:ind w:left="278" w:right="174"/>
              <w:rPr>
                <w:sz w:val="18"/>
              </w:rPr>
            </w:pPr>
            <w:r>
              <w:rPr>
                <w:sz w:val="18"/>
              </w:rPr>
              <w:t>Specialist pain medicine physician; founding member and current Secretary of the Australian Chapter of the International Neuromodulation Society.</w:t>
            </w:r>
          </w:p>
        </w:tc>
        <w:tc>
          <w:tcPr>
            <w:tcW w:w="2529" w:type="dxa"/>
            <w:tcBorders>
              <w:top w:val="single" w:sz="4" w:space="0" w:color="00643E"/>
              <w:bottom w:val="single" w:sz="4" w:space="0" w:color="00643E"/>
            </w:tcBorders>
          </w:tcPr>
          <w:p>
            <w:pPr>
              <w:pStyle w:val="TableParagraph"/>
              <w:spacing w:line="312" w:lineRule="auto" w:before="131"/>
              <w:ind w:left="162" w:right="322"/>
              <w:rPr>
                <w:sz w:val="18"/>
              </w:rPr>
            </w:pPr>
            <w:r>
              <w:rPr>
                <w:sz w:val="18"/>
              </w:rPr>
              <w:t>Managing director of a pain clinic in Newcastle, NSW.</w:t>
            </w:r>
          </w:p>
        </w:tc>
      </w:tr>
      <w:tr>
        <w:trPr>
          <w:trHeight w:val="738" w:hRule="atLeast"/>
        </w:trPr>
        <w:tc>
          <w:tcPr>
            <w:tcW w:w="2002" w:type="dxa"/>
            <w:tcBorders>
              <w:top w:val="single" w:sz="4" w:space="0" w:color="00643E"/>
              <w:bottom w:val="single" w:sz="4" w:space="0" w:color="00643E"/>
            </w:tcBorders>
          </w:tcPr>
          <w:p>
            <w:pPr>
              <w:pStyle w:val="TableParagraph"/>
              <w:spacing w:before="133"/>
              <w:ind w:left="115"/>
              <w:rPr>
                <w:sz w:val="18"/>
              </w:rPr>
            </w:pPr>
            <w:r>
              <w:rPr>
                <w:sz w:val="18"/>
              </w:rPr>
              <w:t>Dr Tim Semple</w:t>
            </w:r>
          </w:p>
        </w:tc>
        <w:tc>
          <w:tcPr>
            <w:tcW w:w="3779" w:type="dxa"/>
            <w:tcBorders>
              <w:top w:val="single" w:sz="4" w:space="0" w:color="00643E"/>
              <w:bottom w:val="single" w:sz="4" w:space="0" w:color="00643E"/>
            </w:tcBorders>
          </w:tcPr>
          <w:p>
            <w:pPr>
              <w:pStyle w:val="TableParagraph"/>
              <w:spacing w:line="312" w:lineRule="auto" w:before="130"/>
              <w:ind w:left="278" w:right="462"/>
              <w:rPr>
                <w:sz w:val="18"/>
              </w:rPr>
            </w:pPr>
            <w:r>
              <w:rPr>
                <w:sz w:val="18"/>
              </w:rPr>
              <w:t>Anaesthetist and specialist pain medicine physician; past President Australian Pain</w:t>
            </w:r>
          </w:p>
        </w:tc>
        <w:tc>
          <w:tcPr>
            <w:tcW w:w="2529" w:type="dxa"/>
            <w:tcBorders>
              <w:top w:val="single" w:sz="4" w:space="0" w:color="00643E"/>
              <w:bottom w:val="single" w:sz="4" w:space="0" w:color="00643E"/>
            </w:tcBorders>
          </w:tcPr>
          <w:p>
            <w:pPr>
              <w:pStyle w:val="TableParagraph"/>
              <w:spacing w:line="312" w:lineRule="auto" w:before="130"/>
              <w:ind w:left="162" w:right="416"/>
              <w:rPr>
                <w:sz w:val="18"/>
              </w:rPr>
            </w:pPr>
            <w:r>
              <w:rPr>
                <w:sz w:val="18"/>
              </w:rPr>
              <w:t>Previously on the board of Australian Pain Society.</w:t>
            </w:r>
          </w:p>
        </w:tc>
      </w:tr>
    </w:tbl>
    <w:p>
      <w:pPr>
        <w:spacing w:after="0" w:line="312" w:lineRule="auto"/>
        <w:rPr>
          <w:sz w:val="18"/>
        </w:rPr>
        <w:sectPr>
          <w:headerReference w:type="default" r:id="rId205"/>
          <w:footerReference w:type="default" r:id="rId206"/>
          <w:pgSz w:w="11910" w:h="16840"/>
          <w:pgMar w:header="672" w:footer="734" w:top="1300" w:bottom="920" w:left="440" w:right="140"/>
        </w:sectPr>
      </w:pPr>
    </w:p>
    <w:p>
      <w:pPr>
        <w:pStyle w:val="BodyText"/>
        <w:rPr>
          <w:b/>
          <w:sz w:val="20"/>
        </w:rPr>
      </w:pPr>
    </w:p>
    <w:p>
      <w:pPr>
        <w:pStyle w:val="BodyText"/>
        <w:spacing w:before="2"/>
        <w:rPr>
          <w:b/>
          <w:sz w:val="29"/>
        </w:rPr>
      </w:pPr>
    </w:p>
    <w:tbl>
      <w:tblPr>
        <w:tblW w:w="0" w:type="auto"/>
        <w:jc w:val="left"/>
        <w:tblInd w:w="1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51"/>
        <w:gridCol w:w="3759"/>
        <w:gridCol w:w="2500"/>
      </w:tblGrid>
      <w:tr>
        <w:trPr>
          <w:trHeight w:val="415" w:hRule="atLeast"/>
        </w:trPr>
        <w:tc>
          <w:tcPr>
            <w:tcW w:w="2051" w:type="dxa"/>
            <w:shd w:val="clear" w:color="auto" w:fill="00643E"/>
          </w:tcPr>
          <w:p>
            <w:pPr>
              <w:pStyle w:val="TableParagraph"/>
              <w:spacing w:before="66"/>
              <w:ind w:left="115"/>
              <w:rPr>
                <w:b/>
                <w:sz w:val="18"/>
              </w:rPr>
            </w:pPr>
            <w:r>
              <w:rPr>
                <w:b/>
                <w:sz w:val="18"/>
              </w:rPr>
              <w:t>Name</w:t>
            </w:r>
          </w:p>
        </w:tc>
        <w:tc>
          <w:tcPr>
            <w:tcW w:w="3759" w:type="dxa"/>
            <w:shd w:val="clear" w:color="auto" w:fill="00643E"/>
          </w:tcPr>
          <w:p>
            <w:pPr>
              <w:pStyle w:val="TableParagraph"/>
              <w:spacing w:before="66"/>
              <w:ind w:left="229"/>
              <w:rPr>
                <w:b/>
                <w:sz w:val="18"/>
              </w:rPr>
            </w:pPr>
            <w:r>
              <w:rPr>
                <w:b/>
                <w:sz w:val="18"/>
              </w:rPr>
              <w:t>Position/organisation</w:t>
            </w:r>
          </w:p>
        </w:tc>
        <w:tc>
          <w:tcPr>
            <w:tcW w:w="2500" w:type="dxa"/>
            <w:shd w:val="clear" w:color="auto" w:fill="00643E"/>
          </w:tcPr>
          <w:p>
            <w:pPr>
              <w:pStyle w:val="TableParagraph"/>
              <w:spacing w:before="66"/>
              <w:ind w:left="133"/>
              <w:rPr>
                <w:b/>
                <w:sz w:val="18"/>
              </w:rPr>
            </w:pPr>
            <w:r>
              <w:rPr>
                <w:b/>
                <w:sz w:val="18"/>
              </w:rPr>
              <w:t>Declared conflict of interest</w:t>
            </w:r>
          </w:p>
        </w:tc>
      </w:tr>
      <w:tr>
        <w:trPr>
          <w:trHeight w:val="606" w:hRule="atLeast"/>
        </w:trPr>
        <w:tc>
          <w:tcPr>
            <w:tcW w:w="2051" w:type="dxa"/>
            <w:tcBorders>
              <w:bottom w:val="single" w:sz="4" w:space="0" w:color="00643E"/>
            </w:tcBorders>
          </w:tcPr>
          <w:p>
            <w:pPr>
              <w:pStyle w:val="TableParagraph"/>
              <w:rPr>
                <w:rFonts w:ascii="Times New Roman"/>
                <w:sz w:val="16"/>
              </w:rPr>
            </w:pPr>
          </w:p>
        </w:tc>
        <w:tc>
          <w:tcPr>
            <w:tcW w:w="3759" w:type="dxa"/>
            <w:tcBorders>
              <w:bottom w:val="single" w:sz="4" w:space="0" w:color="00643E"/>
            </w:tcBorders>
          </w:tcPr>
          <w:p>
            <w:pPr>
              <w:pStyle w:val="TableParagraph"/>
              <w:spacing w:line="312" w:lineRule="auto" w:before="1"/>
              <w:ind w:left="229" w:right="182"/>
              <w:rPr>
                <w:sz w:val="18"/>
              </w:rPr>
            </w:pPr>
            <w:r>
              <w:rPr>
                <w:sz w:val="18"/>
              </w:rPr>
              <w:t>Society; board member Painaustralia; current President, Australian Pain Relief Association.</w:t>
            </w:r>
          </w:p>
        </w:tc>
        <w:tc>
          <w:tcPr>
            <w:tcW w:w="2500" w:type="dxa"/>
            <w:tcBorders>
              <w:bottom w:val="single" w:sz="4" w:space="0" w:color="00643E"/>
            </w:tcBorders>
          </w:tcPr>
          <w:p>
            <w:pPr>
              <w:pStyle w:val="TableParagraph"/>
              <w:rPr>
                <w:rFonts w:ascii="Times New Roman"/>
                <w:sz w:val="16"/>
              </w:rPr>
            </w:pPr>
          </w:p>
        </w:tc>
      </w:tr>
      <w:tr>
        <w:trPr>
          <w:trHeight w:val="1024" w:hRule="atLeast"/>
        </w:trPr>
        <w:tc>
          <w:tcPr>
            <w:tcW w:w="2051" w:type="dxa"/>
            <w:tcBorders>
              <w:top w:val="single" w:sz="4" w:space="0" w:color="00643E"/>
              <w:bottom w:val="single" w:sz="4" w:space="0" w:color="00643E"/>
            </w:tcBorders>
          </w:tcPr>
          <w:p>
            <w:pPr>
              <w:pStyle w:val="TableParagraph"/>
              <w:spacing w:before="135"/>
              <w:ind w:left="115"/>
              <w:rPr>
                <w:sz w:val="18"/>
              </w:rPr>
            </w:pPr>
            <w:r>
              <w:rPr>
                <w:sz w:val="18"/>
              </w:rPr>
              <w:t>Dr Andrew Zacest –</w:t>
            </w:r>
          </w:p>
        </w:tc>
        <w:tc>
          <w:tcPr>
            <w:tcW w:w="3759" w:type="dxa"/>
            <w:tcBorders>
              <w:top w:val="single" w:sz="4" w:space="0" w:color="00643E"/>
              <w:bottom w:val="single" w:sz="4" w:space="0" w:color="00643E"/>
            </w:tcBorders>
          </w:tcPr>
          <w:p>
            <w:pPr>
              <w:pStyle w:val="TableParagraph"/>
              <w:spacing w:line="312" w:lineRule="auto" w:before="133"/>
              <w:ind w:left="229"/>
              <w:rPr>
                <w:sz w:val="18"/>
              </w:rPr>
            </w:pPr>
            <w:r>
              <w:rPr>
                <w:sz w:val="18"/>
              </w:rPr>
              <w:t>Consultant neurosurgeon; Clinical Associate Professor, University of Adelaide; board member, Faculty of Pain Medicine (ANZCA).</w:t>
            </w:r>
          </w:p>
        </w:tc>
        <w:tc>
          <w:tcPr>
            <w:tcW w:w="2500" w:type="dxa"/>
            <w:tcBorders>
              <w:top w:val="single" w:sz="4" w:space="0" w:color="00643E"/>
              <w:bottom w:val="single" w:sz="4" w:space="0" w:color="00643E"/>
            </w:tcBorders>
          </w:tcPr>
          <w:p>
            <w:pPr>
              <w:pStyle w:val="TableParagraph"/>
              <w:spacing w:before="135"/>
              <w:ind w:left="133"/>
              <w:rPr>
                <w:sz w:val="18"/>
              </w:rPr>
            </w:pPr>
            <w:r>
              <w:rPr>
                <w:sz w:val="18"/>
              </w:rPr>
              <w:t>Nil</w:t>
            </w:r>
          </w:p>
        </w:tc>
      </w:tr>
      <w:tr>
        <w:trPr>
          <w:trHeight w:val="1024" w:hRule="atLeast"/>
        </w:trPr>
        <w:tc>
          <w:tcPr>
            <w:tcW w:w="2051" w:type="dxa"/>
            <w:tcBorders>
              <w:top w:val="single" w:sz="4" w:space="0" w:color="00643E"/>
              <w:bottom w:val="single" w:sz="4" w:space="0" w:color="00643E"/>
            </w:tcBorders>
          </w:tcPr>
          <w:p>
            <w:pPr>
              <w:pStyle w:val="TableParagraph"/>
              <w:spacing w:before="133"/>
              <w:ind w:left="115"/>
              <w:rPr>
                <w:sz w:val="18"/>
              </w:rPr>
            </w:pPr>
            <w:r>
              <w:rPr>
                <w:sz w:val="18"/>
              </w:rPr>
              <w:t>Adj/Prof Richard Chye -</w:t>
            </w:r>
          </w:p>
        </w:tc>
        <w:tc>
          <w:tcPr>
            <w:tcW w:w="3759" w:type="dxa"/>
            <w:tcBorders>
              <w:top w:val="single" w:sz="4" w:space="0" w:color="00643E"/>
              <w:bottom w:val="single" w:sz="4" w:space="0" w:color="00643E"/>
            </w:tcBorders>
          </w:tcPr>
          <w:p>
            <w:pPr>
              <w:pStyle w:val="TableParagraph"/>
              <w:spacing w:line="314" w:lineRule="auto" w:before="131"/>
              <w:ind w:left="229" w:right="712"/>
              <w:jc w:val="both"/>
              <w:rPr>
                <w:sz w:val="18"/>
              </w:rPr>
            </w:pPr>
            <w:r>
              <w:rPr>
                <w:sz w:val="18"/>
              </w:rPr>
              <w:t>Pain and palliative medicine physician; Director, Sacred Heart Supportive and Palliative Care.</w:t>
            </w:r>
          </w:p>
        </w:tc>
        <w:tc>
          <w:tcPr>
            <w:tcW w:w="2500" w:type="dxa"/>
            <w:tcBorders>
              <w:top w:val="single" w:sz="4" w:space="0" w:color="00643E"/>
              <w:bottom w:val="single" w:sz="4" w:space="0" w:color="00643E"/>
            </w:tcBorders>
          </w:tcPr>
          <w:p>
            <w:pPr>
              <w:pStyle w:val="TableParagraph"/>
              <w:spacing w:line="314" w:lineRule="auto" w:before="131"/>
              <w:ind w:left="133" w:right="189"/>
              <w:rPr>
                <w:sz w:val="18"/>
              </w:rPr>
            </w:pPr>
            <w:r>
              <w:rPr>
                <w:sz w:val="18"/>
              </w:rPr>
              <w:t>Currently a Fellow at the Pain Faculty in Sydney.</w:t>
            </w:r>
          </w:p>
        </w:tc>
      </w:tr>
      <w:tr>
        <w:trPr>
          <w:trHeight w:val="1310" w:hRule="atLeast"/>
        </w:trPr>
        <w:tc>
          <w:tcPr>
            <w:tcW w:w="2051" w:type="dxa"/>
            <w:tcBorders>
              <w:top w:val="single" w:sz="4" w:space="0" w:color="00643E"/>
              <w:bottom w:val="single" w:sz="4" w:space="0" w:color="00643E"/>
            </w:tcBorders>
          </w:tcPr>
          <w:p>
            <w:pPr>
              <w:pStyle w:val="TableParagraph"/>
              <w:spacing w:before="133"/>
              <w:ind w:left="115"/>
              <w:rPr>
                <w:sz w:val="18"/>
              </w:rPr>
            </w:pPr>
            <w:r>
              <w:rPr>
                <w:sz w:val="18"/>
              </w:rPr>
              <w:t>Dr Graham Rice</w:t>
            </w:r>
          </w:p>
        </w:tc>
        <w:tc>
          <w:tcPr>
            <w:tcW w:w="3759" w:type="dxa"/>
            <w:tcBorders>
              <w:top w:val="single" w:sz="4" w:space="0" w:color="00643E"/>
              <w:bottom w:val="single" w:sz="4" w:space="0" w:color="00643E"/>
            </w:tcBorders>
          </w:tcPr>
          <w:p>
            <w:pPr>
              <w:pStyle w:val="TableParagraph"/>
              <w:spacing w:line="312" w:lineRule="auto" w:before="131"/>
              <w:ind w:left="229"/>
              <w:rPr>
                <w:sz w:val="18"/>
              </w:rPr>
            </w:pPr>
            <w:r>
              <w:rPr>
                <w:sz w:val="18"/>
              </w:rPr>
              <w:t>Specialist pain medicine physician, psychiatrist and anaesthetist; foundation board member, Faculty of Pain Medicine (ANZCA).</w:t>
            </w:r>
          </w:p>
        </w:tc>
        <w:tc>
          <w:tcPr>
            <w:tcW w:w="2500" w:type="dxa"/>
            <w:tcBorders>
              <w:top w:val="single" w:sz="4" w:space="0" w:color="00643E"/>
              <w:bottom w:val="single" w:sz="4" w:space="0" w:color="00643E"/>
            </w:tcBorders>
          </w:tcPr>
          <w:p>
            <w:pPr>
              <w:pStyle w:val="TableParagraph"/>
              <w:spacing w:line="312" w:lineRule="auto" w:before="131"/>
              <w:ind w:left="133" w:right="141"/>
              <w:rPr>
                <w:sz w:val="18"/>
              </w:rPr>
            </w:pPr>
            <w:r>
              <w:rPr>
                <w:sz w:val="18"/>
              </w:rPr>
              <w:t>On the Australian Pain Society board and helped develop the Queensland Work Cover guidelines.</w:t>
            </w:r>
          </w:p>
        </w:tc>
      </w:tr>
      <w:tr>
        <w:trPr>
          <w:trHeight w:val="1024" w:hRule="atLeast"/>
        </w:trPr>
        <w:tc>
          <w:tcPr>
            <w:tcW w:w="2051" w:type="dxa"/>
            <w:tcBorders>
              <w:top w:val="single" w:sz="4" w:space="0" w:color="00643E"/>
              <w:bottom w:val="single" w:sz="4" w:space="0" w:color="00643E"/>
            </w:tcBorders>
          </w:tcPr>
          <w:p>
            <w:pPr>
              <w:pStyle w:val="TableParagraph"/>
              <w:spacing w:before="133"/>
              <w:ind w:left="115"/>
              <w:rPr>
                <w:sz w:val="18"/>
              </w:rPr>
            </w:pPr>
            <w:r>
              <w:rPr>
                <w:sz w:val="18"/>
              </w:rPr>
              <w:t>Prof Michael Nicholas</w:t>
            </w:r>
          </w:p>
        </w:tc>
        <w:tc>
          <w:tcPr>
            <w:tcW w:w="3759" w:type="dxa"/>
            <w:tcBorders>
              <w:top w:val="single" w:sz="4" w:space="0" w:color="00643E"/>
              <w:bottom w:val="single" w:sz="4" w:space="0" w:color="00643E"/>
            </w:tcBorders>
          </w:tcPr>
          <w:p>
            <w:pPr>
              <w:pStyle w:val="TableParagraph"/>
              <w:spacing w:line="312" w:lineRule="auto" w:before="131"/>
              <w:ind w:left="229" w:right="147"/>
              <w:rPr>
                <w:sz w:val="18"/>
              </w:rPr>
            </w:pPr>
            <w:r>
              <w:rPr>
                <w:sz w:val="18"/>
              </w:rPr>
              <w:t>Professor and clinical psychologist, Pain Management Research Institute, University of Sydney at Royal North Shore Hospital.</w:t>
            </w:r>
          </w:p>
        </w:tc>
        <w:tc>
          <w:tcPr>
            <w:tcW w:w="2500" w:type="dxa"/>
            <w:tcBorders>
              <w:top w:val="single" w:sz="4" w:space="0" w:color="00643E"/>
              <w:bottom w:val="single" w:sz="4" w:space="0" w:color="00643E"/>
            </w:tcBorders>
          </w:tcPr>
          <w:p>
            <w:pPr>
              <w:pStyle w:val="TableParagraph"/>
              <w:spacing w:before="133"/>
              <w:ind w:left="133"/>
              <w:rPr>
                <w:sz w:val="18"/>
              </w:rPr>
            </w:pPr>
            <w:r>
              <w:rPr>
                <w:sz w:val="18"/>
              </w:rPr>
              <w:t>Author, Manage Your Pain.</w:t>
            </w:r>
          </w:p>
        </w:tc>
      </w:tr>
      <w:tr>
        <w:trPr>
          <w:trHeight w:val="1021" w:hRule="atLeast"/>
        </w:trPr>
        <w:tc>
          <w:tcPr>
            <w:tcW w:w="2051" w:type="dxa"/>
            <w:tcBorders>
              <w:top w:val="single" w:sz="4" w:space="0" w:color="00643E"/>
              <w:bottom w:val="single" w:sz="4" w:space="0" w:color="00643E"/>
            </w:tcBorders>
          </w:tcPr>
          <w:p>
            <w:pPr>
              <w:pStyle w:val="TableParagraph"/>
              <w:spacing w:before="133"/>
              <w:ind w:left="115"/>
              <w:rPr>
                <w:sz w:val="18"/>
              </w:rPr>
            </w:pPr>
            <w:r>
              <w:rPr>
                <w:sz w:val="18"/>
              </w:rPr>
              <w:t>Dr Ian Thong</w:t>
            </w:r>
          </w:p>
        </w:tc>
        <w:tc>
          <w:tcPr>
            <w:tcW w:w="3759" w:type="dxa"/>
            <w:tcBorders>
              <w:top w:val="single" w:sz="4" w:space="0" w:color="00643E"/>
              <w:bottom w:val="single" w:sz="4" w:space="0" w:color="00643E"/>
            </w:tcBorders>
          </w:tcPr>
          <w:p>
            <w:pPr>
              <w:pStyle w:val="TableParagraph"/>
              <w:spacing w:line="312" w:lineRule="auto" w:before="131"/>
              <w:ind w:left="229" w:right="147"/>
              <w:rPr>
                <w:sz w:val="18"/>
              </w:rPr>
            </w:pPr>
            <w:r>
              <w:rPr>
                <w:sz w:val="18"/>
              </w:rPr>
              <w:t>Specialist pain medicine physician and former GP; Medical director of Persistent Pain Services, Gold Coast University hospital.</w:t>
            </w:r>
          </w:p>
        </w:tc>
        <w:tc>
          <w:tcPr>
            <w:tcW w:w="2500" w:type="dxa"/>
            <w:tcBorders>
              <w:top w:val="single" w:sz="4" w:space="0" w:color="00643E"/>
              <w:bottom w:val="single" w:sz="4" w:space="0" w:color="00643E"/>
            </w:tcBorders>
          </w:tcPr>
          <w:p>
            <w:pPr>
              <w:pStyle w:val="TableParagraph"/>
              <w:spacing w:line="312" w:lineRule="auto" w:before="131"/>
              <w:ind w:left="133" w:right="189"/>
              <w:rPr>
                <w:sz w:val="18"/>
              </w:rPr>
            </w:pPr>
            <w:r>
              <w:rPr>
                <w:sz w:val="18"/>
              </w:rPr>
              <w:t>Director of Pain Services at Gold Coast Hospital and a former rural GP.</w:t>
            </w:r>
          </w:p>
        </w:tc>
      </w:tr>
      <w:tr>
        <w:trPr>
          <w:trHeight w:val="549" w:hRule="atLeast"/>
        </w:trPr>
        <w:tc>
          <w:tcPr>
            <w:tcW w:w="2051" w:type="dxa"/>
            <w:tcBorders>
              <w:top w:val="single" w:sz="4" w:space="0" w:color="00643E"/>
              <w:bottom w:val="single" w:sz="4" w:space="0" w:color="00643E"/>
            </w:tcBorders>
          </w:tcPr>
          <w:p>
            <w:pPr>
              <w:pStyle w:val="TableParagraph"/>
              <w:spacing w:before="135"/>
              <w:ind w:left="115"/>
              <w:rPr>
                <w:sz w:val="18"/>
              </w:rPr>
            </w:pPr>
            <w:r>
              <w:rPr>
                <w:sz w:val="18"/>
              </w:rPr>
              <w:t>Dr Gus Ferguson</w:t>
            </w:r>
          </w:p>
        </w:tc>
        <w:tc>
          <w:tcPr>
            <w:tcW w:w="3759" w:type="dxa"/>
            <w:tcBorders>
              <w:top w:val="single" w:sz="4" w:space="0" w:color="00643E"/>
              <w:bottom w:val="single" w:sz="4" w:space="0" w:color="00643E"/>
            </w:tcBorders>
          </w:tcPr>
          <w:p>
            <w:pPr>
              <w:pStyle w:val="TableParagraph"/>
              <w:spacing w:before="135"/>
              <w:ind w:left="229"/>
              <w:rPr>
                <w:sz w:val="18"/>
              </w:rPr>
            </w:pPr>
            <w:r>
              <w:rPr>
                <w:sz w:val="18"/>
              </w:rPr>
              <w:t>Interventional and general radiologist.</w:t>
            </w:r>
          </w:p>
        </w:tc>
        <w:tc>
          <w:tcPr>
            <w:tcW w:w="2500" w:type="dxa"/>
            <w:tcBorders>
              <w:top w:val="single" w:sz="4" w:space="0" w:color="00643E"/>
              <w:bottom w:val="single" w:sz="4" w:space="0" w:color="00643E"/>
            </w:tcBorders>
          </w:tcPr>
          <w:p>
            <w:pPr>
              <w:pStyle w:val="TableParagraph"/>
              <w:spacing w:before="135"/>
              <w:ind w:left="133"/>
              <w:rPr>
                <w:sz w:val="18"/>
              </w:rPr>
            </w:pPr>
            <w:r>
              <w:rPr>
                <w:sz w:val="18"/>
              </w:rPr>
              <w:t>Nil</w:t>
            </w:r>
          </w:p>
        </w:tc>
      </w:tr>
      <w:tr>
        <w:trPr>
          <w:trHeight w:val="1024" w:hRule="atLeast"/>
        </w:trPr>
        <w:tc>
          <w:tcPr>
            <w:tcW w:w="2051" w:type="dxa"/>
            <w:tcBorders>
              <w:top w:val="single" w:sz="4" w:space="0" w:color="00643E"/>
              <w:bottom w:val="single" w:sz="4" w:space="0" w:color="00643E"/>
            </w:tcBorders>
          </w:tcPr>
          <w:p>
            <w:pPr>
              <w:pStyle w:val="TableParagraph"/>
              <w:spacing w:before="133"/>
              <w:ind w:left="115"/>
              <w:rPr>
                <w:sz w:val="18"/>
              </w:rPr>
            </w:pPr>
            <w:r>
              <w:rPr>
                <w:sz w:val="18"/>
              </w:rPr>
              <w:t>Mr John Stubbs</w:t>
            </w:r>
          </w:p>
        </w:tc>
        <w:tc>
          <w:tcPr>
            <w:tcW w:w="3759" w:type="dxa"/>
            <w:tcBorders>
              <w:top w:val="single" w:sz="4" w:space="0" w:color="00643E"/>
              <w:bottom w:val="single" w:sz="4" w:space="0" w:color="00643E"/>
            </w:tcBorders>
          </w:tcPr>
          <w:p>
            <w:pPr>
              <w:pStyle w:val="TableParagraph"/>
              <w:spacing w:line="314" w:lineRule="auto" w:before="131"/>
              <w:ind w:left="229" w:right="182"/>
              <w:rPr>
                <w:sz w:val="18"/>
              </w:rPr>
            </w:pPr>
            <w:r>
              <w:rPr>
                <w:sz w:val="18"/>
              </w:rPr>
              <w:t>Member, Medical Services Advisory Committee (ESC); consumer representative.</w:t>
            </w:r>
          </w:p>
        </w:tc>
        <w:tc>
          <w:tcPr>
            <w:tcW w:w="2500" w:type="dxa"/>
            <w:tcBorders>
              <w:top w:val="single" w:sz="4" w:space="0" w:color="00643E"/>
              <w:bottom w:val="single" w:sz="4" w:space="0" w:color="00643E"/>
            </w:tcBorders>
          </w:tcPr>
          <w:p>
            <w:pPr>
              <w:pStyle w:val="TableParagraph"/>
              <w:spacing w:line="314" w:lineRule="auto" w:before="131"/>
              <w:ind w:left="133" w:right="408"/>
              <w:rPr>
                <w:sz w:val="18"/>
              </w:rPr>
            </w:pPr>
            <w:r>
              <w:rPr>
                <w:sz w:val="18"/>
              </w:rPr>
              <w:t>Developing cancer pain guidelines with the Cancer Institute of Australia.</w:t>
            </w:r>
          </w:p>
        </w:tc>
      </w:tr>
      <w:tr>
        <w:trPr>
          <w:trHeight w:val="1310" w:hRule="atLeast"/>
        </w:trPr>
        <w:tc>
          <w:tcPr>
            <w:tcW w:w="2051" w:type="dxa"/>
            <w:tcBorders>
              <w:top w:val="single" w:sz="4" w:space="0" w:color="00643E"/>
              <w:bottom w:val="single" w:sz="4" w:space="0" w:color="00643E"/>
            </w:tcBorders>
          </w:tcPr>
          <w:p>
            <w:pPr>
              <w:pStyle w:val="TableParagraph"/>
              <w:spacing w:before="133"/>
              <w:ind w:left="115"/>
              <w:rPr>
                <w:sz w:val="18"/>
              </w:rPr>
            </w:pPr>
            <w:r>
              <w:rPr>
                <w:sz w:val="18"/>
              </w:rPr>
              <w:t>Ms Lesley Brydon</w:t>
            </w:r>
          </w:p>
        </w:tc>
        <w:tc>
          <w:tcPr>
            <w:tcW w:w="3759" w:type="dxa"/>
            <w:tcBorders>
              <w:top w:val="single" w:sz="4" w:space="0" w:color="00643E"/>
              <w:bottom w:val="single" w:sz="4" w:space="0" w:color="00643E"/>
            </w:tcBorders>
          </w:tcPr>
          <w:p>
            <w:pPr>
              <w:pStyle w:val="TableParagraph"/>
              <w:spacing w:line="312" w:lineRule="auto" w:before="131"/>
              <w:ind w:left="229"/>
              <w:rPr>
                <w:sz w:val="18"/>
              </w:rPr>
            </w:pPr>
            <w:r>
              <w:rPr>
                <w:sz w:val="18"/>
              </w:rPr>
              <w:t>Founding CEO of Painaustralia; consumer representative.</w:t>
            </w:r>
          </w:p>
        </w:tc>
        <w:tc>
          <w:tcPr>
            <w:tcW w:w="2500" w:type="dxa"/>
            <w:tcBorders>
              <w:top w:val="single" w:sz="4" w:space="0" w:color="00643E"/>
              <w:bottom w:val="single" w:sz="4" w:space="0" w:color="00643E"/>
            </w:tcBorders>
          </w:tcPr>
          <w:p>
            <w:pPr>
              <w:pStyle w:val="TableParagraph"/>
              <w:spacing w:line="312" w:lineRule="auto" w:before="131"/>
              <w:ind w:left="133" w:right="90"/>
              <w:rPr>
                <w:sz w:val="18"/>
              </w:rPr>
            </w:pPr>
            <w:r>
              <w:rPr>
                <w:sz w:val="18"/>
              </w:rPr>
              <w:t>Founding CEO of Painaustralia, Executive Director of the National Pain Summit and long term pain patient.</w:t>
            </w:r>
          </w:p>
        </w:tc>
      </w:tr>
      <w:tr>
        <w:trPr>
          <w:trHeight w:val="2452" w:hRule="atLeast"/>
        </w:trPr>
        <w:tc>
          <w:tcPr>
            <w:tcW w:w="2051" w:type="dxa"/>
            <w:tcBorders>
              <w:top w:val="single" w:sz="4" w:space="0" w:color="00643E"/>
              <w:bottom w:val="single" w:sz="4" w:space="0" w:color="00643E"/>
            </w:tcBorders>
          </w:tcPr>
          <w:p>
            <w:pPr>
              <w:pStyle w:val="TableParagraph"/>
              <w:spacing w:before="133"/>
              <w:ind w:left="115"/>
              <w:rPr>
                <w:sz w:val="18"/>
              </w:rPr>
            </w:pPr>
            <w:r>
              <w:rPr>
                <w:sz w:val="18"/>
              </w:rPr>
              <w:t>Dr Marilla Druitt</w:t>
            </w:r>
          </w:p>
        </w:tc>
        <w:tc>
          <w:tcPr>
            <w:tcW w:w="3759" w:type="dxa"/>
            <w:tcBorders>
              <w:top w:val="single" w:sz="4" w:space="0" w:color="00643E"/>
              <w:bottom w:val="single" w:sz="4" w:space="0" w:color="00643E"/>
            </w:tcBorders>
          </w:tcPr>
          <w:p>
            <w:pPr>
              <w:pStyle w:val="TableParagraph"/>
              <w:spacing w:line="312" w:lineRule="auto" w:before="131"/>
              <w:ind w:left="229" w:right="262"/>
              <w:rPr>
                <w:sz w:val="18"/>
              </w:rPr>
            </w:pPr>
            <w:r>
              <w:rPr>
                <w:sz w:val="18"/>
              </w:rPr>
              <w:t>Gynaecologist Obstetrician, Persistent Pelvic Pain Clinic University Hospital Geelong.</w:t>
            </w:r>
          </w:p>
        </w:tc>
        <w:tc>
          <w:tcPr>
            <w:tcW w:w="2500" w:type="dxa"/>
            <w:tcBorders>
              <w:top w:val="single" w:sz="4" w:space="0" w:color="00643E"/>
              <w:bottom w:val="single" w:sz="4" w:space="0" w:color="00643E"/>
            </w:tcBorders>
          </w:tcPr>
          <w:p>
            <w:pPr>
              <w:pStyle w:val="TableParagraph"/>
              <w:spacing w:line="312" w:lineRule="auto" w:before="131"/>
              <w:ind w:left="133" w:right="189"/>
              <w:rPr>
                <w:sz w:val="18"/>
              </w:rPr>
            </w:pPr>
            <w:r>
              <w:rPr>
                <w:sz w:val="18"/>
              </w:rPr>
              <w:t>Obstetrician specialising in laparoscopic surgery and endometriosis; works at a public pain clinic. Affiliations with the Pelvic Pain Foundation of Australia and International Pelvic Pain Society.</w:t>
            </w:r>
          </w:p>
        </w:tc>
      </w:tr>
      <w:tr>
        <w:trPr>
          <w:trHeight w:val="1024" w:hRule="atLeast"/>
        </w:trPr>
        <w:tc>
          <w:tcPr>
            <w:tcW w:w="2051" w:type="dxa"/>
            <w:tcBorders>
              <w:top w:val="single" w:sz="4" w:space="0" w:color="00643E"/>
              <w:bottom w:val="single" w:sz="4" w:space="0" w:color="00643E"/>
            </w:tcBorders>
          </w:tcPr>
          <w:p>
            <w:pPr>
              <w:pStyle w:val="TableParagraph"/>
              <w:spacing w:before="133"/>
              <w:ind w:left="115"/>
              <w:rPr>
                <w:sz w:val="18"/>
              </w:rPr>
            </w:pPr>
            <w:r>
              <w:rPr>
                <w:sz w:val="18"/>
              </w:rPr>
              <w:t>Dr Lee Gruner</w:t>
            </w:r>
          </w:p>
        </w:tc>
        <w:tc>
          <w:tcPr>
            <w:tcW w:w="3759" w:type="dxa"/>
            <w:tcBorders>
              <w:top w:val="single" w:sz="4" w:space="0" w:color="00643E"/>
              <w:bottom w:val="single" w:sz="4" w:space="0" w:color="00643E"/>
            </w:tcBorders>
          </w:tcPr>
          <w:p>
            <w:pPr>
              <w:pStyle w:val="TableParagraph"/>
              <w:spacing w:line="312" w:lineRule="auto" w:before="131"/>
              <w:ind w:left="229" w:right="708"/>
              <w:rPr>
                <w:sz w:val="18"/>
              </w:rPr>
            </w:pPr>
            <w:r>
              <w:rPr>
                <w:sz w:val="18"/>
              </w:rPr>
              <w:t>Immediate past President of the Royal Australasian College of Medical Administrators, Taskforce ex officio.</w:t>
            </w:r>
          </w:p>
        </w:tc>
        <w:tc>
          <w:tcPr>
            <w:tcW w:w="2500" w:type="dxa"/>
            <w:tcBorders>
              <w:top w:val="single" w:sz="4" w:space="0" w:color="00643E"/>
              <w:bottom w:val="single" w:sz="4" w:space="0" w:color="00643E"/>
            </w:tcBorders>
          </w:tcPr>
          <w:p>
            <w:pPr>
              <w:pStyle w:val="TableParagraph"/>
              <w:spacing w:before="133"/>
              <w:ind w:left="133"/>
              <w:rPr>
                <w:sz w:val="18"/>
              </w:rPr>
            </w:pPr>
            <w:r>
              <w:rPr>
                <w:sz w:val="18"/>
              </w:rPr>
              <w:t>Nil</w:t>
            </w:r>
          </w:p>
        </w:tc>
      </w:tr>
      <w:tr>
        <w:trPr>
          <w:trHeight w:val="549" w:hRule="atLeast"/>
        </w:trPr>
        <w:tc>
          <w:tcPr>
            <w:tcW w:w="2051" w:type="dxa"/>
            <w:tcBorders>
              <w:top w:val="single" w:sz="4" w:space="0" w:color="00643E"/>
              <w:bottom w:val="single" w:sz="4" w:space="0" w:color="00643E"/>
            </w:tcBorders>
          </w:tcPr>
          <w:p>
            <w:pPr>
              <w:pStyle w:val="TableParagraph"/>
              <w:spacing w:before="133"/>
              <w:ind w:left="115"/>
              <w:rPr>
                <w:sz w:val="18"/>
              </w:rPr>
            </w:pPr>
            <w:r>
              <w:rPr>
                <w:sz w:val="18"/>
              </w:rPr>
              <w:t>Prof Michael Besser -</w:t>
            </w:r>
          </w:p>
        </w:tc>
        <w:tc>
          <w:tcPr>
            <w:tcW w:w="3759" w:type="dxa"/>
            <w:tcBorders>
              <w:top w:val="single" w:sz="4" w:space="0" w:color="00643E"/>
              <w:bottom w:val="single" w:sz="4" w:space="0" w:color="00643E"/>
            </w:tcBorders>
          </w:tcPr>
          <w:p>
            <w:pPr>
              <w:pStyle w:val="TableParagraph"/>
              <w:spacing w:before="133"/>
              <w:ind w:left="229"/>
              <w:rPr>
                <w:sz w:val="18"/>
              </w:rPr>
            </w:pPr>
            <w:r>
              <w:rPr>
                <w:sz w:val="18"/>
              </w:rPr>
              <w:t>Neurosurgeon, Taskforce surgical ex officio.</w:t>
            </w:r>
          </w:p>
        </w:tc>
        <w:tc>
          <w:tcPr>
            <w:tcW w:w="2500" w:type="dxa"/>
            <w:tcBorders>
              <w:top w:val="single" w:sz="4" w:space="0" w:color="00643E"/>
              <w:bottom w:val="single" w:sz="4" w:space="0" w:color="00643E"/>
            </w:tcBorders>
          </w:tcPr>
          <w:p>
            <w:pPr>
              <w:pStyle w:val="TableParagraph"/>
              <w:spacing w:before="133"/>
              <w:ind w:left="133"/>
              <w:rPr>
                <w:sz w:val="18"/>
              </w:rPr>
            </w:pPr>
            <w:r>
              <w:rPr>
                <w:sz w:val="18"/>
              </w:rPr>
              <w:t>Nil</w:t>
            </w:r>
          </w:p>
        </w:tc>
      </w:tr>
    </w:tbl>
    <w:p>
      <w:pPr>
        <w:spacing w:after="0"/>
        <w:rPr>
          <w:sz w:val="18"/>
        </w:rPr>
        <w:sectPr>
          <w:pgSz w:w="11910" w:h="16840"/>
          <w:pgMar w:header="672" w:footer="734" w:top="1300" w:bottom="920" w:left="440" w:right="140"/>
        </w:sectPr>
      </w:pPr>
    </w:p>
    <w:p>
      <w:pPr>
        <w:pStyle w:val="BodyText"/>
        <w:rPr>
          <w:b/>
          <w:sz w:val="20"/>
        </w:rPr>
      </w:pPr>
    </w:p>
    <w:p>
      <w:pPr>
        <w:pStyle w:val="BodyText"/>
        <w:spacing w:before="2"/>
        <w:rPr>
          <w:b/>
          <w:sz w:val="29"/>
        </w:rPr>
      </w:pPr>
    </w:p>
    <w:tbl>
      <w:tblPr>
        <w:tblW w:w="0" w:type="auto"/>
        <w:jc w:val="left"/>
        <w:tblInd w:w="1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1"/>
        <w:gridCol w:w="3544"/>
        <w:gridCol w:w="2782"/>
      </w:tblGrid>
      <w:tr>
        <w:trPr>
          <w:trHeight w:val="415" w:hRule="atLeast"/>
        </w:trPr>
        <w:tc>
          <w:tcPr>
            <w:tcW w:w="1991" w:type="dxa"/>
            <w:shd w:val="clear" w:color="auto" w:fill="00643E"/>
          </w:tcPr>
          <w:p>
            <w:pPr>
              <w:pStyle w:val="TableParagraph"/>
              <w:spacing w:before="66"/>
              <w:ind w:left="118"/>
              <w:rPr>
                <w:b/>
                <w:sz w:val="18"/>
              </w:rPr>
            </w:pPr>
            <w:r>
              <w:rPr>
                <w:b/>
                <w:sz w:val="18"/>
              </w:rPr>
              <w:t>Name</w:t>
            </w:r>
          </w:p>
        </w:tc>
        <w:tc>
          <w:tcPr>
            <w:tcW w:w="3544" w:type="dxa"/>
            <w:shd w:val="clear" w:color="auto" w:fill="00643E"/>
          </w:tcPr>
          <w:p>
            <w:pPr>
              <w:pStyle w:val="TableParagraph"/>
              <w:spacing w:before="66"/>
              <w:ind w:left="293"/>
              <w:rPr>
                <w:b/>
                <w:sz w:val="18"/>
              </w:rPr>
            </w:pPr>
            <w:r>
              <w:rPr>
                <w:b/>
                <w:sz w:val="18"/>
              </w:rPr>
              <w:t>Position/organisation</w:t>
            </w:r>
          </w:p>
        </w:tc>
        <w:tc>
          <w:tcPr>
            <w:tcW w:w="2782" w:type="dxa"/>
            <w:shd w:val="clear" w:color="auto" w:fill="00643E"/>
          </w:tcPr>
          <w:p>
            <w:pPr>
              <w:pStyle w:val="TableParagraph"/>
              <w:spacing w:before="66"/>
              <w:ind w:left="411"/>
              <w:rPr>
                <w:b/>
                <w:sz w:val="18"/>
              </w:rPr>
            </w:pPr>
            <w:r>
              <w:rPr>
                <w:b/>
                <w:sz w:val="18"/>
              </w:rPr>
              <w:t>Declared conflict of interest</w:t>
            </w:r>
          </w:p>
        </w:tc>
      </w:tr>
      <w:tr>
        <w:trPr>
          <w:trHeight w:val="1024" w:hRule="atLeast"/>
        </w:trPr>
        <w:tc>
          <w:tcPr>
            <w:tcW w:w="1991" w:type="dxa"/>
            <w:tcBorders>
              <w:bottom w:val="single" w:sz="4" w:space="0" w:color="00643E"/>
            </w:tcBorders>
          </w:tcPr>
          <w:p>
            <w:pPr>
              <w:pStyle w:val="TableParagraph"/>
              <w:spacing w:before="133"/>
              <w:ind w:left="118"/>
              <w:rPr>
                <w:sz w:val="18"/>
              </w:rPr>
            </w:pPr>
            <w:r>
              <w:rPr>
                <w:sz w:val="18"/>
              </w:rPr>
              <w:t>A/Prof Tillman Boesel</w:t>
            </w:r>
          </w:p>
        </w:tc>
        <w:tc>
          <w:tcPr>
            <w:tcW w:w="3544" w:type="dxa"/>
            <w:tcBorders>
              <w:bottom w:val="single" w:sz="4" w:space="0" w:color="00643E"/>
            </w:tcBorders>
          </w:tcPr>
          <w:p>
            <w:pPr>
              <w:pStyle w:val="TableParagraph"/>
              <w:spacing w:line="312" w:lineRule="auto" w:before="131"/>
              <w:ind w:left="293" w:right="391"/>
              <w:rPr>
                <w:sz w:val="18"/>
              </w:rPr>
            </w:pPr>
            <w:r>
              <w:rPr>
                <w:sz w:val="18"/>
              </w:rPr>
              <w:t>Specialist pain medicine physician with expertise in neuropathic pain, and interventional pain therapies.</w:t>
            </w:r>
          </w:p>
        </w:tc>
        <w:tc>
          <w:tcPr>
            <w:tcW w:w="2782" w:type="dxa"/>
            <w:tcBorders>
              <w:bottom w:val="single" w:sz="4" w:space="0" w:color="00643E"/>
            </w:tcBorders>
          </w:tcPr>
          <w:p>
            <w:pPr>
              <w:pStyle w:val="TableParagraph"/>
              <w:spacing w:line="312" w:lineRule="auto" w:before="131"/>
              <w:ind w:left="411" w:right="580"/>
              <w:rPr>
                <w:sz w:val="18"/>
              </w:rPr>
            </w:pPr>
            <w:r>
              <w:rPr>
                <w:sz w:val="18"/>
              </w:rPr>
              <w:t>Medical Director of pain management practice</w:t>
            </w:r>
          </w:p>
        </w:tc>
      </w:tr>
    </w:tbl>
    <w:p>
      <w:pPr>
        <w:pStyle w:val="BodyText"/>
        <w:spacing w:before="11"/>
        <w:rPr>
          <w:b/>
          <w:sz w:val="5"/>
        </w:rPr>
      </w:pPr>
    </w:p>
    <w:p>
      <w:pPr>
        <w:pStyle w:val="Heading3"/>
      </w:pPr>
      <w:r>
        <w:rPr/>
        <w:drawing>
          <wp:anchor distT="0" distB="0" distL="0" distR="0" allowOverlap="1" layoutInCell="1" locked="0" behindDoc="0" simplePos="0" relativeHeight="15826432">
            <wp:simplePos x="0" y="0"/>
            <wp:positionH relativeFrom="page">
              <wp:posOffset>1143086</wp:posOffset>
            </wp:positionH>
            <wp:positionV relativeFrom="paragraph">
              <wp:posOffset>81664</wp:posOffset>
            </wp:positionV>
            <wp:extent cx="200319" cy="110459"/>
            <wp:effectExtent l="0" t="0" r="0" b="0"/>
            <wp:wrapNone/>
            <wp:docPr id="415" name="image188.png"/>
            <wp:cNvGraphicFramePr>
              <a:graphicFrameLocks noChangeAspect="1"/>
            </wp:cNvGraphicFramePr>
            <a:graphic>
              <a:graphicData uri="http://schemas.openxmlformats.org/drawingml/2006/picture">
                <pic:pic>
                  <pic:nvPicPr>
                    <pic:cNvPr id="416" name="image188.png"/>
                    <pic:cNvPicPr/>
                  </pic:nvPicPr>
                  <pic:blipFill>
                    <a:blip r:embed="rId208" cstate="print"/>
                    <a:stretch>
                      <a:fillRect/>
                    </a:stretch>
                  </pic:blipFill>
                  <pic:spPr>
                    <a:xfrm>
                      <a:off x="0" y="0"/>
                      <a:ext cx="200319" cy="110459"/>
                    </a:xfrm>
                    <a:prstGeom prst="rect">
                      <a:avLst/>
                    </a:prstGeom>
                  </pic:spPr>
                </pic:pic>
              </a:graphicData>
            </a:graphic>
          </wp:anchor>
        </w:drawing>
      </w:r>
      <w:r>
        <w:rPr>
          <w:color w:val="00643E"/>
        </w:rPr>
        <w:t>Conflicts of interest</w:t>
      </w:r>
    </w:p>
    <w:p>
      <w:pPr>
        <w:pStyle w:val="BodyText"/>
        <w:spacing w:before="9"/>
        <w:rPr>
          <w:b/>
          <w:sz w:val="17"/>
        </w:rPr>
      </w:pPr>
    </w:p>
    <w:p>
      <w:pPr>
        <w:pStyle w:val="BodyText"/>
        <w:spacing w:line="312" w:lineRule="auto" w:before="56"/>
        <w:ind w:left="1358" w:right="1801"/>
      </w:pPr>
      <w:r>
        <w:rPr/>
        <w:t>All members of the Taskforce, clinical committees and working groups are asked to declare any conflicts of interest at the start of their involvement and reminded to update their declarations at the beginning of each committee or working group meeting. A complete list of declared conflicts of interest can be viewed in </w:t>
      </w:r>
      <w:hyperlink w:history="true" w:anchor="_bookmark1">
        <w:r>
          <w:rPr/>
          <w:t>Table 1 </w:t>
        </w:r>
      </w:hyperlink>
      <w:r>
        <w:rPr/>
        <w:t>above.</w:t>
      </w:r>
    </w:p>
    <w:p>
      <w:pPr>
        <w:pStyle w:val="BodyText"/>
        <w:spacing w:line="312" w:lineRule="auto" w:before="179"/>
        <w:ind w:left="1358" w:right="1694"/>
      </w:pPr>
      <w:r>
        <w:rPr/>
        <w:t>It is noted that the majority of the Committee members share a common conflict of interest in reviewing items that are a source of revenue for them (i.e. Committee members claim the items under review). This conflict is inherent in a clinician-led process and, having been acknowledged by the Committee and the Taskforce, it was agreed that this should not prevent a clinician from participating in the review of items.</w:t>
      </w:r>
    </w:p>
    <w:p>
      <w:pPr>
        <w:pStyle w:val="Heading3"/>
        <w:spacing w:before="124"/>
      </w:pPr>
      <w:r>
        <w:rPr/>
        <w:drawing>
          <wp:anchor distT="0" distB="0" distL="0" distR="0" allowOverlap="1" layoutInCell="1" locked="0" behindDoc="0" simplePos="0" relativeHeight="15826944">
            <wp:simplePos x="0" y="0"/>
            <wp:positionH relativeFrom="page">
              <wp:posOffset>1143086</wp:posOffset>
            </wp:positionH>
            <wp:positionV relativeFrom="paragraph">
              <wp:posOffset>130179</wp:posOffset>
            </wp:positionV>
            <wp:extent cx="200319" cy="110459"/>
            <wp:effectExtent l="0" t="0" r="0" b="0"/>
            <wp:wrapNone/>
            <wp:docPr id="417" name="image189.png"/>
            <wp:cNvGraphicFramePr>
              <a:graphicFrameLocks noChangeAspect="1"/>
            </wp:cNvGraphicFramePr>
            <a:graphic>
              <a:graphicData uri="http://schemas.openxmlformats.org/drawingml/2006/picture">
                <pic:pic>
                  <pic:nvPicPr>
                    <pic:cNvPr id="418" name="image189.png"/>
                    <pic:cNvPicPr/>
                  </pic:nvPicPr>
                  <pic:blipFill>
                    <a:blip r:embed="rId209" cstate="print"/>
                    <a:stretch>
                      <a:fillRect/>
                    </a:stretch>
                  </pic:blipFill>
                  <pic:spPr>
                    <a:xfrm>
                      <a:off x="0" y="0"/>
                      <a:ext cx="200319" cy="110459"/>
                    </a:xfrm>
                    <a:prstGeom prst="rect">
                      <a:avLst/>
                    </a:prstGeom>
                  </pic:spPr>
                </pic:pic>
              </a:graphicData>
            </a:graphic>
          </wp:anchor>
        </w:drawing>
      </w:r>
      <w:r>
        <w:rPr>
          <w:color w:val="00643E"/>
        </w:rPr>
        <w:t>Areas of responsibility of the Committee</w:t>
      </w:r>
    </w:p>
    <w:p>
      <w:pPr>
        <w:pStyle w:val="BodyText"/>
        <w:spacing w:before="9"/>
        <w:rPr>
          <w:b/>
          <w:sz w:val="17"/>
        </w:rPr>
      </w:pPr>
    </w:p>
    <w:p>
      <w:pPr>
        <w:pStyle w:val="BodyText"/>
        <w:spacing w:line="312" w:lineRule="auto" w:before="56"/>
        <w:ind w:left="1358" w:right="1970"/>
      </w:pPr>
      <w:r>
        <w:rPr/>
        <w:t>The Committee reviewed 62 MBS items, five of which were later referred to other clinical committees for review as they more closely related to the work of those committees</w:t>
      </w:r>
    </w:p>
    <w:p>
      <w:pPr>
        <w:pStyle w:val="BodyText"/>
        <w:spacing w:line="312" w:lineRule="auto" w:before="181"/>
        <w:ind w:left="1358" w:right="1906"/>
      </w:pPr>
      <w:r>
        <w:rPr/>
        <w:t>Many of the items assigned to the Committee are predominantly used by specialty groups beyond pain medicine including diagnostic radiologists, neurosurgeons, GPs, general surgeons, anaesthetists, cardiothoracic surgeons, orthopaedic surgeons, ENT specialists, haematologists, ophthalmologists, plastic and reconstructive surgeons, palliative care specialists, vascular specialists and rehabilitation specialists.</w:t>
      </w:r>
    </w:p>
    <w:p>
      <w:pPr>
        <w:pStyle w:val="BodyText"/>
        <w:spacing w:line="312" w:lineRule="auto" w:before="179"/>
        <w:ind w:left="1358" w:right="2116"/>
      </w:pPr>
      <w:r>
        <w:rPr/>
        <w:t>The items allocated to the Committee to review were determined with consideration of advice from the Faculty of Pain Medicine of the Australian and New Zealand College of Anaesthetists (ANZCA).</w:t>
      </w:r>
    </w:p>
    <w:p>
      <w:pPr>
        <w:pStyle w:val="BodyText"/>
        <w:spacing w:line="312" w:lineRule="auto" w:before="179"/>
        <w:ind w:left="1358" w:right="1687"/>
      </w:pPr>
      <w:r>
        <w:rPr/>
        <w:t>The rising service of pain related procedures is not due to an increased number of people with pain. In part the trend may reflect an attempt to provide alternative treatment to long term opioids. However, it is also possible that some increase in use may not have been in accordance with the original intention of the item number and may not reflect best practice.</w:t>
      </w:r>
    </w:p>
    <w:p>
      <w:pPr>
        <w:spacing w:after="0" w:line="312" w:lineRule="auto"/>
        <w:sectPr>
          <w:pgSz w:w="11910" w:h="16840"/>
          <w:pgMar w:header="672" w:footer="734" w:top="1300" w:bottom="920" w:left="440" w:right="140"/>
        </w:sectPr>
      </w:pPr>
    </w:p>
    <w:p>
      <w:pPr>
        <w:pStyle w:val="BodyText"/>
        <w:rPr>
          <w:sz w:val="20"/>
        </w:rPr>
      </w:pPr>
    </w:p>
    <w:p>
      <w:pPr>
        <w:pStyle w:val="BodyText"/>
        <w:spacing w:before="3"/>
        <w:rPr>
          <w:sz w:val="24"/>
        </w:rPr>
      </w:pPr>
    </w:p>
    <w:p>
      <w:pPr>
        <w:pStyle w:val="Heading7"/>
        <w:spacing w:before="57"/>
        <w:ind w:left="1358"/>
      </w:pPr>
      <w:bookmarkStart w:name="_bookmark2" w:id="3"/>
      <w:bookmarkEnd w:id="3"/>
      <w:r>
        <w:rPr>
          <w:b w:val="0"/>
        </w:rPr>
      </w:r>
      <w:r>
        <w:rPr/>
        <w:t>Figure 1: pain management item growth - 2011/12–2016/17</w:t>
      </w:r>
    </w:p>
    <w:p>
      <w:pPr>
        <w:pStyle w:val="BodyText"/>
        <w:spacing w:before="8"/>
        <w:rPr>
          <w:b/>
          <w:sz w:val="17"/>
        </w:rPr>
      </w:pPr>
      <w:r>
        <w:rPr/>
        <w:drawing>
          <wp:anchor distT="0" distB="0" distL="0" distR="0" allowOverlap="1" layoutInCell="1" locked="0" behindDoc="0" simplePos="0" relativeHeight="193">
            <wp:simplePos x="0" y="0"/>
            <wp:positionH relativeFrom="page">
              <wp:posOffset>343708</wp:posOffset>
            </wp:positionH>
            <wp:positionV relativeFrom="paragraph">
              <wp:posOffset>161781</wp:posOffset>
            </wp:positionV>
            <wp:extent cx="7090689" cy="3711035"/>
            <wp:effectExtent l="0" t="0" r="0" b="0"/>
            <wp:wrapTopAndBottom/>
            <wp:docPr id="419" name="image190.jpeg" descr="Figure 1 illustrates the compounded annual growth in the number of services per capita, total benefits and average benefits per service over the past five years (from financial year 2011/12 to financial year 2016-17). It covers the whole 62 items reviewed prior to 5 items being referred. "/>
            <wp:cNvGraphicFramePr>
              <a:graphicFrameLocks noChangeAspect="1"/>
            </wp:cNvGraphicFramePr>
            <a:graphic>
              <a:graphicData uri="http://schemas.openxmlformats.org/drawingml/2006/picture">
                <pic:pic>
                  <pic:nvPicPr>
                    <pic:cNvPr id="420" name="image190.jpeg"/>
                    <pic:cNvPicPr/>
                  </pic:nvPicPr>
                  <pic:blipFill>
                    <a:blip r:embed="rId210" cstate="print"/>
                    <a:stretch>
                      <a:fillRect/>
                    </a:stretch>
                  </pic:blipFill>
                  <pic:spPr>
                    <a:xfrm>
                      <a:off x="0" y="0"/>
                      <a:ext cx="7090689" cy="3711035"/>
                    </a:xfrm>
                    <a:prstGeom prst="rect">
                      <a:avLst/>
                    </a:prstGeom>
                  </pic:spPr>
                </pic:pic>
              </a:graphicData>
            </a:graphic>
          </wp:anchor>
        </w:drawing>
      </w:r>
    </w:p>
    <w:p>
      <w:pPr>
        <w:spacing w:before="86"/>
        <w:ind w:left="1358" w:right="0" w:firstLine="0"/>
        <w:jc w:val="left"/>
        <w:rPr>
          <w:b/>
          <w:sz w:val="16"/>
        </w:rPr>
      </w:pPr>
      <w:r>
        <w:rPr>
          <w:b/>
          <w:sz w:val="16"/>
        </w:rPr>
        <w:t>Percentage increase represents the average compound annual growth rate.</w:t>
      </w:r>
    </w:p>
    <w:p>
      <w:pPr>
        <w:spacing w:before="1"/>
        <w:ind w:left="1358" w:right="1868" w:firstLine="0"/>
        <w:jc w:val="left"/>
        <w:rPr>
          <w:sz w:val="16"/>
        </w:rPr>
      </w:pPr>
      <w:r>
        <w:rPr>
          <w:b/>
          <w:sz w:val="16"/>
        </w:rPr>
        <w:t>Source: </w:t>
      </w:r>
      <w:r>
        <w:rPr>
          <w:sz w:val="16"/>
        </w:rPr>
        <w:t>Publicly available data from Department of Human Services and Australian Bureau of Statistics. All items in the Pain Management Clinical Committee scope, 2011-12 and 2016-17, by date of processing. The graph covers all 62 items reviewed prior to 5 items being referred.</w:t>
      </w:r>
    </w:p>
    <w:p>
      <w:pPr>
        <w:pStyle w:val="BodyText"/>
      </w:pPr>
    </w:p>
    <w:p>
      <w:pPr>
        <w:pStyle w:val="Heading3"/>
      </w:pPr>
      <w:r>
        <w:rPr/>
        <w:drawing>
          <wp:anchor distT="0" distB="0" distL="0" distR="0" allowOverlap="1" layoutInCell="1" locked="0" behindDoc="0" simplePos="0" relativeHeight="15827968">
            <wp:simplePos x="0" y="0"/>
            <wp:positionH relativeFrom="page">
              <wp:posOffset>1143050</wp:posOffset>
            </wp:positionH>
            <wp:positionV relativeFrom="paragraph">
              <wp:posOffset>81030</wp:posOffset>
            </wp:positionV>
            <wp:extent cx="203403" cy="110459"/>
            <wp:effectExtent l="0" t="0" r="0" b="0"/>
            <wp:wrapNone/>
            <wp:docPr id="421" name="image191.png"/>
            <wp:cNvGraphicFramePr>
              <a:graphicFrameLocks noChangeAspect="1"/>
            </wp:cNvGraphicFramePr>
            <a:graphic>
              <a:graphicData uri="http://schemas.openxmlformats.org/drawingml/2006/picture">
                <pic:pic>
                  <pic:nvPicPr>
                    <pic:cNvPr id="422" name="image191.png"/>
                    <pic:cNvPicPr/>
                  </pic:nvPicPr>
                  <pic:blipFill>
                    <a:blip r:embed="rId211" cstate="print"/>
                    <a:stretch>
                      <a:fillRect/>
                    </a:stretch>
                  </pic:blipFill>
                  <pic:spPr>
                    <a:xfrm>
                      <a:off x="0" y="0"/>
                      <a:ext cx="203403" cy="110459"/>
                    </a:xfrm>
                    <a:prstGeom prst="rect">
                      <a:avLst/>
                    </a:prstGeom>
                  </pic:spPr>
                </pic:pic>
              </a:graphicData>
            </a:graphic>
          </wp:anchor>
        </w:drawing>
      </w:r>
      <w:r>
        <w:rPr>
          <w:color w:val="00643E"/>
        </w:rPr>
        <w:t>Summary of the committee’s review approach</w:t>
      </w:r>
    </w:p>
    <w:p>
      <w:pPr>
        <w:pStyle w:val="BodyText"/>
        <w:spacing w:before="9"/>
        <w:rPr>
          <w:b/>
          <w:sz w:val="17"/>
        </w:rPr>
      </w:pPr>
    </w:p>
    <w:p>
      <w:pPr>
        <w:pStyle w:val="BodyText"/>
        <w:spacing w:line="198" w:lineRule="exact" w:before="56"/>
        <w:ind w:left="1358"/>
      </w:pPr>
      <w:r>
        <w:rPr/>
        <w:t>The Committee completed a review of its items across five full committee meetings (two</w:t>
      </w:r>
    </w:p>
    <w:p>
      <w:pPr>
        <w:spacing w:line="162" w:lineRule="exact" w:before="0"/>
        <w:ind w:left="1332" w:right="0" w:firstLine="0"/>
        <w:jc w:val="left"/>
        <w:rPr>
          <w:sz w:val="20"/>
        </w:rPr>
      </w:pPr>
      <w:r>
        <w:rPr>
          <w:color w:val="FFFFFF"/>
          <w:sz w:val="20"/>
        </w:rPr>
        <w:t>e 2018</w:t>
      </w:r>
    </w:p>
    <w:p>
      <w:pPr>
        <w:pStyle w:val="BodyText"/>
        <w:spacing w:line="312" w:lineRule="auto"/>
        <w:ind w:left="1358" w:right="1676"/>
      </w:pPr>
      <w:r>
        <w:rPr/>
        <w:t>teleconferences and three in-person meetings). There were three working groups formed to consider specific areas of the MBS grouped by the type of procedures:</w:t>
      </w:r>
    </w:p>
    <w:p>
      <w:pPr>
        <w:pStyle w:val="ListParagraph"/>
        <w:numPr>
          <w:ilvl w:val="0"/>
          <w:numId w:val="11"/>
        </w:numPr>
        <w:tabs>
          <w:tab w:pos="2077" w:val="left" w:leader="none"/>
          <w:tab w:pos="2078" w:val="left" w:leader="none"/>
        </w:tabs>
        <w:spacing w:line="240" w:lineRule="auto" w:before="169" w:after="0"/>
        <w:ind w:left="2078" w:right="0" w:hanging="360"/>
        <w:jc w:val="left"/>
        <w:rPr>
          <w:sz w:val="22"/>
        </w:rPr>
      </w:pPr>
      <w:r>
        <w:rPr>
          <w:sz w:val="22"/>
        </w:rPr>
        <w:t>nerve block and spinal</w:t>
      </w:r>
      <w:r>
        <w:rPr>
          <w:spacing w:val="-3"/>
          <w:sz w:val="22"/>
        </w:rPr>
        <w:t> </w:t>
      </w:r>
      <w:r>
        <w:rPr>
          <w:sz w:val="22"/>
        </w:rPr>
        <w:t>injections,</w:t>
      </w:r>
    </w:p>
    <w:p>
      <w:pPr>
        <w:pStyle w:val="ListParagraph"/>
        <w:numPr>
          <w:ilvl w:val="0"/>
          <w:numId w:val="11"/>
        </w:numPr>
        <w:tabs>
          <w:tab w:pos="2077" w:val="left" w:leader="none"/>
          <w:tab w:pos="2078" w:val="left" w:leader="none"/>
        </w:tabs>
        <w:spacing w:line="240" w:lineRule="auto" w:before="82" w:after="0"/>
        <w:ind w:left="2078" w:right="0" w:hanging="360"/>
        <w:jc w:val="left"/>
        <w:rPr>
          <w:sz w:val="22"/>
        </w:rPr>
      </w:pPr>
      <w:r>
        <w:rPr>
          <w:sz w:val="22"/>
        </w:rPr>
        <w:t>surgical co-claiming,</w:t>
      </w:r>
      <w:r>
        <w:rPr>
          <w:spacing w:val="-2"/>
          <w:sz w:val="22"/>
        </w:rPr>
        <w:t> </w:t>
      </w:r>
      <w:r>
        <w:rPr>
          <w:sz w:val="22"/>
        </w:rPr>
        <w:t>and</w:t>
      </w:r>
    </w:p>
    <w:p>
      <w:pPr>
        <w:pStyle w:val="ListParagraph"/>
        <w:numPr>
          <w:ilvl w:val="0"/>
          <w:numId w:val="11"/>
        </w:numPr>
        <w:tabs>
          <w:tab w:pos="2077" w:val="left" w:leader="none"/>
          <w:tab w:pos="2078" w:val="left" w:leader="none"/>
        </w:tabs>
        <w:spacing w:line="240" w:lineRule="auto" w:before="80" w:after="0"/>
        <w:ind w:left="2078" w:right="0" w:hanging="360"/>
        <w:jc w:val="left"/>
        <w:rPr>
          <w:sz w:val="22"/>
        </w:rPr>
      </w:pPr>
      <w:r>
        <w:rPr>
          <w:sz w:val="22"/>
        </w:rPr>
        <w:t>implanted</w:t>
      </w:r>
      <w:r>
        <w:rPr>
          <w:spacing w:val="-2"/>
          <w:sz w:val="22"/>
        </w:rPr>
        <w:t> </w:t>
      </w:r>
      <w:r>
        <w:rPr>
          <w:sz w:val="22"/>
        </w:rPr>
        <w:t>devices.</w:t>
      </w:r>
    </w:p>
    <w:p>
      <w:pPr>
        <w:pStyle w:val="BodyText"/>
        <w:spacing w:before="3"/>
        <w:rPr>
          <w:sz w:val="21"/>
        </w:rPr>
      </w:pPr>
    </w:p>
    <w:p>
      <w:pPr>
        <w:pStyle w:val="BodyText"/>
        <w:spacing w:line="312" w:lineRule="auto"/>
        <w:ind w:left="1358" w:right="2353"/>
        <w:jc w:val="both"/>
      </w:pPr>
      <w:r>
        <w:rPr/>
        <w:t>Members self-nominated by area of interest and expertise, with membership of each working group outlined in the table below. Each working group had one meeting and provided draft recommendations to the committee for the items within their remit.</w:t>
      </w:r>
    </w:p>
    <w:p>
      <w:pPr>
        <w:spacing w:after="0" w:line="312" w:lineRule="auto"/>
        <w:jc w:val="both"/>
        <w:sectPr>
          <w:pgSz w:w="11910" w:h="16840"/>
          <w:pgMar w:header="672" w:footer="734" w:top="1300" w:bottom="1160" w:left="440" w:right="1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6"/>
        </w:rPr>
      </w:pPr>
    </w:p>
    <w:p>
      <w:pPr>
        <w:spacing w:before="59"/>
        <w:ind w:left="1358" w:right="0" w:firstLine="0"/>
        <w:jc w:val="left"/>
        <w:rPr>
          <w:b/>
          <w:sz w:val="20"/>
        </w:rPr>
      </w:pPr>
      <w:bookmarkStart w:name="_bookmark3" w:id="4"/>
      <w:bookmarkEnd w:id="4"/>
      <w:r>
        <w:rPr/>
      </w:r>
      <w:r>
        <w:rPr>
          <w:b/>
          <w:sz w:val="20"/>
          <w:u w:val="single"/>
        </w:rPr>
        <w:t>Table 2: Working Group Memberships and Items Considered</w:t>
      </w:r>
    </w:p>
    <w:p>
      <w:pPr>
        <w:pStyle w:val="BodyText"/>
        <w:spacing w:before="5" w:after="1"/>
        <w:rPr>
          <w:b/>
          <w:sz w:val="17"/>
        </w:rPr>
      </w:pPr>
    </w:p>
    <w:tbl>
      <w:tblPr>
        <w:tblW w:w="0" w:type="auto"/>
        <w:jc w:val="left"/>
        <w:tblInd w:w="1384"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0" w:type="dxa"/>
          <w:left w:w="0" w:type="dxa"/>
          <w:bottom w:w="0" w:type="dxa"/>
          <w:right w:w="0" w:type="dxa"/>
        </w:tblCellMar>
        <w:tblLook w:val="01E0"/>
      </w:tblPr>
      <w:tblGrid>
        <w:gridCol w:w="3642"/>
        <w:gridCol w:w="1842"/>
        <w:gridCol w:w="3252"/>
      </w:tblGrid>
      <w:tr>
        <w:trPr>
          <w:trHeight w:val="604" w:hRule="atLeast"/>
        </w:trPr>
        <w:tc>
          <w:tcPr>
            <w:tcW w:w="3642" w:type="dxa"/>
            <w:tcBorders>
              <w:top w:val="nil"/>
              <w:left w:val="nil"/>
              <w:right w:val="single" w:sz="12" w:space="0" w:color="FFFFFF"/>
            </w:tcBorders>
            <w:shd w:val="clear" w:color="auto" w:fill="0F2957"/>
          </w:tcPr>
          <w:p>
            <w:pPr>
              <w:pStyle w:val="TableParagraph"/>
              <w:spacing w:before="191"/>
              <w:ind w:left="98"/>
              <w:rPr>
                <w:b/>
                <w:sz w:val="22"/>
              </w:rPr>
            </w:pPr>
            <w:r>
              <w:rPr>
                <w:b/>
                <w:color w:val="FFFFFF"/>
                <w:sz w:val="22"/>
              </w:rPr>
              <w:t>ITEMS</w:t>
            </w:r>
          </w:p>
        </w:tc>
        <w:tc>
          <w:tcPr>
            <w:tcW w:w="1842" w:type="dxa"/>
            <w:tcBorders>
              <w:top w:val="nil"/>
              <w:left w:val="single" w:sz="12" w:space="0" w:color="FFFFFF"/>
              <w:right w:val="single" w:sz="8" w:space="0" w:color="FFFFFF"/>
            </w:tcBorders>
            <w:shd w:val="clear" w:color="auto" w:fill="0F2957"/>
          </w:tcPr>
          <w:p>
            <w:pPr>
              <w:pStyle w:val="TableParagraph"/>
              <w:spacing w:before="191"/>
              <w:ind w:left="94"/>
              <w:rPr>
                <w:b/>
                <w:sz w:val="22"/>
              </w:rPr>
            </w:pPr>
            <w:r>
              <w:rPr>
                <w:b/>
                <w:color w:val="FFFFFF"/>
                <w:sz w:val="22"/>
              </w:rPr>
              <w:t>Working Group</w:t>
            </w:r>
          </w:p>
        </w:tc>
        <w:tc>
          <w:tcPr>
            <w:tcW w:w="3252" w:type="dxa"/>
            <w:tcBorders>
              <w:top w:val="nil"/>
              <w:left w:val="single" w:sz="8" w:space="0" w:color="FFFFFF"/>
              <w:right w:val="nil"/>
            </w:tcBorders>
            <w:shd w:val="clear" w:color="auto" w:fill="0F2957"/>
          </w:tcPr>
          <w:p>
            <w:pPr>
              <w:pStyle w:val="TableParagraph"/>
              <w:spacing w:before="191"/>
              <w:ind w:left="98"/>
              <w:rPr>
                <w:b/>
                <w:sz w:val="22"/>
              </w:rPr>
            </w:pPr>
            <w:r>
              <w:rPr>
                <w:b/>
                <w:color w:val="FFFFFF"/>
                <w:sz w:val="22"/>
              </w:rPr>
              <w:t>Members</w:t>
            </w:r>
          </w:p>
        </w:tc>
      </w:tr>
      <w:tr>
        <w:trPr>
          <w:trHeight w:val="2683" w:hRule="atLeast"/>
        </w:trPr>
        <w:tc>
          <w:tcPr>
            <w:tcW w:w="3642" w:type="dxa"/>
            <w:tcBorders>
              <w:left w:val="nil"/>
              <w:right w:val="single" w:sz="12" w:space="0" w:color="FFFFFF"/>
            </w:tcBorders>
            <w:shd w:val="clear" w:color="auto" w:fill="0F2957"/>
          </w:tcPr>
          <w:p>
            <w:pPr>
              <w:pStyle w:val="TableParagraph"/>
              <w:spacing w:before="177"/>
              <w:ind w:left="98"/>
              <w:rPr>
                <w:b/>
                <w:sz w:val="22"/>
              </w:rPr>
            </w:pPr>
            <w:r>
              <w:rPr>
                <w:b/>
                <w:color w:val="FFFFFF"/>
                <w:sz w:val="22"/>
              </w:rPr>
              <w:t>14209, 18213, 18222, 18225,</w:t>
            </w:r>
            <w:r>
              <w:rPr>
                <w:b/>
                <w:color w:val="FFFFFF"/>
                <w:spacing w:val="-19"/>
                <w:sz w:val="22"/>
              </w:rPr>
              <w:t> </w:t>
            </w:r>
            <w:r>
              <w:rPr>
                <w:b/>
                <w:color w:val="FFFFFF"/>
                <w:sz w:val="22"/>
              </w:rPr>
              <w:t>18230,</w:t>
            </w:r>
          </w:p>
          <w:p>
            <w:pPr>
              <w:pStyle w:val="TableParagraph"/>
              <w:spacing w:before="79"/>
              <w:ind w:left="98"/>
              <w:rPr>
                <w:b/>
                <w:sz w:val="22"/>
              </w:rPr>
            </w:pPr>
            <w:r>
              <w:rPr>
                <w:b/>
                <w:color w:val="FFFFFF"/>
                <w:sz w:val="22"/>
              </w:rPr>
              <w:t>18234, 18240, 18242, 18248,</w:t>
            </w:r>
            <w:r>
              <w:rPr>
                <w:b/>
                <w:color w:val="FFFFFF"/>
                <w:spacing w:val="-18"/>
                <w:sz w:val="22"/>
              </w:rPr>
              <w:t> </w:t>
            </w:r>
            <w:r>
              <w:rPr>
                <w:b/>
                <w:color w:val="FFFFFF"/>
                <w:sz w:val="22"/>
              </w:rPr>
              <w:t>18250,</w:t>
            </w:r>
          </w:p>
          <w:p>
            <w:pPr>
              <w:pStyle w:val="TableParagraph"/>
              <w:spacing w:before="82"/>
              <w:ind w:left="98"/>
              <w:rPr>
                <w:b/>
                <w:sz w:val="22"/>
              </w:rPr>
            </w:pPr>
            <w:r>
              <w:rPr>
                <w:b/>
                <w:color w:val="FFFFFF"/>
                <w:sz w:val="22"/>
              </w:rPr>
              <w:t>18256, 18258, 18260, 18268,</w:t>
            </w:r>
            <w:r>
              <w:rPr>
                <w:b/>
                <w:color w:val="FFFFFF"/>
                <w:spacing w:val="-19"/>
                <w:sz w:val="22"/>
              </w:rPr>
              <w:t> </w:t>
            </w:r>
            <w:r>
              <w:rPr>
                <w:b/>
                <w:color w:val="FFFFFF"/>
                <w:sz w:val="22"/>
              </w:rPr>
              <w:t>18274,</w:t>
            </w:r>
          </w:p>
          <w:p>
            <w:pPr>
              <w:pStyle w:val="TableParagraph"/>
              <w:spacing w:before="79"/>
              <w:ind w:left="98"/>
              <w:rPr>
                <w:b/>
                <w:sz w:val="22"/>
              </w:rPr>
            </w:pPr>
            <w:r>
              <w:rPr>
                <w:b/>
                <w:color w:val="FFFFFF"/>
                <w:sz w:val="22"/>
              </w:rPr>
              <w:t>18276, 18282, 18284, 18286,</w:t>
            </w:r>
            <w:r>
              <w:rPr>
                <w:b/>
                <w:color w:val="FFFFFF"/>
                <w:spacing w:val="-19"/>
                <w:sz w:val="22"/>
              </w:rPr>
              <w:t> </w:t>
            </w:r>
            <w:r>
              <w:rPr>
                <w:b/>
                <w:color w:val="FFFFFF"/>
                <w:sz w:val="22"/>
              </w:rPr>
              <w:t>18290,</w:t>
            </w:r>
          </w:p>
          <w:p>
            <w:pPr>
              <w:pStyle w:val="TableParagraph"/>
              <w:spacing w:before="83"/>
              <w:ind w:left="98"/>
              <w:rPr>
                <w:b/>
                <w:sz w:val="22"/>
              </w:rPr>
            </w:pPr>
            <w:r>
              <w:rPr>
                <w:b/>
                <w:color w:val="FFFFFF"/>
                <w:sz w:val="22"/>
              </w:rPr>
              <w:t>18292, 18294, 18296, 18298,</w:t>
            </w:r>
            <w:r>
              <w:rPr>
                <w:b/>
                <w:color w:val="FFFFFF"/>
                <w:spacing w:val="-19"/>
                <w:sz w:val="22"/>
              </w:rPr>
              <w:t> </w:t>
            </w:r>
            <w:r>
              <w:rPr>
                <w:b/>
                <w:color w:val="FFFFFF"/>
                <w:sz w:val="22"/>
              </w:rPr>
              <w:t>39013,</w:t>
            </w:r>
          </w:p>
          <w:p>
            <w:pPr>
              <w:pStyle w:val="TableParagraph"/>
              <w:spacing w:before="79"/>
              <w:ind w:left="98"/>
              <w:rPr>
                <w:b/>
                <w:sz w:val="22"/>
              </w:rPr>
            </w:pPr>
            <w:r>
              <w:rPr>
                <w:b/>
                <w:color w:val="FFFFFF"/>
                <w:sz w:val="22"/>
              </w:rPr>
              <w:t>39100, 39115, 39118, 39121,</w:t>
            </w:r>
            <w:r>
              <w:rPr>
                <w:b/>
                <w:color w:val="FFFFFF"/>
                <w:spacing w:val="-15"/>
                <w:sz w:val="22"/>
              </w:rPr>
              <w:t> </w:t>
            </w:r>
            <w:r>
              <w:rPr>
                <w:b/>
                <w:color w:val="FFFFFF"/>
                <w:sz w:val="22"/>
              </w:rPr>
              <w:t>39124,</w:t>
            </w:r>
          </w:p>
          <w:p>
            <w:pPr>
              <w:pStyle w:val="TableParagraph"/>
              <w:spacing w:before="82"/>
              <w:ind w:left="98"/>
              <w:rPr>
                <w:b/>
                <w:sz w:val="22"/>
              </w:rPr>
            </w:pPr>
            <w:r>
              <w:rPr>
                <w:b/>
                <w:color w:val="FFFFFF"/>
                <w:sz w:val="22"/>
              </w:rPr>
              <w:t>39140, 39323</w:t>
            </w:r>
          </w:p>
        </w:tc>
        <w:tc>
          <w:tcPr>
            <w:tcW w:w="1842" w:type="dxa"/>
            <w:tcBorders>
              <w:left w:val="single" w:sz="12" w:space="0" w:color="FFFFFF"/>
              <w:right w:val="single" w:sz="8" w:space="0" w:color="FFFFFF"/>
            </w:tcBorders>
            <w:shd w:val="clear" w:color="auto" w:fill="CCCDD1"/>
          </w:tcPr>
          <w:p>
            <w:pPr>
              <w:pStyle w:val="TableParagraph"/>
              <w:spacing w:line="312" w:lineRule="auto" w:before="177"/>
              <w:ind w:left="94" w:right="164"/>
              <w:rPr>
                <w:sz w:val="22"/>
              </w:rPr>
            </w:pPr>
            <w:r>
              <w:rPr>
                <w:sz w:val="22"/>
              </w:rPr>
              <w:t>Nerve Blocks and Spinal Injections</w:t>
            </w:r>
          </w:p>
        </w:tc>
        <w:tc>
          <w:tcPr>
            <w:tcW w:w="3252" w:type="dxa"/>
            <w:tcBorders>
              <w:left w:val="single" w:sz="8" w:space="0" w:color="FFFFFF"/>
              <w:right w:val="nil"/>
            </w:tcBorders>
            <w:shd w:val="clear" w:color="auto" w:fill="CCCDD1"/>
          </w:tcPr>
          <w:p>
            <w:pPr>
              <w:pStyle w:val="TableParagraph"/>
              <w:ind w:left="98" w:right="1648"/>
              <w:rPr>
                <w:sz w:val="22"/>
              </w:rPr>
            </w:pPr>
            <w:r>
              <w:rPr>
                <w:sz w:val="22"/>
              </w:rPr>
              <w:t>Dr Gus Ferguson Dr Marc Russo</w:t>
            </w:r>
          </w:p>
          <w:p>
            <w:pPr>
              <w:pStyle w:val="TableParagraph"/>
              <w:ind w:left="98"/>
              <w:rPr>
                <w:sz w:val="22"/>
              </w:rPr>
            </w:pPr>
            <w:r>
              <w:rPr>
                <w:sz w:val="22"/>
              </w:rPr>
              <w:t>Dr Andrew Zacest</w:t>
            </w:r>
          </w:p>
          <w:p>
            <w:pPr>
              <w:pStyle w:val="TableParagraph"/>
              <w:ind w:left="98"/>
              <w:rPr>
                <w:sz w:val="22"/>
              </w:rPr>
            </w:pPr>
            <w:r>
              <w:rPr>
                <w:sz w:val="22"/>
              </w:rPr>
              <w:t>Assoc Prof Tillman Boesel</w:t>
            </w:r>
          </w:p>
        </w:tc>
      </w:tr>
      <w:tr>
        <w:trPr>
          <w:trHeight w:val="2195" w:hRule="atLeast"/>
        </w:trPr>
        <w:tc>
          <w:tcPr>
            <w:tcW w:w="3642" w:type="dxa"/>
            <w:tcBorders>
              <w:left w:val="nil"/>
              <w:bottom w:val="single" w:sz="8" w:space="0" w:color="FFFFFF"/>
              <w:right w:val="single" w:sz="12" w:space="0" w:color="FFFFFF"/>
            </w:tcBorders>
            <w:shd w:val="clear" w:color="auto" w:fill="0F2957"/>
          </w:tcPr>
          <w:p>
            <w:pPr>
              <w:pStyle w:val="TableParagraph"/>
              <w:spacing w:before="191"/>
              <w:ind w:left="98"/>
              <w:rPr>
                <w:b/>
                <w:sz w:val="22"/>
              </w:rPr>
            </w:pPr>
            <w:r>
              <w:rPr>
                <w:b/>
                <w:color w:val="FFFFFF"/>
                <w:sz w:val="22"/>
              </w:rPr>
              <w:t>18228, 18232, 18234,18236, 18238,</w:t>
            </w:r>
          </w:p>
          <w:p>
            <w:pPr>
              <w:pStyle w:val="TableParagraph"/>
              <w:spacing w:before="82"/>
              <w:ind w:left="98"/>
              <w:rPr>
                <w:b/>
                <w:sz w:val="22"/>
              </w:rPr>
            </w:pPr>
            <w:r>
              <w:rPr>
                <w:b/>
                <w:color w:val="FFFFFF"/>
                <w:sz w:val="22"/>
              </w:rPr>
              <w:t>18244, 18252, 18254, 18262,</w:t>
            </w:r>
            <w:r>
              <w:rPr>
                <w:b/>
                <w:color w:val="FFFFFF"/>
                <w:spacing w:val="-19"/>
                <w:sz w:val="22"/>
              </w:rPr>
              <w:t> </w:t>
            </w:r>
            <w:r>
              <w:rPr>
                <w:b/>
                <w:color w:val="FFFFFF"/>
                <w:sz w:val="22"/>
              </w:rPr>
              <w:t>18264,</w:t>
            </w:r>
          </w:p>
          <w:p>
            <w:pPr>
              <w:pStyle w:val="TableParagraph"/>
              <w:spacing w:before="79"/>
              <w:ind w:left="98"/>
              <w:rPr>
                <w:b/>
                <w:sz w:val="22"/>
              </w:rPr>
            </w:pPr>
            <w:r>
              <w:rPr>
                <w:b/>
                <w:color w:val="FFFFFF"/>
                <w:sz w:val="22"/>
              </w:rPr>
              <w:t>18266, 18270, 18272, 18278,</w:t>
            </w:r>
            <w:r>
              <w:rPr>
                <w:b/>
                <w:color w:val="FFFFFF"/>
                <w:spacing w:val="-19"/>
                <w:sz w:val="22"/>
              </w:rPr>
              <w:t> </w:t>
            </w:r>
            <w:r>
              <w:rPr>
                <w:b/>
                <w:color w:val="FFFFFF"/>
                <w:sz w:val="22"/>
              </w:rPr>
              <w:t>18280,</w:t>
            </w:r>
          </w:p>
          <w:p>
            <w:pPr>
              <w:pStyle w:val="TableParagraph"/>
              <w:spacing w:before="82"/>
              <w:ind w:left="98"/>
              <w:rPr>
                <w:b/>
                <w:sz w:val="22"/>
              </w:rPr>
            </w:pPr>
            <w:r>
              <w:rPr>
                <w:b/>
                <w:color w:val="FFFFFF"/>
                <w:sz w:val="22"/>
              </w:rPr>
              <w:t>18288</w:t>
            </w:r>
          </w:p>
        </w:tc>
        <w:tc>
          <w:tcPr>
            <w:tcW w:w="1842" w:type="dxa"/>
            <w:tcBorders>
              <w:left w:val="single" w:sz="12" w:space="0" w:color="FFFFFF"/>
              <w:bottom w:val="single" w:sz="8" w:space="0" w:color="FFFFFF"/>
              <w:right w:val="single" w:sz="8" w:space="0" w:color="FFFFFF"/>
            </w:tcBorders>
            <w:shd w:val="clear" w:color="auto" w:fill="CCCDD1"/>
          </w:tcPr>
          <w:p>
            <w:pPr>
              <w:pStyle w:val="TableParagraph"/>
              <w:spacing w:before="191"/>
              <w:ind w:left="94"/>
              <w:rPr>
                <w:sz w:val="22"/>
              </w:rPr>
            </w:pPr>
            <w:r>
              <w:rPr>
                <w:sz w:val="22"/>
              </w:rPr>
              <w:t>Surgical</w:t>
            </w:r>
          </w:p>
          <w:p>
            <w:pPr>
              <w:pStyle w:val="TableParagraph"/>
              <w:spacing w:before="82"/>
              <w:ind w:left="94"/>
              <w:rPr>
                <w:sz w:val="22"/>
              </w:rPr>
            </w:pPr>
            <w:r>
              <w:rPr>
                <w:sz w:val="22"/>
              </w:rPr>
              <w:t>Co-Claiming</w:t>
            </w:r>
          </w:p>
        </w:tc>
        <w:tc>
          <w:tcPr>
            <w:tcW w:w="3252" w:type="dxa"/>
            <w:tcBorders>
              <w:left w:val="single" w:sz="8" w:space="0" w:color="FFFFFF"/>
              <w:bottom w:val="single" w:sz="8" w:space="0" w:color="FFFFFF"/>
              <w:right w:val="nil"/>
            </w:tcBorders>
            <w:shd w:val="clear" w:color="auto" w:fill="CCCDD1"/>
          </w:tcPr>
          <w:p>
            <w:pPr>
              <w:pStyle w:val="TableParagraph"/>
              <w:spacing w:before="193"/>
              <w:ind w:left="98" w:right="1605"/>
              <w:rPr>
                <w:sz w:val="22"/>
              </w:rPr>
            </w:pPr>
            <w:r>
              <w:rPr>
                <w:sz w:val="22"/>
              </w:rPr>
              <w:t>Dr Lindy </w:t>
            </w:r>
            <w:r>
              <w:rPr>
                <w:spacing w:val="-3"/>
                <w:sz w:val="22"/>
              </w:rPr>
              <w:t>Roberts, </w:t>
            </w:r>
            <w:r>
              <w:rPr>
                <w:sz w:val="22"/>
              </w:rPr>
              <w:t>Dr Marilla Druitt Dr Tim Semple Dr Ian</w:t>
            </w:r>
            <w:r>
              <w:rPr>
                <w:spacing w:val="-2"/>
                <w:sz w:val="22"/>
              </w:rPr>
              <w:t> </w:t>
            </w:r>
            <w:r>
              <w:rPr>
                <w:sz w:val="22"/>
              </w:rPr>
              <w:t>Thong</w:t>
            </w:r>
          </w:p>
          <w:p>
            <w:pPr>
              <w:pStyle w:val="TableParagraph"/>
              <w:spacing w:before="1"/>
              <w:ind w:left="98"/>
              <w:rPr>
                <w:sz w:val="22"/>
              </w:rPr>
            </w:pPr>
            <w:r>
              <w:rPr>
                <w:sz w:val="22"/>
              </w:rPr>
              <w:t>Dr Andrew Zacest</w:t>
            </w:r>
          </w:p>
          <w:p>
            <w:pPr>
              <w:pStyle w:val="TableParagraph"/>
              <w:spacing w:before="1"/>
              <w:ind w:left="98" w:right="846"/>
              <w:rPr>
                <w:sz w:val="22"/>
              </w:rPr>
            </w:pPr>
            <w:r>
              <w:rPr>
                <w:sz w:val="22"/>
              </w:rPr>
              <w:t>Assoc Prof Tillman Boesel Dr Marc Russo</w:t>
            </w:r>
          </w:p>
        </w:tc>
      </w:tr>
      <w:tr>
        <w:trPr>
          <w:trHeight w:val="1668" w:hRule="atLeast"/>
        </w:trPr>
        <w:tc>
          <w:tcPr>
            <w:tcW w:w="3642" w:type="dxa"/>
            <w:tcBorders>
              <w:top w:val="single" w:sz="8" w:space="0" w:color="FFFFFF"/>
              <w:left w:val="nil"/>
              <w:bottom w:val="nil"/>
              <w:right w:val="single" w:sz="12" w:space="0" w:color="FFFFFF"/>
            </w:tcBorders>
            <w:shd w:val="clear" w:color="auto" w:fill="0F2957"/>
          </w:tcPr>
          <w:p>
            <w:pPr>
              <w:pStyle w:val="TableParagraph"/>
              <w:spacing w:before="191"/>
              <w:ind w:left="98"/>
              <w:rPr>
                <w:b/>
                <w:sz w:val="22"/>
              </w:rPr>
            </w:pPr>
            <w:r>
              <w:rPr>
                <w:b/>
                <w:color w:val="FFFFFF"/>
                <w:sz w:val="22"/>
              </w:rPr>
              <w:t>14218, 14221, 39125, 39126,</w:t>
            </w:r>
            <w:r>
              <w:rPr>
                <w:b/>
                <w:color w:val="FFFFFF"/>
                <w:spacing w:val="-19"/>
                <w:sz w:val="22"/>
              </w:rPr>
              <w:t> </w:t>
            </w:r>
            <w:r>
              <w:rPr>
                <w:b/>
                <w:color w:val="FFFFFF"/>
                <w:sz w:val="22"/>
              </w:rPr>
              <w:t>39127,</w:t>
            </w:r>
          </w:p>
          <w:p>
            <w:pPr>
              <w:pStyle w:val="TableParagraph"/>
              <w:spacing w:before="82"/>
              <w:ind w:left="98"/>
              <w:rPr>
                <w:b/>
                <w:sz w:val="22"/>
              </w:rPr>
            </w:pPr>
            <w:r>
              <w:rPr>
                <w:b/>
                <w:color w:val="FFFFFF"/>
                <w:sz w:val="22"/>
              </w:rPr>
              <w:t>39128, 39130, 39131, 39133,</w:t>
            </w:r>
            <w:r>
              <w:rPr>
                <w:b/>
                <w:color w:val="FFFFFF"/>
                <w:spacing w:val="-17"/>
                <w:sz w:val="22"/>
              </w:rPr>
              <w:t> </w:t>
            </w:r>
            <w:r>
              <w:rPr>
                <w:b/>
                <w:color w:val="FFFFFF"/>
                <w:sz w:val="22"/>
              </w:rPr>
              <w:t>39134,</w:t>
            </w:r>
          </w:p>
          <w:p>
            <w:pPr>
              <w:pStyle w:val="TableParagraph"/>
              <w:spacing w:before="79"/>
              <w:ind w:left="98"/>
              <w:rPr>
                <w:b/>
                <w:sz w:val="22"/>
              </w:rPr>
            </w:pPr>
            <w:r>
              <w:rPr>
                <w:b/>
                <w:color w:val="FFFFFF"/>
                <w:sz w:val="22"/>
              </w:rPr>
              <w:t>39135, 39136, 39137, 39138, 39139</w:t>
            </w:r>
          </w:p>
        </w:tc>
        <w:tc>
          <w:tcPr>
            <w:tcW w:w="1842" w:type="dxa"/>
            <w:tcBorders>
              <w:top w:val="single" w:sz="8" w:space="0" w:color="FFFFFF"/>
              <w:left w:val="single" w:sz="12" w:space="0" w:color="FFFFFF"/>
              <w:bottom w:val="nil"/>
              <w:right w:val="single" w:sz="8" w:space="0" w:color="FFFFFF"/>
            </w:tcBorders>
            <w:shd w:val="clear" w:color="auto" w:fill="E7E8EA"/>
          </w:tcPr>
          <w:p>
            <w:pPr>
              <w:pStyle w:val="TableParagraph"/>
              <w:spacing w:line="314" w:lineRule="auto" w:before="191"/>
              <w:ind w:left="94" w:right="786"/>
              <w:rPr>
                <w:sz w:val="22"/>
              </w:rPr>
            </w:pPr>
            <w:r>
              <w:rPr>
                <w:sz w:val="22"/>
              </w:rPr>
              <w:t>Implanted Devices</w:t>
            </w:r>
          </w:p>
        </w:tc>
        <w:tc>
          <w:tcPr>
            <w:tcW w:w="3252" w:type="dxa"/>
            <w:tcBorders>
              <w:top w:val="single" w:sz="8" w:space="0" w:color="FFFFFF"/>
              <w:left w:val="single" w:sz="8" w:space="0" w:color="FFFFFF"/>
              <w:bottom w:val="nil"/>
              <w:right w:val="nil"/>
            </w:tcBorders>
            <w:shd w:val="clear" w:color="auto" w:fill="E7E8EA"/>
          </w:tcPr>
          <w:p>
            <w:pPr>
              <w:pStyle w:val="TableParagraph"/>
              <w:spacing w:before="13"/>
              <w:ind w:left="98" w:right="749"/>
              <w:rPr>
                <w:sz w:val="22"/>
              </w:rPr>
            </w:pPr>
            <w:r>
              <w:rPr>
                <w:sz w:val="22"/>
              </w:rPr>
              <w:t>Prof Michael Nicholas Assoc Prof Tillman Boesel Assoc Prof Caroline Arnold Dr Andrew Zacest</w:t>
            </w:r>
          </w:p>
          <w:p>
            <w:pPr>
              <w:pStyle w:val="TableParagraph"/>
              <w:spacing w:before="1"/>
              <w:ind w:left="98"/>
              <w:rPr>
                <w:sz w:val="22"/>
              </w:rPr>
            </w:pPr>
            <w:r>
              <w:rPr>
                <w:sz w:val="22"/>
              </w:rPr>
              <w:t>Dr Marc Russo</w:t>
            </w:r>
          </w:p>
        </w:tc>
      </w:tr>
    </w:tbl>
    <w:p>
      <w:pPr>
        <w:pStyle w:val="BodyText"/>
        <w:rPr>
          <w:b/>
          <w:sz w:val="16"/>
        </w:rPr>
      </w:pPr>
    </w:p>
    <w:p>
      <w:pPr>
        <w:pStyle w:val="BodyText"/>
        <w:spacing w:line="312" w:lineRule="auto" w:before="1"/>
        <w:ind w:left="1358" w:right="2131"/>
      </w:pPr>
      <w:r>
        <w:rPr/>
        <w:t>Recommendations and rationales contained in this report were developed during these meetings.</w:t>
      </w:r>
    </w:p>
    <w:p>
      <w:pPr>
        <w:pStyle w:val="BodyText"/>
        <w:spacing w:before="180"/>
        <w:ind w:left="1358"/>
      </w:pPr>
      <w:r>
        <w:rPr/>
        <w:t>The review drew on various types of MBS data, including:</w:t>
      </w:r>
    </w:p>
    <w:p>
      <w:pPr>
        <w:pStyle w:val="BodyText"/>
        <w:spacing w:before="3"/>
        <w:rPr>
          <w:sz w:val="21"/>
        </w:rPr>
      </w:pPr>
    </w:p>
    <w:p>
      <w:pPr>
        <w:pStyle w:val="ListParagraph"/>
        <w:numPr>
          <w:ilvl w:val="0"/>
          <w:numId w:val="11"/>
        </w:numPr>
        <w:tabs>
          <w:tab w:pos="2130" w:val="left" w:leader="none"/>
          <w:tab w:pos="2131" w:val="left" w:leader="none"/>
        </w:tabs>
        <w:spacing w:line="240" w:lineRule="auto" w:before="0" w:after="0"/>
        <w:ind w:left="2130" w:right="0" w:hanging="361"/>
        <w:jc w:val="left"/>
        <w:rPr>
          <w:sz w:val="22"/>
        </w:rPr>
      </w:pPr>
      <w:r>
        <w:rPr>
          <w:sz w:val="22"/>
        </w:rPr>
        <w:t>data on utilisation of items (services, benefits, patients, clinicians and growth</w:t>
      </w:r>
      <w:r>
        <w:rPr>
          <w:spacing w:val="-12"/>
          <w:sz w:val="22"/>
        </w:rPr>
        <w:t> </w:t>
      </w:r>
      <w:r>
        <w:rPr>
          <w:sz w:val="22"/>
        </w:rPr>
        <w:t>rates),</w:t>
      </w:r>
    </w:p>
    <w:p>
      <w:pPr>
        <w:pStyle w:val="ListParagraph"/>
        <w:numPr>
          <w:ilvl w:val="0"/>
          <w:numId w:val="11"/>
        </w:numPr>
        <w:tabs>
          <w:tab w:pos="2130" w:val="left" w:leader="none"/>
          <w:tab w:pos="2131" w:val="left" w:leader="none"/>
        </w:tabs>
        <w:spacing w:line="240" w:lineRule="auto" w:before="82" w:after="0"/>
        <w:ind w:left="2130" w:right="0" w:hanging="361"/>
        <w:jc w:val="left"/>
        <w:rPr>
          <w:sz w:val="22"/>
        </w:rPr>
      </w:pPr>
      <w:r>
        <w:rPr>
          <w:sz w:val="22"/>
        </w:rPr>
        <w:t>service provision (type of clinician, geography of service</w:t>
      </w:r>
      <w:r>
        <w:rPr>
          <w:spacing w:val="-9"/>
          <w:sz w:val="22"/>
        </w:rPr>
        <w:t> </w:t>
      </w:r>
      <w:r>
        <w:rPr>
          <w:sz w:val="22"/>
        </w:rPr>
        <w:t>provision),</w:t>
      </w:r>
    </w:p>
    <w:p>
      <w:pPr>
        <w:pStyle w:val="ListParagraph"/>
        <w:numPr>
          <w:ilvl w:val="0"/>
          <w:numId w:val="11"/>
        </w:numPr>
        <w:tabs>
          <w:tab w:pos="2130" w:val="left" w:leader="none"/>
          <w:tab w:pos="2131" w:val="left" w:leader="none"/>
        </w:tabs>
        <w:spacing w:line="240" w:lineRule="auto" w:before="81" w:after="0"/>
        <w:ind w:left="2130" w:right="0" w:hanging="361"/>
        <w:jc w:val="left"/>
        <w:rPr>
          <w:sz w:val="22"/>
        </w:rPr>
      </w:pPr>
      <w:r>
        <w:rPr>
          <w:sz w:val="22"/>
        </w:rPr>
        <w:t>patients (demographics and services per</w:t>
      </w:r>
      <w:r>
        <w:rPr>
          <w:spacing w:val="-1"/>
          <w:sz w:val="22"/>
        </w:rPr>
        <w:t> </w:t>
      </w:r>
      <w:r>
        <w:rPr>
          <w:sz w:val="22"/>
        </w:rPr>
        <w:t>patient),</w:t>
      </w:r>
    </w:p>
    <w:p>
      <w:pPr>
        <w:pStyle w:val="ListParagraph"/>
        <w:numPr>
          <w:ilvl w:val="0"/>
          <w:numId w:val="11"/>
        </w:numPr>
        <w:tabs>
          <w:tab w:pos="2130" w:val="left" w:leader="none"/>
          <w:tab w:pos="2131" w:val="left" w:leader="none"/>
        </w:tabs>
        <w:spacing w:line="309" w:lineRule="auto" w:before="79" w:after="0"/>
        <w:ind w:left="2130" w:right="1976" w:hanging="360"/>
        <w:jc w:val="left"/>
        <w:rPr>
          <w:sz w:val="22"/>
        </w:rPr>
      </w:pPr>
      <w:r>
        <w:rPr>
          <w:sz w:val="22"/>
        </w:rPr>
        <w:t>co-claiming or episodes of services (same-day claiming and claiming with specific items over time),</w:t>
      </w:r>
      <w:r>
        <w:rPr>
          <w:spacing w:val="-1"/>
          <w:sz w:val="22"/>
        </w:rPr>
        <w:t> </w:t>
      </w:r>
      <w:r>
        <w:rPr>
          <w:sz w:val="22"/>
        </w:rPr>
        <w:t>and</w:t>
      </w:r>
    </w:p>
    <w:p>
      <w:pPr>
        <w:pStyle w:val="ListParagraph"/>
        <w:numPr>
          <w:ilvl w:val="0"/>
          <w:numId w:val="11"/>
        </w:numPr>
        <w:tabs>
          <w:tab w:pos="2130" w:val="left" w:leader="none"/>
          <w:tab w:pos="2131" w:val="left" w:leader="none"/>
        </w:tabs>
        <w:spacing w:line="240" w:lineRule="auto" w:before="6" w:after="0"/>
        <w:ind w:left="2130" w:right="0" w:hanging="361"/>
        <w:jc w:val="left"/>
        <w:rPr>
          <w:sz w:val="22"/>
        </w:rPr>
      </w:pPr>
      <w:r>
        <w:rPr>
          <w:sz w:val="22"/>
        </w:rPr>
        <w:t>additional clinician and patient-level data, when</w:t>
      </w:r>
      <w:r>
        <w:rPr>
          <w:spacing w:val="-9"/>
          <w:sz w:val="22"/>
        </w:rPr>
        <w:t> </w:t>
      </w:r>
      <w:r>
        <w:rPr>
          <w:sz w:val="22"/>
        </w:rPr>
        <w:t>required.</w:t>
      </w:r>
    </w:p>
    <w:p>
      <w:pPr>
        <w:spacing w:after="0" w:line="240" w:lineRule="auto"/>
        <w:jc w:val="left"/>
        <w:rPr>
          <w:sz w:val="22"/>
        </w:rPr>
        <w:sectPr>
          <w:pgSz w:w="11910" w:h="16840"/>
          <w:pgMar w:header="672" w:footer="734" w:top="1300" w:bottom="1160" w:left="440" w:right="140"/>
        </w:sectPr>
      </w:pPr>
    </w:p>
    <w:p>
      <w:pPr>
        <w:pStyle w:val="BodyText"/>
        <w:rPr>
          <w:sz w:val="20"/>
        </w:rPr>
      </w:pPr>
    </w:p>
    <w:p>
      <w:pPr>
        <w:pStyle w:val="BodyText"/>
        <w:spacing w:before="3"/>
        <w:rPr>
          <w:sz w:val="24"/>
        </w:rPr>
      </w:pPr>
    </w:p>
    <w:p>
      <w:pPr>
        <w:pStyle w:val="BodyText"/>
        <w:spacing w:line="312" w:lineRule="auto" w:before="57"/>
        <w:ind w:left="1358" w:right="1800"/>
      </w:pPr>
      <w:r>
        <w:rPr/>
        <w:t>The review also drew on data presented in the relevant literature and clinical guidelines, all of which are referenced in the report. Guidelines and literature were identified through medical journals and other sources, such as professional societies.</w:t>
      </w:r>
    </w:p>
    <w:p>
      <w:pPr>
        <w:pStyle w:val="BodyText"/>
        <w:spacing w:line="312" w:lineRule="auto" w:before="179"/>
        <w:ind w:left="1358" w:right="1692"/>
      </w:pPr>
      <w:r>
        <w:rPr/>
        <w:t>In addition, the Committee and its relevant stakeholder groups agree that persistent pain is a chronic illness and treatment should focus on management and functional gains rather than treating the pain alone </w:t>
      </w:r>
      <w:r>
        <w:rPr>
          <w:sz w:val="18"/>
        </w:rPr>
        <w:t>(Wan, August 2014)</w:t>
      </w:r>
      <w:r>
        <w:rPr>
          <w:i/>
          <w:sz w:val="18"/>
        </w:rPr>
        <w:t>. </w:t>
      </w:r>
      <w:r>
        <w:rPr/>
        <w:t>Consultations with specialist pain medicine physicians, and allied health professionals, as well as the development of multidisciplinary care plans and treatment pathways, are central to effectively managing chronic pain. This broad approach is equally applicable to cancer related pain and in preventing the progression of acute pain to chronicity. Consultation items, including multidisciplinary care and care planning items have been allocated to other clinical committees, working groups or reference groups of the Review. The Committee believes these elements are consistent with the terms of reference of the Review as a</w:t>
      </w:r>
      <w:r>
        <w:rPr>
          <w:spacing w:val="-13"/>
        </w:rPr>
        <w:t> </w:t>
      </w:r>
      <w:r>
        <w:rPr/>
        <w:t>whole.</w:t>
      </w:r>
    </w:p>
    <w:p>
      <w:pPr>
        <w:pStyle w:val="Heading3"/>
        <w:spacing w:before="124"/>
      </w:pPr>
      <w:r>
        <w:rPr/>
        <w:drawing>
          <wp:anchor distT="0" distB="0" distL="0" distR="0" allowOverlap="1" layoutInCell="1" locked="0" behindDoc="0" simplePos="0" relativeHeight="15828480">
            <wp:simplePos x="0" y="0"/>
            <wp:positionH relativeFrom="page">
              <wp:posOffset>1143051</wp:posOffset>
            </wp:positionH>
            <wp:positionV relativeFrom="paragraph">
              <wp:posOffset>130179</wp:posOffset>
            </wp:positionV>
            <wp:extent cx="198830" cy="110459"/>
            <wp:effectExtent l="0" t="0" r="0" b="0"/>
            <wp:wrapNone/>
            <wp:docPr id="423" name="image192.png"/>
            <wp:cNvGraphicFramePr>
              <a:graphicFrameLocks noChangeAspect="1"/>
            </wp:cNvGraphicFramePr>
            <a:graphic>
              <a:graphicData uri="http://schemas.openxmlformats.org/drawingml/2006/picture">
                <pic:pic>
                  <pic:nvPicPr>
                    <pic:cNvPr id="424" name="image192.png"/>
                    <pic:cNvPicPr/>
                  </pic:nvPicPr>
                  <pic:blipFill>
                    <a:blip r:embed="rId212" cstate="print"/>
                    <a:stretch>
                      <a:fillRect/>
                    </a:stretch>
                  </pic:blipFill>
                  <pic:spPr>
                    <a:xfrm>
                      <a:off x="0" y="0"/>
                      <a:ext cx="198830" cy="110459"/>
                    </a:xfrm>
                    <a:prstGeom prst="rect">
                      <a:avLst/>
                    </a:prstGeom>
                  </pic:spPr>
                </pic:pic>
              </a:graphicData>
            </a:graphic>
          </wp:anchor>
        </w:drawing>
      </w:r>
      <w:r>
        <w:rPr>
          <w:color w:val="00643E"/>
        </w:rPr>
        <w:t>No change</w:t>
      </w:r>
    </w:p>
    <w:p>
      <w:pPr>
        <w:pStyle w:val="BodyText"/>
        <w:spacing w:before="9"/>
        <w:rPr>
          <w:b/>
          <w:sz w:val="17"/>
        </w:rPr>
      </w:pPr>
    </w:p>
    <w:p>
      <w:pPr>
        <w:pStyle w:val="BodyText"/>
        <w:spacing w:line="312" w:lineRule="auto" w:before="56"/>
        <w:ind w:left="1358" w:right="1902"/>
      </w:pPr>
      <w:r>
        <w:rPr/>
        <w:t>The Committee’s examination indicated a number of items where there were no concerns regarding safety, access, value or contemporary best practice.</w:t>
      </w:r>
    </w:p>
    <w:p>
      <w:pPr>
        <w:pStyle w:val="BodyText"/>
        <w:spacing w:line="312" w:lineRule="auto" w:before="180"/>
        <w:ind w:left="1358" w:right="1660"/>
      </w:pPr>
      <w:r>
        <w:rPr/>
        <w:t>Also, the Committee determined that there was continuing best practice use of certain items for rare conditions even if usage was identified as low. The items identified by the Committee for no change are listed below in Table</w:t>
      </w:r>
      <w:r>
        <w:rPr>
          <w:spacing w:val="-8"/>
        </w:rPr>
        <w:t> </w:t>
      </w:r>
      <w:r>
        <w:rPr/>
        <w:t>3.</w:t>
      </w:r>
    </w:p>
    <w:p>
      <w:pPr>
        <w:pStyle w:val="BodyText"/>
      </w:pPr>
    </w:p>
    <w:p>
      <w:pPr>
        <w:pStyle w:val="BodyText"/>
        <w:spacing w:before="5"/>
        <w:rPr>
          <w:sz w:val="31"/>
        </w:rPr>
      </w:pPr>
    </w:p>
    <w:p>
      <w:pPr>
        <w:spacing w:before="0"/>
        <w:ind w:left="1358" w:right="0" w:firstLine="0"/>
        <w:jc w:val="left"/>
        <w:rPr>
          <w:b/>
          <w:sz w:val="20"/>
        </w:rPr>
      </w:pPr>
      <w:bookmarkStart w:name="_bookmark4" w:id="5"/>
      <w:bookmarkEnd w:id="5"/>
      <w:r>
        <w:rPr/>
      </w:r>
      <w:r>
        <w:rPr>
          <w:b/>
          <w:sz w:val="20"/>
          <w:u w:val="single"/>
        </w:rPr>
        <w:t>Table 3: Items identified as requiring no change</w:t>
      </w:r>
    </w:p>
    <w:p>
      <w:pPr>
        <w:pStyle w:val="BodyText"/>
        <w:spacing w:before="11"/>
        <w:rPr>
          <w:b/>
          <w:sz w:val="15"/>
        </w:rPr>
      </w:pPr>
    </w:p>
    <w:tbl>
      <w:tblPr>
        <w:tblW w:w="0" w:type="auto"/>
        <w:jc w:val="left"/>
        <w:tblInd w:w="136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538"/>
        <w:gridCol w:w="2525"/>
        <w:gridCol w:w="946"/>
        <w:gridCol w:w="965"/>
        <w:gridCol w:w="1174"/>
        <w:gridCol w:w="889"/>
      </w:tblGrid>
      <w:tr>
        <w:trPr>
          <w:trHeight w:val="1933" w:hRule="atLeast"/>
        </w:trPr>
        <w:tc>
          <w:tcPr>
            <w:tcW w:w="1538" w:type="dxa"/>
            <w:tcBorders>
              <w:bottom w:val="single" w:sz="4" w:space="0" w:color="000000"/>
            </w:tcBorders>
            <w:shd w:val="clear" w:color="auto" w:fill="00643E"/>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5"/>
              <w:rPr>
                <w:b/>
                <w:sz w:val="20"/>
              </w:rPr>
            </w:pPr>
          </w:p>
          <w:p>
            <w:pPr>
              <w:pStyle w:val="TableParagraph"/>
              <w:spacing w:before="1"/>
              <w:ind w:left="28"/>
              <w:rPr>
                <w:b/>
                <w:sz w:val="18"/>
              </w:rPr>
            </w:pPr>
            <w:r>
              <w:rPr>
                <w:b/>
                <w:color w:val="FFFFFF"/>
                <w:sz w:val="18"/>
              </w:rPr>
              <w:t>Item</w:t>
            </w:r>
          </w:p>
        </w:tc>
        <w:tc>
          <w:tcPr>
            <w:tcW w:w="2525" w:type="dxa"/>
            <w:tcBorders>
              <w:bottom w:val="single" w:sz="4" w:space="0" w:color="000000"/>
            </w:tcBorders>
            <w:shd w:val="clear" w:color="auto" w:fill="00643E"/>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5"/>
              <w:rPr>
                <w:b/>
                <w:sz w:val="20"/>
              </w:rPr>
            </w:pPr>
          </w:p>
          <w:p>
            <w:pPr>
              <w:pStyle w:val="TableParagraph"/>
              <w:spacing w:before="1"/>
              <w:ind w:left="26"/>
              <w:rPr>
                <w:b/>
                <w:sz w:val="18"/>
              </w:rPr>
            </w:pPr>
            <w:r>
              <w:rPr>
                <w:b/>
                <w:color w:val="FFFFFF"/>
                <w:sz w:val="18"/>
              </w:rPr>
              <w:t>Descriptor</w:t>
            </w:r>
          </w:p>
        </w:tc>
        <w:tc>
          <w:tcPr>
            <w:tcW w:w="946" w:type="dxa"/>
            <w:tcBorders>
              <w:bottom w:val="single" w:sz="4" w:space="0" w:color="000000"/>
            </w:tcBorders>
            <w:shd w:val="clear" w:color="auto" w:fill="00643E"/>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
              <w:rPr>
                <w:b/>
                <w:sz w:val="15"/>
              </w:rPr>
            </w:pPr>
          </w:p>
          <w:p>
            <w:pPr>
              <w:pStyle w:val="TableParagraph"/>
              <w:spacing w:line="312" w:lineRule="auto"/>
              <w:ind w:left="26" w:right="214"/>
              <w:rPr>
                <w:b/>
                <w:sz w:val="18"/>
              </w:rPr>
            </w:pPr>
            <w:r>
              <w:rPr>
                <w:b/>
                <w:color w:val="FFFFFF"/>
                <w:sz w:val="18"/>
              </w:rPr>
              <w:t>Schedule fee</w:t>
            </w:r>
          </w:p>
        </w:tc>
        <w:tc>
          <w:tcPr>
            <w:tcW w:w="965" w:type="dxa"/>
            <w:tcBorders>
              <w:bottom w:val="single" w:sz="4" w:space="0" w:color="000000"/>
            </w:tcBorders>
            <w:shd w:val="clear" w:color="auto" w:fill="00643E"/>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
              <w:rPr>
                <w:b/>
                <w:sz w:val="15"/>
              </w:rPr>
            </w:pPr>
          </w:p>
          <w:p>
            <w:pPr>
              <w:pStyle w:val="TableParagraph"/>
              <w:spacing w:line="312" w:lineRule="auto"/>
              <w:ind w:left="29" w:right="105"/>
              <w:rPr>
                <w:b/>
                <w:sz w:val="18"/>
              </w:rPr>
            </w:pPr>
            <w:r>
              <w:rPr>
                <w:b/>
                <w:color w:val="FFFFFF"/>
                <w:sz w:val="18"/>
              </w:rPr>
              <w:t>Services FY2016/17</w:t>
            </w:r>
          </w:p>
        </w:tc>
        <w:tc>
          <w:tcPr>
            <w:tcW w:w="1174" w:type="dxa"/>
            <w:tcBorders>
              <w:bottom w:val="single" w:sz="4" w:space="0" w:color="000000"/>
            </w:tcBorders>
            <w:shd w:val="clear" w:color="auto" w:fill="00643E"/>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
              <w:rPr>
                <w:b/>
                <w:sz w:val="15"/>
              </w:rPr>
            </w:pPr>
          </w:p>
          <w:p>
            <w:pPr>
              <w:pStyle w:val="TableParagraph"/>
              <w:spacing w:line="312" w:lineRule="auto"/>
              <w:ind w:left="29" w:right="314"/>
              <w:rPr>
                <w:b/>
                <w:sz w:val="18"/>
              </w:rPr>
            </w:pPr>
            <w:r>
              <w:rPr>
                <w:b/>
                <w:color w:val="FFFFFF"/>
                <w:sz w:val="18"/>
              </w:rPr>
              <w:t>Benefits FY2016/17</w:t>
            </w:r>
          </w:p>
        </w:tc>
        <w:tc>
          <w:tcPr>
            <w:tcW w:w="889" w:type="dxa"/>
            <w:tcBorders>
              <w:bottom w:val="single" w:sz="4" w:space="0" w:color="000000"/>
            </w:tcBorders>
            <w:shd w:val="clear" w:color="auto" w:fill="00643E"/>
          </w:tcPr>
          <w:p>
            <w:pPr>
              <w:pStyle w:val="TableParagraph"/>
              <w:spacing w:line="312" w:lineRule="auto" w:before="85"/>
              <w:ind w:left="26" w:right="39"/>
              <w:rPr>
                <w:b/>
                <w:sz w:val="18"/>
              </w:rPr>
            </w:pPr>
            <w:r>
              <w:rPr>
                <w:b/>
                <w:color w:val="FFFFFF"/>
                <w:sz w:val="18"/>
              </w:rPr>
              <w:t>Services 5- year annual avg. growth</w:t>
            </w:r>
          </w:p>
          <w:p>
            <w:pPr>
              <w:pStyle w:val="TableParagraph"/>
              <w:spacing w:before="55"/>
              <w:ind w:left="26"/>
              <w:rPr>
                <w:b/>
                <w:sz w:val="18"/>
              </w:rPr>
            </w:pPr>
            <w:r>
              <w:rPr>
                <w:b/>
                <w:color w:val="FFFFFF"/>
                <w:sz w:val="18"/>
              </w:rPr>
              <w:t>%</w:t>
            </w:r>
          </w:p>
        </w:tc>
      </w:tr>
      <w:tr>
        <w:trPr>
          <w:trHeight w:val="1024" w:hRule="atLeast"/>
        </w:trPr>
        <w:tc>
          <w:tcPr>
            <w:tcW w:w="1538" w:type="dxa"/>
            <w:tcBorders>
              <w:top w:val="single" w:sz="4" w:space="0" w:color="000000"/>
              <w:left w:val="single" w:sz="4" w:space="0" w:color="000000"/>
              <w:bottom w:val="single" w:sz="4" w:space="0" w:color="000000"/>
              <w:right w:val="single" w:sz="4" w:space="0" w:color="000000"/>
            </w:tcBorders>
          </w:tcPr>
          <w:p>
            <w:pPr>
              <w:pStyle w:val="TableParagraph"/>
              <w:spacing w:before="133"/>
              <w:ind w:left="107"/>
              <w:rPr>
                <w:sz w:val="18"/>
              </w:rPr>
            </w:pPr>
            <w:r>
              <w:rPr>
                <w:sz w:val="18"/>
              </w:rPr>
              <w:t>18240</w:t>
            </w:r>
          </w:p>
        </w:tc>
        <w:tc>
          <w:tcPr>
            <w:tcW w:w="2525" w:type="dxa"/>
            <w:tcBorders>
              <w:top w:val="single" w:sz="4" w:space="0" w:color="000000"/>
              <w:left w:val="single" w:sz="4" w:space="0" w:color="000000"/>
              <w:bottom w:val="single" w:sz="4" w:space="0" w:color="000000"/>
              <w:right w:val="single" w:sz="4" w:space="0" w:color="000000"/>
            </w:tcBorders>
          </w:tcPr>
          <w:p>
            <w:pPr>
              <w:pStyle w:val="TableParagraph"/>
              <w:spacing w:before="131"/>
              <w:ind w:left="105"/>
              <w:rPr>
                <w:sz w:val="18"/>
              </w:rPr>
            </w:pPr>
            <w:r>
              <w:rPr>
                <w:sz w:val="18"/>
              </w:rPr>
              <w:t>RETROBULBAR OR PERIBULBAR</w:t>
            </w:r>
          </w:p>
          <w:p>
            <w:pPr>
              <w:pStyle w:val="TableParagraph"/>
              <w:spacing w:line="312" w:lineRule="auto" w:before="65"/>
              <w:ind w:left="105"/>
              <w:rPr>
                <w:sz w:val="18"/>
              </w:rPr>
            </w:pPr>
            <w:r>
              <w:rPr>
                <w:sz w:val="18"/>
              </w:rPr>
              <w:t>INJECTION of an anaesthetic agent</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133"/>
              <w:ind w:left="108"/>
              <w:rPr>
                <w:sz w:val="18"/>
              </w:rPr>
            </w:pPr>
            <w:r>
              <w:rPr>
                <w:sz w:val="18"/>
              </w:rPr>
              <w:t>$93.60</w:t>
            </w:r>
          </w:p>
        </w:tc>
        <w:tc>
          <w:tcPr>
            <w:tcW w:w="965" w:type="dxa"/>
            <w:tcBorders>
              <w:top w:val="single" w:sz="4" w:space="0" w:color="000000"/>
              <w:left w:val="single" w:sz="4" w:space="0" w:color="000000"/>
              <w:bottom w:val="single" w:sz="4" w:space="0" w:color="000000"/>
              <w:right w:val="single" w:sz="4" w:space="0" w:color="000000"/>
            </w:tcBorders>
          </w:tcPr>
          <w:p>
            <w:pPr>
              <w:pStyle w:val="TableParagraph"/>
              <w:spacing w:before="133"/>
              <w:ind w:left="108"/>
              <w:rPr>
                <w:sz w:val="18"/>
              </w:rPr>
            </w:pPr>
            <w:r>
              <w:rPr>
                <w:sz w:val="18"/>
              </w:rPr>
              <w:t>9641</w:t>
            </w:r>
          </w:p>
        </w:tc>
        <w:tc>
          <w:tcPr>
            <w:tcW w:w="1174" w:type="dxa"/>
            <w:tcBorders>
              <w:top w:val="single" w:sz="4" w:space="0" w:color="000000"/>
              <w:left w:val="single" w:sz="4" w:space="0" w:color="000000"/>
              <w:bottom w:val="single" w:sz="4" w:space="0" w:color="000000"/>
              <w:right w:val="single" w:sz="4" w:space="0" w:color="000000"/>
            </w:tcBorders>
          </w:tcPr>
          <w:p>
            <w:pPr>
              <w:pStyle w:val="TableParagraph"/>
              <w:spacing w:before="133"/>
              <w:ind w:left="108"/>
              <w:rPr>
                <w:sz w:val="18"/>
              </w:rPr>
            </w:pPr>
            <w:r>
              <w:rPr>
                <w:sz w:val="18"/>
              </w:rPr>
              <w:t>$805,730</w:t>
            </w:r>
          </w:p>
        </w:tc>
        <w:tc>
          <w:tcPr>
            <w:tcW w:w="889" w:type="dxa"/>
            <w:tcBorders>
              <w:top w:val="single" w:sz="4" w:space="0" w:color="000000"/>
              <w:left w:val="single" w:sz="4" w:space="0" w:color="000000"/>
              <w:bottom w:val="single" w:sz="4" w:space="0" w:color="000000"/>
              <w:right w:val="single" w:sz="4" w:space="0" w:color="000000"/>
            </w:tcBorders>
          </w:tcPr>
          <w:p>
            <w:pPr>
              <w:pStyle w:val="TableParagraph"/>
              <w:spacing w:before="133"/>
              <w:ind w:left="107"/>
              <w:rPr>
                <w:sz w:val="18"/>
              </w:rPr>
            </w:pPr>
            <w:r>
              <w:rPr>
                <w:sz w:val="18"/>
              </w:rPr>
              <w:t>-4.3</w:t>
            </w:r>
          </w:p>
        </w:tc>
      </w:tr>
      <w:tr>
        <w:trPr>
          <w:trHeight w:val="1024" w:hRule="atLeast"/>
        </w:trPr>
        <w:tc>
          <w:tcPr>
            <w:tcW w:w="1538" w:type="dxa"/>
            <w:tcBorders>
              <w:top w:val="single" w:sz="4" w:space="0" w:color="000000"/>
              <w:left w:val="single" w:sz="4" w:space="0" w:color="000000"/>
              <w:bottom w:val="single" w:sz="4" w:space="0" w:color="000000"/>
              <w:right w:val="single" w:sz="4" w:space="0" w:color="000000"/>
            </w:tcBorders>
          </w:tcPr>
          <w:p>
            <w:pPr>
              <w:pStyle w:val="TableParagraph"/>
              <w:spacing w:before="133"/>
              <w:ind w:left="107"/>
              <w:rPr>
                <w:sz w:val="18"/>
              </w:rPr>
            </w:pPr>
            <w:r>
              <w:rPr>
                <w:sz w:val="18"/>
              </w:rPr>
              <w:t>18242</w:t>
            </w:r>
          </w:p>
        </w:tc>
        <w:tc>
          <w:tcPr>
            <w:tcW w:w="2525" w:type="dxa"/>
            <w:tcBorders>
              <w:top w:val="single" w:sz="4" w:space="0" w:color="000000"/>
              <w:left w:val="single" w:sz="4" w:space="0" w:color="000000"/>
              <w:bottom w:val="single" w:sz="4" w:space="0" w:color="000000"/>
              <w:right w:val="single" w:sz="4" w:space="0" w:color="000000"/>
            </w:tcBorders>
          </w:tcPr>
          <w:p>
            <w:pPr>
              <w:pStyle w:val="TableParagraph"/>
              <w:spacing w:before="131"/>
              <w:ind w:left="105"/>
              <w:rPr>
                <w:sz w:val="18"/>
              </w:rPr>
            </w:pPr>
            <w:r>
              <w:rPr>
                <w:sz w:val="18"/>
              </w:rPr>
              <w:t>GREATER OCCIPITAL NERVE,</w:t>
            </w:r>
          </w:p>
          <w:p>
            <w:pPr>
              <w:pStyle w:val="TableParagraph"/>
              <w:spacing w:line="312" w:lineRule="auto" w:before="65"/>
              <w:ind w:left="105" w:right="452"/>
              <w:rPr>
                <w:sz w:val="18"/>
              </w:rPr>
            </w:pPr>
            <w:r>
              <w:rPr>
                <w:sz w:val="18"/>
              </w:rPr>
              <w:t>injection of an anaesthetic agent (Anaes.)</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133"/>
              <w:ind w:left="108"/>
              <w:rPr>
                <w:sz w:val="18"/>
              </w:rPr>
            </w:pPr>
            <w:r>
              <w:rPr>
                <w:sz w:val="18"/>
              </w:rPr>
              <w:t>$37.65</w:t>
            </w:r>
          </w:p>
        </w:tc>
        <w:tc>
          <w:tcPr>
            <w:tcW w:w="965" w:type="dxa"/>
            <w:tcBorders>
              <w:top w:val="single" w:sz="4" w:space="0" w:color="000000"/>
              <w:left w:val="single" w:sz="4" w:space="0" w:color="000000"/>
              <w:bottom w:val="single" w:sz="4" w:space="0" w:color="000000"/>
              <w:right w:val="single" w:sz="4" w:space="0" w:color="000000"/>
            </w:tcBorders>
          </w:tcPr>
          <w:p>
            <w:pPr>
              <w:pStyle w:val="TableParagraph"/>
              <w:spacing w:before="133"/>
              <w:ind w:left="108"/>
              <w:rPr>
                <w:sz w:val="18"/>
              </w:rPr>
            </w:pPr>
            <w:r>
              <w:rPr>
                <w:sz w:val="18"/>
              </w:rPr>
              <w:t>5658</w:t>
            </w:r>
          </w:p>
        </w:tc>
        <w:tc>
          <w:tcPr>
            <w:tcW w:w="1174" w:type="dxa"/>
            <w:tcBorders>
              <w:top w:val="single" w:sz="4" w:space="0" w:color="000000"/>
              <w:left w:val="single" w:sz="4" w:space="0" w:color="000000"/>
              <w:bottom w:val="single" w:sz="4" w:space="0" w:color="000000"/>
              <w:right w:val="single" w:sz="4" w:space="0" w:color="000000"/>
            </w:tcBorders>
          </w:tcPr>
          <w:p>
            <w:pPr>
              <w:pStyle w:val="TableParagraph"/>
              <w:spacing w:before="133"/>
              <w:ind w:left="108"/>
              <w:rPr>
                <w:sz w:val="18"/>
              </w:rPr>
            </w:pPr>
            <w:r>
              <w:rPr>
                <w:sz w:val="18"/>
              </w:rPr>
              <w:t>$195,475</w:t>
            </w:r>
          </w:p>
        </w:tc>
        <w:tc>
          <w:tcPr>
            <w:tcW w:w="889" w:type="dxa"/>
            <w:tcBorders>
              <w:top w:val="single" w:sz="4" w:space="0" w:color="000000"/>
              <w:left w:val="single" w:sz="4" w:space="0" w:color="000000"/>
              <w:bottom w:val="single" w:sz="4" w:space="0" w:color="000000"/>
              <w:right w:val="single" w:sz="4" w:space="0" w:color="000000"/>
            </w:tcBorders>
          </w:tcPr>
          <w:p>
            <w:pPr>
              <w:pStyle w:val="TableParagraph"/>
              <w:spacing w:before="133"/>
              <w:ind w:left="107"/>
              <w:rPr>
                <w:sz w:val="18"/>
              </w:rPr>
            </w:pPr>
            <w:r>
              <w:rPr>
                <w:sz w:val="18"/>
              </w:rPr>
              <w:t>77.2</w:t>
            </w:r>
          </w:p>
        </w:tc>
      </w:tr>
      <w:tr>
        <w:trPr>
          <w:trHeight w:val="738" w:hRule="atLeast"/>
        </w:trPr>
        <w:tc>
          <w:tcPr>
            <w:tcW w:w="1538" w:type="dxa"/>
            <w:tcBorders>
              <w:top w:val="single" w:sz="4" w:space="0" w:color="000000"/>
              <w:left w:val="single" w:sz="4" w:space="0" w:color="000000"/>
              <w:bottom w:val="single" w:sz="4" w:space="0" w:color="000000"/>
              <w:right w:val="single" w:sz="4" w:space="0" w:color="000000"/>
            </w:tcBorders>
          </w:tcPr>
          <w:p>
            <w:pPr>
              <w:pStyle w:val="TableParagraph"/>
              <w:spacing w:before="133"/>
              <w:ind w:left="107"/>
              <w:rPr>
                <w:sz w:val="18"/>
              </w:rPr>
            </w:pPr>
            <w:r>
              <w:rPr>
                <w:sz w:val="18"/>
              </w:rPr>
              <w:t>18248</w:t>
            </w:r>
          </w:p>
        </w:tc>
        <w:tc>
          <w:tcPr>
            <w:tcW w:w="2525" w:type="dxa"/>
            <w:tcBorders>
              <w:top w:val="single" w:sz="4" w:space="0" w:color="000000"/>
              <w:left w:val="single" w:sz="4" w:space="0" w:color="000000"/>
              <w:bottom w:val="single" w:sz="4" w:space="0" w:color="000000"/>
              <w:right w:val="single" w:sz="4" w:space="0" w:color="000000"/>
            </w:tcBorders>
          </w:tcPr>
          <w:p>
            <w:pPr>
              <w:pStyle w:val="TableParagraph"/>
              <w:spacing w:line="312" w:lineRule="auto" w:before="131"/>
              <w:ind w:left="105" w:right="297"/>
              <w:rPr>
                <w:sz w:val="18"/>
              </w:rPr>
            </w:pPr>
            <w:r>
              <w:rPr>
                <w:sz w:val="18"/>
              </w:rPr>
              <w:t>PHRENIC NERVE, injection of an anaesthetic agent</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133"/>
              <w:ind w:left="108"/>
              <w:rPr>
                <w:sz w:val="18"/>
              </w:rPr>
            </w:pPr>
            <w:r>
              <w:rPr>
                <w:sz w:val="18"/>
              </w:rPr>
              <w:t>$88.65</w:t>
            </w:r>
          </w:p>
        </w:tc>
        <w:tc>
          <w:tcPr>
            <w:tcW w:w="965" w:type="dxa"/>
            <w:tcBorders>
              <w:top w:val="single" w:sz="4" w:space="0" w:color="000000"/>
              <w:left w:val="single" w:sz="4" w:space="0" w:color="000000"/>
              <w:bottom w:val="single" w:sz="4" w:space="0" w:color="000000"/>
              <w:right w:val="single" w:sz="4" w:space="0" w:color="000000"/>
            </w:tcBorders>
          </w:tcPr>
          <w:p>
            <w:pPr>
              <w:pStyle w:val="TableParagraph"/>
              <w:spacing w:before="133"/>
              <w:ind w:left="108"/>
              <w:rPr>
                <w:sz w:val="18"/>
              </w:rPr>
            </w:pPr>
            <w:r>
              <w:rPr>
                <w:sz w:val="18"/>
              </w:rPr>
              <w:t>1</w:t>
            </w:r>
          </w:p>
        </w:tc>
        <w:tc>
          <w:tcPr>
            <w:tcW w:w="1174" w:type="dxa"/>
            <w:tcBorders>
              <w:top w:val="single" w:sz="4" w:space="0" w:color="000000"/>
              <w:left w:val="single" w:sz="4" w:space="0" w:color="000000"/>
              <w:bottom w:val="single" w:sz="4" w:space="0" w:color="000000"/>
              <w:right w:val="single" w:sz="4" w:space="0" w:color="000000"/>
            </w:tcBorders>
          </w:tcPr>
          <w:p>
            <w:pPr>
              <w:pStyle w:val="TableParagraph"/>
              <w:spacing w:before="133"/>
              <w:ind w:left="108"/>
              <w:rPr>
                <w:sz w:val="18"/>
              </w:rPr>
            </w:pPr>
            <w:r>
              <w:rPr>
                <w:sz w:val="18"/>
              </w:rPr>
              <w:t>$67</w:t>
            </w:r>
          </w:p>
        </w:tc>
        <w:tc>
          <w:tcPr>
            <w:tcW w:w="889" w:type="dxa"/>
            <w:tcBorders>
              <w:top w:val="single" w:sz="4" w:space="0" w:color="000000"/>
              <w:left w:val="single" w:sz="4" w:space="0" w:color="000000"/>
              <w:bottom w:val="single" w:sz="4" w:space="0" w:color="000000"/>
              <w:right w:val="single" w:sz="4" w:space="0" w:color="000000"/>
            </w:tcBorders>
          </w:tcPr>
          <w:p>
            <w:pPr>
              <w:pStyle w:val="TableParagraph"/>
              <w:spacing w:before="133"/>
              <w:ind w:left="107"/>
              <w:rPr>
                <w:sz w:val="18"/>
              </w:rPr>
            </w:pPr>
            <w:r>
              <w:rPr>
                <w:sz w:val="18"/>
              </w:rPr>
              <w:t>0</w:t>
            </w:r>
          </w:p>
        </w:tc>
      </w:tr>
    </w:tbl>
    <w:p>
      <w:pPr>
        <w:spacing w:after="0"/>
        <w:rPr>
          <w:sz w:val="18"/>
        </w:rPr>
        <w:sectPr>
          <w:pgSz w:w="11910" w:h="16840"/>
          <w:pgMar w:header="672" w:footer="734" w:top="1300" w:bottom="1160" w:left="440" w:right="140"/>
        </w:sectPr>
      </w:pPr>
    </w:p>
    <w:p>
      <w:pPr>
        <w:pStyle w:val="BodyText"/>
        <w:rPr>
          <w:b/>
          <w:sz w:val="20"/>
        </w:rPr>
      </w:pPr>
    </w:p>
    <w:p>
      <w:pPr>
        <w:pStyle w:val="BodyText"/>
        <w:spacing w:before="2"/>
        <w:rPr>
          <w:b/>
          <w:sz w:val="29"/>
        </w:rPr>
      </w:pPr>
    </w:p>
    <w:tbl>
      <w:tblPr>
        <w:tblW w:w="0" w:type="auto"/>
        <w:jc w:val="left"/>
        <w:tblInd w:w="136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538"/>
        <w:gridCol w:w="2525"/>
        <w:gridCol w:w="946"/>
        <w:gridCol w:w="965"/>
        <w:gridCol w:w="1174"/>
        <w:gridCol w:w="889"/>
      </w:tblGrid>
      <w:tr>
        <w:trPr>
          <w:trHeight w:val="1933" w:hRule="atLeast"/>
        </w:trPr>
        <w:tc>
          <w:tcPr>
            <w:tcW w:w="1538" w:type="dxa"/>
            <w:tcBorders>
              <w:bottom w:val="single" w:sz="4" w:space="0" w:color="000000"/>
            </w:tcBorders>
            <w:shd w:val="clear" w:color="auto" w:fill="00643E"/>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5"/>
              <w:rPr>
                <w:b/>
                <w:sz w:val="20"/>
              </w:rPr>
            </w:pPr>
          </w:p>
          <w:p>
            <w:pPr>
              <w:pStyle w:val="TableParagraph"/>
              <w:spacing w:before="1"/>
              <w:ind w:left="28"/>
              <w:rPr>
                <w:b/>
                <w:sz w:val="18"/>
              </w:rPr>
            </w:pPr>
            <w:r>
              <w:rPr>
                <w:b/>
                <w:color w:val="FFFFFF"/>
                <w:sz w:val="18"/>
              </w:rPr>
              <w:t>Item</w:t>
            </w:r>
          </w:p>
        </w:tc>
        <w:tc>
          <w:tcPr>
            <w:tcW w:w="2525" w:type="dxa"/>
            <w:tcBorders>
              <w:bottom w:val="single" w:sz="4" w:space="0" w:color="000000"/>
            </w:tcBorders>
            <w:shd w:val="clear" w:color="auto" w:fill="00643E"/>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5"/>
              <w:rPr>
                <w:b/>
                <w:sz w:val="20"/>
              </w:rPr>
            </w:pPr>
          </w:p>
          <w:p>
            <w:pPr>
              <w:pStyle w:val="TableParagraph"/>
              <w:spacing w:before="1"/>
              <w:ind w:left="26"/>
              <w:rPr>
                <w:b/>
                <w:sz w:val="18"/>
              </w:rPr>
            </w:pPr>
            <w:r>
              <w:rPr>
                <w:b/>
                <w:color w:val="FFFFFF"/>
                <w:sz w:val="18"/>
              </w:rPr>
              <w:t>Descriptor</w:t>
            </w:r>
          </w:p>
        </w:tc>
        <w:tc>
          <w:tcPr>
            <w:tcW w:w="946" w:type="dxa"/>
            <w:tcBorders>
              <w:bottom w:val="single" w:sz="4" w:space="0" w:color="000000"/>
            </w:tcBorders>
            <w:shd w:val="clear" w:color="auto" w:fill="00643E"/>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
              <w:rPr>
                <w:b/>
                <w:sz w:val="15"/>
              </w:rPr>
            </w:pPr>
          </w:p>
          <w:p>
            <w:pPr>
              <w:pStyle w:val="TableParagraph"/>
              <w:spacing w:line="309" w:lineRule="auto"/>
              <w:ind w:left="26" w:right="214"/>
              <w:rPr>
                <w:b/>
                <w:sz w:val="18"/>
              </w:rPr>
            </w:pPr>
            <w:r>
              <w:rPr>
                <w:b/>
                <w:color w:val="FFFFFF"/>
                <w:sz w:val="18"/>
              </w:rPr>
              <w:t>Schedule fee</w:t>
            </w:r>
          </w:p>
        </w:tc>
        <w:tc>
          <w:tcPr>
            <w:tcW w:w="965" w:type="dxa"/>
            <w:tcBorders>
              <w:bottom w:val="single" w:sz="4" w:space="0" w:color="000000"/>
            </w:tcBorders>
            <w:shd w:val="clear" w:color="auto" w:fill="00643E"/>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
              <w:rPr>
                <w:b/>
                <w:sz w:val="15"/>
              </w:rPr>
            </w:pPr>
          </w:p>
          <w:p>
            <w:pPr>
              <w:pStyle w:val="TableParagraph"/>
              <w:spacing w:line="309" w:lineRule="auto"/>
              <w:ind w:left="29" w:right="105"/>
              <w:rPr>
                <w:b/>
                <w:sz w:val="18"/>
              </w:rPr>
            </w:pPr>
            <w:r>
              <w:rPr>
                <w:b/>
                <w:color w:val="FFFFFF"/>
                <w:sz w:val="18"/>
              </w:rPr>
              <w:t>Services FY2016/17</w:t>
            </w:r>
          </w:p>
        </w:tc>
        <w:tc>
          <w:tcPr>
            <w:tcW w:w="1174" w:type="dxa"/>
            <w:tcBorders>
              <w:bottom w:val="single" w:sz="4" w:space="0" w:color="000000"/>
            </w:tcBorders>
            <w:shd w:val="clear" w:color="auto" w:fill="00643E"/>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
              <w:rPr>
                <w:b/>
                <w:sz w:val="15"/>
              </w:rPr>
            </w:pPr>
          </w:p>
          <w:p>
            <w:pPr>
              <w:pStyle w:val="TableParagraph"/>
              <w:spacing w:line="309" w:lineRule="auto"/>
              <w:ind w:left="29" w:right="314"/>
              <w:rPr>
                <w:b/>
                <w:sz w:val="18"/>
              </w:rPr>
            </w:pPr>
            <w:r>
              <w:rPr>
                <w:b/>
                <w:color w:val="FFFFFF"/>
                <w:sz w:val="18"/>
              </w:rPr>
              <w:t>Benefits FY2016/17</w:t>
            </w:r>
          </w:p>
        </w:tc>
        <w:tc>
          <w:tcPr>
            <w:tcW w:w="889" w:type="dxa"/>
            <w:tcBorders>
              <w:bottom w:val="single" w:sz="4" w:space="0" w:color="000000"/>
            </w:tcBorders>
            <w:shd w:val="clear" w:color="auto" w:fill="00643E"/>
          </w:tcPr>
          <w:p>
            <w:pPr>
              <w:pStyle w:val="TableParagraph"/>
              <w:spacing w:line="312" w:lineRule="auto" w:before="85"/>
              <w:ind w:left="26" w:right="39"/>
              <w:rPr>
                <w:b/>
                <w:sz w:val="18"/>
              </w:rPr>
            </w:pPr>
            <w:r>
              <w:rPr>
                <w:b/>
                <w:color w:val="FFFFFF"/>
                <w:sz w:val="18"/>
              </w:rPr>
              <w:t>Services 5- year annual avg. growth</w:t>
            </w:r>
          </w:p>
          <w:p>
            <w:pPr>
              <w:pStyle w:val="TableParagraph"/>
              <w:spacing w:before="52"/>
              <w:ind w:left="26"/>
              <w:rPr>
                <w:b/>
                <w:sz w:val="18"/>
              </w:rPr>
            </w:pPr>
            <w:r>
              <w:rPr>
                <w:b/>
                <w:color w:val="FFFFFF"/>
                <w:sz w:val="18"/>
              </w:rPr>
              <w:t>%</w:t>
            </w:r>
          </w:p>
        </w:tc>
      </w:tr>
      <w:tr>
        <w:trPr>
          <w:trHeight w:val="1024" w:hRule="atLeast"/>
        </w:trPr>
        <w:tc>
          <w:tcPr>
            <w:tcW w:w="1538" w:type="dxa"/>
            <w:tcBorders>
              <w:top w:val="single" w:sz="4" w:space="0" w:color="000000"/>
              <w:left w:val="single" w:sz="4" w:space="0" w:color="000000"/>
              <w:bottom w:val="single" w:sz="4" w:space="0" w:color="000000"/>
              <w:right w:val="single" w:sz="4" w:space="0" w:color="000000"/>
            </w:tcBorders>
          </w:tcPr>
          <w:p>
            <w:pPr>
              <w:pStyle w:val="TableParagraph"/>
              <w:spacing w:before="133"/>
              <w:ind w:left="107"/>
              <w:rPr>
                <w:sz w:val="18"/>
              </w:rPr>
            </w:pPr>
            <w:r>
              <w:rPr>
                <w:sz w:val="18"/>
              </w:rPr>
              <w:t>18250</w:t>
            </w:r>
          </w:p>
        </w:tc>
        <w:tc>
          <w:tcPr>
            <w:tcW w:w="2525" w:type="dxa"/>
            <w:tcBorders>
              <w:top w:val="single" w:sz="4" w:space="0" w:color="000000"/>
              <w:left w:val="single" w:sz="4" w:space="0" w:color="000000"/>
              <w:bottom w:val="single" w:sz="4" w:space="0" w:color="000000"/>
              <w:right w:val="single" w:sz="4" w:space="0" w:color="000000"/>
            </w:tcBorders>
          </w:tcPr>
          <w:p>
            <w:pPr>
              <w:pStyle w:val="TableParagraph"/>
              <w:spacing w:before="131"/>
              <w:ind w:left="105"/>
              <w:rPr>
                <w:sz w:val="18"/>
              </w:rPr>
            </w:pPr>
            <w:r>
              <w:rPr>
                <w:sz w:val="18"/>
              </w:rPr>
              <w:t>SPINAL ACCESSORY NERVE,</w:t>
            </w:r>
          </w:p>
          <w:p>
            <w:pPr>
              <w:pStyle w:val="TableParagraph"/>
              <w:spacing w:line="312" w:lineRule="auto" w:before="65"/>
              <w:ind w:left="105" w:right="452"/>
              <w:rPr>
                <w:sz w:val="18"/>
              </w:rPr>
            </w:pPr>
            <w:r>
              <w:rPr>
                <w:sz w:val="18"/>
              </w:rPr>
              <w:t>injection of an anaesthetic agent</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133"/>
              <w:ind w:left="108"/>
              <w:rPr>
                <w:sz w:val="18"/>
              </w:rPr>
            </w:pPr>
            <w:r>
              <w:rPr>
                <w:sz w:val="18"/>
              </w:rPr>
              <w:t>$62.50</w:t>
            </w:r>
          </w:p>
        </w:tc>
        <w:tc>
          <w:tcPr>
            <w:tcW w:w="965" w:type="dxa"/>
            <w:tcBorders>
              <w:top w:val="single" w:sz="4" w:space="0" w:color="000000"/>
              <w:left w:val="single" w:sz="4" w:space="0" w:color="000000"/>
              <w:bottom w:val="single" w:sz="4" w:space="0" w:color="000000"/>
              <w:right w:val="single" w:sz="4" w:space="0" w:color="000000"/>
            </w:tcBorders>
          </w:tcPr>
          <w:p>
            <w:pPr>
              <w:pStyle w:val="TableParagraph"/>
              <w:spacing w:before="133"/>
              <w:ind w:left="108"/>
              <w:rPr>
                <w:sz w:val="18"/>
              </w:rPr>
            </w:pPr>
            <w:r>
              <w:rPr>
                <w:sz w:val="18"/>
              </w:rPr>
              <w:t>19</w:t>
            </w:r>
          </w:p>
        </w:tc>
        <w:tc>
          <w:tcPr>
            <w:tcW w:w="1174" w:type="dxa"/>
            <w:tcBorders>
              <w:top w:val="single" w:sz="4" w:space="0" w:color="000000"/>
              <w:left w:val="single" w:sz="4" w:space="0" w:color="000000"/>
              <w:bottom w:val="single" w:sz="4" w:space="0" w:color="000000"/>
              <w:right w:val="single" w:sz="4" w:space="0" w:color="000000"/>
            </w:tcBorders>
          </w:tcPr>
          <w:p>
            <w:pPr>
              <w:pStyle w:val="TableParagraph"/>
              <w:spacing w:before="133"/>
              <w:ind w:left="108"/>
              <w:rPr>
                <w:sz w:val="18"/>
              </w:rPr>
            </w:pPr>
            <w:r>
              <w:rPr>
                <w:sz w:val="18"/>
              </w:rPr>
              <w:t>$955</w:t>
            </w:r>
          </w:p>
        </w:tc>
        <w:tc>
          <w:tcPr>
            <w:tcW w:w="889" w:type="dxa"/>
            <w:tcBorders>
              <w:top w:val="single" w:sz="4" w:space="0" w:color="000000"/>
              <w:left w:val="single" w:sz="4" w:space="0" w:color="000000"/>
              <w:bottom w:val="single" w:sz="4" w:space="0" w:color="000000"/>
              <w:right w:val="single" w:sz="4" w:space="0" w:color="000000"/>
            </w:tcBorders>
          </w:tcPr>
          <w:p>
            <w:pPr>
              <w:pStyle w:val="TableParagraph"/>
              <w:spacing w:before="133"/>
              <w:ind w:left="107"/>
              <w:rPr>
                <w:sz w:val="18"/>
              </w:rPr>
            </w:pPr>
            <w:r>
              <w:rPr>
                <w:sz w:val="18"/>
              </w:rPr>
              <w:t>-1.0</w:t>
            </w:r>
          </w:p>
        </w:tc>
      </w:tr>
      <w:tr>
        <w:trPr>
          <w:trHeight w:val="1024" w:hRule="atLeast"/>
        </w:trPr>
        <w:tc>
          <w:tcPr>
            <w:tcW w:w="1538" w:type="dxa"/>
            <w:tcBorders>
              <w:top w:val="single" w:sz="4" w:space="0" w:color="000000"/>
              <w:left w:val="single" w:sz="4" w:space="0" w:color="000000"/>
              <w:bottom w:val="single" w:sz="4" w:space="0" w:color="000000"/>
              <w:right w:val="single" w:sz="4" w:space="0" w:color="000000"/>
            </w:tcBorders>
          </w:tcPr>
          <w:p>
            <w:pPr>
              <w:pStyle w:val="TableParagraph"/>
              <w:spacing w:before="133"/>
              <w:ind w:left="107"/>
              <w:rPr>
                <w:sz w:val="18"/>
              </w:rPr>
            </w:pPr>
            <w:r>
              <w:rPr>
                <w:sz w:val="18"/>
              </w:rPr>
              <w:t>18256</w:t>
            </w:r>
          </w:p>
        </w:tc>
        <w:tc>
          <w:tcPr>
            <w:tcW w:w="2525" w:type="dxa"/>
            <w:tcBorders>
              <w:top w:val="single" w:sz="4" w:space="0" w:color="000000"/>
              <w:left w:val="single" w:sz="4" w:space="0" w:color="000000"/>
              <w:bottom w:val="single" w:sz="4" w:space="0" w:color="000000"/>
              <w:right w:val="single" w:sz="4" w:space="0" w:color="000000"/>
            </w:tcBorders>
          </w:tcPr>
          <w:p>
            <w:pPr>
              <w:pStyle w:val="TableParagraph"/>
              <w:spacing w:before="131"/>
              <w:ind w:left="105"/>
              <w:rPr>
                <w:sz w:val="18"/>
              </w:rPr>
            </w:pPr>
            <w:r>
              <w:rPr>
                <w:sz w:val="18"/>
              </w:rPr>
              <w:t>SUPRASCAPULAR NERVE,</w:t>
            </w:r>
          </w:p>
          <w:p>
            <w:pPr>
              <w:pStyle w:val="TableParagraph"/>
              <w:spacing w:line="312" w:lineRule="auto" w:before="65"/>
              <w:ind w:left="105" w:right="452"/>
              <w:rPr>
                <w:sz w:val="18"/>
              </w:rPr>
            </w:pPr>
            <w:r>
              <w:rPr>
                <w:sz w:val="18"/>
              </w:rPr>
              <w:t>injection of an anaesthetic agent</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133"/>
              <w:ind w:left="108"/>
              <w:rPr>
                <w:sz w:val="18"/>
              </w:rPr>
            </w:pPr>
            <w:r>
              <w:rPr>
                <w:sz w:val="18"/>
              </w:rPr>
              <w:t>$62.50</w:t>
            </w:r>
          </w:p>
        </w:tc>
        <w:tc>
          <w:tcPr>
            <w:tcW w:w="965" w:type="dxa"/>
            <w:tcBorders>
              <w:top w:val="single" w:sz="4" w:space="0" w:color="000000"/>
              <w:left w:val="single" w:sz="4" w:space="0" w:color="000000"/>
              <w:bottom w:val="single" w:sz="4" w:space="0" w:color="000000"/>
              <w:right w:val="single" w:sz="4" w:space="0" w:color="000000"/>
            </w:tcBorders>
          </w:tcPr>
          <w:p>
            <w:pPr>
              <w:pStyle w:val="TableParagraph"/>
              <w:spacing w:before="133"/>
              <w:ind w:left="108"/>
              <w:rPr>
                <w:sz w:val="18"/>
              </w:rPr>
            </w:pPr>
            <w:r>
              <w:rPr>
                <w:sz w:val="18"/>
              </w:rPr>
              <w:t>3,036</w:t>
            </w:r>
          </w:p>
        </w:tc>
        <w:tc>
          <w:tcPr>
            <w:tcW w:w="1174" w:type="dxa"/>
            <w:tcBorders>
              <w:top w:val="single" w:sz="4" w:space="0" w:color="000000"/>
              <w:left w:val="single" w:sz="4" w:space="0" w:color="000000"/>
              <w:bottom w:val="single" w:sz="4" w:space="0" w:color="000000"/>
              <w:right w:val="single" w:sz="4" w:space="0" w:color="000000"/>
            </w:tcBorders>
          </w:tcPr>
          <w:p>
            <w:pPr>
              <w:pStyle w:val="TableParagraph"/>
              <w:spacing w:before="133"/>
              <w:ind w:left="108"/>
              <w:rPr>
                <w:sz w:val="18"/>
              </w:rPr>
            </w:pPr>
            <w:r>
              <w:rPr>
                <w:sz w:val="18"/>
              </w:rPr>
              <w:t>$152,369</w:t>
            </w:r>
          </w:p>
        </w:tc>
        <w:tc>
          <w:tcPr>
            <w:tcW w:w="889" w:type="dxa"/>
            <w:tcBorders>
              <w:top w:val="single" w:sz="4" w:space="0" w:color="000000"/>
              <w:left w:val="single" w:sz="4" w:space="0" w:color="000000"/>
              <w:bottom w:val="single" w:sz="4" w:space="0" w:color="000000"/>
              <w:right w:val="single" w:sz="4" w:space="0" w:color="000000"/>
            </w:tcBorders>
          </w:tcPr>
          <w:p>
            <w:pPr>
              <w:pStyle w:val="TableParagraph"/>
              <w:spacing w:before="133"/>
              <w:ind w:left="107"/>
              <w:rPr>
                <w:sz w:val="18"/>
              </w:rPr>
            </w:pPr>
            <w:r>
              <w:rPr>
                <w:sz w:val="18"/>
              </w:rPr>
              <w:t>13.5</w:t>
            </w:r>
          </w:p>
        </w:tc>
      </w:tr>
      <w:tr>
        <w:trPr>
          <w:trHeight w:val="736" w:hRule="atLeast"/>
        </w:trPr>
        <w:tc>
          <w:tcPr>
            <w:tcW w:w="1538" w:type="dxa"/>
            <w:tcBorders>
              <w:top w:val="single" w:sz="4" w:space="0" w:color="000000"/>
              <w:left w:val="single" w:sz="4" w:space="0" w:color="000000"/>
              <w:bottom w:val="single" w:sz="4" w:space="0" w:color="000000"/>
              <w:right w:val="single" w:sz="4" w:space="0" w:color="000000"/>
            </w:tcBorders>
          </w:tcPr>
          <w:p>
            <w:pPr>
              <w:pStyle w:val="TableParagraph"/>
              <w:spacing w:before="133"/>
              <w:ind w:left="107"/>
              <w:rPr>
                <w:sz w:val="18"/>
              </w:rPr>
            </w:pPr>
            <w:r>
              <w:rPr>
                <w:sz w:val="18"/>
              </w:rPr>
              <w:t>18268</w:t>
            </w:r>
          </w:p>
        </w:tc>
        <w:tc>
          <w:tcPr>
            <w:tcW w:w="2525" w:type="dxa"/>
            <w:tcBorders>
              <w:top w:val="single" w:sz="4" w:space="0" w:color="000000"/>
              <w:left w:val="single" w:sz="4" w:space="0" w:color="000000"/>
              <w:bottom w:val="single" w:sz="4" w:space="0" w:color="000000"/>
              <w:right w:val="single" w:sz="4" w:space="0" w:color="000000"/>
            </w:tcBorders>
          </w:tcPr>
          <w:p>
            <w:pPr>
              <w:pStyle w:val="TableParagraph"/>
              <w:spacing w:line="312" w:lineRule="auto" w:before="131"/>
              <w:ind w:left="105" w:right="209"/>
              <w:rPr>
                <w:sz w:val="18"/>
              </w:rPr>
            </w:pPr>
            <w:r>
              <w:rPr>
                <w:sz w:val="18"/>
              </w:rPr>
              <w:t>OBTURATOR NERVE, injection of an anaesthetic agent</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133"/>
              <w:ind w:left="108"/>
              <w:rPr>
                <w:sz w:val="18"/>
              </w:rPr>
            </w:pPr>
            <w:r>
              <w:rPr>
                <w:sz w:val="18"/>
              </w:rPr>
              <w:t>$88.65</w:t>
            </w:r>
          </w:p>
        </w:tc>
        <w:tc>
          <w:tcPr>
            <w:tcW w:w="965" w:type="dxa"/>
            <w:tcBorders>
              <w:top w:val="single" w:sz="4" w:space="0" w:color="000000"/>
              <w:left w:val="single" w:sz="4" w:space="0" w:color="000000"/>
              <w:bottom w:val="single" w:sz="4" w:space="0" w:color="000000"/>
              <w:right w:val="single" w:sz="4" w:space="0" w:color="000000"/>
            </w:tcBorders>
          </w:tcPr>
          <w:p>
            <w:pPr>
              <w:pStyle w:val="TableParagraph"/>
              <w:spacing w:before="133"/>
              <w:ind w:left="108"/>
              <w:rPr>
                <w:sz w:val="18"/>
              </w:rPr>
            </w:pPr>
            <w:r>
              <w:rPr>
                <w:sz w:val="18"/>
              </w:rPr>
              <w:t>119</w:t>
            </w:r>
          </w:p>
        </w:tc>
        <w:tc>
          <w:tcPr>
            <w:tcW w:w="1174" w:type="dxa"/>
            <w:tcBorders>
              <w:top w:val="single" w:sz="4" w:space="0" w:color="000000"/>
              <w:left w:val="single" w:sz="4" w:space="0" w:color="000000"/>
              <w:bottom w:val="single" w:sz="4" w:space="0" w:color="000000"/>
              <w:right w:val="single" w:sz="4" w:space="0" w:color="000000"/>
            </w:tcBorders>
          </w:tcPr>
          <w:p>
            <w:pPr>
              <w:pStyle w:val="TableParagraph"/>
              <w:spacing w:before="133"/>
              <w:ind w:left="108"/>
              <w:rPr>
                <w:sz w:val="18"/>
              </w:rPr>
            </w:pPr>
            <w:r>
              <w:rPr>
                <w:sz w:val="18"/>
              </w:rPr>
              <w:t>$8,604</w:t>
            </w:r>
          </w:p>
        </w:tc>
        <w:tc>
          <w:tcPr>
            <w:tcW w:w="889" w:type="dxa"/>
            <w:tcBorders>
              <w:top w:val="single" w:sz="4" w:space="0" w:color="000000"/>
              <w:left w:val="single" w:sz="4" w:space="0" w:color="000000"/>
              <w:bottom w:val="single" w:sz="4" w:space="0" w:color="000000"/>
              <w:right w:val="single" w:sz="4" w:space="0" w:color="000000"/>
            </w:tcBorders>
          </w:tcPr>
          <w:p>
            <w:pPr>
              <w:pStyle w:val="TableParagraph"/>
              <w:spacing w:before="133"/>
              <w:ind w:left="107"/>
              <w:rPr>
                <w:sz w:val="18"/>
              </w:rPr>
            </w:pPr>
            <w:r>
              <w:rPr>
                <w:sz w:val="18"/>
              </w:rPr>
              <w:t>22.6</w:t>
            </w:r>
          </w:p>
        </w:tc>
      </w:tr>
      <w:tr>
        <w:trPr>
          <w:trHeight w:val="1024" w:hRule="atLeast"/>
        </w:trPr>
        <w:tc>
          <w:tcPr>
            <w:tcW w:w="1538" w:type="dxa"/>
            <w:tcBorders>
              <w:top w:val="single" w:sz="4" w:space="0" w:color="000000"/>
              <w:left w:val="single" w:sz="4" w:space="0" w:color="000000"/>
              <w:bottom w:val="single" w:sz="4" w:space="0" w:color="000000"/>
              <w:right w:val="single" w:sz="4" w:space="0" w:color="000000"/>
            </w:tcBorders>
          </w:tcPr>
          <w:p>
            <w:pPr>
              <w:pStyle w:val="TableParagraph"/>
              <w:spacing w:before="135"/>
              <w:ind w:left="107"/>
              <w:rPr>
                <w:sz w:val="18"/>
              </w:rPr>
            </w:pPr>
            <w:r>
              <w:rPr>
                <w:sz w:val="18"/>
              </w:rPr>
              <w:t>18276</w:t>
            </w:r>
          </w:p>
        </w:tc>
        <w:tc>
          <w:tcPr>
            <w:tcW w:w="2525" w:type="dxa"/>
            <w:tcBorders>
              <w:top w:val="single" w:sz="4" w:space="0" w:color="000000"/>
              <w:left w:val="single" w:sz="4" w:space="0" w:color="000000"/>
              <w:bottom w:val="single" w:sz="4" w:space="0" w:color="000000"/>
              <w:right w:val="single" w:sz="4" w:space="0" w:color="000000"/>
            </w:tcBorders>
          </w:tcPr>
          <w:p>
            <w:pPr>
              <w:pStyle w:val="TableParagraph"/>
              <w:spacing w:before="133"/>
              <w:ind w:left="105"/>
              <w:rPr>
                <w:sz w:val="18"/>
              </w:rPr>
            </w:pPr>
            <w:r>
              <w:rPr>
                <w:sz w:val="18"/>
              </w:rPr>
              <w:t>PARAVERTEBRAL NERVES,</w:t>
            </w:r>
          </w:p>
          <w:p>
            <w:pPr>
              <w:pStyle w:val="TableParagraph"/>
              <w:spacing w:line="312" w:lineRule="auto" w:before="66"/>
              <w:ind w:left="105" w:right="452"/>
              <w:rPr>
                <w:sz w:val="18"/>
              </w:rPr>
            </w:pPr>
            <w:r>
              <w:rPr>
                <w:sz w:val="18"/>
              </w:rPr>
              <w:t>injection of an anaesthetic agent, (multiple levels)</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135"/>
              <w:ind w:left="108"/>
              <w:rPr>
                <w:sz w:val="18"/>
              </w:rPr>
            </w:pPr>
            <w:r>
              <w:rPr>
                <w:sz w:val="18"/>
              </w:rPr>
              <w:t>$124.85</w:t>
            </w:r>
          </w:p>
        </w:tc>
        <w:tc>
          <w:tcPr>
            <w:tcW w:w="965" w:type="dxa"/>
            <w:tcBorders>
              <w:top w:val="single" w:sz="4" w:space="0" w:color="000000"/>
              <w:left w:val="single" w:sz="4" w:space="0" w:color="000000"/>
              <w:bottom w:val="single" w:sz="4" w:space="0" w:color="000000"/>
              <w:right w:val="single" w:sz="4" w:space="0" w:color="000000"/>
            </w:tcBorders>
          </w:tcPr>
          <w:p>
            <w:pPr>
              <w:pStyle w:val="TableParagraph"/>
              <w:spacing w:before="135"/>
              <w:ind w:left="108"/>
              <w:rPr>
                <w:sz w:val="18"/>
              </w:rPr>
            </w:pPr>
            <w:r>
              <w:rPr>
                <w:sz w:val="18"/>
              </w:rPr>
              <w:t>18,668</w:t>
            </w:r>
          </w:p>
        </w:tc>
        <w:tc>
          <w:tcPr>
            <w:tcW w:w="1174" w:type="dxa"/>
            <w:tcBorders>
              <w:top w:val="single" w:sz="4" w:space="0" w:color="000000"/>
              <w:left w:val="single" w:sz="4" w:space="0" w:color="000000"/>
              <w:bottom w:val="single" w:sz="4" w:space="0" w:color="000000"/>
              <w:right w:val="single" w:sz="4" w:space="0" w:color="000000"/>
            </w:tcBorders>
          </w:tcPr>
          <w:p>
            <w:pPr>
              <w:pStyle w:val="TableParagraph"/>
              <w:spacing w:before="135"/>
              <w:ind w:left="108"/>
              <w:rPr>
                <w:sz w:val="18"/>
              </w:rPr>
            </w:pPr>
            <w:r>
              <w:rPr>
                <w:sz w:val="18"/>
              </w:rPr>
              <w:t>$1,888,203</w:t>
            </w:r>
          </w:p>
        </w:tc>
        <w:tc>
          <w:tcPr>
            <w:tcW w:w="889" w:type="dxa"/>
            <w:tcBorders>
              <w:top w:val="single" w:sz="4" w:space="0" w:color="000000"/>
              <w:left w:val="single" w:sz="4" w:space="0" w:color="000000"/>
              <w:bottom w:val="single" w:sz="4" w:space="0" w:color="000000"/>
              <w:right w:val="single" w:sz="4" w:space="0" w:color="000000"/>
            </w:tcBorders>
          </w:tcPr>
          <w:p>
            <w:pPr>
              <w:pStyle w:val="TableParagraph"/>
              <w:spacing w:before="135"/>
              <w:ind w:left="107"/>
              <w:rPr>
                <w:sz w:val="18"/>
              </w:rPr>
            </w:pPr>
            <w:r>
              <w:rPr>
                <w:sz w:val="18"/>
              </w:rPr>
              <w:t>9.8</w:t>
            </w:r>
          </w:p>
        </w:tc>
      </w:tr>
      <w:tr>
        <w:trPr>
          <w:trHeight w:val="1310" w:hRule="atLeast"/>
        </w:trPr>
        <w:tc>
          <w:tcPr>
            <w:tcW w:w="1538" w:type="dxa"/>
            <w:tcBorders>
              <w:top w:val="single" w:sz="4" w:space="0" w:color="000000"/>
              <w:left w:val="single" w:sz="4" w:space="0" w:color="000000"/>
              <w:bottom w:val="single" w:sz="4" w:space="0" w:color="000000"/>
              <w:right w:val="single" w:sz="4" w:space="0" w:color="000000"/>
            </w:tcBorders>
          </w:tcPr>
          <w:p>
            <w:pPr>
              <w:pStyle w:val="TableParagraph"/>
              <w:spacing w:before="133"/>
              <w:ind w:left="107"/>
              <w:rPr>
                <w:sz w:val="18"/>
              </w:rPr>
            </w:pPr>
            <w:r>
              <w:rPr>
                <w:sz w:val="18"/>
              </w:rPr>
              <w:t>18298</w:t>
            </w:r>
          </w:p>
        </w:tc>
        <w:tc>
          <w:tcPr>
            <w:tcW w:w="2525" w:type="dxa"/>
            <w:tcBorders>
              <w:top w:val="single" w:sz="4" w:space="0" w:color="000000"/>
              <w:left w:val="single" w:sz="4" w:space="0" w:color="000000"/>
              <w:bottom w:val="single" w:sz="4" w:space="0" w:color="000000"/>
              <w:right w:val="single" w:sz="4" w:space="0" w:color="000000"/>
            </w:tcBorders>
          </w:tcPr>
          <w:p>
            <w:pPr>
              <w:pStyle w:val="TableParagraph"/>
              <w:spacing w:line="314" w:lineRule="auto" w:before="131"/>
              <w:ind w:left="105" w:right="628"/>
              <w:rPr>
                <w:sz w:val="18"/>
              </w:rPr>
            </w:pPr>
            <w:r>
              <w:rPr>
                <w:sz w:val="18"/>
              </w:rPr>
              <w:t>CERVICAL OR THORACIC SYMPATHETIC CHAIN,</w:t>
            </w:r>
          </w:p>
          <w:p>
            <w:pPr>
              <w:pStyle w:val="TableParagraph"/>
              <w:spacing w:line="312" w:lineRule="auto"/>
              <w:ind w:left="105" w:right="297"/>
              <w:rPr>
                <w:sz w:val="18"/>
              </w:rPr>
            </w:pPr>
            <w:r>
              <w:rPr>
                <w:sz w:val="18"/>
              </w:rPr>
              <w:t>destruction by a neurolytic agent (Anaes.)</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133"/>
              <w:ind w:left="108"/>
              <w:rPr>
                <w:sz w:val="18"/>
              </w:rPr>
            </w:pPr>
            <w:r>
              <w:rPr>
                <w:sz w:val="18"/>
              </w:rPr>
              <w:t>$176.00</w:t>
            </w:r>
          </w:p>
        </w:tc>
        <w:tc>
          <w:tcPr>
            <w:tcW w:w="965" w:type="dxa"/>
            <w:tcBorders>
              <w:top w:val="single" w:sz="4" w:space="0" w:color="000000"/>
              <w:left w:val="single" w:sz="4" w:space="0" w:color="000000"/>
              <w:bottom w:val="single" w:sz="4" w:space="0" w:color="000000"/>
              <w:right w:val="single" w:sz="4" w:space="0" w:color="000000"/>
            </w:tcBorders>
          </w:tcPr>
          <w:p>
            <w:pPr>
              <w:pStyle w:val="TableParagraph"/>
              <w:spacing w:before="133"/>
              <w:ind w:left="108"/>
              <w:rPr>
                <w:sz w:val="18"/>
              </w:rPr>
            </w:pPr>
            <w:r>
              <w:rPr>
                <w:sz w:val="18"/>
              </w:rPr>
              <w:t>66</w:t>
            </w:r>
          </w:p>
        </w:tc>
        <w:tc>
          <w:tcPr>
            <w:tcW w:w="1174" w:type="dxa"/>
            <w:tcBorders>
              <w:top w:val="single" w:sz="4" w:space="0" w:color="000000"/>
              <w:left w:val="single" w:sz="4" w:space="0" w:color="000000"/>
              <w:bottom w:val="single" w:sz="4" w:space="0" w:color="000000"/>
              <w:right w:val="single" w:sz="4" w:space="0" w:color="000000"/>
            </w:tcBorders>
          </w:tcPr>
          <w:p>
            <w:pPr>
              <w:pStyle w:val="TableParagraph"/>
              <w:spacing w:before="133"/>
              <w:ind w:left="108"/>
              <w:rPr>
                <w:sz w:val="18"/>
              </w:rPr>
            </w:pPr>
            <w:r>
              <w:rPr>
                <w:sz w:val="18"/>
              </w:rPr>
              <w:t>$9,869</w:t>
            </w:r>
          </w:p>
        </w:tc>
        <w:tc>
          <w:tcPr>
            <w:tcW w:w="889" w:type="dxa"/>
            <w:tcBorders>
              <w:top w:val="single" w:sz="4" w:space="0" w:color="000000"/>
              <w:left w:val="single" w:sz="4" w:space="0" w:color="000000"/>
              <w:bottom w:val="single" w:sz="4" w:space="0" w:color="000000"/>
              <w:right w:val="single" w:sz="4" w:space="0" w:color="000000"/>
            </w:tcBorders>
          </w:tcPr>
          <w:p>
            <w:pPr>
              <w:pStyle w:val="TableParagraph"/>
              <w:spacing w:before="133"/>
              <w:ind w:left="107"/>
              <w:rPr>
                <w:sz w:val="18"/>
              </w:rPr>
            </w:pPr>
            <w:r>
              <w:rPr>
                <w:sz w:val="18"/>
              </w:rPr>
              <w:t>12.9</w:t>
            </w:r>
          </w:p>
        </w:tc>
      </w:tr>
      <w:tr>
        <w:trPr>
          <w:trHeight w:val="739" w:hRule="atLeast"/>
        </w:trPr>
        <w:tc>
          <w:tcPr>
            <w:tcW w:w="1538" w:type="dxa"/>
            <w:tcBorders>
              <w:top w:val="single" w:sz="4" w:space="0" w:color="000000"/>
              <w:left w:val="single" w:sz="4" w:space="0" w:color="000000"/>
              <w:bottom w:val="single" w:sz="4" w:space="0" w:color="000000"/>
              <w:right w:val="single" w:sz="4" w:space="0" w:color="000000"/>
            </w:tcBorders>
          </w:tcPr>
          <w:p>
            <w:pPr>
              <w:pStyle w:val="TableParagraph"/>
              <w:spacing w:before="133"/>
              <w:ind w:left="107"/>
              <w:rPr>
                <w:sz w:val="18"/>
              </w:rPr>
            </w:pPr>
            <w:r>
              <w:rPr>
                <w:sz w:val="18"/>
              </w:rPr>
              <w:t>39121</w:t>
            </w:r>
          </w:p>
        </w:tc>
        <w:tc>
          <w:tcPr>
            <w:tcW w:w="2525" w:type="dxa"/>
            <w:tcBorders>
              <w:top w:val="single" w:sz="4" w:space="0" w:color="000000"/>
              <w:left w:val="single" w:sz="4" w:space="0" w:color="000000"/>
              <w:bottom w:val="single" w:sz="4" w:space="0" w:color="000000"/>
              <w:right w:val="single" w:sz="4" w:space="0" w:color="000000"/>
            </w:tcBorders>
          </w:tcPr>
          <w:p>
            <w:pPr>
              <w:pStyle w:val="TableParagraph"/>
              <w:spacing w:before="131"/>
              <w:ind w:left="105"/>
              <w:rPr>
                <w:sz w:val="18"/>
              </w:rPr>
            </w:pPr>
            <w:r>
              <w:rPr>
                <w:sz w:val="18"/>
              </w:rPr>
              <w:t>PERCUTANEOUS CORDOTOMY</w:t>
            </w:r>
          </w:p>
          <w:p>
            <w:pPr>
              <w:pStyle w:val="TableParagraph"/>
              <w:spacing w:before="66"/>
              <w:ind w:left="105"/>
              <w:rPr>
                <w:sz w:val="18"/>
              </w:rPr>
            </w:pPr>
            <w:r>
              <w:rPr>
                <w:sz w:val="18"/>
              </w:rPr>
              <w:t>(Anaes.) (Assist.)</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133"/>
              <w:ind w:left="108"/>
              <w:rPr>
                <w:sz w:val="18"/>
              </w:rPr>
            </w:pPr>
            <w:r>
              <w:rPr>
                <w:sz w:val="18"/>
              </w:rPr>
              <w:t>$631.75</w:t>
            </w:r>
          </w:p>
        </w:tc>
        <w:tc>
          <w:tcPr>
            <w:tcW w:w="965" w:type="dxa"/>
            <w:tcBorders>
              <w:top w:val="single" w:sz="4" w:space="0" w:color="000000"/>
              <w:left w:val="single" w:sz="4" w:space="0" w:color="000000"/>
              <w:bottom w:val="single" w:sz="4" w:space="0" w:color="000000"/>
              <w:right w:val="single" w:sz="4" w:space="0" w:color="000000"/>
            </w:tcBorders>
          </w:tcPr>
          <w:p>
            <w:pPr>
              <w:pStyle w:val="TableParagraph"/>
              <w:spacing w:before="133"/>
              <w:ind w:left="108"/>
              <w:rPr>
                <w:sz w:val="18"/>
              </w:rPr>
            </w:pPr>
            <w:r>
              <w:rPr>
                <w:sz w:val="18"/>
              </w:rPr>
              <w:t>0</w:t>
            </w:r>
          </w:p>
        </w:tc>
        <w:tc>
          <w:tcPr>
            <w:tcW w:w="1174" w:type="dxa"/>
            <w:tcBorders>
              <w:top w:val="single" w:sz="4" w:space="0" w:color="000000"/>
              <w:left w:val="single" w:sz="4" w:space="0" w:color="000000"/>
              <w:bottom w:val="single" w:sz="4" w:space="0" w:color="000000"/>
              <w:right w:val="single" w:sz="4" w:space="0" w:color="000000"/>
            </w:tcBorders>
          </w:tcPr>
          <w:p>
            <w:pPr>
              <w:pStyle w:val="TableParagraph"/>
              <w:spacing w:before="133"/>
              <w:ind w:left="108"/>
              <w:rPr>
                <w:sz w:val="18"/>
              </w:rPr>
            </w:pPr>
            <w:r>
              <w:rPr>
                <w:sz w:val="18"/>
              </w:rPr>
              <w:t>0</w:t>
            </w:r>
          </w:p>
        </w:tc>
        <w:tc>
          <w:tcPr>
            <w:tcW w:w="889" w:type="dxa"/>
            <w:tcBorders>
              <w:top w:val="single" w:sz="4" w:space="0" w:color="000000"/>
              <w:left w:val="single" w:sz="4" w:space="0" w:color="000000"/>
              <w:bottom w:val="single" w:sz="4" w:space="0" w:color="000000"/>
              <w:right w:val="single" w:sz="4" w:space="0" w:color="000000"/>
            </w:tcBorders>
          </w:tcPr>
          <w:p>
            <w:pPr>
              <w:pStyle w:val="TableParagraph"/>
              <w:spacing w:before="133"/>
              <w:ind w:left="107"/>
              <w:rPr>
                <w:sz w:val="18"/>
              </w:rPr>
            </w:pPr>
            <w:r>
              <w:rPr>
                <w:sz w:val="18"/>
              </w:rPr>
              <w:t>0</w:t>
            </w:r>
          </w:p>
        </w:tc>
      </w:tr>
      <w:tr>
        <w:trPr>
          <w:trHeight w:val="1595" w:hRule="atLeast"/>
        </w:trPr>
        <w:tc>
          <w:tcPr>
            <w:tcW w:w="1538" w:type="dxa"/>
            <w:tcBorders>
              <w:top w:val="single" w:sz="4" w:space="0" w:color="000000"/>
              <w:left w:val="single" w:sz="4" w:space="0" w:color="000000"/>
              <w:bottom w:val="single" w:sz="4" w:space="0" w:color="000000"/>
              <w:right w:val="single" w:sz="4" w:space="0" w:color="000000"/>
            </w:tcBorders>
          </w:tcPr>
          <w:p>
            <w:pPr>
              <w:pStyle w:val="TableParagraph"/>
              <w:spacing w:before="133"/>
              <w:ind w:left="107"/>
              <w:rPr>
                <w:sz w:val="18"/>
              </w:rPr>
            </w:pPr>
            <w:r>
              <w:rPr>
                <w:sz w:val="18"/>
              </w:rPr>
              <w:t>39124</w:t>
            </w:r>
          </w:p>
        </w:tc>
        <w:tc>
          <w:tcPr>
            <w:tcW w:w="2525" w:type="dxa"/>
            <w:tcBorders>
              <w:top w:val="single" w:sz="4" w:space="0" w:color="000000"/>
              <w:left w:val="single" w:sz="4" w:space="0" w:color="000000"/>
              <w:bottom w:val="single" w:sz="4" w:space="0" w:color="000000"/>
              <w:right w:val="single" w:sz="4" w:space="0" w:color="000000"/>
            </w:tcBorders>
          </w:tcPr>
          <w:p>
            <w:pPr>
              <w:pStyle w:val="TableParagraph"/>
              <w:spacing w:before="131"/>
              <w:ind w:left="105"/>
              <w:rPr>
                <w:sz w:val="18"/>
              </w:rPr>
            </w:pPr>
            <w:r>
              <w:rPr>
                <w:sz w:val="18"/>
              </w:rPr>
              <w:t>CORDOTOMY OR MYELOTOMY,</w:t>
            </w:r>
          </w:p>
          <w:p>
            <w:pPr>
              <w:pStyle w:val="TableParagraph"/>
              <w:spacing w:line="312" w:lineRule="auto" w:before="65"/>
              <w:ind w:left="105" w:right="300"/>
              <w:rPr>
                <w:sz w:val="18"/>
              </w:rPr>
            </w:pPr>
            <w:r>
              <w:rPr>
                <w:sz w:val="18"/>
              </w:rPr>
              <w:t>partial or total laminectomy for, or operation for dorsal root entry zone (Drez) lesion (Anaes.) (Assist.)</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133"/>
              <w:ind w:left="108"/>
              <w:rPr>
                <w:sz w:val="18"/>
              </w:rPr>
            </w:pPr>
            <w:r>
              <w:rPr>
                <w:sz w:val="18"/>
              </w:rPr>
              <w:t>$1,616.80</w:t>
            </w:r>
          </w:p>
        </w:tc>
        <w:tc>
          <w:tcPr>
            <w:tcW w:w="965" w:type="dxa"/>
            <w:tcBorders>
              <w:top w:val="single" w:sz="4" w:space="0" w:color="000000"/>
              <w:left w:val="single" w:sz="4" w:space="0" w:color="000000"/>
              <w:bottom w:val="single" w:sz="4" w:space="0" w:color="000000"/>
              <w:right w:val="single" w:sz="4" w:space="0" w:color="000000"/>
            </w:tcBorders>
          </w:tcPr>
          <w:p>
            <w:pPr>
              <w:pStyle w:val="TableParagraph"/>
              <w:spacing w:before="133"/>
              <w:ind w:left="108"/>
              <w:rPr>
                <w:sz w:val="18"/>
              </w:rPr>
            </w:pPr>
            <w:r>
              <w:rPr>
                <w:sz w:val="18"/>
              </w:rPr>
              <w:t>0</w:t>
            </w:r>
          </w:p>
        </w:tc>
        <w:tc>
          <w:tcPr>
            <w:tcW w:w="1174" w:type="dxa"/>
            <w:tcBorders>
              <w:top w:val="single" w:sz="4" w:space="0" w:color="000000"/>
              <w:left w:val="single" w:sz="4" w:space="0" w:color="000000"/>
              <w:bottom w:val="single" w:sz="4" w:space="0" w:color="000000"/>
              <w:right w:val="single" w:sz="4" w:space="0" w:color="000000"/>
            </w:tcBorders>
          </w:tcPr>
          <w:p>
            <w:pPr>
              <w:pStyle w:val="TableParagraph"/>
              <w:spacing w:before="133"/>
              <w:ind w:left="108"/>
              <w:rPr>
                <w:sz w:val="18"/>
              </w:rPr>
            </w:pPr>
            <w:r>
              <w:rPr>
                <w:sz w:val="18"/>
              </w:rPr>
              <w:t>0</w:t>
            </w:r>
          </w:p>
        </w:tc>
        <w:tc>
          <w:tcPr>
            <w:tcW w:w="889" w:type="dxa"/>
            <w:tcBorders>
              <w:top w:val="single" w:sz="4" w:space="0" w:color="000000"/>
              <w:left w:val="single" w:sz="4" w:space="0" w:color="000000"/>
              <w:bottom w:val="single" w:sz="4" w:space="0" w:color="000000"/>
              <w:right w:val="single" w:sz="4" w:space="0" w:color="000000"/>
            </w:tcBorders>
          </w:tcPr>
          <w:p>
            <w:pPr>
              <w:pStyle w:val="TableParagraph"/>
              <w:spacing w:before="133"/>
              <w:ind w:left="107"/>
              <w:rPr>
                <w:sz w:val="18"/>
              </w:rPr>
            </w:pPr>
            <w:r>
              <w:rPr>
                <w:sz w:val="18"/>
              </w:rPr>
              <w:t>0</w:t>
            </w:r>
          </w:p>
        </w:tc>
      </w:tr>
      <w:tr>
        <w:trPr>
          <w:trHeight w:val="1595" w:hRule="atLeast"/>
        </w:trPr>
        <w:tc>
          <w:tcPr>
            <w:tcW w:w="1538" w:type="dxa"/>
            <w:tcBorders>
              <w:top w:val="single" w:sz="4" w:space="0" w:color="000000"/>
              <w:left w:val="single" w:sz="4" w:space="0" w:color="000000"/>
              <w:bottom w:val="single" w:sz="4" w:space="0" w:color="000000"/>
              <w:right w:val="single" w:sz="4" w:space="0" w:color="000000"/>
            </w:tcBorders>
          </w:tcPr>
          <w:p>
            <w:pPr>
              <w:pStyle w:val="TableParagraph"/>
              <w:spacing w:before="133"/>
              <w:ind w:left="107"/>
              <w:rPr>
                <w:sz w:val="18"/>
              </w:rPr>
            </w:pPr>
            <w:r>
              <w:rPr>
                <w:sz w:val="18"/>
              </w:rPr>
              <w:t>39140</w:t>
            </w:r>
          </w:p>
        </w:tc>
        <w:tc>
          <w:tcPr>
            <w:tcW w:w="2525" w:type="dxa"/>
            <w:tcBorders>
              <w:top w:val="single" w:sz="4" w:space="0" w:color="000000"/>
              <w:left w:val="single" w:sz="4" w:space="0" w:color="000000"/>
              <w:bottom w:val="single" w:sz="4" w:space="0" w:color="000000"/>
              <w:right w:val="single" w:sz="4" w:space="0" w:color="000000"/>
            </w:tcBorders>
          </w:tcPr>
          <w:p>
            <w:pPr>
              <w:pStyle w:val="TableParagraph"/>
              <w:spacing w:line="312" w:lineRule="auto" w:before="131"/>
              <w:ind w:left="105" w:right="156"/>
              <w:rPr>
                <w:sz w:val="18"/>
              </w:rPr>
            </w:pPr>
            <w:r>
              <w:rPr>
                <w:sz w:val="18"/>
              </w:rPr>
              <w:t>Epidural catheter, insertion of, under imaging control, with epidurogram and epidural therapeutic injection for lysis of adhesions (Anaes.)</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133"/>
              <w:ind w:left="108"/>
              <w:rPr>
                <w:sz w:val="18"/>
              </w:rPr>
            </w:pPr>
            <w:r>
              <w:rPr>
                <w:sz w:val="18"/>
              </w:rPr>
              <w:t>292.85</w:t>
            </w:r>
          </w:p>
        </w:tc>
        <w:tc>
          <w:tcPr>
            <w:tcW w:w="965" w:type="dxa"/>
            <w:tcBorders>
              <w:top w:val="single" w:sz="4" w:space="0" w:color="000000"/>
              <w:left w:val="single" w:sz="4" w:space="0" w:color="000000"/>
              <w:bottom w:val="single" w:sz="4" w:space="0" w:color="000000"/>
              <w:right w:val="single" w:sz="4" w:space="0" w:color="000000"/>
            </w:tcBorders>
          </w:tcPr>
          <w:p>
            <w:pPr>
              <w:pStyle w:val="TableParagraph"/>
              <w:spacing w:before="133"/>
              <w:ind w:left="108"/>
              <w:rPr>
                <w:sz w:val="18"/>
              </w:rPr>
            </w:pPr>
            <w:r>
              <w:rPr>
                <w:sz w:val="18"/>
              </w:rPr>
              <w:t>5,407</w:t>
            </w:r>
          </w:p>
        </w:tc>
        <w:tc>
          <w:tcPr>
            <w:tcW w:w="1174" w:type="dxa"/>
            <w:tcBorders>
              <w:top w:val="single" w:sz="4" w:space="0" w:color="000000"/>
              <w:left w:val="single" w:sz="4" w:space="0" w:color="000000"/>
              <w:bottom w:val="single" w:sz="4" w:space="0" w:color="000000"/>
              <w:right w:val="single" w:sz="4" w:space="0" w:color="000000"/>
            </w:tcBorders>
          </w:tcPr>
          <w:p>
            <w:pPr>
              <w:pStyle w:val="TableParagraph"/>
              <w:spacing w:before="133"/>
              <w:ind w:left="108"/>
              <w:rPr>
                <w:sz w:val="18"/>
              </w:rPr>
            </w:pPr>
            <w:r>
              <w:rPr>
                <w:sz w:val="18"/>
              </w:rPr>
              <w:t>1,046,392.11</w:t>
            </w:r>
          </w:p>
        </w:tc>
        <w:tc>
          <w:tcPr>
            <w:tcW w:w="889" w:type="dxa"/>
            <w:tcBorders>
              <w:top w:val="single" w:sz="4" w:space="0" w:color="000000"/>
              <w:left w:val="single" w:sz="4" w:space="0" w:color="000000"/>
              <w:bottom w:val="single" w:sz="4" w:space="0" w:color="000000"/>
              <w:right w:val="single" w:sz="4" w:space="0" w:color="000000"/>
            </w:tcBorders>
          </w:tcPr>
          <w:p>
            <w:pPr>
              <w:pStyle w:val="TableParagraph"/>
              <w:spacing w:before="133"/>
              <w:ind w:left="107"/>
              <w:rPr>
                <w:sz w:val="18"/>
              </w:rPr>
            </w:pPr>
            <w:r>
              <w:rPr>
                <w:sz w:val="18"/>
              </w:rPr>
              <w:t>11.0%</w:t>
            </w:r>
          </w:p>
        </w:tc>
      </w:tr>
    </w:tbl>
    <w:p>
      <w:pPr>
        <w:spacing w:after="0"/>
        <w:rPr>
          <w:sz w:val="18"/>
        </w:rPr>
        <w:sectPr>
          <w:pgSz w:w="11910" w:h="16840"/>
          <w:pgMar w:header="672" w:footer="734" w:top="1300" w:bottom="920" w:left="440" w:right="14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1"/>
        </w:rPr>
      </w:pPr>
    </w:p>
    <w:p>
      <w:pPr>
        <w:pStyle w:val="ListParagraph"/>
        <w:numPr>
          <w:ilvl w:val="0"/>
          <w:numId w:val="10"/>
        </w:numPr>
        <w:tabs>
          <w:tab w:pos="1694" w:val="left" w:leader="none"/>
        </w:tabs>
        <w:spacing w:line="240" w:lineRule="auto" w:before="20" w:after="0"/>
        <w:ind w:left="1694" w:right="0" w:hanging="432"/>
        <w:jc w:val="left"/>
        <w:rPr>
          <w:b/>
          <w:sz w:val="40"/>
        </w:rPr>
      </w:pPr>
      <w:r>
        <w:rPr>
          <w:b/>
          <w:color w:val="00643E"/>
          <w:sz w:val="40"/>
        </w:rPr>
        <w:t>Recommendations for</w:t>
      </w:r>
      <w:r>
        <w:rPr>
          <w:b/>
          <w:color w:val="00643E"/>
          <w:spacing w:val="-3"/>
          <w:sz w:val="40"/>
        </w:rPr>
        <w:t> </w:t>
      </w:r>
      <w:r>
        <w:rPr>
          <w:b/>
          <w:color w:val="00643E"/>
          <w:sz w:val="40"/>
        </w:rPr>
        <w:t>change</w:t>
      </w:r>
    </w:p>
    <w:p>
      <w:pPr>
        <w:pStyle w:val="BodyText"/>
        <w:spacing w:before="9"/>
        <w:rPr>
          <w:b/>
          <w:sz w:val="26"/>
        </w:rPr>
      </w:pPr>
      <w:r>
        <w:rPr/>
        <w:pict>
          <v:rect style="position:absolute;margin-left:83.664001pt;margin-top:18.29043pt;width:423.31pt;height:1.92pt;mso-position-horizontal-relative:page;mso-position-vertical-relative:paragraph;z-index:-15628288;mso-wrap-distance-left:0;mso-wrap-distance-right:0" filled="true" fillcolor="#bebebe" stroked="false">
            <v:fill type="solid"/>
            <w10:wrap type="topAndBottom"/>
          </v:rect>
        </w:pict>
      </w:r>
    </w:p>
    <w:p>
      <w:pPr>
        <w:pStyle w:val="BodyText"/>
        <w:rPr>
          <w:b/>
          <w:sz w:val="20"/>
        </w:rPr>
      </w:pPr>
    </w:p>
    <w:p>
      <w:pPr>
        <w:pStyle w:val="BodyText"/>
        <w:rPr>
          <w:b/>
          <w:sz w:val="20"/>
        </w:rPr>
      </w:pPr>
    </w:p>
    <w:p>
      <w:pPr>
        <w:pStyle w:val="Heading3"/>
        <w:spacing w:before="202"/>
        <w:ind w:left="1828"/>
      </w:pPr>
      <w:r>
        <w:rPr/>
        <w:drawing>
          <wp:anchor distT="0" distB="0" distL="0" distR="0" allowOverlap="1" layoutInCell="1" locked="0" behindDoc="0" simplePos="0" relativeHeight="15829504">
            <wp:simplePos x="0" y="0"/>
            <wp:positionH relativeFrom="page">
              <wp:posOffset>1077518</wp:posOffset>
            </wp:positionH>
            <wp:positionV relativeFrom="paragraph">
              <wp:posOffset>181679</wp:posOffset>
            </wp:positionV>
            <wp:extent cx="203403" cy="107346"/>
            <wp:effectExtent l="0" t="0" r="0" b="0"/>
            <wp:wrapNone/>
            <wp:docPr id="425" name="image193.png"/>
            <wp:cNvGraphicFramePr>
              <a:graphicFrameLocks noChangeAspect="1"/>
            </wp:cNvGraphicFramePr>
            <a:graphic>
              <a:graphicData uri="http://schemas.openxmlformats.org/drawingml/2006/picture">
                <pic:pic>
                  <pic:nvPicPr>
                    <pic:cNvPr id="426" name="image193.png"/>
                    <pic:cNvPicPr/>
                  </pic:nvPicPr>
                  <pic:blipFill>
                    <a:blip r:embed="rId213" cstate="print"/>
                    <a:stretch>
                      <a:fillRect/>
                    </a:stretch>
                  </pic:blipFill>
                  <pic:spPr>
                    <a:xfrm>
                      <a:off x="0" y="0"/>
                      <a:ext cx="203403" cy="107346"/>
                    </a:xfrm>
                    <a:prstGeom prst="rect">
                      <a:avLst/>
                    </a:prstGeom>
                  </pic:spPr>
                </pic:pic>
              </a:graphicData>
            </a:graphic>
          </wp:anchor>
        </w:drawing>
      </w:r>
      <w:r>
        <w:rPr>
          <w:color w:val="00643E"/>
        </w:rPr>
        <w:t>Nerve Blocks and Spinal Injections</w:t>
      </w:r>
    </w:p>
    <w:p>
      <w:pPr>
        <w:pStyle w:val="BodyText"/>
        <w:spacing w:before="7"/>
        <w:rPr>
          <w:b/>
          <w:sz w:val="12"/>
        </w:rPr>
      </w:pPr>
    </w:p>
    <w:p>
      <w:pPr>
        <w:spacing w:before="59"/>
        <w:ind w:left="1262" w:right="0" w:firstLine="0"/>
        <w:jc w:val="left"/>
        <w:rPr>
          <w:b/>
          <w:sz w:val="20"/>
        </w:rPr>
      </w:pPr>
      <w:r>
        <w:rPr/>
        <w:pict>
          <v:shape style="position:absolute;margin-left:119.540009pt;margin-top:24.951456pt;width:386pt;height:1.95pt;mso-position-horizontal-relative:page;mso-position-vertical-relative:paragraph;z-index:15830016" coordorigin="2391,499" coordsize="7720,39" path="m5902,499l2391,499,2391,509,5902,509,5902,499xm6870,499l6861,499,6861,499,5912,499,5912,509,6861,509,6861,509,6870,509,6870,499xm7936,499l6870,499,6870,509,7936,509,7936,499xm8994,499l7945,499,7945,509,8994,509,8994,499xm10101,499l9004,499,9004,509,10101,509,10101,499xm10111,499l10101,499,10101,509,10101,537,10111,537,10111,509,10111,499xe" filled="true" fillcolor="#bebebe" stroked="false">
            <v:path arrowok="t"/>
            <v:fill type="solid"/>
            <w10:wrap type="none"/>
          </v:shape>
        </w:pict>
      </w:r>
      <w:bookmarkStart w:name="_bookmark5" w:id="6"/>
      <w:bookmarkEnd w:id="6"/>
      <w:r>
        <w:rPr/>
      </w:r>
      <w:r>
        <w:rPr>
          <w:b/>
          <w:sz w:val="20"/>
          <w:u w:val="single"/>
        </w:rPr>
        <w:t>Table 4: Nerve Blocks and Spinal Injections items considered by working group</w:t>
      </w:r>
    </w:p>
    <w:p>
      <w:pPr>
        <w:pStyle w:val="BodyText"/>
        <w:spacing w:before="10"/>
        <w:rPr>
          <w:b/>
          <w:sz w:val="16"/>
        </w:rPr>
      </w:pPr>
    </w:p>
    <w:tbl>
      <w:tblPr>
        <w:tblW w:w="0" w:type="auto"/>
        <w:jc w:val="left"/>
        <w:tblInd w:w="12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689"/>
        <w:gridCol w:w="3517"/>
        <w:gridCol w:w="958"/>
        <w:gridCol w:w="1075"/>
        <w:gridCol w:w="1058"/>
        <w:gridCol w:w="1107"/>
      </w:tblGrid>
      <w:tr>
        <w:trPr>
          <w:trHeight w:val="1363" w:hRule="atLeast"/>
        </w:trPr>
        <w:tc>
          <w:tcPr>
            <w:tcW w:w="689" w:type="dxa"/>
            <w:tcBorders>
              <w:top w:val="nil"/>
              <w:left w:val="nil"/>
              <w:bottom w:val="nil"/>
              <w:right w:val="nil"/>
            </w:tcBorders>
            <w:shd w:val="clear" w:color="auto" w:fill="00643E"/>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16"/>
              <w:ind w:left="31"/>
              <w:rPr>
                <w:b/>
                <w:sz w:val="18"/>
              </w:rPr>
            </w:pPr>
            <w:r>
              <w:rPr>
                <w:b/>
                <w:color w:val="FFFFFF"/>
                <w:sz w:val="18"/>
              </w:rPr>
              <w:t>Item</w:t>
            </w:r>
          </w:p>
        </w:tc>
        <w:tc>
          <w:tcPr>
            <w:tcW w:w="3517" w:type="dxa"/>
            <w:tcBorders>
              <w:top w:val="nil"/>
              <w:left w:val="nil"/>
            </w:tcBorders>
            <w:shd w:val="clear" w:color="auto" w:fill="00643E"/>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16"/>
              <w:ind w:left="30"/>
              <w:rPr>
                <w:b/>
                <w:sz w:val="18"/>
              </w:rPr>
            </w:pPr>
            <w:r>
              <w:rPr>
                <w:b/>
                <w:color w:val="FFFFFF"/>
                <w:sz w:val="18"/>
              </w:rPr>
              <w:t>Descriptor</w:t>
            </w:r>
          </w:p>
        </w:tc>
        <w:tc>
          <w:tcPr>
            <w:tcW w:w="958" w:type="dxa"/>
            <w:tcBorders>
              <w:top w:val="nil"/>
            </w:tcBorders>
            <w:shd w:val="clear" w:color="auto" w:fill="00643E"/>
          </w:tcPr>
          <w:p>
            <w:pPr>
              <w:pStyle w:val="TableParagraph"/>
              <w:rPr>
                <w:b/>
                <w:sz w:val="18"/>
              </w:rPr>
            </w:pPr>
          </w:p>
          <w:p>
            <w:pPr>
              <w:pStyle w:val="TableParagraph"/>
              <w:rPr>
                <w:b/>
                <w:sz w:val="18"/>
              </w:rPr>
            </w:pPr>
          </w:p>
          <w:p>
            <w:pPr>
              <w:pStyle w:val="TableParagraph"/>
              <w:spacing w:before="2"/>
              <w:rPr>
                <w:b/>
                <w:sz w:val="22"/>
              </w:rPr>
            </w:pPr>
          </w:p>
          <w:p>
            <w:pPr>
              <w:pStyle w:val="TableParagraph"/>
              <w:spacing w:line="312" w:lineRule="auto"/>
              <w:ind w:left="25" w:right="227"/>
              <w:rPr>
                <w:b/>
                <w:sz w:val="18"/>
              </w:rPr>
            </w:pPr>
            <w:r>
              <w:rPr>
                <w:b/>
                <w:color w:val="FFFFFF"/>
                <w:sz w:val="18"/>
              </w:rPr>
              <w:t>Schedule fee</w:t>
            </w:r>
          </w:p>
        </w:tc>
        <w:tc>
          <w:tcPr>
            <w:tcW w:w="1075" w:type="dxa"/>
            <w:tcBorders>
              <w:top w:val="nil"/>
            </w:tcBorders>
            <w:shd w:val="clear" w:color="auto" w:fill="00643E"/>
          </w:tcPr>
          <w:p>
            <w:pPr>
              <w:pStyle w:val="TableParagraph"/>
              <w:rPr>
                <w:b/>
                <w:sz w:val="18"/>
              </w:rPr>
            </w:pPr>
          </w:p>
          <w:p>
            <w:pPr>
              <w:pStyle w:val="TableParagraph"/>
              <w:rPr>
                <w:b/>
                <w:sz w:val="18"/>
              </w:rPr>
            </w:pPr>
          </w:p>
          <w:p>
            <w:pPr>
              <w:pStyle w:val="TableParagraph"/>
              <w:spacing w:before="2"/>
              <w:rPr>
                <w:b/>
                <w:sz w:val="22"/>
              </w:rPr>
            </w:pPr>
          </w:p>
          <w:p>
            <w:pPr>
              <w:pStyle w:val="TableParagraph"/>
              <w:spacing w:line="312" w:lineRule="auto"/>
              <w:ind w:left="25" w:right="219"/>
              <w:rPr>
                <w:b/>
                <w:sz w:val="18"/>
              </w:rPr>
            </w:pPr>
            <w:r>
              <w:rPr>
                <w:b/>
                <w:color w:val="FFFFFF"/>
                <w:sz w:val="18"/>
              </w:rPr>
              <w:t>Services FY2016/17</w:t>
            </w:r>
          </w:p>
        </w:tc>
        <w:tc>
          <w:tcPr>
            <w:tcW w:w="1058" w:type="dxa"/>
            <w:tcBorders>
              <w:top w:val="nil"/>
            </w:tcBorders>
            <w:shd w:val="clear" w:color="auto" w:fill="00643E"/>
          </w:tcPr>
          <w:p>
            <w:pPr>
              <w:pStyle w:val="TableParagraph"/>
              <w:rPr>
                <w:b/>
                <w:sz w:val="18"/>
              </w:rPr>
            </w:pPr>
          </w:p>
          <w:p>
            <w:pPr>
              <w:pStyle w:val="TableParagraph"/>
              <w:rPr>
                <w:b/>
                <w:sz w:val="18"/>
              </w:rPr>
            </w:pPr>
          </w:p>
          <w:p>
            <w:pPr>
              <w:pStyle w:val="TableParagraph"/>
              <w:spacing w:before="2"/>
              <w:rPr>
                <w:b/>
                <w:sz w:val="22"/>
              </w:rPr>
            </w:pPr>
          </w:p>
          <w:p>
            <w:pPr>
              <w:pStyle w:val="TableParagraph"/>
              <w:spacing w:line="312" w:lineRule="auto"/>
              <w:ind w:left="25" w:right="202"/>
              <w:rPr>
                <w:b/>
                <w:sz w:val="18"/>
              </w:rPr>
            </w:pPr>
            <w:r>
              <w:rPr>
                <w:b/>
                <w:color w:val="FFFFFF"/>
                <w:sz w:val="18"/>
              </w:rPr>
              <w:t>Benefits FY2016/17</w:t>
            </w:r>
          </w:p>
        </w:tc>
        <w:tc>
          <w:tcPr>
            <w:tcW w:w="1107" w:type="dxa"/>
            <w:tcBorders>
              <w:top w:val="nil"/>
              <w:right w:val="nil"/>
            </w:tcBorders>
            <w:shd w:val="clear" w:color="auto" w:fill="00643E"/>
          </w:tcPr>
          <w:p>
            <w:pPr>
              <w:pStyle w:val="TableParagraph"/>
              <w:spacing w:line="312" w:lineRule="auto" w:before="85"/>
              <w:ind w:left="28" w:right="166"/>
              <w:rPr>
                <w:b/>
                <w:sz w:val="18"/>
              </w:rPr>
            </w:pPr>
            <w:r>
              <w:rPr>
                <w:b/>
                <w:color w:val="FFFFFF"/>
                <w:sz w:val="18"/>
              </w:rPr>
              <w:t>Services 5- year annual avg. growth</w:t>
            </w:r>
          </w:p>
          <w:p>
            <w:pPr>
              <w:pStyle w:val="TableParagraph"/>
              <w:spacing w:before="53"/>
              <w:ind w:left="28"/>
              <w:rPr>
                <w:b/>
                <w:sz w:val="18"/>
              </w:rPr>
            </w:pPr>
            <w:r>
              <w:rPr>
                <w:b/>
                <w:color w:val="FFFFFF"/>
                <w:sz w:val="18"/>
              </w:rPr>
              <w:t>%</w:t>
            </w:r>
          </w:p>
        </w:tc>
      </w:tr>
      <w:tr>
        <w:trPr>
          <w:trHeight w:val="793" w:hRule="atLeast"/>
        </w:trPr>
        <w:tc>
          <w:tcPr>
            <w:tcW w:w="689" w:type="dxa"/>
            <w:tcBorders>
              <w:top w:val="nil"/>
            </w:tcBorders>
          </w:tcPr>
          <w:p>
            <w:pPr>
              <w:pStyle w:val="TableParagraph"/>
              <w:spacing w:before="8"/>
              <w:rPr>
                <w:b/>
                <w:sz w:val="13"/>
              </w:rPr>
            </w:pPr>
          </w:p>
          <w:p>
            <w:pPr>
              <w:pStyle w:val="TableParagraph"/>
              <w:ind w:left="26"/>
              <w:rPr>
                <w:sz w:val="18"/>
              </w:rPr>
            </w:pPr>
            <w:r>
              <w:rPr>
                <w:sz w:val="18"/>
              </w:rPr>
              <w:t>14209</w:t>
            </w:r>
          </w:p>
        </w:tc>
        <w:tc>
          <w:tcPr>
            <w:tcW w:w="3517" w:type="dxa"/>
          </w:tcPr>
          <w:p>
            <w:pPr>
              <w:pStyle w:val="TableParagraph"/>
              <w:spacing w:line="312" w:lineRule="auto" w:before="159"/>
              <w:ind w:left="25" w:right="12"/>
              <w:rPr>
                <w:sz w:val="18"/>
              </w:rPr>
            </w:pPr>
            <w:r>
              <w:rPr>
                <w:sz w:val="18"/>
              </w:rPr>
              <w:t>INTRAARTERIAL INFUSION or retrograde intravenous perfusion of a sympatholytic agent</w:t>
            </w:r>
          </w:p>
        </w:tc>
        <w:tc>
          <w:tcPr>
            <w:tcW w:w="958" w:type="dxa"/>
          </w:tcPr>
          <w:p>
            <w:pPr>
              <w:pStyle w:val="TableParagraph"/>
              <w:spacing w:before="3"/>
              <w:rPr>
                <w:b/>
                <w:sz w:val="13"/>
              </w:rPr>
            </w:pPr>
          </w:p>
          <w:p>
            <w:pPr>
              <w:pStyle w:val="TableParagraph"/>
              <w:ind w:left="25"/>
              <w:rPr>
                <w:sz w:val="18"/>
              </w:rPr>
            </w:pPr>
            <w:r>
              <w:rPr>
                <w:sz w:val="18"/>
              </w:rPr>
              <w:t>$88.70</w:t>
            </w:r>
          </w:p>
        </w:tc>
        <w:tc>
          <w:tcPr>
            <w:tcW w:w="1075" w:type="dxa"/>
          </w:tcPr>
          <w:p>
            <w:pPr>
              <w:pStyle w:val="TableParagraph"/>
              <w:spacing w:before="3"/>
              <w:rPr>
                <w:b/>
                <w:sz w:val="13"/>
              </w:rPr>
            </w:pPr>
          </w:p>
          <w:p>
            <w:pPr>
              <w:pStyle w:val="TableParagraph"/>
              <w:ind w:left="25"/>
              <w:rPr>
                <w:sz w:val="18"/>
              </w:rPr>
            </w:pPr>
            <w:r>
              <w:rPr>
                <w:sz w:val="18"/>
              </w:rPr>
              <w:t>873</w:t>
            </w:r>
          </w:p>
        </w:tc>
        <w:tc>
          <w:tcPr>
            <w:tcW w:w="1058" w:type="dxa"/>
          </w:tcPr>
          <w:p>
            <w:pPr>
              <w:pStyle w:val="TableParagraph"/>
              <w:spacing w:before="3"/>
              <w:rPr>
                <w:b/>
                <w:sz w:val="13"/>
              </w:rPr>
            </w:pPr>
          </w:p>
          <w:p>
            <w:pPr>
              <w:pStyle w:val="TableParagraph"/>
              <w:ind w:left="25"/>
              <w:rPr>
                <w:sz w:val="18"/>
              </w:rPr>
            </w:pPr>
            <w:r>
              <w:rPr>
                <w:sz w:val="18"/>
              </w:rPr>
              <w:t>$72,229</w:t>
            </w:r>
          </w:p>
        </w:tc>
        <w:tc>
          <w:tcPr>
            <w:tcW w:w="1107" w:type="dxa"/>
          </w:tcPr>
          <w:p>
            <w:pPr>
              <w:pStyle w:val="TableParagraph"/>
              <w:spacing w:before="3"/>
              <w:rPr>
                <w:b/>
                <w:sz w:val="13"/>
              </w:rPr>
            </w:pPr>
          </w:p>
          <w:p>
            <w:pPr>
              <w:pStyle w:val="TableParagraph"/>
              <w:ind w:left="28"/>
              <w:rPr>
                <w:sz w:val="18"/>
              </w:rPr>
            </w:pPr>
            <w:r>
              <w:rPr>
                <w:sz w:val="18"/>
              </w:rPr>
              <w:t>12.1</w:t>
            </w:r>
          </w:p>
        </w:tc>
      </w:tr>
      <w:tr>
        <w:trPr>
          <w:trHeight w:val="794" w:hRule="atLeast"/>
        </w:trPr>
        <w:tc>
          <w:tcPr>
            <w:tcW w:w="689" w:type="dxa"/>
          </w:tcPr>
          <w:p>
            <w:pPr>
              <w:pStyle w:val="TableParagraph"/>
              <w:spacing w:before="3"/>
              <w:rPr>
                <w:b/>
                <w:sz w:val="13"/>
              </w:rPr>
            </w:pPr>
          </w:p>
          <w:p>
            <w:pPr>
              <w:pStyle w:val="TableParagraph"/>
              <w:ind w:left="26"/>
              <w:rPr>
                <w:sz w:val="18"/>
              </w:rPr>
            </w:pPr>
            <w:r>
              <w:rPr>
                <w:sz w:val="18"/>
              </w:rPr>
              <w:t>18213</w:t>
            </w:r>
          </w:p>
        </w:tc>
        <w:tc>
          <w:tcPr>
            <w:tcW w:w="3517" w:type="dxa"/>
          </w:tcPr>
          <w:p>
            <w:pPr>
              <w:pStyle w:val="TableParagraph"/>
              <w:spacing w:before="159"/>
              <w:ind w:left="25"/>
              <w:rPr>
                <w:sz w:val="18"/>
              </w:rPr>
            </w:pPr>
            <w:r>
              <w:rPr>
                <w:sz w:val="18"/>
              </w:rPr>
              <w:t>INTRAVENOUS REGIONAL ANAESTHESIA of</w:t>
            </w:r>
          </w:p>
          <w:p>
            <w:pPr>
              <w:pStyle w:val="TableParagraph"/>
              <w:spacing w:before="66"/>
              <w:ind w:left="25"/>
              <w:rPr>
                <w:sz w:val="18"/>
              </w:rPr>
            </w:pPr>
            <w:r>
              <w:rPr>
                <w:sz w:val="18"/>
              </w:rPr>
              <w:t>limb by retrograde perfusion</w:t>
            </w:r>
          </w:p>
        </w:tc>
        <w:tc>
          <w:tcPr>
            <w:tcW w:w="958" w:type="dxa"/>
          </w:tcPr>
          <w:p>
            <w:pPr>
              <w:pStyle w:val="TableParagraph"/>
              <w:spacing w:before="3"/>
              <w:rPr>
                <w:b/>
                <w:sz w:val="13"/>
              </w:rPr>
            </w:pPr>
          </w:p>
          <w:p>
            <w:pPr>
              <w:pStyle w:val="TableParagraph"/>
              <w:ind w:left="25"/>
              <w:rPr>
                <w:sz w:val="18"/>
              </w:rPr>
            </w:pPr>
            <w:r>
              <w:rPr>
                <w:sz w:val="18"/>
              </w:rPr>
              <w:t>$88.65</w:t>
            </w:r>
          </w:p>
        </w:tc>
        <w:tc>
          <w:tcPr>
            <w:tcW w:w="1075" w:type="dxa"/>
          </w:tcPr>
          <w:p>
            <w:pPr>
              <w:pStyle w:val="TableParagraph"/>
              <w:spacing w:before="3"/>
              <w:rPr>
                <w:b/>
                <w:sz w:val="13"/>
              </w:rPr>
            </w:pPr>
          </w:p>
          <w:p>
            <w:pPr>
              <w:pStyle w:val="TableParagraph"/>
              <w:ind w:left="25"/>
              <w:rPr>
                <w:sz w:val="18"/>
              </w:rPr>
            </w:pPr>
            <w:r>
              <w:rPr>
                <w:sz w:val="18"/>
              </w:rPr>
              <w:t>399</w:t>
            </w:r>
          </w:p>
        </w:tc>
        <w:tc>
          <w:tcPr>
            <w:tcW w:w="1058" w:type="dxa"/>
          </w:tcPr>
          <w:p>
            <w:pPr>
              <w:pStyle w:val="TableParagraph"/>
              <w:spacing w:before="3"/>
              <w:rPr>
                <w:b/>
                <w:sz w:val="13"/>
              </w:rPr>
            </w:pPr>
          </w:p>
          <w:p>
            <w:pPr>
              <w:pStyle w:val="TableParagraph"/>
              <w:ind w:left="25"/>
              <w:rPr>
                <w:sz w:val="18"/>
              </w:rPr>
            </w:pPr>
            <w:r>
              <w:rPr>
                <w:sz w:val="18"/>
              </w:rPr>
              <w:t>$29,350</w:t>
            </w:r>
          </w:p>
        </w:tc>
        <w:tc>
          <w:tcPr>
            <w:tcW w:w="1107" w:type="dxa"/>
          </w:tcPr>
          <w:p>
            <w:pPr>
              <w:pStyle w:val="TableParagraph"/>
              <w:spacing w:before="3"/>
              <w:rPr>
                <w:b/>
                <w:sz w:val="13"/>
              </w:rPr>
            </w:pPr>
          </w:p>
          <w:p>
            <w:pPr>
              <w:pStyle w:val="TableParagraph"/>
              <w:ind w:left="28"/>
              <w:rPr>
                <w:sz w:val="18"/>
              </w:rPr>
            </w:pPr>
            <w:r>
              <w:rPr>
                <w:sz w:val="18"/>
              </w:rPr>
              <w:t>-3.6</w:t>
            </w:r>
          </w:p>
        </w:tc>
      </w:tr>
      <w:tr>
        <w:trPr>
          <w:trHeight w:val="1651" w:hRule="atLeast"/>
        </w:trPr>
        <w:tc>
          <w:tcPr>
            <w:tcW w:w="689" w:type="dxa"/>
          </w:tcPr>
          <w:p>
            <w:pPr>
              <w:pStyle w:val="TableParagraph"/>
              <w:spacing w:before="3"/>
              <w:rPr>
                <w:b/>
                <w:sz w:val="13"/>
              </w:rPr>
            </w:pPr>
          </w:p>
          <w:p>
            <w:pPr>
              <w:pStyle w:val="TableParagraph"/>
              <w:ind w:left="26"/>
              <w:rPr>
                <w:sz w:val="18"/>
              </w:rPr>
            </w:pPr>
            <w:r>
              <w:rPr>
                <w:sz w:val="18"/>
              </w:rPr>
              <w:t>18222</w:t>
            </w:r>
          </w:p>
        </w:tc>
        <w:tc>
          <w:tcPr>
            <w:tcW w:w="3517" w:type="dxa"/>
          </w:tcPr>
          <w:p>
            <w:pPr>
              <w:pStyle w:val="TableParagraph"/>
              <w:spacing w:before="159"/>
              <w:ind w:left="25"/>
              <w:rPr>
                <w:sz w:val="18"/>
              </w:rPr>
            </w:pPr>
            <w:r>
              <w:rPr>
                <w:sz w:val="18"/>
              </w:rPr>
              <w:t>INFUSION OF A THERAPEUTIC SUBSTANCE to</w:t>
            </w:r>
          </w:p>
          <w:p>
            <w:pPr>
              <w:pStyle w:val="TableParagraph"/>
              <w:spacing w:line="312" w:lineRule="auto" w:before="66"/>
              <w:ind w:left="25" w:right="12"/>
              <w:rPr>
                <w:sz w:val="18"/>
              </w:rPr>
            </w:pPr>
            <w:r>
              <w:rPr>
                <w:sz w:val="18"/>
              </w:rPr>
              <w:t>maintain regional anaesthesia or analgesia, subsequent injection or revision of, where the period of continuous medical practitioner attendance is 15 minutes or less</w:t>
            </w:r>
          </w:p>
        </w:tc>
        <w:tc>
          <w:tcPr>
            <w:tcW w:w="958" w:type="dxa"/>
          </w:tcPr>
          <w:p>
            <w:pPr>
              <w:pStyle w:val="TableParagraph"/>
              <w:spacing w:before="3"/>
              <w:rPr>
                <w:b/>
                <w:sz w:val="13"/>
              </w:rPr>
            </w:pPr>
          </w:p>
          <w:p>
            <w:pPr>
              <w:pStyle w:val="TableParagraph"/>
              <w:ind w:left="25"/>
              <w:rPr>
                <w:sz w:val="18"/>
              </w:rPr>
            </w:pPr>
            <w:r>
              <w:rPr>
                <w:sz w:val="18"/>
              </w:rPr>
              <w:t>$37.65</w:t>
            </w:r>
          </w:p>
        </w:tc>
        <w:tc>
          <w:tcPr>
            <w:tcW w:w="1075" w:type="dxa"/>
          </w:tcPr>
          <w:p>
            <w:pPr>
              <w:pStyle w:val="TableParagraph"/>
              <w:spacing w:before="3"/>
              <w:rPr>
                <w:b/>
                <w:sz w:val="13"/>
              </w:rPr>
            </w:pPr>
          </w:p>
          <w:p>
            <w:pPr>
              <w:pStyle w:val="TableParagraph"/>
              <w:ind w:left="25"/>
              <w:rPr>
                <w:sz w:val="18"/>
              </w:rPr>
            </w:pPr>
            <w:r>
              <w:rPr>
                <w:sz w:val="18"/>
              </w:rPr>
              <w:t>28107</w:t>
            </w:r>
          </w:p>
        </w:tc>
        <w:tc>
          <w:tcPr>
            <w:tcW w:w="1058" w:type="dxa"/>
          </w:tcPr>
          <w:p>
            <w:pPr>
              <w:pStyle w:val="TableParagraph"/>
              <w:spacing w:before="3"/>
              <w:rPr>
                <w:b/>
                <w:sz w:val="13"/>
              </w:rPr>
            </w:pPr>
          </w:p>
          <w:p>
            <w:pPr>
              <w:pStyle w:val="TableParagraph"/>
              <w:ind w:left="25"/>
              <w:rPr>
                <w:sz w:val="18"/>
              </w:rPr>
            </w:pPr>
            <w:r>
              <w:rPr>
                <w:sz w:val="18"/>
              </w:rPr>
              <w:t>$87,9078</w:t>
            </w:r>
          </w:p>
        </w:tc>
        <w:tc>
          <w:tcPr>
            <w:tcW w:w="1107" w:type="dxa"/>
          </w:tcPr>
          <w:p>
            <w:pPr>
              <w:pStyle w:val="TableParagraph"/>
              <w:spacing w:before="3"/>
              <w:rPr>
                <w:b/>
                <w:sz w:val="13"/>
              </w:rPr>
            </w:pPr>
          </w:p>
          <w:p>
            <w:pPr>
              <w:pStyle w:val="TableParagraph"/>
              <w:ind w:left="28"/>
              <w:rPr>
                <w:sz w:val="18"/>
              </w:rPr>
            </w:pPr>
            <w:r>
              <w:rPr>
                <w:sz w:val="18"/>
              </w:rPr>
              <w:t>4.7</w:t>
            </w:r>
          </w:p>
        </w:tc>
      </w:tr>
      <w:tr>
        <w:trPr>
          <w:trHeight w:val="1653" w:hRule="atLeast"/>
        </w:trPr>
        <w:tc>
          <w:tcPr>
            <w:tcW w:w="689" w:type="dxa"/>
          </w:tcPr>
          <w:p>
            <w:pPr>
              <w:pStyle w:val="TableParagraph"/>
              <w:spacing w:before="3"/>
              <w:rPr>
                <w:b/>
                <w:sz w:val="13"/>
              </w:rPr>
            </w:pPr>
          </w:p>
          <w:p>
            <w:pPr>
              <w:pStyle w:val="TableParagraph"/>
              <w:ind w:left="26"/>
              <w:rPr>
                <w:sz w:val="18"/>
              </w:rPr>
            </w:pPr>
            <w:r>
              <w:rPr>
                <w:sz w:val="18"/>
              </w:rPr>
              <w:t>18225</w:t>
            </w:r>
          </w:p>
        </w:tc>
        <w:tc>
          <w:tcPr>
            <w:tcW w:w="3517" w:type="dxa"/>
          </w:tcPr>
          <w:p>
            <w:pPr>
              <w:pStyle w:val="TableParagraph"/>
              <w:spacing w:before="159"/>
              <w:ind w:left="25"/>
              <w:rPr>
                <w:sz w:val="18"/>
              </w:rPr>
            </w:pPr>
            <w:r>
              <w:rPr>
                <w:sz w:val="18"/>
              </w:rPr>
              <w:t>INFUSION OF A THERAPEUTIC SUBSTANCE to</w:t>
            </w:r>
          </w:p>
          <w:p>
            <w:pPr>
              <w:pStyle w:val="TableParagraph"/>
              <w:spacing w:line="312" w:lineRule="auto" w:before="66"/>
              <w:ind w:left="25" w:right="12"/>
              <w:rPr>
                <w:sz w:val="18"/>
              </w:rPr>
            </w:pPr>
            <w:r>
              <w:rPr>
                <w:sz w:val="18"/>
              </w:rPr>
              <w:t>maintain regional anaesthesia or analgesia, subsequent injection or revision of, where the period of continuous medical practitioner attendance is more than 15 minutes</w:t>
            </w:r>
          </w:p>
        </w:tc>
        <w:tc>
          <w:tcPr>
            <w:tcW w:w="958" w:type="dxa"/>
          </w:tcPr>
          <w:p>
            <w:pPr>
              <w:pStyle w:val="TableParagraph"/>
              <w:spacing w:before="3"/>
              <w:rPr>
                <w:b/>
                <w:sz w:val="13"/>
              </w:rPr>
            </w:pPr>
          </w:p>
          <w:p>
            <w:pPr>
              <w:pStyle w:val="TableParagraph"/>
              <w:ind w:left="25"/>
              <w:rPr>
                <w:sz w:val="18"/>
              </w:rPr>
            </w:pPr>
            <w:r>
              <w:rPr>
                <w:sz w:val="18"/>
              </w:rPr>
              <w:t>$50.05</w:t>
            </w:r>
          </w:p>
        </w:tc>
        <w:tc>
          <w:tcPr>
            <w:tcW w:w="1075" w:type="dxa"/>
          </w:tcPr>
          <w:p>
            <w:pPr>
              <w:pStyle w:val="TableParagraph"/>
              <w:spacing w:before="3"/>
              <w:rPr>
                <w:b/>
                <w:sz w:val="13"/>
              </w:rPr>
            </w:pPr>
          </w:p>
          <w:p>
            <w:pPr>
              <w:pStyle w:val="TableParagraph"/>
              <w:ind w:left="25"/>
              <w:rPr>
                <w:sz w:val="18"/>
              </w:rPr>
            </w:pPr>
            <w:r>
              <w:rPr>
                <w:sz w:val="18"/>
              </w:rPr>
              <w:t>21186</w:t>
            </w:r>
          </w:p>
        </w:tc>
        <w:tc>
          <w:tcPr>
            <w:tcW w:w="1058" w:type="dxa"/>
          </w:tcPr>
          <w:p>
            <w:pPr>
              <w:pStyle w:val="TableParagraph"/>
              <w:spacing w:before="3"/>
              <w:rPr>
                <w:b/>
                <w:sz w:val="13"/>
              </w:rPr>
            </w:pPr>
          </w:p>
          <w:p>
            <w:pPr>
              <w:pStyle w:val="TableParagraph"/>
              <w:ind w:left="25"/>
              <w:rPr>
                <w:sz w:val="18"/>
              </w:rPr>
            </w:pPr>
            <w:r>
              <w:rPr>
                <w:sz w:val="18"/>
              </w:rPr>
              <w:t>$869,251</w:t>
            </w:r>
          </w:p>
        </w:tc>
        <w:tc>
          <w:tcPr>
            <w:tcW w:w="1107" w:type="dxa"/>
          </w:tcPr>
          <w:p>
            <w:pPr>
              <w:pStyle w:val="TableParagraph"/>
              <w:spacing w:before="3"/>
              <w:rPr>
                <w:b/>
                <w:sz w:val="13"/>
              </w:rPr>
            </w:pPr>
          </w:p>
          <w:p>
            <w:pPr>
              <w:pStyle w:val="TableParagraph"/>
              <w:ind w:left="28"/>
              <w:rPr>
                <w:sz w:val="18"/>
              </w:rPr>
            </w:pPr>
            <w:r>
              <w:rPr>
                <w:sz w:val="18"/>
              </w:rPr>
              <w:t>12.9</w:t>
            </w:r>
          </w:p>
        </w:tc>
      </w:tr>
      <w:tr>
        <w:trPr>
          <w:trHeight w:val="794" w:hRule="atLeast"/>
        </w:trPr>
        <w:tc>
          <w:tcPr>
            <w:tcW w:w="689" w:type="dxa"/>
          </w:tcPr>
          <w:p>
            <w:pPr>
              <w:pStyle w:val="TableParagraph"/>
              <w:spacing w:before="159"/>
              <w:ind w:left="26"/>
              <w:rPr>
                <w:sz w:val="18"/>
              </w:rPr>
            </w:pPr>
            <w:r>
              <w:rPr>
                <w:sz w:val="18"/>
              </w:rPr>
              <w:t>18230</w:t>
            </w:r>
          </w:p>
        </w:tc>
        <w:tc>
          <w:tcPr>
            <w:tcW w:w="3517" w:type="dxa"/>
          </w:tcPr>
          <w:p>
            <w:pPr>
              <w:pStyle w:val="TableParagraph"/>
              <w:spacing w:before="157"/>
              <w:ind w:left="25"/>
              <w:rPr>
                <w:sz w:val="18"/>
              </w:rPr>
            </w:pPr>
            <w:r>
              <w:rPr>
                <w:sz w:val="18"/>
              </w:rPr>
              <w:t>INTRATHECAL or EPIDURAL INJECTION of</w:t>
            </w:r>
          </w:p>
          <w:p>
            <w:pPr>
              <w:pStyle w:val="TableParagraph"/>
              <w:spacing w:before="68"/>
              <w:ind w:left="25"/>
              <w:rPr>
                <w:sz w:val="18"/>
              </w:rPr>
            </w:pPr>
            <w:r>
              <w:rPr>
                <w:sz w:val="18"/>
              </w:rPr>
              <w:t>neurolytic substance (Anaes.)</w:t>
            </w:r>
          </w:p>
        </w:tc>
        <w:tc>
          <w:tcPr>
            <w:tcW w:w="958" w:type="dxa"/>
          </w:tcPr>
          <w:p>
            <w:pPr>
              <w:pStyle w:val="TableParagraph"/>
              <w:spacing w:before="159"/>
              <w:ind w:left="25"/>
              <w:rPr>
                <w:sz w:val="18"/>
              </w:rPr>
            </w:pPr>
            <w:r>
              <w:rPr>
                <w:sz w:val="18"/>
              </w:rPr>
              <w:t>$238.45</w:t>
            </w:r>
          </w:p>
        </w:tc>
        <w:tc>
          <w:tcPr>
            <w:tcW w:w="1075" w:type="dxa"/>
          </w:tcPr>
          <w:p>
            <w:pPr>
              <w:pStyle w:val="TableParagraph"/>
              <w:spacing w:before="159"/>
              <w:ind w:left="25"/>
              <w:rPr>
                <w:sz w:val="18"/>
              </w:rPr>
            </w:pPr>
            <w:r>
              <w:rPr>
                <w:sz w:val="18"/>
              </w:rPr>
              <w:t>5290</w:t>
            </w:r>
          </w:p>
        </w:tc>
        <w:tc>
          <w:tcPr>
            <w:tcW w:w="1058" w:type="dxa"/>
          </w:tcPr>
          <w:p>
            <w:pPr>
              <w:pStyle w:val="TableParagraph"/>
              <w:spacing w:before="159"/>
              <w:ind w:left="25"/>
              <w:rPr>
                <w:sz w:val="18"/>
              </w:rPr>
            </w:pPr>
            <w:r>
              <w:rPr>
                <w:sz w:val="18"/>
              </w:rPr>
              <w:t>$1,052,630</w:t>
            </w:r>
          </w:p>
        </w:tc>
        <w:tc>
          <w:tcPr>
            <w:tcW w:w="1107" w:type="dxa"/>
          </w:tcPr>
          <w:p>
            <w:pPr>
              <w:pStyle w:val="TableParagraph"/>
              <w:spacing w:before="159"/>
              <w:ind w:left="28"/>
              <w:rPr>
                <w:sz w:val="18"/>
              </w:rPr>
            </w:pPr>
            <w:r>
              <w:rPr>
                <w:sz w:val="18"/>
              </w:rPr>
              <w:t>5.8</w:t>
            </w:r>
          </w:p>
        </w:tc>
      </w:tr>
      <w:tr>
        <w:trPr>
          <w:trHeight w:val="2222" w:hRule="atLeast"/>
        </w:trPr>
        <w:tc>
          <w:tcPr>
            <w:tcW w:w="689" w:type="dxa"/>
          </w:tcPr>
          <w:p>
            <w:pPr>
              <w:pStyle w:val="TableParagraph"/>
              <w:spacing w:before="3"/>
              <w:rPr>
                <w:b/>
                <w:sz w:val="13"/>
              </w:rPr>
            </w:pPr>
          </w:p>
          <w:p>
            <w:pPr>
              <w:pStyle w:val="TableParagraph"/>
              <w:ind w:left="26"/>
              <w:rPr>
                <w:sz w:val="18"/>
              </w:rPr>
            </w:pPr>
            <w:r>
              <w:rPr>
                <w:sz w:val="18"/>
              </w:rPr>
              <w:t>18232</w:t>
            </w:r>
          </w:p>
        </w:tc>
        <w:tc>
          <w:tcPr>
            <w:tcW w:w="3517" w:type="dxa"/>
          </w:tcPr>
          <w:p>
            <w:pPr>
              <w:pStyle w:val="TableParagraph"/>
              <w:spacing w:before="159"/>
              <w:ind w:left="25"/>
              <w:rPr>
                <w:sz w:val="18"/>
              </w:rPr>
            </w:pPr>
            <w:r>
              <w:rPr>
                <w:sz w:val="18"/>
              </w:rPr>
              <w:t>INTRATHECAL or EPIDURAL INJECTION of</w:t>
            </w:r>
          </w:p>
          <w:p>
            <w:pPr>
              <w:pStyle w:val="TableParagraph"/>
              <w:spacing w:line="312" w:lineRule="auto" w:before="66"/>
              <w:ind w:left="25" w:right="126"/>
              <w:rPr>
                <w:sz w:val="18"/>
              </w:rPr>
            </w:pPr>
            <w:r>
              <w:rPr>
                <w:sz w:val="18"/>
              </w:rPr>
              <w:t>substance other than anaesthetic, contrast or neurolytic solutions, not being a service to which another item in this Group applies (Anaes.) anaesthetic, steroid not being a service to which another item in this Group applies (Anaes.)</w:t>
            </w:r>
          </w:p>
        </w:tc>
        <w:tc>
          <w:tcPr>
            <w:tcW w:w="958" w:type="dxa"/>
          </w:tcPr>
          <w:p>
            <w:pPr>
              <w:pStyle w:val="TableParagraph"/>
              <w:spacing w:before="3"/>
              <w:rPr>
                <w:b/>
                <w:sz w:val="13"/>
              </w:rPr>
            </w:pPr>
          </w:p>
          <w:p>
            <w:pPr>
              <w:pStyle w:val="TableParagraph"/>
              <w:ind w:left="25"/>
              <w:rPr>
                <w:sz w:val="18"/>
              </w:rPr>
            </w:pPr>
            <w:r>
              <w:rPr>
                <w:sz w:val="18"/>
              </w:rPr>
              <w:t>$189.90</w:t>
            </w:r>
          </w:p>
        </w:tc>
        <w:tc>
          <w:tcPr>
            <w:tcW w:w="1075" w:type="dxa"/>
          </w:tcPr>
          <w:p>
            <w:pPr>
              <w:pStyle w:val="TableParagraph"/>
              <w:spacing w:before="3"/>
              <w:rPr>
                <w:b/>
                <w:sz w:val="13"/>
              </w:rPr>
            </w:pPr>
          </w:p>
          <w:p>
            <w:pPr>
              <w:pStyle w:val="TableParagraph"/>
              <w:ind w:left="25"/>
              <w:rPr>
                <w:sz w:val="18"/>
              </w:rPr>
            </w:pPr>
            <w:r>
              <w:rPr>
                <w:sz w:val="18"/>
              </w:rPr>
              <w:t>34,385</w:t>
            </w:r>
          </w:p>
        </w:tc>
        <w:tc>
          <w:tcPr>
            <w:tcW w:w="1058" w:type="dxa"/>
          </w:tcPr>
          <w:p>
            <w:pPr>
              <w:pStyle w:val="TableParagraph"/>
              <w:spacing w:before="3"/>
              <w:rPr>
                <w:b/>
                <w:sz w:val="13"/>
              </w:rPr>
            </w:pPr>
          </w:p>
          <w:p>
            <w:pPr>
              <w:pStyle w:val="TableParagraph"/>
              <w:ind w:left="25"/>
              <w:rPr>
                <w:sz w:val="18"/>
              </w:rPr>
            </w:pPr>
            <w:r>
              <w:rPr>
                <w:sz w:val="18"/>
              </w:rPr>
              <w:t>$5,444,264</w:t>
            </w:r>
          </w:p>
        </w:tc>
        <w:tc>
          <w:tcPr>
            <w:tcW w:w="1107" w:type="dxa"/>
          </w:tcPr>
          <w:p>
            <w:pPr>
              <w:pStyle w:val="TableParagraph"/>
              <w:spacing w:before="3"/>
              <w:rPr>
                <w:b/>
                <w:sz w:val="13"/>
              </w:rPr>
            </w:pPr>
          </w:p>
          <w:p>
            <w:pPr>
              <w:pStyle w:val="TableParagraph"/>
              <w:ind w:left="28"/>
              <w:rPr>
                <w:sz w:val="18"/>
              </w:rPr>
            </w:pPr>
            <w:r>
              <w:rPr>
                <w:sz w:val="18"/>
              </w:rPr>
              <w:t>11.9</w:t>
            </w:r>
          </w:p>
        </w:tc>
      </w:tr>
      <w:tr>
        <w:trPr>
          <w:trHeight w:val="793" w:hRule="atLeast"/>
        </w:trPr>
        <w:tc>
          <w:tcPr>
            <w:tcW w:w="689" w:type="dxa"/>
          </w:tcPr>
          <w:p>
            <w:pPr>
              <w:pStyle w:val="TableParagraph"/>
              <w:spacing w:before="162"/>
              <w:ind w:left="26"/>
              <w:rPr>
                <w:sz w:val="18"/>
              </w:rPr>
            </w:pPr>
            <w:r>
              <w:rPr>
                <w:sz w:val="18"/>
              </w:rPr>
              <w:t>18234</w:t>
            </w:r>
          </w:p>
        </w:tc>
        <w:tc>
          <w:tcPr>
            <w:tcW w:w="3517" w:type="dxa"/>
          </w:tcPr>
          <w:p>
            <w:pPr>
              <w:pStyle w:val="TableParagraph"/>
              <w:spacing w:line="312" w:lineRule="auto" w:before="159"/>
              <w:ind w:left="25" w:right="12"/>
              <w:rPr>
                <w:sz w:val="18"/>
              </w:rPr>
            </w:pPr>
            <w:r>
              <w:rPr>
                <w:sz w:val="18"/>
              </w:rPr>
              <w:t>TRIGEMINAL NERVE, primary division of, injection of an anaesthetic agent (Anaes.)</w:t>
            </w:r>
          </w:p>
        </w:tc>
        <w:tc>
          <w:tcPr>
            <w:tcW w:w="958" w:type="dxa"/>
          </w:tcPr>
          <w:p>
            <w:pPr>
              <w:pStyle w:val="TableParagraph"/>
              <w:spacing w:before="162"/>
              <w:ind w:left="25"/>
              <w:rPr>
                <w:sz w:val="18"/>
              </w:rPr>
            </w:pPr>
            <w:r>
              <w:rPr>
                <w:sz w:val="18"/>
              </w:rPr>
              <w:t>$124.85</w:t>
            </w:r>
          </w:p>
        </w:tc>
        <w:tc>
          <w:tcPr>
            <w:tcW w:w="1075" w:type="dxa"/>
          </w:tcPr>
          <w:p>
            <w:pPr>
              <w:pStyle w:val="TableParagraph"/>
              <w:spacing w:before="162"/>
              <w:ind w:left="25"/>
              <w:rPr>
                <w:sz w:val="18"/>
              </w:rPr>
            </w:pPr>
            <w:r>
              <w:rPr>
                <w:sz w:val="18"/>
              </w:rPr>
              <w:t>13,888</w:t>
            </w:r>
          </w:p>
        </w:tc>
        <w:tc>
          <w:tcPr>
            <w:tcW w:w="1058" w:type="dxa"/>
          </w:tcPr>
          <w:p>
            <w:pPr>
              <w:pStyle w:val="TableParagraph"/>
              <w:spacing w:before="162"/>
              <w:ind w:left="25"/>
              <w:rPr>
                <w:sz w:val="18"/>
              </w:rPr>
            </w:pPr>
            <w:r>
              <w:rPr>
                <w:sz w:val="18"/>
              </w:rPr>
              <w:t>$1,442,771</w:t>
            </w:r>
          </w:p>
        </w:tc>
        <w:tc>
          <w:tcPr>
            <w:tcW w:w="1107" w:type="dxa"/>
          </w:tcPr>
          <w:p>
            <w:pPr>
              <w:pStyle w:val="TableParagraph"/>
              <w:spacing w:before="162"/>
              <w:ind w:left="28"/>
              <w:rPr>
                <w:sz w:val="18"/>
              </w:rPr>
            </w:pPr>
            <w:r>
              <w:rPr>
                <w:sz w:val="18"/>
              </w:rPr>
              <w:t>21.9%</w:t>
            </w:r>
          </w:p>
        </w:tc>
      </w:tr>
    </w:tbl>
    <w:p>
      <w:pPr>
        <w:spacing w:after="0"/>
        <w:rPr>
          <w:sz w:val="18"/>
        </w:rPr>
        <w:sectPr>
          <w:pgSz w:w="11910" w:h="16840"/>
          <w:pgMar w:header="672" w:footer="734" w:top="1300" w:bottom="920" w:left="440" w:right="140"/>
        </w:sectPr>
      </w:pPr>
    </w:p>
    <w:p>
      <w:pPr>
        <w:pStyle w:val="BodyText"/>
        <w:rPr>
          <w:b/>
          <w:sz w:val="20"/>
        </w:rPr>
      </w:pPr>
    </w:p>
    <w:p>
      <w:pPr>
        <w:pStyle w:val="BodyText"/>
        <w:spacing w:before="2"/>
        <w:rPr>
          <w:b/>
          <w:sz w:val="29"/>
        </w:rPr>
      </w:pPr>
    </w:p>
    <w:tbl>
      <w:tblPr>
        <w:tblW w:w="0" w:type="auto"/>
        <w:jc w:val="left"/>
        <w:tblInd w:w="12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689"/>
        <w:gridCol w:w="3517"/>
        <w:gridCol w:w="958"/>
        <w:gridCol w:w="1075"/>
        <w:gridCol w:w="1058"/>
        <w:gridCol w:w="1107"/>
      </w:tblGrid>
      <w:tr>
        <w:trPr>
          <w:trHeight w:val="1362" w:hRule="atLeast"/>
        </w:trPr>
        <w:tc>
          <w:tcPr>
            <w:tcW w:w="689" w:type="dxa"/>
            <w:tcBorders>
              <w:top w:val="nil"/>
              <w:left w:val="nil"/>
              <w:right w:val="nil"/>
            </w:tcBorders>
            <w:shd w:val="clear" w:color="auto" w:fill="00643E"/>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18"/>
              <w:ind w:left="31"/>
              <w:rPr>
                <w:b/>
                <w:sz w:val="18"/>
              </w:rPr>
            </w:pPr>
            <w:r>
              <w:rPr>
                <w:b/>
                <w:color w:val="FFFFFF"/>
                <w:sz w:val="18"/>
              </w:rPr>
              <w:t>Item</w:t>
            </w:r>
          </w:p>
        </w:tc>
        <w:tc>
          <w:tcPr>
            <w:tcW w:w="3517" w:type="dxa"/>
            <w:tcBorders>
              <w:left w:val="nil"/>
            </w:tcBorders>
            <w:shd w:val="clear" w:color="auto" w:fill="00643E"/>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18"/>
              <w:ind w:left="30"/>
              <w:rPr>
                <w:b/>
                <w:sz w:val="18"/>
              </w:rPr>
            </w:pPr>
            <w:r>
              <w:rPr>
                <w:b/>
                <w:color w:val="FFFFFF"/>
                <w:sz w:val="18"/>
              </w:rPr>
              <w:t>Descriptor</w:t>
            </w:r>
          </w:p>
        </w:tc>
        <w:tc>
          <w:tcPr>
            <w:tcW w:w="958" w:type="dxa"/>
            <w:shd w:val="clear" w:color="auto" w:fill="00643E"/>
          </w:tcPr>
          <w:p>
            <w:pPr>
              <w:pStyle w:val="TableParagraph"/>
              <w:rPr>
                <w:b/>
                <w:sz w:val="18"/>
              </w:rPr>
            </w:pPr>
          </w:p>
          <w:p>
            <w:pPr>
              <w:pStyle w:val="TableParagraph"/>
              <w:rPr>
                <w:b/>
                <w:sz w:val="18"/>
              </w:rPr>
            </w:pPr>
          </w:p>
          <w:p>
            <w:pPr>
              <w:pStyle w:val="TableParagraph"/>
              <w:spacing w:before="3"/>
              <w:rPr>
                <w:b/>
                <w:sz w:val="22"/>
              </w:rPr>
            </w:pPr>
          </w:p>
          <w:p>
            <w:pPr>
              <w:pStyle w:val="TableParagraph"/>
              <w:spacing w:line="309" w:lineRule="auto"/>
              <w:ind w:left="25" w:right="227"/>
              <w:rPr>
                <w:b/>
                <w:sz w:val="18"/>
              </w:rPr>
            </w:pPr>
            <w:r>
              <w:rPr>
                <w:b/>
                <w:color w:val="FFFFFF"/>
                <w:sz w:val="18"/>
              </w:rPr>
              <w:t>Schedule fee</w:t>
            </w:r>
          </w:p>
        </w:tc>
        <w:tc>
          <w:tcPr>
            <w:tcW w:w="1075" w:type="dxa"/>
            <w:shd w:val="clear" w:color="auto" w:fill="00643E"/>
          </w:tcPr>
          <w:p>
            <w:pPr>
              <w:pStyle w:val="TableParagraph"/>
              <w:rPr>
                <w:b/>
                <w:sz w:val="18"/>
              </w:rPr>
            </w:pPr>
          </w:p>
          <w:p>
            <w:pPr>
              <w:pStyle w:val="TableParagraph"/>
              <w:rPr>
                <w:b/>
                <w:sz w:val="18"/>
              </w:rPr>
            </w:pPr>
          </w:p>
          <w:p>
            <w:pPr>
              <w:pStyle w:val="TableParagraph"/>
              <w:spacing w:before="3"/>
              <w:rPr>
                <w:b/>
                <w:sz w:val="22"/>
              </w:rPr>
            </w:pPr>
          </w:p>
          <w:p>
            <w:pPr>
              <w:pStyle w:val="TableParagraph"/>
              <w:spacing w:line="309" w:lineRule="auto"/>
              <w:ind w:left="25" w:right="219"/>
              <w:rPr>
                <w:b/>
                <w:sz w:val="18"/>
              </w:rPr>
            </w:pPr>
            <w:r>
              <w:rPr>
                <w:b/>
                <w:color w:val="FFFFFF"/>
                <w:sz w:val="18"/>
              </w:rPr>
              <w:t>Services FY2016/17</w:t>
            </w:r>
          </w:p>
        </w:tc>
        <w:tc>
          <w:tcPr>
            <w:tcW w:w="1058" w:type="dxa"/>
            <w:shd w:val="clear" w:color="auto" w:fill="00643E"/>
          </w:tcPr>
          <w:p>
            <w:pPr>
              <w:pStyle w:val="TableParagraph"/>
              <w:rPr>
                <w:b/>
                <w:sz w:val="18"/>
              </w:rPr>
            </w:pPr>
          </w:p>
          <w:p>
            <w:pPr>
              <w:pStyle w:val="TableParagraph"/>
              <w:rPr>
                <w:b/>
                <w:sz w:val="18"/>
              </w:rPr>
            </w:pPr>
          </w:p>
          <w:p>
            <w:pPr>
              <w:pStyle w:val="TableParagraph"/>
              <w:spacing w:before="3"/>
              <w:rPr>
                <w:b/>
                <w:sz w:val="22"/>
              </w:rPr>
            </w:pPr>
          </w:p>
          <w:p>
            <w:pPr>
              <w:pStyle w:val="TableParagraph"/>
              <w:spacing w:line="309" w:lineRule="auto"/>
              <w:ind w:left="25" w:right="202"/>
              <w:rPr>
                <w:b/>
                <w:sz w:val="18"/>
              </w:rPr>
            </w:pPr>
            <w:r>
              <w:rPr>
                <w:b/>
                <w:color w:val="FFFFFF"/>
                <w:sz w:val="18"/>
              </w:rPr>
              <w:t>Benefits FY2016/17</w:t>
            </w:r>
          </w:p>
        </w:tc>
        <w:tc>
          <w:tcPr>
            <w:tcW w:w="1107" w:type="dxa"/>
            <w:shd w:val="clear" w:color="auto" w:fill="00643E"/>
          </w:tcPr>
          <w:p>
            <w:pPr>
              <w:pStyle w:val="TableParagraph"/>
              <w:spacing w:line="312" w:lineRule="auto" w:before="85"/>
              <w:ind w:left="28" w:right="161"/>
              <w:rPr>
                <w:b/>
                <w:sz w:val="18"/>
              </w:rPr>
            </w:pPr>
            <w:r>
              <w:rPr>
                <w:b/>
                <w:color w:val="FFFFFF"/>
                <w:sz w:val="18"/>
              </w:rPr>
              <w:t>Services 5- year annual avg. growth</w:t>
            </w:r>
          </w:p>
          <w:p>
            <w:pPr>
              <w:pStyle w:val="TableParagraph"/>
              <w:spacing w:before="53"/>
              <w:ind w:left="28"/>
              <w:rPr>
                <w:b/>
                <w:sz w:val="18"/>
              </w:rPr>
            </w:pPr>
            <w:r>
              <w:rPr>
                <w:b/>
                <w:color w:val="FFFFFF"/>
                <w:sz w:val="18"/>
              </w:rPr>
              <w:t>%</w:t>
            </w:r>
          </w:p>
        </w:tc>
      </w:tr>
      <w:tr>
        <w:trPr>
          <w:trHeight w:val="793" w:hRule="atLeast"/>
        </w:trPr>
        <w:tc>
          <w:tcPr>
            <w:tcW w:w="689" w:type="dxa"/>
          </w:tcPr>
          <w:p>
            <w:pPr>
              <w:pStyle w:val="TableParagraph"/>
              <w:spacing w:before="3"/>
              <w:rPr>
                <w:b/>
                <w:sz w:val="13"/>
              </w:rPr>
            </w:pPr>
          </w:p>
          <w:p>
            <w:pPr>
              <w:pStyle w:val="TableParagraph"/>
              <w:ind w:left="26"/>
              <w:rPr>
                <w:sz w:val="18"/>
              </w:rPr>
            </w:pPr>
            <w:r>
              <w:rPr>
                <w:sz w:val="18"/>
              </w:rPr>
              <w:t>18240</w:t>
            </w:r>
          </w:p>
        </w:tc>
        <w:tc>
          <w:tcPr>
            <w:tcW w:w="3517" w:type="dxa"/>
          </w:tcPr>
          <w:p>
            <w:pPr>
              <w:pStyle w:val="TableParagraph"/>
              <w:spacing w:before="159"/>
              <w:ind w:left="25"/>
              <w:rPr>
                <w:sz w:val="18"/>
              </w:rPr>
            </w:pPr>
            <w:r>
              <w:rPr>
                <w:sz w:val="18"/>
              </w:rPr>
              <w:t>RETROBULBAR OR PERIBULBAR INJECTION of</w:t>
            </w:r>
          </w:p>
          <w:p>
            <w:pPr>
              <w:pStyle w:val="TableParagraph"/>
              <w:spacing w:before="66"/>
              <w:ind w:left="25"/>
              <w:rPr>
                <w:sz w:val="18"/>
              </w:rPr>
            </w:pPr>
            <w:r>
              <w:rPr>
                <w:sz w:val="18"/>
              </w:rPr>
              <w:t>an anaesthetic agent</w:t>
            </w:r>
          </w:p>
        </w:tc>
        <w:tc>
          <w:tcPr>
            <w:tcW w:w="958" w:type="dxa"/>
          </w:tcPr>
          <w:p>
            <w:pPr>
              <w:pStyle w:val="TableParagraph"/>
              <w:spacing w:before="3"/>
              <w:rPr>
                <w:b/>
                <w:sz w:val="13"/>
              </w:rPr>
            </w:pPr>
          </w:p>
          <w:p>
            <w:pPr>
              <w:pStyle w:val="TableParagraph"/>
              <w:ind w:left="25"/>
              <w:rPr>
                <w:sz w:val="18"/>
              </w:rPr>
            </w:pPr>
            <w:r>
              <w:rPr>
                <w:sz w:val="18"/>
              </w:rPr>
              <w:t>$93.60</w:t>
            </w:r>
          </w:p>
        </w:tc>
        <w:tc>
          <w:tcPr>
            <w:tcW w:w="1075" w:type="dxa"/>
          </w:tcPr>
          <w:p>
            <w:pPr>
              <w:pStyle w:val="TableParagraph"/>
              <w:spacing w:before="3"/>
              <w:rPr>
                <w:b/>
                <w:sz w:val="13"/>
              </w:rPr>
            </w:pPr>
          </w:p>
          <w:p>
            <w:pPr>
              <w:pStyle w:val="TableParagraph"/>
              <w:ind w:left="25"/>
              <w:rPr>
                <w:sz w:val="18"/>
              </w:rPr>
            </w:pPr>
            <w:r>
              <w:rPr>
                <w:sz w:val="18"/>
              </w:rPr>
              <w:t>9641</w:t>
            </w:r>
          </w:p>
        </w:tc>
        <w:tc>
          <w:tcPr>
            <w:tcW w:w="1058" w:type="dxa"/>
          </w:tcPr>
          <w:p>
            <w:pPr>
              <w:pStyle w:val="TableParagraph"/>
              <w:spacing w:before="3"/>
              <w:rPr>
                <w:b/>
                <w:sz w:val="13"/>
              </w:rPr>
            </w:pPr>
          </w:p>
          <w:p>
            <w:pPr>
              <w:pStyle w:val="TableParagraph"/>
              <w:ind w:left="25"/>
              <w:rPr>
                <w:sz w:val="18"/>
              </w:rPr>
            </w:pPr>
            <w:r>
              <w:rPr>
                <w:sz w:val="18"/>
              </w:rPr>
              <w:t>$805,730</w:t>
            </w:r>
          </w:p>
        </w:tc>
        <w:tc>
          <w:tcPr>
            <w:tcW w:w="1107" w:type="dxa"/>
          </w:tcPr>
          <w:p>
            <w:pPr>
              <w:pStyle w:val="TableParagraph"/>
              <w:spacing w:before="3"/>
              <w:rPr>
                <w:b/>
                <w:sz w:val="13"/>
              </w:rPr>
            </w:pPr>
          </w:p>
          <w:p>
            <w:pPr>
              <w:pStyle w:val="TableParagraph"/>
              <w:ind w:left="28"/>
              <w:rPr>
                <w:sz w:val="18"/>
              </w:rPr>
            </w:pPr>
            <w:r>
              <w:rPr>
                <w:sz w:val="18"/>
              </w:rPr>
              <w:t>-4.3</w:t>
            </w:r>
          </w:p>
        </w:tc>
      </w:tr>
      <w:tr>
        <w:trPr>
          <w:trHeight w:val="794" w:hRule="atLeast"/>
        </w:trPr>
        <w:tc>
          <w:tcPr>
            <w:tcW w:w="689" w:type="dxa"/>
          </w:tcPr>
          <w:p>
            <w:pPr>
              <w:pStyle w:val="TableParagraph"/>
              <w:spacing w:before="3"/>
              <w:rPr>
                <w:b/>
                <w:sz w:val="13"/>
              </w:rPr>
            </w:pPr>
          </w:p>
          <w:p>
            <w:pPr>
              <w:pStyle w:val="TableParagraph"/>
              <w:ind w:left="26"/>
              <w:rPr>
                <w:sz w:val="18"/>
              </w:rPr>
            </w:pPr>
            <w:r>
              <w:rPr>
                <w:sz w:val="18"/>
              </w:rPr>
              <w:t>18242</w:t>
            </w:r>
          </w:p>
        </w:tc>
        <w:tc>
          <w:tcPr>
            <w:tcW w:w="3517" w:type="dxa"/>
          </w:tcPr>
          <w:p>
            <w:pPr>
              <w:pStyle w:val="TableParagraph"/>
              <w:spacing w:line="312" w:lineRule="auto" w:before="159"/>
              <w:ind w:left="25" w:right="316"/>
              <w:rPr>
                <w:sz w:val="18"/>
              </w:rPr>
            </w:pPr>
            <w:r>
              <w:rPr>
                <w:sz w:val="18"/>
              </w:rPr>
              <w:t>GREATER OCCIPITAL NERVE, injection of an anaesthetic agent (Anaes.)</w:t>
            </w:r>
          </w:p>
        </w:tc>
        <w:tc>
          <w:tcPr>
            <w:tcW w:w="958" w:type="dxa"/>
          </w:tcPr>
          <w:p>
            <w:pPr>
              <w:pStyle w:val="TableParagraph"/>
              <w:spacing w:before="3"/>
              <w:rPr>
                <w:b/>
                <w:sz w:val="13"/>
              </w:rPr>
            </w:pPr>
          </w:p>
          <w:p>
            <w:pPr>
              <w:pStyle w:val="TableParagraph"/>
              <w:ind w:left="25"/>
              <w:rPr>
                <w:sz w:val="18"/>
              </w:rPr>
            </w:pPr>
            <w:r>
              <w:rPr>
                <w:sz w:val="18"/>
              </w:rPr>
              <w:t>$37.65</w:t>
            </w:r>
          </w:p>
        </w:tc>
        <w:tc>
          <w:tcPr>
            <w:tcW w:w="1075" w:type="dxa"/>
          </w:tcPr>
          <w:p>
            <w:pPr>
              <w:pStyle w:val="TableParagraph"/>
              <w:spacing w:before="3"/>
              <w:rPr>
                <w:b/>
                <w:sz w:val="13"/>
              </w:rPr>
            </w:pPr>
          </w:p>
          <w:p>
            <w:pPr>
              <w:pStyle w:val="TableParagraph"/>
              <w:ind w:left="25"/>
              <w:rPr>
                <w:sz w:val="18"/>
              </w:rPr>
            </w:pPr>
            <w:r>
              <w:rPr>
                <w:sz w:val="18"/>
              </w:rPr>
              <w:t>5658</w:t>
            </w:r>
          </w:p>
        </w:tc>
        <w:tc>
          <w:tcPr>
            <w:tcW w:w="1058" w:type="dxa"/>
          </w:tcPr>
          <w:p>
            <w:pPr>
              <w:pStyle w:val="TableParagraph"/>
              <w:spacing w:before="3"/>
              <w:rPr>
                <w:b/>
                <w:sz w:val="13"/>
              </w:rPr>
            </w:pPr>
          </w:p>
          <w:p>
            <w:pPr>
              <w:pStyle w:val="TableParagraph"/>
              <w:ind w:left="25"/>
              <w:rPr>
                <w:sz w:val="18"/>
              </w:rPr>
            </w:pPr>
            <w:r>
              <w:rPr>
                <w:sz w:val="18"/>
              </w:rPr>
              <w:t>$195,475</w:t>
            </w:r>
          </w:p>
        </w:tc>
        <w:tc>
          <w:tcPr>
            <w:tcW w:w="1107" w:type="dxa"/>
          </w:tcPr>
          <w:p>
            <w:pPr>
              <w:pStyle w:val="TableParagraph"/>
              <w:spacing w:before="3"/>
              <w:rPr>
                <w:b/>
                <w:sz w:val="13"/>
              </w:rPr>
            </w:pPr>
          </w:p>
          <w:p>
            <w:pPr>
              <w:pStyle w:val="TableParagraph"/>
              <w:ind w:left="28"/>
              <w:rPr>
                <w:sz w:val="18"/>
              </w:rPr>
            </w:pPr>
            <w:r>
              <w:rPr>
                <w:sz w:val="18"/>
              </w:rPr>
              <w:t>77.2</w:t>
            </w:r>
          </w:p>
        </w:tc>
      </w:tr>
      <w:tr>
        <w:trPr>
          <w:trHeight w:val="794" w:hRule="atLeast"/>
        </w:trPr>
        <w:tc>
          <w:tcPr>
            <w:tcW w:w="689" w:type="dxa"/>
          </w:tcPr>
          <w:p>
            <w:pPr>
              <w:pStyle w:val="TableParagraph"/>
              <w:spacing w:before="3"/>
              <w:rPr>
                <w:b/>
                <w:sz w:val="13"/>
              </w:rPr>
            </w:pPr>
          </w:p>
          <w:p>
            <w:pPr>
              <w:pStyle w:val="TableParagraph"/>
              <w:ind w:left="26"/>
              <w:rPr>
                <w:sz w:val="18"/>
              </w:rPr>
            </w:pPr>
            <w:r>
              <w:rPr>
                <w:sz w:val="18"/>
              </w:rPr>
              <w:t>18248</w:t>
            </w:r>
          </w:p>
        </w:tc>
        <w:tc>
          <w:tcPr>
            <w:tcW w:w="3517" w:type="dxa"/>
          </w:tcPr>
          <w:p>
            <w:pPr>
              <w:pStyle w:val="TableParagraph"/>
              <w:spacing w:line="312" w:lineRule="auto" w:before="159"/>
              <w:ind w:left="25" w:right="12"/>
              <w:rPr>
                <w:sz w:val="18"/>
              </w:rPr>
            </w:pPr>
            <w:r>
              <w:rPr>
                <w:sz w:val="18"/>
              </w:rPr>
              <w:t>PHRENIC NERVE, injection of an anaesthetic agent</w:t>
            </w:r>
          </w:p>
        </w:tc>
        <w:tc>
          <w:tcPr>
            <w:tcW w:w="958" w:type="dxa"/>
          </w:tcPr>
          <w:p>
            <w:pPr>
              <w:pStyle w:val="TableParagraph"/>
              <w:spacing w:before="3"/>
              <w:rPr>
                <w:b/>
                <w:sz w:val="13"/>
              </w:rPr>
            </w:pPr>
          </w:p>
          <w:p>
            <w:pPr>
              <w:pStyle w:val="TableParagraph"/>
              <w:ind w:left="25"/>
              <w:rPr>
                <w:sz w:val="18"/>
              </w:rPr>
            </w:pPr>
            <w:r>
              <w:rPr>
                <w:sz w:val="18"/>
              </w:rPr>
              <w:t>$88.65</w:t>
            </w:r>
          </w:p>
        </w:tc>
        <w:tc>
          <w:tcPr>
            <w:tcW w:w="1075" w:type="dxa"/>
          </w:tcPr>
          <w:p>
            <w:pPr>
              <w:pStyle w:val="TableParagraph"/>
              <w:spacing w:before="3"/>
              <w:rPr>
                <w:b/>
                <w:sz w:val="13"/>
              </w:rPr>
            </w:pPr>
          </w:p>
          <w:p>
            <w:pPr>
              <w:pStyle w:val="TableParagraph"/>
              <w:ind w:left="25"/>
              <w:rPr>
                <w:sz w:val="18"/>
              </w:rPr>
            </w:pPr>
            <w:r>
              <w:rPr>
                <w:sz w:val="18"/>
              </w:rPr>
              <w:t>1</w:t>
            </w:r>
          </w:p>
        </w:tc>
        <w:tc>
          <w:tcPr>
            <w:tcW w:w="1058" w:type="dxa"/>
          </w:tcPr>
          <w:p>
            <w:pPr>
              <w:pStyle w:val="TableParagraph"/>
              <w:spacing w:before="3"/>
              <w:rPr>
                <w:b/>
                <w:sz w:val="13"/>
              </w:rPr>
            </w:pPr>
          </w:p>
          <w:p>
            <w:pPr>
              <w:pStyle w:val="TableParagraph"/>
              <w:ind w:left="25"/>
              <w:rPr>
                <w:sz w:val="18"/>
              </w:rPr>
            </w:pPr>
            <w:r>
              <w:rPr>
                <w:sz w:val="18"/>
              </w:rPr>
              <w:t>$67</w:t>
            </w:r>
          </w:p>
        </w:tc>
        <w:tc>
          <w:tcPr>
            <w:tcW w:w="1107" w:type="dxa"/>
          </w:tcPr>
          <w:p>
            <w:pPr>
              <w:pStyle w:val="TableParagraph"/>
              <w:spacing w:before="3"/>
              <w:rPr>
                <w:b/>
                <w:sz w:val="13"/>
              </w:rPr>
            </w:pPr>
          </w:p>
          <w:p>
            <w:pPr>
              <w:pStyle w:val="TableParagraph"/>
              <w:ind w:left="28"/>
              <w:rPr>
                <w:sz w:val="18"/>
              </w:rPr>
            </w:pPr>
            <w:r>
              <w:rPr>
                <w:sz w:val="18"/>
              </w:rPr>
              <w:t>0</w:t>
            </w:r>
          </w:p>
        </w:tc>
      </w:tr>
      <w:tr>
        <w:trPr>
          <w:trHeight w:val="796" w:hRule="atLeast"/>
        </w:trPr>
        <w:tc>
          <w:tcPr>
            <w:tcW w:w="689" w:type="dxa"/>
          </w:tcPr>
          <w:p>
            <w:pPr>
              <w:pStyle w:val="TableParagraph"/>
              <w:spacing w:before="3"/>
              <w:rPr>
                <w:b/>
                <w:sz w:val="13"/>
              </w:rPr>
            </w:pPr>
          </w:p>
          <w:p>
            <w:pPr>
              <w:pStyle w:val="TableParagraph"/>
              <w:ind w:left="26"/>
              <w:rPr>
                <w:sz w:val="18"/>
              </w:rPr>
            </w:pPr>
            <w:r>
              <w:rPr>
                <w:sz w:val="18"/>
              </w:rPr>
              <w:t>18250</w:t>
            </w:r>
          </w:p>
        </w:tc>
        <w:tc>
          <w:tcPr>
            <w:tcW w:w="3517" w:type="dxa"/>
          </w:tcPr>
          <w:p>
            <w:pPr>
              <w:pStyle w:val="TableParagraph"/>
              <w:spacing w:line="312" w:lineRule="auto" w:before="159"/>
              <w:ind w:left="25" w:right="384"/>
              <w:rPr>
                <w:sz w:val="18"/>
              </w:rPr>
            </w:pPr>
            <w:r>
              <w:rPr>
                <w:sz w:val="18"/>
              </w:rPr>
              <w:t>SPINAL ACCESSORY NERVE, injection of an anaesthetic agent</w:t>
            </w:r>
          </w:p>
        </w:tc>
        <w:tc>
          <w:tcPr>
            <w:tcW w:w="958" w:type="dxa"/>
          </w:tcPr>
          <w:p>
            <w:pPr>
              <w:pStyle w:val="TableParagraph"/>
              <w:spacing w:before="3"/>
              <w:rPr>
                <w:b/>
                <w:sz w:val="13"/>
              </w:rPr>
            </w:pPr>
          </w:p>
          <w:p>
            <w:pPr>
              <w:pStyle w:val="TableParagraph"/>
              <w:ind w:left="25"/>
              <w:rPr>
                <w:sz w:val="18"/>
              </w:rPr>
            </w:pPr>
            <w:r>
              <w:rPr>
                <w:sz w:val="18"/>
              </w:rPr>
              <w:t>$62.50</w:t>
            </w:r>
          </w:p>
        </w:tc>
        <w:tc>
          <w:tcPr>
            <w:tcW w:w="1075" w:type="dxa"/>
          </w:tcPr>
          <w:p>
            <w:pPr>
              <w:pStyle w:val="TableParagraph"/>
              <w:spacing w:before="3"/>
              <w:rPr>
                <w:b/>
                <w:sz w:val="13"/>
              </w:rPr>
            </w:pPr>
          </w:p>
          <w:p>
            <w:pPr>
              <w:pStyle w:val="TableParagraph"/>
              <w:ind w:left="25"/>
              <w:rPr>
                <w:sz w:val="18"/>
              </w:rPr>
            </w:pPr>
            <w:r>
              <w:rPr>
                <w:sz w:val="18"/>
              </w:rPr>
              <w:t>19</w:t>
            </w:r>
          </w:p>
        </w:tc>
        <w:tc>
          <w:tcPr>
            <w:tcW w:w="1058" w:type="dxa"/>
          </w:tcPr>
          <w:p>
            <w:pPr>
              <w:pStyle w:val="TableParagraph"/>
              <w:spacing w:before="3"/>
              <w:rPr>
                <w:b/>
                <w:sz w:val="13"/>
              </w:rPr>
            </w:pPr>
          </w:p>
          <w:p>
            <w:pPr>
              <w:pStyle w:val="TableParagraph"/>
              <w:ind w:left="25"/>
              <w:rPr>
                <w:sz w:val="18"/>
              </w:rPr>
            </w:pPr>
            <w:r>
              <w:rPr>
                <w:sz w:val="18"/>
              </w:rPr>
              <w:t>$955</w:t>
            </w:r>
          </w:p>
        </w:tc>
        <w:tc>
          <w:tcPr>
            <w:tcW w:w="1107" w:type="dxa"/>
          </w:tcPr>
          <w:p>
            <w:pPr>
              <w:pStyle w:val="TableParagraph"/>
              <w:spacing w:before="3"/>
              <w:rPr>
                <w:b/>
                <w:sz w:val="13"/>
              </w:rPr>
            </w:pPr>
          </w:p>
          <w:p>
            <w:pPr>
              <w:pStyle w:val="TableParagraph"/>
              <w:ind w:left="28"/>
              <w:rPr>
                <w:sz w:val="18"/>
              </w:rPr>
            </w:pPr>
            <w:r>
              <w:rPr>
                <w:sz w:val="18"/>
              </w:rPr>
              <w:t>-1.0</w:t>
            </w:r>
          </w:p>
        </w:tc>
      </w:tr>
      <w:tr>
        <w:trPr>
          <w:trHeight w:val="793" w:hRule="atLeast"/>
        </w:trPr>
        <w:tc>
          <w:tcPr>
            <w:tcW w:w="689" w:type="dxa"/>
          </w:tcPr>
          <w:p>
            <w:pPr>
              <w:pStyle w:val="TableParagraph"/>
              <w:spacing w:before="159"/>
              <w:ind w:left="26"/>
              <w:rPr>
                <w:sz w:val="18"/>
              </w:rPr>
            </w:pPr>
            <w:r>
              <w:rPr>
                <w:sz w:val="18"/>
              </w:rPr>
              <w:t>18256</w:t>
            </w:r>
          </w:p>
        </w:tc>
        <w:tc>
          <w:tcPr>
            <w:tcW w:w="3517" w:type="dxa"/>
          </w:tcPr>
          <w:p>
            <w:pPr>
              <w:pStyle w:val="TableParagraph"/>
              <w:spacing w:line="314" w:lineRule="auto" w:before="157"/>
              <w:ind w:left="25" w:right="534"/>
              <w:rPr>
                <w:sz w:val="18"/>
              </w:rPr>
            </w:pPr>
            <w:r>
              <w:rPr>
                <w:sz w:val="18"/>
              </w:rPr>
              <w:t>SUPRASCAPULAR NERVE, injection of an anaesthetic agent</w:t>
            </w:r>
          </w:p>
        </w:tc>
        <w:tc>
          <w:tcPr>
            <w:tcW w:w="958" w:type="dxa"/>
          </w:tcPr>
          <w:p>
            <w:pPr>
              <w:pStyle w:val="TableParagraph"/>
              <w:spacing w:before="159"/>
              <w:ind w:left="25"/>
              <w:rPr>
                <w:sz w:val="18"/>
              </w:rPr>
            </w:pPr>
            <w:r>
              <w:rPr>
                <w:sz w:val="18"/>
              </w:rPr>
              <w:t>$62.50</w:t>
            </w:r>
          </w:p>
        </w:tc>
        <w:tc>
          <w:tcPr>
            <w:tcW w:w="1075" w:type="dxa"/>
          </w:tcPr>
          <w:p>
            <w:pPr>
              <w:pStyle w:val="TableParagraph"/>
              <w:spacing w:before="159"/>
              <w:ind w:left="25"/>
              <w:rPr>
                <w:sz w:val="18"/>
              </w:rPr>
            </w:pPr>
            <w:r>
              <w:rPr>
                <w:sz w:val="18"/>
              </w:rPr>
              <w:t>3,036</w:t>
            </w:r>
          </w:p>
        </w:tc>
        <w:tc>
          <w:tcPr>
            <w:tcW w:w="1058" w:type="dxa"/>
          </w:tcPr>
          <w:p>
            <w:pPr>
              <w:pStyle w:val="TableParagraph"/>
              <w:spacing w:before="159"/>
              <w:ind w:left="25"/>
              <w:rPr>
                <w:sz w:val="18"/>
              </w:rPr>
            </w:pPr>
            <w:r>
              <w:rPr>
                <w:sz w:val="18"/>
              </w:rPr>
              <w:t>$152,369</w:t>
            </w:r>
          </w:p>
        </w:tc>
        <w:tc>
          <w:tcPr>
            <w:tcW w:w="1107" w:type="dxa"/>
          </w:tcPr>
          <w:p>
            <w:pPr>
              <w:pStyle w:val="TableParagraph"/>
              <w:spacing w:before="159"/>
              <w:ind w:left="28"/>
              <w:rPr>
                <w:sz w:val="18"/>
              </w:rPr>
            </w:pPr>
            <w:r>
              <w:rPr>
                <w:sz w:val="18"/>
              </w:rPr>
              <w:t>13.5</w:t>
            </w:r>
          </w:p>
        </w:tc>
      </w:tr>
      <w:tr>
        <w:trPr>
          <w:trHeight w:val="794" w:hRule="atLeast"/>
        </w:trPr>
        <w:tc>
          <w:tcPr>
            <w:tcW w:w="689" w:type="dxa"/>
          </w:tcPr>
          <w:p>
            <w:pPr>
              <w:pStyle w:val="TableParagraph"/>
              <w:spacing w:before="159"/>
              <w:ind w:left="26"/>
              <w:rPr>
                <w:sz w:val="18"/>
              </w:rPr>
            </w:pPr>
            <w:r>
              <w:rPr>
                <w:sz w:val="18"/>
              </w:rPr>
              <w:t>18258</w:t>
            </w:r>
          </w:p>
        </w:tc>
        <w:tc>
          <w:tcPr>
            <w:tcW w:w="3517" w:type="dxa"/>
          </w:tcPr>
          <w:p>
            <w:pPr>
              <w:pStyle w:val="TableParagraph"/>
              <w:spacing w:line="314" w:lineRule="auto" w:before="157"/>
              <w:ind w:left="25" w:right="224"/>
              <w:rPr>
                <w:sz w:val="18"/>
              </w:rPr>
            </w:pPr>
            <w:r>
              <w:rPr>
                <w:sz w:val="18"/>
              </w:rPr>
              <w:t>INTERCOSTAL NERVE (single), injection of an anaesthetic agent</w:t>
            </w:r>
          </w:p>
        </w:tc>
        <w:tc>
          <w:tcPr>
            <w:tcW w:w="958" w:type="dxa"/>
          </w:tcPr>
          <w:p>
            <w:pPr>
              <w:pStyle w:val="TableParagraph"/>
              <w:spacing w:before="159"/>
              <w:ind w:left="25"/>
              <w:rPr>
                <w:sz w:val="18"/>
              </w:rPr>
            </w:pPr>
            <w:r>
              <w:rPr>
                <w:sz w:val="18"/>
              </w:rPr>
              <w:t>$62.50</w:t>
            </w:r>
          </w:p>
        </w:tc>
        <w:tc>
          <w:tcPr>
            <w:tcW w:w="1075" w:type="dxa"/>
          </w:tcPr>
          <w:p>
            <w:pPr>
              <w:pStyle w:val="TableParagraph"/>
              <w:spacing w:before="159"/>
              <w:ind w:left="25"/>
              <w:rPr>
                <w:sz w:val="18"/>
              </w:rPr>
            </w:pPr>
            <w:r>
              <w:rPr>
                <w:sz w:val="18"/>
              </w:rPr>
              <w:t>435</w:t>
            </w:r>
          </w:p>
        </w:tc>
        <w:tc>
          <w:tcPr>
            <w:tcW w:w="1058" w:type="dxa"/>
          </w:tcPr>
          <w:p>
            <w:pPr>
              <w:pStyle w:val="TableParagraph"/>
              <w:spacing w:before="159"/>
              <w:ind w:left="25"/>
              <w:rPr>
                <w:sz w:val="18"/>
              </w:rPr>
            </w:pPr>
            <w:r>
              <w:rPr>
                <w:sz w:val="18"/>
              </w:rPr>
              <w:t>$21,925</w:t>
            </w:r>
          </w:p>
        </w:tc>
        <w:tc>
          <w:tcPr>
            <w:tcW w:w="1107" w:type="dxa"/>
          </w:tcPr>
          <w:p>
            <w:pPr>
              <w:pStyle w:val="TableParagraph"/>
              <w:spacing w:before="159"/>
              <w:ind w:left="28"/>
              <w:rPr>
                <w:sz w:val="18"/>
              </w:rPr>
            </w:pPr>
            <w:r>
              <w:rPr>
                <w:sz w:val="18"/>
              </w:rPr>
              <w:t>-1.7</w:t>
            </w:r>
          </w:p>
        </w:tc>
      </w:tr>
      <w:tr>
        <w:trPr>
          <w:trHeight w:val="793" w:hRule="atLeast"/>
        </w:trPr>
        <w:tc>
          <w:tcPr>
            <w:tcW w:w="689" w:type="dxa"/>
          </w:tcPr>
          <w:p>
            <w:pPr>
              <w:pStyle w:val="TableParagraph"/>
              <w:spacing w:before="3"/>
              <w:rPr>
                <w:b/>
                <w:sz w:val="13"/>
              </w:rPr>
            </w:pPr>
          </w:p>
          <w:p>
            <w:pPr>
              <w:pStyle w:val="TableParagraph"/>
              <w:ind w:left="26"/>
              <w:rPr>
                <w:sz w:val="18"/>
              </w:rPr>
            </w:pPr>
            <w:r>
              <w:rPr>
                <w:sz w:val="18"/>
              </w:rPr>
              <w:t>18260</w:t>
            </w:r>
          </w:p>
        </w:tc>
        <w:tc>
          <w:tcPr>
            <w:tcW w:w="3517" w:type="dxa"/>
          </w:tcPr>
          <w:p>
            <w:pPr>
              <w:pStyle w:val="TableParagraph"/>
              <w:spacing w:line="312" w:lineRule="auto" w:before="159"/>
              <w:ind w:left="25" w:right="178"/>
              <w:rPr>
                <w:sz w:val="18"/>
              </w:rPr>
            </w:pPr>
            <w:r>
              <w:rPr>
                <w:sz w:val="18"/>
              </w:rPr>
              <w:t>INTERCOSTAL NERVES (multiple), injection of an anaesthetic agent</w:t>
            </w:r>
          </w:p>
        </w:tc>
        <w:tc>
          <w:tcPr>
            <w:tcW w:w="958" w:type="dxa"/>
          </w:tcPr>
          <w:p>
            <w:pPr>
              <w:pStyle w:val="TableParagraph"/>
              <w:spacing w:before="3"/>
              <w:rPr>
                <w:b/>
                <w:sz w:val="13"/>
              </w:rPr>
            </w:pPr>
          </w:p>
          <w:p>
            <w:pPr>
              <w:pStyle w:val="TableParagraph"/>
              <w:ind w:left="25"/>
              <w:rPr>
                <w:sz w:val="18"/>
              </w:rPr>
            </w:pPr>
            <w:r>
              <w:rPr>
                <w:sz w:val="18"/>
              </w:rPr>
              <w:t>$88.65</w:t>
            </w:r>
          </w:p>
        </w:tc>
        <w:tc>
          <w:tcPr>
            <w:tcW w:w="1075" w:type="dxa"/>
          </w:tcPr>
          <w:p>
            <w:pPr>
              <w:pStyle w:val="TableParagraph"/>
              <w:spacing w:before="3"/>
              <w:rPr>
                <w:b/>
                <w:sz w:val="13"/>
              </w:rPr>
            </w:pPr>
          </w:p>
          <w:p>
            <w:pPr>
              <w:pStyle w:val="TableParagraph"/>
              <w:ind w:left="25"/>
              <w:rPr>
                <w:sz w:val="18"/>
              </w:rPr>
            </w:pPr>
            <w:r>
              <w:rPr>
                <w:sz w:val="18"/>
              </w:rPr>
              <w:t>4,719</w:t>
            </w:r>
          </w:p>
        </w:tc>
        <w:tc>
          <w:tcPr>
            <w:tcW w:w="1058" w:type="dxa"/>
          </w:tcPr>
          <w:p>
            <w:pPr>
              <w:pStyle w:val="TableParagraph"/>
              <w:spacing w:before="3"/>
              <w:rPr>
                <w:b/>
                <w:sz w:val="13"/>
              </w:rPr>
            </w:pPr>
          </w:p>
          <w:p>
            <w:pPr>
              <w:pStyle w:val="TableParagraph"/>
              <w:ind w:left="25"/>
              <w:rPr>
                <w:sz w:val="18"/>
              </w:rPr>
            </w:pPr>
            <w:r>
              <w:rPr>
                <w:sz w:val="18"/>
              </w:rPr>
              <w:t>$320,622</w:t>
            </w:r>
          </w:p>
        </w:tc>
        <w:tc>
          <w:tcPr>
            <w:tcW w:w="1107" w:type="dxa"/>
          </w:tcPr>
          <w:p>
            <w:pPr>
              <w:pStyle w:val="TableParagraph"/>
              <w:spacing w:before="3"/>
              <w:rPr>
                <w:b/>
                <w:sz w:val="13"/>
              </w:rPr>
            </w:pPr>
          </w:p>
          <w:p>
            <w:pPr>
              <w:pStyle w:val="TableParagraph"/>
              <w:ind w:left="28"/>
              <w:rPr>
                <w:sz w:val="18"/>
              </w:rPr>
            </w:pPr>
            <w:r>
              <w:rPr>
                <w:sz w:val="18"/>
              </w:rPr>
              <w:t>16.4</w:t>
            </w:r>
          </w:p>
        </w:tc>
      </w:tr>
      <w:tr>
        <w:trPr>
          <w:trHeight w:val="794" w:hRule="atLeast"/>
        </w:trPr>
        <w:tc>
          <w:tcPr>
            <w:tcW w:w="689" w:type="dxa"/>
          </w:tcPr>
          <w:p>
            <w:pPr>
              <w:pStyle w:val="TableParagraph"/>
              <w:spacing w:before="3"/>
              <w:rPr>
                <w:b/>
                <w:sz w:val="13"/>
              </w:rPr>
            </w:pPr>
          </w:p>
          <w:p>
            <w:pPr>
              <w:pStyle w:val="TableParagraph"/>
              <w:ind w:left="26"/>
              <w:rPr>
                <w:sz w:val="18"/>
              </w:rPr>
            </w:pPr>
            <w:r>
              <w:rPr>
                <w:sz w:val="18"/>
              </w:rPr>
              <w:t>18268</w:t>
            </w:r>
          </w:p>
        </w:tc>
        <w:tc>
          <w:tcPr>
            <w:tcW w:w="3517" w:type="dxa"/>
          </w:tcPr>
          <w:p>
            <w:pPr>
              <w:pStyle w:val="TableParagraph"/>
              <w:spacing w:line="312" w:lineRule="auto" w:before="159"/>
              <w:ind w:left="25" w:right="869"/>
              <w:rPr>
                <w:sz w:val="18"/>
              </w:rPr>
            </w:pPr>
            <w:r>
              <w:rPr>
                <w:sz w:val="18"/>
              </w:rPr>
              <w:t>OBTURATOR NERVE, injection of an anaesthetic agent</w:t>
            </w:r>
          </w:p>
        </w:tc>
        <w:tc>
          <w:tcPr>
            <w:tcW w:w="958" w:type="dxa"/>
          </w:tcPr>
          <w:p>
            <w:pPr>
              <w:pStyle w:val="TableParagraph"/>
              <w:spacing w:before="3"/>
              <w:rPr>
                <w:b/>
                <w:sz w:val="13"/>
              </w:rPr>
            </w:pPr>
          </w:p>
          <w:p>
            <w:pPr>
              <w:pStyle w:val="TableParagraph"/>
              <w:ind w:left="25"/>
              <w:rPr>
                <w:sz w:val="18"/>
              </w:rPr>
            </w:pPr>
            <w:r>
              <w:rPr>
                <w:sz w:val="18"/>
              </w:rPr>
              <w:t>$88.65</w:t>
            </w:r>
          </w:p>
        </w:tc>
        <w:tc>
          <w:tcPr>
            <w:tcW w:w="1075" w:type="dxa"/>
          </w:tcPr>
          <w:p>
            <w:pPr>
              <w:pStyle w:val="TableParagraph"/>
              <w:spacing w:before="3"/>
              <w:rPr>
                <w:b/>
                <w:sz w:val="13"/>
              </w:rPr>
            </w:pPr>
          </w:p>
          <w:p>
            <w:pPr>
              <w:pStyle w:val="TableParagraph"/>
              <w:ind w:left="25"/>
              <w:rPr>
                <w:sz w:val="18"/>
              </w:rPr>
            </w:pPr>
            <w:r>
              <w:rPr>
                <w:sz w:val="18"/>
              </w:rPr>
              <w:t>119</w:t>
            </w:r>
          </w:p>
        </w:tc>
        <w:tc>
          <w:tcPr>
            <w:tcW w:w="1058" w:type="dxa"/>
          </w:tcPr>
          <w:p>
            <w:pPr>
              <w:pStyle w:val="TableParagraph"/>
              <w:spacing w:before="3"/>
              <w:rPr>
                <w:b/>
                <w:sz w:val="13"/>
              </w:rPr>
            </w:pPr>
          </w:p>
          <w:p>
            <w:pPr>
              <w:pStyle w:val="TableParagraph"/>
              <w:ind w:left="25"/>
              <w:rPr>
                <w:sz w:val="18"/>
              </w:rPr>
            </w:pPr>
            <w:r>
              <w:rPr>
                <w:sz w:val="18"/>
              </w:rPr>
              <w:t>$8,604</w:t>
            </w:r>
          </w:p>
        </w:tc>
        <w:tc>
          <w:tcPr>
            <w:tcW w:w="1107" w:type="dxa"/>
          </w:tcPr>
          <w:p>
            <w:pPr>
              <w:pStyle w:val="TableParagraph"/>
              <w:spacing w:before="3"/>
              <w:rPr>
                <w:b/>
                <w:sz w:val="13"/>
              </w:rPr>
            </w:pPr>
          </w:p>
          <w:p>
            <w:pPr>
              <w:pStyle w:val="TableParagraph"/>
              <w:ind w:left="28"/>
              <w:rPr>
                <w:sz w:val="18"/>
              </w:rPr>
            </w:pPr>
            <w:r>
              <w:rPr>
                <w:sz w:val="18"/>
              </w:rPr>
              <w:t>22.6</w:t>
            </w:r>
          </w:p>
        </w:tc>
      </w:tr>
      <w:tr>
        <w:trPr>
          <w:trHeight w:val="1365" w:hRule="atLeast"/>
        </w:trPr>
        <w:tc>
          <w:tcPr>
            <w:tcW w:w="689" w:type="dxa"/>
          </w:tcPr>
          <w:p>
            <w:pPr>
              <w:pStyle w:val="TableParagraph"/>
              <w:spacing w:before="3"/>
              <w:rPr>
                <w:b/>
                <w:sz w:val="13"/>
              </w:rPr>
            </w:pPr>
          </w:p>
          <w:p>
            <w:pPr>
              <w:pStyle w:val="TableParagraph"/>
              <w:ind w:left="26"/>
              <w:rPr>
                <w:sz w:val="18"/>
              </w:rPr>
            </w:pPr>
            <w:r>
              <w:rPr>
                <w:sz w:val="18"/>
              </w:rPr>
              <w:t>18274</w:t>
            </w:r>
          </w:p>
        </w:tc>
        <w:tc>
          <w:tcPr>
            <w:tcW w:w="3517" w:type="dxa"/>
          </w:tcPr>
          <w:p>
            <w:pPr>
              <w:pStyle w:val="TableParagraph"/>
              <w:spacing w:line="312" w:lineRule="auto" w:before="159"/>
              <w:ind w:left="25" w:right="336"/>
              <w:rPr>
                <w:sz w:val="18"/>
              </w:rPr>
            </w:pPr>
            <w:r>
              <w:rPr>
                <w:sz w:val="18"/>
              </w:rPr>
              <w:t>PARAVERTEBRAL, CERVICAL, THORACIC, LUMBAR, SACRAL OR COCCYGEAL NERVES,</w:t>
            </w:r>
          </w:p>
          <w:p>
            <w:pPr>
              <w:pStyle w:val="TableParagraph"/>
              <w:spacing w:line="312" w:lineRule="auto"/>
              <w:ind w:left="25" w:right="12"/>
              <w:rPr>
                <w:sz w:val="18"/>
              </w:rPr>
            </w:pPr>
            <w:r>
              <w:rPr>
                <w:sz w:val="18"/>
              </w:rPr>
              <w:t>injection of an anaesthetic agent, (single vertebral level)</w:t>
            </w:r>
          </w:p>
        </w:tc>
        <w:tc>
          <w:tcPr>
            <w:tcW w:w="958" w:type="dxa"/>
          </w:tcPr>
          <w:p>
            <w:pPr>
              <w:pStyle w:val="TableParagraph"/>
              <w:spacing w:before="3"/>
              <w:rPr>
                <w:b/>
                <w:sz w:val="13"/>
              </w:rPr>
            </w:pPr>
          </w:p>
          <w:p>
            <w:pPr>
              <w:pStyle w:val="TableParagraph"/>
              <w:ind w:left="25"/>
              <w:rPr>
                <w:sz w:val="18"/>
              </w:rPr>
            </w:pPr>
            <w:r>
              <w:rPr>
                <w:sz w:val="18"/>
              </w:rPr>
              <w:t>$88.65</w:t>
            </w:r>
          </w:p>
        </w:tc>
        <w:tc>
          <w:tcPr>
            <w:tcW w:w="1075" w:type="dxa"/>
          </w:tcPr>
          <w:p>
            <w:pPr>
              <w:pStyle w:val="TableParagraph"/>
              <w:spacing w:before="3"/>
              <w:rPr>
                <w:b/>
                <w:sz w:val="13"/>
              </w:rPr>
            </w:pPr>
          </w:p>
          <w:p>
            <w:pPr>
              <w:pStyle w:val="TableParagraph"/>
              <w:ind w:left="25"/>
              <w:rPr>
                <w:sz w:val="18"/>
              </w:rPr>
            </w:pPr>
            <w:r>
              <w:rPr>
                <w:sz w:val="18"/>
              </w:rPr>
              <w:t>63,985</w:t>
            </w:r>
          </w:p>
        </w:tc>
        <w:tc>
          <w:tcPr>
            <w:tcW w:w="1058" w:type="dxa"/>
          </w:tcPr>
          <w:p>
            <w:pPr>
              <w:pStyle w:val="TableParagraph"/>
              <w:spacing w:before="3"/>
              <w:rPr>
                <w:b/>
                <w:sz w:val="13"/>
              </w:rPr>
            </w:pPr>
          </w:p>
          <w:p>
            <w:pPr>
              <w:pStyle w:val="TableParagraph"/>
              <w:ind w:left="25"/>
              <w:rPr>
                <w:sz w:val="18"/>
              </w:rPr>
            </w:pPr>
            <w:r>
              <w:rPr>
                <w:sz w:val="18"/>
              </w:rPr>
              <w:t>$4,816,805</w:t>
            </w:r>
          </w:p>
        </w:tc>
        <w:tc>
          <w:tcPr>
            <w:tcW w:w="1107" w:type="dxa"/>
          </w:tcPr>
          <w:p>
            <w:pPr>
              <w:pStyle w:val="TableParagraph"/>
              <w:spacing w:before="3"/>
              <w:rPr>
                <w:b/>
                <w:sz w:val="13"/>
              </w:rPr>
            </w:pPr>
          </w:p>
          <w:p>
            <w:pPr>
              <w:pStyle w:val="TableParagraph"/>
              <w:ind w:left="28"/>
              <w:rPr>
                <w:sz w:val="18"/>
              </w:rPr>
            </w:pPr>
            <w:r>
              <w:rPr>
                <w:sz w:val="18"/>
              </w:rPr>
              <w:t>13.6</w:t>
            </w:r>
          </w:p>
        </w:tc>
      </w:tr>
      <w:tr>
        <w:trPr>
          <w:trHeight w:val="1079" w:hRule="atLeast"/>
        </w:trPr>
        <w:tc>
          <w:tcPr>
            <w:tcW w:w="689" w:type="dxa"/>
          </w:tcPr>
          <w:p>
            <w:pPr>
              <w:pStyle w:val="TableParagraph"/>
              <w:spacing w:before="3"/>
              <w:rPr>
                <w:b/>
                <w:sz w:val="13"/>
              </w:rPr>
            </w:pPr>
          </w:p>
          <w:p>
            <w:pPr>
              <w:pStyle w:val="TableParagraph"/>
              <w:ind w:left="26"/>
              <w:rPr>
                <w:sz w:val="18"/>
              </w:rPr>
            </w:pPr>
            <w:r>
              <w:rPr>
                <w:sz w:val="18"/>
              </w:rPr>
              <w:t>18282</w:t>
            </w:r>
          </w:p>
        </w:tc>
        <w:tc>
          <w:tcPr>
            <w:tcW w:w="3517" w:type="dxa"/>
          </w:tcPr>
          <w:p>
            <w:pPr>
              <w:pStyle w:val="TableParagraph"/>
              <w:spacing w:line="312" w:lineRule="auto" w:before="159"/>
              <w:ind w:left="25" w:right="12"/>
              <w:rPr>
                <w:sz w:val="18"/>
              </w:rPr>
            </w:pPr>
            <w:r>
              <w:rPr>
                <w:sz w:val="18"/>
              </w:rPr>
              <w:t>CAROTID SINUS, injection of an anaesthetic agent, as an independent percutaneous procedure</w:t>
            </w:r>
          </w:p>
        </w:tc>
        <w:tc>
          <w:tcPr>
            <w:tcW w:w="958" w:type="dxa"/>
          </w:tcPr>
          <w:p>
            <w:pPr>
              <w:pStyle w:val="TableParagraph"/>
              <w:spacing w:before="3"/>
              <w:rPr>
                <w:b/>
                <w:sz w:val="13"/>
              </w:rPr>
            </w:pPr>
          </w:p>
          <w:p>
            <w:pPr>
              <w:pStyle w:val="TableParagraph"/>
              <w:ind w:left="25"/>
              <w:rPr>
                <w:sz w:val="18"/>
              </w:rPr>
            </w:pPr>
            <w:r>
              <w:rPr>
                <w:sz w:val="18"/>
              </w:rPr>
              <w:t>$100.80</w:t>
            </w:r>
          </w:p>
        </w:tc>
        <w:tc>
          <w:tcPr>
            <w:tcW w:w="1075" w:type="dxa"/>
          </w:tcPr>
          <w:p>
            <w:pPr>
              <w:pStyle w:val="TableParagraph"/>
              <w:spacing w:before="3"/>
              <w:rPr>
                <w:b/>
                <w:sz w:val="13"/>
              </w:rPr>
            </w:pPr>
          </w:p>
          <w:p>
            <w:pPr>
              <w:pStyle w:val="TableParagraph"/>
              <w:ind w:left="25"/>
              <w:rPr>
                <w:sz w:val="18"/>
              </w:rPr>
            </w:pPr>
            <w:r>
              <w:rPr>
                <w:sz w:val="18"/>
              </w:rPr>
              <w:t>28</w:t>
            </w:r>
          </w:p>
        </w:tc>
        <w:tc>
          <w:tcPr>
            <w:tcW w:w="1058" w:type="dxa"/>
          </w:tcPr>
          <w:p>
            <w:pPr>
              <w:pStyle w:val="TableParagraph"/>
              <w:spacing w:before="3"/>
              <w:rPr>
                <w:b/>
                <w:sz w:val="13"/>
              </w:rPr>
            </w:pPr>
          </w:p>
          <w:p>
            <w:pPr>
              <w:pStyle w:val="TableParagraph"/>
              <w:ind w:left="25"/>
              <w:rPr>
                <w:sz w:val="18"/>
              </w:rPr>
            </w:pPr>
            <w:r>
              <w:rPr>
                <w:sz w:val="18"/>
              </w:rPr>
              <w:t>$2,139</w:t>
            </w:r>
          </w:p>
        </w:tc>
        <w:tc>
          <w:tcPr>
            <w:tcW w:w="1107" w:type="dxa"/>
          </w:tcPr>
          <w:p>
            <w:pPr>
              <w:pStyle w:val="TableParagraph"/>
              <w:spacing w:before="3"/>
              <w:rPr>
                <w:b/>
                <w:sz w:val="13"/>
              </w:rPr>
            </w:pPr>
          </w:p>
          <w:p>
            <w:pPr>
              <w:pStyle w:val="TableParagraph"/>
              <w:ind w:left="28"/>
              <w:rPr>
                <w:sz w:val="18"/>
              </w:rPr>
            </w:pPr>
            <w:r>
              <w:rPr>
                <w:sz w:val="18"/>
              </w:rPr>
              <w:t>25.5</w:t>
            </w:r>
          </w:p>
        </w:tc>
      </w:tr>
      <w:tr>
        <w:trPr>
          <w:trHeight w:val="1080" w:hRule="atLeast"/>
        </w:trPr>
        <w:tc>
          <w:tcPr>
            <w:tcW w:w="689" w:type="dxa"/>
          </w:tcPr>
          <w:p>
            <w:pPr>
              <w:pStyle w:val="TableParagraph"/>
              <w:spacing w:before="3"/>
              <w:rPr>
                <w:b/>
                <w:sz w:val="13"/>
              </w:rPr>
            </w:pPr>
          </w:p>
          <w:p>
            <w:pPr>
              <w:pStyle w:val="TableParagraph"/>
              <w:ind w:left="26"/>
              <w:rPr>
                <w:sz w:val="18"/>
              </w:rPr>
            </w:pPr>
            <w:r>
              <w:rPr>
                <w:sz w:val="18"/>
              </w:rPr>
              <w:t>18284</w:t>
            </w:r>
          </w:p>
        </w:tc>
        <w:tc>
          <w:tcPr>
            <w:tcW w:w="3517" w:type="dxa"/>
          </w:tcPr>
          <w:p>
            <w:pPr>
              <w:pStyle w:val="TableParagraph"/>
              <w:spacing w:line="312" w:lineRule="auto" w:before="159"/>
              <w:ind w:left="25" w:right="38"/>
              <w:rPr>
                <w:sz w:val="18"/>
              </w:rPr>
            </w:pPr>
            <w:r>
              <w:rPr>
                <w:sz w:val="18"/>
              </w:rPr>
              <w:t>STELLATE GANGLION, injection of an anaesthetic agent, (cervical sympathetic block) (Anaes.)</w:t>
            </w:r>
          </w:p>
        </w:tc>
        <w:tc>
          <w:tcPr>
            <w:tcW w:w="958" w:type="dxa"/>
          </w:tcPr>
          <w:p>
            <w:pPr>
              <w:pStyle w:val="TableParagraph"/>
              <w:spacing w:before="3"/>
              <w:rPr>
                <w:b/>
                <w:sz w:val="13"/>
              </w:rPr>
            </w:pPr>
          </w:p>
          <w:p>
            <w:pPr>
              <w:pStyle w:val="TableParagraph"/>
              <w:ind w:left="25"/>
              <w:rPr>
                <w:sz w:val="18"/>
              </w:rPr>
            </w:pPr>
            <w:r>
              <w:rPr>
                <w:sz w:val="18"/>
              </w:rPr>
              <w:t>$147.65</w:t>
            </w:r>
          </w:p>
        </w:tc>
        <w:tc>
          <w:tcPr>
            <w:tcW w:w="1075" w:type="dxa"/>
          </w:tcPr>
          <w:p>
            <w:pPr>
              <w:pStyle w:val="TableParagraph"/>
              <w:spacing w:before="3"/>
              <w:rPr>
                <w:b/>
                <w:sz w:val="13"/>
              </w:rPr>
            </w:pPr>
          </w:p>
          <w:p>
            <w:pPr>
              <w:pStyle w:val="TableParagraph"/>
              <w:ind w:left="25"/>
              <w:rPr>
                <w:sz w:val="18"/>
              </w:rPr>
            </w:pPr>
            <w:r>
              <w:rPr>
                <w:sz w:val="18"/>
              </w:rPr>
              <w:t>122</w:t>
            </w:r>
          </w:p>
        </w:tc>
        <w:tc>
          <w:tcPr>
            <w:tcW w:w="1058" w:type="dxa"/>
          </w:tcPr>
          <w:p>
            <w:pPr>
              <w:pStyle w:val="TableParagraph"/>
              <w:spacing w:before="3"/>
              <w:rPr>
                <w:b/>
                <w:sz w:val="13"/>
              </w:rPr>
            </w:pPr>
          </w:p>
          <w:p>
            <w:pPr>
              <w:pStyle w:val="TableParagraph"/>
              <w:ind w:left="25"/>
              <w:rPr>
                <w:sz w:val="18"/>
              </w:rPr>
            </w:pPr>
            <w:r>
              <w:rPr>
                <w:sz w:val="18"/>
              </w:rPr>
              <w:t>$13,750</w:t>
            </w:r>
          </w:p>
        </w:tc>
        <w:tc>
          <w:tcPr>
            <w:tcW w:w="1107" w:type="dxa"/>
          </w:tcPr>
          <w:p>
            <w:pPr>
              <w:pStyle w:val="TableParagraph"/>
              <w:spacing w:before="3"/>
              <w:rPr>
                <w:b/>
                <w:sz w:val="13"/>
              </w:rPr>
            </w:pPr>
          </w:p>
          <w:p>
            <w:pPr>
              <w:pStyle w:val="TableParagraph"/>
              <w:ind w:left="28"/>
              <w:rPr>
                <w:sz w:val="18"/>
              </w:rPr>
            </w:pPr>
            <w:r>
              <w:rPr>
                <w:sz w:val="18"/>
              </w:rPr>
              <w:t>-1.1</w:t>
            </w:r>
          </w:p>
        </w:tc>
      </w:tr>
      <w:tr>
        <w:trPr>
          <w:trHeight w:val="1082" w:hRule="atLeast"/>
        </w:trPr>
        <w:tc>
          <w:tcPr>
            <w:tcW w:w="689" w:type="dxa"/>
          </w:tcPr>
          <w:p>
            <w:pPr>
              <w:pStyle w:val="TableParagraph"/>
              <w:spacing w:before="3"/>
              <w:rPr>
                <w:b/>
                <w:sz w:val="13"/>
              </w:rPr>
            </w:pPr>
          </w:p>
          <w:p>
            <w:pPr>
              <w:pStyle w:val="TableParagraph"/>
              <w:ind w:left="26"/>
              <w:rPr>
                <w:sz w:val="18"/>
              </w:rPr>
            </w:pPr>
            <w:r>
              <w:rPr>
                <w:sz w:val="18"/>
              </w:rPr>
              <w:t>18286</w:t>
            </w:r>
          </w:p>
        </w:tc>
        <w:tc>
          <w:tcPr>
            <w:tcW w:w="3517" w:type="dxa"/>
          </w:tcPr>
          <w:p>
            <w:pPr>
              <w:pStyle w:val="TableParagraph"/>
              <w:spacing w:line="312" w:lineRule="auto" w:before="159"/>
              <w:ind w:left="25" w:right="12"/>
              <w:rPr>
                <w:sz w:val="18"/>
              </w:rPr>
            </w:pPr>
            <w:r>
              <w:rPr>
                <w:sz w:val="18"/>
              </w:rPr>
              <w:t>LUMBAR OR THORACIC NERVES, injection of an anaesthetic agent, (paravertebral sympathetic block) (Anaes.)</w:t>
            </w:r>
          </w:p>
        </w:tc>
        <w:tc>
          <w:tcPr>
            <w:tcW w:w="958" w:type="dxa"/>
          </w:tcPr>
          <w:p>
            <w:pPr>
              <w:pStyle w:val="TableParagraph"/>
              <w:spacing w:before="3"/>
              <w:rPr>
                <w:b/>
                <w:sz w:val="13"/>
              </w:rPr>
            </w:pPr>
          </w:p>
          <w:p>
            <w:pPr>
              <w:pStyle w:val="TableParagraph"/>
              <w:ind w:left="25"/>
              <w:rPr>
                <w:sz w:val="18"/>
              </w:rPr>
            </w:pPr>
            <w:r>
              <w:rPr>
                <w:sz w:val="18"/>
              </w:rPr>
              <w:t>$147.65</w:t>
            </w:r>
          </w:p>
        </w:tc>
        <w:tc>
          <w:tcPr>
            <w:tcW w:w="1075" w:type="dxa"/>
          </w:tcPr>
          <w:p>
            <w:pPr>
              <w:pStyle w:val="TableParagraph"/>
              <w:spacing w:before="3"/>
              <w:rPr>
                <w:b/>
                <w:sz w:val="13"/>
              </w:rPr>
            </w:pPr>
          </w:p>
          <w:p>
            <w:pPr>
              <w:pStyle w:val="TableParagraph"/>
              <w:ind w:left="25"/>
              <w:rPr>
                <w:sz w:val="18"/>
              </w:rPr>
            </w:pPr>
            <w:r>
              <w:rPr>
                <w:sz w:val="18"/>
              </w:rPr>
              <w:t>2,289</w:t>
            </w:r>
          </w:p>
        </w:tc>
        <w:tc>
          <w:tcPr>
            <w:tcW w:w="1058" w:type="dxa"/>
          </w:tcPr>
          <w:p>
            <w:pPr>
              <w:pStyle w:val="TableParagraph"/>
              <w:spacing w:before="3"/>
              <w:rPr>
                <w:b/>
                <w:sz w:val="13"/>
              </w:rPr>
            </w:pPr>
          </w:p>
          <w:p>
            <w:pPr>
              <w:pStyle w:val="TableParagraph"/>
              <w:ind w:left="25"/>
              <w:rPr>
                <w:sz w:val="18"/>
              </w:rPr>
            </w:pPr>
            <w:r>
              <w:rPr>
                <w:sz w:val="18"/>
              </w:rPr>
              <w:t>$353,964</w:t>
            </w:r>
          </w:p>
        </w:tc>
        <w:tc>
          <w:tcPr>
            <w:tcW w:w="1107" w:type="dxa"/>
          </w:tcPr>
          <w:p>
            <w:pPr>
              <w:pStyle w:val="TableParagraph"/>
              <w:spacing w:before="3"/>
              <w:rPr>
                <w:b/>
                <w:sz w:val="13"/>
              </w:rPr>
            </w:pPr>
          </w:p>
          <w:p>
            <w:pPr>
              <w:pStyle w:val="TableParagraph"/>
              <w:ind w:left="28"/>
              <w:rPr>
                <w:sz w:val="18"/>
              </w:rPr>
            </w:pPr>
            <w:r>
              <w:rPr>
                <w:sz w:val="18"/>
              </w:rPr>
              <w:t>3.1</w:t>
            </w:r>
          </w:p>
        </w:tc>
      </w:tr>
      <w:tr>
        <w:trPr>
          <w:trHeight w:val="755" w:hRule="atLeast"/>
        </w:trPr>
        <w:tc>
          <w:tcPr>
            <w:tcW w:w="689" w:type="dxa"/>
          </w:tcPr>
          <w:p>
            <w:pPr>
              <w:pStyle w:val="TableParagraph"/>
              <w:spacing w:before="159"/>
              <w:ind w:left="26"/>
              <w:rPr>
                <w:sz w:val="18"/>
              </w:rPr>
            </w:pPr>
            <w:r>
              <w:rPr>
                <w:sz w:val="18"/>
              </w:rPr>
              <w:t>18290</w:t>
            </w:r>
          </w:p>
        </w:tc>
        <w:tc>
          <w:tcPr>
            <w:tcW w:w="3517" w:type="dxa"/>
          </w:tcPr>
          <w:p>
            <w:pPr>
              <w:pStyle w:val="TableParagraph"/>
              <w:spacing w:before="157"/>
              <w:ind w:left="25"/>
              <w:rPr>
                <w:sz w:val="18"/>
              </w:rPr>
            </w:pPr>
            <w:r>
              <w:rPr>
                <w:sz w:val="18"/>
              </w:rPr>
              <w:t>CRANIAL NERVE OTHER THAN TRIGEMINAL,</w:t>
            </w:r>
          </w:p>
          <w:p>
            <w:pPr>
              <w:pStyle w:val="TableParagraph"/>
              <w:spacing w:before="68"/>
              <w:ind w:left="25"/>
              <w:rPr>
                <w:sz w:val="18"/>
              </w:rPr>
            </w:pPr>
            <w:r>
              <w:rPr>
                <w:sz w:val="18"/>
              </w:rPr>
              <w:t>destruction by a neurolytic agent, not being a</w:t>
            </w:r>
          </w:p>
        </w:tc>
        <w:tc>
          <w:tcPr>
            <w:tcW w:w="958" w:type="dxa"/>
          </w:tcPr>
          <w:p>
            <w:pPr>
              <w:pStyle w:val="TableParagraph"/>
              <w:spacing w:before="159"/>
              <w:ind w:left="25"/>
              <w:rPr>
                <w:sz w:val="18"/>
              </w:rPr>
            </w:pPr>
            <w:r>
              <w:rPr>
                <w:sz w:val="18"/>
              </w:rPr>
              <w:t>$249.75</w:t>
            </w:r>
          </w:p>
        </w:tc>
        <w:tc>
          <w:tcPr>
            <w:tcW w:w="1075" w:type="dxa"/>
          </w:tcPr>
          <w:p>
            <w:pPr>
              <w:pStyle w:val="TableParagraph"/>
              <w:spacing w:before="159"/>
              <w:ind w:left="25"/>
              <w:rPr>
                <w:sz w:val="18"/>
              </w:rPr>
            </w:pPr>
            <w:r>
              <w:rPr>
                <w:sz w:val="18"/>
              </w:rPr>
              <w:t>6</w:t>
            </w:r>
          </w:p>
        </w:tc>
        <w:tc>
          <w:tcPr>
            <w:tcW w:w="1058" w:type="dxa"/>
          </w:tcPr>
          <w:p>
            <w:pPr>
              <w:pStyle w:val="TableParagraph"/>
              <w:spacing w:before="159"/>
              <w:ind w:left="25"/>
              <w:rPr>
                <w:sz w:val="18"/>
              </w:rPr>
            </w:pPr>
            <w:r>
              <w:rPr>
                <w:sz w:val="18"/>
              </w:rPr>
              <w:t>$1,199</w:t>
            </w:r>
          </w:p>
        </w:tc>
        <w:tc>
          <w:tcPr>
            <w:tcW w:w="1107" w:type="dxa"/>
          </w:tcPr>
          <w:p>
            <w:pPr>
              <w:pStyle w:val="TableParagraph"/>
              <w:spacing w:before="159"/>
              <w:ind w:left="28"/>
              <w:rPr>
                <w:sz w:val="18"/>
              </w:rPr>
            </w:pPr>
            <w:r>
              <w:rPr>
                <w:sz w:val="18"/>
              </w:rPr>
              <w:t>14.9</w:t>
            </w:r>
          </w:p>
        </w:tc>
      </w:tr>
    </w:tbl>
    <w:p>
      <w:pPr>
        <w:spacing w:after="0"/>
        <w:rPr>
          <w:sz w:val="18"/>
        </w:rPr>
        <w:sectPr>
          <w:pgSz w:w="11910" w:h="16840"/>
          <w:pgMar w:header="672" w:footer="734" w:top="1300" w:bottom="920" w:left="440" w:right="140"/>
        </w:sectPr>
      </w:pPr>
    </w:p>
    <w:p>
      <w:pPr>
        <w:pStyle w:val="BodyText"/>
        <w:rPr>
          <w:b/>
          <w:sz w:val="20"/>
        </w:rPr>
      </w:pPr>
    </w:p>
    <w:p>
      <w:pPr>
        <w:pStyle w:val="BodyText"/>
        <w:spacing w:before="2"/>
        <w:rPr>
          <w:b/>
          <w:sz w:val="29"/>
        </w:rPr>
      </w:pPr>
    </w:p>
    <w:tbl>
      <w:tblPr>
        <w:tblW w:w="0" w:type="auto"/>
        <w:jc w:val="left"/>
        <w:tblInd w:w="12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689"/>
        <w:gridCol w:w="3517"/>
        <w:gridCol w:w="958"/>
        <w:gridCol w:w="1075"/>
        <w:gridCol w:w="1058"/>
        <w:gridCol w:w="1107"/>
      </w:tblGrid>
      <w:tr>
        <w:trPr>
          <w:trHeight w:val="1362" w:hRule="atLeast"/>
        </w:trPr>
        <w:tc>
          <w:tcPr>
            <w:tcW w:w="689" w:type="dxa"/>
            <w:tcBorders>
              <w:top w:val="nil"/>
              <w:left w:val="nil"/>
              <w:right w:val="nil"/>
            </w:tcBorders>
            <w:shd w:val="clear" w:color="auto" w:fill="00643E"/>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18"/>
              <w:ind w:left="31"/>
              <w:rPr>
                <w:b/>
                <w:sz w:val="18"/>
              </w:rPr>
            </w:pPr>
            <w:r>
              <w:rPr>
                <w:b/>
                <w:color w:val="FFFFFF"/>
                <w:sz w:val="18"/>
              </w:rPr>
              <w:t>Item</w:t>
            </w:r>
          </w:p>
        </w:tc>
        <w:tc>
          <w:tcPr>
            <w:tcW w:w="3517" w:type="dxa"/>
            <w:tcBorders>
              <w:left w:val="nil"/>
            </w:tcBorders>
            <w:shd w:val="clear" w:color="auto" w:fill="00643E"/>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18"/>
              <w:ind w:left="30"/>
              <w:rPr>
                <w:b/>
                <w:sz w:val="18"/>
              </w:rPr>
            </w:pPr>
            <w:r>
              <w:rPr>
                <w:b/>
                <w:color w:val="FFFFFF"/>
                <w:sz w:val="18"/>
              </w:rPr>
              <w:t>Descriptor</w:t>
            </w:r>
          </w:p>
        </w:tc>
        <w:tc>
          <w:tcPr>
            <w:tcW w:w="958" w:type="dxa"/>
            <w:shd w:val="clear" w:color="auto" w:fill="00643E"/>
          </w:tcPr>
          <w:p>
            <w:pPr>
              <w:pStyle w:val="TableParagraph"/>
              <w:rPr>
                <w:b/>
                <w:sz w:val="18"/>
              </w:rPr>
            </w:pPr>
          </w:p>
          <w:p>
            <w:pPr>
              <w:pStyle w:val="TableParagraph"/>
              <w:rPr>
                <w:b/>
                <w:sz w:val="18"/>
              </w:rPr>
            </w:pPr>
          </w:p>
          <w:p>
            <w:pPr>
              <w:pStyle w:val="TableParagraph"/>
              <w:spacing w:before="3"/>
              <w:rPr>
                <w:b/>
                <w:sz w:val="22"/>
              </w:rPr>
            </w:pPr>
          </w:p>
          <w:p>
            <w:pPr>
              <w:pStyle w:val="TableParagraph"/>
              <w:spacing w:line="309" w:lineRule="auto"/>
              <w:ind w:left="25" w:right="227"/>
              <w:rPr>
                <w:b/>
                <w:sz w:val="18"/>
              </w:rPr>
            </w:pPr>
            <w:r>
              <w:rPr>
                <w:b/>
                <w:color w:val="FFFFFF"/>
                <w:sz w:val="18"/>
              </w:rPr>
              <w:t>Schedule fee</w:t>
            </w:r>
          </w:p>
        </w:tc>
        <w:tc>
          <w:tcPr>
            <w:tcW w:w="1075" w:type="dxa"/>
            <w:shd w:val="clear" w:color="auto" w:fill="00643E"/>
          </w:tcPr>
          <w:p>
            <w:pPr>
              <w:pStyle w:val="TableParagraph"/>
              <w:rPr>
                <w:b/>
                <w:sz w:val="18"/>
              </w:rPr>
            </w:pPr>
          </w:p>
          <w:p>
            <w:pPr>
              <w:pStyle w:val="TableParagraph"/>
              <w:rPr>
                <w:b/>
                <w:sz w:val="18"/>
              </w:rPr>
            </w:pPr>
          </w:p>
          <w:p>
            <w:pPr>
              <w:pStyle w:val="TableParagraph"/>
              <w:spacing w:before="3"/>
              <w:rPr>
                <w:b/>
                <w:sz w:val="22"/>
              </w:rPr>
            </w:pPr>
          </w:p>
          <w:p>
            <w:pPr>
              <w:pStyle w:val="TableParagraph"/>
              <w:spacing w:line="309" w:lineRule="auto"/>
              <w:ind w:left="25" w:right="219"/>
              <w:rPr>
                <w:b/>
                <w:sz w:val="18"/>
              </w:rPr>
            </w:pPr>
            <w:r>
              <w:rPr>
                <w:b/>
                <w:color w:val="FFFFFF"/>
                <w:sz w:val="18"/>
              </w:rPr>
              <w:t>Services FY2016/17</w:t>
            </w:r>
          </w:p>
        </w:tc>
        <w:tc>
          <w:tcPr>
            <w:tcW w:w="1058" w:type="dxa"/>
            <w:shd w:val="clear" w:color="auto" w:fill="00643E"/>
          </w:tcPr>
          <w:p>
            <w:pPr>
              <w:pStyle w:val="TableParagraph"/>
              <w:rPr>
                <w:b/>
                <w:sz w:val="18"/>
              </w:rPr>
            </w:pPr>
          </w:p>
          <w:p>
            <w:pPr>
              <w:pStyle w:val="TableParagraph"/>
              <w:rPr>
                <w:b/>
                <w:sz w:val="18"/>
              </w:rPr>
            </w:pPr>
          </w:p>
          <w:p>
            <w:pPr>
              <w:pStyle w:val="TableParagraph"/>
              <w:spacing w:before="3"/>
              <w:rPr>
                <w:b/>
                <w:sz w:val="22"/>
              </w:rPr>
            </w:pPr>
          </w:p>
          <w:p>
            <w:pPr>
              <w:pStyle w:val="TableParagraph"/>
              <w:spacing w:line="309" w:lineRule="auto"/>
              <w:ind w:left="25" w:right="202"/>
              <w:rPr>
                <w:b/>
                <w:sz w:val="18"/>
              </w:rPr>
            </w:pPr>
            <w:r>
              <w:rPr>
                <w:b/>
                <w:color w:val="FFFFFF"/>
                <w:sz w:val="18"/>
              </w:rPr>
              <w:t>Benefits FY2016/17</w:t>
            </w:r>
          </w:p>
        </w:tc>
        <w:tc>
          <w:tcPr>
            <w:tcW w:w="1107" w:type="dxa"/>
            <w:shd w:val="clear" w:color="auto" w:fill="00643E"/>
          </w:tcPr>
          <w:p>
            <w:pPr>
              <w:pStyle w:val="TableParagraph"/>
              <w:spacing w:line="312" w:lineRule="auto" w:before="85"/>
              <w:ind w:left="28" w:right="161"/>
              <w:rPr>
                <w:b/>
                <w:sz w:val="18"/>
              </w:rPr>
            </w:pPr>
            <w:r>
              <w:rPr>
                <w:b/>
                <w:color w:val="FFFFFF"/>
                <w:sz w:val="18"/>
              </w:rPr>
              <w:t>Services 5- year annual avg. growth</w:t>
            </w:r>
          </w:p>
          <w:p>
            <w:pPr>
              <w:pStyle w:val="TableParagraph"/>
              <w:spacing w:before="53"/>
              <w:ind w:left="28"/>
              <w:rPr>
                <w:b/>
                <w:sz w:val="18"/>
              </w:rPr>
            </w:pPr>
            <w:r>
              <w:rPr>
                <w:b/>
                <w:color w:val="FFFFFF"/>
                <w:sz w:val="18"/>
              </w:rPr>
              <w:t>%</w:t>
            </w:r>
          </w:p>
        </w:tc>
      </w:tr>
      <w:tr>
        <w:trPr>
          <w:trHeight w:val="664" w:hRule="atLeast"/>
        </w:trPr>
        <w:tc>
          <w:tcPr>
            <w:tcW w:w="689" w:type="dxa"/>
          </w:tcPr>
          <w:p>
            <w:pPr>
              <w:pStyle w:val="TableParagraph"/>
              <w:rPr>
                <w:rFonts w:ascii="Times New Roman"/>
                <w:sz w:val="16"/>
              </w:rPr>
            </w:pPr>
          </w:p>
        </w:tc>
        <w:tc>
          <w:tcPr>
            <w:tcW w:w="3517" w:type="dxa"/>
          </w:tcPr>
          <w:p>
            <w:pPr>
              <w:pStyle w:val="TableParagraph"/>
              <w:spacing w:line="312" w:lineRule="auto" w:before="30"/>
              <w:ind w:left="25" w:right="622"/>
              <w:rPr>
                <w:sz w:val="18"/>
              </w:rPr>
            </w:pPr>
            <w:r>
              <w:rPr>
                <w:sz w:val="18"/>
              </w:rPr>
              <w:t>service associated with the injection of botulinum toxin (Anaes.)</w:t>
            </w:r>
          </w:p>
        </w:tc>
        <w:tc>
          <w:tcPr>
            <w:tcW w:w="958" w:type="dxa"/>
          </w:tcPr>
          <w:p>
            <w:pPr>
              <w:pStyle w:val="TableParagraph"/>
              <w:rPr>
                <w:rFonts w:ascii="Times New Roman"/>
                <w:sz w:val="16"/>
              </w:rPr>
            </w:pPr>
          </w:p>
        </w:tc>
        <w:tc>
          <w:tcPr>
            <w:tcW w:w="1075" w:type="dxa"/>
          </w:tcPr>
          <w:p>
            <w:pPr>
              <w:pStyle w:val="TableParagraph"/>
              <w:rPr>
                <w:rFonts w:ascii="Times New Roman"/>
                <w:sz w:val="16"/>
              </w:rPr>
            </w:pPr>
          </w:p>
        </w:tc>
        <w:tc>
          <w:tcPr>
            <w:tcW w:w="1058" w:type="dxa"/>
          </w:tcPr>
          <w:p>
            <w:pPr>
              <w:pStyle w:val="TableParagraph"/>
              <w:rPr>
                <w:rFonts w:ascii="Times New Roman"/>
                <w:sz w:val="16"/>
              </w:rPr>
            </w:pPr>
          </w:p>
        </w:tc>
        <w:tc>
          <w:tcPr>
            <w:tcW w:w="1107" w:type="dxa"/>
          </w:tcPr>
          <w:p>
            <w:pPr>
              <w:pStyle w:val="TableParagraph"/>
              <w:rPr>
                <w:rFonts w:ascii="Times New Roman"/>
                <w:sz w:val="16"/>
              </w:rPr>
            </w:pPr>
          </w:p>
        </w:tc>
      </w:tr>
      <w:tr>
        <w:trPr>
          <w:trHeight w:val="1937" w:hRule="atLeast"/>
        </w:trPr>
        <w:tc>
          <w:tcPr>
            <w:tcW w:w="689" w:type="dxa"/>
          </w:tcPr>
          <w:p>
            <w:pPr>
              <w:pStyle w:val="TableParagraph"/>
              <w:spacing w:before="3"/>
              <w:rPr>
                <w:b/>
                <w:sz w:val="13"/>
              </w:rPr>
            </w:pPr>
          </w:p>
          <w:p>
            <w:pPr>
              <w:pStyle w:val="TableParagraph"/>
              <w:ind w:left="26"/>
              <w:rPr>
                <w:sz w:val="18"/>
              </w:rPr>
            </w:pPr>
            <w:r>
              <w:rPr>
                <w:sz w:val="18"/>
              </w:rPr>
              <w:t>18292</w:t>
            </w:r>
          </w:p>
        </w:tc>
        <w:tc>
          <w:tcPr>
            <w:tcW w:w="3517" w:type="dxa"/>
          </w:tcPr>
          <w:p>
            <w:pPr>
              <w:pStyle w:val="TableParagraph"/>
              <w:spacing w:line="312" w:lineRule="auto" w:before="159"/>
              <w:ind w:left="25" w:right="169"/>
              <w:rPr>
                <w:sz w:val="18"/>
              </w:rPr>
            </w:pPr>
            <w:r>
              <w:rPr>
                <w:sz w:val="18"/>
              </w:rPr>
              <w:t>NERVE BRANCH, destruction by a neurolytic agent, not being a service to which any other item in this Group applies or a service associated with the injection of botulinum toxin except those services to which item 18354 applies (Anaes.)</w:t>
            </w:r>
          </w:p>
        </w:tc>
        <w:tc>
          <w:tcPr>
            <w:tcW w:w="958" w:type="dxa"/>
          </w:tcPr>
          <w:p>
            <w:pPr>
              <w:pStyle w:val="TableParagraph"/>
              <w:spacing w:before="3"/>
              <w:rPr>
                <w:b/>
                <w:sz w:val="13"/>
              </w:rPr>
            </w:pPr>
          </w:p>
          <w:p>
            <w:pPr>
              <w:pStyle w:val="TableParagraph"/>
              <w:ind w:left="25"/>
              <w:rPr>
                <w:sz w:val="18"/>
              </w:rPr>
            </w:pPr>
            <w:r>
              <w:rPr>
                <w:sz w:val="18"/>
              </w:rPr>
              <w:t>$124.85</w:t>
            </w:r>
          </w:p>
        </w:tc>
        <w:tc>
          <w:tcPr>
            <w:tcW w:w="1075" w:type="dxa"/>
          </w:tcPr>
          <w:p>
            <w:pPr>
              <w:pStyle w:val="TableParagraph"/>
              <w:spacing w:before="3"/>
              <w:rPr>
                <w:b/>
                <w:sz w:val="13"/>
              </w:rPr>
            </w:pPr>
          </w:p>
          <w:p>
            <w:pPr>
              <w:pStyle w:val="TableParagraph"/>
              <w:ind w:left="25"/>
              <w:rPr>
                <w:sz w:val="18"/>
              </w:rPr>
            </w:pPr>
            <w:r>
              <w:rPr>
                <w:sz w:val="18"/>
              </w:rPr>
              <w:t>344</w:t>
            </w:r>
          </w:p>
        </w:tc>
        <w:tc>
          <w:tcPr>
            <w:tcW w:w="1058" w:type="dxa"/>
          </w:tcPr>
          <w:p>
            <w:pPr>
              <w:pStyle w:val="TableParagraph"/>
              <w:spacing w:before="3"/>
              <w:rPr>
                <w:b/>
                <w:sz w:val="13"/>
              </w:rPr>
            </w:pPr>
          </w:p>
          <w:p>
            <w:pPr>
              <w:pStyle w:val="TableParagraph"/>
              <w:ind w:left="25"/>
              <w:rPr>
                <w:sz w:val="18"/>
              </w:rPr>
            </w:pPr>
            <w:r>
              <w:rPr>
                <w:sz w:val="18"/>
              </w:rPr>
              <w:t>$35,939</w:t>
            </w:r>
          </w:p>
        </w:tc>
        <w:tc>
          <w:tcPr>
            <w:tcW w:w="1107" w:type="dxa"/>
          </w:tcPr>
          <w:p>
            <w:pPr>
              <w:pStyle w:val="TableParagraph"/>
              <w:spacing w:before="3"/>
              <w:rPr>
                <w:b/>
                <w:sz w:val="13"/>
              </w:rPr>
            </w:pPr>
          </w:p>
          <w:p>
            <w:pPr>
              <w:pStyle w:val="TableParagraph"/>
              <w:ind w:left="28"/>
              <w:rPr>
                <w:sz w:val="18"/>
              </w:rPr>
            </w:pPr>
            <w:r>
              <w:rPr>
                <w:sz w:val="18"/>
              </w:rPr>
              <w:t>14.1</w:t>
            </w:r>
          </w:p>
        </w:tc>
      </w:tr>
      <w:tr>
        <w:trPr>
          <w:trHeight w:val="793" w:hRule="atLeast"/>
        </w:trPr>
        <w:tc>
          <w:tcPr>
            <w:tcW w:w="689" w:type="dxa"/>
          </w:tcPr>
          <w:p>
            <w:pPr>
              <w:pStyle w:val="TableParagraph"/>
              <w:spacing w:before="3"/>
              <w:rPr>
                <w:b/>
                <w:sz w:val="13"/>
              </w:rPr>
            </w:pPr>
          </w:p>
          <w:p>
            <w:pPr>
              <w:pStyle w:val="TableParagraph"/>
              <w:ind w:left="26"/>
              <w:rPr>
                <w:sz w:val="18"/>
              </w:rPr>
            </w:pPr>
            <w:r>
              <w:rPr>
                <w:sz w:val="18"/>
              </w:rPr>
              <w:t>18294</w:t>
            </w:r>
          </w:p>
        </w:tc>
        <w:tc>
          <w:tcPr>
            <w:tcW w:w="3517" w:type="dxa"/>
          </w:tcPr>
          <w:p>
            <w:pPr>
              <w:pStyle w:val="TableParagraph"/>
              <w:spacing w:before="159"/>
              <w:ind w:left="25"/>
              <w:rPr>
                <w:sz w:val="18"/>
              </w:rPr>
            </w:pPr>
            <w:r>
              <w:rPr>
                <w:sz w:val="18"/>
              </w:rPr>
              <w:t>COELIAC PLEXUS OR SPLANCHNIC NERVES,</w:t>
            </w:r>
          </w:p>
          <w:p>
            <w:pPr>
              <w:pStyle w:val="TableParagraph"/>
              <w:spacing w:before="66"/>
              <w:ind w:left="25"/>
              <w:rPr>
                <w:sz w:val="18"/>
              </w:rPr>
            </w:pPr>
            <w:r>
              <w:rPr>
                <w:sz w:val="18"/>
              </w:rPr>
              <w:t>destruction by a neurolytic agent (Anaes.)</w:t>
            </w:r>
          </w:p>
        </w:tc>
        <w:tc>
          <w:tcPr>
            <w:tcW w:w="958" w:type="dxa"/>
          </w:tcPr>
          <w:p>
            <w:pPr>
              <w:pStyle w:val="TableParagraph"/>
              <w:spacing w:before="3"/>
              <w:rPr>
                <w:b/>
                <w:sz w:val="13"/>
              </w:rPr>
            </w:pPr>
          </w:p>
          <w:p>
            <w:pPr>
              <w:pStyle w:val="TableParagraph"/>
              <w:ind w:left="25"/>
              <w:rPr>
                <w:sz w:val="18"/>
              </w:rPr>
            </w:pPr>
            <w:r>
              <w:rPr>
                <w:sz w:val="18"/>
              </w:rPr>
              <w:t>$176.00</w:t>
            </w:r>
          </w:p>
        </w:tc>
        <w:tc>
          <w:tcPr>
            <w:tcW w:w="1075" w:type="dxa"/>
          </w:tcPr>
          <w:p>
            <w:pPr>
              <w:pStyle w:val="TableParagraph"/>
              <w:spacing w:before="3"/>
              <w:rPr>
                <w:b/>
                <w:sz w:val="13"/>
              </w:rPr>
            </w:pPr>
          </w:p>
          <w:p>
            <w:pPr>
              <w:pStyle w:val="TableParagraph"/>
              <w:ind w:left="25"/>
              <w:rPr>
                <w:sz w:val="18"/>
              </w:rPr>
            </w:pPr>
            <w:r>
              <w:rPr>
                <w:sz w:val="18"/>
              </w:rPr>
              <w:t>74</w:t>
            </w:r>
          </w:p>
        </w:tc>
        <w:tc>
          <w:tcPr>
            <w:tcW w:w="1058" w:type="dxa"/>
          </w:tcPr>
          <w:p>
            <w:pPr>
              <w:pStyle w:val="TableParagraph"/>
              <w:spacing w:before="3"/>
              <w:rPr>
                <w:b/>
                <w:sz w:val="13"/>
              </w:rPr>
            </w:pPr>
          </w:p>
          <w:p>
            <w:pPr>
              <w:pStyle w:val="TableParagraph"/>
              <w:ind w:left="25"/>
              <w:rPr>
                <w:sz w:val="18"/>
              </w:rPr>
            </w:pPr>
            <w:r>
              <w:rPr>
                <w:sz w:val="18"/>
              </w:rPr>
              <w:t>$9,862</w:t>
            </w:r>
          </w:p>
        </w:tc>
        <w:tc>
          <w:tcPr>
            <w:tcW w:w="1107" w:type="dxa"/>
          </w:tcPr>
          <w:p>
            <w:pPr>
              <w:pStyle w:val="TableParagraph"/>
              <w:spacing w:before="3"/>
              <w:rPr>
                <w:b/>
                <w:sz w:val="13"/>
              </w:rPr>
            </w:pPr>
          </w:p>
          <w:p>
            <w:pPr>
              <w:pStyle w:val="TableParagraph"/>
              <w:ind w:left="28"/>
              <w:rPr>
                <w:sz w:val="18"/>
              </w:rPr>
            </w:pPr>
            <w:r>
              <w:rPr>
                <w:sz w:val="18"/>
              </w:rPr>
              <w:t>-0.5</w:t>
            </w:r>
          </w:p>
        </w:tc>
      </w:tr>
      <w:tr>
        <w:trPr>
          <w:trHeight w:val="793" w:hRule="atLeast"/>
        </w:trPr>
        <w:tc>
          <w:tcPr>
            <w:tcW w:w="689" w:type="dxa"/>
          </w:tcPr>
          <w:p>
            <w:pPr>
              <w:pStyle w:val="TableParagraph"/>
              <w:spacing w:before="3"/>
              <w:rPr>
                <w:b/>
                <w:sz w:val="13"/>
              </w:rPr>
            </w:pPr>
          </w:p>
          <w:p>
            <w:pPr>
              <w:pStyle w:val="TableParagraph"/>
              <w:ind w:left="26"/>
              <w:rPr>
                <w:sz w:val="18"/>
              </w:rPr>
            </w:pPr>
            <w:r>
              <w:rPr>
                <w:sz w:val="18"/>
              </w:rPr>
              <w:t>18296</w:t>
            </w:r>
          </w:p>
        </w:tc>
        <w:tc>
          <w:tcPr>
            <w:tcW w:w="3517" w:type="dxa"/>
          </w:tcPr>
          <w:p>
            <w:pPr>
              <w:pStyle w:val="TableParagraph"/>
              <w:spacing w:line="312" w:lineRule="auto" w:before="159"/>
              <w:ind w:left="25" w:right="38"/>
              <w:rPr>
                <w:sz w:val="18"/>
              </w:rPr>
            </w:pPr>
            <w:r>
              <w:rPr>
                <w:sz w:val="18"/>
              </w:rPr>
              <w:t>LUMBAR SYMPATHETIC CHAIN, destruction by a neurolytic agent (Anaes.)</w:t>
            </w:r>
          </w:p>
        </w:tc>
        <w:tc>
          <w:tcPr>
            <w:tcW w:w="958" w:type="dxa"/>
          </w:tcPr>
          <w:p>
            <w:pPr>
              <w:pStyle w:val="TableParagraph"/>
              <w:spacing w:before="3"/>
              <w:rPr>
                <w:b/>
                <w:sz w:val="13"/>
              </w:rPr>
            </w:pPr>
          </w:p>
          <w:p>
            <w:pPr>
              <w:pStyle w:val="TableParagraph"/>
              <w:ind w:left="25"/>
              <w:rPr>
                <w:sz w:val="18"/>
              </w:rPr>
            </w:pPr>
            <w:r>
              <w:rPr>
                <w:sz w:val="18"/>
              </w:rPr>
              <w:t>$150.55</w:t>
            </w:r>
          </w:p>
        </w:tc>
        <w:tc>
          <w:tcPr>
            <w:tcW w:w="1075" w:type="dxa"/>
          </w:tcPr>
          <w:p>
            <w:pPr>
              <w:pStyle w:val="TableParagraph"/>
              <w:spacing w:before="3"/>
              <w:rPr>
                <w:b/>
                <w:sz w:val="13"/>
              </w:rPr>
            </w:pPr>
          </w:p>
          <w:p>
            <w:pPr>
              <w:pStyle w:val="TableParagraph"/>
              <w:ind w:left="25"/>
              <w:rPr>
                <w:sz w:val="18"/>
              </w:rPr>
            </w:pPr>
            <w:r>
              <w:rPr>
                <w:sz w:val="18"/>
              </w:rPr>
              <w:t>122</w:t>
            </w:r>
          </w:p>
        </w:tc>
        <w:tc>
          <w:tcPr>
            <w:tcW w:w="1058" w:type="dxa"/>
          </w:tcPr>
          <w:p>
            <w:pPr>
              <w:pStyle w:val="TableParagraph"/>
              <w:spacing w:before="3"/>
              <w:rPr>
                <w:b/>
                <w:sz w:val="13"/>
              </w:rPr>
            </w:pPr>
          </w:p>
          <w:p>
            <w:pPr>
              <w:pStyle w:val="TableParagraph"/>
              <w:ind w:left="25"/>
              <w:rPr>
                <w:sz w:val="18"/>
              </w:rPr>
            </w:pPr>
            <w:r>
              <w:rPr>
                <w:sz w:val="18"/>
              </w:rPr>
              <w:t>$14,103</w:t>
            </w:r>
          </w:p>
        </w:tc>
        <w:tc>
          <w:tcPr>
            <w:tcW w:w="1107" w:type="dxa"/>
          </w:tcPr>
          <w:p>
            <w:pPr>
              <w:pStyle w:val="TableParagraph"/>
              <w:spacing w:before="3"/>
              <w:rPr>
                <w:b/>
                <w:sz w:val="13"/>
              </w:rPr>
            </w:pPr>
          </w:p>
          <w:p>
            <w:pPr>
              <w:pStyle w:val="TableParagraph"/>
              <w:ind w:left="28"/>
              <w:rPr>
                <w:sz w:val="18"/>
              </w:rPr>
            </w:pPr>
            <w:r>
              <w:rPr>
                <w:sz w:val="18"/>
              </w:rPr>
              <w:t>1.0</w:t>
            </w:r>
          </w:p>
        </w:tc>
      </w:tr>
      <w:tr>
        <w:trPr>
          <w:trHeight w:val="796" w:hRule="atLeast"/>
        </w:trPr>
        <w:tc>
          <w:tcPr>
            <w:tcW w:w="689" w:type="dxa"/>
          </w:tcPr>
          <w:p>
            <w:pPr>
              <w:pStyle w:val="TableParagraph"/>
              <w:spacing w:before="3"/>
              <w:rPr>
                <w:b/>
                <w:sz w:val="13"/>
              </w:rPr>
            </w:pPr>
          </w:p>
          <w:p>
            <w:pPr>
              <w:pStyle w:val="TableParagraph"/>
              <w:ind w:left="26"/>
              <w:rPr>
                <w:sz w:val="18"/>
              </w:rPr>
            </w:pPr>
            <w:r>
              <w:rPr>
                <w:sz w:val="18"/>
              </w:rPr>
              <w:t>18298</w:t>
            </w:r>
          </w:p>
        </w:tc>
        <w:tc>
          <w:tcPr>
            <w:tcW w:w="3517" w:type="dxa"/>
          </w:tcPr>
          <w:p>
            <w:pPr>
              <w:pStyle w:val="TableParagraph"/>
              <w:spacing w:before="159"/>
              <w:ind w:left="25"/>
              <w:rPr>
                <w:sz w:val="18"/>
              </w:rPr>
            </w:pPr>
            <w:r>
              <w:rPr>
                <w:sz w:val="18"/>
              </w:rPr>
              <w:t>CERVICAL OR THORACIC SYMPATHETIC CHAIN,</w:t>
            </w:r>
          </w:p>
          <w:p>
            <w:pPr>
              <w:pStyle w:val="TableParagraph"/>
              <w:spacing w:before="66"/>
              <w:ind w:left="25"/>
              <w:rPr>
                <w:sz w:val="18"/>
              </w:rPr>
            </w:pPr>
            <w:r>
              <w:rPr>
                <w:sz w:val="18"/>
              </w:rPr>
              <w:t>destruction by a neurolytic agent (Anaes.)</w:t>
            </w:r>
          </w:p>
        </w:tc>
        <w:tc>
          <w:tcPr>
            <w:tcW w:w="958" w:type="dxa"/>
          </w:tcPr>
          <w:p>
            <w:pPr>
              <w:pStyle w:val="TableParagraph"/>
              <w:spacing w:before="3"/>
              <w:rPr>
                <w:b/>
                <w:sz w:val="13"/>
              </w:rPr>
            </w:pPr>
          </w:p>
          <w:p>
            <w:pPr>
              <w:pStyle w:val="TableParagraph"/>
              <w:ind w:left="25"/>
              <w:rPr>
                <w:sz w:val="18"/>
              </w:rPr>
            </w:pPr>
            <w:r>
              <w:rPr>
                <w:sz w:val="18"/>
              </w:rPr>
              <w:t>$176.00</w:t>
            </w:r>
          </w:p>
        </w:tc>
        <w:tc>
          <w:tcPr>
            <w:tcW w:w="1075" w:type="dxa"/>
          </w:tcPr>
          <w:p>
            <w:pPr>
              <w:pStyle w:val="TableParagraph"/>
              <w:spacing w:before="3"/>
              <w:rPr>
                <w:b/>
                <w:sz w:val="13"/>
              </w:rPr>
            </w:pPr>
          </w:p>
          <w:p>
            <w:pPr>
              <w:pStyle w:val="TableParagraph"/>
              <w:ind w:left="25"/>
              <w:rPr>
                <w:sz w:val="18"/>
              </w:rPr>
            </w:pPr>
            <w:r>
              <w:rPr>
                <w:sz w:val="18"/>
              </w:rPr>
              <w:t>66</w:t>
            </w:r>
          </w:p>
        </w:tc>
        <w:tc>
          <w:tcPr>
            <w:tcW w:w="1058" w:type="dxa"/>
          </w:tcPr>
          <w:p>
            <w:pPr>
              <w:pStyle w:val="TableParagraph"/>
              <w:spacing w:before="3"/>
              <w:rPr>
                <w:b/>
                <w:sz w:val="13"/>
              </w:rPr>
            </w:pPr>
          </w:p>
          <w:p>
            <w:pPr>
              <w:pStyle w:val="TableParagraph"/>
              <w:ind w:left="25"/>
              <w:rPr>
                <w:sz w:val="18"/>
              </w:rPr>
            </w:pPr>
            <w:r>
              <w:rPr>
                <w:sz w:val="18"/>
              </w:rPr>
              <w:t>$9,869</w:t>
            </w:r>
          </w:p>
        </w:tc>
        <w:tc>
          <w:tcPr>
            <w:tcW w:w="1107" w:type="dxa"/>
          </w:tcPr>
          <w:p>
            <w:pPr>
              <w:pStyle w:val="TableParagraph"/>
              <w:spacing w:before="3"/>
              <w:rPr>
                <w:b/>
                <w:sz w:val="13"/>
              </w:rPr>
            </w:pPr>
          </w:p>
          <w:p>
            <w:pPr>
              <w:pStyle w:val="TableParagraph"/>
              <w:ind w:left="28"/>
              <w:rPr>
                <w:sz w:val="18"/>
              </w:rPr>
            </w:pPr>
            <w:r>
              <w:rPr>
                <w:sz w:val="18"/>
              </w:rPr>
              <w:t>12.9</w:t>
            </w:r>
          </w:p>
        </w:tc>
      </w:tr>
      <w:tr>
        <w:trPr>
          <w:trHeight w:val="1879" w:hRule="atLeast"/>
        </w:trPr>
        <w:tc>
          <w:tcPr>
            <w:tcW w:w="689" w:type="dxa"/>
          </w:tcPr>
          <w:p>
            <w:pPr>
              <w:pStyle w:val="TableParagraph"/>
              <w:spacing w:before="133"/>
              <w:ind w:right="113"/>
              <w:jc w:val="right"/>
              <w:rPr>
                <w:sz w:val="18"/>
              </w:rPr>
            </w:pPr>
            <w:r>
              <w:rPr>
                <w:sz w:val="18"/>
              </w:rPr>
              <w:t>39013</w:t>
            </w:r>
          </w:p>
        </w:tc>
        <w:tc>
          <w:tcPr>
            <w:tcW w:w="3517" w:type="dxa"/>
          </w:tcPr>
          <w:p>
            <w:pPr>
              <w:pStyle w:val="TableParagraph"/>
              <w:spacing w:before="131"/>
              <w:ind w:left="107"/>
              <w:rPr>
                <w:sz w:val="18"/>
              </w:rPr>
            </w:pPr>
            <w:r>
              <w:rPr>
                <w:sz w:val="18"/>
              </w:rPr>
              <w:t>INJECTION UNDER IMAGE INTENSIFICATION</w:t>
            </w:r>
          </w:p>
          <w:p>
            <w:pPr>
              <w:pStyle w:val="TableParagraph"/>
              <w:spacing w:line="312" w:lineRule="auto" w:before="65"/>
              <w:ind w:left="107" w:right="119"/>
              <w:rPr>
                <w:sz w:val="18"/>
              </w:rPr>
            </w:pPr>
            <w:r>
              <w:rPr>
                <w:sz w:val="18"/>
              </w:rPr>
              <w:t>with 1 or more of contrast media, local anaesthetic or corticosteroid into 1 or more zygo-apophyseal or costo-transverse joints or 1 or more primary posterior rami of spinal nerves (Anaes.)</w:t>
            </w:r>
          </w:p>
        </w:tc>
        <w:tc>
          <w:tcPr>
            <w:tcW w:w="958" w:type="dxa"/>
          </w:tcPr>
          <w:p>
            <w:pPr>
              <w:pStyle w:val="TableParagraph"/>
              <w:spacing w:before="133"/>
              <w:ind w:right="245"/>
              <w:jc w:val="right"/>
              <w:rPr>
                <w:sz w:val="18"/>
              </w:rPr>
            </w:pPr>
            <w:r>
              <w:rPr>
                <w:sz w:val="18"/>
              </w:rPr>
              <w:t>$109.15</w:t>
            </w:r>
          </w:p>
        </w:tc>
        <w:tc>
          <w:tcPr>
            <w:tcW w:w="1075" w:type="dxa"/>
          </w:tcPr>
          <w:p>
            <w:pPr>
              <w:pStyle w:val="TableParagraph"/>
              <w:spacing w:before="133"/>
              <w:ind w:left="107"/>
              <w:rPr>
                <w:sz w:val="18"/>
              </w:rPr>
            </w:pPr>
            <w:r>
              <w:rPr>
                <w:sz w:val="18"/>
              </w:rPr>
              <w:t>54,495</w:t>
            </w:r>
          </w:p>
        </w:tc>
        <w:tc>
          <w:tcPr>
            <w:tcW w:w="1058" w:type="dxa"/>
          </w:tcPr>
          <w:p>
            <w:pPr>
              <w:pStyle w:val="TableParagraph"/>
              <w:spacing w:before="133"/>
              <w:ind w:right="119"/>
              <w:jc w:val="right"/>
              <w:rPr>
                <w:sz w:val="18"/>
              </w:rPr>
            </w:pPr>
            <w:r>
              <w:rPr>
                <w:sz w:val="18"/>
              </w:rPr>
              <w:t>$4,706,643</w:t>
            </w:r>
          </w:p>
        </w:tc>
        <w:tc>
          <w:tcPr>
            <w:tcW w:w="1107" w:type="dxa"/>
          </w:tcPr>
          <w:p>
            <w:pPr>
              <w:pStyle w:val="TableParagraph"/>
              <w:spacing w:before="133"/>
              <w:ind w:left="107"/>
              <w:rPr>
                <w:sz w:val="18"/>
              </w:rPr>
            </w:pPr>
            <w:r>
              <w:rPr>
                <w:sz w:val="18"/>
              </w:rPr>
              <w:t>9.7</w:t>
            </w:r>
          </w:p>
        </w:tc>
      </w:tr>
      <w:tr>
        <w:trPr>
          <w:trHeight w:val="1024" w:hRule="atLeast"/>
        </w:trPr>
        <w:tc>
          <w:tcPr>
            <w:tcW w:w="689" w:type="dxa"/>
          </w:tcPr>
          <w:p>
            <w:pPr>
              <w:pStyle w:val="TableParagraph"/>
              <w:spacing w:before="135"/>
              <w:ind w:right="113"/>
              <w:jc w:val="right"/>
              <w:rPr>
                <w:sz w:val="18"/>
              </w:rPr>
            </w:pPr>
            <w:r>
              <w:rPr>
                <w:sz w:val="18"/>
              </w:rPr>
              <w:t>39100</w:t>
            </w:r>
          </w:p>
        </w:tc>
        <w:tc>
          <w:tcPr>
            <w:tcW w:w="3517" w:type="dxa"/>
          </w:tcPr>
          <w:p>
            <w:pPr>
              <w:pStyle w:val="TableParagraph"/>
              <w:spacing w:before="133"/>
              <w:ind w:left="107"/>
              <w:rPr>
                <w:sz w:val="18"/>
              </w:rPr>
            </w:pPr>
            <w:r>
              <w:rPr>
                <w:sz w:val="18"/>
              </w:rPr>
              <w:t>INJECTION OF PRIMARY BRANCH OF</w:t>
            </w:r>
          </w:p>
          <w:p>
            <w:pPr>
              <w:pStyle w:val="TableParagraph"/>
              <w:spacing w:line="312" w:lineRule="auto" w:before="66"/>
              <w:ind w:left="107" w:right="169"/>
              <w:rPr>
                <w:sz w:val="18"/>
              </w:rPr>
            </w:pPr>
            <w:r>
              <w:rPr>
                <w:sz w:val="18"/>
              </w:rPr>
              <w:t>TRIGEMINAL NERVE with alcohol, cortisone, phenol, or similar substance (Anaes.)</w:t>
            </w:r>
          </w:p>
        </w:tc>
        <w:tc>
          <w:tcPr>
            <w:tcW w:w="958" w:type="dxa"/>
          </w:tcPr>
          <w:p>
            <w:pPr>
              <w:pStyle w:val="TableParagraph"/>
              <w:spacing w:before="135"/>
              <w:ind w:right="245"/>
              <w:jc w:val="right"/>
              <w:rPr>
                <w:sz w:val="18"/>
              </w:rPr>
            </w:pPr>
            <w:r>
              <w:rPr>
                <w:sz w:val="18"/>
              </w:rPr>
              <w:t>$237.60</w:t>
            </w:r>
          </w:p>
        </w:tc>
        <w:tc>
          <w:tcPr>
            <w:tcW w:w="1075" w:type="dxa"/>
          </w:tcPr>
          <w:p>
            <w:pPr>
              <w:pStyle w:val="TableParagraph"/>
              <w:spacing w:before="135"/>
              <w:ind w:left="107"/>
              <w:rPr>
                <w:sz w:val="18"/>
              </w:rPr>
            </w:pPr>
            <w:r>
              <w:rPr>
                <w:sz w:val="18"/>
              </w:rPr>
              <w:t>106</w:t>
            </w:r>
          </w:p>
        </w:tc>
        <w:tc>
          <w:tcPr>
            <w:tcW w:w="1058" w:type="dxa"/>
          </w:tcPr>
          <w:p>
            <w:pPr>
              <w:pStyle w:val="TableParagraph"/>
              <w:spacing w:before="135"/>
              <w:ind w:left="107"/>
              <w:rPr>
                <w:sz w:val="18"/>
              </w:rPr>
            </w:pPr>
            <w:r>
              <w:rPr>
                <w:sz w:val="18"/>
              </w:rPr>
              <w:t>$20,522</w:t>
            </w:r>
          </w:p>
        </w:tc>
        <w:tc>
          <w:tcPr>
            <w:tcW w:w="1107" w:type="dxa"/>
          </w:tcPr>
          <w:p>
            <w:pPr>
              <w:pStyle w:val="TableParagraph"/>
              <w:spacing w:before="135"/>
              <w:ind w:left="107"/>
              <w:rPr>
                <w:sz w:val="18"/>
              </w:rPr>
            </w:pPr>
            <w:r>
              <w:rPr>
                <w:sz w:val="18"/>
              </w:rPr>
              <w:t>-41.7</w:t>
            </w:r>
          </w:p>
        </w:tc>
      </w:tr>
      <w:tr>
        <w:trPr>
          <w:trHeight w:val="1595" w:hRule="atLeast"/>
        </w:trPr>
        <w:tc>
          <w:tcPr>
            <w:tcW w:w="689" w:type="dxa"/>
          </w:tcPr>
          <w:p>
            <w:pPr>
              <w:pStyle w:val="TableParagraph"/>
              <w:spacing w:before="133"/>
              <w:ind w:right="113"/>
              <w:jc w:val="right"/>
              <w:rPr>
                <w:sz w:val="18"/>
              </w:rPr>
            </w:pPr>
            <w:r>
              <w:rPr>
                <w:sz w:val="18"/>
              </w:rPr>
              <w:t>39115</w:t>
            </w:r>
          </w:p>
        </w:tc>
        <w:tc>
          <w:tcPr>
            <w:tcW w:w="3517" w:type="dxa"/>
          </w:tcPr>
          <w:p>
            <w:pPr>
              <w:pStyle w:val="TableParagraph"/>
              <w:spacing w:line="312" w:lineRule="auto" w:before="131"/>
              <w:ind w:left="107" w:right="248"/>
              <w:rPr>
                <w:sz w:val="18"/>
              </w:rPr>
            </w:pPr>
            <w:r>
              <w:rPr>
                <w:sz w:val="18"/>
              </w:rPr>
              <w:t>PERCUTANEOUS NEUROTOMY of posterior divisions (or rami) of spinal nerves by any method, including any associated spinal, epidural or trigonal nerve block (payable once only in a 30 day period) (Anaes.)</w:t>
            </w:r>
          </w:p>
        </w:tc>
        <w:tc>
          <w:tcPr>
            <w:tcW w:w="958" w:type="dxa"/>
          </w:tcPr>
          <w:p>
            <w:pPr>
              <w:pStyle w:val="TableParagraph"/>
              <w:spacing w:before="133"/>
              <w:ind w:left="107"/>
              <w:rPr>
                <w:sz w:val="18"/>
              </w:rPr>
            </w:pPr>
            <w:r>
              <w:rPr>
                <w:sz w:val="18"/>
              </w:rPr>
              <w:t>$75.30</w:t>
            </w:r>
          </w:p>
        </w:tc>
        <w:tc>
          <w:tcPr>
            <w:tcW w:w="1075" w:type="dxa"/>
          </w:tcPr>
          <w:p>
            <w:pPr>
              <w:pStyle w:val="TableParagraph"/>
              <w:spacing w:before="133"/>
              <w:ind w:left="107"/>
              <w:rPr>
                <w:sz w:val="18"/>
              </w:rPr>
            </w:pPr>
            <w:r>
              <w:rPr>
                <w:sz w:val="18"/>
              </w:rPr>
              <w:t>67</w:t>
            </w:r>
          </w:p>
        </w:tc>
        <w:tc>
          <w:tcPr>
            <w:tcW w:w="1058" w:type="dxa"/>
          </w:tcPr>
          <w:p>
            <w:pPr>
              <w:pStyle w:val="TableParagraph"/>
              <w:spacing w:before="133"/>
              <w:ind w:left="107"/>
              <w:rPr>
                <w:sz w:val="18"/>
              </w:rPr>
            </w:pPr>
            <w:r>
              <w:rPr>
                <w:sz w:val="18"/>
              </w:rPr>
              <w:t>$4,190</w:t>
            </w:r>
          </w:p>
        </w:tc>
        <w:tc>
          <w:tcPr>
            <w:tcW w:w="1107" w:type="dxa"/>
          </w:tcPr>
          <w:p>
            <w:pPr>
              <w:pStyle w:val="TableParagraph"/>
              <w:spacing w:before="133"/>
              <w:ind w:left="107"/>
              <w:rPr>
                <w:sz w:val="18"/>
              </w:rPr>
            </w:pPr>
            <w:r>
              <w:rPr>
                <w:sz w:val="18"/>
              </w:rPr>
              <w:t>-11.2</w:t>
            </w:r>
          </w:p>
        </w:tc>
      </w:tr>
      <w:tr>
        <w:trPr>
          <w:trHeight w:val="1310" w:hRule="atLeast"/>
        </w:trPr>
        <w:tc>
          <w:tcPr>
            <w:tcW w:w="689" w:type="dxa"/>
          </w:tcPr>
          <w:p>
            <w:pPr>
              <w:pStyle w:val="TableParagraph"/>
              <w:spacing w:before="133"/>
              <w:ind w:right="113"/>
              <w:jc w:val="right"/>
              <w:rPr>
                <w:sz w:val="18"/>
              </w:rPr>
            </w:pPr>
            <w:r>
              <w:rPr>
                <w:sz w:val="18"/>
              </w:rPr>
              <w:t>39118</w:t>
            </w:r>
          </w:p>
        </w:tc>
        <w:tc>
          <w:tcPr>
            <w:tcW w:w="3517" w:type="dxa"/>
          </w:tcPr>
          <w:p>
            <w:pPr>
              <w:pStyle w:val="TableParagraph"/>
              <w:spacing w:line="312" w:lineRule="auto" w:before="131"/>
              <w:ind w:left="107" w:right="114"/>
              <w:rPr>
                <w:sz w:val="18"/>
              </w:rPr>
            </w:pPr>
            <w:r>
              <w:rPr>
                <w:sz w:val="18"/>
              </w:rPr>
              <w:t>PERCUTANEOUS NEUROTOMY for facet joint denervation by radio-frequency probe or cryoprobe using radiological imaging control (Anaes.) (Assist.)</w:t>
            </w:r>
          </w:p>
        </w:tc>
        <w:tc>
          <w:tcPr>
            <w:tcW w:w="958" w:type="dxa"/>
          </w:tcPr>
          <w:p>
            <w:pPr>
              <w:pStyle w:val="TableParagraph"/>
              <w:spacing w:before="133"/>
              <w:ind w:right="245"/>
              <w:jc w:val="right"/>
              <w:rPr>
                <w:sz w:val="18"/>
              </w:rPr>
            </w:pPr>
            <w:r>
              <w:rPr>
                <w:sz w:val="18"/>
              </w:rPr>
              <w:t>$297.85</w:t>
            </w:r>
          </w:p>
        </w:tc>
        <w:tc>
          <w:tcPr>
            <w:tcW w:w="1075" w:type="dxa"/>
          </w:tcPr>
          <w:p>
            <w:pPr>
              <w:pStyle w:val="TableParagraph"/>
              <w:spacing w:before="133"/>
              <w:ind w:left="107"/>
              <w:rPr>
                <w:sz w:val="18"/>
              </w:rPr>
            </w:pPr>
            <w:r>
              <w:rPr>
                <w:sz w:val="18"/>
              </w:rPr>
              <w:t>68,808</w:t>
            </w:r>
          </w:p>
        </w:tc>
        <w:tc>
          <w:tcPr>
            <w:tcW w:w="1058" w:type="dxa"/>
          </w:tcPr>
          <w:p>
            <w:pPr>
              <w:pStyle w:val="TableParagraph"/>
              <w:spacing w:before="133"/>
              <w:ind w:right="119"/>
              <w:jc w:val="right"/>
              <w:rPr>
                <w:sz w:val="18"/>
              </w:rPr>
            </w:pPr>
            <w:r>
              <w:rPr>
                <w:sz w:val="18"/>
              </w:rPr>
              <w:t>$7,289,868</w:t>
            </w:r>
          </w:p>
        </w:tc>
        <w:tc>
          <w:tcPr>
            <w:tcW w:w="1107" w:type="dxa"/>
          </w:tcPr>
          <w:p>
            <w:pPr>
              <w:pStyle w:val="TableParagraph"/>
              <w:spacing w:before="133"/>
              <w:ind w:left="107"/>
              <w:rPr>
                <w:sz w:val="18"/>
              </w:rPr>
            </w:pPr>
            <w:r>
              <w:rPr>
                <w:sz w:val="18"/>
              </w:rPr>
              <w:t>19.7</w:t>
            </w:r>
          </w:p>
        </w:tc>
      </w:tr>
      <w:tr>
        <w:trPr>
          <w:trHeight w:val="738" w:hRule="atLeast"/>
        </w:trPr>
        <w:tc>
          <w:tcPr>
            <w:tcW w:w="689" w:type="dxa"/>
          </w:tcPr>
          <w:p>
            <w:pPr>
              <w:pStyle w:val="TableParagraph"/>
              <w:spacing w:before="133"/>
              <w:ind w:right="113"/>
              <w:jc w:val="right"/>
              <w:rPr>
                <w:sz w:val="18"/>
              </w:rPr>
            </w:pPr>
            <w:r>
              <w:rPr>
                <w:sz w:val="18"/>
              </w:rPr>
              <w:t>39121</w:t>
            </w:r>
          </w:p>
        </w:tc>
        <w:tc>
          <w:tcPr>
            <w:tcW w:w="3517" w:type="dxa"/>
          </w:tcPr>
          <w:p>
            <w:pPr>
              <w:pStyle w:val="TableParagraph"/>
              <w:spacing w:before="131"/>
              <w:ind w:left="107"/>
              <w:rPr>
                <w:sz w:val="18"/>
              </w:rPr>
            </w:pPr>
            <w:r>
              <w:rPr>
                <w:sz w:val="18"/>
              </w:rPr>
              <w:t>PERCUTANEOUS CORDOTOMY (Anaes.)</w:t>
            </w:r>
          </w:p>
          <w:p>
            <w:pPr>
              <w:pStyle w:val="TableParagraph"/>
              <w:spacing w:before="65"/>
              <w:ind w:left="107"/>
              <w:rPr>
                <w:sz w:val="18"/>
              </w:rPr>
            </w:pPr>
            <w:r>
              <w:rPr>
                <w:sz w:val="18"/>
              </w:rPr>
              <w:t>(Assist.)</w:t>
            </w:r>
          </w:p>
        </w:tc>
        <w:tc>
          <w:tcPr>
            <w:tcW w:w="958" w:type="dxa"/>
          </w:tcPr>
          <w:p>
            <w:pPr>
              <w:pStyle w:val="TableParagraph"/>
              <w:spacing w:before="133"/>
              <w:ind w:right="245"/>
              <w:jc w:val="right"/>
              <w:rPr>
                <w:sz w:val="18"/>
              </w:rPr>
            </w:pPr>
            <w:r>
              <w:rPr>
                <w:sz w:val="18"/>
              </w:rPr>
              <w:t>$631.75</w:t>
            </w:r>
          </w:p>
        </w:tc>
        <w:tc>
          <w:tcPr>
            <w:tcW w:w="1075" w:type="dxa"/>
          </w:tcPr>
          <w:p>
            <w:pPr>
              <w:pStyle w:val="TableParagraph"/>
              <w:spacing w:before="133"/>
              <w:ind w:left="107"/>
              <w:rPr>
                <w:sz w:val="18"/>
              </w:rPr>
            </w:pPr>
            <w:r>
              <w:rPr>
                <w:sz w:val="18"/>
              </w:rPr>
              <w:t>0</w:t>
            </w:r>
          </w:p>
        </w:tc>
        <w:tc>
          <w:tcPr>
            <w:tcW w:w="1058" w:type="dxa"/>
          </w:tcPr>
          <w:p>
            <w:pPr>
              <w:pStyle w:val="TableParagraph"/>
              <w:spacing w:before="133"/>
              <w:ind w:left="107"/>
              <w:rPr>
                <w:sz w:val="18"/>
              </w:rPr>
            </w:pPr>
            <w:r>
              <w:rPr>
                <w:sz w:val="18"/>
              </w:rPr>
              <w:t>0</w:t>
            </w:r>
          </w:p>
        </w:tc>
        <w:tc>
          <w:tcPr>
            <w:tcW w:w="1107" w:type="dxa"/>
          </w:tcPr>
          <w:p>
            <w:pPr>
              <w:pStyle w:val="TableParagraph"/>
              <w:spacing w:before="133"/>
              <w:ind w:left="107"/>
              <w:rPr>
                <w:sz w:val="18"/>
              </w:rPr>
            </w:pPr>
            <w:r>
              <w:rPr>
                <w:sz w:val="18"/>
              </w:rPr>
              <w:t>0</w:t>
            </w:r>
          </w:p>
        </w:tc>
      </w:tr>
    </w:tbl>
    <w:p>
      <w:pPr>
        <w:spacing w:after="0"/>
        <w:rPr>
          <w:sz w:val="18"/>
        </w:rPr>
        <w:sectPr>
          <w:pgSz w:w="11910" w:h="16840"/>
          <w:pgMar w:header="672" w:footer="734" w:top="1300" w:bottom="920" w:left="440" w:right="140"/>
        </w:sectPr>
      </w:pPr>
    </w:p>
    <w:p>
      <w:pPr>
        <w:pStyle w:val="BodyText"/>
        <w:rPr>
          <w:b/>
          <w:sz w:val="20"/>
        </w:rPr>
      </w:pPr>
    </w:p>
    <w:p>
      <w:pPr>
        <w:pStyle w:val="BodyText"/>
        <w:spacing w:before="2"/>
        <w:rPr>
          <w:b/>
          <w:sz w:val="29"/>
        </w:rPr>
      </w:pPr>
    </w:p>
    <w:tbl>
      <w:tblPr>
        <w:tblW w:w="0" w:type="auto"/>
        <w:jc w:val="left"/>
        <w:tblInd w:w="12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689"/>
        <w:gridCol w:w="3517"/>
        <w:gridCol w:w="958"/>
        <w:gridCol w:w="1075"/>
        <w:gridCol w:w="1058"/>
        <w:gridCol w:w="1107"/>
      </w:tblGrid>
      <w:tr>
        <w:trPr>
          <w:trHeight w:val="1362" w:hRule="atLeast"/>
        </w:trPr>
        <w:tc>
          <w:tcPr>
            <w:tcW w:w="689" w:type="dxa"/>
            <w:tcBorders>
              <w:top w:val="nil"/>
              <w:left w:val="nil"/>
              <w:right w:val="nil"/>
            </w:tcBorders>
            <w:shd w:val="clear" w:color="auto" w:fill="00643E"/>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18"/>
              <w:ind w:left="31"/>
              <w:rPr>
                <w:b/>
                <w:sz w:val="18"/>
              </w:rPr>
            </w:pPr>
            <w:r>
              <w:rPr>
                <w:b/>
                <w:color w:val="FFFFFF"/>
                <w:sz w:val="18"/>
              </w:rPr>
              <w:t>Item</w:t>
            </w:r>
          </w:p>
        </w:tc>
        <w:tc>
          <w:tcPr>
            <w:tcW w:w="3517" w:type="dxa"/>
            <w:tcBorders>
              <w:left w:val="nil"/>
            </w:tcBorders>
            <w:shd w:val="clear" w:color="auto" w:fill="00643E"/>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18"/>
              <w:ind w:left="30"/>
              <w:rPr>
                <w:b/>
                <w:sz w:val="18"/>
              </w:rPr>
            </w:pPr>
            <w:r>
              <w:rPr>
                <w:b/>
                <w:color w:val="FFFFFF"/>
                <w:sz w:val="18"/>
              </w:rPr>
              <w:t>Descriptor</w:t>
            </w:r>
          </w:p>
        </w:tc>
        <w:tc>
          <w:tcPr>
            <w:tcW w:w="958" w:type="dxa"/>
            <w:shd w:val="clear" w:color="auto" w:fill="00643E"/>
          </w:tcPr>
          <w:p>
            <w:pPr>
              <w:pStyle w:val="TableParagraph"/>
              <w:rPr>
                <w:b/>
                <w:sz w:val="18"/>
              </w:rPr>
            </w:pPr>
          </w:p>
          <w:p>
            <w:pPr>
              <w:pStyle w:val="TableParagraph"/>
              <w:rPr>
                <w:b/>
                <w:sz w:val="18"/>
              </w:rPr>
            </w:pPr>
          </w:p>
          <w:p>
            <w:pPr>
              <w:pStyle w:val="TableParagraph"/>
              <w:spacing w:before="3"/>
              <w:rPr>
                <w:b/>
                <w:sz w:val="22"/>
              </w:rPr>
            </w:pPr>
          </w:p>
          <w:p>
            <w:pPr>
              <w:pStyle w:val="TableParagraph"/>
              <w:spacing w:line="309" w:lineRule="auto"/>
              <w:ind w:left="25" w:right="227"/>
              <w:rPr>
                <w:b/>
                <w:sz w:val="18"/>
              </w:rPr>
            </w:pPr>
            <w:r>
              <w:rPr>
                <w:b/>
                <w:color w:val="FFFFFF"/>
                <w:sz w:val="18"/>
              </w:rPr>
              <w:t>Schedule fee</w:t>
            </w:r>
          </w:p>
        </w:tc>
        <w:tc>
          <w:tcPr>
            <w:tcW w:w="1075" w:type="dxa"/>
            <w:shd w:val="clear" w:color="auto" w:fill="00643E"/>
          </w:tcPr>
          <w:p>
            <w:pPr>
              <w:pStyle w:val="TableParagraph"/>
              <w:rPr>
                <w:b/>
                <w:sz w:val="18"/>
              </w:rPr>
            </w:pPr>
          </w:p>
          <w:p>
            <w:pPr>
              <w:pStyle w:val="TableParagraph"/>
              <w:rPr>
                <w:b/>
                <w:sz w:val="18"/>
              </w:rPr>
            </w:pPr>
          </w:p>
          <w:p>
            <w:pPr>
              <w:pStyle w:val="TableParagraph"/>
              <w:spacing w:before="3"/>
              <w:rPr>
                <w:b/>
                <w:sz w:val="22"/>
              </w:rPr>
            </w:pPr>
          </w:p>
          <w:p>
            <w:pPr>
              <w:pStyle w:val="TableParagraph"/>
              <w:spacing w:line="309" w:lineRule="auto"/>
              <w:ind w:left="25" w:right="219"/>
              <w:rPr>
                <w:b/>
                <w:sz w:val="18"/>
              </w:rPr>
            </w:pPr>
            <w:r>
              <w:rPr>
                <w:b/>
                <w:color w:val="FFFFFF"/>
                <w:sz w:val="18"/>
              </w:rPr>
              <w:t>Services FY2016/17</w:t>
            </w:r>
          </w:p>
        </w:tc>
        <w:tc>
          <w:tcPr>
            <w:tcW w:w="1058" w:type="dxa"/>
            <w:shd w:val="clear" w:color="auto" w:fill="00643E"/>
          </w:tcPr>
          <w:p>
            <w:pPr>
              <w:pStyle w:val="TableParagraph"/>
              <w:rPr>
                <w:b/>
                <w:sz w:val="18"/>
              </w:rPr>
            </w:pPr>
          </w:p>
          <w:p>
            <w:pPr>
              <w:pStyle w:val="TableParagraph"/>
              <w:rPr>
                <w:b/>
                <w:sz w:val="18"/>
              </w:rPr>
            </w:pPr>
          </w:p>
          <w:p>
            <w:pPr>
              <w:pStyle w:val="TableParagraph"/>
              <w:spacing w:before="3"/>
              <w:rPr>
                <w:b/>
                <w:sz w:val="22"/>
              </w:rPr>
            </w:pPr>
          </w:p>
          <w:p>
            <w:pPr>
              <w:pStyle w:val="TableParagraph"/>
              <w:spacing w:line="309" w:lineRule="auto"/>
              <w:ind w:left="25" w:right="202"/>
              <w:rPr>
                <w:b/>
                <w:sz w:val="18"/>
              </w:rPr>
            </w:pPr>
            <w:r>
              <w:rPr>
                <w:b/>
                <w:color w:val="FFFFFF"/>
                <w:sz w:val="18"/>
              </w:rPr>
              <w:t>Benefits FY2016/17</w:t>
            </w:r>
          </w:p>
        </w:tc>
        <w:tc>
          <w:tcPr>
            <w:tcW w:w="1107" w:type="dxa"/>
            <w:shd w:val="clear" w:color="auto" w:fill="00643E"/>
          </w:tcPr>
          <w:p>
            <w:pPr>
              <w:pStyle w:val="TableParagraph"/>
              <w:spacing w:line="312" w:lineRule="auto" w:before="85"/>
              <w:ind w:left="28" w:right="161"/>
              <w:rPr>
                <w:b/>
                <w:sz w:val="18"/>
              </w:rPr>
            </w:pPr>
            <w:r>
              <w:rPr>
                <w:b/>
                <w:color w:val="FFFFFF"/>
                <w:sz w:val="18"/>
              </w:rPr>
              <w:t>Services 5- year annual avg. growth</w:t>
            </w:r>
          </w:p>
          <w:p>
            <w:pPr>
              <w:pStyle w:val="TableParagraph"/>
              <w:spacing w:before="53"/>
              <w:ind w:left="28"/>
              <w:rPr>
                <w:b/>
                <w:sz w:val="18"/>
              </w:rPr>
            </w:pPr>
            <w:r>
              <w:rPr>
                <w:b/>
                <w:color w:val="FFFFFF"/>
                <w:sz w:val="18"/>
              </w:rPr>
              <w:t>%</w:t>
            </w:r>
          </w:p>
        </w:tc>
      </w:tr>
      <w:tr>
        <w:trPr>
          <w:trHeight w:val="1310" w:hRule="atLeast"/>
        </w:trPr>
        <w:tc>
          <w:tcPr>
            <w:tcW w:w="689" w:type="dxa"/>
          </w:tcPr>
          <w:p>
            <w:pPr>
              <w:pStyle w:val="TableParagraph"/>
              <w:spacing w:before="133"/>
              <w:ind w:right="113"/>
              <w:jc w:val="right"/>
              <w:rPr>
                <w:sz w:val="18"/>
              </w:rPr>
            </w:pPr>
            <w:r>
              <w:rPr>
                <w:sz w:val="18"/>
              </w:rPr>
              <w:t>39124</w:t>
            </w:r>
          </w:p>
        </w:tc>
        <w:tc>
          <w:tcPr>
            <w:tcW w:w="3517" w:type="dxa"/>
          </w:tcPr>
          <w:p>
            <w:pPr>
              <w:pStyle w:val="TableParagraph"/>
              <w:spacing w:line="312" w:lineRule="auto" w:before="131"/>
              <w:ind w:left="107" w:right="126"/>
              <w:rPr>
                <w:sz w:val="18"/>
              </w:rPr>
            </w:pPr>
            <w:r>
              <w:rPr>
                <w:sz w:val="18"/>
              </w:rPr>
              <w:t>CORDOTOMY OR MYELOTOMY, partial or total laminectomy for, or operation for dorsal root entry zone (Drez) lesion (Anaes.) (Assist.)</w:t>
            </w:r>
          </w:p>
        </w:tc>
        <w:tc>
          <w:tcPr>
            <w:tcW w:w="958" w:type="dxa"/>
          </w:tcPr>
          <w:p>
            <w:pPr>
              <w:pStyle w:val="TableParagraph"/>
              <w:spacing w:before="133"/>
              <w:ind w:left="107"/>
              <w:rPr>
                <w:sz w:val="18"/>
              </w:rPr>
            </w:pPr>
            <w:r>
              <w:rPr>
                <w:sz w:val="18"/>
              </w:rPr>
              <w:t>$1,616.80</w:t>
            </w:r>
          </w:p>
        </w:tc>
        <w:tc>
          <w:tcPr>
            <w:tcW w:w="1075" w:type="dxa"/>
          </w:tcPr>
          <w:p>
            <w:pPr>
              <w:pStyle w:val="TableParagraph"/>
              <w:spacing w:before="133"/>
              <w:ind w:left="107"/>
              <w:rPr>
                <w:sz w:val="18"/>
              </w:rPr>
            </w:pPr>
            <w:r>
              <w:rPr>
                <w:sz w:val="18"/>
              </w:rPr>
              <w:t>0</w:t>
            </w:r>
          </w:p>
        </w:tc>
        <w:tc>
          <w:tcPr>
            <w:tcW w:w="1058" w:type="dxa"/>
          </w:tcPr>
          <w:p>
            <w:pPr>
              <w:pStyle w:val="TableParagraph"/>
              <w:spacing w:before="133"/>
              <w:ind w:left="107"/>
              <w:rPr>
                <w:sz w:val="18"/>
              </w:rPr>
            </w:pPr>
            <w:r>
              <w:rPr>
                <w:sz w:val="18"/>
              </w:rPr>
              <w:t>0</w:t>
            </w:r>
          </w:p>
        </w:tc>
        <w:tc>
          <w:tcPr>
            <w:tcW w:w="1107" w:type="dxa"/>
          </w:tcPr>
          <w:p>
            <w:pPr>
              <w:pStyle w:val="TableParagraph"/>
              <w:spacing w:before="133"/>
              <w:ind w:left="107"/>
              <w:rPr>
                <w:sz w:val="18"/>
              </w:rPr>
            </w:pPr>
            <w:r>
              <w:rPr>
                <w:sz w:val="18"/>
              </w:rPr>
              <w:t>0</w:t>
            </w:r>
          </w:p>
        </w:tc>
      </w:tr>
      <w:tr>
        <w:trPr>
          <w:trHeight w:val="1310" w:hRule="atLeast"/>
        </w:trPr>
        <w:tc>
          <w:tcPr>
            <w:tcW w:w="689" w:type="dxa"/>
          </w:tcPr>
          <w:p>
            <w:pPr>
              <w:pStyle w:val="TableParagraph"/>
              <w:spacing w:before="133"/>
              <w:ind w:right="113"/>
              <w:jc w:val="right"/>
              <w:rPr>
                <w:sz w:val="18"/>
              </w:rPr>
            </w:pPr>
            <w:r>
              <w:rPr>
                <w:sz w:val="18"/>
              </w:rPr>
              <w:t>39323</w:t>
            </w:r>
          </w:p>
        </w:tc>
        <w:tc>
          <w:tcPr>
            <w:tcW w:w="3517" w:type="dxa"/>
          </w:tcPr>
          <w:p>
            <w:pPr>
              <w:pStyle w:val="TableParagraph"/>
              <w:spacing w:before="131"/>
              <w:ind w:left="107"/>
              <w:rPr>
                <w:sz w:val="18"/>
              </w:rPr>
            </w:pPr>
            <w:r>
              <w:rPr>
                <w:sz w:val="18"/>
              </w:rPr>
              <w:t>PERCUTANEOUS NEUROTOMY by</w:t>
            </w:r>
          </w:p>
          <w:p>
            <w:pPr>
              <w:pStyle w:val="TableParagraph"/>
              <w:spacing w:line="312" w:lineRule="auto" w:before="65"/>
              <w:ind w:left="107" w:right="523"/>
              <w:rPr>
                <w:sz w:val="18"/>
              </w:rPr>
            </w:pPr>
            <w:r>
              <w:rPr>
                <w:sz w:val="18"/>
              </w:rPr>
              <w:t>cryotherapy or radiofrequency lesion generator, not being a service to which another item applies (Anaes.) (Assist.)</w:t>
            </w:r>
          </w:p>
        </w:tc>
        <w:tc>
          <w:tcPr>
            <w:tcW w:w="958" w:type="dxa"/>
          </w:tcPr>
          <w:p>
            <w:pPr>
              <w:pStyle w:val="TableParagraph"/>
              <w:spacing w:before="133"/>
              <w:ind w:left="107"/>
              <w:rPr>
                <w:sz w:val="18"/>
              </w:rPr>
            </w:pPr>
            <w:r>
              <w:rPr>
                <w:sz w:val="18"/>
              </w:rPr>
              <w:t>$276.80</w:t>
            </w:r>
          </w:p>
        </w:tc>
        <w:tc>
          <w:tcPr>
            <w:tcW w:w="1075" w:type="dxa"/>
          </w:tcPr>
          <w:p>
            <w:pPr>
              <w:pStyle w:val="TableParagraph"/>
              <w:spacing w:before="133"/>
              <w:ind w:left="107"/>
              <w:rPr>
                <w:sz w:val="18"/>
              </w:rPr>
            </w:pPr>
            <w:r>
              <w:rPr>
                <w:sz w:val="18"/>
              </w:rPr>
              <w:t>17,417</w:t>
            </w:r>
          </w:p>
        </w:tc>
        <w:tc>
          <w:tcPr>
            <w:tcW w:w="1058" w:type="dxa"/>
          </w:tcPr>
          <w:p>
            <w:pPr>
              <w:pStyle w:val="TableParagraph"/>
              <w:spacing w:before="133"/>
              <w:ind w:left="107"/>
              <w:rPr>
                <w:sz w:val="18"/>
              </w:rPr>
            </w:pPr>
            <w:r>
              <w:rPr>
                <w:sz w:val="18"/>
              </w:rPr>
              <w:t>$1,807,800</w:t>
            </w:r>
          </w:p>
        </w:tc>
        <w:tc>
          <w:tcPr>
            <w:tcW w:w="1107" w:type="dxa"/>
          </w:tcPr>
          <w:p>
            <w:pPr>
              <w:pStyle w:val="TableParagraph"/>
              <w:spacing w:before="133"/>
              <w:ind w:left="107"/>
              <w:rPr>
                <w:sz w:val="18"/>
              </w:rPr>
            </w:pPr>
            <w:r>
              <w:rPr>
                <w:sz w:val="18"/>
              </w:rPr>
              <w:t>28.4</w:t>
            </w:r>
          </w:p>
        </w:tc>
      </w:tr>
    </w:tbl>
    <w:p>
      <w:pPr>
        <w:pStyle w:val="BodyText"/>
        <w:rPr>
          <w:b/>
          <w:sz w:val="20"/>
        </w:rPr>
      </w:pPr>
    </w:p>
    <w:p>
      <w:pPr>
        <w:pStyle w:val="BodyText"/>
        <w:spacing w:before="8"/>
        <w:rPr>
          <w:b/>
          <w:sz w:val="26"/>
        </w:rPr>
      </w:pPr>
    </w:p>
    <w:p>
      <w:pPr>
        <w:pStyle w:val="Heading4"/>
        <w:numPr>
          <w:ilvl w:val="2"/>
          <w:numId w:val="12"/>
        </w:numPr>
        <w:tabs>
          <w:tab w:pos="1981" w:val="left" w:leader="none"/>
          <w:tab w:pos="1982" w:val="left" w:leader="none"/>
        </w:tabs>
        <w:spacing w:line="309" w:lineRule="auto" w:before="51" w:after="0"/>
        <w:ind w:left="1982" w:right="2809" w:hanging="720"/>
        <w:jc w:val="left"/>
      </w:pPr>
      <w:r>
        <w:rPr/>
        <w:t>Recommendation 1 – Clarifying item 18213 - intravenous regional anaesthesia</w:t>
      </w:r>
    </w:p>
    <w:p>
      <w:pPr>
        <w:pStyle w:val="BodyText"/>
        <w:spacing w:before="123"/>
        <w:ind w:left="1262"/>
      </w:pPr>
      <w:r>
        <w:rPr/>
        <w:t>The Committee recommends:</w:t>
      </w:r>
    </w:p>
    <w:p>
      <w:pPr>
        <w:pStyle w:val="BodyText"/>
        <w:spacing w:before="4"/>
        <w:rPr>
          <w:sz w:val="16"/>
        </w:rPr>
      </w:pPr>
    </w:p>
    <w:p>
      <w:pPr>
        <w:pStyle w:val="ListParagraph"/>
        <w:numPr>
          <w:ilvl w:val="3"/>
          <w:numId w:val="12"/>
        </w:numPr>
        <w:tabs>
          <w:tab w:pos="2035" w:val="left" w:leader="none"/>
        </w:tabs>
        <w:spacing w:line="240" w:lineRule="auto" w:before="0" w:after="0"/>
        <w:ind w:left="2034" w:right="0" w:hanging="361"/>
        <w:jc w:val="left"/>
        <w:rPr>
          <w:sz w:val="22"/>
        </w:rPr>
      </w:pPr>
      <w:r>
        <w:rPr>
          <w:sz w:val="22"/>
        </w:rPr>
        <w:t>Deleting item number</w:t>
      </w:r>
      <w:r>
        <w:rPr>
          <w:spacing w:val="-2"/>
          <w:sz w:val="22"/>
        </w:rPr>
        <w:t> </w:t>
      </w:r>
      <w:r>
        <w:rPr>
          <w:sz w:val="22"/>
        </w:rPr>
        <w:t>14209</w:t>
      </w:r>
    </w:p>
    <w:p>
      <w:pPr>
        <w:pStyle w:val="BodyText"/>
        <w:spacing w:before="6"/>
        <w:rPr>
          <w:sz w:val="16"/>
        </w:rPr>
      </w:pPr>
    </w:p>
    <w:p>
      <w:pPr>
        <w:pStyle w:val="ListParagraph"/>
        <w:numPr>
          <w:ilvl w:val="3"/>
          <w:numId w:val="12"/>
        </w:numPr>
        <w:tabs>
          <w:tab w:pos="2035" w:val="left" w:leader="none"/>
        </w:tabs>
        <w:spacing w:line="240" w:lineRule="auto" w:before="0" w:after="0"/>
        <w:ind w:left="2034" w:right="0" w:hanging="361"/>
        <w:jc w:val="left"/>
        <w:rPr>
          <w:sz w:val="22"/>
        </w:rPr>
      </w:pPr>
      <w:r>
        <w:rPr>
          <w:sz w:val="22"/>
        </w:rPr>
        <w:t>Amending item 18213 descriptor</w:t>
      </w:r>
      <w:r>
        <w:rPr>
          <w:spacing w:val="-3"/>
          <w:sz w:val="22"/>
        </w:rPr>
        <w:t> </w:t>
      </w:r>
      <w:r>
        <w:rPr>
          <w:sz w:val="22"/>
        </w:rPr>
        <w:t>to:</w:t>
      </w:r>
    </w:p>
    <w:p>
      <w:pPr>
        <w:pStyle w:val="BodyText"/>
        <w:spacing w:before="9"/>
        <w:rPr>
          <w:sz w:val="11"/>
        </w:rPr>
      </w:pPr>
      <w:r>
        <w:rPr/>
        <w:pict>
          <v:shape style="position:absolute;margin-left:85.050003pt;margin-top:10.146406pt;width:414.3pt;height:73.55pt;mso-position-horizontal-relative:page;mso-position-vertical-relative:paragraph;z-index:-15626752;mso-wrap-distance-left:0;mso-wrap-distance-right:0" type="#_x0000_t202" filled="false" stroked="true" strokeweight="2pt" strokecolor="#c0504d">
            <v:textbox inset="0,0,0,0">
              <w:txbxContent>
                <w:p>
                  <w:pPr>
                    <w:spacing w:before="70"/>
                    <w:ind w:left="144" w:right="0" w:firstLine="0"/>
                    <w:jc w:val="left"/>
                    <w:rPr>
                      <w:b/>
                      <w:sz w:val="22"/>
                    </w:rPr>
                  </w:pPr>
                  <w:r>
                    <w:rPr>
                      <w:b/>
                      <w:sz w:val="22"/>
                    </w:rPr>
                    <w:t>Item 18213</w:t>
                  </w:r>
                </w:p>
                <w:p>
                  <w:pPr>
                    <w:pStyle w:val="BodyText"/>
                    <w:spacing w:before="4"/>
                    <w:rPr>
                      <w:b/>
                      <w:sz w:val="21"/>
                    </w:rPr>
                  </w:pPr>
                </w:p>
                <w:p>
                  <w:pPr>
                    <w:pStyle w:val="BodyText"/>
                    <w:spacing w:line="312" w:lineRule="auto"/>
                    <w:ind w:left="144" w:right="946"/>
                  </w:pPr>
                  <w:r>
                    <w:rPr/>
                    <w:t>INTRAVENOUS REGIONAL ANAESTHESIA of limb by retrograde perfusion of local anaesthetic agent.</w:t>
                  </w:r>
                </w:p>
              </w:txbxContent>
            </v:textbox>
            <v:stroke dashstyle="solid"/>
            <w10:wrap type="topAndBottom"/>
          </v:shape>
        </w:pict>
      </w:r>
    </w:p>
    <w:p>
      <w:pPr>
        <w:pStyle w:val="BodyText"/>
      </w:pPr>
    </w:p>
    <w:p>
      <w:pPr>
        <w:pStyle w:val="BodyText"/>
        <w:spacing w:before="2"/>
        <w:rPr>
          <w:sz w:val="31"/>
        </w:rPr>
      </w:pPr>
    </w:p>
    <w:p>
      <w:pPr>
        <w:pStyle w:val="Heading4"/>
        <w:tabs>
          <w:tab w:pos="2397" w:val="left" w:leader="none"/>
        </w:tabs>
        <w:spacing w:before="0"/>
        <w:ind w:left="1262" w:firstLine="0"/>
      </w:pPr>
      <w:r>
        <w:rPr/>
        <w:t>4.1.1.1</w:t>
        <w:tab/>
        <w:t>Rationale 1</w:t>
      </w:r>
    </w:p>
    <w:p>
      <w:pPr>
        <w:pStyle w:val="BodyText"/>
        <w:spacing w:before="10"/>
        <w:rPr>
          <w:b/>
          <w:sz w:val="21"/>
        </w:rPr>
      </w:pPr>
    </w:p>
    <w:p>
      <w:pPr>
        <w:pStyle w:val="BodyText"/>
        <w:spacing w:line="312" w:lineRule="auto"/>
        <w:ind w:left="1262" w:right="2204"/>
      </w:pPr>
      <w:r>
        <w:rPr/>
        <w:t>The items 14209 and 18213 provide for intra-arterial infusion or retrograde intravenous perfusion of a sympatholytic agent and intravenous regional anaesthesia of limb by retrograde perfusion respectively.</w:t>
      </w:r>
    </w:p>
    <w:p>
      <w:pPr>
        <w:pStyle w:val="BodyText"/>
        <w:spacing w:line="314" w:lineRule="auto" w:before="179"/>
        <w:ind w:left="1262" w:right="2120"/>
      </w:pPr>
      <w:r>
        <w:rPr/>
        <w:t>This recommendation focuses on ensuring best practice based on scientific evidence and increasing clarity. It is based on the following assessment:</w:t>
      </w:r>
    </w:p>
    <w:p>
      <w:pPr>
        <w:pStyle w:val="BodyText"/>
        <w:spacing w:line="312" w:lineRule="auto" w:before="68"/>
        <w:ind w:left="2123" w:right="1696"/>
      </w:pPr>
      <w:r>
        <w:rPr/>
        <w:drawing>
          <wp:anchor distT="0" distB="0" distL="0" distR="0" allowOverlap="1" layoutInCell="1" locked="0" behindDoc="0" simplePos="0" relativeHeight="15831040">
            <wp:simplePos x="0" y="0"/>
            <wp:positionH relativeFrom="page">
              <wp:posOffset>1362646</wp:posOffset>
            </wp:positionH>
            <wp:positionV relativeFrom="paragraph">
              <wp:posOffset>111107</wp:posOffset>
            </wp:positionV>
            <wp:extent cx="52387" cy="52387"/>
            <wp:effectExtent l="0" t="0" r="0" b="0"/>
            <wp:wrapNone/>
            <wp:docPr id="427" name="image176.png"/>
            <wp:cNvGraphicFramePr>
              <a:graphicFrameLocks noChangeAspect="1"/>
            </wp:cNvGraphicFramePr>
            <a:graphic>
              <a:graphicData uri="http://schemas.openxmlformats.org/drawingml/2006/picture">
                <pic:pic>
                  <pic:nvPicPr>
                    <pic:cNvPr id="428" name="image176.png"/>
                    <pic:cNvPicPr/>
                  </pic:nvPicPr>
                  <pic:blipFill>
                    <a:blip r:embed="rId184" cstate="print"/>
                    <a:stretch>
                      <a:fillRect/>
                    </a:stretch>
                  </pic:blipFill>
                  <pic:spPr>
                    <a:xfrm>
                      <a:off x="0" y="0"/>
                      <a:ext cx="52387" cy="52387"/>
                    </a:xfrm>
                    <a:prstGeom prst="rect">
                      <a:avLst/>
                    </a:prstGeom>
                  </pic:spPr>
                </pic:pic>
              </a:graphicData>
            </a:graphic>
          </wp:anchor>
        </w:drawing>
      </w:r>
      <w:r>
        <w:rPr/>
        <w:t>The Committee considered that item 14209 was no longer required as current scientific evidence does not support the use of a sympatholytic agent as described in 14209. With the removal of “sympatholytic agent” from the item descriptor, this item becomes redundant. The Committee were of the opinion that the item may be</w:t>
      </w:r>
    </w:p>
    <w:p>
      <w:pPr>
        <w:spacing w:after="0" w:line="312" w:lineRule="auto"/>
        <w:sectPr>
          <w:pgSz w:w="11910" w:h="16840"/>
          <w:pgMar w:header="672" w:footer="734" w:top="1300" w:bottom="920" w:left="440" w:right="140"/>
        </w:sectPr>
      </w:pPr>
    </w:p>
    <w:p>
      <w:pPr>
        <w:pStyle w:val="BodyText"/>
        <w:rPr>
          <w:sz w:val="20"/>
        </w:rPr>
      </w:pPr>
    </w:p>
    <w:p>
      <w:pPr>
        <w:pStyle w:val="BodyText"/>
        <w:spacing w:before="3"/>
        <w:rPr>
          <w:sz w:val="24"/>
        </w:rPr>
      </w:pPr>
    </w:p>
    <w:p>
      <w:pPr>
        <w:pStyle w:val="BodyText"/>
        <w:spacing w:line="312" w:lineRule="auto" w:before="57"/>
        <w:ind w:left="2123" w:right="1982"/>
      </w:pPr>
      <w:r>
        <w:rPr/>
        <w:t>being inappropriately used for regional anaesthetic of a limb which is covered by item number 18213.</w:t>
      </w:r>
    </w:p>
    <w:p>
      <w:pPr>
        <w:pStyle w:val="BodyText"/>
        <w:spacing w:line="312" w:lineRule="auto" w:before="132"/>
        <w:ind w:left="2123" w:right="1834"/>
      </w:pPr>
      <w:r>
        <w:rPr/>
        <w:t>The Committee believes it’s more appropriate for providers to use item 18213, for retrograde intravenous perfusion as the use of local anaesthetic for pain management has benefit in select cases.</w:t>
      </w:r>
    </w:p>
    <w:p>
      <w:pPr>
        <w:pStyle w:val="BodyText"/>
        <w:spacing w:line="312" w:lineRule="auto" w:before="131"/>
        <w:ind w:left="2123" w:right="1790"/>
      </w:pPr>
      <w:r>
        <w:rPr/>
        <w:drawing>
          <wp:anchor distT="0" distB="0" distL="0" distR="0" allowOverlap="1" layoutInCell="1" locked="0" behindDoc="0" simplePos="0" relativeHeight="15832576">
            <wp:simplePos x="0" y="0"/>
            <wp:positionH relativeFrom="page">
              <wp:posOffset>1362646</wp:posOffset>
            </wp:positionH>
            <wp:positionV relativeFrom="paragraph">
              <wp:posOffset>152128</wp:posOffset>
            </wp:positionV>
            <wp:extent cx="52387" cy="52387"/>
            <wp:effectExtent l="0" t="0" r="0" b="0"/>
            <wp:wrapNone/>
            <wp:docPr id="433" name="image176.png"/>
            <wp:cNvGraphicFramePr>
              <a:graphicFrameLocks noChangeAspect="1"/>
            </wp:cNvGraphicFramePr>
            <a:graphic>
              <a:graphicData uri="http://schemas.openxmlformats.org/drawingml/2006/picture">
                <pic:pic>
                  <pic:nvPicPr>
                    <pic:cNvPr id="434" name="image176.png"/>
                    <pic:cNvPicPr/>
                  </pic:nvPicPr>
                  <pic:blipFill>
                    <a:blip r:embed="rId184" cstate="print"/>
                    <a:stretch>
                      <a:fillRect/>
                    </a:stretch>
                  </pic:blipFill>
                  <pic:spPr>
                    <a:xfrm>
                      <a:off x="0" y="0"/>
                      <a:ext cx="52387" cy="52387"/>
                    </a:xfrm>
                    <a:prstGeom prst="rect">
                      <a:avLst/>
                    </a:prstGeom>
                  </pic:spPr>
                </pic:pic>
              </a:graphicData>
            </a:graphic>
          </wp:anchor>
        </w:drawing>
      </w:r>
      <w:r>
        <w:rPr/>
        <w:t>The Committee believes that item 18213 remains as contemporary clinical best practice in select cases and that the descriptor change will clarify that other agents are not supported by the evidence.</w:t>
      </w:r>
    </w:p>
    <w:p>
      <w:pPr>
        <w:pStyle w:val="BodyText"/>
        <w:rPr>
          <w:sz w:val="20"/>
        </w:rPr>
      </w:pPr>
    </w:p>
    <w:p>
      <w:pPr>
        <w:pStyle w:val="BodyText"/>
        <w:spacing w:before="4"/>
        <w:rPr>
          <w:sz w:val="24"/>
        </w:rPr>
      </w:pPr>
    </w:p>
    <w:p>
      <w:pPr>
        <w:pStyle w:val="Heading4"/>
        <w:numPr>
          <w:ilvl w:val="2"/>
          <w:numId w:val="12"/>
        </w:numPr>
        <w:tabs>
          <w:tab w:pos="1981" w:val="left" w:leader="none"/>
          <w:tab w:pos="1982" w:val="left" w:leader="none"/>
        </w:tabs>
        <w:spacing w:line="309" w:lineRule="auto" w:before="51" w:after="0"/>
        <w:ind w:left="1982" w:right="1707" w:hanging="720"/>
        <w:jc w:val="left"/>
      </w:pPr>
      <w:r>
        <w:rPr/>
        <w:t>Recommendation 2 – Clarifying items 18222 and 18225 - continuous infusion by</w:t>
      </w:r>
      <w:r>
        <w:rPr>
          <w:spacing w:val="-2"/>
        </w:rPr>
        <w:t> </w:t>
      </w:r>
      <w:r>
        <w:rPr/>
        <w:t>catheter</w:t>
      </w:r>
    </w:p>
    <w:p>
      <w:pPr>
        <w:pStyle w:val="BodyText"/>
        <w:spacing w:before="123"/>
        <w:ind w:left="1262"/>
      </w:pPr>
      <w:r>
        <w:rPr/>
        <w:t>The Committee recommends amending the item descriptors to (additions in bold):</w:t>
      </w:r>
    </w:p>
    <w:p>
      <w:pPr>
        <w:pStyle w:val="BodyText"/>
        <w:rPr>
          <w:sz w:val="20"/>
        </w:rPr>
      </w:pPr>
    </w:p>
    <w:p>
      <w:pPr>
        <w:pStyle w:val="BodyText"/>
        <w:spacing w:before="4"/>
        <w:rPr>
          <w:sz w:val="20"/>
        </w:rPr>
      </w:pPr>
      <w:r>
        <w:rPr/>
        <w:pict>
          <v:shape style="position:absolute;margin-left:85.050003pt;margin-top:15.392891pt;width:414.3pt;height:91pt;mso-position-horizontal-relative:page;mso-position-vertical-relative:paragraph;z-index:-15625728;mso-wrap-distance-left:0;mso-wrap-distance-right:0" type="#_x0000_t202" filled="false" stroked="true" strokeweight="2pt" strokecolor="#c0504d">
            <v:textbox inset="0,0,0,0">
              <w:txbxContent>
                <w:p>
                  <w:pPr>
                    <w:spacing w:before="71"/>
                    <w:ind w:left="144" w:right="0" w:firstLine="0"/>
                    <w:jc w:val="left"/>
                    <w:rPr>
                      <w:b/>
                      <w:sz w:val="22"/>
                    </w:rPr>
                  </w:pPr>
                  <w:r>
                    <w:rPr>
                      <w:b/>
                      <w:sz w:val="22"/>
                    </w:rPr>
                    <w:t>Item 18222</w:t>
                  </w:r>
                </w:p>
                <w:p>
                  <w:pPr>
                    <w:pStyle w:val="BodyText"/>
                    <w:spacing w:before="3"/>
                    <w:rPr>
                      <w:b/>
                      <w:sz w:val="21"/>
                    </w:rPr>
                  </w:pPr>
                </w:p>
                <w:p>
                  <w:pPr>
                    <w:spacing w:line="312" w:lineRule="auto" w:before="0"/>
                    <w:ind w:left="144" w:right="142" w:firstLine="0"/>
                    <w:jc w:val="left"/>
                    <w:rPr>
                      <w:sz w:val="22"/>
                    </w:rPr>
                  </w:pPr>
                  <w:r>
                    <w:rPr>
                      <w:b/>
                      <w:sz w:val="22"/>
                    </w:rPr>
                    <w:t>Continuous </w:t>
                  </w:r>
                  <w:r>
                    <w:rPr>
                      <w:sz w:val="22"/>
                    </w:rPr>
                    <w:t>infusion </w:t>
                  </w:r>
                  <w:r>
                    <w:rPr>
                      <w:b/>
                      <w:sz w:val="22"/>
                    </w:rPr>
                    <w:t>or injection by catheter </w:t>
                  </w:r>
                  <w:r>
                    <w:rPr>
                      <w:sz w:val="22"/>
                    </w:rPr>
                    <w:t>of a therapeutic substance </w:t>
                  </w:r>
                  <w:r>
                    <w:rPr>
                      <w:b/>
                      <w:sz w:val="22"/>
                    </w:rPr>
                    <w:t>(not contrast agent) </w:t>
                  </w:r>
                  <w:r>
                    <w:rPr>
                      <w:sz w:val="22"/>
                    </w:rPr>
                    <w:t>to maintain regional anaesthesia or analgesia, subsequent injection or revision of, where the period of continuous medical practitioner attendance is 15 minutes or less.</w:t>
                  </w:r>
                </w:p>
              </w:txbxContent>
            </v:textbox>
            <v:stroke dashstyle="solid"/>
            <w10:wrap type="topAndBottom"/>
          </v:shape>
        </w:pict>
      </w:r>
    </w:p>
    <w:p>
      <w:pPr>
        <w:pStyle w:val="BodyText"/>
        <w:spacing w:before="179"/>
        <w:ind w:left="1262"/>
      </w:pPr>
      <w:r>
        <w:rPr/>
        <w:t>and</w:t>
      </w:r>
    </w:p>
    <w:p>
      <w:pPr>
        <w:pStyle w:val="BodyText"/>
        <w:spacing w:before="8"/>
        <w:rPr>
          <w:sz w:val="11"/>
        </w:rPr>
      </w:pPr>
      <w:r>
        <w:rPr/>
        <w:pict>
          <v:shape style="position:absolute;margin-left:85.050003pt;margin-top:10.102265pt;width:414.3pt;height:108.5pt;mso-position-horizontal-relative:page;mso-position-vertical-relative:paragraph;z-index:-15625216;mso-wrap-distance-left:0;mso-wrap-distance-right:0" type="#_x0000_t202" filled="false" stroked="true" strokeweight="2pt" strokecolor="#c0504d">
            <v:textbox inset="0,0,0,0">
              <w:txbxContent>
                <w:p>
                  <w:pPr>
                    <w:spacing w:before="71"/>
                    <w:ind w:left="144" w:right="0" w:firstLine="0"/>
                    <w:jc w:val="left"/>
                    <w:rPr>
                      <w:b/>
                      <w:sz w:val="22"/>
                    </w:rPr>
                  </w:pPr>
                  <w:r>
                    <w:rPr>
                      <w:b/>
                      <w:sz w:val="22"/>
                    </w:rPr>
                    <w:t>Item 18225</w:t>
                  </w:r>
                </w:p>
                <w:p>
                  <w:pPr>
                    <w:pStyle w:val="BodyText"/>
                    <w:spacing w:before="3"/>
                    <w:rPr>
                      <w:b/>
                      <w:sz w:val="21"/>
                    </w:rPr>
                  </w:pPr>
                </w:p>
                <w:p>
                  <w:pPr>
                    <w:spacing w:line="314" w:lineRule="auto" w:before="0"/>
                    <w:ind w:left="144" w:right="142" w:firstLine="0"/>
                    <w:jc w:val="left"/>
                    <w:rPr>
                      <w:sz w:val="22"/>
                    </w:rPr>
                  </w:pPr>
                  <w:r>
                    <w:rPr>
                      <w:b/>
                      <w:sz w:val="22"/>
                    </w:rPr>
                    <w:t>Continuous </w:t>
                  </w:r>
                  <w:r>
                    <w:rPr>
                      <w:sz w:val="22"/>
                    </w:rPr>
                    <w:t>infusion </w:t>
                  </w:r>
                  <w:r>
                    <w:rPr>
                      <w:b/>
                      <w:sz w:val="22"/>
                    </w:rPr>
                    <w:t>or injection by catheter </w:t>
                  </w:r>
                  <w:r>
                    <w:rPr>
                      <w:sz w:val="22"/>
                    </w:rPr>
                    <w:t>of a therapeutic substance </w:t>
                  </w:r>
                  <w:r>
                    <w:rPr>
                      <w:b/>
                      <w:sz w:val="22"/>
                    </w:rPr>
                    <w:t>(not contrast agent) </w:t>
                  </w:r>
                  <w:r>
                    <w:rPr>
                      <w:sz w:val="22"/>
                    </w:rPr>
                    <w:t>to maintain regional anaesthesia or analgesia, subsequent injection or revision of, where the period of continuous medical practitioner attendance is more than 15 minutes.</w:t>
                  </w:r>
                </w:p>
              </w:txbxContent>
            </v:textbox>
            <v:stroke dashstyle="solid"/>
            <w10:wrap type="topAndBottom"/>
          </v:shape>
        </w:pict>
      </w:r>
    </w:p>
    <w:p>
      <w:pPr>
        <w:pStyle w:val="BodyText"/>
      </w:pPr>
    </w:p>
    <w:p>
      <w:pPr>
        <w:pStyle w:val="BodyText"/>
        <w:spacing w:before="4"/>
        <w:rPr>
          <w:sz w:val="31"/>
        </w:rPr>
      </w:pPr>
    </w:p>
    <w:p>
      <w:pPr>
        <w:pStyle w:val="Heading4"/>
        <w:tabs>
          <w:tab w:pos="2397" w:val="left" w:leader="none"/>
        </w:tabs>
        <w:spacing w:before="0"/>
        <w:ind w:left="1262" w:firstLine="0"/>
      </w:pPr>
      <w:r>
        <w:rPr/>
        <w:t>4.1.2.1</w:t>
        <w:tab/>
        <w:t>Rationale 2</w:t>
      </w:r>
    </w:p>
    <w:p>
      <w:pPr>
        <w:pStyle w:val="BodyText"/>
        <w:spacing w:before="8"/>
        <w:rPr>
          <w:b/>
          <w:sz w:val="21"/>
        </w:rPr>
      </w:pPr>
    </w:p>
    <w:p>
      <w:pPr>
        <w:pStyle w:val="BodyText"/>
        <w:spacing w:line="312" w:lineRule="auto"/>
        <w:ind w:left="1262" w:right="1746"/>
      </w:pPr>
      <w:r>
        <w:rPr/>
        <w:t>This recommendation focuses on increasing clarity of intended use of the items and ensuring value for the health system. It is based on the following assessment:</w:t>
      </w:r>
    </w:p>
    <w:p>
      <w:pPr>
        <w:pStyle w:val="BodyText"/>
        <w:spacing w:line="312" w:lineRule="auto" w:before="72"/>
        <w:ind w:left="2123" w:right="1903"/>
      </w:pPr>
      <w:r>
        <w:rPr/>
        <w:drawing>
          <wp:anchor distT="0" distB="0" distL="0" distR="0" allowOverlap="1" layoutInCell="1" locked="0" behindDoc="0" simplePos="0" relativeHeight="15833088">
            <wp:simplePos x="0" y="0"/>
            <wp:positionH relativeFrom="page">
              <wp:posOffset>1362646</wp:posOffset>
            </wp:positionH>
            <wp:positionV relativeFrom="paragraph">
              <wp:posOffset>113647</wp:posOffset>
            </wp:positionV>
            <wp:extent cx="52387" cy="52387"/>
            <wp:effectExtent l="0" t="0" r="0" b="0"/>
            <wp:wrapNone/>
            <wp:docPr id="435" name="image175.png"/>
            <wp:cNvGraphicFramePr>
              <a:graphicFrameLocks noChangeAspect="1"/>
            </wp:cNvGraphicFramePr>
            <a:graphic>
              <a:graphicData uri="http://schemas.openxmlformats.org/drawingml/2006/picture">
                <pic:pic>
                  <pic:nvPicPr>
                    <pic:cNvPr id="436" name="image175.png"/>
                    <pic:cNvPicPr/>
                  </pic:nvPicPr>
                  <pic:blipFill>
                    <a:blip r:embed="rId183" cstate="print"/>
                    <a:stretch>
                      <a:fillRect/>
                    </a:stretch>
                  </pic:blipFill>
                  <pic:spPr>
                    <a:xfrm>
                      <a:off x="0" y="0"/>
                      <a:ext cx="52387" cy="52387"/>
                    </a:xfrm>
                    <a:prstGeom prst="rect">
                      <a:avLst/>
                    </a:prstGeom>
                  </pic:spPr>
                </pic:pic>
              </a:graphicData>
            </a:graphic>
          </wp:anchor>
        </w:drawing>
      </w:r>
      <w:r>
        <w:rPr/>
        <w:t>The Committee was of the opinion that these items are at times being used when injecting contrast in diagnostic radiology procedures despite this not providing regional anaesthesia and when there are adequate numbers available for those procedures.</w:t>
      </w:r>
    </w:p>
    <w:p>
      <w:pPr>
        <w:spacing w:after="0" w:line="312" w:lineRule="auto"/>
        <w:sectPr>
          <w:headerReference w:type="default" r:id="rId214"/>
          <w:footerReference w:type="default" r:id="rId215"/>
          <w:pgSz w:w="11910" w:h="16840"/>
          <w:pgMar w:header="672" w:footer="978" w:top="1300" w:bottom="1160" w:left="440" w:right="140"/>
        </w:sectPr>
      </w:pPr>
    </w:p>
    <w:p>
      <w:pPr>
        <w:pStyle w:val="BodyText"/>
        <w:rPr>
          <w:sz w:val="20"/>
        </w:rPr>
      </w:pPr>
    </w:p>
    <w:p>
      <w:pPr>
        <w:pStyle w:val="BodyText"/>
        <w:spacing w:before="3"/>
        <w:rPr>
          <w:sz w:val="25"/>
        </w:rPr>
      </w:pPr>
    </w:p>
    <w:p>
      <w:pPr>
        <w:pStyle w:val="BodyText"/>
        <w:spacing w:line="312" w:lineRule="auto" w:before="57"/>
        <w:ind w:left="2123" w:right="2164"/>
      </w:pPr>
      <w:r>
        <w:rPr/>
        <w:t>The Committee considers that amending the descriptors will ensure that these items are not used for diagnostic radiology purposes.</w:t>
      </w:r>
    </w:p>
    <w:p>
      <w:pPr>
        <w:pStyle w:val="Heading4"/>
        <w:numPr>
          <w:ilvl w:val="2"/>
          <w:numId w:val="12"/>
        </w:numPr>
        <w:tabs>
          <w:tab w:pos="1981" w:val="left" w:leader="none"/>
          <w:tab w:pos="1982" w:val="left" w:leader="none"/>
        </w:tabs>
        <w:spacing w:line="309" w:lineRule="auto" w:before="122" w:after="0"/>
        <w:ind w:left="1982" w:right="1705" w:hanging="720"/>
        <w:jc w:val="left"/>
      </w:pPr>
      <w:r>
        <w:rPr/>
        <w:t>Recommendation 3 – Clarifying item 18230 - intrathecal or epidural injection of neurolytic</w:t>
      </w:r>
      <w:r>
        <w:rPr>
          <w:spacing w:val="1"/>
        </w:rPr>
        <w:t> </w:t>
      </w:r>
      <w:r>
        <w:rPr/>
        <w:t>substance</w:t>
      </w:r>
    </w:p>
    <w:p>
      <w:pPr>
        <w:pStyle w:val="BodyText"/>
        <w:spacing w:before="123"/>
        <w:ind w:left="1262"/>
      </w:pPr>
      <w:r>
        <w:rPr/>
        <w:t>The Committee recommends amending the item descriptor to (additions in bold):</w:t>
      </w:r>
    </w:p>
    <w:p>
      <w:pPr>
        <w:pStyle w:val="BodyText"/>
        <w:spacing w:before="9"/>
        <w:rPr>
          <w:sz w:val="11"/>
        </w:rPr>
      </w:pPr>
      <w:r>
        <w:rPr/>
        <w:pict>
          <v:shape style="position:absolute;margin-left:85.050003pt;margin-top:10.151367pt;width:414.3pt;height:73.55pt;mso-position-horizontal-relative:page;mso-position-vertical-relative:paragraph;z-index:-15623680;mso-wrap-distance-left:0;mso-wrap-distance-right:0" type="#_x0000_t202" filled="false" stroked="true" strokeweight="2pt" strokecolor="#c0504d">
            <v:textbox inset="0,0,0,0">
              <w:txbxContent>
                <w:p>
                  <w:pPr>
                    <w:spacing w:before="70"/>
                    <w:ind w:left="144" w:right="0" w:firstLine="0"/>
                    <w:jc w:val="left"/>
                    <w:rPr>
                      <w:b/>
                      <w:sz w:val="22"/>
                    </w:rPr>
                  </w:pPr>
                  <w:r>
                    <w:rPr>
                      <w:b/>
                      <w:sz w:val="22"/>
                    </w:rPr>
                    <w:t>Item 18230</w:t>
                  </w:r>
                </w:p>
                <w:p>
                  <w:pPr>
                    <w:pStyle w:val="BodyText"/>
                    <w:spacing w:before="3"/>
                    <w:rPr>
                      <w:b/>
                      <w:sz w:val="21"/>
                    </w:rPr>
                  </w:pPr>
                </w:p>
                <w:p>
                  <w:pPr>
                    <w:spacing w:line="312" w:lineRule="auto" w:before="0"/>
                    <w:ind w:left="144" w:right="387" w:firstLine="0"/>
                    <w:jc w:val="left"/>
                    <w:rPr>
                      <w:sz w:val="22"/>
                    </w:rPr>
                  </w:pPr>
                  <w:r>
                    <w:rPr>
                      <w:sz w:val="22"/>
                    </w:rPr>
                    <w:t>INTRATHECAL or EPIDURAL INJECTION of neurolytic substance </w:t>
                  </w:r>
                  <w:r>
                    <w:rPr>
                      <w:b/>
                      <w:sz w:val="22"/>
                    </w:rPr>
                    <w:t>(not contrast agent) by any route, including transforaminal, for the palliative treatment of pain </w:t>
                  </w:r>
                  <w:r>
                    <w:rPr>
                      <w:sz w:val="22"/>
                    </w:rPr>
                    <w:t>(Anaes.)</w:t>
                  </w:r>
                </w:p>
              </w:txbxContent>
            </v:textbox>
            <v:stroke dashstyle="solid"/>
            <w10:wrap type="topAndBottom"/>
          </v:shape>
        </w:pict>
      </w:r>
    </w:p>
    <w:p>
      <w:pPr>
        <w:pStyle w:val="BodyText"/>
      </w:pPr>
    </w:p>
    <w:p>
      <w:pPr>
        <w:pStyle w:val="BodyText"/>
        <w:spacing w:before="2"/>
        <w:rPr>
          <w:sz w:val="31"/>
        </w:rPr>
      </w:pPr>
    </w:p>
    <w:p>
      <w:pPr>
        <w:pStyle w:val="Heading4"/>
        <w:tabs>
          <w:tab w:pos="2397" w:val="left" w:leader="none"/>
        </w:tabs>
        <w:spacing w:before="0"/>
        <w:ind w:left="1262" w:firstLine="0"/>
      </w:pPr>
      <w:r>
        <w:rPr/>
        <w:t>4.1.3.1</w:t>
        <w:tab/>
        <w:t>Rationale 3</w:t>
      </w:r>
    </w:p>
    <w:p>
      <w:pPr>
        <w:pStyle w:val="BodyText"/>
        <w:spacing w:before="206"/>
        <w:ind w:left="1262"/>
      </w:pPr>
      <w:r>
        <w:rPr/>
        <w:t>This item provides for intrathecal or epidural injection of neurolytic substance.</w:t>
      </w:r>
    </w:p>
    <w:p>
      <w:pPr>
        <w:pStyle w:val="BodyText"/>
        <w:spacing w:before="5"/>
        <w:rPr>
          <w:sz w:val="21"/>
        </w:rPr>
      </w:pPr>
    </w:p>
    <w:p>
      <w:pPr>
        <w:pStyle w:val="BodyText"/>
        <w:spacing w:line="312" w:lineRule="auto"/>
        <w:ind w:left="1262" w:right="2264"/>
      </w:pPr>
      <w:r>
        <w:rPr/>
        <w:t>This recommendation focuses on increasing the clarity of its intended use and ensuring greater value for the health system. It is based on the following assessment:</w:t>
      </w:r>
    </w:p>
    <w:p>
      <w:pPr>
        <w:pStyle w:val="BodyText"/>
        <w:spacing w:line="312" w:lineRule="auto" w:before="73"/>
        <w:ind w:left="2123" w:right="1664"/>
      </w:pPr>
      <w:r>
        <w:rPr/>
        <w:drawing>
          <wp:anchor distT="0" distB="0" distL="0" distR="0" allowOverlap="1" layoutInCell="1" locked="0" behindDoc="0" simplePos="0" relativeHeight="15834624">
            <wp:simplePos x="0" y="0"/>
            <wp:positionH relativeFrom="page">
              <wp:posOffset>1362646</wp:posOffset>
            </wp:positionH>
            <wp:positionV relativeFrom="paragraph">
              <wp:posOffset>114917</wp:posOffset>
            </wp:positionV>
            <wp:extent cx="52387" cy="52387"/>
            <wp:effectExtent l="0" t="0" r="0" b="0"/>
            <wp:wrapNone/>
            <wp:docPr id="437" name="image175.png"/>
            <wp:cNvGraphicFramePr>
              <a:graphicFrameLocks noChangeAspect="1"/>
            </wp:cNvGraphicFramePr>
            <a:graphic>
              <a:graphicData uri="http://schemas.openxmlformats.org/drawingml/2006/picture">
                <pic:pic>
                  <pic:nvPicPr>
                    <pic:cNvPr id="438" name="image175.png"/>
                    <pic:cNvPicPr/>
                  </pic:nvPicPr>
                  <pic:blipFill>
                    <a:blip r:embed="rId183" cstate="print"/>
                    <a:stretch>
                      <a:fillRect/>
                    </a:stretch>
                  </pic:blipFill>
                  <pic:spPr>
                    <a:xfrm>
                      <a:off x="0" y="0"/>
                      <a:ext cx="52387" cy="52387"/>
                    </a:xfrm>
                    <a:prstGeom prst="rect">
                      <a:avLst/>
                    </a:prstGeom>
                  </pic:spPr>
                </pic:pic>
              </a:graphicData>
            </a:graphic>
          </wp:anchor>
        </w:drawing>
      </w:r>
      <w:r>
        <w:rPr/>
        <w:t>The Committee are of the opinion that amending the descriptors will ensure the use of this item is not for diagnostic radiology procedures that use contrast. The item should not be used for diagnostic radiology purposes as adequate item numbers already exist for that practice and contrast is not a neurolytic substance.</w:t>
      </w:r>
    </w:p>
    <w:p>
      <w:pPr>
        <w:pStyle w:val="BodyText"/>
        <w:spacing w:line="312" w:lineRule="auto" w:before="130"/>
        <w:ind w:left="2123" w:right="2095"/>
      </w:pPr>
      <w:r>
        <w:rPr/>
        <w:drawing>
          <wp:anchor distT="0" distB="0" distL="0" distR="0" allowOverlap="1" layoutInCell="1" locked="0" behindDoc="0" simplePos="0" relativeHeight="15835136">
            <wp:simplePos x="0" y="0"/>
            <wp:positionH relativeFrom="page">
              <wp:posOffset>1362646</wp:posOffset>
            </wp:positionH>
            <wp:positionV relativeFrom="paragraph">
              <wp:posOffset>150858</wp:posOffset>
            </wp:positionV>
            <wp:extent cx="52387" cy="52387"/>
            <wp:effectExtent l="0" t="0" r="0" b="0"/>
            <wp:wrapNone/>
            <wp:docPr id="439" name="image176.png"/>
            <wp:cNvGraphicFramePr>
              <a:graphicFrameLocks noChangeAspect="1"/>
            </wp:cNvGraphicFramePr>
            <a:graphic>
              <a:graphicData uri="http://schemas.openxmlformats.org/drawingml/2006/picture">
                <pic:pic>
                  <pic:nvPicPr>
                    <pic:cNvPr id="440" name="image176.png"/>
                    <pic:cNvPicPr/>
                  </pic:nvPicPr>
                  <pic:blipFill>
                    <a:blip r:embed="rId184" cstate="print"/>
                    <a:stretch>
                      <a:fillRect/>
                    </a:stretch>
                  </pic:blipFill>
                  <pic:spPr>
                    <a:xfrm>
                      <a:off x="0" y="0"/>
                      <a:ext cx="52387" cy="52387"/>
                    </a:xfrm>
                    <a:prstGeom prst="rect">
                      <a:avLst/>
                    </a:prstGeom>
                  </pic:spPr>
                </pic:pic>
              </a:graphicData>
            </a:graphic>
          </wp:anchor>
        </w:drawing>
      </w:r>
      <w:r>
        <w:rPr/>
        <w:t>Diagnostic radiology procedures will be specifically excluded from this item and item 18232.</w:t>
      </w:r>
    </w:p>
    <w:p>
      <w:pPr>
        <w:pStyle w:val="BodyText"/>
        <w:spacing w:line="312" w:lineRule="auto" w:before="132"/>
        <w:ind w:left="2123" w:right="1714"/>
      </w:pPr>
      <w:r>
        <w:rPr/>
        <w:drawing>
          <wp:anchor distT="0" distB="0" distL="0" distR="0" allowOverlap="1" layoutInCell="1" locked="0" behindDoc="0" simplePos="0" relativeHeight="15835648">
            <wp:simplePos x="0" y="0"/>
            <wp:positionH relativeFrom="page">
              <wp:posOffset>1362646</wp:posOffset>
            </wp:positionH>
            <wp:positionV relativeFrom="paragraph">
              <wp:posOffset>152128</wp:posOffset>
            </wp:positionV>
            <wp:extent cx="52387" cy="52387"/>
            <wp:effectExtent l="0" t="0" r="0" b="0"/>
            <wp:wrapNone/>
            <wp:docPr id="441" name="image176.png"/>
            <wp:cNvGraphicFramePr>
              <a:graphicFrameLocks noChangeAspect="1"/>
            </wp:cNvGraphicFramePr>
            <a:graphic>
              <a:graphicData uri="http://schemas.openxmlformats.org/drawingml/2006/picture">
                <pic:pic>
                  <pic:nvPicPr>
                    <pic:cNvPr id="442" name="image176.png"/>
                    <pic:cNvPicPr/>
                  </pic:nvPicPr>
                  <pic:blipFill>
                    <a:blip r:embed="rId184" cstate="print"/>
                    <a:stretch>
                      <a:fillRect/>
                    </a:stretch>
                  </pic:blipFill>
                  <pic:spPr>
                    <a:xfrm>
                      <a:off x="0" y="0"/>
                      <a:ext cx="52387" cy="52387"/>
                    </a:xfrm>
                    <a:prstGeom prst="rect">
                      <a:avLst/>
                    </a:prstGeom>
                  </pic:spPr>
                </pic:pic>
              </a:graphicData>
            </a:graphic>
          </wp:anchor>
        </w:drawing>
      </w:r>
      <w:r>
        <w:rPr/>
        <w:t>Intrathecal injection of contrast is already adequately covered by myelography item numbers (56219, 56259, 59724, 59725</w:t>
      </w:r>
      <w:r>
        <w:rPr>
          <w:vertAlign w:val="superscript"/>
        </w:rPr>
        <w:t>3</w:t>
      </w:r>
      <w:r>
        <w:rPr>
          <w:vertAlign w:val="baseline"/>
        </w:rPr>
        <w:t>). Item 18232 has a lower fee which is justified by the Committee as they consider this is the appropriate item number for non-neurolytic epidural injection.</w:t>
      </w:r>
    </w:p>
    <w:p>
      <w:pPr>
        <w:pStyle w:val="BodyText"/>
        <w:spacing w:line="312" w:lineRule="auto" w:before="132"/>
        <w:ind w:left="2123" w:right="1940"/>
      </w:pPr>
      <w:r>
        <w:rPr/>
        <w:drawing>
          <wp:anchor distT="0" distB="0" distL="0" distR="0" allowOverlap="1" layoutInCell="1" locked="0" behindDoc="0" simplePos="0" relativeHeight="15836160">
            <wp:simplePos x="0" y="0"/>
            <wp:positionH relativeFrom="page">
              <wp:posOffset>1362646</wp:posOffset>
            </wp:positionH>
            <wp:positionV relativeFrom="paragraph">
              <wp:posOffset>152128</wp:posOffset>
            </wp:positionV>
            <wp:extent cx="52387" cy="52387"/>
            <wp:effectExtent l="0" t="0" r="0" b="0"/>
            <wp:wrapNone/>
            <wp:docPr id="443" name="image176.png"/>
            <wp:cNvGraphicFramePr>
              <a:graphicFrameLocks noChangeAspect="1"/>
            </wp:cNvGraphicFramePr>
            <a:graphic>
              <a:graphicData uri="http://schemas.openxmlformats.org/drawingml/2006/picture">
                <pic:pic>
                  <pic:nvPicPr>
                    <pic:cNvPr id="444" name="image176.png"/>
                    <pic:cNvPicPr/>
                  </pic:nvPicPr>
                  <pic:blipFill>
                    <a:blip r:embed="rId184" cstate="print"/>
                    <a:stretch>
                      <a:fillRect/>
                    </a:stretch>
                  </pic:blipFill>
                  <pic:spPr>
                    <a:xfrm>
                      <a:off x="0" y="0"/>
                      <a:ext cx="52387" cy="52387"/>
                    </a:xfrm>
                    <a:prstGeom prst="rect">
                      <a:avLst/>
                    </a:prstGeom>
                  </pic:spPr>
                </pic:pic>
              </a:graphicData>
            </a:graphic>
          </wp:anchor>
        </w:drawing>
      </w:r>
      <w:r>
        <w:rPr/>
        <w:t>In amending the descriptor, the Committee have added additional information in relation to route and treatment in order to better clarify the item scope and encourage appropriate claiming.</w:t>
      </w:r>
    </w:p>
    <w:p>
      <w:pPr>
        <w:pStyle w:val="BodyText"/>
        <w:rPr>
          <w:sz w:val="20"/>
        </w:rPr>
      </w:pPr>
    </w:p>
    <w:p>
      <w:pPr>
        <w:pStyle w:val="BodyText"/>
        <w:rPr>
          <w:sz w:val="20"/>
        </w:rPr>
      </w:pPr>
    </w:p>
    <w:p>
      <w:pPr>
        <w:pStyle w:val="BodyText"/>
        <w:rPr>
          <w:sz w:val="20"/>
        </w:rPr>
      </w:pPr>
    </w:p>
    <w:p>
      <w:pPr>
        <w:pStyle w:val="BodyText"/>
        <w:spacing w:before="4"/>
        <w:rPr>
          <w:sz w:val="12"/>
        </w:rPr>
      </w:pPr>
      <w:r>
        <w:rPr/>
        <w:pict>
          <v:rect style="position:absolute;margin-left:85.103996pt;margin-top:9.505928pt;width:144.020pt;height:.71997pt;mso-position-horizontal-relative:page;mso-position-vertical-relative:paragraph;z-index:-15623168;mso-wrap-distance-left:0;mso-wrap-distance-right:0" filled="true" fillcolor="#000000" stroked="false">
            <v:fill type="solid"/>
            <w10:wrap type="topAndBottom"/>
          </v:rect>
        </w:pict>
      </w:r>
    </w:p>
    <w:p>
      <w:pPr>
        <w:pStyle w:val="BodyText"/>
        <w:rPr>
          <w:sz w:val="20"/>
        </w:rPr>
      </w:pPr>
    </w:p>
    <w:p>
      <w:pPr>
        <w:pStyle w:val="BodyText"/>
        <w:rPr>
          <w:sz w:val="20"/>
        </w:rPr>
      </w:pPr>
    </w:p>
    <w:p>
      <w:pPr>
        <w:pStyle w:val="BodyText"/>
        <w:spacing w:before="4"/>
        <w:rPr>
          <w:sz w:val="16"/>
        </w:rPr>
      </w:pPr>
    </w:p>
    <w:p>
      <w:pPr>
        <w:spacing w:line="312" w:lineRule="auto" w:before="77"/>
        <w:ind w:left="1262" w:right="3438" w:firstLine="0"/>
        <w:jc w:val="left"/>
        <w:rPr>
          <w:sz w:val="20"/>
        </w:rPr>
      </w:pPr>
      <w:r>
        <w:rPr>
          <w:sz w:val="20"/>
          <w:vertAlign w:val="superscript"/>
        </w:rPr>
        <w:t>3</w:t>
      </w:r>
      <w:r>
        <w:rPr>
          <w:sz w:val="20"/>
          <w:vertAlign w:val="baseline"/>
        </w:rPr>
        <w:t> Refer to MBS Online at</w:t>
      </w:r>
      <w:hyperlink r:id="rId216">
        <w:r>
          <w:rPr>
            <w:sz w:val="20"/>
            <w:vertAlign w:val="baseline"/>
          </w:rPr>
          <w:t> </w:t>
        </w:r>
        <w:r>
          <w:rPr>
            <w:w w:val="95"/>
            <w:sz w:val="20"/>
            <w:vertAlign w:val="baseline"/>
          </w:rPr>
          <w:t>http://www.mbsonline.gov.au/internet/mbsonline/publishing.nsf/Content/Home</w:t>
        </w:r>
      </w:hyperlink>
    </w:p>
    <w:p>
      <w:pPr>
        <w:spacing w:after="0" w:line="312" w:lineRule="auto"/>
        <w:jc w:val="left"/>
        <w:rPr>
          <w:sz w:val="20"/>
        </w:rPr>
        <w:sectPr>
          <w:pgSz w:w="11910" w:h="16840"/>
          <w:pgMar w:header="672" w:footer="978" w:top="1300" w:bottom="1160" w:left="440" w:right="140"/>
        </w:sectPr>
      </w:pPr>
    </w:p>
    <w:p>
      <w:pPr>
        <w:pStyle w:val="BodyText"/>
        <w:rPr>
          <w:sz w:val="20"/>
        </w:rPr>
      </w:pPr>
    </w:p>
    <w:p>
      <w:pPr>
        <w:pStyle w:val="BodyText"/>
        <w:spacing w:before="11"/>
        <w:rPr>
          <w:sz w:val="24"/>
        </w:rPr>
      </w:pPr>
    </w:p>
    <w:p>
      <w:pPr>
        <w:pStyle w:val="Heading4"/>
        <w:numPr>
          <w:ilvl w:val="2"/>
          <w:numId w:val="12"/>
        </w:numPr>
        <w:tabs>
          <w:tab w:pos="1981" w:val="left" w:leader="none"/>
          <w:tab w:pos="1982" w:val="left" w:leader="none"/>
        </w:tabs>
        <w:spacing w:line="309" w:lineRule="auto" w:before="51" w:after="0"/>
        <w:ind w:left="1982" w:right="1706" w:hanging="720"/>
        <w:jc w:val="left"/>
      </w:pPr>
      <w:r>
        <w:rPr/>
        <w:t>Recommendation 4 – Clarifying item 18232 - intrathecal or epidural injection of non-neurolytic</w:t>
      </w:r>
      <w:r>
        <w:rPr>
          <w:spacing w:val="1"/>
        </w:rPr>
        <w:t> </w:t>
      </w:r>
      <w:r>
        <w:rPr/>
        <w:t>substances</w:t>
      </w:r>
    </w:p>
    <w:p>
      <w:pPr>
        <w:pStyle w:val="BodyText"/>
        <w:spacing w:before="123"/>
        <w:ind w:left="1262"/>
      </w:pPr>
      <w:r>
        <w:rPr/>
        <w:t>The Committee recommends:</w:t>
      </w:r>
    </w:p>
    <w:p>
      <w:pPr>
        <w:pStyle w:val="BodyText"/>
        <w:spacing w:before="6"/>
        <w:rPr>
          <w:sz w:val="16"/>
        </w:rPr>
      </w:pPr>
    </w:p>
    <w:p>
      <w:pPr>
        <w:pStyle w:val="ListParagraph"/>
        <w:numPr>
          <w:ilvl w:val="3"/>
          <w:numId w:val="12"/>
        </w:numPr>
        <w:tabs>
          <w:tab w:pos="2035" w:val="left" w:leader="none"/>
        </w:tabs>
        <w:spacing w:line="312" w:lineRule="auto" w:before="0" w:after="0"/>
        <w:ind w:left="2034" w:right="2078" w:hanging="360"/>
        <w:jc w:val="both"/>
        <w:rPr>
          <w:sz w:val="22"/>
        </w:rPr>
      </w:pPr>
      <w:r>
        <w:rPr/>
        <w:pict>
          <v:shape style="position:absolute;margin-left:85.050003pt;margin-top:58.453636pt;width:414.3pt;height:91pt;mso-position-horizontal-relative:page;mso-position-vertical-relative:paragraph;z-index:-15620608;mso-wrap-distance-left:0;mso-wrap-distance-right:0" type="#_x0000_t202" filled="false" stroked="true" strokeweight="2pt" strokecolor="#c0504d">
            <v:textbox inset="0,0,0,0">
              <w:txbxContent>
                <w:p>
                  <w:pPr>
                    <w:spacing w:before="68"/>
                    <w:ind w:left="144" w:right="0" w:firstLine="0"/>
                    <w:jc w:val="left"/>
                    <w:rPr>
                      <w:b/>
                      <w:sz w:val="22"/>
                    </w:rPr>
                  </w:pPr>
                  <w:r>
                    <w:rPr>
                      <w:b/>
                      <w:sz w:val="22"/>
                    </w:rPr>
                    <w:t>Item 18232</w:t>
                  </w:r>
                </w:p>
                <w:p>
                  <w:pPr>
                    <w:pStyle w:val="BodyText"/>
                    <w:spacing w:before="6"/>
                    <w:rPr>
                      <w:b/>
                      <w:sz w:val="21"/>
                    </w:rPr>
                  </w:pPr>
                </w:p>
                <w:p>
                  <w:pPr>
                    <w:spacing w:line="312" w:lineRule="auto" w:before="0"/>
                    <w:ind w:left="144" w:right="453" w:firstLine="0"/>
                    <w:jc w:val="left"/>
                    <w:rPr>
                      <w:sz w:val="22"/>
                    </w:rPr>
                  </w:pPr>
                  <w:r>
                    <w:rPr>
                      <w:sz w:val="22"/>
                    </w:rPr>
                    <w:t>INTRATHECAL or EPIDURAL INJECTION, </w:t>
                  </w:r>
                  <w:r>
                    <w:rPr>
                      <w:b/>
                      <w:sz w:val="22"/>
                    </w:rPr>
                    <w:t>(including translaminar and transforaminal approaches), of therapeutic substance(s) (anaesthetic, steroid or chemotherapeutic agents), </w:t>
                  </w:r>
                  <w:r>
                    <w:rPr>
                      <w:sz w:val="22"/>
                    </w:rPr>
                    <w:t>not being a service to which another item in this Group applies (Anaes.)</w:t>
                  </w:r>
                </w:p>
              </w:txbxContent>
            </v:textbox>
            <v:stroke dashstyle="solid"/>
            <w10:wrap type="topAndBottom"/>
          </v:shape>
        </w:pict>
      </w:r>
      <w:r>
        <w:rPr>
          <w:sz w:val="22"/>
        </w:rPr>
        <w:t>expanding this descriptor to include epidural injection with local anaesthetic and steroid and chemotherapy agents, specifically including the transforaminal route (additions in</w:t>
      </w:r>
      <w:r>
        <w:rPr>
          <w:spacing w:val="-2"/>
          <w:sz w:val="22"/>
        </w:rPr>
        <w:t> </w:t>
      </w:r>
      <w:r>
        <w:rPr>
          <w:sz w:val="22"/>
        </w:rPr>
        <w:t>bold):</w:t>
      </w:r>
    </w:p>
    <w:p>
      <w:pPr>
        <w:pStyle w:val="ListParagraph"/>
        <w:numPr>
          <w:ilvl w:val="3"/>
          <w:numId w:val="12"/>
        </w:numPr>
        <w:tabs>
          <w:tab w:pos="2035" w:val="left" w:leader="none"/>
        </w:tabs>
        <w:spacing w:line="312" w:lineRule="auto" w:before="178" w:after="0"/>
        <w:ind w:left="2034" w:right="1683" w:hanging="360"/>
        <w:jc w:val="left"/>
        <w:rPr>
          <w:sz w:val="22"/>
        </w:rPr>
      </w:pPr>
      <w:r>
        <w:rPr>
          <w:sz w:val="22"/>
        </w:rPr>
        <w:t>Amending item 18230 (removing contrast) may result in epidural contrast injection being absorbed by revised item 18232. There is a decrease in fees associated with this absorption which is justified by the Committee as they consider this is the appropriate item number for this portion of the procedure. The Committee estimates that there will be a 10% increase in claims for item 18232 as a result of this absorption.</w:t>
      </w:r>
    </w:p>
    <w:p>
      <w:pPr>
        <w:spacing w:before="121"/>
        <w:ind w:left="1262" w:right="0" w:firstLine="0"/>
        <w:jc w:val="left"/>
        <w:rPr>
          <w:i/>
          <w:sz w:val="22"/>
        </w:rPr>
      </w:pPr>
      <w:r>
        <w:rPr>
          <w:i/>
          <w:sz w:val="22"/>
        </w:rPr>
        <w:t>Note: see also Recommendation 24 for further recommended changes</w:t>
      </w:r>
    </w:p>
    <w:p>
      <w:pPr>
        <w:pStyle w:val="BodyText"/>
        <w:rPr>
          <w:i/>
        </w:rPr>
      </w:pPr>
    </w:p>
    <w:p>
      <w:pPr>
        <w:pStyle w:val="BodyText"/>
        <w:rPr>
          <w:i/>
        </w:rPr>
      </w:pPr>
    </w:p>
    <w:p>
      <w:pPr>
        <w:pStyle w:val="Heading4"/>
        <w:tabs>
          <w:tab w:pos="2397" w:val="left" w:leader="none"/>
        </w:tabs>
        <w:spacing w:before="135"/>
        <w:ind w:left="1262" w:firstLine="0"/>
      </w:pPr>
      <w:r>
        <w:rPr/>
        <w:t>4.1.4.1</w:t>
        <w:tab/>
        <w:t>Rationale 4</w:t>
      </w:r>
    </w:p>
    <w:p>
      <w:pPr>
        <w:pStyle w:val="BodyText"/>
        <w:spacing w:before="8"/>
        <w:rPr>
          <w:b/>
          <w:sz w:val="21"/>
        </w:rPr>
      </w:pPr>
    </w:p>
    <w:p>
      <w:pPr>
        <w:pStyle w:val="BodyText"/>
        <w:spacing w:line="312" w:lineRule="auto"/>
        <w:ind w:left="1262" w:right="2264"/>
      </w:pPr>
      <w:r>
        <w:rPr/>
        <w:t>This recommendation focuses on increasing the clarity of its intended use and ensuring greater value for the health system. It is based on the following assessment:</w:t>
      </w:r>
    </w:p>
    <w:p>
      <w:pPr>
        <w:pStyle w:val="BodyText"/>
        <w:spacing w:before="72"/>
        <w:ind w:left="2123"/>
      </w:pPr>
      <w:r>
        <w:rPr/>
        <w:drawing>
          <wp:anchor distT="0" distB="0" distL="0" distR="0" allowOverlap="1" layoutInCell="1" locked="0" behindDoc="0" simplePos="0" relativeHeight="15837184">
            <wp:simplePos x="0" y="0"/>
            <wp:positionH relativeFrom="page">
              <wp:posOffset>1362646</wp:posOffset>
            </wp:positionH>
            <wp:positionV relativeFrom="paragraph">
              <wp:posOffset>114028</wp:posOffset>
            </wp:positionV>
            <wp:extent cx="52387" cy="52387"/>
            <wp:effectExtent l="0" t="0" r="0" b="0"/>
            <wp:wrapNone/>
            <wp:docPr id="447" name="image176.png"/>
            <wp:cNvGraphicFramePr>
              <a:graphicFrameLocks noChangeAspect="1"/>
            </wp:cNvGraphicFramePr>
            <a:graphic>
              <a:graphicData uri="http://schemas.openxmlformats.org/drawingml/2006/picture">
                <pic:pic>
                  <pic:nvPicPr>
                    <pic:cNvPr id="448" name="image176.png"/>
                    <pic:cNvPicPr/>
                  </pic:nvPicPr>
                  <pic:blipFill>
                    <a:blip r:embed="rId184" cstate="print"/>
                    <a:stretch>
                      <a:fillRect/>
                    </a:stretch>
                  </pic:blipFill>
                  <pic:spPr>
                    <a:xfrm>
                      <a:off x="0" y="0"/>
                      <a:ext cx="52387" cy="52387"/>
                    </a:xfrm>
                    <a:prstGeom prst="rect">
                      <a:avLst/>
                    </a:prstGeom>
                  </pic:spPr>
                </pic:pic>
              </a:graphicData>
            </a:graphic>
          </wp:anchor>
        </w:drawing>
      </w:r>
      <w:r>
        <w:rPr/>
        <w:t>The Committee consider that amending the descriptors for items 18232 (and 18230</w:t>
      </w:r>
    </w:p>
    <w:p>
      <w:pPr>
        <w:pStyle w:val="BodyText"/>
        <w:spacing w:line="312" w:lineRule="auto" w:before="82"/>
        <w:ind w:left="2123" w:right="1834"/>
      </w:pPr>
      <w:r>
        <w:rPr/>
        <w:t>– refer to Recommendation 3) will provide item numbers that clearly incorporate the high volume service of transforaminal epidural injection that is currently being claimed by some practitioners under item 18230.</w:t>
      </w:r>
    </w:p>
    <w:p>
      <w:pPr>
        <w:pStyle w:val="BodyText"/>
        <w:spacing w:line="312" w:lineRule="auto" w:before="131"/>
        <w:ind w:left="2123" w:right="1676"/>
      </w:pPr>
      <w:r>
        <w:rPr/>
        <w:drawing>
          <wp:anchor distT="0" distB="0" distL="0" distR="0" allowOverlap="1" layoutInCell="1" locked="0" behindDoc="0" simplePos="0" relativeHeight="15837696">
            <wp:simplePos x="0" y="0"/>
            <wp:positionH relativeFrom="page">
              <wp:posOffset>1362646</wp:posOffset>
            </wp:positionH>
            <wp:positionV relativeFrom="paragraph">
              <wp:posOffset>151493</wp:posOffset>
            </wp:positionV>
            <wp:extent cx="52387" cy="52387"/>
            <wp:effectExtent l="0" t="0" r="0" b="0"/>
            <wp:wrapNone/>
            <wp:docPr id="449" name="image176.png"/>
            <wp:cNvGraphicFramePr>
              <a:graphicFrameLocks noChangeAspect="1"/>
            </wp:cNvGraphicFramePr>
            <a:graphic>
              <a:graphicData uri="http://schemas.openxmlformats.org/drawingml/2006/picture">
                <pic:pic>
                  <pic:nvPicPr>
                    <pic:cNvPr id="450" name="image176.png"/>
                    <pic:cNvPicPr/>
                  </pic:nvPicPr>
                  <pic:blipFill>
                    <a:blip r:embed="rId184" cstate="print"/>
                    <a:stretch>
                      <a:fillRect/>
                    </a:stretch>
                  </pic:blipFill>
                  <pic:spPr>
                    <a:xfrm>
                      <a:off x="0" y="0"/>
                      <a:ext cx="52387" cy="52387"/>
                    </a:xfrm>
                    <a:prstGeom prst="rect">
                      <a:avLst/>
                    </a:prstGeom>
                  </pic:spPr>
                </pic:pic>
              </a:graphicData>
            </a:graphic>
          </wp:anchor>
        </w:drawing>
      </w:r>
      <w:r>
        <w:rPr/>
        <w:t>Currently there is not a clear item number for transforaminal epidural injections. By making this item descriptor clear (item 18232), and modifying other items to exclude usage for this purpose, clarity is provided about the type of service and a more appropriate fee applied.</w:t>
      </w:r>
    </w:p>
    <w:p>
      <w:pPr>
        <w:spacing w:after="0" w:line="312" w:lineRule="auto"/>
        <w:sectPr>
          <w:headerReference w:type="default" r:id="rId217"/>
          <w:footerReference w:type="default" r:id="rId218"/>
          <w:pgSz w:w="11910" w:h="16840"/>
          <w:pgMar w:header="672" w:footer="978" w:top="1300" w:bottom="1160" w:left="440" w:right="140"/>
        </w:sectPr>
      </w:pPr>
    </w:p>
    <w:p>
      <w:pPr>
        <w:pStyle w:val="BodyText"/>
        <w:rPr>
          <w:sz w:val="20"/>
        </w:rPr>
      </w:pPr>
    </w:p>
    <w:p>
      <w:pPr>
        <w:pStyle w:val="BodyText"/>
        <w:spacing w:before="11"/>
        <w:rPr>
          <w:sz w:val="24"/>
        </w:rPr>
      </w:pPr>
    </w:p>
    <w:p>
      <w:pPr>
        <w:pStyle w:val="Heading4"/>
        <w:numPr>
          <w:ilvl w:val="2"/>
          <w:numId w:val="12"/>
        </w:numPr>
        <w:tabs>
          <w:tab w:pos="1981" w:val="left" w:leader="none"/>
          <w:tab w:pos="1982" w:val="left" w:leader="none"/>
        </w:tabs>
        <w:spacing w:line="309" w:lineRule="auto" w:before="51" w:after="0"/>
        <w:ind w:left="1982" w:right="2016" w:hanging="720"/>
        <w:jc w:val="left"/>
      </w:pPr>
      <w:r>
        <w:rPr/>
        <w:t>Recommendation 5 – Clarifying item 18284 - sympathetic chain (including stellate</w:t>
      </w:r>
      <w:r>
        <w:rPr>
          <w:spacing w:val="-1"/>
        </w:rPr>
        <w:t> </w:t>
      </w:r>
      <w:r>
        <w:rPr/>
        <w:t>ganglion)</w:t>
      </w:r>
    </w:p>
    <w:p>
      <w:pPr>
        <w:pStyle w:val="Heading5"/>
        <w:ind w:left="1262"/>
      </w:pPr>
      <w:r>
        <w:rPr/>
        <w:t>The Committee recommends amending the descriptor to (additions in bold):</w:t>
      </w:r>
    </w:p>
    <w:p>
      <w:pPr>
        <w:pStyle w:val="BodyText"/>
        <w:spacing w:before="3"/>
        <w:rPr>
          <w:sz w:val="12"/>
        </w:rPr>
      </w:pPr>
      <w:r>
        <w:rPr/>
        <w:pict>
          <v:shape style="position:absolute;margin-left:85.050003pt;margin-top:10.433125pt;width:414.3pt;height:50.1pt;mso-position-horizontal-relative:page;mso-position-vertical-relative:paragraph;z-index:-15619072;mso-wrap-distance-left:0;mso-wrap-distance-right:0" type="#_x0000_t202" filled="false" stroked="true" strokeweight="2pt" strokecolor="#c0504d">
            <v:textbox inset="0,0,0,0">
              <w:txbxContent>
                <w:p>
                  <w:pPr>
                    <w:spacing w:before="69"/>
                    <w:ind w:left="144" w:right="0" w:firstLine="0"/>
                    <w:jc w:val="left"/>
                    <w:rPr>
                      <w:b/>
                      <w:sz w:val="22"/>
                    </w:rPr>
                  </w:pPr>
                  <w:r>
                    <w:rPr>
                      <w:b/>
                      <w:sz w:val="22"/>
                    </w:rPr>
                    <w:t>Item 18284</w:t>
                  </w:r>
                </w:p>
                <w:p>
                  <w:pPr>
                    <w:spacing w:before="142"/>
                    <w:ind w:left="194" w:right="0" w:firstLine="0"/>
                    <w:jc w:val="left"/>
                    <w:rPr>
                      <w:sz w:val="22"/>
                    </w:rPr>
                  </w:pPr>
                  <w:r>
                    <w:rPr>
                      <w:b/>
                      <w:sz w:val="22"/>
                    </w:rPr>
                    <w:t>Cervical or thoracic sympathetic chain </w:t>
                  </w:r>
                  <w:r>
                    <w:rPr>
                      <w:sz w:val="22"/>
                    </w:rPr>
                    <w:t>injection of an anaesthetic agent (Anaes.)</w:t>
                  </w:r>
                </w:p>
              </w:txbxContent>
            </v:textbox>
            <v:stroke dashstyle="solid"/>
            <w10:wrap type="topAndBottom"/>
          </v:shape>
        </w:pict>
      </w:r>
    </w:p>
    <w:p>
      <w:pPr>
        <w:pStyle w:val="BodyText"/>
        <w:rPr>
          <w:sz w:val="24"/>
        </w:rPr>
      </w:pPr>
    </w:p>
    <w:p>
      <w:pPr>
        <w:pStyle w:val="BodyText"/>
        <w:spacing w:before="1"/>
        <w:rPr>
          <w:sz w:val="29"/>
        </w:rPr>
      </w:pPr>
    </w:p>
    <w:p>
      <w:pPr>
        <w:pStyle w:val="Heading4"/>
        <w:tabs>
          <w:tab w:pos="2397" w:val="left" w:leader="none"/>
        </w:tabs>
        <w:spacing w:before="0"/>
        <w:ind w:left="1262" w:firstLine="0"/>
      </w:pPr>
      <w:r>
        <w:rPr/>
        <w:t>4.1.5.1</w:t>
        <w:tab/>
        <w:t>Rationale 5</w:t>
      </w:r>
    </w:p>
    <w:p>
      <w:pPr>
        <w:pStyle w:val="BodyText"/>
        <w:spacing w:before="11"/>
        <w:rPr>
          <w:b/>
          <w:sz w:val="21"/>
        </w:rPr>
      </w:pPr>
    </w:p>
    <w:p>
      <w:pPr>
        <w:pStyle w:val="BodyText"/>
        <w:spacing w:line="312" w:lineRule="auto"/>
        <w:ind w:left="1262" w:right="1792"/>
      </w:pPr>
      <w:r>
        <w:rPr/>
        <w:t>This recommendation focuses on clarifying intended use to reflect practice across items. It is based on the following</w:t>
      </w:r>
      <w:r>
        <w:rPr>
          <w:spacing w:val="-4"/>
        </w:rPr>
        <w:t> </w:t>
      </w:r>
      <w:r>
        <w:rPr/>
        <w:t>assessment:</w:t>
      </w:r>
    </w:p>
    <w:p>
      <w:pPr>
        <w:pStyle w:val="BodyText"/>
        <w:spacing w:line="312" w:lineRule="auto" w:before="72"/>
        <w:ind w:left="2123" w:right="1990"/>
      </w:pPr>
      <w:r>
        <w:rPr/>
        <w:drawing>
          <wp:anchor distT="0" distB="0" distL="0" distR="0" allowOverlap="1" layoutInCell="1" locked="0" behindDoc="0" simplePos="0" relativeHeight="15839232">
            <wp:simplePos x="0" y="0"/>
            <wp:positionH relativeFrom="page">
              <wp:posOffset>1362646</wp:posOffset>
            </wp:positionH>
            <wp:positionV relativeFrom="paragraph">
              <wp:posOffset>114282</wp:posOffset>
            </wp:positionV>
            <wp:extent cx="52387" cy="52387"/>
            <wp:effectExtent l="0" t="0" r="0" b="0"/>
            <wp:wrapNone/>
            <wp:docPr id="451" name="image176.png"/>
            <wp:cNvGraphicFramePr>
              <a:graphicFrameLocks noChangeAspect="1"/>
            </wp:cNvGraphicFramePr>
            <a:graphic>
              <a:graphicData uri="http://schemas.openxmlformats.org/drawingml/2006/picture">
                <pic:pic>
                  <pic:nvPicPr>
                    <pic:cNvPr id="452" name="image176.png"/>
                    <pic:cNvPicPr/>
                  </pic:nvPicPr>
                  <pic:blipFill>
                    <a:blip r:embed="rId184" cstate="print"/>
                    <a:stretch>
                      <a:fillRect/>
                    </a:stretch>
                  </pic:blipFill>
                  <pic:spPr>
                    <a:xfrm>
                      <a:off x="0" y="0"/>
                      <a:ext cx="52387" cy="52387"/>
                    </a:xfrm>
                    <a:prstGeom prst="rect">
                      <a:avLst/>
                    </a:prstGeom>
                  </pic:spPr>
                </pic:pic>
              </a:graphicData>
            </a:graphic>
          </wp:anchor>
        </w:drawing>
      </w:r>
      <w:r>
        <w:rPr/>
        <w:t>This change brings the local anaesthetic items into alignment with the neurolytic sympathetic chain</w:t>
      </w:r>
      <w:r>
        <w:rPr>
          <w:spacing w:val="-5"/>
        </w:rPr>
        <w:t> </w:t>
      </w:r>
      <w:r>
        <w:rPr/>
        <w:t>blocks.</w:t>
      </w:r>
    </w:p>
    <w:p>
      <w:pPr>
        <w:pStyle w:val="BodyText"/>
        <w:spacing w:line="312" w:lineRule="auto" w:before="132"/>
        <w:ind w:left="2123" w:right="2091"/>
      </w:pPr>
      <w:r>
        <w:rPr/>
        <w:drawing>
          <wp:anchor distT="0" distB="0" distL="0" distR="0" allowOverlap="1" layoutInCell="1" locked="0" behindDoc="0" simplePos="0" relativeHeight="15839744">
            <wp:simplePos x="0" y="0"/>
            <wp:positionH relativeFrom="page">
              <wp:posOffset>1362646</wp:posOffset>
            </wp:positionH>
            <wp:positionV relativeFrom="paragraph">
              <wp:posOffset>152382</wp:posOffset>
            </wp:positionV>
            <wp:extent cx="52387" cy="52387"/>
            <wp:effectExtent l="0" t="0" r="0" b="0"/>
            <wp:wrapNone/>
            <wp:docPr id="453" name="image175.png"/>
            <wp:cNvGraphicFramePr>
              <a:graphicFrameLocks noChangeAspect="1"/>
            </wp:cNvGraphicFramePr>
            <a:graphic>
              <a:graphicData uri="http://schemas.openxmlformats.org/drawingml/2006/picture">
                <pic:pic>
                  <pic:nvPicPr>
                    <pic:cNvPr id="454" name="image175.png"/>
                    <pic:cNvPicPr/>
                  </pic:nvPicPr>
                  <pic:blipFill>
                    <a:blip r:embed="rId183" cstate="print"/>
                    <a:stretch>
                      <a:fillRect/>
                    </a:stretch>
                  </pic:blipFill>
                  <pic:spPr>
                    <a:xfrm>
                      <a:off x="0" y="0"/>
                      <a:ext cx="52387" cy="52387"/>
                    </a:xfrm>
                    <a:prstGeom prst="rect">
                      <a:avLst/>
                    </a:prstGeom>
                  </pic:spPr>
                </pic:pic>
              </a:graphicData>
            </a:graphic>
          </wp:anchor>
        </w:drawing>
      </w:r>
      <w:r>
        <w:rPr/>
        <w:t>The clinical opinion of the Committee is that thoracic sympathetic chain local anaesthetic blocks are currently already being claimed under item 18284 as the stellate ganglion sits in the cervicothoracic region. This reflects the comparable technical difficulty of the procedure at cervical and thoracic levels.</w:t>
      </w:r>
    </w:p>
    <w:p>
      <w:pPr>
        <w:pStyle w:val="BodyText"/>
        <w:spacing w:line="312" w:lineRule="auto" w:before="132"/>
        <w:ind w:left="2123" w:right="2291"/>
      </w:pPr>
      <w:r>
        <w:rPr/>
        <w:drawing>
          <wp:anchor distT="0" distB="0" distL="0" distR="0" allowOverlap="1" layoutInCell="1" locked="0" behindDoc="0" simplePos="0" relativeHeight="15840256">
            <wp:simplePos x="0" y="0"/>
            <wp:positionH relativeFrom="page">
              <wp:posOffset>1362646</wp:posOffset>
            </wp:positionH>
            <wp:positionV relativeFrom="paragraph">
              <wp:posOffset>152382</wp:posOffset>
            </wp:positionV>
            <wp:extent cx="52387" cy="52387"/>
            <wp:effectExtent l="0" t="0" r="0" b="0"/>
            <wp:wrapNone/>
            <wp:docPr id="455" name="image175.png"/>
            <wp:cNvGraphicFramePr>
              <a:graphicFrameLocks noChangeAspect="1"/>
            </wp:cNvGraphicFramePr>
            <a:graphic>
              <a:graphicData uri="http://schemas.openxmlformats.org/drawingml/2006/picture">
                <pic:pic>
                  <pic:nvPicPr>
                    <pic:cNvPr id="456" name="image175.png"/>
                    <pic:cNvPicPr/>
                  </pic:nvPicPr>
                  <pic:blipFill>
                    <a:blip r:embed="rId183" cstate="print"/>
                    <a:stretch>
                      <a:fillRect/>
                    </a:stretch>
                  </pic:blipFill>
                  <pic:spPr>
                    <a:xfrm>
                      <a:off x="0" y="0"/>
                      <a:ext cx="52387" cy="52387"/>
                    </a:xfrm>
                    <a:prstGeom prst="rect">
                      <a:avLst/>
                    </a:prstGeom>
                  </pic:spPr>
                </pic:pic>
              </a:graphicData>
            </a:graphic>
          </wp:anchor>
        </w:drawing>
      </w:r>
      <w:r>
        <w:rPr/>
        <w:t>The recommended change will simply provide a more accurate description of current practice.</w:t>
      </w:r>
    </w:p>
    <w:p>
      <w:pPr>
        <w:pStyle w:val="BodyText"/>
        <w:rPr>
          <w:sz w:val="20"/>
        </w:rPr>
      </w:pPr>
    </w:p>
    <w:p>
      <w:pPr>
        <w:pStyle w:val="BodyText"/>
        <w:spacing w:before="3"/>
        <w:rPr>
          <w:sz w:val="24"/>
        </w:rPr>
      </w:pPr>
    </w:p>
    <w:p>
      <w:pPr>
        <w:pStyle w:val="Heading4"/>
        <w:numPr>
          <w:ilvl w:val="2"/>
          <w:numId w:val="12"/>
        </w:numPr>
        <w:tabs>
          <w:tab w:pos="1981" w:val="left" w:leader="none"/>
          <w:tab w:pos="1982" w:val="left" w:leader="none"/>
        </w:tabs>
        <w:spacing w:line="240" w:lineRule="auto" w:before="51" w:after="0"/>
        <w:ind w:left="1982" w:right="0" w:hanging="720"/>
        <w:jc w:val="left"/>
      </w:pPr>
      <w:r>
        <w:rPr/>
        <w:t>Recommendation 6 – Clarifying item 18286 - pelvic sympathetic</w:t>
      </w:r>
      <w:r>
        <w:rPr>
          <w:spacing w:val="-5"/>
        </w:rPr>
        <w:t> </w:t>
      </w:r>
      <w:r>
        <w:rPr/>
        <w:t>blocks</w:t>
      </w:r>
    </w:p>
    <w:p>
      <w:pPr>
        <w:pStyle w:val="BodyText"/>
        <w:spacing w:before="206"/>
        <w:ind w:left="1262"/>
      </w:pPr>
      <w:r>
        <w:rPr/>
        <w:t>The Committee recommends amending the item descriptor to (additions in bold):</w:t>
      </w:r>
    </w:p>
    <w:p>
      <w:pPr>
        <w:pStyle w:val="BodyText"/>
        <w:spacing w:before="8"/>
        <w:rPr>
          <w:sz w:val="11"/>
        </w:rPr>
      </w:pPr>
      <w:r>
        <w:rPr/>
        <w:pict>
          <v:shape style="position:absolute;margin-left:85.050003pt;margin-top:10.093359pt;width:414.3pt;height:50.1pt;mso-position-horizontal-relative:page;mso-position-vertical-relative:paragraph;z-index:-15618560;mso-wrap-distance-left:0;mso-wrap-distance-right:0" type="#_x0000_t202" filled="false" stroked="true" strokeweight="2pt" strokecolor="#c0504d">
            <v:textbox inset="0,0,0,0">
              <w:txbxContent>
                <w:p>
                  <w:pPr>
                    <w:spacing w:before="69"/>
                    <w:ind w:left="144" w:right="0" w:firstLine="0"/>
                    <w:jc w:val="left"/>
                    <w:rPr>
                      <w:b/>
                      <w:sz w:val="22"/>
                    </w:rPr>
                  </w:pPr>
                  <w:r>
                    <w:rPr>
                      <w:b/>
                      <w:sz w:val="22"/>
                    </w:rPr>
                    <w:t>Item 18286</w:t>
                  </w:r>
                </w:p>
                <w:p>
                  <w:pPr>
                    <w:spacing w:before="142"/>
                    <w:ind w:left="144" w:right="0" w:firstLine="0"/>
                    <w:jc w:val="left"/>
                    <w:rPr>
                      <w:sz w:val="22"/>
                    </w:rPr>
                  </w:pPr>
                  <w:r>
                    <w:rPr>
                      <w:sz w:val="22"/>
                    </w:rPr>
                    <w:t>LUMBAR </w:t>
                  </w:r>
                  <w:r>
                    <w:rPr>
                      <w:b/>
                      <w:sz w:val="22"/>
                    </w:rPr>
                    <w:t>or PELVIC SYMPATHETIC CHAIN</w:t>
                  </w:r>
                  <w:r>
                    <w:rPr>
                      <w:sz w:val="22"/>
                    </w:rPr>
                    <w:t>, injection of an anaesthetic agent (Anaes.)</w:t>
                  </w:r>
                </w:p>
              </w:txbxContent>
            </v:textbox>
            <v:stroke dashstyle="solid"/>
            <w10:wrap type="topAndBottom"/>
          </v:shape>
        </w:pict>
      </w:r>
    </w:p>
    <w:p>
      <w:pPr>
        <w:pStyle w:val="BodyText"/>
      </w:pPr>
    </w:p>
    <w:p>
      <w:pPr>
        <w:pStyle w:val="BodyText"/>
        <w:spacing w:before="4"/>
        <w:rPr>
          <w:sz w:val="31"/>
        </w:rPr>
      </w:pPr>
    </w:p>
    <w:p>
      <w:pPr>
        <w:pStyle w:val="Heading4"/>
        <w:tabs>
          <w:tab w:pos="2397" w:val="left" w:leader="none"/>
        </w:tabs>
        <w:spacing w:before="0"/>
        <w:ind w:left="1262" w:firstLine="0"/>
      </w:pPr>
      <w:r>
        <w:rPr/>
        <w:t>4.1.6.1</w:t>
        <w:tab/>
        <w:t>Rationale 6</w:t>
      </w:r>
    </w:p>
    <w:p>
      <w:pPr>
        <w:pStyle w:val="BodyText"/>
        <w:spacing w:before="8"/>
        <w:rPr>
          <w:b/>
          <w:sz w:val="21"/>
        </w:rPr>
      </w:pPr>
    </w:p>
    <w:p>
      <w:pPr>
        <w:pStyle w:val="BodyText"/>
        <w:spacing w:line="312" w:lineRule="auto"/>
        <w:ind w:left="1262" w:right="2006"/>
      </w:pPr>
      <w:r>
        <w:rPr/>
        <w:t>This recommendation focuses on clarifying appropriate use of items, and ensuring greater value for the health system. It is based on the following assessment:</w:t>
      </w:r>
    </w:p>
    <w:p>
      <w:pPr>
        <w:pStyle w:val="BodyText"/>
        <w:spacing w:line="312" w:lineRule="auto" w:before="72"/>
        <w:ind w:left="2123" w:right="1932"/>
      </w:pPr>
      <w:r>
        <w:rPr/>
        <w:drawing>
          <wp:anchor distT="0" distB="0" distL="0" distR="0" allowOverlap="1" layoutInCell="1" locked="0" behindDoc="0" simplePos="0" relativeHeight="15840768">
            <wp:simplePos x="0" y="0"/>
            <wp:positionH relativeFrom="page">
              <wp:posOffset>1362646</wp:posOffset>
            </wp:positionH>
            <wp:positionV relativeFrom="paragraph">
              <wp:posOffset>113647</wp:posOffset>
            </wp:positionV>
            <wp:extent cx="52387" cy="52387"/>
            <wp:effectExtent l="0" t="0" r="0" b="0"/>
            <wp:wrapNone/>
            <wp:docPr id="457" name="image176.png"/>
            <wp:cNvGraphicFramePr>
              <a:graphicFrameLocks noChangeAspect="1"/>
            </wp:cNvGraphicFramePr>
            <a:graphic>
              <a:graphicData uri="http://schemas.openxmlformats.org/drawingml/2006/picture">
                <pic:pic>
                  <pic:nvPicPr>
                    <pic:cNvPr id="458" name="image176.png"/>
                    <pic:cNvPicPr/>
                  </pic:nvPicPr>
                  <pic:blipFill>
                    <a:blip r:embed="rId184" cstate="print"/>
                    <a:stretch>
                      <a:fillRect/>
                    </a:stretch>
                  </pic:blipFill>
                  <pic:spPr>
                    <a:xfrm>
                      <a:off x="0" y="0"/>
                      <a:ext cx="52387" cy="52387"/>
                    </a:xfrm>
                    <a:prstGeom prst="rect">
                      <a:avLst/>
                    </a:prstGeom>
                  </pic:spPr>
                </pic:pic>
              </a:graphicData>
            </a:graphic>
          </wp:anchor>
        </w:drawing>
      </w:r>
      <w:r>
        <w:rPr/>
        <w:t>The clinical opinion of the Committee is that the pelvic region is already currently being claimed under this item number and doesn’t anticipate any increase in claiming practices as a result of this recommendation.</w:t>
      </w:r>
    </w:p>
    <w:p>
      <w:pPr>
        <w:spacing w:after="0" w:line="312" w:lineRule="auto"/>
        <w:sectPr>
          <w:pgSz w:w="11910" w:h="16840"/>
          <w:pgMar w:header="672" w:footer="978" w:top="1300" w:bottom="1160" w:left="440" w:right="140"/>
        </w:sectPr>
      </w:pPr>
    </w:p>
    <w:p>
      <w:pPr>
        <w:pStyle w:val="BodyText"/>
        <w:rPr>
          <w:sz w:val="20"/>
        </w:rPr>
      </w:pPr>
    </w:p>
    <w:p>
      <w:pPr>
        <w:pStyle w:val="BodyText"/>
        <w:spacing w:before="3"/>
        <w:rPr>
          <w:sz w:val="25"/>
        </w:rPr>
      </w:pPr>
    </w:p>
    <w:p>
      <w:pPr>
        <w:pStyle w:val="BodyText"/>
        <w:spacing w:line="312" w:lineRule="auto" w:before="57"/>
        <w:ind w:left="2123" w:right="1726"/>
      </w:pPr>
      <w:r>
        <w:rPr/>
        <w:t>The Committee are aware that pelvic sympathetic blocks are already claimed under item 18286 due to there not being another appropriate item number for use.</w:t>
      </w:r>
    </w:p>
    <w:p>
      <w:pPr>
        <w:pStyle w:val="BodyText"/>
        <w:spacing w:line="312" w:lineRule="auto" w:before="132"/>
        <w:ind w:left="2123" w:right="1747"/>
      </w:pPr>
      <w:r>
        <w:rPr/>
        <w:t>Pelvic sympathetic blocks are considered to have the same evidence base for utility as other sympathetic blocks</w:t>
      </w:r>
    </w:p>
    <w:p>
      <w:pPr>
        <w:pStyle w:val="BodyText"/>
        <w:spacing w:line="312" w:lineRule="auto" w:before="129"/>
        <w:ind w:left="2123" w:right="1715"/>
      </w:pPr>
      <w:r>
        <w:rPr/>
        <w:t>This suggested change will bring the local anaesthetic items into alignment with the neurolytic sympathetic chain blocks.</w:t>
      </w:r>
    </w:p>
    <w:p>
      <w:pPr>
        <w:pStyle w:val="BodyText"/>
        <w:spacing w:line="312" w:lineRule="auto" w:before="133"/>
        <w:ind w:left="2123" w:right="1797"/>
      </w:pPr>
      <w:r>
        <w:rPr/>
        <w:t>Blockade of lumbar paravertebral nerves should in future be claimed under 18276, which the committee sees as more appropriate.</w:t>
      </w:r>
    </w:p>
    <w:p>
      <w:pPr>
        <w:pStyle w:val="BodyText"/>
      </w:pPr>
    </w:p>
    <w:p>
      <w:pPr>
        <w:pStyle w:val="BodyText"/>
        <w:spacing w:before="5"/>
        <w:rPr>
          <w:sz w:val="26"/>
        </w:rPr>
      </w:pPr>
    </w:p>
    <w:p>
      <w:pPr>
        <w:pStyle w:val="Heading4"/>
        <w:numPr>
          <w:ilvl w:val="2"/>
          <w:numId w:val="12"/>
        </w:numPr>
        <w:tabs>
          <w:tab w:pos="1981" w:val="left" w:leader="none"/>
          <w:tab w:pos="1982" w:val="left" w:leader="none"/>
        </w:tabs>
        <w:spacing w:line="312" w:lineRule="auto" w:before="0" w:after="0"/>
        <w:ind w:left="1982" w:right="2456" w:hanging="720"/>
        <w:jc w:val="left"/>
      </w:pPr>
      <w:r>
        <w:rPr/>
        <w:t>Recommendation 7 – Reflecting best practice in items 18290 -18294 - neurolytic agent</w:t>
      </w:r>
      <w:r>
        <w:rPr>
          <w:spacing w:val="-2"/>
        </w:rPr>
        <w:t> </w:t>
      </w:r>
      <w:r>
        <w:rPr/>
        <w:t>treatment</w:t>
      </w:r>
    </w:p>
    <w:p>
      <w:pPr>
        <w:pStyle w:val="BodyText"/>
        <w:spacing w:before="179"/>
        <w:ind w:left="1262"/>
      </w:pPr>
      <w:r>
        <w:rPr/>
        <w:t>The Committee recommends amending the item descriptors to (additions in bold):</w:t>
      </w:r>
    </w:p>
    <w:p>
      <w:pPr>
        <w:pStyle w:val="BodyText"/>
        <w:spacing w:before="8"/>
        <w:rPr>
          <w:sz w:val="16"/>
        </w:rPr>
      </w:pPr>
      <w:r>
        <w:rPr/>
        <w:pict>
          <v:shape style="position:absolute;margin-left:85.050003pt;margin-top:13.115195pt;width:414.3pt;height:67.55pt;mso-position-horizontal-relative:page;mso-position-vertical-relative:paragraph;z-index:-15616000;mso-wrap-distance-left:0;mso-wrap-distance-right:0" type="#_x0000_t202" filled="false" stroked="true" strokeweight="2pt" strokecolor="#c0504d">
            <v:textbox inset="0,0,0,0">
              <w:txbxContent>
                <w:p>
                  <w:pPr>
                    <w:spacing w:before="71"/>
                    <w:ind w:left="144" w:right="0" w:firstLine="0"/>
                    <w:jc w:val="left"/>
                    <w:rPr>
                      <w:b/>
                      <w:sz w:val="22"/>
                    </w:rPr>
                  </w:pPr>
                  <w:r>
                    <w:rPr>
                      <w:b/>
                      <w:sz w:val="22"/>
                    </w:rPr>
                    <w:t>Item 18290</w:t>
                  </w:r>
                </w:p>
                <w:p>
                  <w:pPr>
                    <w:pStyle w:val="BodyText"/>
                    <w:spacing w:line="312" w:lineRule="auto" w:before="139"/>
                    <w:ind w:left="144" w:right="476"/>
                  </w:pPr>
                  <w:r>
                    <w:rPr/>
                    <w:t>CRANIAL NERVE OTHER THAN TRIGEMINAL, destruction by a neurolytic agent (</w:t>
                  </w:r>
                  <w:r>
                    <w:rPr>
                      <w:b/>
                    </w:rPr>
                    <w:t>under image guidance</w:t>
                  </w:r>
                  <w:r>
                    <w:rPr/>
                    <w:t>), not being a service associated with the injection of botulinum toxin</w:t>
                  </w:r>
                </w:p>
              </w:txbxContent>
            </v:textbox>
            <v:stroke dashstyle="solid"/>
            <w10:wrap type="topAndBottom"/>
          </v:shape>
        </w:pict>
      </w:r>
    </w:p>
    <w:p>
      <w:pPr>
        <w:pStyle w:val="BodyText"/>
        <w:spacing w:before="7"/>
        <w:rPr>
          <w:sz w:val="18"/>
        </w:rPr>
      </w:pPr>
    </w:p>
    <w:p>
      <w:pPr>
        <w:pStyle w:val="BodyText"/>
        <w:ind w:left="1262"/>
      </w:pPr>
      <w:r>
        <w:rPr/>
        <w:t>and</w:t>
      </w:r>
    </w:p>
    <w:p>
      <w:pPr>
        <w:pStyle w:val="BodyText"/>
        <w:spacing w:before="9"/>
        <w:rPr>
          <w:sz w:val="16"/>
        </w:rPr>
      </w:pPr>
      <w:r>
        <w:rPr/>
        <w:pict>
          <v:shape style="position:absolute;margin-left:85.050003pt;margin-top:13.175938pt;width:414.3pt;height:85pt;mso-position-horizontal-relative:page;mso-position-vertical-relative:paragraph;z-index:-15615488;mso-wrap-distance-left:0;mso-wrap-distance-right:0" type="#_x0000_t202" filled="false" stroked="true" strokeweight="2pt" strokecolor="#c0504d">
            <v:textbox inset="0,0,0,0">
              <w:txbxContent>
                <w:p>
                  <w:pPr>
                    <w:spacing w:before="70"/>
                    <w:ind w:left="144" w:right="0" w:firstLine="0"/>
                    <w:jc w:val="left"/>
                    <w:rPr>
                      <w:b/>
                      <w:sz w:val="22"/>
                    </w:rPr>
                  </w:pPr>
                  <w:r>
                    <w:rPr>
                      <w:b/>
                      <w:sz w:val="22"/>
                    </w:rPr>
                    <w:t>Item 18292</w:t>
                  </w:r>
                </w:p>
                <w:p>
                  <w:pPr>
                    <w:pStyle w:val="BodyText"/>
                    <w:spacing w:line="312" w:lineRule="auto" w:before="142"/>
                    <w:ind w:left="144" w:right="282"/>
                  </w:pPr>
                  <w:r>
                    <w:rPr/>
                    <w:t>NERVE BRANCH, destruction by a neurolytic agent </w:t>
                  </w:r>
                  <w:r>
                    <w:rPr>
                      <w:b/>
                    </w:rPr>
                    <w:t>(under image guidance</w:t>
                  </w:r>
                  <w:r>
                    <w:rPr/>
                    <w:t>), not being a service to which any other item in this Group applies or a service associated with the injection of botulinum toxin except those services to which item 18354 applies (Anaes.)</w:t>
                  </w:r>
                </w:p>
              </w:txbxContent>
            </v:textbox>
            <v:stroke dashstyle="solid"/>
            <w10:wrap type="topAndBottom"/>
          </v:shape>
        </w:pict>
      </w:r>
    </w:p>
    <w:p>
      <w:pPr>
        <w:pStyle w:val="BodyText"/>
        <w:spacing w:before="7"/>
        <w:rPr>
          <w:sz w:val="19"/>
        </w:rPr>
      </w:pPr>
    </w:p>
    <w:p>
      <w:pPr>
        <w:pStyle w:val="BodyText"/>
        <w:ind w:left="1262"/>
      </w:pPr>
      <w:r>
        <w:rPr/>
        <w:t>and</w:t>
      </w:r>
    </w:p>
    <w:p>
      <w:pPr>
        <w:pStyle w:val="BodyText"/>
        <w:spacing w:before="7"/>
        <w:rPr>
          <w:sz w:val="16"/>
        </w:rPr>
      </w:pPr>
      <w:r>
        <w:rPr/>
        <w:pict>
          <v:shape style="position:absolute;margin-left:85.050003pt;margin-top:13.105586pt;width:414.3pt;height:67.55pt;mso-position-horizontal-relative:page;mso-position-vertical-relative:paragraph;z-index:-15614976;mso-wrap-distance-left:0;mso-wrap-distance-right:0" type="#_x0000_t202" filled="false" stroked="true" strokeweight="2pt" strokecolor="#c0504d">
            <v:textbox inset="0,0,0,0">
              <w:txbxContent>
                <w:p>
                  <w:pPr>
                    <w:spacing w:before="69"/>
                    <w:ind w:left="144" w:right="0" w:firstLine="0"/>
                    <w:jc w:val="left"/>
                    <w:rPr>
                      <w:b/>
                      <w:sz w:val="22"/>
                    </w:rPr>
                  </w:pPr>
                  <w:r>
                    <w:rPr>
                      <w:b/>
                      <w:sz w:val="22"/>
                    </w:rPr>
                    <w:t>Item 18294</w:t>
                  </w:r>
                </w:p>
                <w:p>
                  <w:pPr>
                    <w:pStyle w:val="BodyText"/>
                    <w:spacing w:line="312" w:lineRule="auto" w:before="142"/>
                    <w:ind w:left="144" w:right="619"/>
                  </w:pPr>
                  <w:r>
                    <w:rPr/>
                    <w:t>COELIAC PLEXUS OR SPLANCHNIC NERVES, destruction by a neurolytic agent (</w:t>
                  </w:r>
                  <w:r>
                    <w:rPr>
                      <w:b/>
                    </w:rPr>
                    <w:t>under image guidance</w:t>
                  </w:r>
                  <w:r>
                    <w:rPr/>
                    <w:t>) (Anaes.)</w:t>
                  </w:r>
                </w:p>
              </w:txbxContent>
            </v:textbox>
            <v:stroke dashstyle="solid"/>
            <w10:wrap type="topAndBottom"/>
          </v:shape>
        </w:pict>
      </w:r>
    </w:p>
    <w:p>
      <w:pPr>
        <w:spacing w:after="0"/>
        <w:rPr>
          <w:sz w:val="16"/>
        </w:rPr>
        <w:sectPr>
          <w:headerReference w:type="default" r:id="rId219"/>
          <w:footerReference w:type="default" r:id="rId220"/>
          <w:pgSz w:w="11910" w:h="16840"/>
          <w:pgMar w:header="672" w:footer="978" w:top="1300" w:bottom="1160" w:left="440" w:right="140"/>
        </w:sectPr>
      </w:pPr>
    </w:p>
    <w:p>
      <w:pPr>
        <w:pStyle w:val="BodyText"/>
        <w:rPr>
          <w:sz w:val="20"/>
        </w:rPr>
      </w:pPr>
    </w:p>
    <w:p>
      <w:pPr>
        <w:pStyle w:val="BodyText"/>
        <w:spacing w:before="11"/>
        <w:rPr>
          <w:sz w:val="24"/>
        </w:rPr>
      </w:pPr>
    </w:p>
    <w:p>
      <w:pPr>
        <w:pStyle w:val="Heading4"/>
        <w:tabs>
          <w:tab w:pos="2397" w:val="left" w:leader="none"/>
        </w:tabs>
        <w:ind w:left="1262" w:firstLine="0"/>
      </w:pPr>
      <w:r>
        <w:rPr/>
        <w:t>4.1.7.1</w:t>
        <w:tab/>
        <w:t>Rationale 7</w:t>
      </w:r>
    </w:p>
    <w:p>
      <w:pPr>
        <w:pStyle w:val="BodyText"/>
        <w:spacing w:before="7"/>
        <w:rPr>
          <w:b/>
          <w:sz w:val="21"/>
        </w:rPr>
      </w:pPr>
    </w:p>
    <w:p>
      <w:pPr>
        <w:pStyle w:val="BodyText"/>
        <w:spacing w:line="312" w:lineRule="auto" w:before="1"/>
        <w:ind w:left="1262" w:right="1710"/>
      </w:pPr>
      <w:r>
        <w:rPr/>
        <w:t>This recommendation focuses on recognising current best practice in the items. It is based on the following assessment:</w:t>
      </w:r>
    </w:p>
    <w:p>
      <w:pPr>
        <w:pStyle w:val="BodyText"/>
        <w:spacing w:line="312" w:lineRule="auto" w:before="72"/>
        <w:ind w:left="2123" w:right="1664"/>
        <w:rPr>
          <w:sz w:val="18"/>
        </w:rPr>
      </w:pPr>
      <w:r>
        <w:rPr/>
        <w:t>The Committee considers adding ‘under image guidance’ to the item numbers will improve safety for patients as it is currently accepted best practice to perform these procedures under image guidance </w:t>
      </w:r>
      <w:r>
        <w:rPr>
          <w:sz w:val="18"/>
        </w:rPr>
        <w:t>(Mercadante, Klepstad, Kurita, &amp; al, 2015).</w:t>
      </w:r>
    </w:p>
    <w:p>
      <w:pPr>
        <w:pStyle w:val="BodyText"/>
      </w:pPr>
    </w:p>
    <w:p>
      <w:pPr>
        <w:pStyle w:val="BodyText"/>
        <w:spacing w:before="6"/>
        <w:rPr>
          <w:sz w:val="26"/>
        </w:rPr>
      </w:pPr>
    </w:p>
    <w:p>
      <w:pPr>
        <w:pStyle w:val="Heading4"/>
        <w:numPr>
          <w:ilvl w:val="2"/>
          <w:numId w:val="12"/>
        </w:numPr>
        <w:tabs>
          <w:tab w:pos="1981" w:val="left" w:leader="none"/>
          <w:tab w:pos="1982" w:val="left" w:leader="none"/>
        </w:tabs>
        <w:spacing w:line="312" w:lineRule="auto" w:before="0" w:after="0"/>
        <w:ind w:left="1982" w:right="1666" w:hanging="720"/>
        <w:jc w:val="left"/>
      </w:pPr>
      <w:r>
        <w:rPr/>
        <w:t>Recommendation 8 – Clarifying item 18296 - pelvic region of the sympathetic chain</w:t>
      </w:r>
    </w:p>
    <w:p>
      <w:pPr>
        <w:pStyle w:val="BodyText"/>
        <w:spacing w:before="117"/>
        <w:ind w:left="1262"/>
      </w:pPr>
      <w:r>
        <w:rPr/>
        <w:t>The Committee recommends amending the item descriptor to (additions in bold):</w:t>
      </w:r>
    </w:p>
    <w:p>
      <w:pPr>
        <w:pStyle w:val="BodyText"/>
        <w:spacing w:before="10"/>
        <w:rPr>
          <w:sz w:val="11"/>
        </w:rPr>
      </w:pPr>
      <w:r>
        <w:rPr/>
        <w:pict>
          <v:shape style="position:absolute;margin-left:85.050003pt;margin-top:10.197890pt;width:414.3pt;height:67.55pt;mso-position-horizontal-relative:page;mso-position-vertical-relative:paragraph;z-index:-15614464;mso-wrap-distance-left:0;mso-wrap-distance-right:0" type="#_x0000_t202" filled="false" stroked="true" strokeweight="2pt" strokecolor="#c0504d">
            <v:textbox inset="0,0,0,0">
              <w:txbxContent>
                <w:p>
                  <w:pPr>
                    <w:spacing w:before="69"/>
                    <w:ind w:left="144" w:right="0" w:firstLine="0"/>
                    <w:jc w:val="left"/>
                    <w:rPr>
                      <w:b/>
                      <w:sz w:val="22"/>
                    </w:rPr>
                  </w:pPr>
                  <w:r>
                    <w:rPr>
                      <w:b/>
                      <w:sz w:val="22"/>
                    </w:rPr>
                    <w:t>Item 18296</w:t>
                  </w:r>
                </w:p>
                <w:p>
                  <w:pPr>
                    <w:spacing w:line="312" w:lineRule="auto" w:before="142"/>
                    <w:ind w:left="144" w:right="631" w:firstLine="0"/>
                    <w:jc w:val="left"/>
                    <w:rPr>
                      <w:sz w:val="22"/>
                    </w:rPr>
                  </w:pPr>
                  <w:r>
                    <w:rPr>
                      <w:sz w:val="22"/>
                    </w:rPr>
                    <w:t>LUMBAR </w:t>
                  </w:r>
                  <w:r>
                    <w:rPr>
                      <w:b/>
                      <w:sz w:val="22"/>
                    </w:rPr>
                    <w:t>OR PELVIC </w:t>
                  </w:r>
                  <w:r>
                    <w:rPr>
                      <w:sz w:val="22"/>
                    </w:rPr>
                    <w:t>SYMPATHETIC CHAIN, destruction by a neurolytic agent </w:t>
                  </w:r>
                  <w:r>
                    <w:rPr>
                      <w:b/>
                      <w:sz w:val="22"/>
                    </w:rPr>
                    <w:t>(under image guidance) </w:t>
                  </w:r>
                  <w:r>
                    <w:rPr>
                      <w:sz w:val="22"/>
                    </w:rPr>
                    <w:t>(Anaes.)</w:t>
                  </w:r>
                </w:p>
              </w:txbxContent>
            </v:textbox>
            <v:stroke dashstyle="solid"/>
            <w10:wrap type="topAndBottom"/>
          </v:shape>
        </w:pict>
      </w:r>
    </w:p>
    <w:p>
      <w:pPr>
        <w:pStyle w:val="BodyText"/>
      </w:pPr>
    </w:p>
    <w:p>
      <w:pPr>
        <w:pStyle w:val="BodyText"/>
        <w:spacing w:before="3"/>
        <w:rPr>
          <w:sz w:val="31"/>
        </w:rPr>
      </w:pPr>
    </w:p>
    <w:p>
      <w:pPr>
        <w:pStyle w:val="Heading4"/>
        <w:tabs>
          <w:tab w:pos="2397" w:val="left" w:leader="none"/>
        </w:tabs>
        <w:spacing w:before="0"/>
        <w:ind w:left="1262" w:firstLine="0"/>
      </w:pPr>
      <w:r>
        <w:rPr/>
        <w:t>4.1.8.1</w:t>
        <w:tab/>
        <w:t>Rationale 8</w:t>
      </w:r>
    </w:p>
    <w:p>
      <w:pPr>
        <w:pStyle w:val="BodyText"/>
        <w:spacing w:before="10"/>
        <w:rPr>
          <w:b/>
          <w:sz w:val="21"/>
        </w:rPr>
      </w:pPr>
    </w:p>
    <w:p>
      <w:pPr>
        <w:pStyle w:val="BodyText"/>
        <w:spacing w:line="312" w:lineRule="auto"/>
        <w:ind w:left="1262" w:right="1724"/>
        <w:jc w:val="both"/>
      </w:pPr>
      <w:r>
        <w:rPr/>
        <w:t>This recommendation focuses on recognising current best practice in the items. It is based on the following assessment:</w:t>
      </w:r>
    </w:p>
    <w:p>
      <w:pPr>
        <w:pStyle w:val="BodyText"/>
        <w:spacing w:line="312" w:lineRule="auto" w:before="72"/>
        <w:ind w:left="2123" w:right="1751"/>
        <w:jc w:val="both"/>
      </w:pPr>
      <w:r>
        <w:rPr/>
        <w:drawing>
          <wp:anchor distT="0" distB="0" distL="0" distR="0" allowOverlap="1" layoutInCell="1" locked="0" behindDoc="0" simplePos="0" relativeHeight="15843328">
            <wp:simplePos x="0" y="0"/>
            <wp:positionH relativeFrom="page">
              <wp:posOffset>1362646</wp:posOffset>
            </wp:positionH>
            <wp:positionV relativeFrom="paragraph">
              <wp:posOffset>114028</wp:posOffset>
            </wp:positionV>
            <wp:extent cx="52387" cy="52387"/>
            <wp:effectExtent l="0" t="0" r="0" b="0"/>
            <wp:wrapNone/>
            <wp:docPr id="473" name="image176.png"/>
            <wp:cNvGraphicFramePr>
              <a:graphicFrameLocks noChangeAspect="1"/>
            </wp:cNvGraphicFramePr>
            <a:graphic>
              <a:graphicData uri="http://schemas.openxmlformats.org/drawingml/2006/picture">
                <pic:pic>
                  <pic:nvPicPr>
                    <pic:cNvPr id="474" name="image176.png"/>
                    <pic:cNvPicPr/>
                  </pic:nvPicPr>
                  <pic:blipFill>
                    <a:blip r:embed="rId184" cstate="print"/>
                    <a:stretch>
                      <a:fillRect/>
                    </a:stretch>
                  </pic:blipFill>
                  <pic:spPr>
                    <a:xfrm>
                      <a:off x="0" y="0"/>
                      <a:ext cx="52387" cy="52387"/>
                    </a:xfrm>
                    <a:prstGeom prst="rect">
                      <a:avLst/>
                    </a:prstGeom>
                  </pic:spPr>
                </pic:pic>
              </a:graphicData>
            </a:graphic>
          </wp:anchor>
        </w:drawing>
      </w:r>
      <w:r>
        <w:rPr/>
        <w:t>There is currently no item number which provides access to the pelvic region of the sympathetic chain for neurolytic injection. The Committee considers it is likely that pelvic sympathetic chain neurolytic blocks are currently being performed using this item number.</w:t>
      </w:r>
    </w:p>
    <w:p>
      <w:pPr>
        <w:pStyle w:val="BodyText"/>
        <w:spacing w:line="312" w:lineRule="auto" w:before="130"/>
        <w:ind w:left="2123" w:right="2257"/>
      </w:pPr>
      <w:r>
        <w:rPr/>
        <w:drawing>
          <wp:anchor distT="0" distB="0" distL="0" distR="0" allowOverlap="1" layoutInCell="1" locked="0" behindDoc="0" simplePos="0" relativeHeight="15843840">
            <wp:simplePos x="0" y="0"/>
            <wp:positionH relativeFrom="page">
              <wp:posOffset>1362646</wp:posOffset>
            </wp:positionH>
            <wp:positionV relativeFrom="paragraph">
              <wp:posOffset>150858</wp:posOffset>
            </wp:positionV>
            <wp:extent cx="52387" cy="52387"/>
            <wp:effectExtent l="0" t="0" r="0" b="0"/>
            <wp:wrapNone/>
            <wp:docPr id="475" name="image176.png"/>
            <wp:cNvGraphicFramePr>
              <a:graphicFrameLocks noChangeAspect="1"/>
            </wp:cNvGraphicFramePr>
            <a:graphic>
              <a:graphicData uri="http://schemas.openxmlformats.org/drawingml/2006/picture">
                <pic:pic>
                  <pic:nvPicPr>
                    <pic:cNvPr id="476" name="image176.png"/>
                    <pic:cNvPicPr/>
                  </pic:nvPicPr>
                  <pic:blipFill>
                    <a:blip r:embed="rId184" cstate="print"/>
                    <a:stretch>
                      <a:fillRect/>
                    </a:stretch>
                  </pic:blipFill>
                  <pic:spPr>
                    <a:xfrm>
                      <a:off x="0" y="0"/>
                      <a:ext cx="52387" cy="52387"/>
                    </a:xfrm>
                    <a:prstGeom prst="rect">
                      <a:avLst/>
                    </a:prstGeom>
                  </pic:spPr>
                </pic:pic>
              </a:graphicData>
            </a:graphic>
          </wp:anchor>
        </w:drawing>
      </w:r>
      <w:r>
        <w:rPr/>
        <w:t>This change will reduce confusion with billing practices and is not expected to change the number of claims per year.</w:t>
      </w:r>
    </w:p>
    <w:p>
      <w:pPr>
        <w:pStyle w:val="BodyText"/>
        <w:spacing w:line="312" w:lineRule="auto" w:before="132"/>
        <w:ind w:left="2123" w:right="1697"/>
      </w:pPr>
      <w:r>
        <w:rPr/>
        <w:drawing>
          <wp:anchor distT="0" distB="0" distL="0" distR="0" allowOverlap="1" layoutInCell="1" locked="0" behindDoc="0" simplePos="0" relativeHeight="15844352">
            <wp:simplePos x="0" y="0"/>
            <wp:positionH relativeFrom="page">
              <wp:posOffset>1362646</wp:posOffset>
            </wp:positionH>
            <wp:positionV relativeFrom="paragraph">
              <wp:posOffset>152128</wp:posOffset>
            </wp:positionV>
            <wp:extent cx="52387" cy="52387"/>
            <wp:effectExtent l="0" t="0" r="0" b="0"/>
            <wp:wrapNone/>
            <wp:docPr id="477" name="image176.png"/>
            <wp:cNvGraphicFramePr>
              <a:graphicFrameLocks noChangeAspect="1"/>
            </wp:cNvGraphicFramePr>
            <a:graphic>
              <a:graphicData uri="http://schemas.openxmlformats.org/drawingml/2006/picture">
                <pic:pic>
                  <pic:nvPicPr>
                    <pic:cNvPr id="478" name="image176.png"/>
                    <pic:cNvPicPr/>
                  </pic:nvPicPr>
                  <pic:blipFill>
                    <a:blip r:embed="rId184" cstate="print"/>
                    <a:stretch>
                      <a:fillRect/>
                    </a:stretch>
                  </pic:blipFill>
                  <pic:spPr>
                    <a:xfrm>
                      <a:off x="0" y="0"/>
                      <a:ext cx="52387" cy="52387"/>
                    </a:xfrm>
                    <a:prstGeom prst="rect">
                      <a:avLst/>
                    </a:prstGeom>
                  </pic:spPr>
                </pic:pic>
              </a:graphicData>
            </a:graphic>
          </wp:anchor>
        </w:drawing>
      </w:r>
      <w:r>
        <w:rPr/>
        <w:t>Pelvic sympathetic chain destruction by a neurolytic agent is considered to have the same evidence base for utility as other sympathetic blocks </w:t>
      </w:r>
      <w:r>
        <w:rPr>
          <w:sz w:val="18"/>
        </w:rPr>
        <w:t>(Gunduz &amp; Kenis-Coskun, 2017) </w:t>
      </w:r>
      <w:r>
        <w:rPr/>
        <w:t>.</w:t>
      </w:r>
    </w:p>
    <w:p>
      <w:pPr>
        <w:spacing w:after="0" w:line="312" w:lineRule="auto"/>
        <w:sectPr>
          <w:headerReference w:type="default" r:id="rId221"/>
          <w:footerReference w:type="default" r:id="rId222"/>
          <w:pgSz w:w="11910" w:h="16840"/>
          <w:pgMar w:header="672" w:footer="978" w:top="1300" w:bottom="1160" w:left="440" w:right="140"/>
        </w:sectPr>
      </w:pPr>
    </w:p>
    <w:p>
      <w:pPr>
        <w:pStyle w:val="BodyText"/>
        <w:rPr>
          <w:sz w:val="20"/>
        </w:rPr>
      </w:pPr>
    </w:p>
    <w:p>
      <w:pPr>
        <w:pStyle w:val="BodyText"/>
        <w:rPr>
          <w:sz w:val="20"/>
        </w:rPr>
      </w:pPr>
    </w:p>
    <w:p>
      <w:pPr>
        <w:pStyle w:val="BodyText"/>
        <w:rPr>
          <w:sz w:val="20"/>
        </w:rPr>
      </w:pPr>
    </w:p>
    <w:p>
      <w:pPr>
        <w:pStyle w:val="BodyText"/>
        <w:spacing w:before="3"/>
        <w:rPr>
          <w:sz w:val="23"/>
        </w:rPr>
      </w:pPr>
    </w:p>
    <w:p>
      <w:pPr>
        <w:pStyle w:val="Heading4"/>
        <w:numPr>
          <w:ilvl w:val="2"/>
          <w:numId w:val="12"/>
        </w:numPr>
        <w:tabs>
          <w:tab w:pos="1981" w:val="left" w:leader="none"/>
          <w:tab w:pos="1982" w:val="left" w:leader="none"/>
        </w:tabs>
        <w:spacing w:line="312" w:lineRule="auto" w:before="51" w:after="0"/>
        <w:ind w:left="1982" w:right="1850" w:hanging="720"/>
        <w:jc w:val="left"/>
      </w:pPr>
      <w:r>
        <w:rPr/>
        <w:t>Recommendation 9 – Reflecting best practice in item 39013 - intra-articular injection</w:t>
      </w:r>
    </w:p>
    <w:p>
      <w:pPr>
        <w:pStyle w:val="ListParagraph"/>
        <w:numPr>
          <w:ilvl w:val="3"/>
          <w:numId w:val="12"/>
        </w:numPr>
        <w:tabs>
          <w:tab w:pos="2054" w:val="left" w:leader="none"/>
        </w:tabs>
        <w:spacing w:line="240" w:lineRule="auto" w:before="119" w:after="0"/>
        <w:ind w:left="2054" w:right="0" w:hanging="360"/>
        <w:jc w:val="left"/>
        <w:rPr>
          <w:sz w:val="22"/>
        </w:rPr>
      </w:pPr>
      <w:r>
        <w:rPr>
          <w:sz w:val="22"/>
        </w:rPr>
        <w:t>The Committee recommends amending the item descriptor to (additions in</w:t>
      </w:r>
      <w:r>
        <w:rPr>
          <w:spacing w:val="-7"/>
          <w:sz w:val="22"/>
        </w:rPr>
        <w:t> </w:t>
      </w:r>
      <w:r>
        <w:rPr>
          <w:sz w:val="22"/>
        </w:rPr>
        <w:t>bold):</w:t>
      </w:r>
    </w:p>
    <w:p>
      <w:pPr>
        <w:pStyle w:val="BodyText"/>
        <w:spacing w:before="9"/>
        <w:rPr>
          <w:sz w:val="11"/>
        </w:rPr>
      </w:pPr>
      <w:r>
        <w:rPr/>
        <w:pict>
          <v:shape style="position:absolute;margin-left:85.050003pt;margin-top:10.127149pt;width:414.3pt;height:67.55pt;mso-position-horizontal-relative:page;mso-position-vertical-relative:paragraph;z-index:-15612416;mso-wrap-distance-left:0;mso-wrap-distance-right:0" type="#_x0000_t202" filled="false" stroked="true" strokeweight="2pt" strokecolor="#c0504d">
            <v:textbox inset="0,0,0,0">
              <w:txbxContent>
                <w:p>
                  <w:pPr>
                    <w:spacing w:before="68"/>
                    <w:ind w:left="144" w:right="0" w:firstLine="0"/>
                    <w:jc w:val="left"/>
                    <w:rPr>
                      <w:b/>
                      <w:sz w:val="22"/>
                    </w:rPr>
                  </w:pPr>
                  <w:r>
                    <w:rPr>
                      <w:b/>
                      <w:sz w:val="22"/>
                    </w:rPr>
                    <w:t>Item 39013</w:t>
                  </w:r>
                </w:p>
                <w:p>
                  <w:pPr>
                    <w:pStyle w:val="BodyText"/>
                    <w:spacing w:line="312" w:lineRule="auto" w:before="142"/>
                    <w:ind w:left="144" w:right="263"/>
                  </w:pPr>
                  <w:r>
                    <w:rPr/>
                    <w:t>INJECTION </w:t>
                  </w:r>
                  <w:r>
                    <w:rPr>
                      <w:b/>
                    </w:rPr>
                    <w:t>UNDER IMAGE GUIDANCE </w:t>
                  </w:r>
                  <w:r>
                    <w:rPr/>
                    <w:t>with 1 or more of contrast media, local anaesthetic or steroid into 1 or more zygapophyseal or costo-transverse joints. (Anaes.)</w:t>
                  </w:r>
                </w:p>
              </w:txbxContent>
            </v:textbox>
            <v:stroke dashstyle="solid"/>
            <w10:wrap type="topAndBottom"/>
          </v:shape>
        </w:pict>
      </w:r>
    </w:p>
    <w:p>
      <w:pPr>
        <w:pStyle w:val="ListParagraph"/>
        <w:numPr>
          <w:ilvl w:val="3"/>
          <w:numId w:val="12"/>
        </w:numPr>
        <w:tabs>
          <w:tab w:pos="2054" w:val="left" w:leader="none"/>
        </w:tabs>
        <w:spacing w:line="312" w:lineRule="auto" w:before="179" w:after="0"/>
        <w:ind w:left="2054" w:right="1740" w:hanging="360"/>
        <w:jc w:val="left"/>
        <w:rPr>
          <w:sz w:val="22"/>
        </w:rPr>
      </w:pPr>
      <w:r>
        <w:rPr>
          <w:sz w:val="22"/>
        </w:rPr>
        <w:t>The Committee recommends amending the explanatory notes for item 39013 to include the following statement “Where intra-articular zygapophyseal joint injection provides a short term effect that is repeatedly observed, consideration should</w:t>
      </w:r>
      <w:r>
        <w:rPr>
          <w:spacing w:val="-24"/>
          <w:sz w:val="22"/>
        </w:rPr>
        <w:t> </w:t>
      </w:r>
      <w:r>
        <w:rPr>
          <w:sz w:val="22"/>
        </w:rPr>
        <w:t>be</w:t>
      </w:r>
    </w:p>
    <w:p>
      <w:pPr>
        <w:pStyle w:val="BodyText"/>
        <w:spacing w:line="268" w:lineRule="exact"/>
        <w:ind w:left="2054"/>
      </w:pPr>
      <w:r>
        <w:rPr/>
        <w:t>given to longer lasting pain management techniques.”</w:t>
      </w:r>
    </w:p>
    <w:p>
      <w:pPr>
        <w:pStyle w:val="BodyText"/>
        <w:spacing w:before="4"/>
        <w:rPr>
          <w:sz w:val="16"/>
        </w:rPr>
      </w:pPr>
    </w:p>
    <w:p>
      <w:pPr>
        <w:pStyle w:val="ListParagraph"/>
        <w:numPr>
          <w:ilvl w:val="3"/>
          <w:numId w:val="12"/>
        </w:numPr>
        <w:tabs>
          <w:tab w:pos="2053" w:val="left" w:leader="none"/>
          <w:tab w:pos="2054" w:val="left" w:leader="none"/>
        </w:tabs>
        <w:spacing w:line="240" w:lineRule="auto" w:before="0" w:after="0"/>
        <w:ind w:left="2054" w:right="0" w:hanging="360"/>
        <w:jc w:val="left"/>
        <w:rPr>
          <w:sz w:val="22"/>
        </w:rPr>
      </w:pPr>
      <w:r>
        <w:rPr>
          <w:sz w:val="22"/>
        </w:rPr>
        <w:t>The Committee recommends creation of new item</w:t>
      </w:r>
      <w:r>
        <w:rPr>
          <w:spacing w:val="-7"/>
          <w:sz w:val="22"/>
        </w:rPr>
        <w:t> </w:t>
      </w:r>
      <w:r>
        <w:rPr>
          <w:sz w:val="22"/>
        </w:rPr>
        <w:t>39014</w:t>
      </w:r>
    </w:p>
    <w:p>
      <w:pPr>
        <w:pStyle w:val="BodyText"/>
        <w:spacing w:before="10"/>
        <w:rPr>
          <w:sz w:val="11"/>
        </w:rPr>
      </w:pPr>
      <w:r>
        <w:rPr/>
        <w:pict>
          <v:shape style="position:absolute;margin-left:85.050003pt;margin-top:10.188869pt;width:408pt;height:71.5pt;mso-position-horizontal-relative:page;mso-position-vertical-relative:paragraph;z-index:-15611904;mso-wrap-distance-left:0;mso-wrap-distance-right:0" type="#_x0000_t202" filled="false" stroked="true" strokeweight="2pt" strokecolor="#c0504d">
            <v:textbox inset="0,0,0,0">
              <w:txbxContent>
                <w:p>
                  <w:pPr>
                    <w:spacing w:before="69"/>
                    <w:ind w:left="144" w:right="0" w:firstLine="0"/>
                    <w:jc w:val="left"/>
                    <w:rPr>
                      <w:b/>
                      <w:sz w:val="22"/>
                    </w:rPr>
                  </w:pPr>
                  <w:r>
                    <w:rPr>
                      <w:b/>
                      <w:sz w:val="22"/>
                    </w:rPr>
                    <w:t>New item 39014</w:t>
                  </w:r>
                </w:p>
                <w:p>
                  <w:pPr>
                    <w:spacing w:line="309" w:lineRule="auto" w:before="144"/>
                    <w:ind w:left="144" w:right="147" w:firstLine="0"/>
                    <w:jc w:val="left"/>
                    <w:rPr>
                      <w:sz w:val="24"/>
                    </w:rPr>
                  </w:pPr>
                  <w:r>
                    <w:rPr>
                      <w:sz w:val="24"/>
                    </w:rPr>
                    <w:t>Medial branch block of primary posterior rami, injection of an anaesthetic agent under image guidance (Anaes)</w:t>
                  </w:r>
                </w:p>
              </w:txbxContent>
            </v:textbox>
            <v:stroke dashstyle="solid"/>
            <w10:wrap type="topAndBottom"/>
          </v:shape>
        </w:pict>
      </w:r>
    </w:p>
    <w:p>
      <w:pPr>
        <w:pStyle w:val="Heading4"/>
        <w:tabs>
          <w:tab w:pos="2397" w:val="left" w:leader="none"/>
        </w:tabs>
        <w:spacing w:before="192"/>
        <w:ind w:left="1262" w:firstLine="0"/>
      </w:pPr>
      <w:r>
        <w:rPr/>
        <w:t>4.1.9.1</w:t>
        <w:tab/>
        <w:t>Rationale 9</w:t>
      </w:r>
    </w:p>
    <w:p>
      <w:pPr>
        <w:pStyle w:val="BodyText"/>
        <w:spacing w:before="10"/>
        <w:rPr>
          <w:b/>
          <w:sz w:val="21"/>
        </w:rPr>
      </w:pPr>
    </w:p>
    <w:p>
      <w:pPr>
        <w:pStyle w:val="BodyText"/>
        <w:spacing w:line="312" w:lineRule="auto"/>
        <w:ind w:left="1262" w:right="2070"/>
      </w:pPr>
      <w:r>
        <w:rPr/>
        <w:t>This recommendation focuses on recognising current best practice and improving patient safety. It is based on the following assessment:</w:t>
      </w:r>
    </w:p>
    <w:p>
      <w:pPr>
        <w:pStyle w:val="BodyText"/>
        <w:spacing w:line="312" w:lineRule="auto" w:before="72"/>
        <w:ind w:left="2123" w:right="1931"/>
      </w:pPr>
      <w:r>
        <w:rPr/>
        <w:drawing>
          <wp:anchor distT="0" distB="0" distL="0" distR="0" allowOverlap="1" layoutInCell="1" locked="0" behindDoc="0" simplePos="0" relativeHeight="15845888">
            <wp:simplePos x="0" y="0"/>
            <wp:positionH relativeFrom="page">
              <wp:posOffset>1362646</wp:posOffset>
            </wp:positionH>
            <wp:positionV relativeFrom="paragraph">
              <wp:posOffset>114028</wp:posOffset>
            </wp:positionV>
            <wp:extent cx="52387" cy="52387"/>
            <wp:effectExtent l="0" t="0" r="0" b="0"/>
            <wp:wrapNone/>
            <wp:docPr id="481" name="image194.png"/>
            <wp:cNvGraphicFramePr>
              <a:graphicFrameLocks noChangeAspect="1"/>
            </wp:cNvGraphicFramePr>
            <a:graphic>
              <a:graphicData uri="http://schemas.openxmlformats.org/drawingml/2006/picture">
                <pic:pic>
                  <pic:nvPicPr>
                    <pic:cNvPr id="482" name="image194.png"/>
                    <pic:cNvPicPr/>
                  </pic:nvPicPr>
                  <pic:blipFill>
                    <a:blip r:embed="rId225" cstate="print"/>
                    <a:stretch>
                      <a:fillRect/>
                    </a:stretch>
                  </pic:blipFill>
                  <pic:spPr>
                    <a:xfrm>
                      <a:off x="0" y="0"/>
                      <a:ext cx="52387" cy="52387"/>
                    </a:xfrm>
                    <a:prstGeom prst="rect">
                      <a:avLst/>
                    </a:prstGeom>
                  </pic:spPr>
                </pic:pic>
              </a:graphicData>
            </a:graphic>
          </wp:anchor>
        </w:drawing>
      </w:r>
      <w:r>
        <w:rPr/>
        <w:t>The Committee recommends deleting ‘1 or more primary posterior rami of spinal nerves’ and replacing ‘under image intensification’ with ‘under image guidance’. This will make the item number applicable only to intra-articular injection.</w:t>
      </w:r>
    </w:p>
    <w:p>
      <w:pPr>
        <w:pStyle w:val="BodyText"/>
        <w:spacing w:line="312" w:lineRule="auto" w:before="131"/>
        <w:ind w:left="2123" w:right="1745"/>
      </w:pPr>
      <w:r>
        <w:rPr/>
        <w:drawing>
          <wp:anchor distT="0" distB="0" distL="0" distR="0" allowOverlap="1" layoutInCell="1" locked="0" behindDoc="0" simplePos="0" relativeHeight="15846400">
            <wp:simplePos x="0" y="0"/>
            <wp:positionH relativeFrom="page">
              <wp:posOffset>1362646</wp:posOffset>
            </wp:positionH>
            <wp:positionV relativeFrom="paragraph">
              <wp:posOffset>151493</wp:posOffset>
            </wp:positionV>
            <wp:extent cx="52387" cy="52387"/>
            <wp:effectExtent l="0" t="0" r="0" b="0"/>
            <wp:wrapNone/>
            <wp:docPr id="483" name="image175.png"/>
            <wp:cNvGraphicFramePr>
              <a:graphicFrameLocks noChangeAspect="1"/>
            </wp:cNvGraphicFramePr>
            <a:graphic>
              <a:graphicData uri="http://schemas.openxmlformats.org/drawingml/2006/picture">
                <pic:pic>
                  <pic:nvPicPr>
                    <pic:cNvPr id="484" name="image175.png"/>
                    <pic:cNvPicPr/>
                  </pic:nvPicPr>
                  <pic:blipFill>
                    <a:blip r:embed="rId183" cstate="print"/>
                    <a:stretch>
                      <a:fillRect/>
                    </a:stretch>
                  </pic:blipFill>
                  <pic:spPr>
                    <a:xfrm>
                      <a:off x="0" y="0"/>
                      <a:ext cx="52387" cy="52387"/>
                    </a:xfrm>
                    <a:prstGeom prst="rect">
                      <a:avLst/>
                    </a:prstGeom>
                  </pic:spPr>
                </pic:pic>
              </a:graphicData>
            </a:graphic>
          </wp:anchor>
        </w:drawing>
      </w:r>
      <w:r>
        <w:rPr/>
        <w:t>There is currently widespread claiming of this item number for diagnostic medial branch blocks which the Committee considers is better addressed by splitting 39013, with item number 39014. These changes will restrict diagnostic medial branch blocks to item 39014. As a result use of item 39013 is expected to decrease.</w:t>
      </w:r>
    </w:p>
    <w:p>
      <w:pPr>
        <w:pStyle w:val="BodyText"/>
        <w:spacing w:line="312" w:lineRule="auto" w:before="133"/>
        <w:ind w:left="2123" w:right="1658"/>
      </w:pPr>
      <w:r>
        <w:rPr/>
        <w:drawing>
          <wp:anchor distT="0" distB="0" distL="0" distR="0" allowOverlap="1" layoutInCell="1" locked="0" behindDoc="0" simplePos="0" relativeHeight="15846912">
            <wp:simplePos x="0" y="0"/>
            <wp:positionH relativeFrom="page">
              <wp:posOffset>1362646</wp:posOffset>
            </wp:positionH>
            <wp:positionV relativeFrom="paragraph">
              <wp:posOffset>152382</wp:posOffset>
            </wp:positionV>
            <wp:extent cx="52387" cy="52387"/>
            <wp:effectExtent l="0" t="0" r="0" b="0"/>
            <wp:wrapNone/>
            <wp:docPr id="485" name="image176.png"/>
            <wp:cNvGraphicFramePr>
              <a:graphicFrameLocks noChangeAspect="1"/>
            </wp:cNvGraphicFramePr>
            <a:graphic>
              <a:graphicData uri="http://schemas.openxmlformats.org/drawingml/2006/picture">
                <pic:pic>
                  <pic:nvPicPr>
                    <pic:cNvPr id="486" name="image176.png"/>
                    <pic:cNvPicPr/>
                  </pic:nvPicPr>
                  <pic:blipFill>
                    <a:blip r:embed="rId184" cstate="print"/>
                    <a:stretch>
                      <a:fillRect/>
                    </a:stretch>
                  </pic:blipFill>
                  <pic:spPr>
                    <a:xfrm>
                      <a:off x="0" y="0"/>
                      <a:ext cx="52387" cy="52387"/>
                    </a:xfrm>
                    <a:prstGeom prst="rect">
                      <a:avLst/>
                    </a:prstGeom>
                  </pic:spPr>
                </pic:pic>
              </a:graphicData>
            </a:graphic>
          </wp:anchor>
        </w:drawing>
      </w:r>
      <w:r>
        <w:rPr/>
        <w:t>The proposed change will provide greater clarity about current practice. It will differentiate medial branch block (as a prelude to radiofrequency neurotomy) which is well supported by scientific evidence from intra-articular zygapophyseal joint block which is less well supported.</w:t>
      </w:r>
    </w:p>
    <w:p>
      <w:pPr>
        <w:pStyle w:val="BodyText"/>
        <w:spacing w:line="312" w:lineRule="auto" w:before="130"/>
        <w:ind w:left="2123" w:right="1736"/>
      </w:pPr>
      <w:r>
        <w:rPr/>
        <w:drawing>
          <wp:anchor distT="0" distB="0" distL="0" distR="0" allowOverlap="1" layoutInCell="1" locked="0" behindDoc="0" simplePos="0" relativeHeight="15847424">
            <wp:simplePos x="0" y="0"/>
            <wp:positionH relativeFrom="page">
              <wp:posOffset>1362646</wp:posOffset>
            </wp:positionH>
            <wp:positionV relativeFrom="paragraph">
              <wp:posOffset>150477</wp:posOffset>
            </wp:positionV>
            <wp:extent cx="52387" cy="52387"/>
            <wp:effectExtent l="0" t="0" r="0" b="0"/>
            <wp:wrapNone/>
            <wp:docPr id="487" name="image176.png"/>
            <wp:cNvGraphicFramePr>
              <a:graphicFrameLocks noChangeAspect="1"/>
            </wp:cNvGraphicFramePr>
            <a:graphic>
              <a:graphicData uri="http://schemas.openxmlformats.org/drawingml/2006/picture">
                <pic:pic>
                  <pic:nvPicPr>
                    <pic:cNvPr id="488" name="image176.png"/>
                    <pic:cNvPicPr/>
                  </pic:nvPicPr>
                  <pic:blipFill>
                    <a:blip r:embed="rId184" cstate="print"/>
                    <a:stretch>
                      <a:fillRect/>
                    </a:stretch>
                  </pic:blipFill>
                  <pic:spPr>
                    <a:xfrm>
                      <a:off x="0" y="0"/>
                      <a:ext cx="52387" cy="52387"/>
                    </a:xfrm>
                    <a:prstGeom prst="rect">
                      <a:avLst/>
                    </a:prstGeom>
                  </pic:spPr>
                </pic:pic>
              </a:graphicData>
            </a:graphic>
          </wp:anchor>
        </w:drawing>
      </w:r>
      <w:r>
        <w:rPr/>
        <w:t>The Committee is of the opinion that adding ‘under image guidance’ will improve safety for patients. Co-claiming data reflects that in 80% of cases imaging is being</w:t>
      </w:r>
    </w:p>
    <w:p>
      <w:pPr>
        <w:spacing w:after="0" w:line="312" w:lineRule="auto"/>
        <w:sectPr>
          <w:headerReference w:type="default" r:id="rId223"/>
          <w:footerReference w:type="default" r:id="rId224"/>
          <w:pgSz w:w="11910" w:h="16840"/>
          <w:pgMar w:header="672" w:footer="978" w:top="1300" w:bottom="1160" w:left="440" w:right="140"/>
        </w:sectPr>
      </w:pPr>
    </w:p>
    <w:p>
      <w:pPr>
        <w:pStyle w:val="BodyText"/>
        <w:rPr>
          <w:sz w:val="20"/>
        </w:rPr>
      </w:pPr>
    </w:p>
    <w:p>
      <w:pPr>
        <w:pStyle w:val="BodyText"/>
        <w:spacing w:before="3"/>
        <w:rPr>
          <w:sz w:val="24"/>
        </w:rPr>
      </w:pPr>
    </w:p>
    <w:p>
      <w:pPr>
        <w:pStyle w:val="BodyText"/>
        <w:spacing w:line="312" w:lineRule="auto" w:before="57"/>
        <w:ind w:left="2123" w:right="1713"/>
      </w:pPr>
      <w:r>
        <w:rPr/>
        <w:t>performed when undertaking this procedure, therefore it is currently accepted best practice to perform these procedures under image guidance.</w:t>
      </w:r>
    </w:p>
    <w:p>
      <w:pPr>
        <w:pStyle w:val="BodyText"/>
        <w:spacing w:line="312" w:lineRule="auto" w:before="132"/>
        <w:ind w:left="2123" w:right="1907"/>
      </w:pPr>
      <w:r>
        <w:rPr/>
        <w:drawing>
          <wp:anchor distT="0" distB="0" distL="0" distR="0" allowOverlap="1" layoutInCell="1" locked="0" behindDoc="0" simplePos="0" relativeHeight="15848448">
            <wp:simplePos x="0" y="0"/>
            <wp:positionH relativeFrom="page">
              <wp:posOffset>1362646</wp:posOffset>
            </wp:positionH>
            <wp:positionV relativeFrom="paragraph">
              <wp:posOffset>152763</wp:posOffset>
            </wp:positionV>
            <wp:extent cx="52387" cy="52387"/>
            <wp:effectExtent l="0" t="0" r="0" b="0"/>
            <wp:wrapNone/>
            <wp:docPr id="489" name="image176.png"/>
            <wp:cNvGraphicFramePr>
              <a:graphicFrameLocks noChangeAspect="1"/>
            </wp:cNvGraphicFramePr>
            <a:graphic>
              <a:graphicData uri="http://schemas.openxmlformats.org/drawingml/2006/picture">
                <pic:pic>
                  <pic:nvPicPr>
                    <pic:cNvPr id="490" name="image176.png"/>
                    <pic:cNvPicPr/>
                  </pic:nvPicPr>
                  <pic:blipFill>
                    <a:blip r:embed="rId184" cstate="print"/>
                    <a:stretch>
                      <a:fillRect/>
                    </a:stretch>
                  </pic:blipFill>
                  <pic:spPr>
                    <a:xfrm>
                      <a:off x="0" y="0"/>
                      <a:ext cx="52387" cy="52387"/>
                    </a:xfrm>
                    <a:prstGeom prst="rect">
                      <a:avLst/>
                    </a:prstGeom>
                  </pic:spPr>
                </pic:pic>
              </a:graphicData>
            </a:graphic>
          </wp:anchor>
        </w:drawing>
      </w:r>
      <w:r>
        <w:rPr/>
        <w:t>The Committee considered restricting use of CT guidance with this item (due to concerns about safety and radiation exposure) however; it determined that there was sufficient evidence to support the safety and efficacy of CT guidance. The Committee recommends that item 39013 be reviewed in 2 years.</w:t>
      </w:r>
    </w:p>
    <w:p>
      <w:pPr>
        <w:pStyle w:val="BodyText"/>
        <w:rPr>
          <w:sz w:val="20"/>
        </w:rPr>
      </w:pPr>
    </w:p>
    <w:p>
      <w:pPr>
        <w:pStyle w:val="BodyText"/>
        <w:spacing w:before="2"/>
        <w:rPr>
          <w:sz w:val="24"/>
        </w:rPr>
      </w:pPr>
    </w:p>
    <w:p>
      <w:pPr>
        <w:pStyle w:val="Heading4"/>
        <w:numPr>
          <w:ilvl w:val="2"/>
          <w:numId w:val="12"/>
        </w:numPr>
        <w:tabs>
          <w:tab w:pos="1982" w:val="left" w:leader="none"/>
        </w:tabs>
        <w:spacing w:line="312" w:lineRule="auto" w:before="52" w:after="0"/>
        <w:ind w:left="1982" w:right="2037" w:hanging="720"/>
        <w:jc w:val="left"/>
      </w:pPr>
      <w:r>
        <w:rPr/>
        <w:t>Recommendation 10 – Clarifying item 39100 - trigeminal nerve neurolytic block</w:t>
      </w:r>
    </w:p>
    <w:p>
      <w:pPr>
        <w:pStyle w:val="BodyText"/>
        <w:spacing w:before="117"/>
        <w:ind w:left="1262"/>
      </w:pPr>
      <w:r>
        <w:rPr/>
        <w:t>The Committee recommends amending the item descriptor to (additions in bold):</w:t>
      </w:r>
    </w:p>
    <w:p>
      <w:pPr>
        <w:pStyle w:val="BodyText"/>
        <w:spacing w:before="10"/>
        <w:rPr>
          <w:sz w:val="11"/>
        </w:rPr>
      </w:pPr>
      <w:r>
        <w:rPr/>
        <w:pict>
          <v:shape style="position:absolute;margin-left:85.050003pt;margin-top:10.169063pt;width:414.3pt;height:85pt;mso-position-horizontal-relative:page;mso-position-vertical-relative:paragraph;z-index:-15609344;mso-wrap-distance-left:0;mso-wrap-distance-right:0" type="#_x0000_t202" filled="false" stroked="true" strokeweight="2pt" strokecolor="#c0504d">
            <v:textbox inset="0,0,0,0">
              <w:txbxContent>
                <w:p>
                  <w:pPr>
                    <w:spacing w:before="69"/>
                    <w:ind w:left="144" w:right="0" w:firstLine="0"/>
                    <w:jc w:val="left"/>
                    <w:rPr>
                      <w:b/>
                      <w:sz w:val="22"/>
                    </w:rPr>
                  </w:pPr>
                  <w:r>
                    <w:rPr>
                      <w:b/>
                      <w:sz w:val="22"/>
                    </w:rPr>
                    <w:t>Item 39100</w:t>
                  </w:r>
                </w:p>
                <w:p>
                  <w:pPr>
                    <w:spacing w:line="312" w:lineRule="auto" w:before="142"/>
                    <w:ind w:left="144" w:right="495" w:firstLine="0"/>
                    <w:jc w:val="left"/>
                    <w:rPr>
                      <w:sz w:val="22"/>
                    </w:rPr>
                  </w:pPr>
                  <w:r>
                    <w:rPr>
                      <w:sz w:val="22"/>
                    </w:rPr>
                    <w:t>INJECTION OF A PRIMARY BRANCH OF TRIGEMINAL NERVE (</w:t>
                  </w:r>
                  <w:r>
                    <w:rPr>
                      <w:b/>
                      <w:sz w:val="22"/>
                    </w:rPr>
                    <w:t>ophthalmic, maxillary or mandibular branches</w:t>
                  </w:r>
                  <w:r>
                    <w:rPr>
                      <w:sz w:val="22"/>
                    </w:rPr>
                    <w:t>) with alcohol, phenol, or similar </w:t>
                  </w:r>
                  <w:r>
                    <w:rPr>
                      <w:b/>
                      <w:sz w:val="22"/>
                    </w:rPr>
                    <w:t>neurolytic </w:t>
                  </w:r>
                  <w:r>
                    <w:rPr>
                      <w:sz w:val="22"/>
                    </w:rPr>
                    <w:t>substance </w:t>
                  </w:r>
                  <w:r>
                    <w:rPr>
                      <w:b/>
                      <w:sz w:val="22"/>
                    </w:rPr>
                    <w:t>(under image guidance) </w:t>
                  </w:r>
                  <w:r>
                    <w:rPr>
                      <w:sz w:val="22"/>
                    </w:rPr>
                    <w:t>(Anaes.)</w:t>
                  </w:r>
                </w:p>
              </w:txbxContent>
            </v:textbox>
            <v:stroke dashstyle="solid"/>
            <w10:wrap type="topAndBottom"/>
          </v:shape>
        </w:pict>
      </w:r>
    </w:p>
    <w:p>
      <w:pPr>
        <w:pStyle w:val="BodyText"/>
      </w:pPr>
    </w:p>
    <w:p>
      <w:pPr>
        <w:pStyle w:val="BodyText"/>
        <w:spacing w:before="2"/>
        <w:rPr>
          <w:sz w:val="31"/>
        </w:rPr>
      </w:pPr>
    </w:p>
    <w:p>
      <w:pPr>
        <w:pStyle w:val="Heading4"/>
        <w:tabs>
          <w:tab w:pos="2397" w:val="left" w:leader="none"/>
        </w:tabs>
        <w:spacing w:before="0"/>
        <w:ind w:left="1262" w:firstLine="0"/>
      </w:pPr>
      <w:r>
        <w:rPr/>
        <w:t>4.1.10.1</w:t>
        <w:tab/>
        <w:t>Rationale 10</w:t>
      </w:r>
    </w:p>
    <w:p>
      <w:pPr>
        <w:pStyle w:val="BodyText"/>
        <w:spacing w:before="10"/>
        <w:rPr>
          <w:b/>
          <w:sz w:val="21"/>
        </w:rPr>
      </w:pPr>
    </w:p>
    <w:p>
      <w:pPr>
        <w:pStyle w:val="BodyText"/>
        <w:spacing w:line="312" w:lineRule="auto"/>
        <w:ind w:left="1262" w:right="2123"/>
      </w:pPr>
      <w:r>
        <w:rPr/>
        <w:t>This recommendation focuses on improving patient safety and reflects best practice. It is based on the following assessment:</w:t>
      </w:r>
    </w:p>
    <w:p>
      <w:pPr>
        <w:pStyle w:val="BodyText"/>
        <w:spacing w:line="312" w:lineRule="auto" w:before="73"/>
        <w:ind w:left="2123" w:right="1671"/>
      </w:pPr>
      <w:r>
        <w:rPr/>
        <w:drawing>
          <wp:anchor distT="0" distB="0" distL="0" distR="0" allowOverlap="1" layoutInCell="1" locked="0" behindDoc="0" simplePos="0" relativeHeight="15848960">
            <wp:simplePos x="0" y="0"/>
            <wp:positionH relativeFrom="page">
              <wp:posOffset>1362646</wp:posOffset>
            </wp:positionH>
            <wp:positionV relativeFrom="paragraph">
              <wp:posOffset>114663</wp:posOffset>
            </wp:positionV>
            <wp:extent cx="52387" cy="52387"/>
            <wp:effectExtent l="0" t="0" r="0" b="0"/>
            <wp:wrapNone/>
            <wp:docPr id="491" name="image175.png"/>
            <wp:cNvGraphicFramePr>
              <a:graphicFrameLocks noChangeAspect="1"/>
            </wp:cNvGraphicFramePr>
            <a:graphic>
              <a:graphicData uri="http://schemas.openxmlformats.org/drawingml/2006/picture">
                <pic:pic>
                  <pic:nvPicPr>
                    <pic:cNvPr id="492" name="image175.png"/>
                    <pic:cNvPicPr/>
                  </pic:nvPicPr>
                  <pic:blipFill>
                    <a:blip r:embed="rId183" cstate="print"/>
                    <a:stretch>
                      <a:fillRect/>
                    </a:stretch>
                  </pic:blipFill>
                  <pic:spPr>
                    <a:xfrm>
                      <a:off x="0" y="0"/>
                      <a:ext cx="52387" cy="52387"/>
                    </a:xfrm>
                    <a:prstGeom prst="rect">
                      <a:avLst/>
                    </a:prstGeom>
                  </pic:spPr>
                </pic:pic>
              </a:graphicData>
            </a:graphic>
          </wp:anchor>
        </w:drawing>
      </w:r>
      <w:r>
        <w:rPr/>
        <w:t>The recommendation’s intention is to provide clarity around what is considered as a ‘primary branch’ of the trigeminal nerve as there are three major branches.</w:t>
      </w:r>
    </w:p>
    <w:p>
      <w:pPr>
        <w:pStyle w:val="BodyText"/>
        <w:spacing w:line="312" w:lineRule="auto" w:before="132"/>
        <w:ind w:left="2123" w:right="2182"/>
      </w:pPr>
      <w:r>
        <w:rPr/>
        <w:drawing>
          <wp:anchor distT="0" distB="0" distL="0" distR="0" allowOverlap="1" layoutInCell="1" locked="0" behindDoc="0" simplePos="0" relativeHeight="15849472">
            <wp:simplePos x="0" y="0"/>
            <wp:positionH relativeFrom="page">
              <wp:posOffset>1362646</wp:posOffset>
            </wp:positionH>
            <wp:positionV relativeFrom="paragraph">
              <wp:posOffset>152128</wp:posOffset>
            </wp:positionV>
            <wp:extent cx="52387" cy="52387"/>
            <wp:effectExtent l="0" t="0" r="0" b="0"/>
            <wp:wrapNone/>
            <wp:docPr id="493" name="image176.png"/>
            <wp:cNvGraphicFramePr>
              <a:graphicFrameLocks noChangeAspect="1"/>
            </wp:cNvGraphicFramePr>
            <a:graphic>
              <a:graphicData uri="http://schemas.openxmlformats.org/drawingml/2006/picture">
                <pic:pic>
                  <pic:nvPicPr>
                    <pic:cNvPr id="494" name="image176.png"/>
                    <pic:cNvPicPr/>
                  </pic:nvPicPr>
                  <pic:blipFill>
                    <a:blip r:embed="rId184" cstate="print"/>
                    <a:stretch>
                      <a:fillRect/>
                    </a:stretch>
                  </pic:blipFill>
                  <pic:spPr>
                    <a:xfrm>
                      <a:off x="0" y="0"/>
                      <a:ext cx="52387" cy="52387"/>
                    </a:xfrm>
                    <a:prstGeom prst="rect">
                      <a:avLst/>
                    </a:prstGeom>
                  </pic:spPr>
                </pic:pic>
              </a:graphicData>
            </a:graphic>
          </wp:anchor>
        </w:drawing>
      </w:r>
      <w:r>
        <w:rPr/>
        <w:t>The Committee were of the opinion that adding ‘under image guidance’ to the above item number to improve safety for patients.</w:t>
      </w:r>
    </w:p>
    <w:p>
      <w:pPr>
        <w:pStyle w:val="BodyText"/>
        <w:spacing w:before="130"/>
        <w:ind w:left="2123"/>
      </w:pPr>
      <w:r>
        <w:rPr/>
        <w:drawing>
          <wp:anchor distT="0" distB="0" distL="0" distR="0" allowOverlap="1" layoutInCell="1" locked="0" behindDoc="0" simplePos="0" relativeHeight="15849984">
            <wp:simplePos x="0" y="0"/>
            <wp:positionH relativeFrom="page">
              <wp:posOffset>1362646</wp:posOffset>
            </wp:positionH>
            <wp:positionV relativeFrom="paragraph">
              <wp:posOffset>150858</wp:posOffset>
            </wp:positionV>
            <wp:extent cx="52387" cy="52387"/>
            <wp:effectExtent l="0" t="0" r="0" b="0"/>
            <wp:wrapNone/>
            <wp:docPr id="495" name="image176.png"/>
            <wp:cNvGraphicFramePr>
              <a:graphicFrameLocks noChangeAspect="1"/>
            </wp:cNvGraphicFramePr>
            <a:graphic>
              <a:graphicData uri="http://schemas.openxmlformats.org/drawingml/2006/picture">
                <pic:pic>
                  <pic:nvPicPr>
                    <pic:cNvPr id="496" name="image176.png"/>
                    <pic:cNvPicPr/>
                  </pic:nvPicPr>
                  <pic:blipFill>
                    <a:blip r:embed="rId184" cstate="print"/>
                    <a:stretch>
                      <a:fillRect/>
                    </a:stretch>
                  </pic:blipFill>
                  <pic:spPr>
                    <a:xfrm>
                      <a:off x="0" y="0"/>
                      <a:ext cx="52387" cy="52387"/>
                    </a:xfrm>
                    <a:prstGeom prst="rect">
                      <a:avLst/>
                    </a:prstGeom>
                  </pic:spPr>
                </pic:pic>
              </a:graphicData>
            </a:graphic>
          </wp:anchor>
        </w:drawing>
      </w:r>
      <w:r>
        <w:rPr/>
        <w:t>The Committee also considers that use of image guidance is current best practice</w:t>
      </w:r>
    </w:p>
    <w:p>
      <w:pPr>
        <w:spacing w:before="86"/>
        <w:ind w:left="2123" w:right="0" w:firstLine="0"/>
        <w:jc w:val="left"/>
        <w:rPr>
          <w:sz w:val="18"/>
        </w:rPr>
      </w:pPr>
      <w:r>
        <w:rPr>
          <w:sz w:val="18"/>
        </w:rPr>
        <w:t>(Zakrzewska J.M., 2011).</w:t>
      </w:r>
    </w:p>
    <w:p>
      <w:pPr>
        <w:pStyle w:val="BodyText"/>
        <w:rPr>
          <w:sz w:val="20"/>
        </w:rPr>
      </w:pPr>
    </w:p>
    <w:p>
      <w:pPr>
        <w:pStyle w:val="BodyText"/>
        <w:spacing w:before="2"/>
        <w:rPr>
          <w:sz w:val="29"/>
        </w:rPr>
      </w:pPr>
    </w:p>
    <w:p>
      <w:pPr>
        <w:pStyle w:val="Heading4"/>
        <w:numPr>
          <w:ilvl w:val="2"/>
          <w:numId w:val="12"/>
        </w:numPr>
        <w:tabs>
          <w:tab w:pos="1982" w:val="left" w:leader="none"/>
        </w:tabs>
        <w:spacing w:line="240" w:lineRule="auto" w:before="52" w:after="0"/>
        <w:ind w:left="1982" w:right="0" w:hanging="720"/>
        <w:jc w:val="left"/>
      </w:pPr>
      <w:r>
        <w:rPr/>
        <w:t>Recommendation 11 – Clarifying item 39118 - percutaneous</w:t>
      </w:r>
      <w:r>
        <w:rPr>
          <w:spacing w:val="-2"/>
        </w:rPr>
        <w:t> </w:t>
      </w:r>
      <w:r>
        <w:rPr/>
        <w:t>neurotomy</w:t>
      </w:r>
    </w:p>
    <w:p>
      <w:pPr>
        <w:pStyle w:val="BodyText"/>
        <w:spacing w:before="206"/>
        <w:ind w:left="1262"/>
      </w:pPr>
      <w:r>
        <w:rPr/>
        <w:t>The Committee recommends:</w:t>
      </w:r>
    </w:p>
    <w:p>
      <w:pPr>
        <w:pStyle w:val="BodyText"/>
        <w:spacing w:before="4"/>
        <w:rPr>
          <w:sz w:val="16"/>
        </w:rPr>
      </w:pPr>
    </w:p>
    <w:p>
      <w:pPr>
        <w:pStyle w:val="ListParagraph"/>
        <w:numPr>
          <w:ilvl w:val="3"/>
          <w:numId w:val="12"/>
        </w:numPr>
        <w:tabs>
          <w:tab w:pos="2035" w:val="left" w:leader="none"/>
        </w:tabs>
        <w:spacing w:line="240" w:lineRule="auto" w:before="1" w:after="0"/>
        <w:ind w:left="2034" w:right="0" w:hanging="361"/>
        <w:jc w:val="left"/>
        <w:rPr>
          <w:sz w:val="22"/>
        </w:rPr>
      </w:pPr>
      <w:r>
        <w:rPr>
          <w:sz w:val="22"/>
        </w:rPr>
        <w:t>removing the assistant fees associated with this</w:t>
      </w:r>
      <w:r>
        <w:rPr>
          <w:spacing w:val="-9"/>
          <w:sz w:val="22"/>
        </w:rPr>
        <w:t> </w:t>
      </w:r>
      <w:r>
        <w:rPr>
          <w:sz w:val="22"/>
        </w:rPr>
        <w:t>item,</w:t>
      </w:r>
    </w:p>
    <w:p>
      <w:pPr>
        <w:pStyle w:val="BodyText"/>
        <w:spacing w:before="6"/>
        <w:rPr>
          <w:sz w:val="16"/>
        </w:rPr>
      </w:pPr>
    </w:p>
    <w:p>
      <w:pPr>
        <w:pStyle w:val="ListParagraph"/>
        <w:numPr>
          <w:ilvl w:val="3"/>
          <w:numId w:val="12"/>
        </w:numPr>
        <w:tabs>
          <w:tab w:pos="2035" w:val="left" w:leader="none"/>
        </w:tabs>
        <w:spacing w:line="312" w:lineRule="auto" w:before="0" w:after="0"/>
        <w:ind w:left="2034" w:right="1876" w:hanging="360"/>
        <w:jc w:val="left"/>
        <w:rPr>
          <w:sz w:val="22"/>
        </w:rPr>
      </w:pPr>
      <w:r>
        <w:rPr>
          <w:sz w:val="22"/>
        </w:rPr>
        <w:t>change wording from ‘facet’ to ‘zygapophyseal’ joint to achieve consistent wording with item 39013, and neurotomy to denervation for</w:t>
      </w:r>
      <w:r>
        <w:rPr>
          <w:spacing w:val="-13"/>
          <w:sz w:val="22"/>
        </w:rPr>
        <w:t> </w:t>
      </w:r>
      <w:r>
        <w:rPr>
          <w:sz w:val="22"/>
        </w:rPr>
        <w:t>clarity.</w:t>
      </w:r>
    </w:p>
    <w:p>
      <w:pPr>
        <w:pStyle w:val="ListParagraph"/>
        <w:numPr>
          <w:ilvl w:val="3"/>
          <w:numId w:val="12"/>
        </w:numPr>
        <w:tabs>
          <w:tab w:pos="2034" w:val="left" w:leader="none"/>
          <w:tab w:pos="2035" w:val="left" w:leader="none"/>
        </w:tabs>
        <w:spacing w:line="240" w:lineRule="auto" w:before="120" w:after="0"/>
        <w:ind w:left="2034" w:right="0" w:hanging="361"/>
        <w:jc w:val="left"/>
        <w:rPr>
          <w:sz w:val="22"/>
        </w:rPr>
      </w:pPr>
      <w:r>
        <w:rPr>
          <w:sz w:val="22"/>
        </w:rPr>
        <w:t>five additional new items be created covering</w:t>
      </w:r>
      <w:r>
        <w:rPr>
          <w:spacing w:val="2"/>
          <w:sz w:val="22"/>
        </w:rPr>
        <w:t> </w:t>
      </w:r>
      <w:r>
        <w:rPr>
          <w:sz w:val="22"/>
        </w:rPr>
        <w:t>the:</w:t>
      </w:r>
    </w:p>
    <w:p>
      <w:pPr>
        <w:spacing w:after="0" w:line="240" w:lineRule="auto"/>
        <w:jc w:val="left"/>
        <w:rPr>
          <w:sz w:val="22"/>
        </w:rPr>
        <w:sectPr>
          <w:pgSz w:w="11910" w:h="16840"/>
          <w:pgMar w:header="672" w:footer="978" w:top="1300" w:bottom="1160" w:left="440" w:right="140"/>
        </w:sectPr>
      </w:pPr>
    </w:p>
    <w:p>
      <w:pPr>
        <w:pStyle w:val="BodyText"/>
        <w:rPr>
          <w:sz w:val="20"/>
        </w:rPr>
      </w:pPr>
    </w:p>
    <w:p>
      <w:pPr>
        <w:pStyle w:val="BodyText"/>
        <w:spacing w:before="3"/>
        <w:rPr>
          <w:sz w:val="24"/>
        </w:rPr>
      </w:pPr>
    </w:p>
    <w:p>
      <w:pPr>
        <w:pStyle w:val="ListParagraph"/>
        <w:numPr>
          <w:ilvl w:val="4"/>
          <w:numId w:val="12"/>
        </w:numPr>
        <w:tabs>
          <w:tab w:pos="3493" w:val="left" w:leader="none"/>
          <w:tab w:pos="3494" w:val="left" w:leader="none"/>
        </w:tabs>
        <w:spacing w:line="240" w:lineRule="auto" w:before="57" w:after="0"/>
        <w:ind w:left="3494" w:right="0" w:hanging="720"/>
        <w:jc w:val="left"/>
        <w:rPr>
          <w:sz w:val="22"/>
        </w:rPr>
      </w:pPr>
      <w:r>
        <w:rPr>
          <w:sz w:val="22"/>
        </w:rPr>
        <w:t>Three regions of the spine (cervical, thoracic, lumbar)</w:t>
      </w:r>
      <w:r>
        <w:rPr>
          <w:spacing w:val="-13"/>
          <w:sz w:val="22"/>
        </w:rPr>
        <w:t> </w:t>
      </w:r>
      <w:r>
        <w:rPr>
          <w:sz w:val="22"/>
        </w:rPr>
        <w:t>and,</w:t>
      </w:r>
    </w:p>
    <w:p>
      <w:pPr>
        <w:pStyle w:val="BodyText"/>
        <w:spacing w:before="4"/>
        <w:rPr>
          <w:sz w:val="16"/>
        </w:rPr>
      </w:pPr>
    </w:p>
    <w:p>
      <w:pPr>
        <w:pStyle w:val="ListParagraph"/>
        <w:numPr>
          <w:ilvl w:val="4"/>
          <w:numId w:val="12"/>
        </w:numPr>
        <w:tabs>
          <w:tab w:pos="3493" w:val="left" w:leader="none"/>
          <w:tab w:pos="3494" w:val="left" w:leader="none"/>
        </w:tabs>
        <w:spacing w:line="240" w:lineRule="auto" w:before="0" w:after="0"/>
        <w:ind w:left="3494" w:right="0" w:hanging="720"/>
        <w:jc w:val="left"/>
        <w:rPr>
          <w:sz w:val="22"/>
        </w:rPr>
      </w:pPr>
      <w:r>
        <w:rPr>
          <w:sz w:val="22"/>
        </w:rPr>
        <w:t>Left and right sides of the</w:t>
      </w:r>
      <w:r>
        <w:rPr>
          <w:spacing w:val="-5"/>
          <w:sz w:val="22"/>
        </w:rPr>
        <w:t> </w:t>
      </w:r>
      <w:r>
        <w:rPr>
          <w:sz w:val="22"/>
        </w:rPr>
        <w:t>body,</w:t>
      </w:r>
    </w:p>
    <w:p>
      <w:pPr>
        <w:pStyle w:val="BodyText"/>
        <w:spacing w:before="6"/>
        <w:rPr>
          <w:sz w:val="16"/>
        </w:rPr>
      </w:pPr>
    </w:p>
    <w:p>
      <w:pPr>
        <w:pStyle w:val="ListParagraph"/>
        <w:numPr>
          <w:ilvl w:val="3"/>
          <w:numId w:val="12"/>
        </w:numPr>
        <w:tabs>
          <w:tab w:pos="2035" w:val="left" w:leader="none"/>
        </w:tabs>
        <w:spacing w:line="312" w:lineRule="auto" w:before="0" w:after="0"/>
        <w:ind w:left="2034" w:right="1921" w:hanging="360"/>
        <w:jc w:val="left"/>
        <w:rPr>
          <w:sz w:val="22"/>
        </w:rPr>
      </w:pPr>
      <w:r>
        <w:rPr>
          <w:sz w:val="22"/>
        </w:rPr>
        <w:t>a restriction of three episodes per year for each region of the spine and side of the body, whereby an individual could potentially claim up to 18 episodes per year in total across the left and right sides of the body and the spinal</w:t>
      </w:r>
      <w:r>
        <w:rPr>
          <w:spacing w:val="-9"/>
          <w:sz w:val="22"/>
        </w:rPr>
        <w:t> </w:t>
      </w:r>
      <w:r>
        <w:rPr>
          <w:sz w:val="22"/>
        </w:rPr>
        <w:t>regions,</w:t>
      </w:r>
    </w:p>
    <w:p>
      <w:pPr>
        <w:pStyle w:val="ListParagraph"/>
        <w:numPr>
          <w:ilvl w:val="3"/>
          <w:numId w:val="12"/>
        </w:numPr>
        <w:tabs>
          <w:tab w:pos="2035" w:val="left" w:leader="none"/>
        </w:tabs>
        <w:spacing w:line="312" w:lineRule="auto" w:before="119" w:after="0"/>
        <w:ind w:left="2034" w:right="2145" w:hanging="360"/>
        <w:jc w:val="left"/>
        <w:rPr>
          <w:sz w:val="22"/>
        </w:rPr>
      </w:pPr>
      <w:r>
        <w:rPr>
          <w:sz w:val="22"/>
        </w:rPr>
        <w:t>an increase in MBS fee for the cervical region of the spine due to the risk and complexity involved in performing this procedure in that area of the spine being greater than that of other</w:t>
      </w:r>
      <w:r>
        <w:rPr>
          <w:spacing w:val="-9"/>
          <w:sz w:val="22"/>
        </w:rPr>
        <w:t> </w:t>
      </w:r>
      <w:r>
        <w:rPr>
          <w:sz w:val="22"/>
        </w:rPr>
        <w:t>areas,</w:t>
      </w:r>
    </w:p>
    <w:p>
      <w:pPr>
        <w:pStyle w:val="ListParagraph"/>
        <w:numPr>
          <w:ilvl w:val="3"/>
          <w:numId w:val="12"/>
        </w:numPr>
        <w:tabs>
          <w:tab w:pos="2034" w:val="left" w:leader="none"/>
          <w:tab w:pos="2035" w:val="left" w:leader="none"/>
        </w:tabs>
        <w:spacing w:line="312" w:lineRule="auto" w:before="119" w:after="0"/>
        <w:ind w:left="2034" w:right="1747" w:hanging="360"/>
        <w:jc w:val="left"/>
        <w:rPr>
          <w:sz w:val="22"/>
        </w:rPr>
      </w:pPr>
      <w:r>
        <w:rPr>
          <w:sz w:val="22"/>
        </w:rPr>
        <w:t>An addition made to the explanatory notes regarding the preference for thermal radiofrequency in the majority of circumstances and the limited uses for pulsed radiofrequency: Clear distinction should be made between thermal (continuous) radiofrequency neurotomy and pulsed radiofrequency of the medial branch of the dorsal rami of spinal nerves for treatment of zygapophyseal pain. The patient should be made aware</w:t>
      </w:r>
      <w:r>
        <w:rPr>
          <w:spacing w:val="-1"/>
          <w:sz w:val="22"/>
        </w:rPr>
        <w:t> </w:t>
      </w:r>
      <w:r>
        <w:rPr>
          <w:sz w:val="22"/>
        </w:rPr>
        <w:t>of,</w:t>
      </w:r>
    </w:p>
    <w:p>
      <w:pPr>
        <w:pStyle w:val="ListParagraph"/>
        <w:numPr>
          <w:ilvl w:val="0"/>
          <w:numId w:val="13"/>
        </w:numPr>
        <w:tabs>
          <w:tab w:pos="2333" w:val="left" w:leader="none"/>
        </w:tabs>
        <w:spacing w:line="240" w:lineRule="auto" w:before="122" w:after="0"/>
        <w:ind w:left="2332" w:right="0" w:hanging="296"/>
        <w:jc w:val="left"/>
        <w:rPr>
          <w:sz w:val="22"/>
        </w:rPr>
      </w:pPr>
      <w:r>
        <w:rPr>
          <w:sz w:val="22"/>
        </w:rPr>
        <w:t>which modality is being</w:t>
      </w:r>
      <w:r>
        <w:rPr>
          <w:spacing w:val="-9"/>
          <w:sz w:val="22"/>
        </w:rPr>
        <w:t> </w:t>
      </w:r>
      <w:r>
        <w:rPr>
          <w:sz w:val="22"/>
        </w:rPr>
        <w:t>used,</w:t>
      </w:r>
    </w:p>
    <w:p>
      <w:pPr>
        <w:pStyle w:val="BodyText"/>
        <w:spacing w:before="6"/>
        <w:rPr>
          <w:sz w:val="16"/>
        </w:rPr>
      </w:pPr>
    </w:p>
    <w:p>
      <w:pPr>
        <w:pStyle w:val="ListParagraph"/>
        <w:numPr>
          <w:ilvl w:val="0"/>
          <w:numId w:val="13"/>
        </w:numPr>
        <w:tabs>
          <w:tab w:pos="2333" w:val="left" w:leader="none"/>
        </w:tabs>
        <w:spacing w:line="240" w:lineRule="auto" w:before="0" w:after="0"/>
        <w:ind w:left="2332" w:right="0" w:hanging="296"/>
        <w:jc w:val="left"/>
        <w:rPr>
          <w:sz w:val="22"/>
        </w:rPr>
      </w:pPr>
      <w:r>
        <w:rPr>
          <w:sz w:val="22"/>
        </w:rPr>
        <w:t>what longevity of response is expected,</w:t>
      </w:r>
    </w:p>
    <w:p>
      <w:pPr>
        <w:pStyle w:val="BodyText"/>
        <w:spacing w:before="4"/>
        <w:rPr>
          <w:sz w:val="16"/>
        </w:rPr>
      </w:pPr>
    </w:p>
    <w:p>
      <w:pPr>
        <w:pStyle w:val="ListParagraph"/>
        <w:numPr>
          <w:ilvl w:val="0"/>
          <w:numId w:val="13"/>
        </w:numPr>
        <w:tabs>
          <w:tab w:pos="2330" w:val="left" w:leader="none"/>
        </w:tabs>
        <w:spacing w:line="312" w:lineRule="auto" w:before="0" w:after="0"/>
        <w:ind w:left="2034" w:right="1880" w:firstLine="0"/>
        <w:jc w:val="left"/>
        <w:rPr>
          <w:sz w:val="22"/>
        </w:rPr>
      </w:pPr>
      <w:r>
        <w:rPr>
          <w:sz w:val="22"/>
        </w:rPr>
        <w:t>the mechanism involved - thermal produces a lesion, and therefore completely, interrupts the nociceptive signal, while pulsed does</w:t>
      </w:r>
      <w:r>
        <w:rPr>
          <w:spacing w:val="-7"/>
          <w:sz w:val="22"/>
        </w:rPr>
        <w:t> </w:t>
      </w:r>
      <w:r>
        <w:rPr>
          <w:sz w:val="22"/>
        </w:rPr>
        <w:t>not,</w:t>
      </w:r>
    </w:p>
    <w:p>
      <w:pPr>
        <w:pStyle w:val="ListParagraph"/>
        <w:numPr>
          <w:ilvl w:val="0"/>
          <w:numId w:val="13"/>
        </w:numPr>
        <w:tabs>
          <w:tab w:pos="2330" w:val="left" w:leader="none"/>
        </w:tabs>
        <w:spacing w:line="314" w:lineRule="auto" w:before="120" w:after="0"/>
        <w:ind w:left="2034" w:right="2060" w:firstLine="0"/>
        <w:jc w:val="left"/>
        <w:rPr>
          <w:sz w:val="22"/>
        </w:rPr>
      </w:pPr>
      <w:r>
        <w:rPr>
          <w:sz w:val="22"/>
        </w:rPr>
        <w:t>technical details - thermal radiofrequency uses a higher temperature ( 70 - 85 degrees centigrade). Pulsed RF uses a lower temperature (42 degrees),</w:t>
      </w:r>
      <w:r>
        <w:rPr>
          <w:spacing w:val="-16"/>
          <w:sz w:val="22"/>
        </w:rPr>
        <w:t> </w:t>
      </w:r>
      <w:r>
        <w:rPr>
          <w:sz w:val="22"/>
        </w:rPr>
        <w:t>and</w:t>
      </w:r>
    </w:p>
    <w:p>
      <w:pPr>
        <w:pStyle w:val="ListParagraph"/>
        <w:numPr>
          <w:ilvl w:val="0"/>
          <w:numId w:val="13"/>
        </w:numPr>
        <w:tabs>
          <w:tab w:pos="2330" w:val="left" w:leader="none"/>
        </w:tabs>
        <w:spacing w:line="312" w:lineRule="auto" w:before="116" w:after="0"/>
        <w:ind w:left="2034" w:right="2026" w:firstLine="0"/>
        <w:jc w:val="left"/>
        <w:rPr>
          <w:sz w:val="22"/>
        </w:rPr>
      </w:pPr>
      <w:r>
        <w:rPr>
          <w:sz w:val="22"/>
        </w:rPr>
        <w:t>evidence base - thermal has a proven track record with a response of up to 12 months. The response to pulsed RF is less predictable and of shorter duration (several weeks at</w:t>
      </w:r>
      <w:r>
        <w:rPr>
          <w:spacing w:val="-5"/>
          <w:sz w:val="22"/>
        </w:rPr>
        <w:t> </w:t>
      </w:r>
      <w:r>
        <w:rPr>
          <w:sz w:val="22"/>
        </w:rPr>
        <w:t>best).</w:t>
      </w:r>
    </w:p>
    <w:p>
      <w:pPr>
        <w:pStyle w:val="ListParagraph"/>
        <w:numPr>
          <w:ilvl w:val="0"/>
          <w:numId w:val="13"/>
        </w:numPr>
        <w:tabs>
          <w:tab w:pos="2332" w:val="left" w:leader="none"/>
        </w:tabs>
        <w:spacing w:line="312" w:lineRule="auto" w:before="119" w:after="0"/>
        <w:ind w:left="2034" w:right="1756" w:firstLine="0"/>
        <w:jc w:val="left"/>
        <w:rPr>
          <w:sz w:val="22"/>
        </w:rPr>
      </w:pPr>
      <w:r>
        <w:rPr>
          <w:sz w:val="22"/>
        </w:rPr>
        <w:t>indications for pulsed RF – pulsed RF may be indicated in select situations when anatomic abnormality precludes the correct positioning of a thermal radiofrequency probe.</w:t>
      </w:r>
    </w:p>
    <w:p>
      <w:pPr>
        <w:pStyle w:val="ListParagraph"/>
        <w:numPr>
          <w:ilvl w:val="0"/>
          <w:numId w:val="13"/>
        </w:numPr>
        <w:tabs>
          <w:tab w:pos="2332" w:val="left" w:leader="none"/>
        </w:tabs>
        <w:spacing w:line="312" w:lineRule="auto" w:before="121" w:after="0"/>
        <w:ind w:left="2034" w:right="2168" w:firstLine="0"/>
        <w:jc w:val="left"/>
        <w:rPr>
          <w:sz w:val="22"/>
        </w:rPr>
      </w:pPr>
      <w:r>
        <w:rPr>
          <w:sz w:val="22"/>
        </w:rPr>
        <w:t>cost - although the outcomes differ significantly, both techniques attract the same MBS</w:t>
      </w:r>
      <w:r>
        <w:rPr>
          <w:spacing w:val="-5"/>
          <w:sz w:val="22"/>
        </w:rPr>
        <w:t> </w:t>
      </w:r>
      <w:r>
        <w:rPr>
          <w:sz w:val="22"/>
        </w:rPr>
        <w:t>rebate.</w:t>
      </w:r>
    </w:p>
    <w:p>
      <w:pPr>
        <w:pStyle w:val="ListParagraph"/>
        <w:numPr>
          <w:ilvl w:val="3"/>
          <w:numId w:val="12"/>
        </w:numPr>
        <w:tabs>
          <w:tab w:pos="2034" w:val="left" w:leader="none"/>
          <w:tab w:pos="2035" w:val="left" w:leader="none"/>
        </w:tabs>
        <w:spacing w:line="240" w:lineRule="auto" w:before="121" w:after="0"/>
        <w:ind w:left="2034" w:right="0" w:hanging="361"/>
        <w:jc w:val="left"/>
        <w:rPr>
          <w:sz w:val="22"/>
        </w:rPr>
      </w:pPr>
      <w:r>
        <w:rPr>
          <w:sz w:val="22"/>
        </w:rPr>
        <w:t>the new item descriptors be (additions in</w:t>
      </w:r>
      <w:r>
        <w:rPr>
          <w:spacing w:val="-3"/>
          <w:sz w:val="22"/>
        </w:rPr>
        <w:t> </w:t>
      </w:r>
      <w:r>
        <w:rPr>
          <w:sz w:val="22"/>
        </w:rPr>
        <w:t>bold):</w:t>
      </w:r>
    </w:p>
    <w:p>
      <w:pPr>
        <w:pStyle w:val="BodyText"/>
        <w:spacing w:before="7"/>
        <w:rPr>
          <w:sz w:val="11"/>
        </w:rPr>
      </w:pPr>
      <w:r>
        <w:rPr/>
        <w:pict>
          <v:shape style="position:absolute;margin-left:85.050003pt;margin-top:10.061492pt;width:414.3pt;height:67.55pt;mso-position-horizontal-relative:page;mso-position-vertical-relative:paragraph;z-index:-15606784;mso-wrap-distance-left:0;mso-wrap-distance-right:0" type="#_x0000_t202" filled="false" stroked="true" strokeweight="2pt" strokecolor="#c0504d">
            <v:textbox inset="0,0,0,0">
              <w:txbxContent>
                <w:p>
                  <w:pPr>
                    <w:spacing w:before="72"/>
                    <w:ind w:left="144" w:right="0" w:firstLine="0"/>
                    <w:jc w:val="left"/>
                    <w:rPr>
                      <w:b/>
                      <w:sz w:val="22"/>
                    </w:rPr>
                  </w:pPr>
                  <w:r>
                    <w:rPr>
                      <w:b/>
                      <w:sz w:val="22"/>
                    </w:rPr>
                    <w:t>Item 39118</w:t>
                  </w:r>
                </w:p>
                <w:p>
                  <w:pPr>
                    <w:pStyle w:val="BodyText"/>
                    <w:spacing w:line="312" w:lineRule="auto" w:before="139"/>
                    <w:ind w:left="144" w:right="486"/>
                  </w:pPr>
                  <w:r>
                    <w:rPr>
                      <w:b/>
                    </w:rPr>
                    <w:t>LEFT CERVICAL </w:t>
                  </w:r>
                  <w:r>
                    <w:rPr/>
                    <w:t>PERCUTANEOUS </w:t>
                  </w:r>
                  <w:r>
                    <w:rPr>
                      <w:b/>
                    </w:rPr>
                    <w:t>zygapophyseal </w:t>
                  </w:r>
                  <w:r>
                    <w:rPr/>
                    <w:t>joint denervation by radio-frequency probe or cryoprobe using radiological imaging control (Anaes.)</w:t>
                  </w:r>
                </w:p>
              </w:txbxContent>
            </v:textbox>
            <v:stroke dashstyle="solid"/>
            <w10:wrap type="topAndBottom"/>
          </v:shape>
        </w:pict>
      </w:r>
    </w:p>
    <w:p>
      <w:pPr>
        <w:spacing w:after="0"/>
        <w:rPr>
          <w:sz w:val="11"/>
        </w:rPr>
        <w:sectPr>
          <w:pgSz w:w="11910" w:h="16840"/>
          <w:pgMar w:header="672" w:footer="978" w:top="1300" w:bottom="1160" w:left="440" w:right="140"/>
        </w:sectPr>
      </w:pPr>
    </w:p>
    <w:p>
      <w:pPr>
        <w:pStyle w:val="BodyText"/>
        <w:rPr>
          <w:sz w:val="20"/>
        </w:rPr>
      </w:pPr>
    </w:p>
    <w:p>
      <w:pPr>
        <w:pStyle w:val="BodyText"/>
        <w:spacing w:before="3"/>
        <w:rPr>
          <w:sz w:val="24"/>
        </w:rPr>
      </w:pPr>
    </w:p>
    <w:p>
      <w:pPr>
        <w:pStyle w:val="BodyText"/>
        <w:spacing w:before="57"/>
        <w:ind w:left="1262"/>
      </w:pPr>
      <w:r>
        <w:rPr/>
        <w:t>and</w:t>
      </w:r>
    </w:p>
    <w:p>
      <w:pPr>
        <w:pStyle w:val="BodyText"/>
        <w:spacing w:before="9"/>
        <w:rPr>
          <w:sz w:val="11"/>
        </w:rPr>
      </w:pPr>
      <w:r>
        <w:rPr/>
        <w:pict>
          <v:shape style="position:absolute;margin-left:85.050003pt;margin-top:10.126797pt;width:414.3pt;height:67.55pt;mso-position-horizontal-relative:page;mso-position-vertical-relative:paragraph;z-index:-15606272;mso-wrap-distance-left:0;mso-wrap-distance-right:0" type="#_x0000_t202" filled="false" stroked="true" strokeweight="2pt" strokecolor="#c0504d">
            <v:textbox inset="0,0,0,0">
              <w:txbxContent>
                <w:p>
                  <w:pPr>
                    <w:spacing w:before="68"/>
                    <w:ind w:left="144" w:right="0" w:firstLine="0"/>
                    <w:jc w:val="left"/>
                    <w:rPr>
                      <w:b/>
                      <w:sz w:val="22"/>
                    </w:rPr>
                  </w:pPr>
                  <w:r>
                    <w:rPr>
                      <w:b/>
                      <w:sz w:val="22"/>
                    </w:rPr>
                    <w:t>New Item</w:t>
                  </w:r>
                </w:p>
                <w:p>
                  <w:pPr>
                    <w:spacing w:line="312" w:lineRule="auto" w:before="142"/>
                    <w:ind w:left="144" w:right="218" w:firstLine="0"/>
                    <w:jc w:val="left"/>
                    <w:rPr>
                      <w:b/>
                      <w:sz w:val="22"/>
                    </w:rPr>
                  </w:pPr>
                  <w:r>
                    <w:rPr>
                      <w:b/>
                      <w:sz w:val="22"/>
                    </w:rPr>
                    <w:t>RIGHT CERVICAL PERCUTANEOUS zygapophyseal joint denervation by radio-frequency probe or cryoprobe using radiological imaging control (Anaes.)</w:t>
                  </w:r>
                </w:p>
              </w:txbxContent>
            </v:textbox>
            <v:stroke dashstyle="solid"/>
            <w10:wrap type="topAndBottom"/>
          </v:shape>
        </w:pict>
      </w:r>
    </w:p>
    <w:p>
      <w:pPr>
        <w:pStyle w:val="BodyText"/>
        <w:spacing w:before="178"/>
        <w:ind w:left="1262"/>
      </w:pPr>
      <w:r>
        <w:rPr/>
        <w:t>and</w:t>
      </w:r>
    </w:p>
    <w:p>
      <w:pPr>
        <w:pStyle w:val="BodyText"/>
        <w:spacing w:before="9"/>
        <w:rPr>
          <w:sz w:val="11"/>
        </w:rPr>
      </w:pPr>
      <w:r>
        <w:rPr/>
        <w:pict>
          <v:shape style="position:absolute;margin-left:85.050003pt;margin-top:10.162266pt;width:414.3pt;height:67.55pt;mso-position-horizontal-relative:page;mso-position-vertical-relative:paragraph;z-index:-15605760;mso-wrap-distance-left:0;mso-wrap-distance-right:0" type="#_x0000_t202" filled="false" stroked="true" strokeweight="2pt" strokecolor="#c0504d">
            <v:textbox inset="0,0,0,0">
              <w:txbxContent>
                <w:p>
                  <w:pPr>
                    <w:spacing w:before="70"/>
                    <w:ind w:left="144" w:right="0" w:firstLine="0"/>
                    <w:jc w:val="left"/>
                    <w:rPr>
                      <w:b/>
                      <w:sz w:val="22"/>
                    </w:rPr>
                  </w:pPr>
                  <w:r>
                    <w:rPr>
                      <w:b/>
                      <w:sz w:val="22"/>
                    </w:rPr>
                    <w:t>New Item</w:t>
                  </w:r>
                </w:p>
                <w:p>
                  <w:pPr>
                    <w:spacing w:line="312" w:lineRule="auto" w:before="139"/>
                    <w:ind w:left="144" w:right="312" w:firstLine="0"/>
                    <w:jc w:val="left"/>
                    <w:rPr>
                      <w:b/>
                      <w:sz w:val="22"/>
                    </w:rPr>
                  </w:pPr>
                  <w:r>
                    <w:rPr>
                      <w:b/>
                      <w:sz w:val="22"/>
                    </w:rPr>
                    <w:t>LEFT THORACIC PERCUTANEOUS zygapophyseal joint denervation by radio-frequency probe or cryoprobe using radiological imaging control (Anaes.)</w:t>
                  </w:r>
                </w:p>
              </w:txbxContent>
            </v:textbox>
            <v:stroke dashstyle="solid"/>
            <w10:wrap type="topAndBottom"/>
          </v:shape>
        </w:pict>
      </w:r>
    </w:p>
    <w:p>
      <w:pPr>
        <w:pStyle w:val="BodyText"/>
        <w:spacing w:before="179"/>
        <w:ind w:left="1262"/>
      </w:pPr>
      <w:r>
        <w:rPr/>
        <w:t>and</w:t>
      </w:r>
    </w:p>
    <w:p>
      <w:pPr>
        <w:pStyle w:val="BodyText"/>
        <w:spacing w:before="8"/>
        <w:rPr>
          <w:sz w:val="11"/>
        </w:rPr>
      </w:pPr>
      <w:r>
        <w:rPr/>
        <w:pict>
          <v:shape style="position:absolute;margin-left:85.050003pt;margin-top:10.102265pt;width:414.3pt;height:67.55pt;mso-position-horizontal-relative:page;mso-position-vertical-relative:paragraph;z-index:-15605248;mso-wrap-distance-left:0;mso-wrap-distance-right:0" type="#_x0000_t202" filled="false" stroked="true" strokeweight="2pt" strokecolor="#c0504d">
            <v:textbox inset="0,0,0,0">
              <w:txbxContent>
                <w:p>
                  <w:pPr>
                    <w:spacing w:before="71"/>
                    <w:ind w:left="144" w:right="0" w:firstLine="0"/>
                    <w:jc w:val="left"/>
                    <w:rPr>
                      <w:b/>
                      <w:sz w:val="22"/>
                    </w:rPr>
                  </w:pPr>
                  <w:r>
                    <w:rPr>
                      <w:b/>
                      <w:sz w:val="22"/>
                    </w:rPr>
                    <w:t>New Item</w:t>
                  </w:r>
                </w:p>
                <w:p>
                  <w:pPr>
                    <w:spacing w:line="312" w:lineRule="auto" w:before="139"/>
                    <w:ind w:left="144" w:right="152" w:firstLine="0"/>
                    <w:jc w:val="left"/>
                    <w:rPr>
                      <w:b/>
                      <w:sz w:val="22"/>
                    </w:rPr>
                  </w:pPr>
                  <w:r>
                    <w:rPr>
                      <w:b/>
                      <w:sz w:val="22"/>
                    </w:rPr>
                    <w:t>RIGHT THORACIC PERCUTANEOUS zygapophyseal joint denervation by radio-frequency probe or cryoprobe using radiological imaging control (Anaes.)</w:t>
                  </w:r>
                </w:p>
              </w:txbxContent>
            </v:textbox>
            <v:stroke dashstyle="solid"/>
            <w10:wrap type="topAndBottom"/>
          </v:shape>
        </w:pict>
      </w:r>
    </w:p>
    <w:p>
      <w:pPr>
        <w:pStyle w:val="BodyText"/>
        <w:spacing w:before="179"/>
        <w:ind w:left="1262"/>
      </w:pPr>
      <w:r>
        <w:rPr/>
        <w:t>and</w:t>
      </w:r>
    </w:p>
    <w:p>
      <w:pPr>
        <w:pStyle w:val="BodyText"/>
        <w:spacing w:before="8"/>
        <w:rPr>
          <w:sz w:val="11"/>
        </w:rPr>
      </w:pPr>
      <w:r>
        <w:rPr/>
        <w:pict>
          <v:shape style="position:absolute;margin-left:85.050003pt;margin-top:10.112266pt;width:414.3pt;height:70.55pt;mso-position-horizontal-relative:page;mso-position-vertical-relative:paragraph;z-index:-15604736;mso-wrap-distance-left:0;mso-wrap-distance-right:0" type="#_x0000_t202" filled="false" stroked="true" strokeweight="2pt" strokecolor="#c0504d">
            <v:textbox inset="0,0,0,0">
              <w:txbxContent>
                <w:p>
                  <w:pPr>
                    <w:spacing w:before="70"/>
                    <w:ind w:left="144" w:right="0" w:firstLine="0"/>
                    <w:jc w:val="left"/>
                    <w:rPr>
                      <w:b/>
                      <w:sz w:val="22"/>
                    </w:rPr>
                  </w:pPr>
                  <w:r>
                    <w:rPr>
                      <w:b/>
                      <w:sz w:val="22"/>
                    </w:rPr>
                    <w:t>New Item</w:t>
                  </w:r>
                </w:p>
                <w:p>
                  <w:pPr>
                    <w:spacing w:line="312" w:lineRule="auto" w:before="140"/>
                    <w:ind w:left="144" w:right="448" w:firstLine="0"/>
                    <w:jc w:val="left"/>
                    <w:rPr>
                      <w:b/>
                      <w:sz w:val="22"/>
                    </w:rPr>
                  </w:pPr>
                  <w:r>
                    <w:rPr>
                      <w:b/>
                      <w:sz w:val="22"/>
                    </w:rPr>
                    <w:t>LEFT LUMBAR PERCUTANEOUS zygapophyseal joint denervation by radio-frequency probe or cryoprobe using radiological imaging control (Anaes.)</w:t>
                  </w:r>
                </w:p>
              </w:txbxContent>
            </v:textbox>
            <v:stroke dashstyle="solid"/>
            <w10:wrap type="topAndBottom"/>
          </v:shape>
        </w:pict>
      </w:r>
    </w:p>
    <w:p>
      <w:pPr>
        <w:pStyle w:val="BodyText"/>
        <w:spacing w:before="179"/>
        <w:ind w:left="1262"/>
      </w:pPr>
      <w:r>
        <w:rPr/>
        <w:t>and</w:t>
      </w:r>
    </w:p>
    <w:p>
      <w:pPr>
        <w:pStyle w:val="BodyText"/>
        <w:spacing w:before="8"/>
        <w:rPr>
          <w:sz w:val="11"/>
        </w:rPr>
      </w:pPr>
      <w:r>
        <w:rPr/>
        <w:pict>
          <v:shape style="position:absolute;margin-left:85.050003pt;margin-top:10.102265pt;width:414.3pt;height:67.55pt;mso-position-horizontal-relative:page;mso-position-vertical-relative:paragraph;z-index:-15604224;mso-wrap-distance-left:0;mso-wrap-distance-right:0" type="#_x0000_t202" filled="false" stroked="true" strokeweight="2pt" strokecolor="#c0504d">
            <v:textbox inset="0,0,0,0">
              <w:txbxContent>
                <w:p>
                  <w:pPr>
                    <w:spacing w:before="71"/>
                    <w:ind w:left="144" w:right="0" w:firstLine="0"/>
                    <w:jc w:val="left"/>
                    <w:rPr>
                      <w:b/>
                      <w:sz w:val="22"/>
                    </w:rPr>
                  </w:pPr>
                  <w:r>
                    <w:rPr>
                      <w:b/>
                      <w:sz w:val="22"/>
                    </w:rPr>
                    <w:t>New Item</w:t>
                  </w:r>
                </w:p>
                <w:p>
                  <w:pPr>
                    <w:spacing w:line="312" w:lineRule="auto" w:before="139"/>
                    <w:ind w:left="144" w:right="288" w:firstLine="0"/>
                    <w:jc w:val="left"/>
                    <w:rPr>
                      <w:b/>
                      <w:sz w:val="22"/>
                    </w:rPr>
                  </w:pPr>
                  <w:r>
                    <w:rPr>
                      <w:b/>
                      <w:sz w:val="22"/>
                    </w:rPr>
                    <w:t>RIGHT LUMBAR PERCUTANEOUS zygapophyseal joint denervation by radio-frequency probe or cryoprobe using radiological imaging control (Anaes.)</w:t>
                  </w:r>
                </w:p>
              </w:txbxContent>
            </v:textbox>
            <v:stroke dashstyle="solid"/>
            <w10:wrap type="topAndBottom"/>
          </v:shape>
        </w:pict>
      </w:r>
    </w:p>
    <w:p>
      <w:pPr>
        <w:pStyle w:val="BodyText"/>
        <w:rPr>
          <w:sz w:val="10"/>
        </w:rPr>
      </w:pPr>
    </w:p>
    <w:p>
      <w:pPr>
        <w:pStyle w:val="ListParagraph"/>
        <w:numPr>
          <w:ilvl w:val="3"/>
          <w:numId w:val="12"/>
        </w:numPr>
        <w:tabs>
          <w:tab w:pos="2035" w:val="left" w:leader="none"/>
        </w:tabs>
        <w:spacing w:line="312" w:lineRule="auto" w:before="57" w:after="0"/>
        <w:ind w:left="2034" w:right="1853" w:hanging="360"/>
        <w:jc w:val="left"/>
        <w:rPr>
          <w:sz w:val="22"/>
        </w:rPr>
      </w:pPr>
      <w:r>
        <w:rPr>
          <w:sz w:val="22"/>
        </w:rPr>
        <w:t>The Committee considered restricting use of CT guidance with this item (due to concerns about safety and radiation exposure) however it was determined that the evidence supports the use of CT in this context. The Committee recommends that this item be reviewed in 2</w:t>
      </w:r>
      <w:r>
        <w:rPr>
          <w:spacing w:val="-8"/>
          <w:sz w:val="22"/>
        </w:rPr>
        <w:t> </w:t>
      </w:r>
      <w:r>
        <w:rPr>
          <w:sz w:val="22"/>
        </w:rPr>
        <w:t>years.</w:t>
      </w:r>
    </w:p>
    <w:p>
      <w:pPr>
        <w:spacing w:after="0" w:line="312" w:lineRule="auto"/>
        <w:jc w:val="left"/>
        <w:rPr>
          <w:sz w:val="22"/>
        </w:rPr>
        <w:sectPr>
          <w:pgSz w:w="11910" w:h="16840"/>
          <w:pgMar w:header="672" w:footer="978" w:top="1300" w:bottom="1160" w:left="440" w:right="140"/>
        </w:sectPr>
      </w:pPr>
    </w:p>
    <w:p>
      <w:pPr>
        <w:pStyle w:val="BodyText"/>
        <w:rPr>
          <w:sz w:val="20"/>
        </w:rPr>
      </w:pPr>
    </w:p>
    <w:p>
      <w:pPr>
        <w:pStyle w:val="BodyText"/>
        <w:spacing w:before="11"/>
        <w:rPr>
          <w:sz w:val="24"/>
        </w:rPr>
      </w:pPr>
    </w:p>
    <w:p>
      <w:pPr>
        <w:pStyle w:val="Heading4"/>
        <w:tabs>
          <w:tab w:pos="2397" w:val="left" w:leader="none"/>
        </w:tabs>
        <w:ind w:left="1262" w:firstLine="0"/>
      </w:pPr>
      <w:r>
        <w:rPr/>
        <w:t>4.1.11.1</w:t>
        <w:tab/>
        <w:t>Rationale 11</w:t>
      </w:r>
    </w:p>
    <w:p>
      <w:pPr>
        <w:pStyle w:val="BodyText"/>
        <w:spacing w:before="7"/>
        <w:rPr>
          <w:b/>
          <w:sz w:val="21"/>
        </w:rPr>
      </w:pPr>
    </w:p>
    <w:p>
      <w:pPr>
        <w:pStyle w:val="BodyText"/>
        <w:spacing w:line="312" w:lineRule="auto" w:before="1"/>
        <w:ind w:left="1262" w:right="1660"/>
      </w:pPr>
      <w:r>
        <w:rPr/>
        <w:t>This recommendation focuses on improving patient safety, reflects best practice and effective use of the health system. It is based on the following assessment:</w:t>
      </w:r>
    </w:p>
    <w:p>
      <w:pPr>
        <w:pStyle w:val="BodyText"/>
        <w:spacing w:line="312" w:lineRule="auto" w:before="72"/>
        <w:ind w:left="2123" w:right="1677"/>
      </w:pPr>
      <w:r>
        <w:rPr/>
        <w:t>The Committee does not consider that an assistant is needed for this procedure and patient safety will be maintained without it.</w:t>
      </w:r>
    </w:p>
    <w:p>
      <w:pPr>
        <w:pStyle w:val="BodyText"/>
        <w:spacing w:line="312" w:lineRule="auto" w:before="132"/>
        <w:ind w:left="2123" w:right="1830"/>
      </w:pPr>
      <w:r>
        <w:rPr/>
        <w:t>The new items would result in five new item numbers being created (including the original number, the total for this procedure would be 6 item numbers).</w:t>
      </w:r>
    </w:p>
    <w:p>
      <w:pPr>
        <w:pStyle w:val="BodyText"/>
        <w:spacing w:line="312" w:lineRule="auto" w:before="132"/>
        <w:ind w:left="2123" w:right="1703"/>
      </w:pPr>
      <w:r>
        <w:rPr/>
        <w:drawing>
          <wp:anchor distT="0" distB="0" distL="0" distR="0" allowOverlap="1" layoutInCell="1" locked="0" behindDoc="0" simplePos="0" relativeHeight="15853568">
            <wp:simplePos x="0" y="0"/>
            <wp:positionH relativeFrom="page">
              <wp:posOffset>1362646</wp:posOffset>
            </wp:positionH>
            <wp:positionV relativeFrom="paragraph">
              <wp:posOffset>152763</wp:posOffset>
            </wp:positionV>
            <wp:extent cx="52387" cy="52387"/>
            <wp:effectExtent l="0" t="0" r="0" b="0"/>
            <wp:wrapNone/>
            <wp:docPr id="503" name="image180.png"/>
            <wp:cNvGraphicFramePr>
              <a:graphicFrameLocks noChangeAspect="1"/>
            </wp:cNvGraphicFramePr>
            <a:graphic>
              <a:graphicData uri="http://schemas.openxmlformats.org/drawingml/2006/picture">
                <pic:pic>
                  <pic:nvPicPr>
                    <pic:cNvPr id="504" name="image180.png"/>
                    <pic:cNvPicPr/>
                  </pic:nvPicPr>
                  <pic:blipFill>
                    <a:blip r:embed="rId188" cstate="print"/>
                    <a:stretch>
                      <a:fillRect/>
                    </a:stretch>
                  </pic:blipFill>
                  <pic:spPr>
                    <a:xfrm>
                      <a:off x="0" y="0"/>
                      <a:ext cx="52387" cy="52387"/>
                    </a:xfrm>
                    <a:prstGeom prst="rect">
                      <a:avLst/>
                    </a:prstGeom>
                  </pic:spPr>
                </pic:pic>
              </a:graphicData>
            </a:graphic>
          </wp:anchor>
        </w:drawing>
      </w:r>
      <w:r>
        <w:rPr/>
        <w:t>The Committee has noted the claiming practices of this item and determined that claiming is occurring which could be the result of unnecessary treatments being performed, or not performed correctly initially. If performed correctly thermal radiofrequency should last at least 5 or 6 months, therefore the Committee maintains that it is not justified to repeat the procedure inside a timeframe of less than 4 months. </w:t>
      </w:r>
      <w:r>
        <w:rPr>
          <w:sz w:val="20"/>
        </w:rPr>
        <w:t>(Abdurrahman Çetin and Abdulkadir Yektaş, 2018</w:t>
      </w:r>
      <w:r>
        <w:rPr/>
        <w:t>) Pulsed radiofrequency has a limited role in medial branch procedures but is still the technique of choice in carefully selected situations, which will still be enabled under the recommended</w:t>
      </w:r>
      <w:r>
        <w:rPr>
          <w:spacing w:val="-1"/>
        </w:rPr>
        <w:t> </w:t>
      </w:r>
      <w:r>
        <w:rPr/>
        <w:t>changes.</w:t>
      </w:r>
    </w:p>
    <w:p>
      <w:pPr>
        <w:pStyle w:val="BodyText"/>
        <w:spacing w:line="312" w:lineRule="auto" w:before="132"/>
        <w:ind w:left="2123" w:right="1675"/>
      </w:pPr>
      <w:r>
        <w:rPr/>
        <w:drawing>
          <wp:anchor distT="0" distB="0" distL="0" distR="0" allowOverlap="1" layoutInCell="1" locked="0" behindDoc="0" simplePos="0" relativeHeight="15854080">
            <wp:simplePos x="0" y="0"/>
            <wp:positionH relativeFrom="page">
              <wp:posOffset>1362646</wp:posOffset>
            </wp:positionH>
            <wp:positionV relativeFrom="paragraph">
              <wp:posOffset>152382</wp:posOffset>
            </wp:positionV>
            <wp:extent cx="52387" cy="52387"/>
            <wp:effectExtent l="0" t="0" r="0" b="0"/>
            <wp:wrapNone/>
            <wp:docPr id="505" name="image176.png"/>
            <wp:cNvGraphicFramePr>
              <a:graphicFrameLocks noChangeAspect="1"/>
            </wp:cNvGraphicFramePr>
            <a:graphic>
              <a:graphicData uri="http://schemas.openxmlformats.org/drawingml/2006/picture">
                <pic:pic>
                  <pic:nvPicPr>
                    <pic:cNvPr id="506" name="image176.png"/>
                    <pic:cNvPicPr/>
                  </pic:nvPicPr>
                  <pic:blipFill>
                    <a:blip r:embed="rId184" cstate="print"/>
                    <a:stretch>
                      <a:fillRect/>
                    </a:stretch>
                  </pic:blipFill>
                  <pic:spPr>
                    <a:xfrm>
                      <a:off x="0" y="0"/>
                      <a:ext cx="52387" cy="52387"/>
                    </a:xfrm>
                    <a:prstGeom prst="rect">
                      <a:avLst/>
                    </a:prstGeom>
                  </pic:spPr>
                </pic:pic>
              </a:graphicData>
            </a:graphic>
          </wp:anchor>
        </w:drawing>
      </w:r>
      <w:r>
        <w:rPr/>
        <w:t>The surgical three-item rule may encourage procedures to be performed over multiple days, therefore the Committee recommendation is to restrict claiming for this procedure to three episodes in a calendar year for a specified pain region of the spine to encourage quality patient experience and safety and ensuring that the MBS aligns with best practice professional standards.</w:t>
      </w:r>
    </w:p>
    <w:p>
      <w:pPr>
        <w:spacing w:line="312" w:lineRule="auto" w:before="132"/>
        <w:ind w:left="2123" w:right="1710" w:firstLine="0"/>
        <w:jc w:val="left"/>
        <w:rPr>
          <w:i/>
          <w:sz w:val="22"/>
        </w:rPr>
      </w:pPr>
      <w:r>
        <w:rPr/>
        <w:drawing>
          <wp:anchor distT="0" distB="0" distL="0" distR="0" allowOverlap="1" layoutInCell="1" locked="0" behindDoc="0" simplePos="0" relativeHeight="15854592">
            <wp:simplePos x="0" y="0"/>
            <wp:positionH relativeFrom="page">
              <wp:posOffset>1362646</wp:posOffset>
            </wp:positionH>
            <wp:positionV relativeFrom="paragraph">
              <wp:posOffset>152128</wp:posOffset>
            </wp:positionV>
            <wp:extent cx="52387" cy="52387"/>
            <wp:effectExtent l="0" t="0" r="0" b="0"/>
            <wp:wrapNone/>
            <wp:docPr id="507" name="image176.png"/>
            <wp:cNvGraphicFramePr>
              <a:graphicFrameLocks noChangeAspect="1"/>
            </wp:cNvGraphicFramePr>
            <a:graphic>
              <a:graphicData uri="http://schemas.openxmlformats.org/drawingml/2006/picture">
                <pic:pic>
                  <pic:nvPicPr>
                    <pic:cNvPr id="508" name="image176.png"/>
                    <pic:cNvPicPr/>
                  </pic:nvPicPr>
                  <pic:blipFill>
                    <a:blip r:embed="rId184" cstate="print"/>
                    <a:stretch>
                      <a:fillRect/>
                    </a:stretch>
                  </pic:blipFill>
                  <pic:spPr>
                    <a:xfrm>
                      <a:off x="0" y="0"/>
                      <a:ext cx="52387" cy="52387"/>
                    </a:xfrm>
                    <a:prstGeom prst="rect">
                      <a:avLst/>
                    </a:prstGeom>
                  </pic:spPr>
                </pic:pic>
              </a:graphicData>
            </a:graphic>
          </wp:anchor>
        </w:drawing>
      </w:r>
      <w:r>
        <w:rPr>
          <w:sz w:val="22"/>
        </w:rPr>
        <w:t>For the purposes of communicating the intent of the term ‘episodes’, in the context of the Committee and this report, the Committee uses the term ‘episodes’ to mean </w:t>
      </w:r>
      <w:r>
        <w:rPr>
          <w:i/>
          <w:sz w:val="22"/>
        </w:rPr>
        <w:t>‘a treatment or related multiple treatments administered by a physician during a </w:t>
      </w:r>
      <w:r>
        <w:rPr>
          <w:i/>
          <w:sz w:val="22"/>
        </w:rPr>
        <w:t>single visit for a diagnosed condition’.</w:t>
      </w:r>
    </w:p>
    <w:p>
      <w:pPr>
        <w:pStyle w:val="BodyText"/>
        <w:spacing w:line="312" w:lineRule="auto" w:before="132"/>
        <w:ind w:left="2123" w:right="1680"/>
      </w:pPr>
      <w:r>
        <w:rPr/>
        <w:drawing>
          <wp:anchor distT="0" distB="0" distL="0" distR="0" allowOverlap="1" layoutInCell="1" locked="0" behindDoc="0" simplePos="0" relativeHeight="15855104">
            <wp:simplePos x="0" y="0"/>
            <wp:positionH relativeFrom="page">
              <wp:posOffset>1362646</wp:posOffset>
            </wp:positionH>
            <wp:positionV relativeFrom="paragraph">
              <wp:posOffset>152128</wp:posOffset>
            </wp:positionV>
            <wp:extent cx="52387" cy="52387"/>
            <wp:effectExtent l="0" t="0" r="0" b="0"/>
            <wp:wrapNone/>
            <wp:docPr id="509" name="image176.png"/>
            <wp:cNvGraphicFramePr>
              <a:graphicFrameLocks noChangeAspect="1"/>
            </wp:cNvGraphicFramePr>
            <a:graphic>
              <a:graphicData uri="http://schemas.openxmlformats.org/drawingml/2006/picture">
                <pic:pic>
                  <pic:nvPicPr>
                    <pic:cNvPr id="510" name="image176.png"/>
                    <pic:cNvPicPr/>
                  </pic:nvPicPr>
                  <pic:blipFill>
                    <a:blip r:embed="rId184" cstate="print"/>
                    <a:stretch>
                      <a:fillRect/>
                    </a:stretch>
                  </pic:blipFill>
                  <pic:spPr>
                    <a:xfrm>
                      <a:off x="0" y="0"/>
                      <a:ext cx="52387" cy="52387"/>
                    </a:xfrm>
                    <a:prstGeom prst="rect">
                      <a:avLst/>
                    </a:prstGeom>
                  </pic:spPr>
                </pic:pic>
              </a:graphicData>
            </a:graphic>
          </wp:anchor>
        </w:drawing>
      </w:r>
      <w:r>
        <w:rPr/>
        <w:t>Pulsed Radiofrequency denervation is considered to have very limited value in the management of chronic pain and use of thermal radiofrequency modalities should be encouraged) </w:t>
      </w:r>
      <w:r>
        <w:rPr>
          <w:sz w:val="20"/>
        </w:rPr>
        <w:t>(Pangarkar, 2014) </w:t>
      </w:r>
      <w:r>
        <w:rPr/>
        <w:t>However, the committee considered that there are some specific situations where pulsed radiofrequency still has value and that these should be outlined in the explanatory notes to guide best practice.</w:t>
      </w:r>
    </w:p>
    <w:p>
      <w:pPr>
        <w:spacing w:after="0" w:line="312" w:lineRule="auto"/>
        <w:sectPr>
          <w:headerReference w:type="default" r:id="rId226"/>
          <w:footerReference w:type="default" r:id="rId227"/>
          <w:pgSz w:w="11910" w:h="16840"/>
          <w:pgMar w:header="672" w:footer="978" w:top="1300" w:bottom="1160" w:left="440" w:right="140"/>
        </w:sectPr>
      </w:pPr>
    </w:p>
    <w:p>
      <w:pPr>
        <w:pStyle w:val="BodyText"/>
        <w:rPr>
          <w:sz w:val="20"/>
        </w:rPr>
      </w:pPr>
    </w:p>
    <w:p>
      <w:pPr>
        <w:pStyle w:val="BodyText"/>
        <w:spacing w:before="11"/>
        <w:rPr>
          <w:sz w:val="24"/>
        </w:rPr>
      </w:pPr>
    </w:p>
    <w:p>
      <w:pPr>
        <w:pStyle w:val="Heading4"/>
        <w:numPr>
          <w:ilvl w:val="2"/>
          <w:numId w:val="12"/>
        </w:numPr>
        <w:tabs>
          <w:tab w:pos="1982" w:val="left" w:leader="none"/>
        </w:tabs>
        <w:spacing w:line="309" w:lineRule="auto" w:before="51" w:after="0"/>
        <w:ind w:left="1982" w:right="1741" w:hanging="720"/>
        <w:jc w:val="left"/>
      </w:pPr>
      <w:r>
        <w:rPr/>
        <w:t>Recommendation 12 – Reflecting best practice in item 39323 - percutaneous denervation</w:t>
      </w:r>
    </w:p>
    <w:p>
      <w:pPr>
        <w:pStyle w:val="BodyText"/>
        <w:spacing w:before="123"/>
        <w:ind w:left="1262"/>
      </w:pPr>
      <w:r>
        <w:rPr/>
        <w:t>The Committee recommends:</w:t>
      </w:r>
    </w:p>
    <w:p>
      <w:pPr>
        <w:pStyle w:val="BodyText"/>
        <w:spacing w:before="6"/>
        <w:rPr>
          <w:sz w:val="16"/>
        </w:rPr>
      </w:pPr>
    </w:p>
    <w:p>
      <w:pPr>
        <w:pStyle w:val="ListParagraph"/>
        <w:numPr>
          <w:ilvl w:val="3"/>
          <w:numId w:val="12"/>
        </w:numPr>
        <w:tabs>
          <w:tab w:pos="2035" w:val="left" w:leader="none"/>
        </w:tabs>
        <w:spacing w:line="240" w:lineRule="auto" w:before="0" w:after="0"/>
        <w:ind w:left="2034" w:right="0" w:hanging="361"/>
        <w:jc w:val="left"/>
        <w:rPr>
          <w:sz w:val="22"/>
        </w:rPr>
      </w:pPr>
      <w:r>
        <w:rPr>
          <w:sz w:val="22"/>
        </w:rPr>
        <w:t>removing the assistant fees for this</w:t>
      </w:r>
      <w:r>
        <w:rPr>
          <w:spacing w:val="-7"/>
          <w:sz w:val="22"/>
        </w:rPr>
        <w:t> </w:t>
      </w:r>
      <w:r>
        <w:rPr>
          <w:sz w:val="22"/>
        </w:rPr>
        <w:t>item</w:t>
      </w:r>
    </w:p>
    <w:p>
      <w:pPr>
        <w:pStyle w:val="BodyText"/>
        <w:spacing w:before="4"/>
        <w:rPr>
          <w:sz w:val="16"/>
        </w:rPr>
      </w:pPr>
    </w:p>
    <w:p>
      <w:pPr>
        <w:pStyle w:val="ListParagraph"/>
        <w:numPr>
          <w:ilvl w:val="3"/>
          <w:numId w:val="12"/>
        </w:numPr>
        <w:tabs>
          <w:tab w:pos="2035" w:val="left" w:leader="none"/>
        </w:tabs>
        <w:spacing w:line="240" w:lineRule="auto" w:before="0" w:after="0"/>
        <w:ind w:left="2034" w:right="0" w:hanging="361"/>
        <w:jc w:val="left"/>
        <w:rPr>
          <w:sz w:val="22"/>
        </w:rPr>
      </w:pPr>
      <w:r>
        <w:rPr>
          <w:sz w:val="22"/>
        </w:rPr>
        <w:t>restricting access to 6 episodes of care for a given nerve in a calendar year,</w:t>
      </w:r>
      <w:r>
        <w:rPr>
          <w:spacing w:val="-13"/>
          <w:sz w:val="22"/>
        </w:rPr>
        <w:t> </w:t>
      </w:r>
      <w:r>
        <w:rPr>
          <w:sz w:val="22"/>
        </w:rPr>
        <w:t>and</w:t>
      </w:r>
    </w:p>
    <w:p>
      <w:pPr>
        <w:pStyle w:val="BodyText"/>
        <w:spacing w:before="7"/>
        <w:rPr>
          <w:sz w:val="16"/>
        </w:rPr>
      </w:pPr>
    </w:p>
    <w:p>
      <w:pPr>
        <w:pStyle w:val="ListParagraph"/>
        <w:numPr>
          <w:ilvl w:val="3"/>
          <w:numId w:val="12"/>
        </w:numPr>
        <w:tabs>
          <w:tab w:pos="2034" w:val="left" w:leader="none"/>
          <w:tab w:pos="2035" w:val="left" w:leader="none"/>
        </w:tabs>
        <w:spacing w:line="240" w:lineRule="auto" w:before="0" w:after="0"/>
        <w:ind w:left="2034" w:right="0" w:hanging="361"/>
        <w:jc w:val="left"/>
        <w:rPr>
          <w:sz w:val="22"/>
        </w:rPr>
      </w:pPr>
      <w:r>
        <w:rPr>
          <w:sz w:val="22"/>
        </w:rPr>
        <w:t>amending the descriptor to (changes in</w:t>
      </w:r>
      <w:r>
        <w:rPr>
          <w:spacing w:val="-6"/>
          <w:sz w:val="22"/>
        </w:rPr>
        <w:t> </w:t>
      </w:r>
      <w:r>
        <w:rPr>
          <w:sz w:val="22"/>
        </w:rPr>
        <w:t>bold):</w:t>
      </w:r>
    </w:p>
    <w:p>
      <w:pPr>
        <w:pStyle w:val="BodyText"/>
        <w:spacing w:before="9"/>
        <w:rPr>
          <w:sz w:val="11"/>
        </w:rPr>
      </w:pPr>
      <w:r>
        <w:rPr/>
        <w:pict>
          <v:shape style="position:absolute;margin-left:85.050003pt;margin-top:10.11375pt;width:414.3pt;height:67.55pt;mso-position-horizontal-relative:page;mso-position-vertical-relative:paragraph;z-index:-15601664;mso-wrap-distance-left:0;mso-wrap-distance-right:0" type="#_x0000_t202" filled="false" stroked="true" strokeweight="2pt" strokecolor="#c0504d">
            <v:textbox inset="0,0,0,0">
              <w:txbxContent>
                <w:p>
                  <w:pPr>
                    <w:spacing w:before="68"/>
                    <w:ind w:left="144" w:right="0" w:firstLine="0"/>
                    <w:jc w:val="left"/>
                    <w:rPr>
                      <w:b/>
                      <w:sz w:val="22"/>
                    </w:rPr>
                  </w:pPr>
                  <w:r>
                    <w:rPr>
                      <w:b/>
                      <w:sz w:val="22"/>
                    </w:rPr>
                    <w:t>Item 39323</w:t>
                  </w:r>
                </w:p>
                <w:p>
                  <w:pPr>
                    <w:spacing w:line="312" w:lineRule="auto" w:before="142"/>
                    <w:ind w:left="144" w:right="626" w:firstLine="0"/>
                    <w:jc w:val="left"/>
                    <w:rPr>
                      <w:sz w:val="22"/>
                    </w:rPr>
                  </w:pPr>
                  <w:r>
                    <w:rPr>
                      <w:sz w:val="22"/>
                    </w:rPr>
                    <w:t>PERCUTANEOUS DENERVATION (</w:t>
                  </w:r>
                  <w:r>
                    <w:rPr>
                      <w:b/>
                      <w:sz w:val="22"/>
                    </w:rPr>
                    <w:t>excluding medial branch nerve</w:t>
                  </w:r>
                  <w:r>
                    <w:rPr>
                      <w:sz w:val="22"/>
                    </w:rPr>
                    <w:t>) by cryotherapy or radiofrequency </w:t>
                  </w:r>
                  <w:r>
                    <w:rPr>
                      <w:b/>
                      <w:sz w:val="22"/>
                    </w:rPr>
                    <w:t>probe</w:t>
                  </w:r>
                  <w:r>
                    <w:rPr>
                      <w:sz w:val="22"/>
                    </w:rPr>
                    <w:t>, not being a service to which another item applies (Anaes.)</w:t>
                  </w:r>
                </w:p>
              </w:txbxContent>
            </v:textbox>
            <v:stroke dashstyle="solid"/>
            <w10:wrap type="topAndBottom"/>
          </v:shape>
        </w:pict>
      </w:r>
    </w:p>
    <w:p>
      <w:pPr>
        <w:pStyle w:val="BodyText"/>
      </w:pPr>
    </w:p>
    <w:p>
      <w:pPr>
        <w:pStyle w:val="BodyText"/>
        <w:spacing w:before="3"/>
        <w:rPr>
          <w:sz w:val="31"/>
        </w:rPr>
      </w:pPr>
    </w:p>
    <w:p>
      <w:pPr>
        <w:pStyle w:val="Heading4"/>
        <w:tabs>
          <w:tab w:pos="2397" w:val="left" w:leader="none"/>
        </w:tabs>
        <w:spacing w:before="0"/>
        <w:ind w:left="1262" w:firstLine="0"/>
      </w:pPr>
      <w:r>
        <w:rPr/>
        <w:t>4.1.12.1</w:t>
        <w:tab/>
        <w:t>Rationale</w:t>
      </w:r>
      <w:r>
        <w:rPr>
          <w:spacing w:val="-1"/>
        </w:rPr>
        <w:t> </w:t>
      </w:r>
      <w:r>
        <w:rPr/>
        <w:t>12</w:t>
      </w:r>
    </w:p>
    <w:p>
      <w:pPr>
        <w:pStyle w:val="BodyText"/>
        <w:spacing w:before="206"/>
        <w:ind w:left="1262"/>
      </w:pPr>
      <w:r>
        <w:rPr/>
        <w:t>This item provides for percutaneous denervation by cryotherapy or radiofrequency probe.</w:t>
      </w:r>
    </w:p>
    <w:p>
      <w:pPr>
        <w:pStyle w:val="BodyText"/>
        <w:spacing w:before="3"/>
        <w:rPr>
          <w:sz w:val="21"/>
        </w:rPr>
      </w:pPr>
    </w:p>
    <w:p>
      <w:pPr>
        <w:pStyle w:val="BodyText"/>
        <w:spacing w:line="312" w:lineRule="auto"/>
        <w:ind w:left="1262" w:right="2046"/>
      </w:pPr>
      <w:r>
        <w:rPr/>
        <w:t>This recommendation focuses on improving patient experience, reflects best practice and effective use of the health system. It is based on the following assessment:</w:t>
      </w:r>
    </w:p>
    <w:p>
      <w:pPr>
        <w:pStyle w:val="BodyText"/>
        <w:spacing w:line="312" w:lineRule="auto" w:before="72"/>
        <w:ind w:left="2123" w:right="2096"/>
      </w:pPr>
      <w:r>
        <w:rPr/>
        <w:drawing>
          <wp:anchor distT="0" distB="0" distL="0" distR="0" allowOverlap="1" layoutInCell="1" locked="0" behindDoc="0" simplePos="0" relativeHeight="15856640">
            <wp:simplePos x="0" y="0"/>
            <wp:positionH relativeFrom="page">
              <wp:posOffset>1362646</wp:posOffset>
            </wp:positionH>
            <wp:positionV relativeFrom="paragraph">
              <wp:posOffset>114282</wp:posOffset>
            </wp:positionV>
            <wp:extent cx="52387" cy="52387"/>
            <wp:effectExtent l="0" t="0" r="0" b="0"/>
            <wp:wrapNone/>
            <wp:docPr id="513" name="image176.png"/>
            <wp:cNvGraphicFramePr>
              <a:graphicFrameLocks noChangeAspect="1"/>
            </wp:cNvGraphicFramePr>
            <a:graphic>
              <a:graphicData uri="http://schemas.openxmlformats.org/drawingml/2006/picture">
                <pic:pic>
                  <pic:nvPicPr>
                    <pic:cNvPr id="514" name="image176.png"/>
                    <pic:cNvPicPr/>
                  </pic:nvPicPr>
                  <pic:blipFill>
                    <a:blip r:embed="rId184" cstate="print"/>
                    <a:stretch>
                      <a:fillRect/>
                    </a:stretch>
                  </pic:blipFill>
                  <pic:spPr>
                    <a:xfrm>
                      <a:off x="0" y="0"/>
                      <a:ext cx="52387" cy="52387"/>
                    </a:xfrm>
                    <a:prstGeom prst="rect">
                      <a:avLst/>
                    </a:prstGeom>
                  </pic:spPr>
                </pic:pic>
              </a:graphicData>
            </a:graphic>
          </wp:anchor>
        </w:drawing>
      </w:r>
      <w:r>
        <w:rPr/>
        <w:t>The Committee considers the change to the descriptor will encourage quality patient experience and ensure that the MBS aligns with professional standards.</w:t>
      </w:r>
    </w:p>
    <w:p>
      <w:pPr>
        <w:pStyle w:val="BodyText"/>
        <w:spacing w:line="312" w:lineRule="auto" w:before="133"/>
        <w:ind w:left="2123" w:right="2462"/>
      </w:pPr>
      <w:r>
        <w:rPr/>
        <w:drawing>
          <wp:anchor distT="0" distB="0" distL="0" distR="0" allowOverlap="1" layoutInCell="1" locked="0" behindDoc="0" simplePos="0" relativeHeight="15857152">
            <wp:simplePos x="0" y="0"/>
            <wp:positionH relativeFrom="page">
              <wp:posOffset>1362646</wp:posOffset>
            </wp:positionH>
            <wp:positionV relativeFrom="paragraph">
              <wp:posOffset>152763</wp:posOffset>
            </wp:positionV>
            <wp:extent cx="52387" cy="52387"/>
            <wp:effectExtent l="0" t="0" r="0" b="0"/>
            <wp:wrapNone/>
            <wp:docPr id="515" name="image180.png"/>
            <wp:cNvGraphicFramePr>
              <a:graphicFrameLocks noChangeAspect="1"/>
            </wp:cNvGraphicFramePr>
            <a:graphic>
              <a:graphicData uri="http://schemas.openxmlformats.org/drawingml/2006/picture">
                <pic:pic>
                  <pic:nvPicPr>
                    <pic:cNvPr id="516" name="image180.png"/>
                    <pic:cNvPicPr/>
                  </pic:nvPicPr>
                  <pic:blipFill>
                    <a:blip r:embed="rId188" cstate="print"/>
                    <a:stretch>
                      <a:fillRect/>
                    </a:stretch>
                  </pic:blipFill>
                  <pic:spPr>
                    <a:xfrm>
                      <a:off x="0" y="0"/>
                      <a:ext cx="52387" cy="52387"/>
                    </a:xfrm>
                    <a:prstGeom prst="rect">
                      <a:avLst/>
                    </a:prstGeom>
                  </pic:spPr>
                </pic:pic>
              </a:graphicData>
            </a:graphic>
          </wp:anchor>
        </w:drawing>
      </w:r>
      <w:r>
        <w:rPr/>
        <w:t>The Committee is of the opinion that item 39323 should be restricted to six episodes for a given nerve in a calendar year. Both thermal and pulsed radiofrequency have current clinical applications in this setting.</w:t>
      </w:r>
      <w:r>
        <w:rPr>
          <w:vertAlign w:val="superscript"/>
        </w:rPr>
        <w:t>4</w:t>
      </w:r>
      <w:r>
        <w:rPr>
          <w:vertAlign w:val="baseline"/>
        </w:rPr>
        <w:t>.</w:t>
      </w:r>
    </w:p>
    <w:p>
      <w:pPr>
        <w:pStyle w:val="BodyText"/>
        <w:spacing w:line="312" w:lineRule="auto" w:before="131"/>
        <w:ind w:left="2123" w:right="1677"/>
      </w:pPr>
      <w:r>
        <w:rPr/>
        <w:drawing>
          <wp:anchor distT="0" distB="0" distL="0" distR="0" allowOverlap="1" layoutInCell="1" locked="0" behindDoc="0" simplePos="0" relativeHeight="15857664">
            <wp:simplePos x="0" y="0"/>
            <wp:positionH relativeFrom="page">
              <wp:posOffset>1362646</wp:posOffset>
            </wp:positionH>
            <wp:positionV relativeFrom="paragraph">
              <wp:posOffset>151493</wp:posOffset>
            </wp:positionV>
            <wp:extent cx="52387" cy="52387"/>
            <wp:effectExtent l="0" t="0" r="0" b="0"/>
            <wp:wrapNone/>
            <wp:docPr id="517" name="image176.png"/>
            <wp:cNvGraphicFramePr>
              <a:graphicFrameLocks noChangeAspect="1"/>
            </wp:cNvGraphicFramePr>
            <a:graphic>
              <a:graphicData uri="http://schemas.openxmlformats.org/drawingml/2006/picture">
                <pic:pic>
                  <pic:nvPicPr>
                    <pic:cNvPr id="518" name="image176.png"/>
                    <pic:cNvPicPr/>
                  </pic:nvPicPr>
                  <pic:blipFill>
                    <a:blip r:embed="rId184" cstate="print"/>
                    <a:stretch>
                      <a:fillRect/>
                    </a:stretch>
                  </pic:blipFill>
                  <pic:spPr>
                    <a:xfrm>
                      <a:off x="0" y="0"/>
                      <a:ext cx="52387" cy="52387"/>
                    </a:xfrm>
                    <a:prstGeom prst="rect">
                      <a:avLst/>
                    </a:prstGeom>
                  </pic:spPr>
                </pic:pic>
              </a:graphicData>
            </a:graphic>
          </wp:anchor>
        </w:drawing>
      </w:r>
      <w:r>
        <w:rPr/>
        <w:t>The Committee does not consider that an assistant is needed for this procedure and patient safety will be maintained without it.</w:t>
      </w:r>
    </w:p>
    <w:p>
      <w:pPr>
        <w:pStyle w:val="BodyText"/>
        <w:spacing w:line="312" w:lineRule="auto" w:before="132"/>
        <w:ind w:left="2123" w:right="2439"/>
      </w:pPr>
      <w:r>
        <w:rPr/>
        <w:drawing>
          <wp:anchor distT="0" distB="0" distL="0" distR="0" allowOverlap="1" layoutInCell="1" locked="0" behindDoc="0" simplePos="0" relativeHeight="15858176">
            <wp:simplePos x="0" y="0"/>
            <wp:positionH relativeFrom="page">
              <wp:posOffset>1362646</wp:posOffset>
            </wp:positionH>
            <wp:positionV relativeFrom="paragraph">
              <wp:posOffset>152128</wp:posOffset>
            </wp:positionV>
            <wp:extent cx="52387" cy="52387"/>
            <wp:effectExtent l="0" t="0" r="0" b="0"/>
            <wp:wrapNone/>
            <wp:docPr id="519" name="image176.png"/>
            <wp:cNvGraphicFramePr>
              <a:graphicFrameLocks noChangeAspect="1"/>
            </wp:cNvGraphicFramePr>
            <a:graphic>
              <a:graphicData uri="http://schemas.openxmlformats.org/drawingml/2006/picture">
                <pic:pic>
                  <pic:nvPicPr>
                    <pic:cNvPr id="520" name="image176.png"/>
                    <pic:cNvPicPr/>
                  </pic:nvPicPr>
                  <pic:blipFill>
                    <a:blip r:embed="rId184" cstate="print"/>
                    <a:stretch>
                      <a:fillRect/>
                    </a:stretch>
                  </pic:blipFill>
                  <pic:spPr>
                    <a:xfrm>
                      <a:off x="0" y="0"/>
                      <a:ext cx="52387" cy="52387"/>
                    </a:xfrm>
                    <a:prstGeom prst="rect">
                      <a:avLst/>
                    </a:prstGeom>
                  </pic:spPr>
                </pic:pic>
              </a:graphicData>
            </a:graphic>
          </wp:anchor>
        </w:drawing>
      </w:r>
      <w:r>
        <w:rPr/>
        <w:t>It is not clinically appropriate for item 39323 to have a recommendation for restricting CT guidance.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8"/>
        </w:rPr>
      </w:pPr>
      <w:r>
        <w:rPr/>
        <w:pict>
          <v:rect style="position:absolute;margin-left:85.103996pt;margin-top:19.512022pt;width:144.020pt;height:.71997pt;mso-position-horizontal-relative:page;mso-position-vertical-relative:paragraph;z-index:-15601152;mso-wrap-distance-left:0;mso-wrap-distance-right:0" filled="true" fillcolor="#000000" stroked="false">
            <v:fill type="solid"/>
            <w10:wrap type="topAndBottom"/>
          </v:rect>
        </w:pict>
      </w:r>
    </w:p>
    <w:p>
      <w:pPr>
        <w:pStyle w:val="BodyText"/>
        <w:rPr>
          <w:sz w:val="20"/>
        </w:rPr>
      </w:pPr>
    </w:p>
    <w:p>
      <w:pPr>
        <w:pStyle w:val="BodyText"/>
        <w:rPr>
          <w:sz w:val="20"/>
        </w:rPr>
      </w:pPr>
    </w:p>
    <w:p>
      <w:pPr>
        <w:pStyle w:val="BodyText"/>
        <w:spacing w:before="10"/>
      </w:pPr>
    </w:p>
    <w:p>
      <w:pPr>
        <w:spacing w:before="77"/>
        <w:ind w:left="1262" w:right="0" w:firstLine="0"/>
        <w:jc w:val="left"/>
        <w:rPr>
          <w:sz w:val="20"/>
        </w:rPr>
      </w:pPr>
      <w:r>
        <w:rPr>
          <w:sz w:val="20"/>
          <w:vertAlign w:val="superscript"/>
        </w:rPr>
        <w:t>4</w:t>
      </w:r>
      <w:r>
        <w:rPr>
          <w:sz w:val="20"/>
          <w:vertAlign w:val="baseline"/>
        </w:rPr>
        <w:t> Refer to Table 4 of this report</w:t>
      </w:r>
    </w:p>
    <w:p>
      <w:pPr>
        <w:spacing w:after="0"/>
        <w:jc w:val="left"/>
        <w:rPr>
          <w:sz w:val="20"/>
        </w:rPr>
        <w:sectPr>
          <w:headerReference w:type="default" r:id="rId228"/>
          <w:footerReference w:type="default" r:id="rId229"/>
          <w:pgSz w:w="11910" w:h="16840"/>
          <w:pgMar w:header="672" w:footer="734" w:top="1300" w:bottom="920" w:left="440" w:right="140"/>
        </w:sectPr>
      </w:pPr>
    </w:p>
    <w:p>
      <w:pPr>
        <w:pStyle w:val="BodyText"/>
        <w:rPr>
          <w:sz w:val="20"/>
        </w:rPr>
      </w:pPr>
    </w:p>
    <w:p>
      <w:pPr>
        <w:pStyle w:val="BodyText"/>
        <w:spacing w:before="3"/>
        <w:rPr>
          <w:sz w:val="25"/>
        </w:rPr>
      </w:pPr>
    </w:p>
    <w:p>
      <w:pPr>
        <w:pStyle w:val="Heading3"/>
        <w:ind w:left="1828"/>
      </w:pPr>
      <w:r>
        <w:rPr/>
        <w:drawing>
          <wp:anchor distT="0" distB="0" distL="0" distR="0" allowOverlap="1" layoutInCell="1" locked="0" behindDoc="0" simplePos="0" relativeHeight="15858688">
            <wp:simplePos x="0" y="0"/>
            <wp:positionH relativeFrom="page">
              <wp:posOffset>1077552</wp:posOffset>
            </wp:positionH>
            <wp:positionV relativeFrom="paragraph">
              <wp:posOffset>81793</wp:posOffset>
            </wp:positionV>
            <wp:extent cx="204893" cy="108807"/>
            <wp:effectExtent l="0" t="0" r="0" b="0"/>
            <wp:wrapNone/>
            <wp:docPr id="521" name="image195.png"/>
            <wp:cNvGraphicFramePr>
              <a:graphicFrameLocks noChangeAspect="1"/>
            </wp:cNvGraphicFramePr>
            <a:graphic>
              <a:graphicData uri="http://schemas.openxmlformats.org/drawingml/2006/picture">
                <pic:pic>
                  <pic:nvPicPr>
                    <pic:cNvPr id="522" name="image195.png"/>
                    <pic:cNvPicPr/>
                  </pic:nvPicPr>
                  <pic:blipFill>
                    <a:blip r:embed="rId230" cstate="print"/>
                    <a:stretch>
                      <a:fillRect/>
                    </a:stretch>
                  </pic:blipFill>
                  <pic:spPr>
                    <a:xfrm>
                      <a:off x="0" y="0"/>
                      <a:ext cx="204893" cy="108807"/>
                    </a:xfrm>
                    <a:prstGeom prst="rect">
                      <a:avLst/>
                    </a:prstGeom>
                  </pic:spPr>
                </pic:pic>
              </a:graphicData>
            </a:graphic>
          </wp:anchor>
        </w:drawing>
      </w:r>
      <w:r>
        <w:rPr>
          <w:color w:val="00643E"/>
        </w:rPr>
        <w:t>Implanted Devices</w:t>
      </w:r>
    </w:p>
    <w:p>
      <w:pPr>
        <w:pStyle w:val="BodyText"/>
        <w:spacing w:before="10"/>
        <w:rPr>
          <w:b/>
          <w:sz w:val="12"/>
        </w:rPr>
      </w:pPr>
    </w:p>
    <w:p>
      <w:pPr>
        <w:spacing w:before="59"/>
        <w:ind w:left="1262" w:right="0" w:firstLine="0"/>
        <w:jc w:val="left"/>
        <w:rPr>
          <w:b/>
          <w:sz w:val="20"/>
        </w:rPr>
      </w:pPr>
      <w:bookmarkStart w:name="_bookmark6" w:id="7"/>
      <w:bookmarkEnd w:id="7"/>
      <w:r>
        <w:rPr/>
      </w:r>
      <w:r>
        <w:rPr>
          <w:b/>
          <w:sz w:val="20"/>
          <w:u w:val="single"/>
        </w:rPr>
        <w:t>Table 5: Implanted Device items considered by working group</w:t>
      </w:r>
    </w:p>
    <w:p>
      <w:pPr>
        <w:pStyle w:val="BodyText"/>
        <w:spacing w:before="10"/>
        <w:rPr>
          <w:b/>
          <w:sz w:val="15"/>
        </w:rPr>
      </w:pPr>
    </w:p>
    <w:tbl>
      <w:tblPr>
        <w:tblW w:w="0" w:type="auto"/>
        <w:jc w:val="left"/>
        <w:tblInd w:w="127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686"/>
        <w:gridCol w:w="3535"/>
        <w:gridCol w:w="950"/>
        <w:gridCol w:w="1070"/>
        <w:gridCol w:w="1053"/>
        <w:gridCol w:w="1102"/>
      </w:tblGrid>
      <w:tr>
        <w:trPr>
          <w:trHeight w:val="1362" w:hRule="atLeast"/>
        </w:trPr>
        <w:tc>
          <w:tcPr>
            <w:tcW w:w="686" w:type="dxa"/>
            <w:shd w:val="clear" w:color="auto" w:fill="00643E"/>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18"/>
              <w:ind w:left="26"/>
              <w:rPr>
                <w:b/>
                <w:sz w:val="18"/>
              </w:rPr>
            </w:pPr>
            <w:r>
              <w:rPr>
                <w:b/>
                <w:color w:val="FFFFFF"/>
                <w:sz w:val="18"/>
              </w:rPr>
              <w:t>Item</w:t>
            </w:r>
          </w:p>
        </w:tc>
        <w:tc>
          <w:tcPr>
            <w:tcW w:w="3535" w:type="dxa"/>
            <w:shd w:val="clear" w:color="auto" w:fill="00643E"/>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18"/>
              <w:ind w:left="26"/>
              <w:rPr>
                <w:b/>
                <w:sz w:val="18"/>
              </w:rPr>
            </w:pPr>
            <w:r>
              <w:rPr>
                <w:b/>
                <w:color w:val="FFFFFF"/>
                <w:sz w:val="18"/>
              </w:rPr>
              <w:t>Descriptor</w:t>
            </w:r>
          </w:p>
        </w:tc>
        <w:tc>
          <w:tcPr>
            <w:tcW w:w="950" w:type="dxa"/>
            <w:shd w:val="clear" w:color="auto" w:fill="00643E"/>
          </w:tcPr>
          <w:p>
            <w:pPr>
              <w:pStyle w:val="TableParagraph"/>
              <w:rPr>
                <w:b/>
                <w:sz w:val="18"/>
              </w:rPr>
            </w:pPr>
          </w:p>
          <w:p>
            <w:pPr>
              <w:pStyle w:val="TableParagraph"/>
              <w:rPr>
                <w:b/>
                <w:sz w:val="18"/>
              </w:rPr>
            </w:pPr>
          </w:p>
          <w:p>
            <w:pPr>
              <w:pStyle w:val="TableParagraph"/>
              <w:spacing w:before="3"/>
              <w:rPr>
                <w:b/>
                <w:sz w:val="22"/>
              </w:rPr>
            </w:pPr>
          </w:p>
          <w:p>
            <w:pPr>
              <w:pStyle w:val="TableParagraph"/>
              <w:spacing w:line="312" w:lineRule="auto"/>
              <w:ind w:left="29" w:right="215"/>
              <w:rPr>
                <w:b/>
                <w:sz w:val="18"/>
              </w:rPr>
            </w:pPr>
            <w:r>
              <w:rPr>
                <w:b/>
                <w:color w:val="FFFFFF"/>
                <w:sz w:val="18"/>
              </w:rPr>
              <w:t>Schedule fee</w:t>
            </w:r>
          </w:p>
        </w:tc>
        <w:tc>
          <w:tcPr>
            <w:tcW w:w="1070" w:type="dxa"/>
            <w:shd w:val="clear" w:color="auto" w:fill="00643E"/>
          </w:tcPr>
          <w:p>
            <w:pPr>
              <w:pStyle w:val="TableParagraph"/>
              <w:rPr>
                <w:b/>
                <w:sz w:val="18"/>
              </w:rPr>
            </w:pPr>
          </w:p>
          <w:p>
            <w:pPr>
              <w:pStyle w:val="TableParagraph"/>
              <w:rPr>
                <w:b/>
                <w:sz w:val="18"/>
              </w:rPr>
            </w:pPr>
          </w:p>
          <w:p>
            <w:pPr>
              <w:pStyle w:val="TableParagraph"/>
              <w:spacing w:before="3"/>
              <w:rPr>
                <w:b/>
                <w:sz w:val="22"/>
              </w:rPr>
            </w:pPr>
          </w:p>
          <w:p>
            <w:pPr>
              <w:pStyle w:val="TableParagraph"/>
              <w:spacing w:line="312" w:lineRule="auto"/>
              <w:ind w:left="28" w:right="211"/>
              <w:rPr>
                <w:b/>
                <w:sz w:val="18"/>
              </w:rPr>
            </w:pPr>
            <w:r>
              <w:rPr>
                <w:b/>
                <w:color w:val="FFFFFF"/>
                <w:sz w:val="18"/>
              </w:rPr>
              <w:t>Services FY2016/17</w:t>
            </w:r>
          </w:p>
        </w:tc>
        <w:tc>
          <w:tcPr>
            <w:tcW w:w="1053" w:type="dxa"/>
            <w:shd w:val="clear" w:color="auto" w:fill="00643E"/>
          </w:tcPr>
          <w:p>
            <w:pPr>
              <w:pStyle w:val="TableParagraph"/>
              <w:rPr>
                <w:b/>
                <w:sz w:val="18"/>
              </w:rPr>
            </w:pPr>
          </w:p>
          <w:p>
            <w:pPr>
              <w:pStyle w:val="TableParagraph"/>
              <w:rPr>
                <w:b/>
                <w:sz w:val="18"/>
              </w:rPr>
            </w:pPr>
          </w:p>
          <w:p>
            <w:pPr>
              <w:pStyle w:val="TableParagraph"/>
              <w:spacing w:before="3"/>
              <w:rPr>
                <w:b/>
                <w:sz w:val="22"/>
              </w:rPr>
            </w:pPr>
          </w:p>
          <w:p>
            <w:pPr>
              <w:pStyle w:val="TableParagraph"/>
              <w:spacing w:line="312" w:lineRule="auto"/>
              <w:ind w:left="30" w:right="192"/>
              <w:rPr>
                <w:b/>
                <w:sz w:val="18"/>
              </w:rPr>
            </w:pPr>
            <w:r>
              <w:rPr>
                <w:b/>
                <w:color w:val="FFFFFF"/>
                <w:sz w:val="18"/>
              </w:rPr>
              <w:t>Benefits FY2016/17</w:t>
            </w:r>
          </w:p>
        </w:tc>
        <w:tc>
          <w:tcPr>
            <w:tcW w:w="1102" w:type="dxa"/>
            <w:shd w:val="clear" w:color="auto" w:fill="00643E"/>
          </w:tcPr>
          <w:p>
            <w:pPr>
              <w:pStyle w:val="TableParagraph"/>
              <w:spacing w:line="312" w:lineRule="auto" w:before="85"/>
              <w:ind w:left="29" w:right="155"/>
              <w:rPr>
                <w:b/>
                <w:sz w:val="18"/>
              </w:rPr>
            </w:pPr>
            <w:r>
              <w:rPr>
                <w:b/>
                <w:color w:val="FFFFFF"/>
                <w:sz w:val="18"/>
              </w:rPr>
              <w:t>Services 5- year annual avg. growth</w:t>
            </w:r>
          </w:p>
          <w:p>
            <w:pPr>
              <w:pStyle w:val="TableParagraph"/>
              <w:spacing w:before="55"/>
              <w:ind w:left="29"/>
              <w:rPr>
                <w:b/>
                <w:sz w:val="18"/>
              </w:rPr>
            </w:pPr>
            <w:r>
              <w:rPr>
                <w:b/>
                <w:color w:val="FFFFFF"/>
                <w:sz w:val="18"/>
              </w:rPr>
              <w:t>%</w:t>
            </w:r>
          </w:p>
        </w:tc>
      </w:tr>
      <w:tr>
        <w:trPr>
          <w:trHeight w:val="1937" w:hRule="atLeast"/>
        </w:trPr>
        <w:tc>
          <w:tcPr>
            <w:tcW w:w="686" w:type="dxa"/>
          </w:tcPr>
          <w:p>
            <w:pPr>
              <w:pStyle w:val="TableParagraph"/>
              <w:spacing w:before="3"/>
              <w:rPr>
                <w:b/>
                <w:sz w:val="13"/>
              </w:rPr>
            </w:pPr>
          </w:p>
          <w:p>
            <w:pPr>
              <w:pStyle w:val="TableParagraph"/>
              <w:ind w:left="26"/>
              <w:rPr>
                <w:sz w:val="18"/>
              </w:rPr>
            </w:pPr>
            <w:r>
              <w:rPr>
                <w:sz w:val="18"/>
              </w:rPr>
              <w:t>14218</w:t>
            </w:r>
          </w:p>
        </w:tc>
        <w:tc>
          <w:tcPr>
            <w:tcW w:w="3535" w:type="dxa"/>
          </w:tcPr>
          <w:p>
            <w:pPr>
              <w:pStyle w:val="TableParagraph"/>
              <w:spacing w:before="159"/>
              <w:ind w:left="26"/>
              <w:rPr>
                <w:sz w:val="18"/>
              </w:rPr>
            </w:pPr>
            <w:r>
              <w:rPr>
                <w:sz w:val="18"/>
              </w:rPr>
              <w:t>IMPLANTED INFUSION PUMP REFILLING OF</w:t>
            </w:r>
          </w:p>
          <w:p>
            <w:pPr>
              <w:pStyle w:val="TableParagraph"/>
              <w:spacing w:line="312" w:lineRule="auto" w:before="66"/>
              <w:ind w:left="26" w:right="137"/>
              <w:rPr>
                <w:sz w:val="18"/>
              </w:rPr>
            </w:pPr>
            <w:r>
              <w:rPr>
                <w:sz w:val="18"/>
              </w:rPr>
              <w:t>reservoir, with a therapeutic agent or agents, for infusion to the subarachnoid or epidural space, with or without re-programming of a programmable pump, for the management of chronic intractable pain</w:t>
            </w:r>
          </w:p>
        </w:tc>
        <w:tc>
          <w:tcPr>
            <w:tcW w:w="950" w:type="dxa"/>
          </w:tcPr>
          <w:p>
            <w:pPr>
              <w:pStyle w:val="TableParagraph"/>
              <w:spacing w:before="3"/>
              <w:rPr>
                <w:b/>
                <w:sz w:val="13"/>
              </w:rPr>
            </w:pPr>
          </w:p>
          <w:p>
            <w:pPr>
              <w:pStyle w:val="TableParagraph"/>
              <w:ind w:left="29"/>
              <w:rPr>
                <w:sz w:val="18"/>
              </w:rPr>
            </w:pPr>
            <w:r>
              <w:rPr>
                <w:sz w:val="18"/>
              </w:rPr>
              <w:t>$97.95</w:t>
            </w:r>
          </w:p>
        </w:tc>
        <w:tc>
          <w:tcPr>
            <w:tcW w:w="1070" w:type="dxa"/>
          </w:tcPr>
          <w:p>
            <w:pPr>
              <w:pStyle w:val="TableParagraph"/>
              <w:spacing w:before="3"/>
              <w:rPr>
                <w:b/>
                <w:sz w:val="13"/>
              </w:rPr>
            </w:pPr>
          </w:p>
          <w:p>
            <w:pPr>
              <w:pStyle w:val="TableParagraph"/>
              <w:ind w:left="28"/>
              <w:rPr>
                <w:sz w:val="18"/>
              </w:rPr>
            </w:pPr>
            <w:r>
              <w:rPr>
                <w:sz w:val="18"/>
              </w:rPr>
              <w:t>1,866</w:t>
            </w:r>
          </w:p>
        </w:tc>
        <w:tc>
          <w:tcPr>
            <w:tcW w:w="1053" w:type="dxa"/>
          </w:tcPr>
          <w:p>
            <w:pPr>
              <w:pStyle w:val="TableParagraph"/>
              <w:spacing w:before="3"/>
              <w:rPr>
                <w:b/>
                <w:sz w:val="13"/>
              </w:rPr>
            </w:pPr>
          </w:p>
          <w:p>
            <w:pPr>
              <w:pStyle w:val="TableParagraph"/>
              <w:ind w:left="30"/>
              <w:rPr>
                <w:sz w:val="18"/>
              </w:rPr>
            </w:pPr>
            <w:r>
              <w:rPr>
                <w:sz w:val="18"/>
              </w:rPr>
              <w:t>$149,224</w:t>
            </w:r>
          </w:p>
        </w:tc>
        <w:tc>
          <w:tcPr>
            <w:tcW w:w="1102" w:type="dxa"/>
          </w:tcPr>
          <w:p>
            <w:pPr>
              <w:pStyle w:val="TableParagraph"/>
              <w:spacing w:before="3"/>
              <w:rPr>
                <w:b/>
                <w:sz w:val="13"/>
              </w:rPr>
            </w:pPr>
          </w:p>
          <w:p>
            <w:pPr>
              <w:pStyle w:val="TableParagraph"/>
              <w:ind w:left="29"/>
              <w:rPr>
                <w:sz w:val="18"/>
              </w:rPr>
            </w:pPr>
            <w:r>
              <w:rPr>
                <w:sz w:val="18"/>
              </w:rPr>
              <w:t>-8.2</w:t>
            </w:r>
          </w:p>
        </w:tc>
      </w:tr>
      <w:tr>
        <w:trPr>
          <w:trHeight w:val="1367" w:hRule="atLeast"/>
        </w:trPr>
        <w:tc>
          <w:tcPr>
            <w:tcW w:w="686" w:type="dxa"/>
          </w:tcPr>
          <w:p>
            <w:pPr>
              <w:pStyle w:val="TableParagraph"/>
              <w:spacing w:before="3"/>
              <w:rPr>
                <w:b/>
                <w:sz w:val="13"/>
              </w:rPr>
            </w:pPr>
          </w:p>
          <w:p>
            <w:pPr>
              <w:pStyle w:val="TableParagraph"/>
              <w:ind w:left="26"/>
              <w:rPr>
                <w:sz w:val="18"/>
              </w:rPr>
            </w:pPr>
            <w:r>
              <w:rPr>
                <w:sz w:val="18"/>
              </w:rPr>
              <w:t>14221</w:t>
            </w:r>
          </w:p>
        </w:tc>
        <w:tc>
          <w:tcPr>
            <w:tcW w:w="3535" w:type="dxa"/>
          </w:tcPr>
          <w:p>
            <w:pPr>
              <w:pStyle w:val="TableParagraph"/>
              <w:spacing w:before="159"/>
              <w:ind w:left="26"/>
              <w:rPr>
                <w:sz w:val="18"/>
              </w:rPr>
            </w:pPr>
            <w:r>
              <w:rPr>
                <w:sz w:val="18"/>
              </w:rPr>
              <w:t>LONG-TERM IMPLANTED DEVICE FOR DELIVERY</w:t>
            </w:r>
          </w:p>
          <w:p>
            <w:pPr>
              <w:pStyle w:val="TableParagraph"/>
              <w:spacing w:line="312" w:lineRule="auto" w:before="66"/>
              <w:ind w:left="26" w:right="287"/>
              <w:rPr>
                <w:sz w:val="18"/>
              </w:rPr>
            </w:pPr>
            <w:r>
              <w:rPr>
                <w:sz w:val="18"/>
              </w:rPr>
              <w:t>OF THERAPEUTIC AGENTS, accessing of, not being a service associated with a service to which item 13945 applies</w:t>
            </w:r>
          </w:p>
        </w:tc>
        <w:tc>
          <w:tcPr>
            <w:tcW w:w="950" w:type="dxa"/>
          </w:tcPr>
          <w:p>
            <w:pPr>
              <w:pStyle w:val="TableParagraph"/>
              <w:spacing w:before="3"/>
              <w:rPr>
                <w:b/>
                <w:sz w:val="13"/>
              </w:rPr>
            </w:pPr>
          </w:p>
          <w:p>
            <w:pPr>
              <w:pStyle w:val="TableParagraph"/>
              <w:ind w:left="29"/>
              <w:rPr>
                <w:sz w:val="18"/>
              </w:rPr>
            </w:pPr>
            <w:r>
              <w:rPr>
                <w:sz w:val="18"/>
              </w:rPr>
              <w:t>$52.50</w:t>
            </w:r>
          </w:p>
        </w:tc>
        <w:tc>
          <w:tcPr>
            <w:tcW w:w="1070" w:type="dxa"/>
          </w:tcPr>
          <w:p>
            <w:pPr>
              <w:pStyle w:val="TableParagraph"/>
              <w:spacing w:before="3"/>
              <w:rPr>
                <w:b/>
                <w:sz w:val="13"/>
              </w:rPr>
            </w:pPr>
          </w:p>
          <w:p>
            <w:pPr>
              <w:pStyle w:val="TableParagraph"/>
              <w:ind w:left="28"/>
              <w:rPr>
                <w:sz w:val="18"/>
              </w:rPr>
            </w:pPr>
            <w:r>
              <w:rPr>
                <w:sz w:val="18"/>
              </w:rPr>
              <w:t>140,084</w:t>
            </w:r>
          </w:p>
        </w:tc>
        <w:tc>
          <w:tcPr>
            <w:tcW w:w="1053" w:type="dxa"/>
          </w:tcPr>
          <w:p>
            <w:pPr>
              <w:pStyle w:val="TableParagraph"/>
              <w:spacing w:before="3"/>
              <w:rPr>
                <w:b/>
                <w:sz w:val="13"/>
              </w:rPr>
            </w:pPr>
          </w:p>
          <w:p>
            <w:pPr>
              <w:pStyle w:val="TableParagraph"/>
              <w:ind w:left="30"/>
              <w:rPr>
                <w:sz w:val="18"/>
              </w:rPr>
            </w:pPr>
            <w:r>
              <w:rPr>
                <w:sz w:val="18"/>
              </w:rPr>
              <w:t>$5,778,204</w:t>
            </w:r>
          </w:p>
        </w:tc>
        <w:tc>
          <w:tcPr>
            <w:tcW w:w="1102" w:type="dxa"/>
          </w:tcPr>
          <w:p>
            <w:pPr>
              <w:pStyle w:val="TableParagraph"/>
              <w:spacing w:before="3"/>
              <w:rPr>
                <w:b/>
                <w:sz w:val="13"/>
              </w:rPr>
            </w:pPr>
          </w:p>
          <w:p>
            <w:pPr>
              <w:pStyle w:val="TableParagraph"/>
              <w:ind w:left="29"/>
              <w:rPr>
                <w:sz w:val="18"/>
              </w:rPr>
            </w:pPr>
            <w:r>
              <w:rPr>
                <w:sz w:val="18"/>
              </w:rPr>
              <w:t>7.1</w:t>
            </w:r>
          </w:p>
        </w:tc>
      </w:tr>
      <w:tr>
        <w:trPr>
          <w:trHeight w:val="1650" w:hRule="atLeast"/>
        </w:trPr>
        <w:tc>
          <w:tcPr>
            <w:tcW w:w="686" w:type="dxa"/>
          </w:tcPr>
          <w:p>
            <w:pPr>
              <w:pStyle w:val="TableParagraph"/>
              <w:spacing w:before="159"/>
              <w:ind w:left="26"/>
              <w:rPr>
                <w:sz w:val="18"/>
              </w:rPr>
            </w:pPr>
            <w:r>
              <w:rPr>
                <w:sz w:val="18"/>
              </w:rPr>
              <w:t>39125</w:t>
            </w:r>
          </w:p>
        </w:tc>
        <w:tc>
          <w:tcPr>
            <w:tcW w:w="3535" w:type="dxa"/>
          </w:tcPr>
          <w:p>
            <w:pPr>
              <w:pStyle w:val="TableParagraph"/>
              <w:spacing w:line="312" w:lineRule="auto" w:before="157"/>
              <w:ind w:left="26" w:right="234"/>
              <w:rPr>
                <w:sz w:val="18"/>
              </w:rPr>
            </w:pPr>
            <w:r>
              <w:rPr>
                <w:sz w:val="18"/>
              </w:rPr>
              <w:t>Intrathecal or SPINAL CATHETER insertion or replacement of, and connection to a subcutaneous implanted infusion pump, for the management of chronic intractable pain (Anaes.) (Assist.)</w:t>
            </w:r>
          </w:p>
        </w:tc>
        <w:tc>
          <w:tcPr>
            <w:tcW w:w="950" w:type="dxa"/>
          </w:tcPr>
          <w:p>
            <w:pPr>
              <w:pStyle w:val="TableParagraph"/>
              <w:spacing w:before="159"/>
              <w:ind w:left="29"/>
              <w:rPr>
                <w:sz w:val="18"/>
              </w:rPr>
            </w:pPr>
            <w:r>
              <w:rPr>
                <w:sz w:val="18"/>
              </w:rPr>
              <w:t>$298.05</w:t>
            </w:r>
          </w:p>
        </w:tc>
        <w:tc>
          <w:tcPr>
            <w:tcW w:w="1070" w:type="dxa"/>
          </w:tcPr>
          <w:p>
            <w:pPr>
              <w:pStyle w:val="TableParagraph"/>
              <w:spacing w:before="159"/>
              <w:ind w:left="28"/>
              <w:rPr>
                <w:sz w:val="18"/>
              </w:rPr>
            </w:pPr>
            <w:r>
              <w:rPr>
                <w:sz w:val="18"/>
              </w:rPr>
              <w:t>16</w:t>
            </w:r>
          </w:p>
        </w:tc>
        <w:tc>
          <w:tcPr>
            <w:tcW w:w="1053" w:type="dxa"/>
          </w:tcPr>
          <w:p>
            <w:pPr>
              <w:pStyle w:val="TableParagraph"/>
              <w:spacing w:before="159"/>
              <w:ind w:left="30"/>
              <w:rPr>
                <w:sz w:val="18"/>
              </w:rPr>
            </w:pPr>
            <w:r>
              <w:rPr>
                <w:sz w:val="18"/>
              </w:rPr>
              <w:t>$3,242</w:t>
            </w:r>
          </w:p>
        </w:tc>
        <w:tc>
          <w:tcPr>
            <w:tcW w:w="1102" w:type="dxa"/>
          </w:tcPr>
          <w:p>
            <w:pPr>
              <w:pStyle w:val="TableParagraph"/>
              <w:spacing w:before="159"/>
              <w:ind w:left="29"/>
              <w:rPr>
                <w:sz w:val="18"/>
              </w:rPr>
            </w:pPr>
            <w:r>
              <w:rPr>
                <w:sz w:val="18"/>
              </w:rPr>
              <w:t>-8.5</w:t>
            </w:r>
          </w:p>
        </w:tc>
      </w:tr>
      <w:tr>
        <w:trPr>
          <w:trHeight w:val="2222" w:hRule="atLeast"/>
        </w:trPr>
        <w:tc>
          <w:tcPr>
            <w:tcW w:w="686" w:type="dxa"/>
          </w:tcPr>
          <w:p>
            <w:pPr>
              <w:pStyle w:val="TableParagraph"/>
              <w:spacing w:before="3"/>
              <w:rPr>
                <w:b/>
                <w:sz w:val="13"/>
              </w:rPr>
            </w:pPr>
          </w:p>
          <w:p>
            <w:pPr>
              <w:pStyle w:val="TableParagraph"/>
              <w:ind w:left="26"/>
              <w:rPr>
                <w:sz w:val="18"/>
              </w:rPr>
            </w:pPr>
            <w:r>
              <w:rPr>
                <w:sz w:val="18"/>
              </w:rPr>
              <w:t>39126</w:t>
            </w:r>
          </w:p>
        </w:tc>
        <w:tc>
          <w:tcPr>
            <w:tcW w:w="3535" w:type="dxa"/>
          </w:tcPr>
          <w:p>
            <w:pPr>
              <w:pStyle w:val="TableParagraph"/>
              <w:spacing w:line="312" w:lineRule="auto" w:before="160"/>
              <w:ind w:left="26" w:right="20"/>
              <w:rPr>
                <w:sz w:val="18"/>
              </w:rPr>
            </w:pPr>
            <w:r>
              <w:rPr>
                <w:sz w:val="18"/>
              </w:rPr>
              <w:t>INFUSION PUMP, subcutaneous implantation or replacement of, and connection of the</w:t>
            </w:r>
            <w:r>
              <w:rPr>
                <w:spacing w:val="-15"/>
                <w:sz w:val="18"/>
              </w:rPr>
              <w:t> </w:t>
            </w:r>
            <w:r>
              <w:rPr>
                <w:sz w:val="18"/>
              </w:rPr>
              <w:t>pump to an intrathecal or catheter, and filling of reservoir with a therapeutic agent or agents, with or without programming the pump, for the management of chronic intractable pain (Anaes.)</w:t>
            </w:r>
            <w:r>
              <w:rPr>
                <w:spacing w:val="-1"/>
                <w:sz w:val="18"/>
              </w:rPr>
              <w:t> </w:t>
            </w:r>
            <w:r>
              <w:rPr>
                <w:sz w:val="18"/>
              </w:rPr>
              <w:t>(Assist.)</w:t>
            </w:r>
          </w:p>
        </w:tc>
        <w:tc>
          <w:tcPr>
            <w:tcW w:w="950" w:type="dxa"/>
          </w:tcPr>
          <w:p>
            <w:pPr>
              <w:pStyle w:val="TableParagraph"/>
              <w:spacing w:before="3"/>
              <w:rPr>
                <w:b/>
                <w:sz w:val="13"/>
              </w:rPr>
            </w:pPr>
          </w:p>
          <w:p>
            <w:pPr>
              <w:pStyle w:val="TableParagraph"/>
              <w:ind w:left="29"/>
              <w:rPr>
                <w:sz w:val="18"/>
              </w:rPr>
            </w:pPr>
            <w:r>
              <w:rPr>
                <w:sz w:val="18"/>
              </w:rPr>
              <w:t>$361.90</w:t>
            </w:r>
          </w:p>
        </w:tc>
        <w:tc>
          <w:tcPr>
            <w:tcW w:w="1070" w:type="dxa"/>
          </w:tcPr>
          <w:p>
            <w:pPr>
              <w:pStyle w:val="TableParagraph"/>
              <w:spacing w:before="3"/>
              <w:rPr>
                <w:b/>
                <w:sz w:val="13"/>
              </w:rPr>
            </w:pPr>
          </w:p>
          <w:p>
            <w:pPr>
              <w:pStyle w:val="TableParagraph"/>
              <w:ind w:left="28"/>
              <w:rPr>
                <w:sz w:val="18"/>
              </w:rPr>
            </w:pPr>
            <w:r>
              <w:rPr>
                <w:sz w:val="18"/>
              </w:rPr>
              <w:t>59</w:t>
            </w:r>
          </w:p>
        </w:tc>
        <w:tc>
          <w:tcPr>
            <w:tcW w:w="1053" w:type="dxa"/>
          </w:tcPr>
          <w:p>
            <w:pPr>
              <w:pStyle w:val="TableParagraph"/>
              <w:spacing w:before="3"/>
              <w:rPr>
                <w:b/>
                <w:sz w:val="13"/>
              </w:rPr>
            </w:pPr>
          </w:p>
          <w:p>
            <w:pPr>
              <w:pStyle w:val="TableParagraph"/>
              <w:ind w:left="30"/>
              <w:rPr>
                <w:sz w:val="18"/>
              </w:rPr>
            </w:pPr>
            <w:r>
              <w:rPr>
                <w:sz w:val="18"/>
              </w:rPr>
              <w:t>$15,808</w:t>
            </w:r>
          </w:p>
        </w:tc>
        <w:tc>
          <w:tcPr>
            <w:tcW w:w="1102" w:type="dxa"/>
          </w:tcPr>
          <w:p>
            <w:pPr>
              <w:pStyle w:val="TableParagraph"/>
              <w:spacing w:before="3"/>
              <w:rPr>
                <w:b/>
                <w:sz w:val="13"/>
              </w:rPr>
            </w:pPr>
          </w:p>
          <w:p>
            <w:pPr>
              <w:pStyle w:val="TableParagraph"/>
              <w:ind w:left="29"/>
              <w:rPr>
                <w:sz w:val="18"/>
              </w:rPr>
            </w:pPr>
            <w:r>
              <w:rPr>
                <w:sz w:val="18"/>
              </w:rPr>
              <w:t>-11.2</w:t>
            </w:r>
          </w:p>
        </w:tc>
      </w:tr>
      <w:tr>
        <w:trPr>
          <w:trHeight w:val="1079" w:hRule="atLeast"/>
        </w:trPr>
        <w:tc>
          <w:tcPr>
            <w:tcW w:w="686" w:type="dxa"/>
          </w:tcPr>
          <w:p>
            <w:pPr>
              <w:pStyle w:val="TableParagraph"/>
              <w:spacing w:before="3"/>
              <w:rPr>
                <w:b/>
                <w:sz w:val="13"/>
              </w:rPr>
            </w:pPr>
          </w:p>
          <w:p>
            <w:pPr>
              <w:pStyle w:val="TableParagraph"/>
              <w:ind w:left="26"/>
              <w:rPr>
                <w:sz w:val="18"/>
              </w:rPr>
            </w:pPr>
            <w:r>
              <w:rPr>
                <w:sz w:val="18"/>
              </w:rPr>
              <w:t>39127</w:t>
            </w:r>
          </w:p>
        </w:tc>
        <w:tc>
          <w:tcPr>
            <w:tcW w:w="3535" w:type="dxa"/>
          </w:tcPr>
          <w:p>
            <w:pPr>
              <w:pStyle w:val="TableParagraph"/>
              <w:spacing w:before="159"/>
              <w:ind w:left="26"/>
              <w:rPr>
                <w:sz w:val="18"/>
              </w:rPr>
            </w:pPr>
            <w:r>
              <w:rPr>
                <w:sz w:val="18"/>
              </w:rPr>
              <w:t>SUBCUTANEOUS RESERVOIR AND SPINAL</w:t>
            </w:r>
          </w:p>
          <w:p>
            <w:pPr>
              <w:pStyle w:val="TableParagraph"/>
              <w:spacing w:line="312" w:lineRule="auto" w:before="66"/>
              <w:ind w:left="26" w:right="4"/>
              <w:rPr>
                <w:sz w:val="18"/>
              </w:rPr>
            </w:pPr>
            <w:r>
              <w:rPr>
                <w:sz w:val="18"/>
              </w:rPr>
              <w:t>CATHETER, insertion of, for the management of chronic intractable pain (Anaes.)</w:t>
            </w:r>
          </w:p>
        </w:tc>
        <w:tc>
          <w:tcPr>
            <w:tcW w:w="950" w:type="dxa"/>
          </w:tcPr>
          <w:p>
            <w:pPr>
              <w:pStyle w:val="TableParagraph"/>
              <w:spacing w:before="3"/>
              <w:rPr>
                <w:b/>
                <w:sz w:val="13"/>
              </w:rPr>
            </w:pPr>
          </w:p>
          <w:p>
            <w:pPr>
              <w:pStyle w:val="TableParagraph"/>
              <w:ind w:left="29"/>
              <w:rPr>
                <w:sz w:val="18"/>
              </w:rPr>
            </w:pPr>
            <w:r>
              <w:rPr>
                <w:sz w:val="18"/>
              </w:rPr>
              <w:t>$473.65</w:t>
            </w:r>
          </w:p>
        </w:tc>
        <w:tc>
          <w:tcPr>
            <w:tcW w:w="1070" w:type="dxa"/>
          </w:tcPr>
          <w:p>
            <w:pPr>
              <w:pStyle w:val="TableParagraph"/>
              <w:spacing w:before="3"/>
              <w:rPr>
                <w:b/>
                <w:sz w:val="13"/>
              </w:rPr>
            </w:pPr>
          </w:p>
          <w:p>
            <w:pPr>
              <w:pStyle w:val="TableParagraph"/>
              <w:ind w:left="28"/>
              <w:rPr>
                <w:sz w:val="18"/>
              </w:rPr>
            </w:pPr>
            <w:r>
              <w:rPr>
                <w:sz w:val="18"/>
              </w:rPr>
              <w:t>17</w:t>
            </w:r>
          </w:p>
        </w:tc>
        <w:tc>
          <w:tcPr>
            <w:tcW w:w="1053" w:type="dxa"/>
          </w:tcPr>
          <w:p>
            <w:pPr>
              <w:pStyle w:val="TableParagraph"/>
              <w:spacing w:before="3"/>
              <w:rPr>
                <w:b/>
                <w:sz w:val="13"/>
              </w:rPr>
            </w:pPr>
          </w:p>
          <w:p>
            <w:pPr>
              <w:pStyle w:val="TableParagraph"/>
              <w:ind w:left="30"/>
              <w:rPr>
                <w:sz w:val="18"/>
              </w:rPr>
            </w:pPr>
            <w:r>
              <w:rPr>
                <w:sz w:val="18"/>
              </w:rPr>
              <w:t>$6,032</w:t>
            </w:r>
          </w:p>
        </w:tc>
        <w:tc>
          <w:tcPr>
            <w:tcW w:w="1102" w:type="dxa"/>
          </w:tcPr>
          <w:p>
            <w:pPr>
              <w:pStyle w:val="TableParagraph"/>
              <w:spacing w:before="3"/>
              <w:rPr>
                <w:b/>
                <w:sz w:val="13"/>
              </w:rPr>
            </w:pPr>
          </w:p>
          <w:p>
            <w:pPr>
              <w:pStyle w:val="TableParagraph"/>
              <w:ind w:left="29"/>
              <w:rPr>
                <w:sz w:val="18"/>
              </w:rPr>
            </w:pPr>
            <w:r>
              <w:rPr>
                <w:sz w:val="18"/>
              </w:rPr>
              <w:t>-11.3</w:t>
            </w:r>
          </w:p>
        </w:tc>
      </w:tr>
      <w:tr>
        <w:trPr>
          <w:trHeight w:val="2222" w:hRule="atLeast"/>
        </w:trPr>
        <w:tc>
          <w:tcPr>
            <w:tcW w:w="686" w:type="dxa"/>
          </w:tcPr>
          <w:p>
            <w:pPr>
              <w:pStyle w:val="TableParagraph"/>
              <w:spacing w:before="3"/>
              <w:rPr>
                <w:b/>
                <w:sz w:val="13"/>
              </w:rPr>
            </w:pPr>
          </w:p>
          <w:p>
            <w:pPr>
              <w:pStyle w:val="TableParagraph"/>
              <w:ind w:left="26"/>
              <w:rPr>
                <w:sz w:val="18"/>
              </w:rPr>
            </w:pPr>
            <w:r>
              <w:rPr>
                <w:sz w:val="18"/>
              </w:rPr>
              <w:t>39128</w:t>
            </w:r>
          </w:p>
        </w:tc>
        <w:tc>
          <w:tcPr>
            <w:tcW w:w="3535" w:type="dxa"/>
          </w:tcPr>
          <w:p>
            <w:pPr>
              <w:pStyle w:val="TableParagraph"/>
              <w:spacing w:line="312" w:lineRule="auto" w:before="159"/>
              <w:ind w:left="26" w:right="134"/>
              <w:rPr>
                <w:sz w:val="18"/>
              </w:rPr>
            </w:pPr>
            <w:r>
              <w:rPr>
                <w:sz w:val="18"/>
              </w:rPr>
              <w:t>INFUSION PUMP, subcutaneous implantation of, AND intrathecal or SPINAL CATHETER insertion of, and connection of pump to catheter, and filling of reservoir with a therapeutic agent or agents, with or without programming the pump, for the management of chronic intractable pain (Anaes.) (Assist.)</w:t>
            </w:r>
          </w:p>
        </w:tc>
        <w:tc>
          <w:tcPr>
            <w:tcW w:w="950" w:type="dxa"/>
          </w:tcPr>
          <w:p>
            <w:pPr>
              <w:pStyle w:val="TableParagraph"/>
              <w:spacing w:before="3"/>
              <w:rPr>
                <w:b/>
                <w:sz w:val="13"/>
              </w:rPr>
            </w:pPr>
          </w:p>
          <w:p>
            <w:pPr>
              <w:pStyle w:val="TableParagraph"/>
              <w:ind w:left="29"/>
              <w:rPr>
                <w:sz w:val="18"/>
              </w:rPr>
            </w:pPr>
            <w:r>
              <w:rPr>
                <w:sz w:val="18"/>
              </w:rPr>
              <w:t>$659.95</w:t>
            </w:r>
          </w:p>
        </w:tc>
        <w:tc>
          <w:tcPr>
            <w:tcW w:w="1070" w:type="dxa"/>
          </w:tcPr>
          <w:p>
            <w:pPr>
              <w:pStyle w:val="TableParagraph"/>
              <w:spacing w:before="3"/>
              <w:rPr>
                <w:b/>
                <w:sz w:val="13"/>
              </w:rPr>
            </w:pPr>
          </w:p>
          <w:p>
            <w:pPr>
              <w:pStyle w:val="TableParagraph"/>
              <w:ind w:left="28"/>
              <w:rPr>
                <w:sz w:val="18"/>
              </w:rPr>
            </w:pPr>
            <w:r>
              <w:rPr>
                <w:sz w:val="18"/>
              </w:rPr>
              <w:t>53</w:t>
            </w:r>
          </w:p>
        </w:tc>
        <w:tc>
          <w:tcPr>
            <w:tcW w:w="1053" w:type="dxa"/>
          </w:tcPr>
          <w:p>
            <w:pPr>
              <w:pStyle w:val="TableParagraph"/>
              <w:spacing w:before="3"/>
              <w:rPr>
                <w:b/>
                <w:sz w:val="13"/>
              </w:rPr>
            </w:pPr>
          </w:p>
          <w:p>
            <w:pPr>
              <w:pStyle w:val="TableParagraph"/>
              <w:ind w:left="30"/>
              <w:rPr>
                <w:sz w:val="18"/>
              </w:rPr>
            </w:pPr>
            <w:r>
              <w:rPr>
                <w:sz w:val="18"/>
              </w:rPr>
              <w:t>$25,466</w:t>
            </w:r>
          </w:p>
        </w:tc>
        <w:tc>
          <w:tcPr>
            <w:tcW w:w="1102" w:type="dxa"/>
          </w:tcPr>
          <w:p>
            <w:pPr>
              <w:pStyle w:val="TableParagraph"/>
              <w:spacing w:before="3"/>
              <w:rPr>
                <w:b/>
                <w:sz w:val="13"/>
              </w:rPr>
            </w:pPr>
          </w:p>
          <w:p>
            <w:pPr>
              <w:pStyle w:val="TableParagraph"/>
              <w:ind w:left="29"/>
              <w:rPr>
                <w:sz w:val="18"/>
              </w:rPr>
            </w:pPr>
            <w:r>
              <w:rPr>
                <w:sz w:val="18"/>
              </w:rPr>
              <w:t>-1.8</w:t>
            </w:r>
          </w:p>
        </w:tc>
      </w:tr>
    </w:tbl>
    <w:p>
      <w:pPr>
        <w:spacing w:after="0"/>
        <w:rPr>
          <w:sz w:val="18"/>
        </w:rPr>
        <w:sectPr>
          <w:pgSz w:w="11910" w:h="16840"/>
          <w:pgMar w:header="672" w:footer="734" w:top="1300" w:bottom="1160" w:left="440" w:right="140"/>
        </w:sectPr>
      </w:pPr>
    </w:p>
    <w:p>
      <w:pPr>
        <w:pStyle w:val="BodyText"/>
        <w:rPr>
          <w:b/>
          <w:sz w:val="20"/>
        </w:rPr>
      </w:pPr>
    </w:p>
    <w:p>
      <w:pPr>
        <w:pStyle w:val="BodyText"/>
        <w:spacing w:before="2"/>
        <w:rPr>
          <w:b/>
          <w:sz w:val="29"/>
        </w:rPr>
      </w:pPr>
    </w:p>
    <w:tbl>
      <w:tblPr>
        <w:tblW w:w="0" w:type="auto"/>
        <w:jc w:val="left"/>
        <w:tblInd w:w="127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686"/>
        <w:gridCol w:w="3535"/>
        <w:gridCol w:w="950"/>
        <w:gridCol w:w="1070"/>
        <w:gridCol w:w="1053"/>
        <w:gridCol w:w="1102"/>
      </w:tblGrid>
      <w:tr>
        <w:trPr>
          <w:trHeight w:val="1362" w:hRule="atLeast"/>
        </w:trPr>
        <w:tc>
          <w:tcPr>
            <w:tcW w:w="686" w:type="dxa"/>
            <w:shd w:val="clear" w:color="auto" w:fill="00643E"/>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18"/>
              <w:ind w:left="26"/>
              <w:rPr>
                <w:b/>
                <w:sz w:val="18"/>
              </w:rPr>
            </w:pPr>
            <w:r>
              <w:rPr>
                <w:b/>
                <w:color w:val="FFFFFF"/>
                <w:sz w:val="18"/>
              </w:rPr>
              <w:t>Item</w:t>
            </w:r>
          </w:p>
        </w:tc>
        <w:tc>
          <w:tcPr>
            <w:tcW w:w="3535" w:type="dxa"/>
            <w:shd w:val="clear" w:color="auto" w:fill="00643E"/>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18"/>
              <w:ind w:left="26"/>
              <w:rPr>
                <w:b/>
                <w:sz w:val="18"/>
              </w:rPr>
            </w:pPr>
            <w:r>
              <w:rPr>
                <w:b/>
                <w:color w:val="FFFFFF"/>
                <w:sz w:val="18"/>
              </w:rPr>
              <w:t>Descriptor</w:t>
            </w:r>
          </w:p>
        </w:tc>
        <w:tc>
          <w:tcPr>
            <w:tcW w:w="950" w:type="dxa"/>
            <w:shd w:val="clear" w:color="auto" w:fill="00643E"/>
          </w:tcPr>
          <w:p>
            <w:pPr>
              <w:pStyle w:val="TableParagraph"/>
              <w:rPr>
                <w:b/>
                <w:sz w:val="18"/>
              </w:rPr>
            </w:pPr>
          </w:p>
          <w:p>
            <w:pPr>
              <w:pStyle w:val="TableParagraph"/>
              <w:rPr>
                <w:b/>
                <w:sz w:val="18"/>
              </w:rPr>
            </w:pPr>
          </w:p>
          <w:p>
            <w:pPr>
              <w:pStyle w:val="TableParagraph"/>
              <w:spacing w:before="3"/>
              <w:rPr>
                <w:b/>
                <w:sz w:val="22"/>
              </w:rPr>
            </w:pPr>
          </w:p>
          <w:p>
            <w:pPr>
              <w:pStyle w:val="TableParagraph"/>
              <w:spacing w:line="309" w:lineRule="auto"/>
              <w:ind w:left="29" w:right="215"/>
              <w:rPr>
                <w:b/>
                <w:sz w:val="18"/>
              </w:rPr>
            </w:pPr>
            <w:r>
              <w:rPr>
                <w:b/>
                <w:color w:val="FFFFFF"/>
                <w:sz w:val="18"/>
              </w:rPr>
              <w:t>Schedule fee</w:t>
            </w:r>
          </w:p>
        </w:tc>
        <w:tc>
          <w:tcPr>
            <w:tcW w:w="1070" w:type="dxa"/>
            <w:shd w:val="clear" w:color="auto" w:fill="00643E"/>
          </w:tcPr>
          <w:p>
            <w:pPr>
              <w:pStyle w:val="TableParagraph"/>
              <w:rPr>
                <w:b/>
                <w:sz w:val="18"/>
              </w:rPr>
            </w:pPr>
          </w:p>
          <w:p>
            <w:pPr>
              <w:pStyle w:val="TableParagraph"/>
              <w:rPr>
                <w:b/>
                <w:sz w:val="18"/>
              </w:rPr>
            </w:pPr>
          </w:p>
          <w:p>
            <w:pPr>
              <w:pStyle w:val="TableParagraph"/>
              <w:spacing w:before="3"/>
              <w:rPr>
                <w:b/>
                <w:sz w:val="22"/>
              </w:rPr>
            </w:pPr>
          </w:p>
          <w:p>
            <w:pPr>
              <w:pStyle w:val="TableParagraph"/>
              <w:spacing w:line="309" w:lineRule="auto"/>
              <w:ind w:left="28" w:right="211"/>
              <w:rPr>
                <w:b/>
                <w:sz w:val="18"/>
              </w:rPr>
            </w:pPr>
            <w:r>
              <w:rPr>
                <w:b/>
                <w:color w:val="FFFFFF"/>
                <w:sz w:val="18"/>
              </w:rPr>
              <w:t>Services FY2016/17</w:t>
            </w:r>
          </w:p>
        </w:tc>
        <w:tc>
          <w:tcPr>
            <w:tcW w:w="1053" w:type="dxa"/>
            <w:shd w:val="clear" w:color="auto" w:fill="00643E"/>
          </w:tcPr>
          <w:p>
            <w:pPr>
              <w:pStyle w:val="TableParagraph"/>
              <w:rPr>
                <w:b/>
                <w:sz w:val="18"/>
              </w:rPr>
            </w:pPr>
          </w:p>
          <w:p>
            <w:pPr>
              <w:pStyle w:val="TableParagraph"/>
              <w:rPr>
                <w:b/>
                <w:sz w:val="18"/>
              </w:rPr>
            </w:pPr>
          </w:p>
          <w:p>
            <w:pPr>
              <w:pStyle w:val="TableParagraph"/>
              <w:spacing w:before="3"/>
              <w:rPr>
                <w:b/>
                <w:sz w:val="22"/>
              </w:rPr>
            </w:pPr>
          </w:p>
          <w:p>
            <w:pPr>
              <w:pStyle w:val="TableParagraph"/>
              <w:spacing w:line="309" w:lineRule="auto"/>
              <w:ind w:left="30" w:right="192"/>
              <w:rPr>
                <w:b/>
                <w:sz w:val="18"/>
              </w:rPr>
            </w:pPr>
            <w:r>
              <w:rPr>
                <w:b/>
                <w:color w:val="FFFFFF"/>
                <w:sz w:val="18"/>
              </w:rPr>
              <w:t>Benefits FY2016/17</w:t>
            </w:r>
          </w:p>
        </w:tc>
        <w:tc>
          <w:tcPr>
            <w:tcW w:w="1102" w:type="dxa"/>
            <w:shd w:val="clear" w:color="auto" w:fill="00643E"/>
          </w:tcPr>
          <w:p>
            <w:pPr>
              <w:pStyle w:val="TableParagraph"/>
              <w:spacing w:line="312" w:lineRule="auto" w:before="85"/>
              <w:ind w:left="29" w:right="155"/>
              <w:rPr>
                <w:b/>
                <w:sz w:val="18"/>
              </w:rPr>
            </w:pPr>
            <w:r>
              <w:rPr>
                <w:b/>
                <w:color w:val="FFFFFF"/>
                <w:sz w:val="18"/>
              </w:rPr>
              <w:t>Services 5- year annual avg. growth</w:t>
            </w:r>
          </w:p>
          <w:p>
            <w:pPr>
              <w:pStyle w:val="TableParagraph"/>
              <w:spacing w:before="53"/>
              <w:ind w:left="29"/>
              <w:rPr>
                <w:b/>
                <w:sz w:val="18"/>
              </w:rPr>
            </w:pPr>
            <w:r>
              <w:rPr>
                <w:b/>
                <w:color w:val="FFFFFF"/>
                <w:sz w:val="18"/>
              </w:rPr>
              <w:t>%</w:t>
            </w:r>
          </w:p>
        </w:tc>
      </w:tr>
      <w:tr>
        <w:trPr>
          <w:trHeight w:val="1936" w:hRule="atLeast"/>
        </w:trPr>
        <w:tc>
          <w:tcPr>
            <w:tcW w:w="686" w:type="dxa"/>
          </w:tcPr>
          <w:p>
            <w:pPr>
              <w:pStyle w:val="TableParagraph"/>
              <w:spacing w:before="3"/>
              <w:rPr>
                <w:b/>
                <w:sz w:val="13"/>
              </w:rPr>
            </w:pPr>
          </w:p>
          <w:p>
            <w:pPr>
              <w:pStyle w:val="TableParagraph"/>
              <w:ind w:left="26"/>
              <w:rPr>
                <w:sz w:val="18"/>
              </w:rPr>
            </w:pPr>
            <w:r>
              <w:rPr>
                <w:sz w:val="18"/>
              </w:rPr>
              <w:t>39130</w:t>
            </w:r>
          </w:p>
        </w:tc>
        <w:tc>
          <w:tcPr>
            <w:tcW w:w="3535" w:type="dxa"/>
          </w:tcPr>
          <w:p>
            <w:pPr>
              <w:pStyle w:val="TableParagraph"/>
              <w:spacing w:line="312" w:lineRule="auto" w:before="159"/>
              <w:ind w:left="26" w:right="183"/>
              <w:rPr>
                <w:sz w:val="18"/>
              </w:rPr>
            </w:pPr>
            <w:r>
              <w:rPr>
                <w:sz w:val="18"/>
              </w:rPr>
              <w:t>EPIDURAL LEAD, percutaneous placement of, including intraoperative test stimulation, for the management of chronic intractable neuropathic pain or pain from refractory angina pectoris, to a maximum of 4 leads (Anaes.)</w:t>
            </w:r>
          </w:p>
        </w:tc>
        <w:tc>
          <w:tcPr>
            <w:tcW w:w="950" w:type="dxa"/>
          </w:tcPr>
          <w:p>
            <w:pPr>
              <w:pStyle w:val="TableParagraph"/>
              <w:spacing w:before="3"/>
              <w:rPr>
                <w:b/>
                <w:sz w:val="13"/>
              </w:rPr>
            </w:pPr>
          </w:p>
          <w:p>
            <w:pPr>
              <w:pStyle w:val="TableParagraph"/>
              <w:ind w:left="29"/>
              <w:rPr>
                <w:sz w:val="18"/>
              </w:rPr>
            </w:pPr>
            <w:r>
              <w:rPr>
                <w:sz w:val="18"/>
              </w:rPr>
              <w:t>$674.15</w:t>
            </w:r>
          </w:p>
        </w:tc>
        <w:tc>
          <w:tcPr>
            <w:tcW w:w="1070" w:type="dxa"/>
          </w:tcPr>
          <w:p>
            <w:pPr>
              <w:pStyle w:val="TableParagraph"/>
              <w:spacing w:before="3"/>
              <w:rPr>
                <w:b/>
                <w:sz w:val="13"/>
              </w:rPr>
            </w:pPr>
          </w:p>
          <w:p>
            <w:pPr>
              <w:pStyle w:val="TableParagraph"/>
              <w:ind w:left="28"/>
              <w:rPr>
                <w:sz w:val="18"/>
              </w:rPr>
            </w:pPr>
            <w:r>
              <w:rPr>
                <w:sz w:val="18"/>
              </w:rPr>
              <w:t>3,337</w:t>
            </w:r>
          </w:p>
        </w:tc>
        <w:tc>
          <w:tcPr>
            <w:tcW w:w="1053" w:type="dxa"/>
          </w:tcPr>
          <w:p>
            <w:pPr>
              <w:pStyle w:val="TableParagraph"/>
              <w:spacing w:before="3"/>
              <w:rPr>
                <w:b/>
                <w:sz w:val="13"/>
              </w:rPr>
            </w:pPr>
          </w:p>
          <w:p>
            <w:pPr>
              <w:pStyle w:val="TableParagraph"/>
              <w:ind w:left="30"/>
              <w:rPr>
                <w:sz w:val="18"/>
              </w:rPr>
            </w:pPr>
            <w:r>
              <w:rPr>
                <w:sz w:val="18"/>
              </w:rPr>
              <w:t>$1,226,087</w:t>
            </w:r>
          </w:p>
        </w:tc>
        <w:tc>
          <w:tcPr>
            <w:tcW w:w="1102" w:type="dxa"/>
          </w:tcPr>
          <w:p>
            <w:pPr>
              <w:pStyle w:val="TableParagraph"/>
              <w:spacing w:before="3"/>
              <w:rPr>
                <w:b/>
                <w:sz w:val="13"/>
              </w:rPr>
            </w:pPr>
          </w:p>
          <w:p>
            <w:pPr>
              <w:pStyle w:val="TableParagraph"/>
              <w:ind w:left="29"/>
              <w:rPr>
                <w:sz w:val="18"/>
              </w:rPr>
            </w:pPr>
            <w:r>
              <w:rPr>
                <w:sz w:val="18"/>
              </w:rPr>
              <w:t>28.0</w:t>
            </w:r>
          </w:p>
        </w:tc>
      </w:tr>
      <w:tr>
        <w:trPr>
          <w:trHeight w:val="1937" w:hRule="atLeast"/>
        </w:trPr>
        <w:tc>
          <w:tcPr>
            <w:tcW w:w="686" w:type="dxa"/>
          </w:tcPr>
          <w:p>
            <w:pPr>
              <w:pStyle w:val="TableParagraph"/>
              <w:spacing w:before="3"/>
              <w:rPr>
                <w:b/>
                <w:sz w:val="13"/>
              </w:rPr>
            </w:pPr>
          </w:p>
          <w:p>
            <w:pPr>
              <w:pStyle w:val="TableParagraph"/>
              <w:ind w:left="26"/>
              <w:rPr>
                <w:sz w:val="18"/>
              </w:rPr>
            </w:pPr>
            <w:r>
              <w:rPr>
                <w:sz w:val="18"/>
              </w:rPr>
              <w:t>39131</w:t>
            </w:r>
          </w:p>
        </w:tc>
        <w:tc>
          <w:tcPr>
            <w:tcW w:w="3535" w:type="dxa"/>
          </w:tcPr>
          <w:p>
            <w:pPr>
              <w:pStyle w:val="TableParagraph"/>
              <w:spacing w:line="312" w:lineRule="auto" w:before="159"/>
              <w:ind w:left="26" w:right="137"/>
              <w:rPr>
                <w:sz w:val="18"/>
              </w:rPr>
            </w:pPr>
            <w:r>
              <w:rPr>
                <w:sz w:val="18"/>
              </w:rPr>
              <w:t>ELECTRODES, epidural or peripheral nerve, management of patient and adjustment or reprogramming of neurostimulator by a medical practitioner, for the management of chronic intractable neuropathic pain or pain from refractory angina pectoris - each day</w:t>
            </w:r>
          </w:p>
        </w:tc>
        <w:tc>
          <w:tcPr>
            <w:tcW w:w="950" w:type="dxa"/>
          </w:tcPr>
          <w:p>
            <w:pPr>
              <w:pStyle w:val="TableParagraph"/>
              <w:spacing w:before="3"/>
              <w:rPr>
                <w:b/>
                <w:sz w:val="13"/>
              </w:rPr>
            </w:pPr>
          </w:p>
          <w:p>
            <w:pPr>
              <w:pStyle w:val="TableParagraph"/>
              <w:ind w:left="29"/>
              <w:rPr>
                <w:sz w:val="18"/>
              </w:rPr>
            </w:pPr>
            <w:r>
              <w:rPr>
                <w:sz w:val="18"/>
              </w:rPr>
              <w:t>$127.80</w:t>
            </w:r>
          </w:p>
        </w:tc>
        <w:tc>
          <w:tcPr>
            <w:tcW w:w="1070" w:type="dxa"/>
          </w:tcPr>
          <w:p>
            <w:pPr>
              <w:pStyle w:val="TableParagraph"/>
              <w:spacing w:before="3"/>
              <w:rPr>
                <w:b/>
                <w:sz w:val="13"/>
              </w:rPr>
            </w:pPr>
          </w:p>
          <w:p>
            <w:pPr>
              <w:pStyle w:val="TableParagraph"/>
              <w:ind w:left="28"/>
              <w:rPr>
                <w:sz w:val="18"/>
              </w:rPr>
            </w:pPr>
            <w:r>
              <w:rPr>
                <w:sz w:val="18"/>
              </w:rPr>
              <w:t>5,401</w:t>
            </w:r>
          </w:p>
        </w:tc>
        <w:tc>
          <w:tcPr>
            <w:tcW w:w="1053" w:type="dxa"/>
          </w:tcPr>
          <w:p>
            <w:pPr>
              <w:pStyle w:val="TableParagraph"/>
              <w:spacing w:before="3"/>
              <w:rPr>
                <w:b/>
                <w:sz w:val="13"/>
              </w:rPr>
            </w:pPr>
          </w:p>
          <w:p>
            <w:pPr>
              <w:pStyle w:val="TableParagraph"/>
              <w:ind w:left="30"/>
              <w:rPr>
                <w:sz w:val="18"/>
              </w:rPr>
            </w:pPr>
            <w:r>
              <w:rPr>
                <w:sz w:val="18"/>
              </w:rPr>
              <w:t>$566,384</w:t>
            </w:r>
          </w:p>
        </w:tc>
        <w:tc>
          <w:tcPr>
            <w:tcW w:w="1102" w:type="dxa"/>
          </w:tcPr>
          <w:p>
            <w:pPr>
              <w:pStyle w:val="TableParagraph"/>
              <w:spacing w:before="3"/>
              <w:rPr>
                <w:b/>
                <w:sz w:val="13"/>
              </w:rPr>
            </w:pPr>
          </w:p>
          <w:p>
            <w:pPr>
              <w:pStyle w:val="TableParagraph"/>
              <w:ind w:left="29"/>
              <w:rPr>
                <w:sz w:val="18"/>
              </w:rPr>
            </w:pPr>
            <w:r>
              <w:rPr>
                <w:sz w:val="18"/>
              </w:rPr>
              <w:t>21.1</w:t>
            </w:r>
          </w:p>
        </w:tc>
      </w:tr>
      <w:tr>
        <w:trPr>
          <w:trHeight w:val="1653" w:hRule="atLeast"/>
        </w:trPr>
        <w:tc>
          <w:tcPr>
            <w:tcW w:w="686" w:type="dxa"/>
          </w:tcPr>
          <w:p>
            <w:pPr>
              <w:pStyle w:val="TableParagraph"/>
              <w:spacing w:before="3"/>
              <w:rPr>
                <w:b/>
                <w:sz w:val="13"/>
              </w:rPr>
            </w:pPr>
          </w:p>
          <w:p>
            <w:pPr>
              <w:pStyle w:val="TableParagraph"/>
              <w:ind w:left="26"/>
              <w:rPr>
                <w:sz w:val="18"/>
              </w:rPr>
            </w:pPr>
            <w:r>
              <w:rPr>
                <w:sz w:val="18"/>
              </w:rPr>
              <w:t>39133</w:t>
            </w:r>
          </w:p>
        </w:tc>
        <w:tc>
          <w:tcPr>
            <w:tcW w:w="3535" w:type="dxa"/>
          </w:tcPr>
          <w:p>
            <w:pPr>
              <w:pStyle w:val="TableParagraph"/>
              <w:spacing w:line="312" w:lineRule="auto" w:before="159"/>
              <w:ind w:left="26" w:right="157"/>
              <w:rPr>
                <w:sz w:val="18"/>
              </w:rPr>
            </w:pPr>
            <w:r>
              <w:rPr>
                <w:sz w:val="18"/>
              </w:rPr>
              <w:t>Removal of subcutaneously IMPLANTED INFUSION PUMP OR removal or repositioning of intrathecal or SPINAL CATHETER, for the management of chronic intractable pain (Anaes.)</w:t>
            </w:r>
          </w:p>
        </w:tc>
        <w:tc>
          <w:tcPr>
            <w:tcW w:w="950" w:type="dxa"/>
          </w:tcPr>
          <w:p>
            <w:pPr>
              <w:pStyle w:val="TableParagraph"/>
              <w:spacing w:before="3"/>
              <w:rPr>
                <w:b/>
                <w:sz w:val="13"/>
              </w:rPr>
            </w:pPr>
          </w:p>
          <w:p>
            <w:pPr>
              <w:pStyle w:val="TableParagraph"/>
              <w:ind w:left="29"/>
              <w:rPr>
                <w:sz w:val="18"/>
              </w:rPr>
            </w:pPr>
            <w:r>
              <w:rPr>
                <w:sz w:val="18"/>
              </w:rPr>
              <w:t>$159.40</w:t>
            </w:r>
          </w:p>
        </w:tc>
        <w:tc>
          <w:tcPr>
            <w:tcW w:w="1070" w:type="dxa"/>
          </w:tcPr>
          <w:p>
            <w:pPr>
              <w:pStyle w:val="TableParagraph"/>
              <w:spacing w:before="3"/>
              <w:rPr>
                <w:b/>
                <w:sz w:val="13"/>
              </w:rPr>
            </w:pPr>
          </w:p>
          <w:p>
            <w:pPr>
              <w:pStyle w:val="TableParagraph"/>
              <w:ind w:left="28"/>
              <w:rPr>
                <w:sz w:val="18"/>
              </w:rPr>
            </w:pPr>
            <w:r>
              <w:rPr>
                <w:sz w:val="18"/>
              </w:rPr>
              <w:t>39</w:t>
            </w:r>
          </w:p>
        </w:tc>
        <w:tc>
          <w:tcPr>
            <w:tcW w:w="1053" w:type="dxa"/>
          </w:tcPr>
          <w:p>
            <w:pPr>
              <w:pStyle w:val="TableParagraph"/>
              <w:spacing w:before="3"/>
              <w:rPr>
                <w:b/>
                <w:sz w:val="13"/>
              </w:rPr>
            </w:pPr>
          </w:p>
          <w:p>
            <w:pPr>
              <w:pStyle w:val="TableParagraph"/>
              <w:ind w:left="30"/>
              <w:rPr>
                <w:sz w:val="18"/>
              </w:rPr>
            </w:pPr>
            <w:r>
              <w:rPr>
                <w:sz w:val="18"/>
              </w:rPr>
              <w:t>$3,752</w:t>
            </w:r>
          </w:p>
        </w:tc>
        <w:tc>
          <w:tcPr>
            <w:tcW w:w="1102" w:type="dxa"/>
          </w:tcPr>
          <w:p>
            <w:pPr>
              <w:pStyle w:val="TableParagraph"/>
              <w:spacing w:before="3"/>
              <w:rPr>
                <w:b/>
                <w:sz w:val="13"/>
              </w:rPr>
            </w:pPr>
          </w:p>
          <w:p>
            <w:pPr>
              <w:pStyle w:val="TableParagraph"/>
              <w:ind w:left="29"/>
              <w:rPr>
                <w:sz w:val="18"/>
              </w:rPr>
            </w:pPr>
            <w:r>
              <w:rPr>
                <w:sz w:val="18"/>
              </w:rPr>
              <w:t>-4.8</w:t>
            </w:r>
          </w:p>
        </w:tc>
      </w:tr>
      <w:tr>
        <w:trPr>
          <w:trHeight w:val="2222" w:hRule="atLeast"/>
        </w:trPr>
        <w:tc>
          <w:tcPr>
            <w:tcW w:w="686" w:type="dxa"/>
          </w:tcPr>
          <w:p>
            <w:pPr>
              <w:pStyle w:val="TableParagraph"/>
              <w:spacing w:before="159"/>
              <w:ind w:left="26"/>
              <w:rPr>
                <w:sz w:val="18"/>
              </w:rPr>
            </w:pPr>
            <w:r>
              <w:rPr>
                <w:sz w:val="18"/>
              </w:rPr>
              <w:t>39134</w:t>
            </w:r>
          </w:p>
        </w:tc>
        <w:tc>
          <w:tcPr>
            <w:tcW w:w="3535" w:type="dxa"/>
          </w:tcPr>
          <w:p>
            <w:pPr>
              <w:pStyle w:val="TableParagraph"/>
              <w:spacing w:before="157"/>
              <w:ind w:left="26"/>
              <w:rPr>
                <w:sz w:val="18"/>
              </w:rPr>
            </w:pPr>
            <w:r>
              <w:rPr>
                <w:sz w:val="18"/>
              </w:rPr>
              <w:t>NEUROSTIMULATOR or RECEIVER,</w:t>
            </w:r>
          </w:p>
          <w:p>
            <w:pPr>
              <w:pStyle w:val="TableParagraph"/>
              <w:spacing w:line="312" w:lineRule="auto" w:before="69"/>
              <w:ind w:left="26" w:right="115"/>
              <w:rPr>
                <w:sz w:val="18"/>
              </w:rPr>
            </w:pPr>
            <w:r>
              <w:rPr>
                <w:sz w:val="18"/>
              </w:rPr>
              <w:t>subcutaneous placement of, including placement and connection of extension wires to epidural or peripheral nerve electrodes, for the management of chronic intractable neuropathic pain or pain from refractory angina pectoris (Anaes.) (Assist.)</w:t>
            </w:r>
          </w:p>
        </w:tc>
        <w:tc>
          <w:tcPr>
            <w:tcW w:w="950" w:type="dxa"/>
          </w:tcPr>
          <w:p>
            <w:pPr>
              <w:pStyle w:val="TableParagraph"/>
              <w:spacing w:before="159"/>
              <w:ind w:left="29"/>
              <w:rPr>
                <w:sz w:val="18"/>
              </w:rPr>
            </w:pPr>
            <w:r>
              <w:rPr>
                <w:sz w:val="18"/>
              </w:rPr>
              <w:t>$340.60</w:t>
            </w:r>
          </w:p>
        </w:tc>
        <w:tc>
          <w:tcPr>
            <w:tcW w:w="1070" w:type="dxa"/>
          </w:tcPr>
          <w:p>
            <w:pPr>
              <w:pStyle w:val="TableParagraph"/>
              <w:spacing w:before="159"/>
              <w:ind w:left="28"/>
              <w:rPr>
                <w:sz w:val="18"/>
              </w:rPr>
            </w:pPr>
            <w:r>
              <w:rPr>
                <w:sz w:val="18"/>
              </w:rPr>
              <w:t>1,332</w:t>
            </w:r>
          </w:p>
        </w:tc>
        <w:tc>
          <w:tcPr>
            <w:tcW w:w="1053" w:type="dxa"/>
          </w:tcPr>
          <w:p>
            <w:pPr>
              <w:pStyle w:val="TableParagraph"/>
              <w:spacing w:before="159"/>
              <w:ind w:left="30"/>
              <w:rPr>
                <w:sz w:val="18"/>
              </w:rPr>
            </w:pPr>
            <w:r>
              <w:rPr>
                <w:sz w:val="18"/>
              </w:rPr>
              <w:t>$188,120</w:t>
            </w:r>
          </w:p>
        </w:tc>
        <w:tc>
          <w:tcPr>
            <w:tcW w:w="1102" w:type="dxa"/>
          </w:tcPr>
          <w:p>
            <w:pPr>
              <w:pStyle w:val="TableParagraph"/>
              <w:spacing w:before="159"/>
              <w:ind w:left="29"/>
              <w:rPr>
                <w:sz w:val="18"/>
              </w:rPr>
            </w:pPr>
            <w:r>
              <w:rPr>
                <w:sz w:val="18"/>
              </w:rPr>
              <w:t>15.0</w:t>
            </w:r>
          </w:p>
        </w:tc>
      </w:tr>
      <w:tr>
        <w:trPr>
          <w:trHeight w:val="1936" w:hRule="atLeast"/>
        </w:trPr>
        <w:tc>
          <w:tcPr>
            <w:tcW w:w="686" w:type="dxa"/>
          </w:tcPr>
          <w:p>
            <w:pPr>
              <w:pStyle w:val="TableParagraph"/>
              <w:spacing w:before="3"/>
              <w:rPr>
                <w:b/>
                <w:sz w:val="13"/>
              </w:rPr>
            </w:pPr>
          </w:p>
          <w:p>
            <w:pPr>
              <w:pStyle w:val="TableParagraph"/>
              <w:ind w:left="26"/>
              <w:rPr>
                <w:sz w:val="18"/>
              </w:rPr>
            </w:pPr>
            <w:r>
              <w:rPr>
                <w:sz w:val="18"/>
              </w:rPr>
              <w:t>39135</w:t>
            </w:r>
          </w:p>
        </w:tc>
        <w:tc>
          <w:tcPr>
            <w:tcW w:w="3535" w:type="dxa"/>
          </w:tcPr>
          <w:p>
            <w:pPr>
              <w:pStyle w:val="TableParagraph"/>
              <w:spacing w:before="159"/>
              <w:ind w:left="26"/>
              <w:rPr>
                <w:sz w:val="18"/>
              </w:rPr>
            </w:pPr>
            <w:r>
              <w:rPr>
                <w:sz w:val="18"/>
              </w:rPr>
              <w:t>NEUROSTIMULATOR or RECEIVER, that was</w:t>
            </w:r>
          </w:p>
          <w:p>
            <w:pPr>
              <w:pStyle w:val="TableParagraph"/>
              <w:spacing w:line="312" w:lineRule="auto" w:before="66"/>
              <w:ind w:left="26" w:right="445"/>
              <w:rPr>
                <w:sz w:val="18"/>
              </w:rPr>
            </w:pPr>
            <w:r>
              <w:rPr>
                <w:sz w:val="18"/>
              </w:rPr>
              <w:t>inserted for the management of chronic intractable neuropathic pain or pain from refractory angina pectoris, removal of, performed in the operating theatre of a hospital (Anaes.)</w:t>
            </w:r>
          </w:p>
        </w:tc>
        <w:tc>
          <w:tcPr>
            <w:tcW w:w="950" w:type="dxa"/>
          </w:tcPr>
          <w:p>
            <w:pPr>
              <w:pStyle w:val="TableParagraph"/>
              <w:spacing w:before="3"/>
              <w:rPr>
                <w:b/>
                <w:sz w:val="13"/>
              </w:rPr>
            </w:pPr>
          </w:p>
          <w:p>
            <w:pPr>
              <w:pStyle w:val="TableParagraph"/>
              <w:ind w:left="29"/>
              <w:rPr>
                <w:sz w:val="18"/>
              </w:rPr>
            </w:pPr>
            <w:r>
              <w:rPr>
                <w:sz w:val="18"/>
              </w:rPr>
              <w:t>$159.40</w:t>
            </w:r>
          </w:p>
        </w:tc>
        <w:tc>
          <w:tcPr>
            <w:tcW w:w="1070" w:type="dxa"/>
          </w:tcPr>
          <w:p>
            <w:pPr>
              <w:pStyle w:val="TableParagraph"/>
              <w:spacing w:before="3"/>
              <w:rPr>
                <w:b/>
                <w:sz w:val="13"/>
              </w:rPr>
            </w:pPr>
          </w:p>
          <w:p>
            <w:pPr>
              <w:pStyle w:val="TableParagraph"/>
              <w:ind w:left="28"/>
              <w:rPr>
                <w:sz w:val="18"/>
              </w:rPr>
            </w:pPr>
            <w:r>
              <w:rPr>
                <w:sz w:val="18"/>
              </w:rPr>
              <w:t>414</w:t>
            </w:r>
          </w:p>
        </w:tc>
        <w:tc>
          <w:tcPr>
            <w:tcW w:w="1053" w:type="dxa"/>
          </w:tcPr>
          <w:p>
            <w:pPr>
              <w:pStyle w:val="TableParagraph"/>
              <w:spacing w:before="3"/>
              <w:rPr>
                <w:b/>
                <w:sz w:val="13"/>
              </w:rPr>
            </w:pPr>
          </w:p>
          <w:p>
            <w:pPr>
              <w:pStyle w:val="TableParagraph"/>
              <w:ind w:left="30"/>
              <w:rPr>
                <w:sz w:val="18"/>
              </w:rPr>
            </w:pPr>
            <w:r>
              <w:rPr>
                <w:sz w:val="18"/>
              </w:rPr>
              <w:t>$34,191</w:t>
            </w:r>
          </w:p>
        </w:tc>
        <w:tc>
          <w:tcPr>
            <w:tcW w:w="1102" w:type="dxa"/>
          </w:tcPr>
          <w:p>
            <w:pPr>
              <w:pStyle w:val="TableParagraph"/>
              <w:spacing w:before="3"/>
              <w:rPr>
                <w:b/>
                <w:sz w:val="13"/>
              </w:rPr>
            </w:pPr>
          </w:p>
          <w:p>
            <w:pPr>
              <w:pStyle w:val="TableParagraph"/>
              <w:ind w:left="29"/>
              <w:rPr>
                <w:sz w:val="18"/>
              </w:rPr>
            </w:pPr>
            <w:r>
              <w:rPr>
                <w:sz w:val="18"/>
              </w:rPr>
              <w:t>17.5</w:t>
            </w:r>
          </w:p>
        </w:tc>
      </w:tr>
      <w:tr>
        <w:trPr>
          <w:trHeight w:val="1936" w:hRule="atLeast"/>
        </w:trPr>
        <w:tc>
          <w:tcPr>
            <w:tcW w:w="686" w:type="dxa"/>
          </w:tcPr>
          <w:p>
            <w:pPr>
              <w:pStyle w:val="TableParagraph"/>
              <w:spacing w:before="3"/>
              <w:rPr>
                <w:b/>
                <w:sz w:val="13"/>
              </w:rPr>
            </w:pPr>
          </w:p>
          <w:p>
            <w:pPr>
              <w:pStyle w:val="TableParagraph"/>
              <w:spacing w:before="1"/>
              <w:ind w:left="26"/>
              <w:rPr>
                <w:sz w:val="18"/>
              </w:rPr>
            </w:pPr>
            <w:r>
              <w:rPr>
                <w:sz w:val="18"/>
              </w:rPr>
              <w:t>39136</w:t>
            </w:r>
          </w:p>
        </w:tc>
        <w:tc>
          <w:tcPr>
            <w:tcW w:w="3535" w:type="dxa"/>
          </w:tcPr>
          <w:p>
            <w:pPr>
              <w:pStyle w:val="TableParagraph"/>
              <w:spacing w:line="312" w:lineRule="auto" w:before="160"/>
              <w:ind w:left="26" w:right="287"/>
              <w:rPr>
                <w:sz w:val="18"/>
              </w:rPr>
            </w:pPr>
            <w:r>
              <w:rPr>
                <w:sz w:val="18"/>
              </w:rPr>
              <w:t>LEAD, epidural or peripheral nerve that was inserted for the management of chronic intractable neuropathic pain or pain from refractory angina pectoris, removal of, performed in the operating theatre of a hospital (Anaes.)</w:t>
            </w:r>
          </w:p>
        </w:tc>
        <w:tc>
          <w:tcPr>
            <w:tcW w:w="950" w:type="dxa"/>
          </w:tcPr>
          <w:p>
            <w:pPr>
              <w:pStyle w:val="TableParagraph"/>
              <w:spacing w:before="3"/>
              <w:rPr>
                <w:b/>
                <w:sz w:val="13"/>
              </w:rPr>
            </w:pPr>
          </w:p>
          <w:p>
            <w:pPr>
              <w:pStyle w:val="TableParagraph"/>
              <w:spacing w:before="1"/>
              <w:ind w:left="29"/>
              <w:rPr>
                <w:sz w:val="18"/>
              </w:rPr>
            </w:pPr>
            <w:r>
              <w:rPr>
                <w:sz w:val="18"/>
              </w:rPr>
              <w:t>$159.40</w:t>
            </w:r>
          </w:p>
        </w:tc>
        <w:tc>
          <w:tcPr>
            <w:tcW w:w="1070" w:type="dxa"/>
          </w:tcPr>
          <w:p>
            <w:pPr>
              <w:pStyle w:val="TableParagraph"/>
              <w:spacing w:before="3"/>
              <w:rPr>
                <w:b/>
                <w:sz w:val="13"/>
              </w:rPr>
            </w:pPr>
          </w:p>
          <w:p>
            <w:pPr>
              <w:pStyle w:val="TableParagraph"/>
              <w:spacing w:before="1"/>
              <w:ind w:left="28"/>
              <w:rPr>
                <w:sz w:val="18"/>
              </w:rPr>
            </w:pPr>
            <w:r>
              <w:rPr>
                <w:sz w:val="18"/>
              </w:rPr>
              <w:t>1,314</w:t>
            </w:r>
          </w:p>
        </w:tc>
        <w:tc>
          <w:tcPr>
            <w:tcW w:w="1053" w:type="dxa"/>
          </w:tcPr>
          <w:p>
            <w:pPr>
              <w:pStyle w:val="TableParagraph"/>
              <w:spacing w:before="3"/>
              <w:rPr>
                <w:b/>
                <w:sz w:val="13"/>
              </w:rPr>
            </w:pPr>
          </w:p>
          <w:p>
            <w:pPr>
              <w:pStyle w:val="TableParagraph"/>
              <w:spacing w:before="1"/>
              <w:ind w:left="30"/>
              <w:rPr>
                <w:sz w:val="18"/>
              </w:rPr>
            </w:pPr>
            <w:r>
              <w:rPr>
                <w:sz w:val="18"/>
              </w:rPr>
              <w:t>$89,274</w:t>
            </w:r>
          </w:p>
        </w:tc>
        <w:tc>
          <w:tcPr>
            <w:tcW w:w="1102" w:type="dxa"/>
          </w:tcPr>
          <w:p>
            <w:pPr>
              <w:pStyle w:val="TableParagraph"/>
              <w:spacing w:before="3"/>
              <w:rPr>
                <w:b/>
                <w:sz w:val="13"/>
              </w:rPr>
            </w:pPr>
          </w:p>
          <w:p>
            <w:pPr>
              <w:pStyle w:val="TableParagraph"/>
              <w:spacing w:before="1"/>
              <w:ind w:left="29"/>
              <w:rPr>
                <w:sz w:val="18"/>
              </w:rPr>
            </w:pPr>
            <w:r>
              <w:rPr>
                <w:sz w:val="18"/>
              </w:rPr>
              <w:t>10.4</w:t>
            </w:r>
          </w:p>
        </w:tc>
      </w:tr>
    </w:tbl>
    <w:p>
      <w:pPr>
        <w:spacing w:after="0"/>
        <w:rPr>
          <w:sz w:val="18"/>
        </w:rPr>
        <w:sectPr>
          <w:pgSz w:w="11910" w:h="16840"/>
          <w:pgMar w:header="672" w:footer="734" w:top="1300" w:bottom="920" w:left="440" w:right="140"/>
        </w:sectPr>
      </w:pPr>
    </w:p>
    <w:p>
      <w:pPr>
        <w:pStyle w:val="BodyText"/>
        <w:rPr>
          <w:b/>
          <w:sz w:val="20"/>
        </w:rPr>
      </w:pPr>
    </w:p>
    <w:p>
      <w:pPr>
        <w:pStyle w:val="BodyText"/>
        <w:spacing w:before="2"/>
        <w:rPr>
          <w:b/>
          <w:sz w:val="29"/>
        </w:rPr>
      </w:pPr>
    </w:p>
    <w:tbl>
      <w:tblPr>
        <w:tblW w:w="0" w:type="auto"/>
        <w:jc w:val="left"/>
        <w:tblInd w:w="127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686"/>
        <w:gridCol w:w="3535"/>
        <w:gridCol w:w="950"/>
        <w:gridCol w:w="1070"/>
        <w:gridCol w:w="1053"/>
        <w:gridCol w:w="1102"/>
      </w:tblGrid>
      <w:tr>
        <w:trPr>
          <w:trHeight w:val="1362" w:hRule="atLeast"/>
        </w:trPr>
        <w:tc>
          <w:tcPr>
            <w:tcW w:w="686" w:type="dxa"/>
            <w:shd w:val="clear" w:color="auto" w:fill="00643E"/>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18"/>
              <w:ind w:left="26"/>
              <w:rPr>
                <w:b/>
                <w:sz w:val="18"/>
              </w:rPr>
            </w:pPr>
            <w:r>
              <w:rPr>
                <w:b/>
                <w:color w:val="FFFFFF"/>
                <w:sz w:val="18"/>
              </w:rPr>
              <w:t>Item</w:t>
            </w:r>
          </w:p>
        </w:tc>
        <w:tc>
          <w:tcPr>
            <w:tcW w:w="3535" w:type="dxa"/>
            <w:shd w:val="clear" w:color="auto" w:fill="00643E"/>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18"/>
              <w:ind w:left="26"/>
              <w:rPr>
                <w:b/>
                <w:sz w:val="18"/>
              </w:rPr>
            </w:pPr>
            <w:r>
              <w:rPr>
                <w:b/>
                <w:color w:val="FFFFFF"/>
                <w:sz w:val="18"/>
              </w:rPr>
              <w:t>Descriptor</w:t>
            </w:r>
          </w:p>
        </w:tc>
        <w:tc>
          <w:tcPr>
            <w:tcW w:w="950" w:type="dxa"/>
            <w:shd w:val="clear" w:color="auto" w:fill="00643E"/>
          </w:tcPr>
          <w:p>
            <w:pPr>
              <w:pStyle w:val="TableParagraph"/>
              <w:rPr>
                <w:b/>
                <w:sz w:val="18"/>
              </w:rPr>
            </w:pPr>
          </w:p>
          <w:p>
            <w:pPr>
              <w:pStyle w:val="TableParagraph"/>
              <w:rPr>
                <w:b/>
                <w:sz w:val="18"/>
              </w:rPr>
            </w:pPr>
          </w:p>
          <w:p>
            <w:pPr>
              <w:pStyle w:val="TableParagraph"/>
              <w:spacing w:before="3"/>
              <w:rPr>
                <w:b/>
                <w:sz w:val="22"/>
              </w:rPr>
            </w:pPr>
          </w:p>
          <w:p>
            <w:pPr>
              <w:pStyle w:val="TableParagraph"/>
              <w:spacing w:line="309" w:lineRule="auto"/>
              <w:ind w:left="29" w:right="215"/>
              <w:rPr>
                <w:b/>
                <w:sz w:val="18"/>
              </w:rPr>
            </w:pPr>
            <w:r>
              <w:rPr>
                <w:b/>
                <w:color w:val="FFFFFF"/>
                <w:sz w:val="18"/>
              </w:rPr>
              <w:t>Schedule fee</w:t>
            </w:r>
          </w:p>
        </w:tc>
        <w:tc>
          <w:tcPr>
            <w:tcW w:w="1070" w:type="dxa"/>
            <w:shd w:val="clear" w:color="auto" w:fill="00643E"/>
          </w:tcPr>
          <w:p>
            <w:pPr>
              <w:pStyle w:val="TableParagraph"/>
              <w:rPr>
                <w:b/>
                <w:sz w:val="18"/>
              </w:rPr>
            </w:pPr>
          </w:p>
          <w:p>
            <w:pPr>
              <w:pStyle w:val="TableParagraph"/>
              <w:rPr>
                <w:b/>
                <w:sz w:val="18"/>
              </w:rPr>
            </w:pPr>
          </w:p>
          <w:p>
            <w:pPr>
              <w:pStyle w:val="TableParagraph"/>
              <w:spacing w:before="3"/>
              <w:rPr>
                <w:b/>
                <w:sz w:val="22"/>
              </w:rPr>
            </w:pPr>
          </w:p>
          <w:p>
            <w:pPr>
              <w:pStyle w:val="TableParagraph"/>
              <w:spacing w:line="309" w:lineRule="auto"/>
              <w:ind w:left="28" w:right="211"/>
              <w:rPr>
                <w:b/>
                <w:sz w:val="18"/>
              </w:rPr>
            </w:pPr>
            <w:r>
              <w:rPr>
                <w:b/>
                <w:color w:val="FFFFFF"/>
                <w:sz w:val="18"/>
              </w:rPr>
              <w:t>Services FY2016/17</w:t>
            </w:r>
          </w:p>
        </w:tc>
        <w:tc>
          <w:tcPr>
            <w:tcW w:w="1053" w:type="dxa"/>
            <w:shd w:val="clear" w:color="auto" w:fill="00643E"/>
          </w:tcPr>
          <w:p>
            <w:pPr>
              <w:pStyle w:val="TableParagraph"/>
              <w:rPr>
                <w:b/>
                <w:sz w:val="18"/>
              </w:rPr>
            </w:pPr>
          </w:p>
          <w:p>
            <w:pPr>
              <w:pStyle w:val="TableParagraph"/>
              <w:rPr>
                <w:b/>
                <w:sz w:val="18"/>
              </w:rPr>
            </w:pPr>
          </w:p>
          <w:p>
            <w:pPr>
              <w:pStyle w:val="TableParagraph"/>
              <w:spacing w:before="3"/>
              <w:rPr>
                <w:b/>
                <w:sz w:val="22"/>
              </w:rPr>
            </w:pPr>
          </w:p>
          <w:p>
            <w:pPr>
              <w:pStyle w:val="TableParagraph"/>
              <w:spacing w:line="309" w:lineRule="auto"/>
              <w:ind w:left="30" w:right="192"/>
              <w:rPr>
                <w:b/>
                <w:sz w:val="18"/>
              </w:rPr>
            </w:pPr>
            <w:r>
              <w:rPr>
                <w:b/>
                <w:color w:val="FFFFFF"/>
                <w:sz w:val="18"/>
              </w:rPr>
              <w:t>Benefits FY2016/17</w:t>
            </w:r>
          </w:p>
        </w:tc>
        <w:tc>
          <w:tcPr>
            <w:tcW w:w="1102" w:type="dxa"/>
            <w:shd w:val="clear" w:color="auto" w:fill="00643E"/>
          </w:tcPr>
          <w:p>
            <w:pPr>
              <w:pStyle w:val="TableParagraph"/>
              <w:spacing w:line="312" w:lineRule="auto" w:before="85"/>
              <w:ind w:left="29" w:right="155"/>
              <w:rPr>
                <w:b/>
                <w:sz w:val="18"/>
              </w:rPr>
            </w:pPr>
            <w:r>
              <w:rPr>
                <w:b/>
                <w:color w:val="FFFFFF"/>
                <w:sz w:val="18"/>
              </w:rPr>
              <w:t>Services 5- year annual avg. growth</w:t>
            </w:r>
          </w:p>
          <w:p>
            <w:pPr>
              <w:pStyle w:val="TableParagraph"/>
              <w:spacing w:before="53"/>
              <w:ind w:left="29"/>
              <w:rPr>
                <w:b/>
                <w:sz w:val="18"/>
              </w:rPr>
            </w:pPr>
            <w:r>
              <w:rPr>
                <w:b/>
                <w:color w:val="FFFFFF"/>
                <w:sz w:val="18"/>
              </w:rPr>
              <w:t>%</w:t>
            </w:r>
          </w:p>
        </w:tc>
      </w:tr>
      <w:tr>
        <w:trPr>
          <w:trHeight w:val="2793" w:hRule="atLeast"/>
        </w:trPr>
        <w:tc>
          <w:tcPr>
            <w:tcW w:w="686" w:type="dxa"/>
          </w:tcPr>
          <w:p>
            <w:pPr>
              <w:pStyle w:val="TableParagraph"/>
              <w:spacing w:before="3"/>
              <w:rPr>
                <w:b/>
                <w:sz w:val="13"/>
              </w:rPr>
            </w:pPr>
          </w:p>
          <w:p>
            <w:pPr>
              <w:pStyle w:val="TableParagraph"/>
              <w:ind w:left="26"/>
              <w:rPr>
                <w:sz w:val="18"/>
              </w:rPr>
            </w:pPr>
            <w:r>
              <w:rPr>
                <w:sz w:val="18"/>
              </w:rPr>
              <w:t>39137</w:t>
            </w:r>
          </w:p>
        </w:tc>
        <w:tc>
          <w:tcPr>
            <w:tcW w:w="3535" w:type="dxa"/>
          </w:tcPr>
          <w:p>
            <w:pPr>
              <w:pStyle w:val="TableParagraph"/>
              <w:spacing w:line="312" w:lineRule="auto" w:before="159"/>
              <w:ind w:left="26" w:right="186"/>
              <w:rPr>
                <w:sz w:val="18"/>
              </w:rPr>
            </w:pPr>
            <w:r>
              <w:rPr>
                <w:sz w:val="18"/>
              </w:rPr>
              <w:t>LEAD, epidural or peripheral nerve that was inserted for the management of chronic intractable neuropathic pain or pain from refractory angina pectoris, surgical repositioning to correct displacement or unsatisfactory positioning, including intraoperative test stimulation, not being a service to which item 39130, 39138 or 39139 applies (Anaes.)</w:t>
            </w:r>
          </w:p>
        </w:tc>
        <w:tc>
          <w:tcPr>
            <w:tcW w:w="950" w:type="dxa"/>
          </w:tcPr>
          <w:p>
            <w:pPr>
              <w:pStyle w:val="TableParagraph"/>
              <w:spacing w:before="3"/>
              <w:rPr>
                <w:b/>
                <w:sz w:val="13"/>
              </w:rPr>
            </w:pPr>
          </w:p>
          <w:p>
            <w:pPr>
              <w:pStyle w:val="TableParagraph"/>
              <w:ind w:left="29"/>
              <w:rPr>
                <w:sz w:val="18"/>
              </w:rPr>
            </w:pPr>
            <w:r>
              <w:rPr>
                <w:sz w:val="18"/>
              </w:rPr>
              <w:t>$605.35</w:t>
            </w:r>
          </w:p>
        </w:tc>
        <w:tc>
          <w:tcPr>
            <w:tcW w:w="1070" w:type="dxa"/>
          </w:tcPr>
          <w:p>
            <w:pPr>
              <w:pStyle w:val="TableParagraph"/>
              <w:spacing w:before="3"/>
              <w:rPr>
                <w:b/>
                <w:sz w:val="13"/>
              </w:rPr>
            </w:pPr>
          </w:p>
          <w:p>
            <w:pPr>
              <w:pStyle w:val="TableParagraph"/>
              <w:ind w:left="28"/>
              <w:rPr>
                <w:sz w:val="18"/>
              </w:rPr>
            </w:pPr>
            <w:r>
              <w:rPr>
                <w:sz w:val="18"/>
              </w:rPr>
              <w:t>308</w:t>
            </w:r>
          </w:p>
        </w:tc>
        <w:tc>
          <w:tcPr>
            <w:tcW w:w="1053" w:type="dxa"/>
          </w:tcPr>
          <w:p>
            <w:pPr>
              <w:pStyle w:val="TableParagraph"/>
              <w:spacing w:before="3"/>
              <w:rPr>
                <w:b/>
                <w:sz w:val="13"/>
              </w:rPr>
            </w:pPr>
          </w:p>
          <w:p>
            <w:pPr>
              <w:pStyle w:val="TableParagraph"/>
              <w:ind w:left="30"/>
              <w:rPr>
                <w:sz w:val="18"/>
              </w:rPr>
            </w:pPr>
            <w:r>
              <w:rPr>
                <w:sz w:val="18"/>
              </w:rPr>
              <w:t>$113,272</w:t>
            </w:r>
          </w:p>
        </w:tc>
        <w:tc>
          <w:tcPr>
            <w:tcW w:w="1102" w:type="dxa"/>
          </w:tcPr>
          <w:p>
            <w:pPr>
              <w:pStyle w:val="TableParagraph"/>
              <w:spacing w:before="3"/>
              <w:rPr>
                <w:b/>
                <w:sz w:val="13"/>
              </w:rPr>
            </w:pPr>
          </w:p>
          <w:p>
            <w:pPr>
              <w:pStyle w:val="TableParagraph"/>
              <w:ind w:left="29"/>
              <w:rPr>
                <w:sz w:val="18"/>
              </w:rPr>
            </w:pPr>
            <w:r>
              <w:rPr>
                <w:sz w:val="18"/>
              </w:rPr>
              <w:t>12.9</w:t>
            </w:r>
          </w:p>
        </w:tc>
      </w:tr>
      <w:tr>
        <w:trPr>
          <w:trHeight w:val="1936" w:hRule="atLeast"/>
        </w:trPr>
        <w:tc>
          <w:tcPr>
            <w:tcW w:w="686" w:type="dxa"/>
          </w:tcPr>
          <w:p>
            <w:pPr>
              <w:pStyle w:val="TableParagraph"/>
              <w:spacing w:before="3"/>
              <w:rPr>
                <w:b/>
                <w:sz w:val="13"/>
              </w:rPr>
            </w:pPr>
          </w:p>
          <w:p>
            <w:pPr>
              <w:pStyle w:val="TableParagraph"/>
              <w:ind w:left="26"/>
              <w:rPr>
                <w:sz w:val="18"/>
              </w:rPr>
            </w:pPr>
            <w:r>
              <w:rPr>
                <w:sz w:val="18"/>
              </w:rPr>
              <w:t>39138</w:t>
            </w:r>
          </w:p>
        </w:tc>
        <w:tc>
          <w:tcPr>
            <w:tcW w:w="3535" w:type="dxa"/>
          </w:tcPr>
          <w:p>
            <w:pPr>
              <w:pStyle w:val="TableParagraph"/>
              <w:spacing w:line="312" w:lineRule="auto" w:before="159"/>
              <w:ind w:left="26" w:right="24"/>
              <w:rPr>
                <w:sz w:val="18"/>
              </w:rPr>
            </w:pPr>
            <w:r>
              <w:rPr>
                <w:sz w:val="18"/>
              </w:rPr>
              <w:t>PERIPHERAL NERVE LEAD, surgical placement of, including intraoperative test stimulation,</w:t>
            </w:r>
            <w:r>
              <w:rPr>
                <w:spacing w:val="-15"/>
                <w:sz w:val="18"/>
              </w:rPr>
              <w:t> </w:t>
            </w:r>
            <w:r>
              <w:rPr>
                <w:sz w:val="18"/>
              </w:rPr>
              <w:t>for the management of chronic intractable neuropathic pain or pain from refractory angina pectoris, to a maximum of 4 leads (Anaes.)</w:t>
            </w:r>
            <w:r>
              <w:rPr>
                <w:spacing w:val="-1"/>
                <w:sz w:val="18"/>
              </w:rPr>
              <w:t> </w:t>
            </w:r>
            <w:r>
              <w:rPr>
                <w:sz w:val="18"/>
              </w:rPr>
              <w:t>(Assist.)</w:t>
            </w:r>
          </w:p>
        </w:tc>
        <w:tc>
          <w:tcPr>
            <w:tcW w:w="950" w:type="dxa"/>
          </w:tcPr>
          <w:p>
            <w:pPr>
              <w:pStyle w:val="TableParagraph"/>
              <w:spacing w:before="3"/>
              <w:rPr>
                <w:b/>
                <w:sz w:val="13"/>
              </w:rPr>
            </w:pPr>
          </w:p>
          <w:p>
            <w:pPr>
              <w:pStyle w:val="TableParagraph"/>
              <w:ind w:left="29"/>
              <w:rPr>
                <w:sz w:val="18"/>
              </w:rPr>
            </w:pPr>
            <w:r>
              <w:rPr>
                <w:sz w:val="18"/>
              </w:rPr>
              <w:t>$674.15</w:t>
            </w:r>
          </w:p>
        </w:tc>
        <w:tc>
          <w:tcPr>
            <w:tcW w:w="1070" w:type="dxa"/>
          </w:tcPr>
          <w:p>
            <w:pPr>
              <w:pStyle w:val="TableParagraph"/>
              <w:spacing w:before="3"/>
              <w:rPr>
                <w:b/>
                <w:sz w:val="13"/>
              </w:rPr>
            </w:pPr>
          </w:p>
          <w:p>
            <w:pPr>
              <w:pStyle w:val="TableParagraph"/>
              <w:ind w:left="28"/>
              <w:rPr>
                <w:sz w:val="18"/>
              </w:rPr>
            </w:pPr>
            <w:r>
              <w:rPr>
                <w:sz w:val="18"/>
              </w:rPr>
              <w:t>2,667</w:t>
            </w:r>
          </w:p>
        </w:tc>
        <w:tc>
          <w:tcPr>
            <w:tcW w:w="1053" w:type="dxa"/>
          </w:tcPr>
          <w:p>
            <w:pPr>
              <w:pStyle w:val="TableParagraph"/>
              <w:spacing w:before="3"/>
              <w:rPr>
                <w:b/>
                <w:sz w:val="13"/>
              </w:rPr>
            </w:pPr>
          </w:p>
          <w:p>
            <w:pPr>
              <w:pStyle w:val="TableParagraph"/>
              <w:ind w:left="30"/>
              <w:rPr>
                <w:sz w:val="18"/>
              </w:rPr>
            </w:pPr>
            <w:r>
              <w:rPr>
                <w:sz w:val="18"/>
              </w:rPr>
              <w:t>$932,760</w:t>
            </w:r>
          </w:p>
        </w:tc>
        <w:tc>
          <w:tcPr>
            <w:tcW w:w="1102" w:type="dxa"/>
          </w:tcPr>
          <w:p>
            <w:pPr>
              <w:pStyle w:val="TableParagraph"/>
              <w:spacing w:before="3"/>
              <w:rPr>
                <w:b/>
                <w:sz w:val="13"/>
              </w:rPr>
            </w:pPr>
          </w:p>
          <w:p>
            <w:pPr>
              <w:pStyle w:val="TableParagraph"/>
              <w:ind w:left="29"/>
              <w:rPr>
                <w:sz w:val="18"/>
              </w:rPr>
            </w:pPr>
            <w:r>
              <w:rPr>
                <w:sz w:val="18"/>
              </w:rPr>
              <w:t>11.5</w:t>
            </w:r>
          </w:p>
        </w:tc>
      </w:tr>
      <w:tr>
        <w:trPr>
          <w:trHeight w:val="1939" w:hRule="atLeast"/>
        </w:trPr>
        <w:tc>
          <w:tcPr>
            <w:tcW w:w="686" w:type="dxa"/>
          </w:tcPr>
          <w:p>
            <w:pPr>
              <w:pStyle w:val="TableParagraph"/>
              <w:spacing w:before="3"/>
              <w:rPr>
                <w:b/>
                <w:sz w:val="13"/>
              </w:rPr>
            </w:pPr>
          </w:p>
          <w:p>
            <w:pPr>
              <w:pStyle w:val="TableParagraph"/>
              <w:ind w:left="26"/>
              <w:rPr>
                <w:sz w:val="18"/>
              </w:rPr>
            </w:pPr>
            <w:r>
              <w:rPr>
                <w:sz w:val="18"/>
              </w:rPr>
              <w:t>39139</w:t>
            </w:r>
          </w:p>
        </w:tc>
        <w:tc>
          <w:tcPr>
            <w:tcW w:w="3535" w:type="dxa"/>
          </w:tcPr>
          <w:p>
            <w:pPr>
              <w:pStyle w:val="TableParagraph"/>
              <w:spacing w:line="312" w:lineRule="auto" w:before="159"/>
              <w:ind w:left="26" w:right="39"/>
              <w:rPr>
                <w:sz w:val="18"/>
              </w:rPr>
            </w:pPr>
            <w:r>
              <w:rPr>
                <w:sz w:val="18"/>
              </w:rPr>
              <w:t>EPIDURAL LEAD, surgical placement of one or more by partial or total laminectomy, including intraoperative test stimulation, for the management of chronic intractable neuropathic pain or pain from refractory angina pectoris (Anaes.) (Assist.)</w:t>
            </w:r>
          </w:p>
        </w:tc>
        <w:tc>
          <w:tcPr>
            <w:tcW w:w="950" w:type="dxa"/>
          </w:tcPr>
          <w:p>
            <w:pPr>
              <w:pStyle w:val="TableParagraph"/>
              <w:spacing w:before="3"/>
              <w:rPr>
                <w:b/>
                <w:sz w:val="13"/>
              </w:rPr>
            </w:pPr>
          </w:p>
          <w:p>
            <w:pPr>
              <w:pStyle w:val="TableParagraph"/>
              <w:ind w:left="29"/>
              <w:rPr>
                <w:sz w:val="18"/>
              </w:rPr>
            </w:pPr>
            <w:r>
              <w:rPr>
                <w:sz w:val="18"/>
              </w:rPr>
              <w:t>$905.10</w:t>
            </w:r>
          </w:p>
        </w:tc>
        <w:tc>
          <w:tcPr>
            <w:tcW w:w="1070" w:type="dxa"/>
          </w:tcPr>
          <w:p>
            <w:pPr>
              <w:pStyle w:val="TableParagraph"/>
              <w:spacing w:before="3"/>
              <w:rPr>
                <w:b/>
                <w:sz w:val="13"/>
              </w:rPr>
            </w:pPr>
          </w:p>
          <w:p>
            <w:pPr>
              <w:pStyle w:val="TableParagraph"/>
              <w:ind w:left="28"/>
              <w:rPr>
                <w:sz w:val="18"/>
              </w:rPr>
            </w:pPr>
            <w:r>
              <w:rPr>
                <w:sz w:val="18"/>
              </w:rPr>
              <w:t>95</w:t>
            </w:r>
          </w:p>
        </w:tc>
        <w:tc>
          <w:tcPr>
            <w:tcW w:w="1053" w:type="dxa"/>
          </w:tcPr>
          <w:p>
            <w:pPr>
              <w:pStyle w:val="TableParagraph"/>
              <w:spacing w:before="3"/>
              <w:rPr>
                <w:b/>
                <w:sz w:val="13"/>
              </w:rPr>
            </w:pPr>
          </w:p>
          <w:p>
            <w:pPr>
              <w:pStyle w:val="TableParagraph"/>
              <w:ind w:left="30"/>
              <w:rPr>
                <w:sz w:val="18"/>
              </w:rPr>
            </w:pPr>
            <w:r>
              <w:rPr>
                <w:sz w:val="18"/>
              </w:rPr>
              <w:t>$55,111</w:t>
            </w:r>
          </w:p>
        </w:tc>
        <w:tc>
          <w:tcPr>
            <w:tcW w:w="1102" w:type="dxa"/>
          </w:tcPr>
          <w:p>
            <w:pPr>
              <w:pStyle w:val="TableParagraph"/>
              <w:spacing w:before="3"/>
              <w:rPr>
                <w:b/>
                <w:sz w:val="13"/>
              </w:rPr>
            </w:pPr>
          </w:p>
          <w:p>
            <w:pPr>
              <w:pStyle w:val="TableParagraph"/>
              <w:ind w:left="29"/>
              <w:rPr>
                <w:sz w:val="18"/>
              </w:rPr>
            </w:pPr>
            <w:r>
              <w:rPr>
                <w:sz w:val="18"/>
              </w:rPr>
              <w:t>3.5</w:t>
            </w:r>
          </w:p>
        </w:tc>
      </w:tr>
    </w:tbl>
    <w:p>
      <w:pPr>
        <w:pStyle w:val="BodyText"/>
        <w:rPr>
          <w:b/>
          <w:sz w:val="20"/>
        </w:rPr>
      </w:pPr>
    </w:p>
    <w:p>
      <w:pPr>
        <w:pStyle w:val="BodyText"/>
        <w:rPr>
          <w:b/>
          <w:sz w:val="20"/>
        </w:rPr>
      </w:pPr>
    </w:p>
    <w:p>
      <w:pPr>
        <w:pStyle w:val="BodyText"/>
        <w:spacing w:before="6"/>
        <w:rPr>
          <w:b/>
          <w:sz w:val="16"/>
        </w:rPr>
      </w:pPr>
    </w:p>
    <w:p>
      <w:pPr>
        <w:pStyle w:val="Heading4"/>
        <w:numPr>
          <w:ilvl w:val="2"/>
          <w:numId w:val="14"/>
        </w:numPr>
        <w:tabs>
          <w:tab w:pos="1981" w:val="left" w:leader="none"/>
          <w:tab w:pos="1982" w:val="left" w:leader="none"/>
        </w:tabs>
        <w:spacing w:line="240" w:lineRule="auto" w:before="51" w:after="0"/>
        <w:ind w:left="1982" w:right="0" w:hanging="720"/>
        <w:jc w:val="left"/>
      </w:pPr>
      <w:r>
        <w:rPr/>
        <w:t>Recommendation 13 - Clarifying item 14218 - infusion pump</w:t>
      </w:r>
      <w:r>
        <w:rPr>
          <w:spacing w:val="-8"/>
        </w:rPr>
        <w:t> </w:t>
      </w:r>
      <w:r>
        <w:rPr/>
        <w:t>refilling</w:t>
      </w:r>
    </w:p>
    <w:p>
      <w:pPr>
        <w:pStyle w:val="BodyText"/>
        <w:spacing w:before="144"/>
        <w:ind w:left="1262"/>
      </w:pPr>
      <w:r>
        <w:rPr/>
        <w:t>The Committee recommends amending the item descriptor to (changes in bold):</w:t>
      </w:r>
    </w:p>
    <w:p>
      <w:pPr>
        <w:pStyle w:val="BodyText"/>
        <w:spacing w:before="9"/>
        <w:rPr>
          <w:sz w:val="11"/>
        </w:rPr>
      </w:pPr>
      <w:r>
        <w:rPr/>
        <w:pict>
          <v:shape style="position:absolute;margin-left:85.050003pt;margin-top:10.14414pt;width:414.3pt;height:102.5pt;mso-position-horizontal-relative:page;mso-position-vertical-relative:paragraph;z-index:-15598080;mso-wrap-distance-left:0;mso-wrap-distance-right:0" type="#_x0000_t202" filled="false" stroked="true" strokeweight="2pt" strokecolor="#c0504d">
            <v:textbox inset="0,0,0,0">
              <w:txbxContent>
                <w:p>
                  <w:pPr>
                    <w:spacing w:before="70"/>
                    <w:ind w:left="144" w:right="0" w:firstLine="0"/>
                    <w:jc w:val="left"/>
                    <w:rPr>
                      <w:b/>
                      <w:sz w:val="22"/>
                    </w:rPr>
                  </w:pPr>
                  <w:r>
                    <w:rPr>
                      <w:b/>
                      <w:sz w:val="22"/>
                    </w:rPr>
                    <w:t>Item 14218</w:t>
                  </w:r>
                </w:p>
                <w:p>
                  <w:pPr>
                    <w:spacing w:line="314" w:lineRule="auto" w:before="139"/>
                    <w:ind w:left="144" w:right="380" w:firstLine="0"/>
                    <w:jc w:val="left"/>
                    <w:rPr>
                      <w:b/>
                      <w:sz w:val="22"/>
                    </w:rPr>
                  </w:pPr>
                  <w:r>
                    <w:rPr>
                      <w:sz w:val="22"/>
                    </w:rPr>
                    <w:t>IMPLANTED INFUSION PUMP REFILLING OF reservoir with therapeutic agent(s) for infusion to the subarachnoid space </w:t>
                  </w:r>
                  <w:r>
                    <w:rPr>
                      <w:b/>
                      <w:sz w:val="22"/>
                    </w:rPr>
                    <w:t>or accessing the side port to assess catheter patency</w:t>
                  </w:r>
                  <w:r>
                    <w:rPr>
                      <w:sz w:val="22"/>
                    </w:rPr>
                    <w:t>, with or without pump re-programming, for the management of chronic pain, </w:t>
                  </w:r>
                  <w:r>
                    <w:rPr>
                      <w:b/>
                      <w:sz w:val="22"/>
                    </w:rPr>
                    <w:t>including cancer pain.</w:t>
                  </w:r>
                </w:p>
              </w:txbxContent>
            </v:textbox>
            <v:stroke dashstyle="solid"/>
            <w10:wrap type="topAndBottom"/>
          </v:shape>
        </w:pict>
      </w:r>
    </w:p>
    <w:p>
      <w:pPr>
        <w:spacing w:after="0"/>
        <w:rPr>
          <w:sz w:val="11"/>
        </w:rPr>
        <w:sectPr>
          <w:pgSz w:w="11910" w:h="16840"/>
          <w:pgMar w:header="672" w:footer="734" w:top="1300" w:bottom="920" w:left="440" w:right="140"/>
        </w:sectPr>
      </w:pPr>
    </w:p>
    <w:p>
      <w:pPr>
        <w:pStyle w:val="BodyText"/>
        <w:rPr>
          <w:sz w:val="20"/>
        </w:rPr>
      </w:pPr>
    </w:p>
    <w:p>
      <w:pPr>
        <w:pStyle w:val="BodyText"/>
        <w:spacing w:before="11"/>
        <w:rPr>
          <w:sz w:val="24"/>
        </w:rPr>
      </w:pPr>
    </w:p>
    <w:p>
      <w:pPr>
        <w:pStyle w:val="Heading4"/>
        <w:numPr>
          <w:ilvl w:val="3"/>
          <w:numId w:val="14"/>
        </w:numPr>
        <w:tabs>
          <w:tab w:pos="2397" w:val="left" w:leader="none"/>
          <w:tab w:pos="2398" w:val="left" w:leader="none"/>
        </w:tabs>
        <w:spacing w:line="240" w:lineRule="auto" w:before="51" w:after="0"/>
        <w:ind w:left="2397" w:right="0" w:hanging="1136"/>
        <w:jc w:val="left"/>
      </w:pPr>
      <w:r>
        <w:rPr/>
        <w:t>Rationale</w:t>
      </w:r>
      <w:r>
        <w:rPr>
          <w:spacing w:val="-1"/>
        </w:rPr>
        <w:t> </w:t>
      </w:r>
      <w:r>
        <w:rPr/>
        <w:t>13</w:t>
      </w:r>
    </w:p>
    <w:p>
      <w:pPr>
        <w:pStyle w:val="BodyText"/>
        <w:spacing w:before="7"/>
        <w:rPr>
          <w:b/>
          <w:sz w:val="21"/>
        </w:rPr>
      </w:pPr>
    </w:p>
    <w:p>
      <w:pPr>
        <w:pStyle w:val="BodyText"/>
        <w:spacing w:line="312" w:lineRule="auto" w:before="1"/>
        <w:ind w:left="1262" w:right="2382"/>
      </w:pPr>
      <w:r>
        <w:rPr/>
        <w:t>This recommendation focuses on effective use of the health system. It is based on the following assessment:</w:t>
      </w:r>
    </w:p>
    <w:p>
      <w:pPr>
        <w:pStyle w:val="BodyText"/>
        <w:spacing w:line="312" w:lineRule="auto" w:before="72"/>
        <w:ind w:left="2123" w:right="1814"/>
      </w:pPr>
      <w:r>
        <w:rPr/>
        <w:t>The amendments to the descriptor are intended to provide clarity around claiming practices and appropriate use of the item numbers.</w:t>
      </w:r>
    </w:p>
    <w:p>
      <w:pPr>
        <w:pStyle w:val="BodyText"/>
        <w:spacing w:line="312" w:lineRule="auto" w:before="132"/>
        <w:ind w:left="2123" w:right="1672"/>
      </w:pPr>
      <w:r>
        <w:rPr/>
        <w:t>Currently, Specialist Pain Medicine Physicians use item 14221 occasionally to allow side-port access to assess catheter patency. This is a procedure that is considered of equivalent technical difficulty to item 14218. Both side port access and pump refill (this item) relate to a device infusing into the subarachnoid space. Item 14221 is generally used for the accessing of less complex devices infusing into the venous circulation. Therefore adding the infrequently used side port access and so including this procedure in item 14218 is considered appropriate despite the increase in fee.</w:t>
      </w:r>
    </w:p>
    <w:p>
      <w:pPr>
        <w:pStyle w:val="BodyText"/>
        <w:spacing w:line="312" w:lineRule="auto" w:before="132"/>
        <w:ind w:left="2123" w:right="2001"/>
      </w:pPr>
      <w:r>
        <w:rPr/>
        <w:drawing>
          <wp:anchor distT="0" distB="0" distL="0" distR="0" allowOverlap="1" layoutInCell="1" locked="0" behindDoc="0" simplePos="0" relativeHeight="15860224">
            <wp:simplePos x="0" y="0"/>
            <wp:positionH relativeFrom="page">
              <wp:posOffset>1362646</wp:posOffset>
            </wp:positionH>
            <wp:positionV relativeFrom="paragraph">
              <wp:posOffset>152382</wp:posOffset>
            </wp:positionV>
            <wp:extent cx="52387" cy="52387"/>
            <wp:effectExtent l="0" t="0" r="0" b="0"/>
            <wp:wrapNone/>
            <wp:docPr id="529" name="image175.png"/>
            <wp:cNvGraphicFramePr>
              <a:graphicFrameLocks noChangeAspect="1"/>
            </wp:cNvGraphicFramePr>
            <a:graphic>
              <a:graphicData uri="http://schemas.openxmlformats.org/drawingml/2006/picture">
                <pic:pic>
                  <pic:nvPicPr>
                    <pic:cNvPr id="530" name="image175.png"/>
                    <pic:cNvPicPr/>
                  </pic:nvPicPr>
                  <pic:blipFill>
                    <a:blip r:embed="rId183" cstate="print"/>
                    <a:stretch>
                      <a:fillRect/>
                    </a:stretch>
                  </pic:blipFill>
                  <pic:spPr>
                    <a:xfrm>
                      <a:off x="0" y="0"/>
                      <a:ext cx="52387" cy="52387"/>
                    </a:xfrm>
                    <a:prstGeom prst="rect">
                      <a:avLst/>
                    </a:prstGeom>
                  </pic:spPr>
                </pic:pic>
              </a:graphicData>
            </a:graphic>
          </wp:anchor>
        </w:drawing>
      </w:r>
      <w:r>
        <w:rPr/>
        <w:t>There is expected to be a small decrease (estimated 5%) in the number of claims against item 14221 and an equivalent rise in item 14218.</w:t>
      </w:r>
    </w:p>
    <w:p>
      <w:pPr>
        <w:pStyle w:val="BodyText"/>
        <w:spacing w:line="312" w:lineRule="auto" w:before="132"/>
        <w:ind w:left="2123" w:right="1866"/>
      </w:pPr>
      <w:r>
        <w:rPr/>
        <w:drawing>
          <wp:anchor distT="0" distB="0" distL="0" distR="0" allowOverlap="1" layoutInCell="1" locked="0" behindDoc="0" simplePos="0" relativeHeight="15860736">
            <wp:simplePos x="0" y="0"/>
            <wp:positionH relativeFrom="page">
              <wp:posOffset>1362646</wp:posOffset>
            </wp:positionH>
            <wp:positionV relativeFrom="paragraph">
              <wp:posOffset>152382</wp:posOffset>
            </wp:positionV>
            <wp:extent cx="52387" cy="52387"/>
            <wp:effectExtent l="0" t="0" r="0" b="0"/>
            <wp:wrapNone/>
            <wp:docPr id="531" name="image176.png"/>
            <wp:cNvGraphicFramePr>
              <a:graphicFrameLocks noChangeAspect="1"/>
            </wp:cNvGraphicFramePr>
            <a:graphic>
              <a:graphicData uri="http://schemas.openxmlformats.org/drawingml/2006/picture">
                <pic:pic>
                  <pic:nvPicPr>
                    <pic:cNvPr id="532" name="image176.png"/>
                    <pic:cNvPicPr/>
                  </pic:nvPicPr>
                  <pic:blipFill>
                    <a:blip r:embed="rId184" cstate="print"/>
                    <a:stretch>
                      <a:fillRect/>
                    </a:stretch>
                  </pic:blipFill>
                  <pic:spPr>
                    <a:xfrm>
                      <a:off x="0" y="0"/>
                      <a:ext cx="52387" cy="52387"/>
                    </a:xfrm>
                    <a:prstGeom prst="rect">
                      <a:avLst/>
                    </a:prstGeom>
                  </pic:spPr>
                </pic:pic>
              </a:graphicData>
            </a:graphic>
          </wp:anchor>
        </w:drawing>
      </w:r>
      <w:r>
        <w:rPr/>
        <w:t>The epidural route of drug administration is no longer used for implanted infusion pumps due to inconsistent spread of infusate and the higher risk of catheter tip fibrosis.</w:t>
      </w:r>
    </w:p>
    <w:p>
      <w:pPr>
        <w:pStyle w:val="BodyText"/>
        <w:rPr>
          <w:sz w:val="20"/>
        </w:rPr>
      </w:pPr>
    </w:p>
    <w:p>
      <w:pPr>
        <w:pStyle w:val="BodyText"/>
        <w:spacing w:before="3"/>
        <w:rPr>
          <w:sz w:val="24"/>
        </w:rPr>
      </w:pPr>
    </w:p>
    <w:p>
      <w:pPr>
        <w:pStyle w:val="Heading4"/>
        <w:numPr>
          <w:ilvl w:val="2"/>
          <w:numId w:val="14"/>
        </w:numPr>
        <w:tabs>
          <w:tab w:pos="1981" w:val="left" w:leader="none"/>
          <w:tab w:pos="1982" w:val="left" w:leader="none"/>
        </w:tabs>
        <w:spacing w:line="240" w:lineRule="auto" w:before="52" w:after="0"/>
        <w:ind w:left="1982" w:right="0" w:hanging="720"/>
        <w:jc w:val="left"/>
      </w:pPr>
      <w:r>
        <w:rPr/>
        <w:t>Recommendation 14 – Clarifying items 39125 to 39128 and items 39133</w:t>
      </w:r>
      <w:r>
        <w:rPr>
          <w:spacing w:val="-9"/>
        </w:rPr>
        <w:t> </w:t>
      </w:r>
      <w:r>
        <w:rPr/>
        <w:t>and</w:t>
      </w:r>
    </w:p>
    <w:p>
      <w:pPr>
        <w:pStyle w:val="Heading4"/>
        <w:spacing w:before="89"/>
        <w:ind w:firstLine="0"/>
      </w:pPr>
      <w:r>
        <w:rPr/>
        <w:t>- infusion pump</w:t>
      </w:r>
    </w:p>
    <w:p>
      <w:pPr>
        <w:pStyle w:val="BodyText"/>
        <w:spacing w:before="204"/>
        <w:ind w:left="1262"/>
      </w:pPr>
      <w:r>
        <w:rPr/>
        <w:t>The Committee recommends:</w:t>
      </w:r>
    </w:p>
    <w:p>
      <w:pPr>
        <w:pStyle w:val="BodyText"/>
        <w:spacing w:before="6"/>
        <w:rPr>
          <w:sz w:val="16"/>
        </w:rPr>
      </w:pPr>
    </w:p>
    <w:p>
      <w:pPr>
        <w:pStyle w:val="ListParagraph"/>
        <w:numPr>
          <w:ilvl w:val="0"/>
          <w:numId w:val="15"/>
        </w:numPr>
        <w:tabs>
          <w:tab w:pos="2035" w:val="left" w:leader="none"/>
        </w:tabs>
        <w:spacing w:line="240" w:lineRule="auto" w:before="0" w:after="0"/>
        <w:ind w:left="2034" w:right="0" w:hanging="361"/>
        <w:jc w:val="left"/>
        <w:rPr>
          <w:sz w:val="22"/>
        </w:rPr>
      </w:pPr>
      <w:r>
        <w:rPr>
          <w:sz w:val="22"/>
        </w:rPr>
        <w:t>amending the item descriptors to (changes in</w:t>
      </w:r>
      <w:r>
        <w:rPr>
          <w:spacing w:val="-9"/>
          <w:sz w:val="22"/>
        </w:rPr>
        <w:t> </w:t>
      </w:r>
      <w:r>
        <w:rPr>
          <w:sz w:val="22"/>
        </w:rPr>
        <w:t>bold):</w:t>
      </w:r>
    </w:p>
    <w:p>
      <w:pPr>
        <w:pStyle w:val="BodyText"/>
        <w:spacing w:before="8"/>
        <w:rPr>
          <w:sz w:val="11"/>
        </w:rPr>
      </w:pPr>
      <w:r>
        <w:rPr/>
        <w:pict>
          <v:shape style="position:absolute;margin-left:85.050003pt;margin-top:10.098398pt;width:414.3pt;height:85pt;mso-position-horizontal-relative:page;mso-position-vertical-relative:paragraph;z-index:-15597568;mso-wrap-distance-left:0;mso-wrap-distance-right:0" type="#_x0000_t202" filled="false" stroked="true" strokeweight="2pt" strokecolor="#c0504d">
            <v:textbox inset="0,0,0,0">
              <w:txbxContent>
                <w:p>
                  <w:pPr>
                    <w:spacing w:before="71"/>
                    <w:ind w:left="144" w:right="0" w:firstLine="0"/>
                    <w:jc w:val="left"/>
                    <w:rPr>
                      <w:b/>
                      <w:sz w:val="22"/>
                    </w:rPr>
                  </w:pPr>
                  <w:r>
                    <w:rPr>
                      <w:b/>
                      <w:sz w:val="22"/>
                    </w:rPr>
                    <w:t>Item 39125</w:t>
                  </w:r>
                </w:p>
                <w:p>
                  <w:pPr>
                    <w:pStyle w:val="BodyText"/>
                    <w:spacing w:line="312" w:lineRule="auto" w:before="140"/>
                    <w:ind w:left="144" w:right="463"/>
                  </w:pPr>
                  <w:r>
                    <w:rPr/>
                    <w:t>SPINAL CATHETER insertion or replacement of, and connection to a subcutaneous implanted infusion pump, for the management of chronic pain</w:t>
                  </w:r>
                  <w:r>
                    <w:rPr>
                      <w:b/>
                    </w:rPr>
                    <w:t>, including cancer pain </w:t>
                  </w:r>
                  <w:r>
                    <w:rPr/>
                    <w:t>(Anaes.) (Assist.)</w:t>
                  </w:r>
                </w:p>
              </w:txbxContent>
            </v:textbox>
            <v:stroke dashstyle="solid"/>
            <w10:wrap type="topAndBottom"/>
          </v:shape>
        </w:pict>
      </w:r>
    </w:p>
    <w:p>
      <w:pPr>
        <w:pStyle w:val="BodyText"/>
        <w:spacing w:before="178"/>
        <w:ind w:left="1262"/>
      </w:pPr>
      <w:r>
        <w:rPr/>
        <w:t>and</w:t>
      </w:r>
    </w:p>
    <w:p>
      <w:pPr>
        <w:spacing w:after="0"/>
        <w:sectPr>
          <w:headerReference w:type="default" r:id="rId231"/>
          <w:footerReference w:type="default" r:id="rId232"/>
          <w:pgSz w:w="11910" w:h="16840"/>
          <w:pgMar w:header="672" w:footer="978" w:top="1300" w:bottom="1160" w:left="440" w:right="140"/>
        </w:sectPr>
      </w:pPr>
    </w:p>
    <w:p>
      <w:pPr>
        <w:pStyle w:val="BodyText"/>
        <w:rPr>
          <w:sz w:val="20"/>
        </w:rPr>
      </w:pPr>
    </w:p>
    <w:p>
      <w:pPr>
        <w:pStyle w:val="BodyText"/>
        <w:spacing w:before="5"/>
        <w:rPr>
          <w:sz w:val="27"/>
        </w:rPr>
      </w:pPr>
    </w:p>
    <w:p>
      <w:pPr>
        <w:pStyle w:val="BodyText"/>
        <w:ind w:left="1241"/>
        <w:rPr>
          <w:sz w:val="20"/>
        </w:rPr>
      </w:pPr>
      <w:r>
        <w:rPr>
          <w:position w:val="-1"/>
          <w:sz w:val="20"/>
        </w:rPr>
        <w:pict>
          <v:shape style="width:414.3pt;height:102.5pt;mso-position-horizontal-relative:char;mso-position-vertical-relative:line" type="#_x0000_t202" filled="false" stroked="true" strokeweight="2pt" strokecolor="#c0504d">
            <w10:anchorlock/>
            <v:textbox inset="0,0,0,0">
              <w:txbxContent>
                <w:p>
                  <w:pPr>
                    <w:spacing w:before="69"/>
                    <w:ind w:left="144" w:right="0" w:firstLine="0"/>
                    <w:jc w:val="left"/>
                    <w:rPr>
                      <w:b/>
                      <w:sz w:val="22"/>
                    </w:rPr>
                  </w:pPr>
                  <w:r>
                    <w:rPr>
                      <w:b/>
                      <w:sz w:val="22"/>
                    </w:rPr>
                    <w:t>Item 39126</w:t>
                  </w:r>
                </w:p>
                <w:p>
                  <w:pPr>
                    <w:pStyle w:val="BodyText"/>
                    <w:spacing w:line="314" w:lineRule="auto" w:before="139"/>
                    <w:ind w:left="144" w:right="235"/>
                  </w:pPr>
                  <w:r>
                    <w:rPr/>
                    <w:t>INFUSION PUMP, subcutaneous implantation or replacement of, and connection of the pump to a spinal catheter, and filling of reservoir with a therapeutic agent or agents, with or without programming the pump, for the management of chronic pain</w:t>
                  </w:r>
                  <w:r>
                    <w:rPr>
                      <w:b/>
                    </w:rPr>
                    <w:t>, including cancer pain </w:t>
                  </w:r>
                  <w:r>
                    <w:rPr/>
                    <w:t>(Anaes.) (Assist.)</w:t>
                  </w:r>
                </w:p>
              </w:txbxContent>
            </v:textbox>
            <v:stroke dashstyle="solid"/>
          </v:shape>
        </w:pict>
      </w:r>
      <w:r>
        <w:rPr>
          <w:position w:val="-1"/>
          <w:sz w:val="20"/>
        </w:rPr>
      </w:r>
    </w:p>
    <w:p>
      <w:pPr>
        <w:pStyle w:val="BodyText"/>
        <w:spacing w:before="4"/>
        <w:rPr>
          <w:sz w:val="10"/>
        </w:rPr>
      </w:pPr>
    </w:p>
    <w:p>
      <w:pPr>
        <w:pStyle w:val="BodyText"/>
        <w:spacing w:before="57"/>
        <w:ind w:left="1262"/>
      </w:pPr>
      <w:r>
        <w:rPr/>
        <w:t>and</w:t>
      </w:r>
    </w:p>
    <w:p>
      <w:pPr>
        <w:pStyle w:val="BodyText"/>
        <w:spacing w:before="8"/>
        <w:rPr>
          <w:sz w:val="11"/>
        </w:rPr>
      </w:pPr>
      <w:r>
        <w:rPr/>
        <w:pict>
          <v:shape style="position:absolute;margin-left:85.050003pt;margin-top:10.098750pt;width:414.3pt;height:67.55pt;mso-position-horizontal-relative:page;mso-position-vertical-relative:paragraph;z-index:-15595520;mso-wrap-distance-left:0;mso-wrap-distance-right:0" type="#_x0000_t202" filled="false" stroked="true" strokeweight="2pt" strokecolor="#c0504d">
            <v:textbox inset="0,0,0,0">
              <w:txbxContent>
                <w:p>
                  <w:pPr>
                    <w:spacing w:before="68"/>
                    <w:ind w:left="144" w:right="0" w:firstLine="0"/>
                    <w:jc w:val="left"/>
                    <w:rPr>
                      <w:b/>
                      <w:sz w:val="22"/>
                    </w:rPr>
                  </w:pPr>
                  <w:r>
                    <w:rPr>
                      <w:b/>
                      <w:sz w:val="22"/>
                    </w:rPr>
                    <w:t>Item 39127</w:t>
                  </w:r>
                </w:p>
                <w:p>
                  <w:pPr>
                    <w:pStyle w:val="BodyText"/>
                    <w:spacing w:line="312" w:lineRule="auto" w:before="142"/>
                    <w:ind w:left="144" w:right="339"/>
                  </w:pPr>
                  <w:r>
                    <w:rPr/>
                    <w:t>SUBCUTANEOUS RESERVOIR AND SPINAL CATHETER, insertion of, for the management of chronic pain</w:t>
                  </w:r>
                  <w:r>
                    <w:rPr>
                      <w:b/>
                    </w:rPr>
                    <w:t>, including cancer pain </w:t>
                  </w:r>
                  <w:r>
                    <w:rPr/>
                    <w:t>(Anaes.)</w:t>
                  </w:r>
                </w:p>
              </w:txbxContent>
            </v:textbox>
            <v:stroke dashstyle="solid"/>
            <w10:wrap type="topAndBottom"/>
          </v:shape>
        </w:pict>
      </w:r>
    </w:p>
    <w:p>
      <w:pPr>
        <w:pStyle w:val="BodyText"/>
        <w:spacing w:before="179"/>
        <w:ind w:left="1262"/>
      </w:pPr>
      <w:r>
        <w:rPr/>
        <w:t>and</w:t>
      </w:r>
    </w:p>
    <w:p>
      <w:pPr>
        <w:pStyle w:val="BodyText"/>
        <w:spacing w:before="8"/>
        <w:rPr>
          <w:sz w:val="11"/>
        </w:rPr>
      </w:pPr>
      <w:r>
        <w:rPr/>
        <w:pict>
          <v:shape style="position:absolute;margin-left:85.050003pt;margin-top:10.102265pt;width:414.3pt;height:102.5pt;mso-position-horizontal-relative:page;mso-position-vertical-relative:paragraph;z-index:-15595008;mso-wrap-distance-left:0;mso-wrap-distance-right:0" type="#_x0000_t202" filled="false" stroked="true" strokeweight="2pt" strokecolor="#c0504d">
            <v:textbox inset="0,0,0,0">
              <w:txbxContent>
                <w:p>
                  <w:pPr>
                    <w:spacing w:before="69"/>
                    <w:ind w:left="144" w:right="0" w:firstLine="0"/>
                    <w:jc w:val="left"/>
                    <w:rPr>
                      <w:b/>
                      <w:sz w:val="22"/>
                    </w:rPr>
                  </w:pPr>
                  <w:r>
                    <w:rPr>
                      <w:b/>
                      <w:sz w:val="22"/>
                    </w:rPr>
                    <w:t>Item 39128</w:t>
                  </w:r>
                </w:p>
                <w:p>
                  <w:pPr>
                    <w:pStyle w:val="BodyText"/>
                    <w:spacing w:line="312" w:lineRule="auto" w:before="142"/>
                    <w:ind w:left="144" w:right="293"/>
                  </w:pPr>
                  <w:r>
                    <w:rPr/>
                    <w:t>INFUSION PUMP, subcutaneous implantation of, AND SPINAL CATHETER insertion of, and connection of pump to catheter, and filling of reservoir with a therapeutic agent or agents, with or without programming the pump, for the management of chronic pain</w:t>
                  </w:r>
                  <w:r>
                    <w:rPr>
                      <w:b/>
                    </w:rPr>
                    <w:t>, including cancer pain </w:t>
                  </w:r>
                  <w:r>
                    <w:rPr/>
                    <w:t>(Anaes.) (Assist.)</w:t>
                  </w:r>
                </w:p>
              </w:txbxContent>
            </v:textbox>
            <v:stroke dashstyle="solid"/>
            <w10:wrap type="topAndBottom"/>
          </v:shape>
        </w:pict>
      </w:r>
    </w:p>
    <w:p>
      <w:pPr>
        <w:pStyle w:val="BodyText"/>
        <w:spacing w:before="169"/>
        <w:ind w:left="1262"/>
      </w:pPr>
      <w:r>
        <w:rPr/>
        <w:t>and</w:t>
      </w:r>
    </w:p>
    <w:p>
      <w:pPr>
        <w:pStyle w:val="BodyText"/>
        <w:spacing w:before="9"/>
        <w:rPr>
          <w:sz w:val="11"/>
        </w:rPr>
      </w:pPr>
      <w:r>
        <w:rPr/>
        <w:pict>
          <v:shape style="position:absolute;margin-left:85.050003pt;margin-top:10.162266pt;width:414.3pt;height:67.55pt;mso-position-horizontal-relative:page;mso-position-vertical-relative:paragraph;z-index:-15594496;mso-wrap-distance-left:0;mso-wrap-distance-right:0" type="#_x0000_t202" filled="false" stroked="true" strokeweight="2pt" strokecolor="#c0504d">
            <v:textbox inset="0,0,0,0">
              <w:txbxContent>
                <w:p>
                  <w:pPr>
                    <w:spacing w:before="70"/>
                    <w:ind w:left="144" w:right="0" w:firstLine="0"/>
                    <w:jc w:val="left"/>
                    <w:rPr>
                      <w:b/>
                      <w:sz w:val="22"/>
                    </w:rPr>
                  </w:pPr>
                  <w:r>
                    <w:rPr>
                      <w:b/>
                      <w:sz w:val="22"/>
                    </w:rPr>
                    <w:t>Item 39133</w:t>
                  </w:r>
                </w:p>
                <w:p>
                  <w:pPr>
                    <w:pStyle w:val="BodyText"/>
                    <w:spacing w:line="312" w:lineRule="auto" w:before="140"/>
                    <w:ind w:left="144" w:right="164"/>
                  </w:pPr>
                  <w:r>
                    <w:rPr/>
                    <w:t>Removal of subcutaneously IMPLANTED INFUSION PUMP OR removal or repositioning of SPINAL CATHETER, for the management of chronic pain </w:t>
                  </w:r>
                  <w:r>
                    <w:rPr>
                      <w:b/>
                    </w:rPr>
                    <w:t>including cancer pain </w:t>
                  </w:r>
                  <w:r>
                    <w:rPr/>
                    <w:t>(Anaes.)</w:t>
                  </w:r>
                </w:p>
              </w:txbxContent>
            </v:textbox>
            <v:stroke dashstyle="solid"/>
            <w10:wrap type="topAndBottom"/>
          </v:shape>
        </w:pict>
      </w:r>
    </w:p>
    <w:p>
      <w:pPr>
        <w:pStyle w:val="BodyText"/>
        <w:spacing w:before="169"/>
        <w:ind w:left="1262"/>
      </w:pPr>
      <w:r>
        <w:rPr/>
        <w:t>and</w:t>
      </w:r>
    </w:p>
    <w:p>
      <w:pPr>
        <w:pStyle w:val="BodyText"/>
        <w:spacing w:before="11"/>
        <w:rPr>
          <w:sz w:val="11"/>
        </w:rPr>
      </w:pPr>
    </w:p>
    <w:p>
      <w:pPr>
        <w:pStyle w:val="ListParagraph"/>
        <w:numPr>
          <w:ilvl w:val="0"/>
          <w:numId w:val="15"/>
        </w:numPr>
        <w:tabs>
          <w:tab w:pos="2035" w:val="left" w:leader="none"/>
        </w:tabs>
        <w:spacing w:line="312" w:lineRule="auto" w:before="56" w:after="0"/>
        <w:ind w:left="2034" w:right="1838" w:hanging="360"/>
        <w:jc w:val="both"/>
        <w:rPr>
          <w:sz w:val="22"/>
        </w:rPr>
      </w:pPr>
      <w:r>
        <w:rPr>
          <w:sz w:val="22"/>
        </w:rPr>
        <w:t>these item numbers be reviewed in 2 years as recommendations for clinical use are changing and because of the development of new therapeutic agents that may use these routes of</w:t>
      </w:r>
      <w:r>
        <w:rPr>
          <w:spacing w:val="-2"/>
          <w:sz w:val="22"/>
        </w:rPr>
        <w:t> </w:t>
      </w:r>
      <w:r>
        <w:rPr>
          <w:sz w:val="22"/>
        </w:rPr>
        <w:t>delivery.</w:t>
      </w:r>
    </w:p>
    <w:p>
      <w:pPr>
        <w:pStyle w:val="BodyText"/>
      </w:pPr>
    </w:p>
    <w:p>
      <w:pPr>
        <w:pStyle w:val="BodyText"/>
        <w:spacing w:before="7"/>
        <w:rPr>
          <w:sz w:val="26"/>
        </w:rPr>
      </w:pPr>
    </w:p>
    <w:p>
      <w:pPr>
        <w:pStyle w:val="Heading4"/>
        <w:numPr>
          <w:ilvl w:val="3"/>
          <w:numId w:val="14"/>
        </w:numPr>
        <w:tabs>
          <w:tab w:pos="2397" w:val="left" w:leader="none"/>
          <w:tab w:pos="2398" w:val="left" w:leader="none"/>
        </w:tabs>
        <w:spacing w:line="240" w:lineRule="auto" w:before="0" w:after="0"/>
        <w:ind w:left="2397" w:right="0" w:hanging="1136"/>
        <w:jc w:val="left"/>
      </w:pPr>
      <w:r>
        <w:rPr/>
        <w:t>Rationale</w:t>
      </w:r>
      <w:r>
        <w:rPr>
          <w:spacing w:val="-1"/>
        </w:rPr>
        <w:t> </w:t>
      </w:r>
      <w:r>
        <w:rPr/>
        <w:t>14</w:t>
      </w:r>
    </w:p>
    <w:p>
      <w:pPr>
        <w:pStyle w:val="BodyText"/>
        <w:spacing w:before="7"/>
        <w:rPr>
          <w:b/>
          <w:sz w:val="21"/>
        </w:rPr>
      </w:pPr>
    </w:p>
    <w:p>
      <w:pPr>
        <w:pStyle w:val="BodyText"/>
        <w:spacing w:line="312" w:lineRule="auto"/>
        <w:ind w:left="1262" w:right="2382"/>
      </w:pPr>
      <w:r>
        <w:rPr/>
        <w:t>This recommendation focuses on effective use of the health system. It is based on the following assessment:</w:t>
      </w:r>
    </w:p>
    <w:p>
      <w:pPr>
        <w:pStyle w:val="BodyText"/>
        <w:spacing w:line="312" w:lineRule="auto" w:before="72"/>
        <w:ind w:left="2123" w:right="2081"/>
      </w:pPr>
      <w:r>
        <w:rPr/>
        <w:drawing>
          <wp:anchor distT="0" distB="0" distL="0" distR="0" allowOverlap="1" layoutInCell="1" locked="0" behindDoc="0" simplePos="0" relativeHeight="15863296">
            <wp:simplePos x="0" y="0"/>
            <wp:positionH relativeFrom="page">
              <wp:posOffset>1362646</wp:posOffset>
            </wp:positionH>
            <wp:positionV relativeFrom="paragraph">
              <wp:posOffset>113647</wp:posOffset>
            </wp:positionV>
            <wp:extent cx="52387" cy="52387"/>
            <wp:effectExtent l="0" t="0" r="0" b="0"/>
            <wp:wrapNone/>
            <wp:docPr id="535" name="image176.png"/>
            <wp:cNvGraphicFramePr>
              <a:graphicFrameLocks noChangeAspect="1"/>
            </wp:cNvGraphicFramePr>
            <a:graphic>
              <a:graphicData uri="http://schemas.openxmlformats.org/drawingml/2006/picture">
                <pic:pic>
                  <pic:nvPicPr>
                    <pic:cNvPr id="536" name="image176.png"/>
                    <pic:cNvPicPr/>
                  </pic:nvPicPr>
                  <pic:blipFill>
                    <a:blip r:embed="rId184" cstate="print"/>
                    <a:stretch>
                      <a:fillRect/>
                    </a:stretch>
                  </pic:blipFill>
                  <pic:spPr>
                    <a:xfrm>
                      <a:off x="0" y="0"/>
                      <a:ext cx="52387" cy="52387"/>
                    </a:xfrm>
                    <a:prstGeom prst="rect">
                      <a:avLst/>
                    </a:prstGeom>
                  </pic:spPr>
                </pic:pic>
              </a:graphicData>
            </a:graphic>
          </wp:anchor>
        </w:drawing>
      </w:r>
      <w:r>
        <w:rPr/>
        <w:t>The amendments are intended to provide clarity around claiming practices and appropriate use of the item numbers. While cancer related pain is not currently</w:t>
      </w:r>
    </w:p>
    <w:p>
      <w:pPr>
        <w:spacing w:after="0" w:line="312" w:lineRule="auto"/>
        <w:sectPr>
          <w:headerReference w:type="default" r:id="rId233"/>
          <w:footerReference w:type="default" r:id="rId234"/>
          <w:pgSz w:w="11910" w:h="16840"/>
          <w:pgMar w:header="672" w:footer="978" w:top="1300" w:bottom="1160" w:left="440" w:right="140"/>
        </w:sectPr>
      </w:pPr>
    </w:p>
    <w:p>
      <w:pPr>
        <w:pStyle w:val="BodyText"/>
        <w:rPr>
          <w:sz w:val="20"/>
        </w:rPr>
      </w:pPr>
    </w:p>
    <w:p>
      <w:pPr>
        <w:pStyle w:val="BodyText"/>
        <w:spacing w:before="3"/>
        <w:rPr>
          <w:sz w:val="24"/>
        </w:rPr>
      </w:pPr>
    </w:p>
    <w:p>
      <w:pPr>
        <w:spacing w:line="312" w:lineRule="auto" w:before="57"/>
        <w:ind w:left="2123" w:right="1736" w:firstLine="0"/>
        <w:jc w:val="left"/>
        <w:rPr>
          <w:i/>
          <w:sz w:val="18"/>
        </w:rPr>
      </w:pPr>
      <w:r>
        <w:rPr>
          <w:sz w:val="22"/>
        </w:rPr>
        <w:t>excluded by these descriptors, there is confusion in some minds about if they are applicable. Use of these procedures in the treatment of selected cancer pain cases </w:t>
      </w:r>
      <w:r>
        <w:rPr>
          <w:sz w:val="18"/>
        </w:rPr>
        <w:t>(Davies, 2018) </w:t>
      </w:r>
      <w:r>
        <w:rPr>
          <w:sz w:val="22"/>
        </w:rPr>
        <w:t>is considered best practice </w:t>
      </w:r>
      <w:r>
        <w:rPr>
          <w:sz w:val="18"/>
        </w:rPr>
        <w:t>(Zheng, He, &amp; Yang, 2017)</w:t>
      </w:r>
      <w:r>
        <w:rPr>
          <w:i/>
          <w:position w:val="5"/>
          <w:sz w:val="12"/>
        </w:rPr>
        <w:t>, </w:t>
      </w:r>
      <w:r>
        <w:rPr>
          <w:sz w:val="18"/>
        </w:rPr>
        <w:t>(Smith, et al., 2002)</w:t>
      </w:r>
      <w:r>
        <w:rPr>
          <w:i/>
          <w:sz w:val="18"/>
        </w:rPr>
        <w:t>.</w:t>
      </w:r>
    </w:p>
    <w:p>
      <w:pPr>
        <w:pStyle w:val="BodyText"/>
        <w:spacing w:line="312" w:lineRule="auto" w:before="131"/>
        <w:ind w:left="2123" w:right="1656"/>
      </w:pPr>
      <w:r>
        <w:rPr/>
        <w:t>While there is only minor use of the epidural catheters under these item numbers, it is still appropriate. There is no known inappropriate use of the item numbers that requires this level of specification and so articulation of the specific placement of the spinal catheter has been</w:t>
      </w:r>
      <w:r>
        <w:rPr>
          <w:spacing w:val="-5"/>
        </w:rPr>
        <w:t> </w:t>
      </w:r>
      <w:r>
        <w:rPr/>
        <w:t>removed.</w:t>
      </w:r>
    </w:p>
    <w:p>
      <w:pPr>
        <w:spacing w:before="120"/>
        <w:ind w:left="1262" w:right="0" w:firstLine="0"/>
        <w:jc w:val="left"/>
        <w:rPr>
          <w:i/>
          <w:sz w:val="22"/>
        </w:rPr>
      </w:pPr>
      <w:r>
        <w:rPr>
          <w:i/>
          <w:sz w:val="22"/>
        </w:rPr>
        <w:t>Note: Additional changes are suggested for several of these item numbers – see below.</w:t>
      </w:r>
    </w:p>
    <w:p>
      <w:pPr>
        <w:pStyle w:val="BodyText"/>
        <w:rPr>
          <w:i/>
        </w:rPr>
      </w:pPr>
    </w:p>
    <w:p>
      <w:pPr>
        <w:pStyle w:val="BodyText"/>
        <w:rPr>
          <w:i/>
        </w:rPr>
      </w:pPr>
    </w:p>
    <w:p>
      <w:pPr>
        <w:pStyle w:val="Heading4"/>
        <w:tabs>
          <w:tab w:pos="1981" w:val="left" w:leader="none"/>
        </w:tabs>
        <w:spacing w:line="309" w:lineRule="auto" w:before="136"/>
        <w:ind w:right="1936"/>
      </w:pPr>
      <w:r>
        <w:rPr/>
        <w:t>4.2.3</w:t>
        <w:tab/>
        <w:t>Recommendation 15 – Clarifying items 39131, 39134, 39135, 39136, 39137 and 39139 -</w:t>
      </w:r>
      <w:r>
        <w:rPr>
          <w:spacing w:val="-1"/>
        </w:rPr>
        <w:t> </w:t>
      </w:r>
      <w:r>
        <w:rPr/>
        <w:t>neurostimulator</w:t>
      </w:r>
    </w:p>
    <w:p>
      <w:pPr>
        <w:pStyle w:val="BodyText"/>
        <w:spacing w:before="122"/>
        <w:ind w:left="1262"/>
      </w:pPr>
      <w:r>
        <w:rPr/>
        <w:t>The Committee recommends amending item descriptors to (changes in bold):</w:t>
      </w:r>
    </w:p>
    <w:p>
      <w:pPr>
        <w:pStyle w:val="BodyText"/>
        <w:spacing w:before="10"/>
        <w:rPr>
          <w:sz w:val="11"/>
        </w:rPr>
      </w:pPr>
      <w:r>
        <w:rPr/>
        <w:pict>
          <v:shape style="position:absolute;margin-left:85.050003pt;margin-top:10.188242pt;width:414.3pt;height:102.5pt;mso-position-horizontal-relative:page;mso-position-vertical-relative:paragraph;z-index:-15593472;mso-wrap-distance-left:0;mso-wrap-distance-right:0" type="#_x0000_t202" filled="false" stroked="true" strokeweight="2pt" strokecolor="#c0504d">
            <v:textbox inset="0,0,0,0">
              <w:txbxContent>
                <w:p>
                  <w:pPr>
                    <w:spacing w:before="70"/>
                    <w:ind w:left="144" w:right="0" w:firstLine="0"/>
                    <w:jc w:val="left"/>
                    <w:rPr>
                      <w:b/>
                      <w:sz w:val="22"/>
                    </w:rPr>
                  </w:pPr>
                  <w:r>
                    <w:rPr>
                      <w:b/>
                      <w:sz w:val="22"/>
                    </w:rPr>
                    <w:t>Item 39131</w:t>
                  </w:r>
                </w:p>
                <w:p>
                  <w:pPr>
                    <w:pStyle w:val="BodyText"/>
                    <w:spacing w:line="312" w:lineRule="auto" w:before="141"/>
                    <w:ind w:left="144" w:right="260"/>
                  </w:pPr>
                  <w:r>
                    <w:rPr/>
                    <w:t>ELECTRODES epidural or peripheral nerve, management of patient and adjustment or reprogramming of neurostimulator </w:t>
                  </w:r>
                  <w:r>
                    <w:rPr>
                      <w:b/>
                    </w:rPr>
                    <w:t>with a medical practitioner attending</w:t>
                  </w:r>
                  <w:r>
                    <w:rPr/>
                    <w:t>, for the management of chronic neuropathic pain or pain from refractory angina pectoris - each day (Anaes.)</w:t>
                  </w:r>
                </w:p>
              </w:txbxContent>
            </v:textbox>
            <v:stroke dashstyle="solid"/>
            <w10:wrap type="topAndBottom"/>
          </v:shape>
        </w:pict>
      </w:r>
    </w:p>
    <w:p>
      <w:pPr>
        <w:pStyle w:val="BodyText"/>
        <w:spacing w:before="177"/>
        <w:ind w:left="1262"/>
      </w:pPr>
      <w:r>
        <w:rPr/>
        <w:t>and</w:t>
      </w:r>
    </w:p>
    <w:p>
      <w:pPr>
        <w:pStyle w:val="BodyText"/>
        <w:spacing w:before="10"/>
        <w:rPr>
          <w:sz w:val="11"/>
        </w:rPr>
      </w:pPr>
      <w:r>
        <w:rPr/>
        <w:pict>
          <v:shape style="position:absolute;margin-left:85.050003pt;margin-top:10.202266pt;width:414.3pt;height:102.5pt;mso-position-horizontal-relative:page;mso-position-vertical-relative:paragraph;z-index:-15592960;mso-wrap-distance-left:0;mso-wrap-distance-right:0" type="#_x0000_t202" filled="false" stroked="true" strokeweight="2pt" strokecolor="#c0504d">
            <v:textbox inset="0,0,0,0">
              <w:txbxContent>
                <w:p>
                  <w:pPr>
                    <w:spacing w:before="69"/>
                    <w:ind w:left="144" w:right="0" w:firstLine="0"/>
                    <w:jc w:val="left"/>
                    <w:rPr>
                      <w:b/>
                      <w:sz w:val="22"/>
                    </w:rPr>
                  </w:pPr>
                  <w:r>
                    <w:rPr>
                      <w:b/>
                      <w:sz w:val="22"/>
                    </w:rPr>
                    <w:t>Item 39134</w:t>
                  </w:r>
                </w:p>
                <w:p>
                  <w:pPr>
                    <w:pStyle w:val="BodyText"/>
                    <w:spacing w:line="312" w:lineRule="auto" w:before="142"/>
                    <w:ind w:left="144" w:right="207"/>
                  </w:pPr>
                  <w:r>
                    <w:rPr/>
                    <w:t>NEUROSTIMULATOR or RECEIVER, subcutaneous placement of, including placement and connection of extension wires to epidural or peripheral nerve electrodes, for the management of chronic neuropathic or pain from refractory angina pectoris (Anaes.) (Assist.)</w:t>
                  </w:r>
                </w:p>
              </w:txbxContent>
            </v:textbox>
            <v:stroke dashstyle="solid"/>
            <w10:wrap type="topAndBottom"/>
          </v:shape>
        </w:pict>
      </w:r>
    </w:p>
    <w:p>
      <w:pPr>
        <w:pStyle w:val="BodyText"/>
        <w:spacing w:before="179"/>
        <w:ind w:left="1262"/>
      </w:pPr>
      <w:r>
        <w:rPr/>
        <w:t>and</w:t>
      </w:r>
    </w:p>
    <w:p>
      <w:pPr>
        <w:pStyle w:val="BodyText"/>
        <w:spacing w:before="8"/>
        <w:rPr>
          <w:sz w:val="11"/>
        </w:rPr>
      </w:pPr>
      <w:r>
        <w:rPr/>
        <w:pict>
          <v:shape style="position:absolute;margin-left:85.050003pt;margin-top:10.112266pt;width:414.3pt;height:85pt;mso-position-horizontal-relative:page;mso-position-vertical-relative:paragraph;z-index:-15592448;mso-wrap-distance-left:0;mso-wrap-distance-right:0" type="#_x0000_t202" filled="false" stroked="true" strokeweight="2pt" strokecolor="#c0504d">
            <v:textbox inset="0,0,0,0">
              <w:txbxContent>
                <w:p>
                  <w:pPr>
                    <w:spacing w:before="71"/>
                    <w:ind w:left="144" w:right="0" w:firstLine="0"/>
                    <w:jc w:val="both"/>
                    <w:rPr>
                      <w:b/>
                      <w:sz w:val="22"/>
                    </w:rPr>
                  </w:pPr>
                  <w:r>
                    <w:rPr>
                      <w:b/>
                      <w:sz w:val="22"/>
                    </w:rPr>
                    <w:t>Item 39135</w:t>
                  </w:r>
                </w:p>
                <w:p>
                  <w:pPr>
                    <w:pStyle w:val="BodyText"/>
                    <w:spacing w:line="312" w:lineRule="auto" w:before="139"/>
                    <w:ind w:left="144" w:right="605"/>
                    <w:jc w:val="both"/>
                  </w:pPr>
                  <w:r>
                    <w:rPr/>
                    <w:t>NEUROSTIMULATOR or RECEIVER, that was inserted for the management of chronic neuropathic pain or pain from refractory angina pectoris</w:t>
                  </w:r>
                  <w:r>
                    <w:rPr>
                      <w:b/>
                    </w:rPr>
                    <w:t>, open surgical removal of, </w:t>
                  </w:r>
                  <w:r>
                    <w:rPr/>
                    <w:t>performed in the operating theatre of a hospital (Anaes.)(assist)</w:t>
                  </w:r>
                </w:p>
              </w:txbxContent>
            </v:textbox>
            <v:stroke dashstyle="solid"/>
            <w10:wrap type="topAndBottom"/>
          </v:shape>
        </w:pict>
      </w:r>
    </w:p>
    <w:p>
      <w:pPr>
        <w:pStyle w:val="BodyText"/>
        <w:spacing w:before="179"/>
        <w:ind w:left="1262"/>
      </w:pPr>
      <w:r>
        <w:rPr/>
        <w:t>and</w:t>
      </w:r>
    </w:p>
    <w:p>
      <w:pPr>
        <w:spacing w:after="0"/>
        <w:sectPr>
          <w:headerReference w:type="default" r:id="rId235"/>
          <w:footerReference w:type="default" r:id="rId236"/>
          <w:pgSz w:w="11910" w:h="16840"/>
          <w:pgMar w:header="672" w:footer="978" w:top="1300" w:bottom="1160" w:left="440" w:right="140"/>
        </w:sectPr>
      </w:pPr>
    </w:p>
    <w:p>
      <w:pPr>
        <w:pStyle w:val="BodyText"/>
        <w:rPr>
          <w:sz w:val="20"/>
        </w:rPr>
      </w:pPr>
    </w:p>
    <w:p>
      <w:pPr>
        <w:pStyle w:val="BodyText"/>
        <w:spacing w:before="5"/>
        <w:rPr>
          <w:sz w:val="27"/>
        </w:rPr>
      </w:pPr>
    </w:p>
    <w:p>
      <w:pPr>
        <w:pStyle w:val="BodyText"/>
        <w:ind w:left="1241"/>
        <w:rPr>
          <w:sz w:val="20"/>
        </w:rPr>
      </w:pPr>
      <w:r>
        <w:rPr>
          <w:position w:val="-1"/>
          <w:sz w:val="20"/>
        </w:rPr>
        <w:pict>
          <v:shape style="width:414.3pt;height:85pt;mso-position-horizontal-relative:char;mso-position-vertical-relative:line" type="#_x0000_t202" filled="false" stroked="true" strokeweight="2pt" strokecolor="#c0504d">
            <w10:anchorlock/>
            <v:textbox inset="0,0,0,0">
              <w:txbxContent>
                <w:p>
                  <w:pPr>
                    <w:spacing w:before="69"/>
                    <w:ind w:left="144" w:right="0" w:firstLine="0"/>
                    <w:jc w:val="left"/>
                    <w:rPr>
                      <w:b/>
                      <w:sz w:val="22"/>
                    </w:rPr>
                  </w:pPr>
                  <w:r>
                    <w:rPr>
                      <w:b/>
                      <w:sz w:val="22"/>
                    </w:rPr>
                    <w:t>Item 39136</w:t>
                  </w:r>
                </w:p>
                <w:p>
                  <w:pPr>
                    <w:pStyle w:val="BodyText"/>
                    <w:spacing w:line="312" w:lineRule="auto" w:before="139"/>
                    <w:ind w:left="144" w:right="408"/>
                  </w:pPr>
                  <w:r>
                    <w:rPr/>
                    <w:t>LEAD epidural or peripheral nerve that was </w:t>
                  </w:r>
                  <w:r>
                    <w:rPr>
                      <w:b/>
                    </w:rPr>
                    <w:t>implanted </w:t>
                  </w:r>
                  <w:r>
                    <w:rPr/>
                    <w:t>for the management of chronic neuropathic pain or pain from refractory angina pectoris</w:t>
                  </w:r>
                  <w:r>
                    <w:rPr>
                      <w:b/>
                    </w:rPr>
                    <w:t>, open surgical removal of, </w:t>
                  </w:r>
                  <w:r>
                    <w:rPr/>
                    <w:t>performed in the operating theatre of a hospital (Anaes.)(assist)</w:t>
                  </w:r>
                </w:p>
              </w:txbxContent>
            </v:textbox>
            <v:stroke dashstyle="solid"/>
          </v:shape>
        </w:pict>
      </w:r>
      <w:r>
        <w:rPr>
          <w:position w:val="-1"/>
          <w:sz w:val="20"/>
        </w:rPr>
      </w:r>
    </w:p>
    <w:p>
      <w:pPr>
        <w:pStyle w:val="BodyText"/>
        <w:spacing w:before="2"/>
        <w:rPr>
          <w:sz w:val="11"/>
        </w:rPr>
      </w:pPr>
    </w:p>
    <w:p>
      <w:pPr>
        <w:pStyle w:val="BodyText"/>
        <w:spacing w:before="56"/>
        <w:ind w:left="1262"/>
      </w:pPr>
      <w:r>
        <w:rPr/>
        <w:t>and</w:t>
      </w:r>
    </w:p>
    <w:p>
      <w:pPr>
        <w:pStyle w:val="BodyText"/>
        <w:spacing w:before="9"/>
        <w:rPr>
          <w:sz w:val="11"/>
        </w:rPr>
      </w:pPr>
      <w:r>
        <w:rPr/>
        <w:pict>
          <v:shape style="position:absolute;margin-left:85.050003pt;margin-top:10.138398pt;width:414.3pt;height:119.95pt;mso-position-horizontal-relative:page;mso-position-vertical-relative:paragraph;z-index:-15591424;mso-wrap-distance-left:0;mso-wrap-distance-right:0" type="#_x0000_t202" filled="false" stroked="true" strokeweight="2pt" strokecolor="#c0504d">
            <v:textbox inset="0,0,0,0">
              <w:txbxContent>
                <w:p>
                  <w:pPr>
                    <w:spacing w:before="70"/>
                    <w:ind w:left="144" w:right="0" w:firstLine="0"/>
                    <w:jc w:val="left"/>
                    <w:rPr>
                      <w:b/>
                      <w:sz w:val="22"/>
                    </w:rPr>
                  </w:pPr>
                  <w:r>
                    <w:rPr>
                      <w:b/>
                      <w:sz w:val="22"/>
                    </w:rPr>
                    <w:t>Item 39137</w:t>
                  </w:r>
                </w:p>
                <w:p>
                  <w:pPr>
                    <w:pStyle w:val="BodyText"/>
                    <w:spacing w:line="314" w:lineRule="auto" w:before="140"/>
                    <w:ind w:left="144" w:right="217"/>
                  </w:pPr>
                  <w:r>
                    <w:rPr/>
                    <w:t>LEAD, epidural or peripheral nerve that was </w:t>
                  </w:r>
                  <w:r>
                    <w:rPr>
                      <w:b/>
                    </w:rPr>
                    <w:t>implanted </w:t>
                  </w:r>
                  <w:r>
                    <w:rPr/>
                    <w:t>for the management of chronic neuropathic pain or pain from refractory angina pectoris, </w:t>
                  </w:r>
                  <w:r>
                    <w:rPr>
                      <w:b/>
                    </w:rPr>
                    <w:t>open surgical repositioning </w:t>
                  </w:r>
                  <w:r>
                    <w:rPr/>
                    <w:t>to correct displacement or unsatisfactory positioning, including intraoperative test stimulation, not being a service to which item 39130, 39138 or 39139 applies (Anaes.)(assist)</w:t>
                  </w:r>
                </w:p>
              </w:txbxContent>
            </v:textbox>
            <v:stroke dashstyle="solid"/>
            <w10:wrap type="topAndBottom"/>
          </v:shape>
        </w:pict>
      </w:r>
    </w:p>
    <w:p>
      <w:pPr>
        <w:pStyle w:val="BodyText"/>
        <w:spacing w:before="177"/>
        <w:ind w:left="1262"/>
      </w:pPr>
      <w:r>
        <w:rPr/>
        <w:t>and</w:t>
      </w:r>
    </w:p>
    <w:p>
      <w:pPr>
        <w:pStyle w:val="BodyText"/>
        <w:spacing w:before="10"/>
        <w:rPr>
          <w:sz w:val="11"/>
        </w:rPr>
      </w:pPr>
      <w:r>
        <w:rPr/>
        <w:pict>
          <v:shape style="position:absolute;margin-left:85.050003pt;margin-top:10.202266pt;width:414.3pt;height:85pt;mso-position-horizontal-relative:page;mso-position-vertical-relative:paragraph;z-index:-15590912;mso-wrap-distance-left:0;mso-wrap-distance-right:0" type="#_x0000_t202" filled="false" stroked="true" strokeweight="2pt" strokecolor="#c0504d">
            <v:textbox inset="0,0,0,0">
              <w:txbxContent>
                <w:p>
                  <w:pPr>
                    <w:spacing w:before="69"/>
                    <w:ind w:left="144" w:right="0" w:firstLine="0"/>
                    <w:jc w:val="left"/>
                    <w:rPr>
                      <w:b/>
                      <w:sz w:val="22"/>
                    </w:rPr>
                  </w:pPr>
                  <w:r>
                    <w:rPr>
                      <w:b/>
                      <w:sz w:val="22"/>
                    </w:rPr>
                    <w:t>Item 39139</w:t>
                  </w:r>
                </w:p>
                <w:p>
                  <w:pPr>
                    <w:pStyle w:val="BodyText"/>
                    <w:spacing w:line="312" w:lineRule="auto" w:before="140"/>
                    <w:ind w:left="144" w:right="456"/>
                  </w:pPr>
                  <w:r>
                    <w:rPr/>
                    <w:t>EPIDURAL LEAD, surgical placement of one or more by partial or total laminectomy, including intraoperative test stimulation, for the management of chronic neuropathic pain or pain from refractory angina pectoris (Anaes.) (Assist.)</w:t>
                  </w:r>
                </w:p>
              </w:txbxContent>
            </v:textbox>
            <v:stroke dashstyle="solid"/>
            <w10:wrap type="topAndBottom"/>
          </v:shape>
        </w:pict>
      </w:r>
    </w:p>
    <w:p>
      <w:pPr>
        <w:pStyle w:val="BodyText"/>
      </w:pPr>
    </w:p>
    <w:p>
      <w:pPr>
        <w:pStyle w:val="BodyText"/>
        <w:spacing w:before="2"/>
        <w:rPr>
          <w:sz w:val="31"/>
        </w:rPr>
      </w:pPr>
    </w:p>
    <w:p>
      <w:pPr>
        <w:pStyle w:val="Heading4"/>
        <w:tabs>
          <w:tab w:pos="2397" w:val="left" w:leader="none"/>
        </w:tabs>
        <w:spacing w:before="1"/>
        <w:ind w:left="1262" w:firstLine="0"/>
      </w:pPr>
      <w:r>
        <w:rPr/>
        <w:t>4.2.3.1</w:t>
        <w:tab/>
        <w:t>Rationale 15</w:t>
      </w:r>
    </w:p>
    <w:p>
      <w:pPr>
        <w:pStyle w:val="BodyText"/>
        <w:spacing w:before="9"/>
        <w:rPr>
          <w:b/>
          <w:sz w:val="21"/>
        </w:rPr>
      </w:pPr>
    </w:p>
    <w:p>
      <w:pPr>
        <w:pStyle w:val="BodyText"/>
        <w:spacing w:line="312" w:lineRule="auto"/>
        <w:ind w:left="1262" w:right="2382"/>
      </w:pPr>
      <w:r>
        <w:rPr/>
        <w:t>This recommendation focuses on effective use of the health system. It is based on the following assessment:</w:t>
      </w:r>
    </w:p>
    <w:p>
      <w:pPr>
        <w:pStyle w:val="BodyText"/>
        <w:spacing w:before="72"/>
        <w:ind w:left="2123"/>
      </w:pPr>
      <w:r>
        <w:rPr/>
        <w:drawing>
          <wp:anchor distT="0" distB="0" distL="0" distR="0" allowOverlap="1" layoutInCell="1" locked="0" behindDoc="0" simplePos="0" relativeHeight="15866880">
            <wp:simplePos x="0" y="0"/>
            <wp:positionH relativeFrom="page">
              <wp:posOffset>1362646</wp:posOffset>
            </wp:positionH>
            <wp:positionV relativeFrom="paragraph">
              <wp:posOffset>114028</wp:posOffset>
            </wp:positionV>
            <wp:extent cx="52387" cy="52387"/>
            <wp:effectExtent l="0" t="0" r="0" b="0"/>
            <wp:wrapNone/>
            <wp:docPr id="543" name="image176.png"/>
            <wp:cNvGraphicFramePr>
              <a:graphicFrameLocks noChangeAspect="1"/>
            </wp:cNvGraphicFramePr>
            <a:graphic>
              <a:graphicData uri="http://schemas.openxmlformats.org/drawingml/2006/picture">
                <pic:pic>
                  <pic:nvPicPr>
                    <pic:cNvPr id="544" name="image176.png"/>
                    <pic:cNvPicPr/>
                  </pic:nvPicPr>
                  <pic:blipFill>
                    <a:blip r:embed="rId184" cstate="print"/>
                    <a:stretch>
                      <a:fillRect/>
                    </a:stretch>
                  </pic:blipFill>
                  <pic:spPr>
                    <a:xfrm>
                      <a:off x="0" y="0"/>
                      <a:ext cx="52387" cy="52387"/>
                    </a:xfrm>
                    <a:prstGeom prst="rect">
                      <a:avLst/>
                    </a:prstGeom>
                  </pic:spPr>
                </pic:pic>
              </a:graphicData>
            </a:graphic>
          </wp:anchor>
        </w:drawing>
      </w:r>
      <w:r>
        <w:rPr/>
        <w:t>Adding ‘open surgical removal’ or ‘open surgical repositioning’ and “implanted”</w:t>
      </w:r>
    </w:p>
    <w:p>
      <w:pPr>
        <w:pStyle w:val="BodyText"/>
        <w:spacing w:line="312" w:lineRule="auto" w:before="80"/>
        <w:ind w:left="2123" w:right="1686"/>
      </w:pPr>
      <w:r>
        <w:rPr/>
        <w:t>instead of “inserted” emphasises the open surgical nature of these procedures and prevents the items from being inappropriately claimed when removing or repositioning leads percutaneously, which is a much simpler and quicker procedure.</w:t>
      </w:r>
    </w:p>
    <w:p>
      <w:pPr>
        <w:pStyle w:val="BodyText"/>
        <w:spacing w:line="312" w:lineRule="auto" w:before="133"/>
        <w:ind w:left="2123" w:right="2333"/>
      </w:pPr>
      <w:r>
        <w:rPr/>
        <w:drawing>
          <wp:anchor distT="0" distB="0" distL="0" distR="0" allowOverlap="1" layoutInCell="1" locked="0" behindDoc="0" simplePos="0" relativeHeight="15867392">
            <wp:simplePos x="0" y="0"/>
            <wp:positionH relativeFrom="page">
              <wp:posOffset>1362646</wp:posOffset>
            </wp:positionH>
            <wp:positionV relativeFrom="paragraph">
              <wp:posOffset>152763</wp:posOffset>
            </wp:positionV>
            <wp:extent cx="52387" cy="52387"/>
            <wp:effectExtent l="0" t="0" r="0" b="0"/>
            <wp:wrapNone/>
            <wp:docPr id="545" name="image176.png"/>
            <wp:cNvGraphicFramePr>
              <a:graphicFrameLocks noChangeAspect="1"/>
            </wp:cNvGraphicFramePr>
            <a:graphic>
              <a:graphicData uri="http://schemas.openxmlformats.org/drawingml/2006/picture">
                <pic:pic>
                  <pic:nvPicPr>
                    <pic:cNvPr id="546" name="image176.png"/>
                    <pic:cNvPicPr/>
                  </pic:nvPicPr>
                  <pic:blipFill>
                    <a:blip r:embed="rId184" cstate="print"/>
                    <a:stretch>
                      <a:fillRect/>
                    </a:stretch>
                  </pic:blipFill>
                  <pic:spPr>
                    <a:xfrm>
                      <a:off x="0" y="0"/>
                      <a:ext cx="52387" cy="52387"/>
                    </a:xfrm>
                    <a:prstGeom prst="rect">
                      <a:avLst/>
                    </a:prstGeom>
                  </pic:spPr>
                </pic:pic>
              </a:graphicData>
            </a:graphic>
          </wp:anchor>
        </w:drawing>
      </w:r>
      <w:r>
        <w:rPr/>
        <w:t>These open surgical procedures are of equivalent technical challenge and for reasons of patient safety the Committee recommends the use of a surgical assistant.</w:t>
      </w:r>
    </w:p>
    <w:p>
      <w:pPr>
        <w:pStyle w:val="BodyText"/>
        <w:spacing w:line="312" w:lineRule="auto" w:before="132"/>
        <w:ind w:left="2123" w:right="1913"/>
      </w:pPr>
      <w:r>
        <w:rPr/>
        <w:drawing>
          <wp:anchor distT="0" distB="0" distL="0" distR="0" allowOverlap="1" layoutInCell="1" locked="0" behindDoc="0" simplePos="0" relativeHeight="15867904">
            <wp:simplePos x="0" y="0"/>
            <wp:positionH relativeFrom="page">
              <wp:posOffset>1362646</wp:posOffset>
            </wp:positionH>
            <wp:positionV relativeFrom="paragraph">
              <wp:posOffset>151747</wp:posOffset>
            </wp:positionV>
            <wp:extent cx="52387" cy="52387"/>
            <wp:effectExtent l="0" t="0" r="0" b="0"/>
            <wp:wrapNone/>
            <wp:docPr id="547" name="image176.png"/>
            <wp:cNvGraphicFramePr>
              <a:graphicFrameLocks noChangeAspect="1"/>
            </wp:cNvGraphicFramePr>
            <a:graphic>
              <a:graphicData uri="http://schemas.openxmlformats.org/drawingml/2006/picture">
                <pic:pic>
                  <pic:nvPicPr>
                    <pic:cNvPr id="548" name="image176.png"/>
                    <pic:cNvPicPr/>
                  </pic:nvPicPr>
                  <pic:blipFill>
                    <a:blip r:embed="rId184" cstate="print"/>
                    <a:stretch>
                      <a:fillRect/>
                    </a:stretch>
                  </pic:blipFill>
                  <pic:spPr>
                    <a:xfrm>
                      <a:off x="0" y="0"/>
                      <a:ext cx="52387" cy="52387"/>
                    </a:xfrm>
                    <a:prstGeom prst="rect">
                      <a:avLst/>
                    </a:prstGeom>
                  </pic:spPr>
                </pic:pic>
              </a:graphicData>
            </a:graphic>
          </wp:anchor>
        </w:drawing>
      </w:r>
      <w:r>
        <w:rPr/>
        <w:t>The word ‘intractable’ is poorly defined and the Committee considers that it does not add clarity to these descriptors.</w:t>
      </w:r>
    </w:p>
    <w:p>
      <w:pPr>
        <w:spacing w:after="0" w:line="312" w:lineRule="auto"/>
        <w:sectPr>
          <w:headerReference w:type="default" r:id="rId237"/>
          <w:footerReference w:type="default" r:id="rId238"/>
          <w:pgSz w:w="11910" w:h="16840"/>
          <w:pgMar w:header="672" w:footer="978" w:top="1300" w:bottom="1160" w:left="440" w:right="140"/>
        </w:sectPr>
      </w:pPr>
    </w:p>
    <w:p>
      <w:pPr>
        <w:pStyle w:val="BodyText"/>
        <w:rPr>
          <w:sz w:val="20"/>
        </w:rPr>
      </w:pPr>
    </w:p>
    <w:p>
      <w:pPr>
        <w:pStyle w:val="BodyText"/>
        <w:spacing w:before="11"/>
        <w:rPr>
          <w:sz w:val="24"/>
        </w:rPr>
      </w:pPr>
    </w:p>
    <w:p>
      <w:pPr>
        <w:pStyle w:val="Heading4"/>
        <w:numPr>
          <w:ilvl w:val="2"/>
          <w:numId w:val="16"/>
        </w:numPr>
        <w:tabs>
          <w:tab w:pos="1981" w:val="left" w:leader="none"/>
          <w:tab w:pos="1982" w:val="left" w:leader="none"/>
        </w:tabs>
        <w:spacing w:line="240" w:lineRule="auto" w:before="51" w:after="0"/>
        <w:ind w:left="1982" w:right="0" w:hanging="720"/>
        <w:jc w:val="left"/>
      </w:pPr>
      <w:r>
        <w:rPr/>
        <w:t>Recommendation 16 – Clarifying items 39130 and 39138 – Lead</w:t>
      </w:r>
      <w:r>
        <w:rPr>
          <w:spacing w:val="-1"/>
        </w:rPr>
        <w:t> </w:t>
      </w:r>
      <w:r>
        <w:rPr/>
        <w:t>placement</w:t>
      </w:r>
    </w:p>
    <w:p>
      <w:pPr>
        <w:pStyle w:val="BodyText"/>
        <w:spacing w:before="204"/>
        <w:ind w:left="1262"/>
      </w:pPr>
      <w:r>
        <w:rPr/>
        <w:t>The Committee recommends:</w:t>
      </w:r>
    </w:p>
    <w:p>
      <w:pPr>
        <w:pStyle w:val="BodyText"/>
        <w:spacing w:before="6"/>
        <w:rPr>
          <w:sz w:val="16"/>
        </w:rPr>
      </w:pPr>
    </w:p>
    <w:p>
      <w:pPr>
        <w:pStyle w:val="ListParagraph"/>
        <w:numPr>
          <w:ilvl w:val="3"/>
          <w:numId w:val="16"/>
        </w:numPr>
        <w:tabs>
          <w:tab w:pos="2035" w:val="left" w:leader="none"/>
        </w:tabs>
        <w:spacing w:line="240" w:lineRule="auto" w:before="0" w:after="0"/>
        <w:ind w:left="2034" w:right="0" w:hanging="361"/>
        <w:jc w:val="left"/>
        <w:rPr>
          <w:sz w:val="22"/>
        </w:rPr>
      </w:pPr>
      <w:r>
        <w:rPr>
          <w:sz w:val="22"/>
        </w:rPr>
        <w:t>Amending the item descriptors to (changes in</w:t>
      </w:r>
      <w:r>
        <w:rPr>
          <w:spacing w:val="-4"/>
          <w:sz w:val="22"/>
        </w:rPr>
        <w:t> </w:t>
      </w:r>
      <w:r>
        <w:rPr>
          <w:sz w:val="22"/>
        </w:rPr>
        <w:t>bold):</w:t>
      </w:r>
    </w:p>
    <w:p>
      <w:pPr>
        <w:pStyle w:val="BodyText"/>
        <w:spacing w:before="4"/>
        <w:rPr>
          <w:sz w:val="16"/>
        </w:rPr>
      </w:pPr>
    </w:p>
    <w:p>
      <w:pPr>
        <w:pStyle w:val="ListParagraph"/>
        <w:numPr>
          <w:ilvl w:val="3"/>
          <w:numId w:val="16"/>
        </w:numPr>
        <w:tabs>
          <w:tab w:pos="2035" w:val="left" w:leader="none"/>
        </w:tabs>
        <w:spacing w:line="240" w:lineRule="auto" w:before="1" w:after="0"/>
        <w:ind w:left="2034" w:right="0" w:hanging="361"/>
        <w:jc w:val="left"/>
        <w:rPr>
          <w:sz w:val="22"/>
        </w:rPr>
      </w:pPr>
      <w:r>
        <w:rPr>
          <w:sz w:val="22"/>
        </w:rPr>
        <w:t>One additional new item</w:t>
      </w:r>
      <w:r>
        <w:rPr>
          <w:spacing w:val="-7"/>
          <w:sz w:val="22"/>
        </w:rPr>
        <w:t> </w:t>
      </w:r>
      <w:r>
        <w:rPr>
          <w:sz w:val="22"/>
        </w:rPr>
        <w:t>39129</w:t>
      </w:r>
    </w:p>
    <w:p>
      <w:pPr>
        <w:pStyle w:val="BodyText"/>
        <w:spacing w:before="10"/>
        <w:rPr>
          <w:sz w:val="11"/>
        </w:rPr>
      </w:pPr>
      <w:r>
        <w:rPr/>
        <w:pict>
          <v:shape style="position:absolute;margin-left:85.050003pt;margin-top:10.201641pt;width:414.3pt;height:75.5pt;mso-position-horizontal-relative:page;mso-position-vertical-relative:paragraph;z-index:-15588864;mso-wrap-distance-left:0;mso-wrap-distance-right:0" type="#_x0000_t202" filled="false" stroked="true" strokeweight="2pt" strokecolor="#c0504d">
            <v:textbox inset="0,0,0,0">
              <w:txbxContent>
                <w:p>
                  <w:pPr>
                    <w:spacing w:before="69"/>
                    <w:ind w:left="144" w:right="0" w:firstLine="0"/>
                    <w:jc w:val="left"/>
                    <w:rPr>
                      <w:b/>
                      <w:sz w:val="22"/>
                    </w:rPr>
                  </w:pPr>
                  <w:r>
                    <w:rPr>
                      <w:b/>
                      <w:sz w:val="22"/>
                    </w:rPr>
                    <w:t>New Item 39129</w:t>
                  </w:r>
                </w:p>
                <w:p>
                  <w:pPr>
                    <w:pStyle w:val="BodyText"/>
                    <w:spacing w:before="3"/>
                    <w:rPr>
                      <w:b/>
                      <w:sz w:val="21"/>
                    </w:rPr>
                  </w:pPr>
                </w:p>
                <w:p>
                  <w:pPr>
                    <w:pStyle w:val="BodyText"/>
                    <w:spacing w:line="316" w:lineRule="auto"/>
                    <w:ind w:left="144" w:right="155"/>
                  </w:pPr>
                  <w:r>
                    <w:rPr/>
                    <w:t>PERIPHERAL LEAD, percutaneous placement of, including intraoperative test stimulation, for the management of chronic neuropathic pain (Anaes.)</w:t>
                  </w:r>
                </w:p>
              </w:txbxContent>
            </v:textbox>
            <v:stroke dashstyle="solid"/>
            <w10:wrap type="topAndBottom"/>
          </v:shape>
        </w:pict>
      </w:r>
    </w:p>
    <w:p>
      <w:pPr>
        <w:pStyle w:val="BodyText"/>
        <w:spacing w:before="169"/>
        <w:ind w:left="1262"/>
      </w:pPr>
      <w:r>
        <w:rPr/>
        <w:t>and</w:t>
      </w:r>
    </w:p>
    <w:p>
      <w:pPr>
        <w:pStyle w:val="BodyText"/>
        <w:spacing w:before="9"/>
        <w:rPr>
          <w:sz w:val="11"/>
        </w:rPr>
      </w:pPr>
      <w:r>
        <w:rPr/>
        <w:pict>
          <v:shape style="position:absolute;margin-left:85.050003pt;margin-top:10.152266pt;width:414.3pt;height:85pt;mso-position-horizontal-relative:page;mso-position-vertical-relative:paragraph;z-index:-15588352;mso-wrap-distance-left:0;mso-wrap-distance-right:0" type="#_x0000_t202" filled="false" stroked="true" strokeweight="2pt" strokecolor="#c0504d">
            <v:textbox inset="0,0,0,0">
              <w:txbxContent>
                <w:p>
                  <w:pPr>
                    <w:spacing w:before="70"/>
                    <w:ind w:left="144" w:right="0" w:firstLine="0"/>
                    <w:jc w:val="left"/>
                    <w:rPr>
                      <w:b/>
                      <w:sz w:val="22"/>
                    </w:rPr>
                  </w:pPr>
                  <w:r>
                    <w:rPr>
                      <w:b/>
                      <w:sz w:val="22"/>
                    </w:rPr>
                    <w:t>Item 39130</w:t>
                  </w:r>
                </w:p>
                <w:p>
                  <w:pPr>
                    <w:pStyle w:val="BodyText"/>
                    <w:spacing w:line="312" w:lineRule="auto" w:before="140"/>
                    <w:ind w:left="144" w:right="192"/>
                  </w:pPr>
                  <w:r>
                    <w:rPr/>
                    <w:t>EPIDURAL LEAD, percutaneous placement of, including intraoperative test stimulation, for the management of chronic neuropathic pain or pain from refractory angina pectoris (Anaes.)</w:t>
                  </w:r>
                </w:p>
              </w:txbxContent>
            </v:textbox>
            <v:stroke dashstyle="solid"/>
            <w10:wrap type="topAndBottom"/>
          </v:shape>
        </w:pict>
      </w:r>
    </w:p>
    <w:p>
      <w:pPr>
        <w:pStyle w:val="BodyText"/>
        <w:spacing w:before="177"/>
        <w:ind w:left="1262"/>
      </w:pPr>
      <w:r>
        <w:rPr/>
        <w:t>and</w:t>
      </w:r>
    </w:p>
    <w:p>
      <w:pPr>
        <w:pStyle w:val="BodyText"/>
        <w:spacing w:before="10"/>
        <w:rPr>
          <w:sz w:val="11"/>
        </w:rPr>
      </w:pPr>
      <w:r>
        <w:rPr/>
        <w:pict>
          <v:shape style="position:absolute;margin-left:85.050003pt;margin-top:10.212266pt;width:414.3pt;height:85pt;mso-position-horizontal-relative:page;mso-position-vertical-relative:paragraph;z-index:-15587840;mso-wrap-distance-left:0;mso-wrap-distance-right:0" type="#_x0000_t202" filled="false" stroked="true" strokeweight="2pt" strokecolor="#c0504d">
            <v:textbox inset="0,0,0,0">
              <w:txbxContent>
                <w:p>
                  <w:pPr>
                    <w:spacing w:before="69"/>
                    <w:ind w:left="144" w:right="0" w:firstLine="0"/>
                    <w:jc w:val="left"/>
                    <w:rPr>
                      <w:b/>
                      <w:sz w:val="22"/>
                    </w:rPr>
                  </w:pPr>
                  <w:r>
                    <w:rPr>
                      <w:b/>
                      <w:sz w:val="22"/>
                    </w:rPr>
                    <w:t>Item 39138</w:t>
                  </w:r>
                </w:p>
                <w:p>
                  <w:pPr>
                    <w:spacing w:line="312" w:lineRule="auto" w:before="142"/>
                    <w:ind w:left="144" w:right="737" w:firstLine="0"/>
                    <w:jc w:val="left"/>
                    <w:rPr>
                      <w:sz w:val="22"/>
                    </w:rPr>
                  </w:pPr>
                  <w:r>
                    <w:rPr>
                      <w:sz w:val="22"/>
                    </w:rPr>
                    <w:t>PERIPHERAL NERVE LEAD, surgical placement of, including intraoperative test stimulation, for the management of chronic neuropathic pain </w:t>
                  </w:r>
                  <w:r>
                    <w:rPr>
                      <w:b/>
                      <w:sz w:val="22"/>
                    </w:rPr>
                    <w:t>where the leads are intended to remain in situ long term </w:t>
                  </w:r>
                  <w:r>
                    <w:rPr>
                      <w:sz w:val="22"/>
                    </w:rPr>
                    <w:t>(Anaes.) (Assist.)</w:t>
                  </w:r>
                </w:p>
              </w:txbxContent>
            </v:textbox>
            <v:stroke dashstyle="solid"/>
            <w10:wrap type="topAndBottom"/>
          </v:shape>
        </w:pict>
      </w:r>
    </w:p>
    <w:p>
      <w:pPr>
        <w:pStyle w:val="BodyText"/>
      </w:pPr>
    </w:p>
    <w:p>
      <w:pPr>
        <w:pStyle w:val="BodyText"/>
        <w:spacing w:before="2"/>
        <w:rPr>
          <w:sz w:val="31"/>
        </w:rPr>
      </w:pPr>
    </w:p>
    <w:p>
      <w:pPr>
        <w:pStyle w:val="Heading4"/>
        <w:tabs>
          <w:tab w:pos="2397" w:val="left" w:leader="none"/>
        </w:tabs>
        <w:spacing w:before="1"/>
        <w:ind w:left="1262" w:firstLine="0"/>
      </w:pPr>
      <w:r>
        <w:rPr/>
        <w:t>4.2.4.1</w:t>
        <w:tab/>
        <w:t>Rationale 16</w:t>
      </w:r>
    </w:p>
    <w:p>
      <w:pPr>
        <w:pStyle w:val="BodyText"/>
        <w:spacing w:before="9"/>
        <w:rPr>
          <w:b/>
          <w:sz w:val="21"/>
        </w:rPr>
      </w:pPr>
    </w:p>
    <w:p>
      <w:pPr>
        <w:pStyle w:val="BodyText"/>
        <w:spacing w:line="312" w:lineRule="auto"/>
        <w:ind w:left="1262" w:right="1923"/>
      </w:pPr>
      <w:r>
        <w:rPr/>
        <w:t>This recommendation focuses on effective use of the health system and patient safety. It is based on the following assessment:</w:t>
      </w:r>
    </w:p>
    <w:p>
      <w:pPr>
        <w:pStyle w:val="BodyText"/>
        <w:spacing w:line="312" w:lineRule="auto" w:before="72"/>
        <w:ind w:left="2123" w:right="2126"/>
      </w:pPr>
      <w:r>
        <w:rPr/>
        <w:drawing>
          <wp:anchor distT="0" distB="0" distL="0" distR="0" allowOverlap="1" layoutInCell="1" locked="0" behindDoc="0" simplePos="0" relativeHeight="15869952">
            <wp:simplePos x="0" y="0"/>
            <wp:positionH relativeFrom="page">
              <wp:posOffset>1362646</wp:posOffset>
            </wp:positionH>
            <wp:positionV relativeFrom="paragraph">
              <wp:posOffset>114028</wp:posOffset>
            </wp:positionV>
            <wp:extent cx="52387" cy="52387"/>
            <wp:effectExtent l="0" t="0" r="0" b="0"/>
            <wp:wrapNone/>
            <wp:docPr id="549" name="image176.png"/>
            <wp:cNvGraphicFramePr>
              <a:graphicFrameLocks noChangeAspect="1"/>
            </wp:cNvGraphicFramePr>
            <a:graphic>
              <a:graphicData uri="http://schemas.openxmlformats.org/drawingml/2006/picture">
                <pic:pic>
                  <pic:nvPicPr>
                    <pic:cNvPr id="550" name="image176.png"/>
                    <pic:cNvPicPr/>
                  </pic:nvPicPr>
                  <pic:blipFill>
                    <a:blip r:embed="rId184" cstate="print"/>
                    <a:stretch>
                      <a:fillRect/>
                    </a:stretch>
                  </pic:blipFill>
                  <pic:spPr>
                    <a:xfrm>
                      <a:off x="0" y="0"/>
                      <a:ext cx="52387" cy="52387"/>
                    </a:xfrm>
                    <a:prstGeom prst="rect">
                      <a:avLst/>
                    </a:prstGeom>
                  </pic:spPr>
                </pic:pic>
              </a:graphicData>
            </a:graphic>
          </wp:anchor>
        </w:drawing>
      </w:r>
      <w:r>
        <w:rPr/>
        <w:t>The amendments are intended to provide clarity around claiming practices and appropriate use of the item numbers.</w:t>
      </w:r>
    </w:p>
    <w:p>
      <w:pPr>
        <w:pStyle w:val="BodyText"/>
        <w:spacing w:line="312" w:lineRule="auto" w:before="133"/>
        <w:ind w:left="2123" w:right="1913"/>
      </w:pPr>
      <w:r>
        <w:rPr/>
        <w:drawing>
          <wp:anchor distT="0" distB="0" distL="0" distR="0" allowOverlap="1" layoutInCell="1" locked="0" behindDoc="0" simplePos="0" relativeHeight="15870464">
            <wp:simplePos x="0" y="0"/>
            <wp:positionH relativeFrom="page">
              <wp:posOffset>1362646</wp:posOffset>
            </wp:positionH>
            <wp:positionV relativeFrom="paragraph">
              <wp:posOffset>152763</wp:posOffset>
            </wp:positionV>
            <wp:extent cx="52387" cy="52387"/>
            <wp:effectExtent l="0" t="0" r="0" b="0"/>
            <wp:wrapNone/>
            <wp:docPr id="551" name="image176.png"/>
            <wp:cNvGraphicFramePr>
              <a:graphicFrameLocks noChangeAspect="1"/>
            </wp:cNvGraphicFramePr>
            <a:graphic>
              <a:graphicData uri="http://schemas.openxmlformats.org/drawingml/2006/picture">
                <pic:pic>
                  <pic:nvPicPr>
                    <pic:cNvPr id="552" name="image176.png"/>
                    <pic:cNvPicPr/>
                  </pic:nvPicPr>
                  <pic:blipFill>
                    <a:blip r:embed="rId184" cstate="print"/>
                    <a:stretch>
                      <a:fillRect/>
                    </a:stretch>
                  </pic:blipFill>
                  <pic:spPr>
                    <a:xfrm>
                      <a:off x="0" y="0"/>
                      <a:ext cx="52387" cy="52387"/>
                    </a:xfrm>
                    <a:prstGeom prst="rect">
                      <a:avLst/>
                    </a:prstGeom>
                  </pic:spPr>
                </pic:pic>
              </a:graphicData>
            </a:graphic>
          </wp:anchor>
        </w:drawing>
      </w:r>
      <w:r>
        <w:rPr/>
        <w:t>The word ‘intractable’ is poorly defined and the Committee considers that it does not add clarity to these descriptors.</w:t>
      </w:r>
    </w:p>
    <w:p>
      <w:pPr>
        <w:pStyle w:val="BodyText"/>
        <w:spacing w:line="312" w:lineRule="auto" w:before="132"/>
        <w:ind w:left="2123" w:right="2610"/>
      </w:pPr>
      <w:r>
        <w:rPr/>
        <w:drawing>
          <wp:anchor distT="0" distB="0" distL="0" distR="0" allowOverlap="1" layoutInCell="1" locked="0" behindDoc="0" simplePos="0" relativeHeight="15870976">
            <wp:simplePos x="0" y="0"/>
            <wp:positionH relativeFrom="page">
              <wp:posOffset>1362646</wp:posOffset>
            </wp:positionH>
            <wp:positionV relativeFrom="paragraph">
              <wp:posOffset>151747</wp:posOffset>
            </wp:positionV>
            <wp:extent cx="52387" cy="52387"/>
            <wp:effectExtent l="0" t="0" r="0" b="0"/>
            <wp:wrapNone/>
            <wp:docPr id="553" name="image176.png"/>
            <wp:cNvGraphicFramePr>
              <a:graphicFrameLocks noChangeAspect="1"/>
            </wp:cNvGraphicFramePr>
            <a:graphic>
              <a:graphicData uri="http://schemas.openxmlformats.org/drawingml/2006/picture">
                <pic:pic>
                  <pic:nvPicPr>
                    <pic:cNvPr id="554" name="image176.png"/>
                    <pic:cNvPicPr/>
                  </pic:nvPicPr>
                  <pic:blipFill>
                    <a:blip r:embed="rId184" cstate="print"/>
                    <a:stretch>
                      <a:fillRect/>
                    </a:stretch>
                  </pic:blipFill>
                  <pic:spPr>
                    <a:xfrm>
                      <a:off x="0" y="0"/>
                      <a:ext cx="52387" cy="52387"/>
                    </a:xfrm>
                    <a:prstGeom prst="rect">
                      <a:avLst/>
                    </a:prstGeom>
                  </pic:spPr>
                </pic:pic>
              </a:graphicData>
            </a:graphic>
          </wp:anchor>
        </w:drawing>
      </w:r>
      <w:r>
        <w:rPr/>
        <w:t>The three item rule currently being considered at the Principles and Rules Committee will supersede the ‘maximum of 4 leads’ rule.</w:t>
      </w:r>
    </w:p>
    <w:p>
      <w:pPr>
        <w:pStyle w:val="BodyText"/>
        <w:spacing w:line="312" w:lineRule="auto" w:before="130"/>
        <w:ind w:left="2123" w:right="1821"/>
      </w:pPr>
      <w:r>
        <w:rPr/>
        <w:drawing>
          <wp:anchor distT="0" distB="0" distL="0" distR="0" allowOverlap="1" layoutInCell="1" locked="0" behindDoc="0" simplePos="0" relativeHeight="15871488">
            <wp:simplePos x="0" y="0"/>
            <wp:positionH relativeFrom="page">
              <wp:posOffset>1362646</wp:posOffset>
            </wp:positionH>
            <wp:positionV relativeFrom="paragraph">
              <wp:posOffset>150528</wp:posOffset>
            </wp:positionV>
            <wp:extent cx="52387" cy="52387"/>
            <wp:effectExtent l="0" t="0" r="0" b="0"/>
            <wp:wrapNone/>
            <wp:docPr id="555" name="image176.png"/>
            <wp:cNvGraphicFramePr>
              <a:graphicFrameLocks noChangeAspect="1"/>
            </wp:cNvGraphicFramePr>
            <a:graphic>
              <a:graphicData uri="http://schemas.openxmlformats.org/drawingml/2006/picture">
                <pic:pic>
                  <pic:nvPicPr>
                    <pic:cNvPr id="556" name="image176.png"/>
                    <pic:cNvPicPr/>
                  </pic:nvPicPr>
                  <pic:blipFill>
                    <a:blip r:embed="rId184" cstate="print"/>
                    <a:stretch>
                      <a:fillRect/>
                    </a:stretch>
                  </pic:blipFill>
                  <pic:spPr>
                    <a:xfrm>
                      <a:off x="0" y="0"/>
                      <a:ext cx="52387" cy="52387"/>
                    </a:xfrm>
                    <a:prstGeom prst="rect">
                      <a:avLst/>
                    </a:prstGeom>
                  </pic:spPr>
                </pic:pic>
              </a:graphicData>
            </a:graphic>
          </wp:anchor>
        </w:drawing>
      </w:r>
      <w:r>
        <w:rPr/>
        <w:t>The addition of ‘where the leads are intended to remain in situ long term’ to item 39138 is designed to clarify the intended use of the item and seek to stop the item</w:t>
      </w:r>
    </w:p>
    <w:p>
      <w:pPr>
        <w:spacing w:after="0" w:line="312" w:lineRule="auto"/>
        <w:sectPr>
          <w:pgSz w:w="11910" w:h="16840"/>
          <w:pgMar w:header="672" w:footer="978" w:top="1300" w:bottom="1160" w:left="440" w:right="140"/>
        </w:sectPr>
      </w:pPr>
    </w:p>
    <w:p>
      <w:pPr>
        <w:pStyle w:val="BodyText"/>
        <w:rPr>
          <w:sz w:val="20"/>
        </w:rPr>
      </w:pPr>
    </w:p>
    <w:p>
      <w:pPr>
        <w:pStyle w:val="BodyText"/>
        <w:spacing w:before="3"/>
        <w:rPr>
          <w:sz w:val="24"/>
        </w:rPr>
      </w:pPr>
    </w:p>
    <w:p>
      <w:pPr>
        <w:pStyle w:val="BodyText"/>
        <w:spacing w:line="312" w:lineRule="auto" w:before="57"/>
        <w:ind w:left="2123" w:right="1715"/>
      </w:pPr>
      <w:r>
        <w:rPr/>
        <w:t>being inappropriately claimed, e.g. for Percutaneous Electrical Nerve Stimulation procedure (placement of an electrode for 20-30 mins with pulsed therapy delivered and then leads removed).</w:t>
      </w:r>
    </w:p>
    <w:p>
      <w:pPr>
        <w:pStyle w:val="BodyText"/>
        <w:spacing w:line="312" w:lineRule="auto" w:before="131"/>
        <w:ind w:left="2123" w:right="1790"/>
      </w:pPr>
      <w:r>
        <w:rPr/>
        <w:t>Currently there is no item for peripheral lead percutaneous placement (there is an item for surgical placement). It is possible that practitioners currently use 39130 or 39138 for this purpose. Our suggested change will bring greater clarity of current practice. It will also enable the use of an appropriately lower fee for percutaneous peripheral lead placement.</w:t>
      </w:r>
    </w:p>
    <w:p>
      <w:pPr>
        <w:pStyle w:val="BodyText"/>
      </w:pPr>
    </w:p>
    <w:p>
      <w:pPr>
        <w:pStyle w:val="BodyText"/>
        <w:spacing w:before="6"/>
        <w:rPr>
          <w:sz w:val="26"/>
        </w:rPr>
      </w:pPr>
    </w:p>
    <w:p>
      <w:pPr>
        <w:pStyle w:val="Heading4"/>
        <w:numPr>
          <w:ilvl w:val="2"/>
          <w:numId w:val="16"/>
        </w:numPr>
        <w:tabs>
          <w:tab w:pos="1981" w:val="left" w:leader="none"/>
          <w:tab w:pos="1982" w:val="left" w:leader="none"/>
        </w:tabs>
        <w:spacing w:line="312" w:lineRule="auto" w:before="0" w:after="0"/>
        <w:ind w:left="1982" w:right="1916" w:hanging="720"/>
        <w:jc w:val="left"/>
      </w:pPr>
      <w:r>
        <w:rPr/>
        <w:t>Recommendation 17 – Further review of item 14221 - devices infusing into the venous</w:t>
      </w:r>
      <w:r>
        <w:rPr>
          <w:spacing w:val="-4"/>
        </w:rPr>
        <w:t> </w:t>
      </w:r>
      <w:r>
        <w:rPr/>
        <w:t>system</w:t>
      </w:r>
    </w:p>
    <w:p>
      <w:pPr>
        <w:pStyle w:val="BodyText"/>
        <w:spacing w:before="119"/>
        <w:ind w:left="1262" w:right="2222"/>
      </w:pPr>
      <w:r>
        <w:rPr/>
        <w:t>The Committee recommends that item 14221 be further reviewed noting the issues are outside the remit of the Committee.</w:t>
      </w:r>
    </w:p>
    <w:p>
      <w:pPr>
        <w:pStyle w:val="BodyText"/>
        <w:spacing w:before="9"/>
        <w:rPr>
          <w:sz w:val="19"/>
        </w:rPr>
      </w:pPr>
    </w:p>
    <w:p>
      <w:pPr>
        <w:spacing w:before="0"/>
        <w:ind w:left="1262" w:right="1949" w:firstLine="0"/>
        <w:jc w:val="left"/>
        <w:rPr>
          <w:i/>
          <w:sz w:val="22"/>
        </w:rPr>
      </w:pPr>
      <w:r>
        <w:rPr>
          <w:i/>
          <w:sz w:val="22"/>
        </w:rPr>
        <w:t>Note: Currently, Specialist Pain Medicine Physicians use item number 14221 occasionally to </w:t>
      </w:r>
      <w:r>
        <w:rPr>
          <w:i/>
          <w:sz w:val="22"/>
        </w:rPr>
        <w:t>allow side-port access to assess catheter patency. This is a procedure that is considered of equivalent difficulty to item 14218 – refer to Recommendation 14.</w:t>
      </w:r>
    </w:p>
    <w:p>
      <w:pPr>
        <w:pStyle w:val="BodyText"/>
        <w:rPr>
          <w:i/>
        </w:rPr>
      </w:pPr>
    </w:p>
    <w:p>
      <w:pPr>
        <w:pStyle w:val="BodyText"/>
        <w:rPr>
          <w:i/>
        </w:rPr>
      </w:pPr>
    </w:p>
    <w:p>
      <w:pPr>
        <w:pStyle w:val="BodyText"/>
        <w:spacing w:before="5"/>
        <w:rPr>
          <w:i/>
          <w:sz w:val="17"/>
        </w:rPr>
      </w:pPr>
    </w:p>
    <w:p>
      <w:pPr>
        <w:pStyle w:val="Heading4"/>
        <w:tabs>
          <w:tab w:pos="2397" w:val="left" w:leader="none"/>
        </w:tabs>
        <w:spacing w:before="0"/>
        <w:ind w:left="1262" w:firstLine="0"/>
      </w:pPr>
      <w:r>
        <w:rPr/>
        <w:t>4.2.5.1</w:t>
        <w:tab/>
        <w:t>Rationale</w:t>
      </w:r>
      <w:r>
        <w:rPr>
          <w:spacing w:val="-1"/>
        </w:rPr>
        <w:t> </w:t>
      </w:r>
      <w:r>
        <w:rPr/>
        <w:t>17</w:t>
      </w:r>
    </w:p>
    <w:p>
      <w:pPr>
        <w:pStyle w:val="BodyText"/>
        <w:spacing w:line="314" w:lineRule="auto" w:before="204"/>
        <w:ind w:left="1262" w:right="2002"/>
      </w:pPr>
      <w:r>
        <w:rPr/>
        <w:t>The item 14221 is currently being used for a variety of purposes across a number of areas, including oncology, haematology and pain management.</w:t>
      </w:r>
    </w:p>
    <w:p>
      <w:pPr>
        <w:pStyle w:val="BodyText"/>
        <w:spacing w:line="312" w:lineRule="auto" w:before="175"/>
        <w:ind w:left="1262" w:right="2382"/>
      </w:pPr>
      <w:r>
        <w:rPr/>
        <w:t>This recommendation focuses on effective use of the health system. It is based on the following assessment:</w:t>
      </w:r>
    </w:p>
    <w:p>
      <w:pPr>
        <w:pStyle w:val="BodyText"/>
        <w:spacing w:line="312" w:lineRule="auto" w:before="72"/>
        <w:ind w:left="2123" w:right="1812"/>
      </w:pPr>
      <w:r>
        <w:rPr/>
        <w:drawing>
          <wp:anchor distT="0" distB="0" distL="0" distR="0" allowOverlap="1" layoutInCell="1" locked="0" behindDoc="0" simplePos="0" relativeHeight="15872000">
            <wp:simplePos x="0" y="0"/>
            <wp:positionH relativeFrom="page">
              <wp:posOffset>1362646</wp:posOffset>
            </wp:positionH>
            <wp:positionV relativeFrom="paragraph">
              <wp:posOffset>114028</wp:posOffset>
            </wp:positionV>
            <wp:extent cx="52387" cy="52387"/>
            <wp:effectExtent l="0" t="0" r="0" b="0"/>
            <wp:wrapNone/>
            <wp:docPr id="561" name="image175.png"/>
            <wp:cNvGraphicFramePr>
              <a:graphicFrameLocks noChangeAspect="1"/>
            </wp:cNvGraphicFramePr>
            <a:graphic>
              <a:graphicData uri="http://schemas.openxmlformats.org/drawingml/2006/picture">
                <pic:pic>
                  <pic:nvPicPr>
                    <pic:cNvPr id="562" name="image175.png"/>
                    <pic:cNvPicPr/>
                  </pic:nvPicPr>
                  <pic:blipFill>
                    <a:blip r:embed="rId183" cstate="print"/>
                    <a:stretch>
                      <a:fillRect/>
                    </a:stretch>
                  </pic:blipFill>
                  <pic:spPr>
                    <a:xfrm>
                      <a:off x="0" y="0"/>
                      <a:ext cx="52387" cy="52387"/>
                    </a:xfrm>
                    <a:prstGeom prst="rect">
                      <a:avLst/>
                    </a:prstGeom>
                  </pic:spPr>
                </pic:pic>
              </a:graphicData>
            </a:graphic>
          </wp:anchor>
        </w:drawing>
      </w:r>
      <w:r>
        <w:rPr/>
        <w:t>The Committee determined that there may be an overuse of item 14221. The intended use of this item relates mainly to devices infusing into the venous system and its use is outside the remit and scope of the Committee.</w:t>
      </w:r>
    </w:p>
    <w:p>
      <w:pPr>
        <w:pStyle w:val="BodyText"/>
        <w:spacing w:line="312" w:lineRule="auto" w:before="131"/>
        <w:ind w:left="2123" w:right="1651"/>
      </w:pPr>
      <w:r>
        <w:rPr/>
        <w:drawing>
          <wp:anchor distT="0" distB="0" distL="0" distR="0" allowOverlap="1" layoutInCell="1" locked="0" behindDoc="0" simplePos="0" relativeHeight="15872512">
            <wp:simplePos x="0" y="0"/>
            <wp:positionH relativeFrom="page">
              <wp:posOffset>1362646</wp:posOffset>
            </wp:positionH>
            <wp:positionV relativeFrom="paragraph">
              <wp:posOffset>151493</wp:posOffset>
            </wp:positionV>
            <wp:extent cx="52387" cy="52387"/>
            <wp:effectExtent l="0" t="0" r="0" b="0"/>
            <wp:wrapNone/>
            <wp:docPr id="563" name="image176.png"/>
            <wp:cNvGraphicFramePr>
              <a:graphicFrameLocks noChangeAspect="1"/>
            </wp:cNvGraphicFramePr>
            <a:graphic>
              <a:graphicData uri="http://schemas.openxmlformats.org/drawingml/2006/picture">
                <pic:pic>
                  <pic:nvPicPr>
                    <pic:cNvPr id="564" name="image176.png"/>
                    <pic:cNvPicPr/>
                  </pic:nvPicPr>
                  <pic:blipFill>
                    <a:blip r:embed="rId184" cstate="print"/>
                    <a:stretch>
                      <a:fillRect/>
                    </a:stretch>
                  </pic:blipFill>
                  <pic:spPr>
                    <a:xfrm>
                      <a:off x="0" y="0"/>
                      <a:ext cx="52387" cy="52387"/>
                    </a:xfrm>
                    <a:prstGeom prst="rect">
                      <a:avLst/>
                    </a:prstGeom>
                  </pic:spPr>
                </pic:pic>
              </a:graphicData>
            </a:graphic>
          </wp:anchor>
        </w:drawing>
      </w:r>
      <w:r>
        <w:rPr/>
        <w:t>The Committee notes that some compliance modelling was completed in relation to item 14221 and its use for insulin pump uploads. Compliance determined that this use is inconsistent with the current descriptor as it uses the word ‘implanted’, which is intended for devices that are inserted into the body under the skin. Insulin pumps are not implanted.</w:t>
      </w:r>
    </w:p>
    <w:p>
      <w:pPr>
        <w:pStyle w:val="BodyText"/>
        <w:spacing w:line="312" w:lineRule="auto" w:before="134"/>
        <w:ind w:left="2123" w:right="1916"/>
      </w:pPr>
      <w:r>
        <w:rPr/>
        <w:drawing>
          <wp:anchor distT="0" distB="0" distL="0" distR="0" allowOverlap="1" layoutInCell="1" locked="0" behindDoc="0" simplePos="0" relativeHeight="15873024">
            <wp:simplePos x="0" y="0"/>
            <wp:positionH relativeFrom="page">
              <wp:posOffset>1362646</wp:posOffset>
            </wp:positionH>
            <wp:positionV relativeFrom="paragraph">
              <wp:posOffset>153017</wp:posOffset>
            </wp:positionV>
            <wp:extent cx="52387" cy="52387"/>
            <wp:effectExtent l="0" t="0" r="0" b="0"/>
            <wp:wrapNone/>
            <wp:docPr id="565" name="image176.png"/>
            <wp:cNvGraphicFramePr>
              <a:graphicFrameLocks noChangeAspect="1"/>
            </wp:cNvGraphicFramePr>
            <a:graphic>
              <a:graphicData uri="http://schemas.openxmlformats.org/drawingml/2006/picture">
                <pic:pic>
                  <pic:nvPicPr>
                    <pic:cNvPr id="566" name="image176.png"/>
                    <pic:cNvPicPr/>
                  </pic:nvPicPr>
                  <pic:blipFill>
                    <a:blip r:embed="rId184" cstate="print"/>
                    <a:stretch>
                      <a:fillRect/>
                    </a:stretch>
                  </pic:blipFill>
                  <pic:spPr>
                    <a:xfrm>
                      <a:off x="0" y="0"/>
                      <a:ext cx="52387" cy="52387"/>
                    </a:xfrm>
                    <a:prstGeom prst="rect">
                      <a:avLst/>
                    </a:prstGeom>
                  </pic:spPr>
                </pic:pic>
              </a:graphicData>
            </a:graphic>
          </wp:anchor>
        </w:drawing>
      </w:r>
      <w:r>
        <w:rPr/>
        <w:t>Item 14221 is used by oncology for the access of a chemotherapy device. There is no item for heparin locks that provide maintenance of patency, antibiotic administration or sampling of blood etc. The use of 14221 for these purposes appears to be inappropriate with the current descriptor of 14221.</w:t>
      </w:r>
    </w:p>
    <w:p>
      <w:pPr>
        <w:spacing w:after="0" w:line="312" w:lineRule="auto"/>
        <w:sectPr>
          <w:headerReference w:type="default" r:id="rId239"/>
          <w:footerReference w:type="default" r:id="rId240"/>
          <w:pgSz w:w="11910" w:h="16840"/>
          <w:pgMar w:header="672" w:footer="978" w:top="1300" w:bottom="1160" w:left="440" w:right="140"/>
        </w:sectPr>
      </w:pPr>
    </w:p>
    <w:p>
      <w:pPr>
        <w:pStyle w:val="BodyText"/>
        <w:rPr>
          <w:sz w:val="20"/>
        </w:rPr>
      </w:pPr>
    </w:p>
    <w:p>
      <w:pPr>
        <w:pStyle w:val="BodyText"/>
        <w:spacing w:before="3"/>
        <w:rPr>
          <w:sz w:val="25"/>
        </w:rPr>
      </w:pPr>
    </w:p>
    <w:p>
      <w:pPr>
        <w:pStyle w:val="BodyText"/>
        <w:spacing w:line="312" w:lineRule="auto" w:before="57"/>
        <w:ind w:left="2123" w:right="1774"/>
        <w:jc w:val="both"/>
      </w:pPr>
      <w:r>
        <w:rPr/>
        <w:t>The Committee determined that it was not qualified to identify concerns regarding safety, access, value or contemporary best practice with the Oncology or infectious disease use of this item.</w:t>
      </w:r>
    </w:p>
    <w:p>
      <w:pPr>
        <w:spacing w:line="312" w:lineRule="auto" w:before="131"/>
        <w:ind w:left="2123" w:right="1656" w:firstLine="0"/>
        <w:jc w:val="left"/>
        <w:rPr>
          <w:i/>
          <w:sz w:val="22"/>
        </w:rPr>
      </w:pPr>
      <w:r>
        <w:rPr/>
        <w:drawing>
          <wp:anchor distT="0" distB="0" distL="0" distR="0" allowOverlap="1" layoutInCell="1" locked="0" behindDoc="0" simplePos="0" relativeHeight="15873536">
            <wp:simplePos x="0" y="0"/>
            <wp:positionH relativeFrom="page">
              <wp:posOffset>1362646</wp:posOffset>
            </wp:positionH>
            <wp:positionV relativeFrom="paragraph">
              <wp:posOffset>152128</wp:posOffset>
            </wp:positionV>
            <wp:extent cx="52387" cy="52387"/>
            <wp:effectExtent l="0" t="0" r="0" b="0"/>
            <wp:wrapNone/>
            <wp:docPr id="567" name="image176.png"/>
            <wp:cNvGraphicFramePr>
              <a:graphicFrameLocks noChangeAspect="1"/>
            </wp:cNvGraphicFramePr>
            <a:graphic>
              <a:graphicData uri="http://schemas.openxmlformats.org/drawingml/2006/picture">
                <pic:pic>
                  <pic:nvPicPr>
                    <pic:cNvPr id="568" name="image176.png"/>
                    <pic:cNvPicPr/>
                  </pic:nvPicPr>
                  <pic:blipFill>
                    <a:blip r:embed="rId184" cstate="print"/>
                    <a:stretch>
                      <a:fillRect/>
                    </a:stretch>
                  </pic:blipFill>
                  <pic:spPr>
                    <a:xfrm>
                      <a:off x="0" y="0"/>
                      <a:ext cx="52387" cy="52387"/>
                    </a:xfrm>
                    <a:prstGeom prst="rect">
                      <a:avLst/>
                    </a:prstGeom>
                  </pic:spPr>
                </pic:pic>
              </a:graphicData>
            </a:graphic>
          </wp:anchor>
        </w:drawing>
      </w:r>
      <w:r>
        <w:rPr>
          <w:sz w:val="22"/>
        </w:rPr>
        <w:t>Whilst reviewing item 13945 the Oncology Clinical Committee (OCC) recommended to ‘</w:t>
      </w:r>
      <w:r>
        <w:rPr>
          <w:i/>
          <w:sz w:val="22"/>
        </w:rPr>
        <w:t>remove item 13945 from the MBS, remove the reference to item 13945 from item </w:t>
      </w:r>
      <w:r>
        <w:rPr>
          <w:i/>
          <w:sz w:val="22"/>
        </w:rPr>
        <w:t>14221, and prevent use of item 14221 where the service is provided in conjunction with the administration of anticancer therapy. This recommendation recognises that use of long-term vascular access devices with anticancer therapy is part of the standard of care and does not represent a separate, distinct service. The recommendation also addresses highly irregular and variable patterns of use for item 13945 across providers, thereby improving value for the patient and the health system’.</w:t>
      </w:r>
    </w:p>
    <w:p>
      <w:pPr>
        <w:pStyle w:val="BodyText"/>
        <w:spacing w:before="134"/>
        <w:ind w:left="2123" w:right="1709"/>
        <w:jc w:val="both"/>
      </w:pPr>
      <w:r>
        <w:rPr/>
        <w:drawing>
          <wp:anchor distT="0" distB="0" distL="0" distR="0" allowOverlap="1" layoutInCell="1" locked="0" behindDoc="0" simplePos="0" relativeHeight="15874048">
            <wp:simplePos x="0" y="0"/>
            <wp:positionH relativeFrom="page">
              <wp:posOffset>1362646</wp:posOffset>
            </wp:positionH>
            <wp:positionV relativeFrom="paragraph">
              <wp:posOffset>153652</wp:posOffset>
            </wp:positionV>
            <wp:extent cx="52387" cy="52387"/>
            <wp:effectExtent l="0" t="0" r="0" b="0"/>
            <wp:wrapNone/>
            <wp:docPr id="569" name="image176.png"/>
            <wp:cNvGraphicFramePr>
              <a:graphicFrameLocks noChangeAspect="1"/>
            </wp:cNvGraphicFramePr>
            <a:graphic>
              <a:graphicData uri="http://schemas.openxmlformats.org/drawingml/2006/picture">
                <pic:pic>
                  <pic:nvPicPr>
                    <pic:cNvPr id="570" name="image176.png"/>
                    <pic:cNvPicPr/>
                  </pic:nvPicPr>
                  <pic:blipFill>
                    <a:blip r:embed="rId184" cstate="print"/>
                    <a:stretch>
                      <a:fillRect/>
                    </a:stretch>
                  </pic:blipFill>
                  <pic:spPr>
                    <a:xfrm>
                      <a:off x="0" y="0"/>
                      <a:ext cx="52387" cy="52387"/>
                    </a:xfrm>
                    <a:prstGeom prst="rect">
                      <a:avLst/>
                    </a:prstGeom>
                  </pic:spPr>
                </pic:pic>
              </a:graphicData>
            </a:graphic>
          </wp:anchor>
        </w:drawing>
      </w:r>
      <w:r>
        <w:rPr/>
        <w:t>Both the OCC and the Committee note there are additional aspects on the usage of item 14221 (outside of medical oncology or pain management) that warrant further investigation potentially as part of an ongoing review mechanism.</w:t>
      </w:r>
    </w:p>
    <w:p>
      <w:pPr>
        <w:pStyle w:val="BodyText"/>
        <w:spacing w:before="11"/>
        <w:rPr>
          <w:sz w:val="15"/>
        </w:rPr>
      </w:pPr>
    </w:p>
    <w:p>
      <w:pPr>
        <w:pStyle w:val="BodyText"/>
        <w:spacing w:line="312" w:lineRule="auto" w:before="56"/>
        <w:ind w:left="2123" w:right="1872"/>
        <w:jc w:val="both"/>
      </w:pPr>
      <w:r>
        <w:rPr/>
        <w:drawing>
          <wp:anchor distT="0" distB="0" distL="0" distR="0" allowOverlap="1" layoutInCell="1" locked="0" behindDoc="0" simplePos="0" relativeHeight="15874560">
            <wp:simplePos x="0" y="0"/>
            <wp:positionH relativeFrom="page">
              <wp:posOffset>1362646</wp:posOffset>
            </wp:positionH>
            <wp:positionV relativeFrom="paragraph">
              <wp:posOffset>104122</wp:posOffset>
            </wp:positionV>
            <wp:extent cx="52387" cy="52387"/>
            <wp:effectExtent l="0" t="0" r="0" b="0"/>
            <wp:wrapNone/>
            <wp:docPr id="571" name="image176.png"/>
            <wp:cNvGraphicFramePr>
              <a:graphicFrameLocks noChangeAspect="1"/>
            </wp:cNvGraphicFramePr>
            <a:graphic>
              <a:graphicData uri="http://schemas.openxmlformats.org/drawingml/2006/picture">
                <pic:pic>
                  <pic:nvPicPr>
                    <pic:cNvPr id="572" name="image176.png"/>
                    <pic:cNvPicPr/>
                  </pic:nvPicPr>
                  <pic:blipFill>
                    <a:blip r:embed="rId184" cstate="print"/>
                    <a:stretch>
                      <a:fillRect/>
                    </a:stretch>
                  </pic:blipFill>
                  <pic:spPr>
                    <a:xfrm>
                      <a:off x="0" y="0"/>
                      <a:ext cx="52387" cy="52387"/>
                    </a:xfrm>
                    <a:prstGeom prst="rect">
                      <a:avLst/>
                    </a:prstGeom>
                  </pic:spPr>
                </pic:pic>
              </a:graphicData>
            </a:graphic>
          </wp:anchor>
        </w:drawing>
      </w:r>
      <w:r>
        <w:rPr/>
        <w:t>Further review of this item would best take place in consultation with oncologists, haematologists, Specialist Pain Medicine Physicians, palliative care physicians and nurses.</w:t>
      </w:r>
    </w:p>
    <w:p>
      <w:pPr>
        <w:pStyle w:val="BodyText"/>
        <w:rPr>
          <w:sz w:val="20"/>
        </w:rPr>
      </w:pPr>
    </w:p>
    <w:p>
      <w:pPr>
        <w:pStyle w:val="BodyText"/>
        <w:spacing w:before="1"/>
        <w:rPr>
          <w:sz w:val="24"/>
        </w:rPr>
      </w:pPr>
    </w:p>
    <w:p>
      <w:pPr>
        <w:pStyle w:val="Heading4"/>
        <w:numPr>
          <w:ilvl w:val="2"/>
          <w:numId w:val="16"/>
        </w:numPr>
        <w:tabs>
          <w:tab w:pos="1981" w:val="left" w:leader="none"/>
          <w:tab w:pos="1982" w:val="left" w:leader="none"/>
        </w:tabs>
        <w:spacing w:line="312" w:lineRule="auto" w:before="52" w:after="0"/>
        <w:ind w:left="1982" w:right="2005" w:hanging="720"/>
        <w:jc w:val="left"/>
      </w:pPr>
      <w:r>
        <w:rPr/>
        <w:t>Recommendation 18 – Better explanation of the use of implanted devices (Items set out in Table</w:t>
      </w:r>
      <w:r>
        <w:rPr>
          <w:spacing w:val="-4"/>
        </w:rPr>
        <w:t> </w:t>
      </w:r>
      <w:r>
        <w:rPr/>
        <w:t>5)</w:t>
      </w:r>
    </w:p>
    <w:p>
      <w:pPr>
        <w:pStyle w:val="BodyText"/>
        <w:spacing w:before="179"/>
        <w:ind w:left="1262"/>
      </w:pPr>
      <w:r>
        <w:rPr/>
        <w:t>The Committee recommends:</w:t>
      </w:r>
    </w:p>
    <w:p>
      <w:pPr>
        <w:pStyle w:val="BodyText"/>
        <w:spacing w:before="3"/>
        <w:rPr>
          <w:sz w:val="21"/>
        </w:rPr>
      </w:pPr>
    </w:p>
    <w:p>
      <w:pPr>
        <w:pStyle w:val="ListParagraph"/>
        <w:numPr>
          <w:ilvl w:val="3"/>
          <w:numId w:val="16"/>
        </w:numPr>
        <w:tabs>
          <w:tab w:pos="2035" w:val="left" w:leader="none"/>
        </w:tabs>
        <w:spacing w:line="312" w:lineRule="auto" w:before="0" w:after="0"/>
        <w:ind w:left="2034" w:right="2667" w:hanging="360"/>
        <w:jc w:val="left"/>
        <w:rPr>
          <w:sz w:val="22"/>
        </w:rPr>
      </w:pPr>
      <w:r>
        <w:rPr>
          <w:sz w:val="22"/>
        </w:rPr>
        <w:t>adding explanatory notes for all implanted device items considered by the Committee.</w:t>
      </w:r>
    </w:p>
    <w:p>
      <w:pPr>
        <w:spacing w:after="0" w:line="312" w:lineRule="auto"/>
        <w:jc w:val="left"/>
        <w:rPr>
          <w:sz w:val="22"/>
        </w:rPr>
        <w:sectPr>
          <w:pgSz w:w="11910" w:h="16840"/>
          <w:pgMar w:header="672" w:footer="978" w:top="1300" w:bottom="1160" w:left="440" w:right="140"/>
        </w:sectPr>
      </w:pPr>
    </w:p>
    <w:p>
      <w:pPr>
        <w:pStyle w:val="BodyText"/>
        <w:rPr>
          <w:sz w:val="20"/>
        </w:rPr>
      </w:pPr>
      <w:r>
        <w:rPr/>
        <w:drawing>
          <wp:anchor distT="0" distB="0" distL="0" distR="0" allowOverlap="1" layoutInCell="1" locked="0" behindDoc="1" simplePos="0" relativeHeight="483742720">
            <wp:simplePos x="0" y="0"/>
            <wp:positionH relativeFrom="page">
              <wp:posOffset>1466278</wp:posOffset>
            </wp:positionH>
            <wp:positionV relativeFrom="page">
              <wp:posOffset>2348674</wp:posOffset>
            </wp:positionV>
            <wp:extent cx="52387" cy="52387"/>
            <wp:effectExtent l="0" t="0" r="0" b="0"/>
            <wp:wrapNone/>
            <wp:docPr id="575" name="image176.png"/>
            <wp:cNvGraphicFramePr>
              <a:graphicFrameLocks noChangeAspect="1"/>
            </wp:cNvGraphicFramePr>
            <a:graphic>
              <a:graphicData uri="http://schemas.openxmlformats.org/drawingml/2006/picture">
                <pic:pic>
                  <pic:nvPicPr>
                    <pic:cNvPr id="576" name="image176.png"/>
                    <pic:cNvPicPr/>
                  </pic:nvPicPr>
                  <pic:blipFill>
                    <a:blip r:embed="rId184" cstate="print"/>
                    <a:stretch>
                      <a:fillRect/>
                    </a:stretch>
                  </pic:blipFill>
                  <pic:spPr>
                    <a:xfrm>
                      <a:off x="0" y="0"/>
                      <a:ext cx="52387" cy="52387"/>
                    </a:xfrm>
                    <a:prstGeom prst="rect">
                      <a:avLst/>
                    </a:prstGeom>
                  </pic:spPr>
                </pic:pic>
              </a:graphicData>
            </a:graphic>
          </wp:anchor>
        </w:drawing>
      </w:r>
      <w:r>
        <w:rPr/>
        <w:drawing>
          <wp:anchor distT="0" distB="0" distL="0" distR="0" allowOverlap="1" layoutInCell="1" locked="0" behindDoc="1" simplePos="0" relativeHeight="483743232">
            <wp:simplePos x="0" y="0"/>
            <wp:positionH relativeFrom="page">
              <wp:posOffset>1466278</wp:posOffset>
            </wp:positionH>
            <wp:positionV relativeFrom="page">
              <wp:posOffset>2875978</wp:posOffset>
            </wp:positionV>
            <wp:extent cx="52387" cy="52387"/>
            <wp:effectExtent l="0" t="0" r="0" b="0"/>
            <wp:wrapNone/>
            <wp:docPr id="577" name="image176.png"/>
            <wp:cNvGraphicFramePr>
              <a:graphicFrameLocks noChangeAspect="1"/>
            </wp:cNvGraphicFramePr>
            <a:graphic>
              <a:graphicData uri="http://schemas.openxmlformats.org/drawingml/2006/picture">
                <pic:pic>
                  <pic:nvPicPr>
                    <pic:cNvPr id="578" name="image176.png"/>
                    <pic:cNvPicPr/>
                  </pic:nvPicPr>
                  <pic:blipFill>
                    <a:blip r:embed="rId184" cstate="print"/>
                    <a:stretch>
                      <a:fillRect/>
                    </a:stretch>
                  </pic:blipFill>
                  <pic:spPr>
                    <a:xfrm>
                      <a:off x="0" y="0"/>
                      <a:ext cx="52387" cy="52387"/>
                    </a:xfrm>
                    <a:prstGeom prst="rect">
                      <a:avLst/>
                    </a:prstGeom>
                  </pic:spPr>
                </pic:pic>
              </a:graphicData>
            </a:graphic>
          </wp:anchor>
        </w:drawing>
      </w:r>
      <w:r>
        <w:rPr/>
        <w:drawing>
          <wp:anchor distT="0" distB="0" distL="0" distR="0" allowOverlap="1" layoutInCell="1" locked="0" behindDoc="1" simplePos="0" relativeHeight="483743744">
            <wp:simplePos x="0" y="0"/>
            <wp:positionH relativeFrom="page">
              <wp:posOffset>1466278</wp:posOffset>
            </wp:positionH>
            <wp:positionV relativeFrom="page">
              <wp:posOffset>3624262</wp:posOffset>
            </wp:positionV>
            <wp:extent cx="52387" cy="52387"/>
            <wp:effectExtent l="0" t="0" r="0" b="0"/>
            <wp:wrapNone/>
            <wp:docPr id="579" name="image176.png"/>
            <wp:cNvGraphicFramePr>
              <a:graphicFrameLocks noChangeAspect="1"/>
            </wp:cNvGraphicFramePr>
            <a:graphic>
              <a:graphicData uri="http://schemas.openxmlformats.org/drawingml/2006/picture">
                <pic:pic>
                  <pic:nvPicPr>
                    <pic:cNvPr id="580" name="image176.png"/>
                    <pic:cNvPicPr/>
                  </pic:nvPicPr>
                  <pic:blipFill>
                    <a:blip r:embed="rId184" cstate="print"/>
                    <a:stretch>
                      <a:fillRect/>
                    </a:stretch>
                  </pic:blipFill>
                  <pic:spPr>
                    <a:xfrm>
                      <a:off x="0" y="0"/>
                      <a:ext cx="52387" cy="52387"/>
                    </a:xfrm>
                    <a:prstGeom prst="rect">
                      <a:avLst/>
                    </a:prstGeom>
                  </pic:spPr>
                </pic:pic>
              </a:graphicData>
            </a:graphic>
          </wp:anchor>
        </w:drawing>
      </w:r>
      <w:r>
        <w:rPr/>
        <w:drawing>
          <wp:anchor distT="0" distB="0" distL="0" distR="0" allowOverlap="1" layoutInCell="1" locked="0" behindDoc="1" simplePos="0" relativeHeight="483744256">
            <wp:simplePos x="0" y="0"/>
            <wp:positionH relativeFrom="page">
              <wp:posOffset>1466278</wp:posOffset>
            </wp:positionH>
            <wp:positionV relativeFrom="page">
              <wp:posOffset>3929062</wp:posOffset>
            </wp:positionV>
            <wp:extent cx="52387" cy="52387"/>
            <wp:effectExtent l="0" t="0" r="0" b="0"/>
            <wp:wrapNone/>
            <wp:docPr id="581" name="image175.png"/>
            <wp:cNvGraphicFramePr>
              <a:graphicFrameLocks noChangeAspect="1"/>
            </wp:cNvGraphicFramePr>
            <a:graphic>
              <a:graphicData uri="http://schemas.openxmlformats.org/drawingml/2006/picture">
                <pic:pic>
                  <pic:nvPicPr>
                    <pic:cNvPr id="582" name="image175.png"/>
                    <pic:cNvPicPr/>
                  </pic:nvPicPr>
                  <pic:blipFill>
                    <a:blip r:embed="rId183" cstate="print"/>
                    <a:stretch>
                      <a:fillRect/>
                    </a:stretch>
                  </pic:blipFill>
                  <pic:spPr>
                    <a:xfrm>
                      <a:off x="0" y="0"/>
                      <a:ext cx="52387" cy="52387"/>
                    </a:xfrm>
                    <a:prstGeom prst="rect">
                      <a:avLst/>
                    </a:prstGeom>
                  </pic:spPr>
                </pic:pic>
              </a:graphicData>
            </a:graphic>
          </wp:anchor>
        </w:drawing>
      </w:r>
    </w:p>
    <w:p>
      <w:pPr>
        <w:pStyle w:val="BodyText"/>
        <w:spacing w:before="5"/>
        <w:rPr>
          <w:sz w:val="27"/>
        </w:rPr>
      </w:pPr>
    </w:p>
    <w:p>
      <w:pPr>
        <w:pStyle w:val="BodyText"/>
        <w:ind w:left="1241"/>
        <w:rPr>
          <w:sz w:val="20"/>
        </w:rPr>
      </w:pPr>
      <w:r>
        <w:rPr>
          <w:position w:val="-1"/>
          <w:sz w:val="20"/>
        </w:rPr>
        <w:pict>
          <v:shape style="width:414.3pt;height:329.85pt;mso-position-horizontal-relative:char;mso-position-vertical-relative:line" type="#_x0000_t202" filled="false" stroked="true" strokeweight="2pt" strokecolor="#c0504d">
            <w10:anchorlock/>
            <v:textbox inset="0,0,0,0">
              <w:txbxContent>
                <w:p>
                  <w:pPr>
                    <w:spacing w:before="69"/>
                    <w:ind w:left="144" w:right="0" w:firstLine="0"/>
                    <w:jc w:val="left"/>
                    <w:rPr>
                      <w:b/>
                      <w:sz w:val="22"/>
                    </w:rPr>
                  </w:pPr>
                  <w:r>
                    <w:rPr>
                      <w:b/>
                      <w:sz w:val="22"/>
                    </w:rPr>
                    <w:t>New Explanatory Notes – Implanted device items.</w:t>
                  </w:r>
                </w:p>
                <w:p>
                  <w:pPr>
                    <w:pStyle w:val="BodyText"/>
                    <w:spacing w:line="312" w:lineRule="auto" w:before="139"/>
                    <w:ind w:left="144" w:right="313"/>
                    <w:rPr>
                      <w:sz w:val="18"/>
                    </w:rPr>
                  </w:pPr>
                  <w:r>
                    <w:rPr/>
                    <w:t>As with all interventions, implant procedures must be performed in the context of clinical best practice. This is of particular importance given the high cost of the devices. Current clinical best practice for use of these item numbers includes</w:t>
                  </w:r>
                  <w:r>
                    <w:rPr>
                      <w:sz w:val="18"/>
                    </w:rPr>
                    <w:t>:</w:t>
                  </w:r>
                </w:p>
                <w:p>
                  <w:pPr>
                    <w:pStyle w:val="BodyText"/>
                    <w:spacing w:line="312" w:lineRule="auto" w:before="134"/>
                    <w:ind w:left="1005" w:right="834"/>
                  </w:pPr>
                  <w:r>
                    <w:rPr/>
                    <w:t>All procedures being performed in the context of a comprehensive pain management approach with a multidisciplinary team.</w:t>
                  </w:r>
                </w:p>
                <w:p>
                  <w:pPr>
                    <w:pStyle w:val="BodyText"/>
                    <w:spacing w:line="312" w:lineRule="auto" w:before="132"/>
                    <w:ind w:left="1005" w:right="344"/>
                  </w:pPr>
                  <w:r>
                    <w:rPr/>
                    <w:t>Patients must be appropriately selected for the procedure, including, but not limited to assessment of physical and psychological function prior to implantation with findings documented in the medical record.</w:t>
                  </w:r>
                </w:p>
                <w:p>
                  <w:pPr>
                    <w:pStyle w:val="BodyText"/>
                    <w:spacing w:before="132"/>
                    <w:ind w:left="1005"/>
                  </w:pPr>
                  <w:r>
                    <w:rPr/>
                    <w:t>Outcome evaluation pre and post implantation.</w:t>
                  </w:r>
                </w:p>
                <w:p>
                  <w:pPr>
                    <w:pStyle w:val="BodyText"/>
                    <w:spacing w:before="3"/>
                    <w:rPr>
                      <w:sz w:val="17"/>
                    </w:rPr>
                  </w:pPr>
                </w:p>
                <w:p>
                  <w:pPr>
                    <w:pStyle w:val="BodyText"/>
                    <w:spacing w:line="312" w:lineRule="auto"/>
                    <w:ind w:left="1005" w:right="196"/>
                  </w:pPr>
                  <w:r>
                    <w:rPr/>
                    <w:t>Appropriate follow up and ongoing management of implanted medical devices must be ensured.</w:t>
                  </w:r>
                </w:p>
                <w:p>
                  <w:pPr>
                    <w:pStyle w:val="BodyText"/>
                    <w:spacing w:line="314" w:lineRule="auto" w:before="121"/>
                    <w:ind w:left="144" w:right="371"/>
                  </w:pPr>
                  <w:r>
                    <w:rPr/>
                    <w:t>Implantable devices require ongoing monitoring and management. If the person providing the implantation service is not the ongoing physician manager of the device, they are responsible for ensuring that appropriate ongoing management has been arranged.</w:t>
                  </w:r>
                </w:p>
              </w:txbxContent>
            </v:textbox>
            <v:stroke dashstyle="solid"/>
          </v:shape>
        </w:pict>
      </w:r>
      <w:r>
        <w:rPr>
          <w:position w:val="-1"/>
          <w:sz w:val="20"/>
        </w:rPr>
      </w:r>
    </w:p>
    <w:p>
      <w:pPr>
        <w:pStyle w:val="BodyText"/>
        <w:spacing w:before="4"/>
        <w:rPr>
          <w:sz w:val="15"/>
        </w:rPr>
      </w:pPr>
    </w:p>
    <w:p>
      <w:pPr>
        <w:pStyle w:val="ListParagraph"/>
        <w:numPr>
          <w:ilvl w:val="3"/>
          <w:numId w:val="16"/>
        </w:numPr>
        <w:tabs>
          <w:tab w:pos="2035" w:val="left" w:leader="none"/>
        </w:tabs>
        <w:spacing w:line="312" w:lineRule="auto" w:before="57" w:after="0"/>
        <w:ind w:left="2034" w:right="1991" w:hanging="360"/>
        <w:jc w:val="left"/>
        <w:rPr>
          <w:sz w:val="22"/>
        </w:rPr>
      </w:pPr>
      <w:r>
        <w:rPr>
          <w:sz w:val="22"/>
        </w:rPr>
        <w:t>due to evolving evidence regarding what population groups benefit from these procedures, these item numbers should be reviewed in 2 years to ensure ongoing evidence based</w:t>
      </w:r>
      <w:r>
        <w:rPr>
          <w:spacing w:val="-2"/>
          <w:sz w:val="22"/>
        </w:rPr>
        <w:t> </w:t>
      </w:r>
      <w:r>
        <w:rPr>
          <w:sz w:val="22"/>
        </w:rPr>
        <w:t>applicability.</w:t>
      </w:r>
    </w:p>
    <w:p>
      <w:pPr>
        <w:pStyle w:val="BodyText"/>
      </w:pPr>
    </w:p>
    <w:p>
      <w:pPr>
        <w:pStyle w:val="BodyText"/>
        <w:spacing w:before="5"/>
        <w:rPr>
          <w:sz w:val="31"/>
        </w:rPr>
      </w:pPr>
    </w:p>
    <w:p>
      <w:pPr>
        <w:pStyle w:val="Heading4"/>
        <w:tabs>
          <w:tab w:pos="2397" w:val="left" w:leader="none"/>
        </w:tabs>
        <w:spacing w:before="0"/>
        <w:ind w:left="1262" w:firstLine="0"/>
      </w:pPr>
      <w:r>
        <w:rPr/>
        <w:t>4.2.6.1</w:t>
        <w:tab/>
        <w:t>Rationale 18</w:t>
      </w:r>
    </w:p>
    <w:p>
      <w:pPr>
        <w:pStyle w:val="BodyText"/>
        <w:spacing w:line="312" w:lineRule="auto" w:before="206"/>
        <w:ind w:left="1262" w:right="1828"/>
      </w:pPr>
      <w:r>
        <w:rPr/>
        <w:t>The pain management items of the MBS cover a wide variety of treatment options including implanted devices. The use of these devices is an area of ongoing development in effective practice.</w:t>
      </w:r>
    </w:p>
    <w:p>
      <w:pPr>
        <w:pStyle w:val="BodyText"/>
        <w:spacing w:line="312" w:lineRule="auto" w:before="179"/>
        <w:ind w:left="1262" w:right="1662"/>
      </w:pPr>
      <w:r>
        <w:rPr/>
        <w:t>This recommendation focuses on clarifying service provision best practice and effective use of the health system. It is based on the following assessment:</w:t>
      </w:r>
    </w:p>
    <w:p>
      <w:pPr>
        <w:pStyle w:val="BodyText"/>
        <w:spacing w:line="312" w:lineRule="auto" w:before="72"/>
        <w:ind w:left="2123" w:right="1756"/>
      </w:pPr>
      <w:r>
        <w:rPr/>
        <w:drawing>
          <wp:anchor distT="0" distB="0" distL="0" distR="0" allowOverlap="1" layoutInCell="1" locked="0" behindDoc="0" simplePos="0" relativeHeight="15875584">
            <wp:simplePos x="0" y="0"/>
            <wp:positionH relativeFrom="page">
              <wp:posOffset>1362646</wp:posOffset>
            </wp:positionH>
            <wp:positionV relativeFrom="paragraph">
              <wp:posOffset>114028</wp:posOffset>
            </wp:positionV>
            <wp:extent cx="52387" cy="52387"/>
            <wp:effectExtent l="0" t="0" r="0" b="0"/>
            <wp:wrapNone/>
            <wp:docPr id="583" name="image176.png"/>
            <wp:cNvGraphicFramePr>
              <a:graphicFrameLocks noChangeAspect="1"/>
            </wp:cNvGraphicFramePr>
            <a:graphic>
              <a:graphicData uri="http://schemas.openxmlformats.org/drawingml/2006/picture">
                <pic:pic>
                  <pic:nvPicPr>
                    <pic:cNvPr id="584" name="image176.png"/>
                    <pic:cNvPicPr/>
                  </pic:nvPicPr>
                  <pic:blipFill>
                    <a:blip r:embed="rId184" cstate="print"/>
                    <a:stretch>
                      <a:fillRect/>
                    </a:stretch>
                  </pic:blipFill>
                  <pic:spPr>
                    <a:xfrm>
                      <a:off x="0" y="0"/>
                      <a:ext cx="52387" cy="52387"/>
                    </a:xfrm>
                    <a:prstGeom prst="rect">
                      <a:avLst/>
                    </a:prstGeom>
                  </pic:spPr>
                </pic:pic>
              </a:graphicData>
            </a:graphic>
          </wp:anchor>
        </w:drawing>
      </w:r>
      <w:r>
        <w:rPr/>
        <w:t>Implantable devices may be an effective and cost effective pain management intervention in a very select patient population. There is a high risk of poor outcomes and lack of cost effectiveness with inadequate patient selection and follow up </w:t>
      </w:r>
      <w:r>
        <w:rPr>
          <w:sz w:val="18"/>
        </w:rPr>
        <w:t>(International Neuromodulation Society, 2017)</w:t>
      </w:r>
      <w:r>
        <w:rPr/>
        <w:t>. It is difficult to modify the descriptors to contain all the criteria needed for a good patient outcome and this is not generally included in a descriptor. In addition, evidence continues to evolve regarding patients who may benefit from these procedures.</w:t>
      </w:r>
    </w:p>
    <w:p>
      <w:pPr>
        <w:spacing w:after="0" w:line="312" w:lineRule="auto"/>
        <w:sectPr>
          <w:headerReference w:type="default" r:id="rId241"/>
          <w:footerReference w:type="default" r:id="rId242"/>
          <w:pgSz w:w="11910" w:h="16840"/>
          <w:pgMar w:header="672" w:footer="978" w:top="1300" w:bottom="1160" w:left="440" w:right="140"/>
        </w:sectPr>
      </w:pPr>
    </w:p>
    <w:p>
      <w:pPr>
        <w:pStyle w:val="BodyText"/>
        <w:rPr>
          <w:sz w:val="20"/>
        </w:rPr>
      </w:pPr>
    </w:p>
    <w:p>
      <w:pPr>
        <w:pStyle w:val="BodyText"/>
        <w:spacing w:before="3"/>
        <w:rPr>
          <w:sz w:val="25"/>
        </w:rPr>
      </w:pPr>
    </w:p>
    <w:p>
      <w:pPr>
        <w:pStyle w:val="BodyText"/>
        <w:spacing w:line="312" w:lineRule="auto" w:before="57"/>
        <w:ind w:left="2123" w:right="1686"/>
      </w:pPr>
      <w:r>
        <w:rPr/>
        <w:t>Clinical guidelines for implantable devices for pain management are currently under development by the Faculty of Pain Medicine and should be incorporated in the notes when available.</w:t>
      </w:r>
    </w:p>
    <w:p>
      <w:pPr>
        <w:pStyle w:val="BodyText"/>
        <w:spacing w:line="312" w:lineRule="auto" w:before="131"/>
        <w:ind w:left="2123" w:right="1920"/>
      </w:pPr>
      <w:r>
        <w:rPr/>
        <w:t>It was considered that outlining high level best clinical practice in the explanatory notes would be helpful in guiding clinical practice and patient selection.</w:t>
      </w:r>
    </w:p>
    <w:p>
      <w:pPr>
        <w:pStyle w:val="BodyText"/>
        <w:spacing w:line="312" w:lineRule="auto" w:before="132"/>
        <w:ind w:left="2123" w:right="1745"/>
      </w:pPr>
      <w:r>
        <w:rPr/>
        <w:t>Due to evolving evidence, it is recommended that these item numbers be reviewed in 2 years to ensure ongoing evidence-based applicability.</w:t>
      </w:r>
    </w:p>
    <w:p>
      <w:pPr>
        <w:pStyle w:val="BodyText"/>
      </w:pPr>
    </w:p>
    <w:p>
      <w:pPr>
        <w:pStyle w:val="BodyText"/>
        <w:spacing w:before="4"/>
        <w:rPr>
          <w:sz w:val="26"/>
        </w:rPr>
      </w:pPr>
    </w:p>
    <w:p>
      <w:pPr>
        <w:pStyle w:val="Heading4"/>
        <w:numPr>
          <w:ilvl w:val="2"/>
          <w:numId w:val="16"/>
        </w:numPr>
        <w:tabs>
          <w:tab w:pos="1981" w:val="left" w:leader="none"/>
          <w:tab w:pos="1982" w:val="left" w:leader="none"/>
        </w:tabs>
        <w:spacing w:line="312" w:lineRule="auto" w:before="0" w:after="0"/>
        <w:ind w:left="1982" w:right="1686" w:hanging="720"/>
        <w:jc w:val="left"/>
      </w:pPr>
      <w:r>
        <w:rPr/>
        <w:t>Recommendation 19 – Reflecting best practice in items 39130, 39134, 39135, 39136 and 39137 – use of</w:t>
      </w:r>
      <w:r>
        <w:rPr>
          <w:spacing w:val="-1"/>
        </w:rPr>
        <w:t> </w:t>
      </w:r>
      <w:r>
        <w:rPr/>
        <w:t>assistants</w:t>
      </w:r>
    </w:p>
    <w:p>
      <w:pPr>
        <w:pStyle w:val="BodyText"/>
        <w:spacing w:line="312" w:lineRule="auto" w:before="178"/>
        <w:ind w:left="1262" w:right="1722"/>
      </w:pPr>
      <w:r>
        <w:rPr/>
        <w:t>The Committee recommends that items 39130, 39134, 39135, 39136 and 39137 be considered for use of an assistant fee to enable the procedure to be performed safely, noting that the assistant fee is currently being discussed by the Principles and Rules Committee for restructuring around the mechanisms for claiming.</w:t>
      </w:r>
    </w:p>
    <w:p>
      <w:pPr>
        <w:pStyle w:val="BodyText"/>
      </w:pPr>
    </w:p>
    <w:p>
      <w:pPr>
        <w:pStyle w:val="BodyText"/>
        <w:spacing w:before="6"/>
        <w:rPr>
          <w:sz w:val="31"/>
        </w:rPr>
      </w:pPr>
    </w:p>
    <w:p>
      <w:pPr>
        <w:pStyle w:val="Heading4"/>
        <w:tabs>
          <w:tab w:pos="2397" w:val="left" w:leader="none"/>
        </w:tabs>
        <w:spacing w:before="0"/>
        <w:ind w:left="1262" w:firstLine="0"/>
      </w:pPr>
      <w:r>
        <w:rPr/>
        <w:t>4.2.7.1</w:t>
        <w:tab/>
        <w:t>Rationale 19</w:t>
      </w:r>
    </w:p>
    <w:p>
      <w:pPr>
        <w:pStyle w:val="BodyText"/>
        <w:spacing w:before="7"/>
        <w:rPr>
          <w:b/>
          <w:sz w:val="21"/>
        </w:rPr>
      </w:pPr>
    </w:p>
    <w:p>
      <w:pPr>
        <w:pStyle w:val="BodyText"/>
        <w:ind w:left="1262"/>
      </w:pPr>
      <w:r>
        <w:rPr/>
        <w:t>These items pertain to more complex procedures for the implantation of devices.</w:t>
      </w:r>
    </w:p>
    <w:p>
      <w:pPr>
        <w:pStyle w:val="BodyText"/>
        <w:spacing w:before="6"/>
        <w:rPr>
          <w:sz w:val="21"/>
        </w:rPr>
      </w:pPr>
    </w:p>
    <w:p>
      <w:pPr>
        <w:pStyle w:val="BodyText"/>
        <w:spacing w:line="312" w:lineRule="auto"/>
        <w:ind w:left="1262" w:right="1882"/>
        <w:jc w:val="both"/>
      </w:pPr>
      <w:r>
        <w:rPr/>
        <w:t>These procedures are considered to be two person procedures and there is a higher rate of complications when insertion is performed alone. Therefore, for safety reasons an assistant support item is recommended.</w:t>
      </w:r>
    </w:p>
    <w:p>
      <w:pPr>
        <w:spacing w:after="0" w:line="312" w:lineRule="auto"/>
        <w:jc w:val="both"/>
        <w:sectPr>
          <w:headerReference w:type="default" r:id="rId243"/>
          <w:footerReference w:type="default" r:id="rId244"/>
          <w:pgSz w:w="11910" w:h="16840"/>
          <w:pgMar w:header="672" w:footer="978" w:top="1300" w:bottom="1160" w:left="440" w:right="140"/>
        </w:sectPr>
      </w:pPr>
    </w:p>
    <w:p>
      <w:pPr>
        <w:pStyle w:val="BodyText"/>
        <w:rPr>
          <w:sz w:val="20"/>
        </w:rPr>
      </w:pPr>
    </w:p>
    <w:p>
      <w:pPr>
        <w:pStyle w:val="BodyText"/>
        <w:spacing w:before="3"/>
        <w:rPr>
          <w:sz w:val="25"/>
        </w:rPr>
      </w:pPr>
    </w:p>
    <w:p>
      <w:pPr>
        <w:pStyle w:val="Heading3"/>
        <w:ind w:left="1828"/>
      </w:pPr>
      <w:r>
        <w:rPr/>
        <w:drawing>
          <wp:anchor distT="0" distB="0" distL="0" distR="0" allowOverlap="1" layoutInCell="1" locked="0" behindDoc="0" simplePos="0" relativeHeight="15878144">
            <wp:simplePos x="0" y="0"/>
            <wp:positionH relativeFrom="page">
              <wp:posOffset>1077552</wp:posOffset>
            </wp:positionH>
            <wp:positionV relativeFrom="paragraph">
              <wp:posOffset>81665</wp:posOffset>
            </wp:positionV>
            <wp:extent cx="204893" cy="110459"/>
            <wp:effectExtent l="0" t="0" r="0" b="0"/>
            <wp:wrapNone/>
            <wp:docPr id="595" name="image196.png"/>
            <wp:cNvGraphicFramePr>
              <a:graphicFrameLocks noChangeAspect="1"/>
            </wp:cNvGraphicFramePr>
            <a:graphic>
              <a:graphicData uri="http://schemas.openxmlformats.org/drawingml/2006/picture">
                <pic:pic>
                  <pic:nvPicPr>
                    <pic:cNvPr id="596" name="image196.png"/>
                    <pic:cNvPicPr/>
                  </pic:nvPicPr>
                  <pic:blipFill>
                    <a:blip r:embed="rId247" cstate="print"/>
                    <a:stretch>
                      <a:fillRect/>
                    </a:stretch>
                  </pic:blipFill>
                  <pic:spPr>
                    <a:xfrm>
                      <a:off x="0" y="0"/>
                      <a:ext cx="204893" cy="110459"/>
                    </a:xfrm>
                    <a:prstGeom prst="rect">
                      <a:avLst/>
                    </a:prstGeom>
                  </pic:spPr>
                </pic:pic>
              </a:graphicData>
            </a:graphic>
          </wp:anchor>
        </w:drawing>
      </w:r>
      <w:r>
        <w:rPr>
          <w:color w:val="00643E"/>
        </w:rPr>
        <w:t>Surgical Co-claiming</w:t>
      </w:r>
    </w:p>
    <w:p>
      <w:pPr>
        <w:pStyle w:val="BodyText"/>
        <w:spacing w:before="10"/>
        <w:rPr>
          <w:b/>
          <w:sz w:val="12"/>
        </w:rPr>
      </w:pPr>
    </w:p>
    <w:p>
      <w:pPr>
        <w:spacing w:before="59"/>
        <w:ind w:left="1262" w:right="0" w:firstLine="0"/>
        <w:jc w:val="left"/>
        <w:rPr>
          <w:b/>
          <w:sz w:val="20"/>
        </w:rPr>
      </w:pPr>
      <w:bookmarkStart w:name="_bookmark7" w:id="8"/>
      <w:bookmarkEnd w:id="8"/>
      <w:r>
        <w:rPr/>
      </w:r>
      <w:r>
        <w:rPr>
          <w:b/>
          <w:sz w:val="20"/>
          <w:u w:val="single"/>
        </w:rPr>
        <w:t>Table 6: Surgical Co-claiming items considered by working group</w:t>
      </w:r>
    </w:p>
    <w:p>
      <w:pPr>
        <w:pStyle w:val="BodyText"/>
        <w:spacing w:before="10"/>
        <w:rPr>
          <w:b/>
          <w:sz w:val="15"/>
        </w:rPr>
      </w:pPr>
    </w:p>
    <w:tbl>
      <w:tblPr>
        <w:tblW w:w="0" w:type="auto"/>
        <w:jc w:val="left"/>
        <w:tblInd w:w="127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686"/>
        <w:gridCol w:w="3535"/>
        <w:gridCol w:w="950"/>
        <w:gridCol w:w="1070"/>
        <w:gridCol w:w="1053"/>
        <w:gridCol w:w="1102"/>
      </w:tblGrid>
      <w:tr>
        <w:trPr>
          <w:trHeight w:val="1362" w:hRule="atLeast"/>
        </w:trPr>
        <w:tc>
          <w:tcPr>
            <w:tcW w:w="686" w:type="dxa"/>
            <w:shd w:val="clear" w:color="auto" w:fill="00643E"/>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18"/>
              <w:ind w:left="26"/>
              <w:rPr>
                <w:b/>
                <w:sz w:val="18"/>
              </w:rPr>
            </w:pPr>
            <w:r>
              <w:rPr>
                <w:b/>
                <w:color w:val="FFFFFF"/>
                <w:sz w:val="18"/>
              </w:rPr>
              <w:t>Item</w:t>
            </w:r>
          </w:p>
        </w:tc>
        <w:tc>
          <w:tcPr>
            <w:tcW w:w="3535" w:type="dxa"/>
            <w:shd w:val="clear" w:color="auto" w:fill="00643E"/>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18"/>
              <w:ind w:left="26"/>
              <w:rPr>
                <w:b/>
                <w:sz w:val="18"/>
              </w:rPr>
            </w:pPr>
            <w:r>
              <w:rPr>
                <w:b/>
                <w:color w:val="FFFFFF"/>
                <w:sz w:val="18"/>
              </w:rPr>
              <w:t>Descriptor</w:t>
            </w:r>
          </w:p>
        </w:tc>
        <w:tc>
          <w:tcPr>
            <w:tcW w:w="950" w:type="dxa"/>
            <w:shd w:val="clear" w:color="auto" w:fill="00643E"/>
          </w:tcPr>
          <w:p>
            <w:pPr>
              <w:pStyle w:val="TableParagraph"/>
              <w:rPr>
                <w:b/>
                <w:sz w:val="18"/>
              </w:rPr>
            </w:pPr>
          </w:p>
          <w:p>
            <w:pPr>
              <w:pStyle w:val="TableParagraph"/>
              <w:rPr>
                <w:b/>
                <w:sz w:val="18"/>
              </w:rPr>
            </w:pPr>
          </w:p>
          <w:p>
            <w:pPr>
              <w:pStyle w:val="TableParagraph"/>
              <w:spacing w:before="3"/>
              <w:rPr>
                <w:b/>
                <w:sz w:val="22"/>
              </w:rPr>
            </w:pPr>
          </w:p>
          <w:p>
            <w:pPr>
              <w:pStyle w:val="TableParagraph"/>
              <w:spacing w:line="312" w:lineRule="auto"/>
              <w:ind w:left="29" w:right="215"/>
              <w:rPr>
                <w:b/>
                <w:sz w:val="18"/>
              </w:rPr>
            </w:pPr>
            <w:r>
              <w:rPr>
                <w:b/>
                <w:color w:val="FFFFFF"/>
                <w:sz w:val="18"/>
              </w:rPr>
              <w:t>Schedule fee</w:t>
            </w:r>
          </w:p>
        </w:tc>
        <w:tc>
          <w:tcPr>
            <w:tcW w:w="1070" w:type="dxa"/>
            <w:shd w:val="clear" w:color="auto" w:fill="00643E"/>
          </w:tcPr>
          <w:p>
            <w:pPr>
              <w:pStyle w:val="TableParagraph"/>
              <w:rPr>
                <w:b/>
                <w:sz w:val="18"/>
              </w:rPr>
            </w:pPr>
          </w:p>
          <w:p>
            <w:pPr>
              <w:pStyle w:val="TableParagraph"/>
              <w:rPr>
                <w:b/>
                <w:sz w:val="18"/>
              </w:rPr>
            </w:pPr>
          </w:p>
          <w:p>
            <w:pPr>
              <w:pStyle w:val="TableParagraph"/>
              <w:spacing w:before="3"/>
              <w:rPr>
                <w:b/>
                <w:sz w:val="22"/>
              </w:rPr>
            </w:pPr>
          </w:p>
          <w:p>
            <w:pPr>
              <w:pStyle w:val="TableParagraph"/>
              <w:spacing w:line="312" w:lineRule="auto"/>
              <w:ind w:left="28" w:right="211"/>
              <w:rPr>
                <w:b/>
                <w:sz w:val="18"/>
              </w:rPr>
            </w:pPr>
            <w:r>
              <w:rPr>
                <w:b/>
                <w:color w:val="FFFFFF"/>
                <w:sz w:val="18"/>
              </w:rPr>
              <w:t>Services FY2016/17</w:t>
            </w:r>
          </w:p>
        </w:tc>
        <w:tc>
          <w:tcPr>
            <w:tcW w:w="1053" w:type="dxa"/>
            <w:shd w:val="clear" w:color="auto" w:fill="00643E"/>
          </w:tcPr>
          <w:p>
            <w:pPr>
              <w:pStyle w:val="TableParagraph"/>
              <w:rPr>
                <w:b/>
                <w:sz w:val="18"/>
              </w:rPr>
            </w:pPr>
          </w:p>
          <w:p>
            <w:pPr>
              <w:pStyle w:val="TableParagraph"/>
              <w:rPr>
                <w:b/>
                <w:sz w:val="18"/>
              </w:rPr>
            </w:pPr>
          </w:p>
          <w:p>
            <w:pPr>
              <w:pStyle w:val="TableParagraph"/>
              <w:spacing w:before="3"/>
              <w:rPr>
                <w:b/>
                <w:sz w:val="22"/>
              </w:rPr>
            </w:pPr>
          </w:p>
          <w:p>
            <w:pPr>
              <w:pStyle w:val="TableParagraph"/>
              <w:spacing w:line="312" w:lineRule="auto"/>
              <w:ind w:left="30" w:right="192"/>
              <w:rPr>
                <w:b/>
                <w:sz w:val="18"/>
              </w:rPr>
            </w:pPr>
            <w:r>
              <w:rPr>
                <w:b/>
                <w:color w:val="FFFFFF"/>
                <w:sz w:val="18"/>
              </w:rPr>
              <w:t>Benefits FY2016/17</w:t>
            </w:r>
          </w:p>
        </w:tc>
        <w:tc>
          <w:tcPr>
            <w:tcW w:w="1102" w:type="dxa"/>
            <w:shd w:val="clear" w:color="auto" w:fill="00643E"/>
          </w:tcPr>
          <w:p>
            <w:pPr>
              <w:pStyle w:val="TableParagraph"/>
              <w:spacing w:line="312" w:lineRule="auto" w:before="85"/>
              <w:ind w:left="29" w:right="155"/>
              <w:rPr>
                <w:b/>
                <w:sz w:val="18"/>
              </w:rPr>
            </w:pPr>
            <w:r>
              <w:rPr>
                <w:b/>
                <w:color w:val="FFFFFF"/>
                <w:sz w:val="18"/>
              </w:rPr>
              <w:t>Services 5- year annual avg. growth</w:t>
            </w:r>
          </w:p>
          <w:p>
            <w:pPr>
              <w:pStyle w:val="TableParagraph"/>
              <w:spacing w:before="55"/>
              <w:ind w:left="29"/>
              <w:rPr>
                <w:b/>
                <w:sz w:val="18"/>
              </w:rPr>
            </w:pPr>
            <w:r>
              <w:rPr>
                <w:b/>
                <w:color w:val="FFFFFF"/>
                <w:sz w:val="18"/>
              </w:rPr>
              <w:t>%</w:t>
            </w:r>
          </w:p>
        </w:tc>
      </w:tr>
      <w:tr>
        <w:trPr>
          <w:trHeight w:val="1079" w:hRule="atLeast"/>
        </w:trPr>
        <w:tc>
          <w:tcPr>
            <w:tcW w:w="686" w:type="dxa"/>
          </w:tcPr>
          <w:p>
            <w:pPr>
              <w:pStyle w:val="TableParagraph"/>
              <w:spacing w:before="3"/>
              <w:rPr>
                <w:b/>
                <w:sz w:val="13"/>
              </w:rPr>
            </w:pPr>
          </w:p>
          <w:p>
            <w:pPr>
              <w:pStyle w:val="TableParagraph"/>
              <w:ind w:left="26"/>
              <w:rPr>
                <w:sz w:val="18"/>
              </w:rPr>
            </w:pPr>
            <w:r>
              <w:rPr>
                <w:sz w:val="18"/>
              </w:rPr>
              <w:t>18228</w:t>
            </w:r>
          </w:p>
        </w:tc>
        <w:tc>
          <w:tcPr>
            <w:tcW w:w="3535" w:type="dxa"/>
          </w:tcPr>
          <w:p>
            <w:pPr>
              <w:pStyle w:val="TableParagraph"/>
              <w:spacing w:line="312" w:lineRule="auto" w:before="159"/>
              <w:ind w:left="26"/>
              <w:rPr>
                <w:sz w:val="18"/>
              </w:rPr>
            </w:pPr>
            <w:r>
              <w:rPr>
                <w:sz w:val="18"/>
              </w:rPr>
              <w:t>INTERPLEURAL BLOCK, initial injection or commencement of infusion of a therapeutic substance</w:t>
            </w:r>
          </w:p>
        </w:tc>
        <w:tc>
          <w:tcPr>
            <w:tcW w:w="950" w:type="dxa"/>
          </w:tcPr>
          <w:p>
            <w:pPr>
              <w:pStyle w:val="TableParagraph"/>
              <w:spacing w:before="3"/>
              <w:rPr>
                <w:b/>
                <w:sz w:val="13"/>
              </w:rPr>
            </w:pPr>
          </w:p>
          <w:p>
            <w:pPr>
              <w:pStyle w:val="TableParagraph"/>
              <w:ind w:left="29"/>
              <w:rPr>
                <w:sz w:val="18"/>
              </w:rPr>
            </w:pPr>
            <w:r>
              <w:rPr>
                <w:sz w:val="18"/>
              </w:rPr>
              <w:t>$62.50</w:t>
            </w:r>
          </w:p>
        </w:tc>
        <w:tc>
          <w:tcPr>
            <w:tcW w:w="1070" w:type="dxa"/>
          </w:tcPr>
          <w:p>
            <w:pPr>
              <w:pStyle w:val="TableParagraph"/>
              <w:spacing w:before="3"/>
              <w:rPr>
                <w:b/>
                <w:sz w:val="13"/>
              </w:rPr>
            </w:pPr>
          </w:p>
          <w:p>
            <w:pPr>
              <w:pStyle w:val="TableParagraph"/>
              <w:ind w:left="28"/>
              <w:rPr>
                <w:sz w:val="18"/>
              </w:rPr>
            </w:pPr>
            <w:r>
              <w:rPr>
                <w:sz w:val="18"/>
              </w:rPr>
              <w:t>250</w:t>
            </w:r>
          </w:p>
        </w:tc>
        <w:tc>
          <w:tcPr>
            <w:tcW w:w="1053" w:type="dxa"/>
          </w:tcPr>
          <w:p>
            <w:pPr>
              <w:pStyle w:val="TableParagraph"/>
              <w:spacing w:before="3"/>
              <w:rPr>
                <w:b/>
                <w:sz w:val="13"/>
              </w:rPr>
            </w:pPr>
          </w:p>
          <w:p>
            <w:pPr>
              <w:pStyle w:val="TableParagraph"/>
              <w:ind w:left="30"/>
              <w:rPr>
                <w:sz w:val="18"/>
              </w:rPr>
            </w:pPr>
            <w:r>
              <w:rPr>
                <w:sz w:val="18"/>
              </w:rPr>
              <w:t>$11,997</w:t>
            </w:r>
          </w:p>
        </w:tc>
        <w:tc>
          <w:tcPr>
            <w:tcW w:w="1102" w:type="dxa"/>
          </w:tcPr>
          <w:p>
            <w:pPr>
              <w:pStyle w:val="TableParagraph"/>
              <w:spacing w:before="3"/>
              <w:rPr>
                <w:b/>
                <w:sz w:val="13"/>
              </w:rPr>
            </w:pPr>
          </w:p>
          <w:p>
            <w:pPr>
              <w:pStyle w:val="TableParagraph"/>
              <w:ind w:left="29"/>
              <w:rPr>
                <w:sz w:val="18"/>
              </w:rPr>
            </w:pPr>
            <w:r>
              <w:rPr>
                <w:sz w:val="18"/>
              </w:rPr>
              <w:t>4.8</w:t>
            </w:r>
          </w:p>
        </w:tc>
      </w:tr>
      <w:tr>
        <w:trPr>
          <w:trHeight w:val="1653" w:hRule="atLeast"/>
        </w:trPr>
        <w:tc>
          <w:tcPr>
            <w:tcW w:w="686" w:type="dxa"/>
          </w:tcPr>
          <w:p>
            <w:pPr>
              <w:pStyle w:val="TableParagraph"/>
              <w:spacing w:before="3"/>
              <w:rPr>
                <w:b/>
                <w:sz w:val="13"/>
              </w:rPr>
            </w:pPr>
          </w:p>
          <w:p>
            <w:pPr>
              <w:pStyle w:val="TableParagraph"/>
              <w:spacing w:before="1"/>
              <w:ind w:left="26"/>
              <w:rPr>
                <w:sz w:val="18"/>
              </w:rPr>
            </w:pPr>
            <w:r>
              <w:rPr>
                <w:sz w:val="18"/>
              </w:rPr>
              <w:t>18232</w:t>
            </w:r>
          </w:p>
        </w:tc>
        <w:tc>
          <w:tcPr>
            <w:tcW w:w="3535" w:type="dxa"/>
          </w:tcPr>
          <w:p>
            <w:pPr>
              <w:pStyle w:val="TableParagraph"/>
              <w:spacing w:before="160"/>
              <w:ind w:left="26"/>
              <w:rPr>
                <w:sz w:val="18"/>
              </w:rPr>
            </w:pPr>
            <w:r>
              <w:rPr>
                <w:sz w:val="18"/>
              </w:rPr>
              <w:t>INTRATHECAL or EPIDURAL INJECTION of</w:t>
            </w:r>
          </w:p>
          <w:p>
            <w:pPr>
              <w:pStyle w:val="TableParagraph"/>
              <w:spacing w:line="312" w:lineRule="auto" w:before="66"/>
              <w:ind w:left="26" w:right="143"/>
              <w:rPr>
                <w:sz w:val="18"/>
              </w:rPr>
            </w:pPr>
            <w:r>
              <w:rPr>
                <w:sz w:val="18"/>
              </w:rPr>
              <w:t>substance other than anaesthetic, contrast or neurolytic solutions, not being a service to which another item in this Group applies (Anaes.)</w:t>
            </w:r>
          </w:p>
        </w:tc>
        <w:tc>
          <w:tcPr>
            <w:tcW w:w="950" w:type="dxa"/>
          </w:tcPr>
          <w:p>
            <w:pPr>
              <w:pStyle w:val="TableParagraph"/>
              <w:spacing w:before="3"/>
              <w:rPr>
                <w:b/>
                <w:sz w:val="13"/>
              </w:rPr>
            </w:pPr>
          </w:p>
          <w:p>
            <w:pPr>
              <w:pStyle w:val="TableParagraph"/>
              <w:spacing w:before="1"/>
              <w:ind w:left="29"/>
              <w:rPr>
                <w:sz w:val="18"/>
              </w:rPr>
            </w:pPr>
            <w:r>
              <w:rPr>
                <w:sz w:val="18"/>
              </w:rPr>
              <w:t>$189.90</w:t>
            </w:r>
          </w:p>
        </w:tc>
        <w:tc>
          <w:tcPr>
            <w:tcW w:w="1070" w:type="dxa"/>
          </w:tcPr>
          <w:p>
            <w:pPr>
              <w:pStyle w:val="TableParagraph"/>
              <w:spacing w:before="3"/>
              <w:rPr>
                <w:b/>
                <w:sz w:val="13"/>
              </w:rPr>
            </w:pPr>
          </w:p>
          <w:p>
            <w:pPr>
              <w:pStyle w:val="TableParagraph"/>
              <w:spacing w:before="1"/>
              <w:ind w:left="28"/>
              <w:rPr>
                <w:sz w:val="18"/>
              </w:rPr>
            </w:pPr>
            <w:r>
              <w:rPr>
                <w:sz w:val="18"/>
              </w:rPr>
              <w:t>34385</w:t>
            </w:r>
          </w:p>
        </w:tc>
        <w:tc>
          <w:tcPr>
            <w:tcW w:w="1053" w:type="dxa"/>
          </w:tcPr>
          <w:p>
            <w:pPr>
              <w:pStyle w:val="TableParagraph"/>
              <w:spacing w:before="3"/>
              <w:rPr>
                <w:b/>
                <w:sz w:val="13"/>
              </w:rPr>
            </w:pPr>
          </w:p>
          <w:p>
            <w:pPr>
              <w:pStyle w:val="TableParagraph"/>
              <w:spacing w:before="1"/>
              <w:ind w:left="30"/>
              <w:rPr>
                <w:sz w:val="18"/>
              </w:rPr>
            </w:pPr>
            <w:r>
              <w:rPr>
                <w:sz w:val="18"/>
              </w:rPr>
              <w:t>$5,444,264</w:t>
            </w:r>
          </w:p>
        </w:tc>
        <w:tc>
          <w:tcPr>
            <w:tcW w:w="1102" w:type="dxa"/>
          </w:tcPr>
          <w:p>
            <w:pPr>
              <w:pStyle w:val="TableParagraph"/>
              <w:spacing w:before="3"/>
              <w:rPr>
                <w:b/>
                <w:sz w:val="13"/>
              </w:rPr>
            </w:pPr>
          </w:p>
          <w:p>
            <w:pPr>
              <w:pStyle w:val="TableParagraph"/>
              <w:spacing w:before="1"/>
              <w:ind w:left="29"/>
              <w:rPr>
                <w:sz w:val="18"/>
              </w:rPr>
            </w:pPr>
            <w:r>
              <w:rPr>
                <w:sz w:val="18"/>
              </w:rPr>
              <w:t>11.9</w:t>
            </w:r>
          </w:p>
        </w:tc>
      </w:tr>
      <w:tr>
        <w:trPr>
          <w:trHeight w:val="794" w:hRule="atLeast"/>
        </w:trPr>
        <w:tc>
          <w:tcPr>
            <w:tcW w:w="686" w:type="dxa"/>
          </w:tcPr>
          <w:p>
            <w:pPr>
              <w:pStyle w:val="TableParagraph"/>
              <w:spacing w:before="159"/>
              <w:ind w:left="26"/>
              <w:rPr>
                <w:sz w:val="18"/>
              </w:rPr>
            </w:pPr>
            <w:r>
              <w:rPr>
                <w:sz w:val="18"/>
              </w:rPr>
              <w:t>18234</w:t>
            </w:r>
          </w:p>
        </w:tc>
        <w:tc>
          <w:tcPr>
            <w:tcW w:w="3535" w:type="dxa"/>
          </w:tcPr>
          <w:p>
            <w:pPr>
              <w:pStyle w:val="TableParagraph"/>
              <w:spacing w:line="314" w:lineRule="auto" w:before="157"/>
              <w:ind w:left="26"/>
              <w:rPr>
                <w:sz w:val="18"/>
              </w:rPr>
            </w:pPr>
            <w:r>
              <w:rPr>
                <w:sz w:val="18"/>
              </w:rPr>
              <w:t>TRIGEMINAL NERVE, primary division of, injection of an anaesthetic agent (Anaes.)</w:t>
            </w:r>
          </w:p>
        </w:tc>
        <w:tc>
          <w:tcPr>
            <w:tcW w:w="950" w:type="dxa"/>
          </w:tcPr>
          <w:p>
            <w:pPr>
              <w:pStyle w:val="TableParagraph"/>
              <w:spacing w:before="159"/>
              <w:ind w:left="29"/>
              <w:rPr>
                <w:sz w:val="18"/>
              </w:rPr>
            </w:pPr>
            <w:r>
              <w:rPr>
                <w:sz w:val="18"/>
              </w:rPr>
              <w:t>$124.85</w:t>
            </w:r>
          </w:p>
        </w:tc>
        <w:tc>
          <w:tcPr>
            <w:tcW w:w="1070" w:type="dxa"/>
          </w:tcPr>
          <w:p>
            <w:pPr>
              <w:pStyle w:val="TableParagraph"/>
              <w:spacing w:before="159"/>
              <w:ind w:left="28"/>
              <w:rPr>
                <w:sz w:val="18"/>
              </w:rPr>
            </w:pPr>
            <w:r>
              <w:rPr>
                <w:sz w:val="18"/>
              </w:rPr>
              <w:t>13888</w:t>
            </w:r>
          </w:p>
        </w:tc>
        <w:tc>
          <w:tcPr>
            <w:tcW w:w="1053" w:type="dxa"/>
          </w:tcPr>
          <w:p>
            <w:pPr>
              <w:pStyle w:val="TableParagraph"/>
              <w:spacing w:before="159"/>
              <w:ind w:left="30"/>
              <w:rPr>
                <w:sz w:val="18"/>
              </w:rPr>
            </w:pPr>
            <w:r>
              <w:rPr>
                <w:sz w:val="18"/>
              </w:rPr>
              <w:t>$1,442,771</w:t>
            </w:r>
          </w:p>
        </w:tc>
        <w:tc>
          <w:tcPr>
            <w:tcW w:w="1102" w:type="dxa"/>
          </w:tcPr>
          <w:p>
            <w:pPr>
              <w:pStyle w:val="TableParagraph"/>
              <w:spacing w:before="159"/>
              <w:ind w:left="29"/>
              <w:rPr>
                <w:sz w:val="18"/>
              </w:rPr>
            </w:pPr>
            <w:r>
              <w:rPr>
                <w:sz w:val="18"/>
              </w:rPr>
              <w:t>21.9</w:t>
            </w:r>
          </w:p>
        </w:tc>
      </w:tr>
      <w:tr>
        <w:trPr>
          <w:trHeight w:val="793" w:hRule="atLeast"/>
        </w:trPr>
        <w:tc>
          <w:tcPr>
            <w:tcW w:w="686" w:type="dxa"/>
          </w:tcPr>
          <w:p>
            <w:pPr>
              <w:pStyle w:val="TableParagraph"/>
              <w:spacing w:before="159"/>
              <w:ind w:left="26"/>
              <w:rPr>
                <w:sz w:val="18"/>
              </w:rPr>
            </w:pPr>
            <w:r>
              <w:rPr>
                <w:sz w:val="18"/>
              </w:rPr>
              <w:t>18236</w:t>
            </w:r>
          </w:p>
        </w:tc>
        <w:tc>
          <w:tcPr>
            <w:tcW w:w="3535" w:type="dxa"/>
          </w:tcPr>
          <w:p>
            <w:pPr>
              <w:pStyle w:val="TableParagraph"/>
              <w:spacing w:line="314" w:lineRule="auto" w:before="157"/>
              <w:ind w:left="26" w:right="391"/>
              <w:rPr>
                <w:sz w:val="18"/>
              </w:rPr>
            </w:pPr>
            <w:r>
              <w:rPr>
                <w:sz w:val="18"/>
              </w:rPr>
              <w:t>TRIGEMINAL NERVE, peripheral branch of, injection of an anaesthetic agent (Anaes.)</w:t>
            </w:r>
          </w:p>
        </w:tc>
        <w:tc>
          <w:tcPr>
            <w:tcW w:w="950" w:type="dxa"/>
          </w:tcPr>
          <w:p>
            <w:pPr>
              <w:pStyle w:val="TableParagraph"/>
              <w:spacing w:before="159"/>
              <w:ind w:left="29"/>
              <w:rPr>
                <w:sz w:val="18"/>
              </w:rPr>
            </w:pPr>
            <w:r>
              <w:rPr>
                <w:sz w:val="18"/>
              </w:rPr>
              <w:t>$62.50</w:t>
            </w:r>
          </w:p>
        </w:tc>
        <w:tc>
          <w:tcPr>
            <w:tcW w:w="1070" w:type="dxa"/>
          </w:tcPr>
          <w:p>
            <w:pPr>
              <w:pStyle w:val="TableParagraph"/>
              <w:spacing w:before="159"/>
              <w:ind w:left="28"/>
              <w:rPr>
                <w:sz w:val="18"/>
              </w:rPr>
            </w:pPr>
            <w:r>
              <w:rPr>
                <w:sz w:val="18"/>
              </w:rPr>
              <w:t>47237</w:t>
            </w:r>
          </w:p>
        </w:tc>
        <w:tc>
          <w:tcPr>
            <w:tcW w:w="1053" w:type="dxa"/>
          </w:tcPr>
          <w:p>
            <w:pPr>
              <w:pStyle w:val="TableParagraph"/>
              <w:spacing w:before="159"/>
              <w:ind w:left="30"/>
              <w:rPr>
                <w:sz w:val="18"/>
              </w:rPr>
            </w:pPr>
            <w:r>
              <w:rPr>
                <w:sz w:val="18"/>
              </w:rPr>
              <w:t>$2,467,760</w:t>
            </w:r>
          </w:p>
        </w:tc>
        <w:tc>
          <w:tcPr>
            <w:tcW w:w="1102" w:type="dxa"/>
          </w:tcPr>
          <w:p>
            <w:pPr>
              <w:pStyle w:val="TableParagraph"/>
              <w:spacing w:before="159"/>
              <w:ind w:left="29"/>
              <w:rPr>
                <w:sz w:val="18"/>
              </w:rPr>
            </w:pPr>
            <w:r>
              <w:rPr>
                <w:sz w:val="18"/>
              </w:rPr>
              <w:t>22.2</w:t>
            </w:r>
          </w:p>
        </w:tc>
      </w:tr>
      <w:tr>
        <w:trPr>
          <w:trHeight w:val="1080" w:hRule="atLeast"/>
        </w:trPr>
        <w:tc>
          <w:tcPr>
            <w:tcW w:w="686" w:type="dxa"/>
          </w:tcPr>
          <w:p>
            <w:pPr>
              <w:pStyle w:val="TableParagraph"/>
              <w:spacing w:before="3"/>
              <w:rPr>
                <w:b/>
                <w:sz w:val="13"/>
              </w:rPr>
            </w:pPr>
          </w:p>
          <w:p>
            <w:pPr>
              <w:pStyle w:val="TableParagraph"/>
              <w:ind w:left="26"/>
              <w:rPr>
                <w:sz w:val="18"/>
              </w:rPr>
            </w:pPr>
            <w:r>
              <w:rPr>
                <w:sz w:val="18"/>
              </w:rPr>
              <w:t>18238</w:t>
            </w:r>
          </w:p>
        </w:tc>
        <w:tc>
          <w:tcPr>
            <w:tcW w:w="3535" w:type="dxa"/>
          </w:tcPr>
          <w:p>
            <w:pPr>
              <w:pStyle w:val="TableParagraph"/>
              <w:spacing w:line="312" w:lineRule="auto" w:before="159"/>
              <w:ind w:left="26"/>
              <w:rPr>
                <w:sz w:val="18"/>
              </w:rPr>
            </w:pPr>
            <w:r>
              <w:rPr>
                <w:sz w:val="18"/>
              </w:rPr>
              <w:t>FACIAL NERVE, injection of an anaesthetic agent, not being a service associated with a service to which item 18240 applies</w:t>
            </w:r>
          </w:p>
        </w:tc>
        <w:tc>
          <w:tcPr>
            <w:tcW w:w="950" w:type="dxa"/>
          </w:tcPr>
          <w:p>
            <w:pPr>
              <w:pStyle w:val="TableParagraph"/>
              <w:spacing w:before="3"/>
              <w:rPr>
                <w:b/>
                <w:sz w:val="13"/>
              </w:rPr>
            </w:pPr>
          </w:p>
          <w:p>
            <w:pPr>
              <w:pStyle w:val="TableParagraph"/>
              <w:ind w:left="29"/>
              <w:rPr>
                <w:sz w:val="18"/>
              </w:rPr>
            </w:pPr>
            <w:r>
              <w:rPr>
                <w:sz w:val="18"/>
              </w:rPr>
              <w:t>$37.65</w:t>
            </w:r>
          </w:p>
        </w:tc>
        <w:tc>
          <w:tcPr>
            <w:tcW w:w="1070" w:type="dxa"/>
          </w:tcPr>
          <w:p>
            <w:pPr>
              <w:pStyle w:val="TableParagraph"/>
              <w:spacing w:before="3"/>
              <w:rPr>
                <w:b/>
                <w:sz w:val="13"/>
              </w:rPr>
            </w:pPr>
          </w:p>
          <w:p>
            <w:pPr>
              <w:pStyle w:val="TableParagraph"/>
              <w:ind w:left="28"/>
              <w:rPr>
                <w:sz w:val="18"/>
              </w:rPr>
            </w:pPr>
            <w:r>
              <w:rPr>
                <w:sz w:val="18"/>
              </w:rPr>
              <w:t>406</w:t>
            </w:r>
          </w:p>
        </w:tc>
        <w:tc>
          <w:tcPr>
            <w:tcW w:w="1053" w:type="dxa"/>
          </w:tcPr>
          <w:p>
            <w:pPr>
              <w:pStyle w:val="TableParagraph"/>
              <w:spacing w:before="3"/>
              <w:rPr>
                <w:b/>
                <w:sz w:val="13"/>
              </w:rPr>
            </w:pPr>
          </w:p>
          <w:p>
            <w:pPr>
              <w:pStyle w:val="TableParagraph"/>
              <w:ind w:left="30"/>
              <w:rPr>
                <w:sz w:val="18"/>
              </w:rPr>
            </w:pPr>
            <w:r>
              <w:rPr>
                <w:sz w:val="18"/>
              </w:rPr>
              <w:t>$13,202</w:t>
            </w:r>
          </w:p>
        </w:tc>
        <w:tc>
          <w:tcPr>
            <w:tcW w:w="1102" w:type="dxa"/>
          </w:tcPr>
          <w:p>
            <w:pPr>
              <w:pStyle w:val="TableParagraph"/>
              <w:spacing w:before="3"/>
              <w:rPr>
                <w:b/>
                <w:sz w:val="13"/>
              </w:rPr>
            </w:pPr>
          </w:p>
          <w:p>
            <w:pPr>
              <w:pStyle w:val="TableParagraph"/>
              <w:ind w:left="29"/>
              <w:rPr>
                <w:sz w:val="18"/>
              </w:rPr>
            </w:pPr>
            <w:r>
              <w:rPr>
                <w:sz w:val="18"/>
              </w:rPr>
              <w:t>3.7</w:t>
            </w:r>
          </w:p>
        </w:tc>
      </w:tr>
      <w:tr>
        <w:trPr>
          <w:trHeight w:val="794" w:hRule="atLeast"/>
        </w:trPr>
        <w:tc>
          <w:tcPr>
            <w:tcW w:w="686" w:type="dxa"/>
          </w:tcPr>
          <w:p>
            <w:pPr>
              <w:pStyle w:val="TableParagraph"/>
              <w:spacing w:before="3"/>
              <w:rPr>
                <w:b/>
                <w:sz w:val="13"/>
              </w:rPr>
            </w:pPr>
          </w:p>
          <w:p>
            <w:pPr>
              <w:pStyle w:val="TableParagraph"/>
              <w:ind w:left="26"/>
              <w:rPr>
                <w:sz w:val="18"/>
              </w:rPr>
            </w:pPr>
            <w:r>
              <w:rPr>
                <w:sz w:val="18"/>
              </w:rPr>
              <w:t>18244</w:t>
            </w:r>
          </w:p>
        </w:tc>
        <w:tc>
          <w:tcPr>
            <w:tcW w:w="3535" w:type="dxa"/>
          </w:tcPr>
          <w:p>
            <w:pPr>
              <w:pStyle w:val="TableParagraph"/>
              <w:spacing w:line="312" w:lineRule="auto" w:before="159"/>
              <w:ind w:left="26" w:right="137"/>
              <w:rPr>
                <w:sz w:val="18"/>
              </w:rPr>
            </w:pPr>
            <w:r>
              <w:rPr>
                <w:sz w:val="18"/>
              </w:rPr>
              <w:t>VAGUS NERVE, injection of an anaesthetic agent</w:t>
            </w:r>
          </w:p>
        </w:tc>
        <w:tc>
          <w:tcPr>
            <w:tcW w:w="950" w:type="dxa"/>
          </w:tcPr>
          <w:p>
            <w:pPr>
              <w:pStyle w:val="TableParagraph"/>
              <w:spacing w:before="3"/>
              <w:rPr>
                <w:b/>
                <w:sz w:val="13"/>
              </w:rPr>
            </w:pPr>
          </w:p>
          <w:p>
            <w:pPr>
              <w:pStyle w:val="TableParagraph"/>
              <w:ind w:left="29"/>
              <w:rPr>
                <w:sz w:val="18"/>
              </w:rPr>
            </w:pPr>
            <w:r>
              <w:rPr>
                <w:sz w:val="18"/>
              </w:rPr>
              <w:t>$100.80</w:t>
            </w:r>
          </w:p>
        </w:tc>
        <w:tc>
          <w:tcPr>
            <w:tcW w:w="1070" w:type="dxa"/>
          </w:tcPr>
          <w:p>
            <w:pPr>
              <w:pStyle w:val="TableParagraph"/>
              <w:spacing w:before="3"/>
              <w:rPr>
                <w:b/>
                <w:sz w:val="13"/>
              </w:rPr>
            </w:pPr>
          </w:p>
          <w:p>
            <w:pPr>
              <w:pStyle w:val="TableParagraph"/>
              <w:ind w:left="28"/>
              <w:rPr>
                <w:sz w:val="18"/>
              </w:rPr>
            </w:pPr>
            <w:r>
              <w:rPr>
                <w:sz w:val="18"/>
              </w:rPr>
              <w:t>428</w:t>
            </w:r>
          </w:p>
        </w:tc>
        <w:tc>
          <w:tcPr>
            <w:tcW w:w="1053" w:type="dxa"/>
          </w:tcPr>
          <w:p>
            <w:pPr>
              <w:pStyle w:val="TableParagraph"/>
              <w:spacing w:before="3"/>
              <w:rPr>
                <w:b/>
                <w:sz w:val="13"/>
              </w:rPr>
            </w:pPr>
          </w:p>
          <w:p>
            <w:pPr>
              <w:pStyle w:val="TableParagraph"/>
              <w:ind w:left="30"/>
              <w:rPr>
                <w:sz w:val="18"/>
              </w:rPr>
            </w:pPr>
            <w:r>
              <w:rPr>
                <w:sz w:val="18"/>
              </w:rPr>
              <w:t>$34,084</w:t>
            </w:r>
          </w:p>
        </w:tc>
        <w:tc>
          <w:tcPr>
            <w:tcW w:w="1102" w:type="dxa"/>
          </w:tcPr>
          <w:p>
            <w:pPr>
              <w:pStyle w:val="TableParagraph"/>
              <w:spacing w:before="3"/>
              <w:rPr>
                <w:b/>
                <w:sz w:val="13"/>
              </w:rPr>
            </w:pPr>
          </w:p>
          <w:p>
            <w:pPr>
              <w:pStyle w:val="TableParagraph"/>
              <w:ind w:left="29"/>
              <w:rPr>
                <w:sz w:val="18"/>
              </w:rPr>
            </w:pPr>
            <w:r>
              <w:rPr>
                <w:sz w:val="18"/>
              </w:rPr>
              <w:t>53.5</w:t>
            </w:r>
          </w:p>
        </w:tc>
      </w:tr>
      <w:tr>
        <w:trPr>
          <w:trHeight w:val="794" w:hRule="atLeast"/>
        </w:trPr>
        <w:tc>
          <w:tcPr>
            <w:tcW w:w="686" w:type="dxa"/>
          </w:tcPr>
          <w:p>
            <w:pPr>
              <w:pStyle w:val="TableParagraph"/>
              <w:spacing w:before="3"/>
              <w:rPr>
                <w:b/>
                <w:sz w:val="13"/>
              </w:rPr>
            </w:pPr>
          </w:p>
          <w:p>
            <w:pPr>
              <w:pStyle w:val="TableParagraph"/>
              <w:ind w:left="26"/>
              <w:rPr>
                <w:sz w:val="18"/>
              </w:rPr>
            </w:pPr>
            <w:r>
              <w:rPr>
                <w:sz w:val="18"/>
              </w:rPr>
              <w:t>18252</w:t>
            </w:r>
          </w:p>
        </w:tc>
        <w:tc>
          <w:tcPr>
            <w:tcW w:w="3535" w:type="dxa"/>
          </w:tcPr>
          <w:p>
            <w:pPr>
              <w:pStyle w:val="TableParagraph"/>
              <w:spacing w:line="312" w:lineRule="auto" w:before="159"/>
              <w:ind w:left="26"/>
              <w:rPr>
                <w:sz w:val="18"/>
              </w:rPr>
            </w:pPr>
            <w:r>
              <w:rPr>
                <w:sz w:val="18"/>
              </w:rPr>
              <w:t>CERVICAL PLEXUS, injection of an anaesthetic agent</w:t>
            </w:r>
          </w:p>
        </w:tc>
        <w:tc>
          <w:tcPr>
            <w:tcW w:w="950" w:type="dxa"/>
          </w:tcPr>
          <w:p>
            <w:pPr>
              <w:pStyle w:val="TableParagraph"/>
              <w:spacing w:before="3"/>
              <w:rPr>
                <w:b/>
                <w:sz w:val="13"/>
              </w:rPr>
            </w:pPr>
          </w:p>
          <w:p>
            <w:pPr>
              <w:pStyle w:val="TableParagraph"/>
              <w:ind w:left="29"/>
              <w:rPr>
                <w:sz w:val="18"/>
              </w:rPr>
            </w:pPr>
            <w:r>
              <w:rPr>
                <w:sz w:val="18"/>
              </w:rPr>
              <w:t>$100.80</w:t>
            </w:r>
          </w:p>
        </w:tc>
        <w:tc>
          <w:tcPr>
            <w:tcW w:w="1070" w:type="dxa"/>
          </w:tcPr>
          <w:p>
            <w:pPr>
              <w:pStyle w:val="TableParagraph"/>
              <w:spacing w:before="3"/>
              <w:rPr>
                <w:b/>
                <w:sz w:val="13"/>
              </w:rPr>
            </w:pPr>
          </w:p>
          <w:p>
            <w:pPr>
              <w:pStyle w:val="TableParagraph"/>
              <w:ind w:left="28"/>
              <w:rPr>
                <w:sz w:val="18"/>
              </w:rPr>
            </w:pPr>
            <w:r>
              <w:rPr>
                <w:sz w:val="18"/>
              </w:rPr>
              <w:t>6159</w:t>
            </w:r>
          </w:p>
        </w:tc>
        <w:tc>
          <w:tcPr>
            <w:tcW w:w="1053" w:type="dxa"/>
          </w:tcPr>
          <w:p>
            <w:pPr>
              <w:pStyle w:val="TableParagraph"/>
              <w:spacing w:before="3"/>
              <w:rPr>
                <w:b/>
                <w:sz w:val="13"/>
              </w:rPr>
            </w:pPr>
          </w:p>
          <w:p>
            <w:pPr>
              <w:pStyle w:val="TableParagraph"/>
              <w:ind w:left="30"/>
              <w:rPr>
                <w:sz w:val="18"/>
              </w:rPr>
            </w:pPr>
            <w:r>
              <w:rPr>
                <w:sz w:val="18"/>
              </w:rPr>
              <w:t>$470,355</w:t>
            </w:r>
          </w:p>
        </w:tc>
        <w:tc>
          <w:tcPr>
            <w:tcW w:w="1102" w:type="dxa"/>
          </w:tcPr>
          <w:p>
            <w:pPr>
              <w:pStyle w:val="TableParagraph"/>
              <w:spacing w:before="3"/>
              <w:rPr>
                <w:b/>
                <w:sz w:val="13"/>
              </w:rPr>
            </w:pPr>
          </w:p>
          <w:p>
            <w:pPr>
              <w:pStyle w:val="TableParagraph"/>
              <w:ind w:left="29"/>
              <w:rPr>
                <w:sz w:val="18"/>
              </w:rPr>
            </w:pPr>
            <w:r>
              <w:rPr>
                <w:sz w:val="18"/>
              </w:rPr>
              <w:t>19.9</w:t>
            </w:r>
          </w:p>
        </w:tc>
      </w:tr>
      <w:tr>
        <w:trPr>
          <w:trHeight w:val="793" w:hRule="atLeast"/>
        </w:trPr>
        <w:tc>
          <w:tcPr>
            <w:tcW w:w="686" w:type="dxa"/>
          </w:tcPr>
          <w:p>
            <w:pPr>
              <w:pStyle w:val="TableParagraph"/>
              <w:spacing w:before="3"/>
              <w:rPr>
                <w:b/>
                <w:sz w:val="13"/>
              </w:rPr>
            </w:pPr>
          </w:p>
          <w:p>
            <w:pPr>
              <w:pStyle w:val="TableParagraph"/>
              <w:ind w:left="26"/>
              <w:rPr>
                <w:sz w:val="18"/>
              </w:rPr>
            </w:pPr>
            <w:r>
              <w:rPr>
                <w:sz w:val="18"/>
              </w:rPr>
              <w:t>18254</w:t>
            </w:r>
          </w:p>
        </w:tc>
        <w:tc>
          <w:tcPr>
            <w:tcW w:w="3535" w:type="dxa"/>
          </w:tcPr>
          <w:p>
            <w:pPr>
              <w:pStyle w:val="TableParagraph"/>
              <w:spacing w:line="312" w:lineRule="auto" w:before="159"/>
              <w:ind w:left="26"/>
              <w:rPr>
                <w:sz w:val="18"/>
              </w:rPr>
            </w:pPr>
            <w:r>
              <w:rPr>
                <w:sz w:val="18"/>
              </w:rPr>
              <w:t>BRACHIAL PLEXUS, injection of an anaesthetic agent</w:t>
            </w:r>
          </w:p>
        </w:tc>
        <w:tc>
          <w:tcPr>
            <w:tcW w:w="950" w:type="dxa"/>
          </w:tcPr>
          <w:p>
            <w:pPr>
              <w:pStyle w:val="TableParagraph"/>
              <w:spacing w:before="3"/>
              <w:rPr>
                <w:b/>
                <w:sz w:val="13"/>
              </w:rPr>
            </w:pPr>
          </w:p>
          <w:p>
            <w:pPr>
              <w:pStyle w:val="TableParagraph"/>
              <w:ind w:left="29"/>
              <w:rPr>
                <w:sz w:val="18"/>
              </w:rPr>
            </w:pPr>
            <w:r>
              <w:rPr>
                <w:sz w:val="18"/>
              </w:rPr>
              <w:t>$100.80</w:t>
            </w:r>
          </w:p>
        </w:tc>
        <w:tc>
          <w:tcPr>
            <w:tcW w:w="1070" w:type="dxa"/>
          </w:tcPr>
          <w:p>
            <w:pPr>
              <w:pStyle w:val="TableParagraph"/>
              <w:spacing w:before="3"/>
              <w:rPr>
                <w:b/>
                <w:sz w:val="13"/>
              </w:rPr>
            </w:pPr>
          </w:p>
          <w:p>
            <w:pPr>
              <w:pStyle w:val="TableParagraph"/>
              <w:ind w:left="28"/>
              <w:rPr>
                <w:sz w:val="18"/>
              </w:rPr>
            </w:pPr>
            <w:r>
              <w:rPr>
                <w:sz w:val="18"/>
              </w:rPr>
              <w:t>558</w:t>
            </w:r>
          </w:p>
        </w:tc>
        <w:tc>
          <w:tcPr>
            <w:tcW w:w="1053" w:type="dxa"/>
          </w:tcPr>
          <w:p>
            <w:pPr>
              <w:pStyle w:val="TableParagraph"/>
              <w:spacing w:before="3"/>
              <w:rPr>
                <w:b/>
                <w:sz w:val="13"/>
              </w:rPr>
            </w:pPr>
          </w:p>
          <w:p>
            <w:pPr>
              <w:pStyle w:val="TableParagraph"/>
              <w:ind w:left="30"/>
              <w:rPr>
                <w:sz w:val="18"/>
              </w:rPr>
            </w:pPr>
            <w:r>
              <w:rPr>
                <w:sz w:val="18"/>
              </w:rPr>
              <w:t>$42,814</w:t>
            </w:r>
          </w:p>
        </w:tc>
        <w:tc>
          <w:tcPr>
            <w:tcW w:w="1102" w:type="dxa"/>
          </w:tcPr>
          <w:p>
            <w:pPr>
              <w:pStyle w:val="TableParagraph"/>
              <w:spacing w:before="3"/>
              <w:rPr>
                <w:b/>
                <w:sz w:val="13"/>
              </w:rPr>
            </w:pPr>
          </w:p>
          <w:p>
            <w:pPr>
              <w:pStyle w:val="TableParagraph"/>
              <w:ind w:left="29"/>
              <w:rPr>
                <w:sz w:val="18"/>
              </w:rPr>
            </w:pPr>
            <w:r>
              <w:rPr>
                <w:sz w:val="18"/>
              </w:rPr>
              <w:t>29.0</w:t>
            </w:r>
          </w:p>
        </w:tc>
      </w:tr>
      <w:tr>
        <w:trPr>
          <w:trHeight w:val="1080" w:hRule="atLeast"/>
        </w:trPr>
        <w:tc>
          <w:tcPr>
            <w:tcW w:w="686" w:type="dxa"/>
          </w:tcPr>
          <w:p>
            <w:pPr>
              <w:pStyle w:val="TableParagraph"/>
              <w:spacing w:before="3"/>
              <w:rPr>
                <w:b/>
                <w:sz w:val="13"/>
              </w:rPr>
            </w:pPr>
          </w:p>
          <w:p>
            <w:pPr>
              <w:pStyle w:val="TableParagraph"/>
              <w:ind w:left="26"/>
              <w:rPr>
                <w:sz w:val="18"/>
              </w:rPr>
            </w:pPr>
            <w:r>
              <w:rPr>
                <w:sz w:val="18"/>
              </w:rPr>
              <w:t>18262</w:t>
            </w:r>
          </w:p>
        </w:tc>
        <w:tc>
          <w:tcPr>
            <w:tcW w:w="3535" w:type="dxa"/>
          </w:tcPr>
          <w:p>
            <w:pPr>
              <w:pStyle w:val="TableParagraph"/>
              <w:spacing w:line="312" w:lineRule="auto" w:before="159"/>
              <w:ind w:left="26" w:right="530"/>
              <w:rPr>
                <w:sz w:val="18"/>
              </w:rPr>
            </w:pPr>
            <w:r>
              <w:rPr>
                <w:sz w:val="18"/>
              </w:rPr>
              <w:t>ILIO-INGUINAL, ILIOHYPOGASTRIC OR GENITOFEMORAL NERVES, 1 or more of,</w:t>
            </w:r>
          </w:p>
          <w:p>
            <w:pPr>
              <w:pStyle w:val="TableParagraph"/>
              <w:ind w:left="26"/>
              <w:rPr>
                <w:sz w:val="18"/>
              </w:rPr>
            </w:pPr>
            <w:r>
              <w:rPr>
                <w:sz w:val="18"/>
              </w:rPr>
              <w:t>injection of an anaesthetic agent (Anaes.)</w:t>
            </w:r>
          </w:p>
        </w:tc>
        <w:tc>
          <w:tcPr>
            <w:tcW w:w="950" w:type="dxa"/>
          </w:tcPr>
          <w:p>
            <w:pPr>
              <w:pStyle w:val="TableParagraph"/>
              <w:spacing w:before="3"/>
              <w:rPr>
                <w:b/>
                <w:sz w:val="13"/>
              </w:rPr>
            </w:pPr>
          </w:p>
          <w:p>
            <w:pPr>
              <w:pStyle w:val="TableParagraph"/>
              <w:ind w:left="29"/>
              <w:rPr>
                <w:sz w:val="18"/>
              </w:rPr>
            </w:pPr>
            <w:r>
              <w:rPr>
                <w:sz w:val="18"/>
              </w:rPr>
              <w:t>$62.50</w:t>
            </w:r>
          </w:p>
        </w:tc>
        <w:tc>
          <w:tcPr>
            <w:tcW w:w="1070" w:type="dxa"/>
          </w:tcPr>
          <w:p>
            <w:pPr>
              <w:pStyle w:val="TableParagraph"/>
              <w:spacing w:before="3"/>
              <w:rPr>
                <w:b/>
                <w:sz w:val="13"/>
              </w:rPr>
            </w:pPr>
          </w:p>
          <w:p>
            <w:pPr>
              <w:pStyle w:val="TableParagraph"/>
              <w:ind w:left="28"/>
              <w:rPr>
                <w:sz w:val="18"/>
              </w:rPr>
            </w:pPr>
            <w:r>
              <w:rPr>
                <w:sz w:val="18"/>
              </w:rPr>
              <w:t>13,319</w:t>
            </w:r>
          </w:p>
        </w:tc>
        <w:tc>
          <w:tcPr>
            <w:tcW w:w="1053" w:type="dxa"/>
          </w:tcPr>
          <w:p>
            <w:pPr>
              <w:pStyle w:val="TableParagraph"/>
              <w:spacing w:before="3"/>
              <w:rPr>
                <w:b/>
                <w:sz w:val="13"/>
              </w:rPr>
            </w:pPr>
          </w:p>
          <w:p>
            <w:pPr>
              <w:pStyle w:val="TableParagraph"/>
              <w:ind w:left="30"/>
              <w:rPr>
                <w:sz w:val="18"/>
              </w:rPr>
            </w:pPr>
            <w:r>
              <w:rPr>
                <w:sz w:val="18"/>
              </w:rPr>
              <w:t>$658,079</w:t>
            </w:r>
          </w:p>
        </w:tc>
        <w:tc>
          <w:tcPr>
            <w:tcW w:w="1102" w:type="dxa"/>
          </w:tcPr>
          <w:p>
            <w:pPr>
              <w:pStyle w:val="TableParagraph"/>
              <w:spacing w:before="3"/>
              <w:rPr>
                <w:b/>
                <w:sz w:val="13"/>
              </w:rPr>
            </w:pPr>
          </w:p>
          <w:p>
            <w:pPr>
              <w:pStyle w:val="TableParagraph"/>
              <w:ind w:left="29"/>
              <w:rPr>
                <w:sz w:val="18"/>
              </w:rPr>
            </w:pPr>
            <w:r>
              <w:rPr>
                <w:sz w:val="18"/>
              </w:rPr>
              <w:t>13.0</w:t>
            </w:r>
          </w:p>
        </w:tc>
      </w:tr>
      <w:tr>
        <w:trPr>
          <w:trHeight w:val="796" w:hRule="atLeast"/>
        </w:trPr>
        <w:tc>
          <w:tcPr>
            <w:tcW w:w="686" w:type="dxa"/>
          </w:tcPr>
          <w:p>
            <w:pPr>
              <w:pStyle w:val="TableParagraph"/>
              <w:spacing w:before="3"/>
              <w:rPr>
                <w:b/>
                <w:sz w:val="13"/>
              </w:rPr>
            </w:pPr>
          </w:p>
          <w:p>
            <w:pPr>
              <w:pStyle w:val="TableParagraph"/>
              <w:ind w:left="26"/>
              <w:rPr>
                <w:sz w:val="18"/>
              </w:rPr>
            </w:pPr>
            <w:r>
              <w:rPr>
                <w:sz w:val="18"/>
              </w:rPr>
              <w:t>18264</w:t>
            </w:r>
          </w:p>
        </w:tc>
        <w:tc>
          <w:tcPr>
            <w:tcW w:w="3535" w:type="dxa"/>
          </w:tcPr>
          <w:p>
            <w:pPr>
              <w:pStyle w:val="TableParagraph"/>
              <w:spacing w:line="312" w:lineRule="auto" w:before="159"/>
              <w:ind w:left="26" w:right="137"/>
              <w:rPr>
                <w:sz w:val="18"/>
              </w:rPr>
            </w:pPr>
            <w:r>
              <w:rPr>
                <w:sz w:val="18"/>
              </w:rPr>
              <w:t>PUDENDAL NERVE and or dorsal nerve, injection of anaesthetic agent</w:t>
            </w:r>
          </w:p>
        </w:tc>
        <w:tc>
          <w:tcPr>
            <w:tcW w:w="950" w:type="dxa"/>
          </w:tcPr>
          <w:p>
            <w:pPr>
              <w:pStyle w:val="TableParagraph"/>
              <w:spacing w:before="3"/>
              <w:rPr>
                <w:b/>
                <w:sz w:val="13"/>
              </w:rPr>
            </w:pPr>
          </w:p>
          <w:p>
            <w:pPr>
              <w:pStyle w:val="TableParagraph"/>
              <w:ind w:left="29"/>
              <w:rPr>
                <w:sz w:val="18"/>
              </w:rPr>
            </w:pPr>
            <w:r>
              <w:rPr>
                <w:sz w:val="18"/>
              </w:rPr>
              <w:t>$100.80</w:t>
            </w:r>
          </w:p>
        </w:tc>
        <w:tc>
          <w:tcPr>
            <w:tcW w:w="1070" w:type="dxa"/>
          </w:tcPr>
          <w:p>
            <w:pPr>
              <w:pStyle w:val="TableParagraph"/>
              <w:spacing w:before="3"/>
              <w:rPr>
                <w:b/>
                <w:sz w:val="13"/>
              </w:rPr>
            </w:pPr>
          </w:p>
          <w:p>
            <w:pPr>
              <w:pStyle w:val="TableParagraph"/>
              <w:ind w:left="28"/>
              <w:rPr>
                <w:sz w:val="18"/>
              </w:rPr>
            </w:pPr>
            <w:r>
              <w:rPr>
                <w:sz w:val="18"/>
              </w:rPr>
              <w:t>33,571</w:t>
            </w:r>
          </w:p>
        </w:tc>
        <w:tc>
          <w:tcPr>
            <w:tcW w:w="1053" w:type="dxa"/>
          </w:tcPr>
          <w:p>
            <w:pPr>
              <w:pStyle w:val="TableParagraph"/>
              <w:spacing w:before="3"/>
              <w:rPr>
                <w:b/>
                <w:sz w:val="13"/>
              </w:rPr>
            </w:pPr>
          </w:p>
          <w:p>
            <w:pPr>
              <w:pStyle w:val="TableParagraph"/>
              <w:ind w:left="30"/>
              <w:rPr>
                <w:sz w:val="18"/>
              </w:rPr>
            </w:pPr>
            <w:r>
              <w:rPr>
                <w:sz w:val="18"/>
              </w:rPr>
              <w:t>$2,614,048</w:t>
            </w:r>
          </w:p>
        </w:tc>
        <w:tc>
          <w:tcPr>
            <w:tcW w:w="1102" w:type="dxa"/>
          </w:tcPr>
          <w:p>
            <w:pPr>
              <w:pStyle w:val="TableParagraph"/>
              <w:spacing w:before="3"/>
              <w:rPr>
                <w:b/>
                <w:sz w:val="13"/>
              </w:rPr>
            </w:pPr>
          </w:p>
          <w:p>
            <w:pPr>
              <w:pStyle w:val="TableParagraph"/>
              <w:ind w:left="29"/>
              <w:rPr>
                <w:sz w:val="18"/>
              </w:rPr>
            </w:pPr>
            <w:r>
              <w:rPr>
                <w:sz w:val="18"/>
              </w:rPr>
              <w:t>18.2</w:t>
            </w:r>
          </w:p>
        </w:tc>
      </w:tr>
      <w:tr>
        <w:trPr>
          <w:trHeight w:val="1365" w:hRule="atLeast"/>
        </w:trPr>
        <w:tc>
          <w:tcPr>
            <w:tcW w:w="686" w:type="dxa"/>
          </w:tcPr>
          <w:p>
            <w:pPr>
              <w:pStyle w:val="TableParagraph"/>
              <w:spacing w:before="159"/>
              <w:ind w:left="26"/>
              <w:rPr>
                <w:sz w:val="18"/>
              </w:rPr>
            </w:pPr>
            <w:r>
              <w:rPr>
                <w:sz w:val="18"/>
              </w:rPr>
              <w:t>18266</w:t>
            </w:r>
          </w:p>
        </w:tc>
        <w:tc>
          <w:tcPr>
            <w:tcW w:w="3535" w:type="dxa"/>
          </w:tcPr>
          <w:p>
            <w:pPr>
              <w:pStyle w:val="TableParagraph"/>
              <w:spacing w:before="157"/>
              <w:ind w:left="26"/>
              <w:rPr>
                <w:sz w:val="18"/>
              </w:rPr>
            </w:pPr>
            <w:r>
              <w:rPr>
                <w:sz w:val="18"/>
              </w:rPr>
              <w:t>ULNAR, RADIAL OR MEDIAN NERVE, MAIN</w:t>
            </w:r>
          </w:p>
          <w:p>
            <w:pPr>
              <w:pStyle w:val="TableParagraph"/>
              <w:spacing w:line="312" w:lineRule="auto" w:before="68"/>
              <w:ind w:left="26"/>
              <w:rPr>
                <w:sz w:val="18"/>
              </w:rPr>
            </w:pPr>
            <w:r>
              <w:rPr>
                <w:sz w:val="18"/>
              </w:rPr>
              <w:t>TRUNK OF, 1 or more of, injection of an anaesthetic agent, not being associated with a brachial plexus block</w:t>
            </w:r>
          </w:p>
        </w:tc>
        <w:tc>
          <w:tcPr>
            <w:tcW w:w="950" w:type="dxa"/>
          </w:tcPr>
          <w:p>
            <w:pPr>
              <w:pStyle w:val="TableParagraph"/>
              <w:spacing w:before="159"/>
              <w:ind w:left="29"/>
              <w:rPr>
                <w:sz w:val="18"/>
              </w:rPr>
            </w:pPr>
            <w:r>
              <w:rPr>
                <w:sz w:val="18"/>
              </w:rPr>
              <w:t>$62.50</w:t>
            </w:r>
          </w:p>
        </w:tc>
        <w:tc>
          <w:tcPr>
            <w:tcW w:w="1070" w:type="dxa"/>
          </w:tcPr>
          <w:p>
            <w:pPr>
              <w:pStyle w:val="TableParagraph"/>
              <w:spacing w:before="159"/>
              <w:ind w:left="28"/>
              <w:rPr>
                <w:sz w:val="18"/>
              </w:rPr>
            </w:pPr>
            <w:r>
              <w:rPr>
                <w:sz w:val="18"/>
              </w:rPr>
              <w:t>6648</w:t>
            </w:r>
          </w:p>
        </w:tc>
        <w:tc>
          <w:tcPr>
            <w:tcW w:w="1053" w:type="dxa"/>
          </w:tcPr>
          <w:p>
            <w:pPr>
              <w:pStyle w:val="TableParagraph"/>
              <w:spacing w:before="159"/>
              <w:ind w:left="30"/>
              <w:rPr>
                <w:sz w:val="18"/>
              </w:rPr>
            </w:pPr>
            <w:r>
              <w:rPr>
                <w:sz w:val="18"/>
              </w:rPr>
              <w:t>$323,641</w:t>
            </w:r>
          </w:p>
        </w:tc>
        <w:tc>
          <w:tcPr>
            <w:tcW w:w="1102" w:type="dxa"/>
          </w:tcPr>
          <w:p>
            <w:pPr>
              <w:pStyle w:val="TableParagraph"/>
              <w:spacing w:before="159"/>
              <w:ind w:left="29"/>
              <w:rPr>
                <w:sz w:val="18"/>
              </w:rPr>
            </w:pPr>
            <w:r>
              <w:rPr>
                <w:sz w:val="18"/>
              </w:rPr>
              <w:t>25.3</w:t>
            </w:r>
          </w:p>
        </w:tc>
      </w:tr>
    </w:tbl>
    <w:p>
      <w:pPr>
        <w:spacing w:after="0"/>
        <w:rPr>
          <w:sz w:val="18"/>
        </w:rPr>
        <w:sectPr>
          <w:headerReference w:type="default" r:id="rId245"/>
          <w:footerReference w:type="default" r:id="rId246"/>
          <w:pgSz w:w="11910" w:h="16840"/>
          <w:pgMar w:header="672" w:footer="978" w:top="1300" w:bottom="1160" w:left="440" w:right="140"/>
        </w:sectPr>
      </w:pPr>
    </w:p>
    <w:p>
      <w:pPr>
        <w:pStyle w:val="BodyText"/>
        <w:rPr>
          <w:b/>
          <w:sz w:val="20"/>
        </w:rPr>
      </w:pPr>
    </w:p>
    <w:p>
      <w:pPr>
        <w:pStyle w:val="BodyText"/>
        <w:spacing w:before="2"/>
        <w:rPr>
          <w:b/>
          <w:sz w:val="29"/>
        </w:rPr>
      </w:pPr>
    </w:p>
    <w:tbl>
      <w:tblPr>
        <w:tblW w:w="0" w:type="auto"/>
        <w:jc w:val="left"/>
        <w:tblInd w:w="127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686"/>
        <w:gridCol w:w="3535"/>
        <w:gridCol w:w="950"/>
        <w:gridCol w:w="1070"/>
        <w:gridCol w:w="1053"/>
        <w:gridCol w:w="1102"/>
      </w:tblGrid>
      <w:tr>
        <w:trPr>
          <w:trHeight w:val="1362" w:hRule="atLeast"/>
        </w:trPr>
        <w:tc>
          <w:tcPr>
            <w:tcW w:w="686" w:type="dxa"/>
            <w:shd w:val="clear" w:color="auto" w:fill="00643E"/>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18"/>
              <w:ind w:left="26"/>
              <w:rPr>
                <w:b/>
                <w:sz w:val="18"/>
              </w:rPr>
            </w:pPr>
            <w:r>
              <w:rPr>
                <w:b/>
                <w:color w:val="FFFFFF"/>
                <w:sz w:val="18"/>
              </w:rPr>
              <w:t>Item</w:t>
            </w:r>
          </w:p>
        </w:tc>
        <w:tc>
          <w:tcPr>
            <w:tcW w:w="3535" w:type="dxa"/>
            <w:shd w:val="clear" w:color="auto" w:fill="00643E"/>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18"/>
              <w:ind w:left="26"/>
              <w:rPr>
                <w:b/>
                <w:sz w:val="18"/>
              </w:rPr>
            </w:pPr>
            <w:r>
              <w:rPr>
                <w:b/>
                <w:color w:val="FFFFFF"/>
                <w:sz w:val="18"/>
              </w:rPr>
              <w:t>Descriptor</w:t>
            </w:r>
          </w:p>
        </w:tc>
        <w:tc>
          <w:tcPr>
            <w:tcW w:w="950" w:type="dxa"/>
            <w:shd w:val="clear" w:color="auto" w:fill="00643E"/>
          </w:tcPr>
          <w:p>
            <w:pPr>
              <w:pStyle w:val="TableParagraph"/>
              <w:rPr>
                <w:b/>
                <w:sz w:val="18"/>
              </w:rPr>
            </w:pPr>
          </w:p>
          <w:p>
            <w:pPr>
              <w:pStyle w:val="TableParagraph"/>
              <w:rPr>
                <w:b/>
                <w:sz w:val="18"/>
              </w:rPr>
            </w:pPr>
          </w:p>
          <w:p>
            <w:pPr>
              <w:pStyle w:val="TableParagraph"/>
              <w:spacing w:before="3"/>
              <w:rPr>
                <w:b/>
                <w:sz w:val="22"/>
              </w:rPr>
            </w:pPr>
          </w:p>
          <w:p>
            <w:pPr>
              <w:pStyle w:val="TableParagraph"/>
              <w:spacing w:line="309" w:lineRule="auto"/>
              <w:ind w:left="29" w:right="215"/>
              <w:rPr>
                <w:b/>
                <w:sz w:val="18"/>
              </w:rPr>
            </w:pPr>
            <w:r>
              <w:rPr>
                <w:b/>
                <w:color w:val="FFFFFF"/>
                <w:sz w:val="18"/>
              </w:rPr>
              <w:t>Schedule fee</w:t>
            </w:r>
          </w:p>
        </w:tc>
        <w:tc>
          <w:tcPr>
            <w:tcW w:w="1070" w:type="dxa"/>
            <w:shd w:val="clear" w:color="auto" w:fill="00643E"/>
          </w:tcPr>
          <w:p>
            <w:pPr>
              <w:pStyle w:val="TableParagraph"/>
              <w:rPr>
                <w:b/>
                <w:sz w:val="18"/>
              </w:rPr>
            </w:pPr>
          </w:p>
          <w:p>
            <w:pPr>
              <w:pStyle w:val="TableParagraph"/>
              <w:rPr>
                <w:b/>
                <w:sz w:val="18"/>
              </w:rPr>
            </w:pPr>
          </w:p>
          <w:p>
            <w:pPr>
              <w:pStyle w:val="TableParagraph"/>
              <w:spacing w:before="3"/>
              <w:rPr>
                <w:b/>
                <w:sz w:val="22"/>
              </w:rPr>
            </w:pPr>
          </w:p>
          <w:p>
            <w:pPr>
              <w:pStyle w:val="TableParagraph"/>
              <w:spacing w:line="309" w:lineRule="auto"/>
              <w:ind w:left="28" w:right="211"/>
              <w:rPr>
                <w:b/>
                <w:sz w:val="18"/>
              </w:rPr>
            </w:pPr>
            <w:r>
              <w:rPr>
                <w:b/>
                <w:color w:val="FFFFFF"/>
                <w:sz w:val="18"/>
              </w:rPr>
              <w:t>Services FY2016/17</w:t>
            </w:r>
          </w:p>
        </w:tc>
        <w:tc>
          <w:tcPr>
            <w:tcW w:w="1053" w:type="dxa"/>
            <w:shd w:val="clear" w:color="auto" w:fill="00643E"/>
          </w:tcPr>
          <w:p>
            <w:pPr>
              <w:pStyle w:val="TableParagraph"/>
              <w:rPr>
                <w:b/>
                <w:sz w:val="18"/>
              </w:rPr>
            </w:pPr>
          </w:p>
          <w:p>
            <w:pPr>
              <w:pStyle w:val="TableParagraph"/>
              <w:rPr>
                <w:b/>
                <w:sz w:val="18"/>
              </w:rPr>
            </w:pPr>
          </w:p>
          <w:p>
            <w:pPr>
              <w:pStyle w:val="TableParagraph"/>
              <w:spacing w:before="3"/>
              <w:rPr>
                <w:b/>
                <w:sz w:val="22"/>
              </w:rPr>
            </w:pPr>
          </w:p>
          <w:p>
            <w:pPr>
              <w:pStyle w:val="TableParagraph"/>
              <w:spacing w:line="309" w:lineRule="auto"/>
              <w:ind w:left="30" w:right="192"/>
              <w:rPr>
                <w:b/>
                <w:sz w:val="18"/>
              </w:rPr>
            </w:pPr>
            <w:r>
              <w:rPr>
                <w:b/>
                <w:color w:val="FFFFFF"/>
                <w:sz w:val="18"/>
              </w:rPr>
              <w:t>Benefits FY2016/17</w:t>
            </w:r>
          </w:p>
        </w:tc>
        <w:tc>
          <w:tcPr>
            <w:tcW w:w="1102" w:type="dxa"/>
            <w:shd w:val="clear" w:color="auto" w:fill="00643E"/>
          </w:tcPr>
          <w:p>
            <w:pPr>
              <w:pStyle w:val="TableParagraph"/>
              <w:spacing w:line="312" w:lineRule="auto" w:before="85"/>
              <w:ind w:left="29" w:right="155"/>
              <w:rPr>
                <w:b/>
                <w:sz w:val="18"/>
              </w:rPr>
            </w:pPr>
            <w:r>
              <w:rPr>
                <w:b/>
                <w:color w:val="FFFFFF"/>
                <w:sz w:val="18"/>
              </w:rPr>
              <w:t>Services 5- year annual avg. growth</w:t>
            </w:r>
          </w:p>
          <w:p>
            <w:pPr>
              <w:pStyle w:val="TableParagraph"/>
              <w:spacing w:before="53"/>
              <w:ind w:left="29"/>
              <w:rPr>
                <w:b/>
                <w:sz w:val="18"/>
              </w:rPr>
            </w:pPr>
            <w:r>
              <w:rPr>
                <w:b/>
                <w:color w:val="FFFFFF"/>
                <w:sz w:val="18"/>
              </w:rPr>
              <w:t>%</w:t>
            </w:r>
          </w:p>
        </w:tc>
      </w:tr>
      <w:tr>
        <w:trPr>
          <w:trHeight w:val="793" w:hRule="atLeast"/>
        </w:trPr>
        <w:tc>
          <w:tcPr>
            <w:tcW w:w="686" w:type="dxa"/>
          </w:tcPr>
          <w:p>
            <w:pPr>
              <w:pStyle w:val="TableParagraph"/>
              <w:spacing w:before="3"/>
              <w:rPr>
                <w:b/>
                <w:sz w:val="13"/>
              </w:rPr>
            </w:pPr>
          </w:p>
          <w:p>
            <w:pPr>
              <w:pStyle w:val="TableParagraph"/>
              <w:ind w:left="26"/>
              <w:rPr>
                <w:sz w:val="18"/>
              </w:rPr>
            </w:pPr>
            <w:r>
              <w:rPr>
                <w:sz w:val="18"/>
              </w:rPr>
              <w:t>18270</w:t>
            </w:r>
          </w:p>
        </w:tc>
        <w:tc>
          <w:tcPr>
            <w:tcW w:w="3535" w:type="dxa"/>
          </w:tcPr>
          <w:p>
            <w:pPr>
              <w:pStyle w:val="TableParagraph"/>
              <w:spacing w:line="312" w:lineRule="auto" w:before="159"/>
              <w:ind w:left="26"/>
              <w:rPr>
                <w:sz w:val="18"/>
              </w:rPr>
            </w:pPr>
            <w:r>
              <w:rPr>
                <w:sz w:val="18"/>
              </w:rPr>
              <w:t>FEMORAL NERVE, injection of an anaesthetic agent</w:t>
            </w:r>
          </w:p>
        </w:tc>
        <w:tc>
          <w:tcPr>
            <w:tcW w:w="950" w:type="dxa"/>
          </w:tcPr>
          <w:p>
            <w:pPr>
              <w:pStyle w:val="TableParagraph"/>
              <w:spacing w:before="3"/>
              <w:rPr>
                <w:b/>
                <w:sz w:val="13"/>
              </w:rPr>
            </w:pPr>
          </w:p>
          <w:p>
            <w:pPr>
              <w:pStyle w:val="TableParagraph"/>
              <w:ind w:left="29"/>
              <w:rPr>
                <w:sz w:val="18"/>
              </w:rPr>
            </w:pPr>
            <w:r>
              <w:rPr>
                <w:sz w:val="18"/>
              </w:rPr>
              <w:t>$88.65</w:t>
            </w:r>
          </w:p>
        </w:tc>
        <w:tc>
          <w:tcPr>
            <w:tcW w:w="1070" w:type="dxa"/>
          </w:tcPr>
          <w:p>
            <w:pPr>
              <w:pStyle w:val="TableParagraph"/>
              <w:spacing w:before="3"/>
              <w:rPr>
                <w:b/>
                <w:sz w:val="13"/>
              </w:rPr>
            </w:pPr>
          </w:p>
          <w:p>
            <w:pPr>
              <w:pStyle w:val="TableParagraph"/>
              <w:ind w:left="28"/>
              <w:rPr>
                <w:sz w:val="18"/>
              </w:rPr>
            </w:pPr>
            <w:r>
              <w:rPr>
                <w:sz w:val="18"/>
              </w:rPr>
              <w:t>4,927</w:t>
            </w:r>
          </w:p>
        </w:tc>
        <w:tc>
          <w:tcPr>
            <w:tcW w:w="1053" w:type="dxa"/>
          </w:tcPr>
          <w:p>
            <w:pPr>
              <w:pStyle w:val="TableParagraph"/>
              <w:spacing w:before="3"/>
              <w:rPr>
                <w:b/>
                <w:sz w:val="13"/>
              </w:rPr>
            </w:pPr>
          </w:p>
          <w:p>
            <w:pPr>
              <w:pStyle w:val="TableParagraph"/>
              <w:ind w:left="30"/>
              <w:rPr>
                <w:sz w:val="18"/>
              </w:rPr>
            </w:pPr>
            <w:r>
              <w:rPr>
                <w:sz w:val="18"/>
              </w:rPr>
              <w:t>$983,487</w:t>
            </w:r>
          </w:p>
        </w:tc>
        <w:tc>
          <w:tcPr>
            <w:tcW w:w="1102" w:type="dxa"/>
          </w:tcPr>
          <w:p>
            <w:pPr>
              <w:pStyle w:val="TableParagraph"/>
              <w:spacing w:before="3"/>
              <w:rPr>
                <w:b/>
                <w:sz w:val="13"/>
              </w:rPr>
            </w:pPr>
          </w:p>
          <w:p>
            <w:pPr>
              <w:pStyle w:val="TableParagraph"/>
              <w:ind w:left="29"/>
              <w:rPr>
                <w:sz w:val="18"/>
              </w:rPr>
            </w:pPr>
            <w:r>
              <w:rPr>
                <w:sz w:val="18"/>
              </w:rPr>
              <w:t>26.0</w:t>
            </w:r>
          </w:p>
        </w:tc>
      </w:tr>
      <w:tr>
        <w:trPr>
          <w:trHeight w:val="1079" w:hRule="atLeast"/>
        </w:trPr>
        <w:tc>
          <w:tcPr>
            <w:tcW w:w="686" w:type="dxa"/>
          </w:tcPr>
          <w:p>
            <w:pPr>
              <w:pStyle w:val="TableParagraph"/>
              <w:spacing w:before="3"/>
              <w:rPr>
                <w:b/>
                <w:sz w:val="13"/>
              </w:rPr>
            </w:pPr>
          </w:p>
          <w:p>
            <w:pPr>
              <w:pStyle w:val="TableParagraph"/>
              <w:ind w:left="26"/>
              <w:rPr>
                <w:sz w:val="18"/>
              </w:rPr>
            </w:pPr>
            <w:r>
              <w:rPr>
                <w:sz w:val="18"/>
              </w:rPr>
              <w:t>18272</w:t>
            </w:r>
          </w:p>
        </w:tc>
        <w:tc>
          <w:tcPr>
            <w:tcW w:w="3535" w:type="dxa"/>
          </w:tcPr>
          <w:p>
            <w:pPr>
              <w:pStyle w:val="TableParagraph"/>
              <w:spacing w:line="312" w:lineRule="auto" w:before="159"/>
              <w:ind w:left="26" w:right="8"/>
              <w:rPr>
                <w:sz w:val="18"/>
              </w:rPr>
            </w:pPr>
            <w:r>
              <w:rPr>
                <w:sz w:val="18"/>
              </w:rPr>
              <w:t>SAPHENOUS, SURAL, POPLITEAL OR POSTERIOR TIBIAL NERVE, MAIN TRUNK OF, 1 or more of,</w:t>
            </w:r>
          </w:p>
          <w:p>
            <w:pPr>
              <w:pStyle w:val="TableParagraph"/>
              <w:ind w:left="26"/>
              <w:rPr>
                <w:sz w:val="18"/>
              </w:rPr>
            </w:pPr>
            <w:r>
              <w:rPr>
                <w:sz w:val="18"/>
              </w:rPr>
              <w:t>injection of an anaesthetic agent</w:t>
            </w:r>
          </w:p>
        </w:tc>
        <w:tc>
          <w:tcPr>
            <w:tcW w:w="950" w:type="dxa"/>
          </w:tcPr>
          <w:p>
            <w:pPr>
              <w:pStyle w:val="TableParagraph"/>
              <w:spacing w:before="3"/>
              <w:rPr>
                <w:b/>
                <w:sz w:val="13"/>
              </w:rPr>
            </w:pPr>
          </w:p>
          <w:p>
            <w:pPr>
              <w:pStyle w:val="TableParagraph"/>
              <w:ind w:left="29"/>
              <w:rPr>
                <w:sz w:val="18"/>
              </w:rPr>
            </w:pPr>
            <w:r>
              <w:rPr>
                <w:sz w:val="18"/>
              </w:rPr>
              <w:t>$62.50</w:t>
            </w:r>
          </w:p>
        </w:tc>
        <w:tc>
          <w:tcPr>
            <w:tcW w:w="1070" w:type="dxa"/>
          </w:tcPr>
          <w:p>
            <w:pPr>
              <w:pStyle w:val="TableParagraph"/>
              <w:spacing w:before="3"/>
              <w:rPr>
                <w:b/>
                <w:sz w:val="13"/>
              </w:rPr>
            </w:pPr>
          </w:p>
          <w:p>
            <w:pPr>
              <w:pStyle w:val="TableParagraph"/>
              <w:ind w:left="28"/>
              <w:rPr>
                <w:sz w:val="18"/>
              </w:rPr>
            </w:pPr>
            <w:r>
              <w:rPr>
                <w:sz w:val="18"/>
              </w:rPr>
              <w:t>14,665</w:t>
            </w:r>
          </w:p>
        </w:tc>
        <w:tc>
          <w:tcPr>
            <w:tcW w:w="1053" w:type="dxa"/>
          </w:tcPr>
          <w:p>
            <w:pPr>
              <w:pStyle w:val="TableParagraph"/>
              <w:spacing w:before="3"/>
              <w:rPr>
                <w:b/>
                <w:sz w:val="13"/>
              </w:rPr>
            </w:pPr>
          </w:p>
          <w:p>
            <w:pPr>
              <w:pStyle w:val="TableParagraph"/>
              <w:ind w:left="30"/>
              <w:rPr>
                <w:sz w:val="18"/>
              </w:rPr>
            </w:pPr>
            <w:r>
              <w:rPr>
                <w:sz w:val="18"/>
              </w:rPr>
              <w:t>$1,702,775</w:t>
            </w:r>
          </w:p>
        </w:tc>
        <w:tc>
          <w:tcPr>
            <w:tcW w:w="1102" w:type="dxa"/>
          </w:tcPr>
          <w:p>
            <w:pPr>
              <w:pStyle w:val="TableParagraph"/>
              <w:spacing w:before="3"/>
              <w:rPr>
                <w:b/>
                <w:sz w:val="13"/>
              </w:rPr>
            </w:pPr>
          </w:p>
          <w:p>
            <w:pPr>
              <w:pStyle w:val="TableParagraph"/>
              <w:ind w:left="29"/>
              <w:rPr>
                <w:sz w:val="18"/>
              </w:rPr>
            </w:pPr>
            <w:r>
              <w:rPr>
                <w:sz w:val="18"/>
              </w:rPr>
              <w:t>13.8</w:t>
            </w:r>
          </w:p>
        </w:tc>
      </w:tr>
      <w:tr>
        <w:trPr>
          <w:trHeight w:val="794" w:hRule="atLeast"/>
        </w:trPr>
        <w:tc>
          <w:tcPr>
            <w:tcW w:w="686" w:type="dxa"/>
          </w:tcPr>
          <w:p>
            <w:pPr>
              <w:pStyle w:val="TableParagraph"/>
              <w:spacing w:before="3"/>
              <w:rPr>
                <w:b/>
                <w:sz w:val="13"/>
              </w:rPr>
            </w:pPr>
          </w:p>
          <w:p>
            <w:pPr>
              <w:pStyle w:val="TableParagraph"/>
              <w:ind w:left="26"/>
              <w:rPr>
                <w:sz w:val="18"/>
              </w:rPr>
            </w:pPr>
            <w:r>
              <w:rPr>
                <w:sz w:val="18"/>
              </w:rPr>
              <w:t>18278</w:t>
            </w:r>
          </w:p>
        </w:tc>
        <w:tc>
          <w:tcPr>
            <w:tcW w:w="3535" w:type="dxa"/>
          </w:tcPr>
          <w:p>
            <w:pPr>
              <w:pStyle w:val="TableParagraph"/>
              <w:spacing w:line="312" w:lineRule="auto" w:before="159"/>
              <w:ind w:left="26"/>
              <w:rPr>
                <w:sz w:val="18"/>
              </w:rPr>
            </w:pPr>
            <w:r>
              <w:rPr>
                <w:sz w:val="18"/>
              </w:rPr>
              <w:t>SCIATIC NERVE, injection of an anaesthetic agent</w:t>
            </w:r>
          </w:p>
        </w:tc>
        <w:tc>
          <w:tcPr>
            <w:tcW w:w="950" w:type="dxa"/>
          </w:tcPr>
          <w:p>
            <w:pPr>
              <w:pStyle w:val="TableParagraph"/>
              <w:spacing w:before="3"/>
              <w:rPr>
                <w:b/>
                <w:sz w:val="13"/>
              </w:rPr>
            </w:pPr>
          </w:p>
          <w:p>
            <w:pPr>
              <w:pStyle w:val="TableParagraph"/>
              <w:ind w:left="29"/>
              <w:rPr>
                <w:sz w:val="18"/>
              </w:rPr>
            </w:pPr>
            <w:r>
              <w:rPr>
                <w:sz w:val="18"/>
              </w:rPr>
              <w:t>$88.65</w:t>
            </w:r>
          </w:p>
        </w:tc>
        <w:tc>
          <w:tcPr>
            <w:tcW w:w="1070" w:type="dxa"/>
          </w:tcPr>
          <w:p>
            <w:pPr>
              <w:pStyle w:val="TableParagraph"/>
              <w:spacing w:before="3"/>
              <w:rPr>
                <w:b/>
                <w:sz w:val="13"/>
              </w:rPr>
            </w:pPr>
          </w:p>
          <w:p>
            <w:pPr>
              <w:pStyle w:val="TableParagraph"/>
              <w:ind w:left="28"/>
              <w:rPr>
                <w:sz w:val="18"/>
              </w:rPr>
            </w:pPr>
            <w:r>
              <w:rPr>
                <w:sz w:val="18"/>
              </w:rPr>
              <w:t>400</w:t>
            </w:r>
          </w:p>
        </w:tc>
        <w:tc>
          <w:tcPr>
            <w:tcW w:w="1053" w:type="dxa"/>
          </w:tcPr>
          <w:p>
            <w:pPr>
              <w:pStyle w:val="TableParagraph"/>
              <w:spacing w:before="3"/>
              <w:rPr>
                <w:b/>
                <w:sz w:val="13"/>
              </w:rPr>
            </w:pPr>
          </w:p>
          <w:p>
            <w:pPr>
              <w:pStyle w:val="TableParagraph"/>
              <w:ind w:left="30"/>
              <w:rPr>
                <w:sz w:val="18"/>
              </w:rPr>
            </w:pPr>
            <w:r>
              <w:rPr>
                <w:sz w:val="18"/>
              </w:rPr>
              <w:t>$28,169</w:t>
            </w:r>
          </w:p>
        </w:tc>
        <w:tc>
          <w:tcPr>
            <w:tcW w:w="1102" w:type="dxa"/>
          </w:tcPr>
          <w:p>
            <w:pPr>
              <w:pStyle w:val="TableParagraph"/>
              <w:spacing w:before="3"/>
              <w:rPr>
                <w:b/>
                <w:sz w:val="13"/>
              </w:rPr>
            </w:pPr>
          </w:p>
          <w:p>
            <w:pPr>
              <w:pStyle w:val="TableParagraph"/>
              <w:ind w:left="29"/>
              <w:rPr>
                <w:sz w:val="18"/>
              </w:rPr>
            </w:pPr>
            <w:r>
              <w:rPr>
                <w:sz w:val="18"/>
              </w:rPr>
              <w:t>9.3</w:t>
            </w:r>
          </w:p>
        </w:tc>
      </w:tr>
      <w:tr>
        <w:trPr>
          <w:trHeight w:val="796" w:hRule="atLeast"/>
        </w:trPr>
        <w:tc>
          <w:tcPr>
            <w:tcW w:w="686" w:type="dxa"/>
          </w:tcPr>
          <w:p>
            <w:pPr>
              <w:pStyle w:val="TableParagraph"/>
              <w:spacing w:before="3"/>
              <w:rPr>
                <w:b/>
                <w:sz w:val="13"/>
              </w:rPr>
            </w:pPr>
          </w:p>
          <w:p>
            <w:pPr>
              <w:pStyle w:val="TableParagraph"/>
              <w:ind w:left="26"/>
              <w:rPr>
                <w:sz w:val="18"/>
              </w:rPr>
            </w:pPr>
            <w:r>
              <w:rPr>
                <w:sz w:val="18"/>
              </w:rPr>
              <w:t>18280</w:t>
            </w:r>
          </w:p>
        </w:tc>
        <w:tc>
          <w:tcPr>
            <w:tcW w:w="3535" w:type="dxa"/>
          </w:tcPr>
          <w:p>
            <w:pPr>
              <w:pStyle w:val="TableParagraph"/>
              <w:spacing w:line="312" w:lineRule="auto" w:before="159"/>
              <w:ind w:left="26" w:right="175"/>
              <w:rPr>
                <w:sz w:val="18"/>
              </w:rPr>
            </w:pPr>
            <w:r>
              <w:rPr>
                <w:sz w:val="18"/>
              </w:rPr>
              <w:t>SPHENOPALATINE GANGLION, injection of an anaesthetic agent</w:t>
            </w:r>
          </w:p>
        </w:tc>
        <w:tc>
          <w:tcPr>
            <w:tcW w:w="950" w:type="dxa"/>
          </w:tcPr>
          <w:p>
            <w:pPr>
              <w:pStyle w:val="TableParagraph"/>
              <w:spacing w:before="3"/>
              <w:rPr>
                <w:b/>
                <w:sz w:val="13"/>
              </w:rPr>
            </w:pPr>
          </w:p>
          <w:p>
            <w:pPr>
              <w:pStyle w:val="TableParagraph"/>
              <w:ind w:left="29"/>
              <w:rPr>
                <w:sz w:val="18"/>
              </w:rPr>
            </w:pPr>
            <w:r>
              <w:rPr>
                <w:sz w:val="18"/>
              </w:rPr>
              <w:t>$124.85</w:t>
            </w:r>
          </w:p>
        </w:tc>
        <w:tc>
          <w:tcPr>
            <w:tcW w:w="1070" w:type="dxa"/>
          </w:tcPr>
          <w:p>
            <w:pPr>
              <w:pStyle w:val="TableParagraph"/>
              <w:spacing w:before="3"/>
              <w:rPr>
                <w:b/>
                <w:sz w:val="13"/>
              </w:rPr>
            </w:pPr>
          </w:p>
          <w:p>
            <w:pPr>
              <w:pStyle w:val="TableParagraph"/>
              <w:ind w:left="28"/>
              <w:rPr>
                <w:sz w:val="18"/>
              </w:rPr>
            </w:pPr>
            <w:r>
              <w:rPr>
                <w:sz w:val="18"/>
              </w:rPr>
              <w:t>5,418</w:t>
            </w:r>
          </w:p>
        </w:tc>
        <w:tc>
          <w:tcPr>
            <w:tcW w:w="1053" w:type="dxa"/>
          </w:tcPr>
          <w:p>
            <w:pPr>
              <w:pStyle w:val="TableParagraph"/>
              <w:spacing w:before="3"/>
              <w:rPr>
                <w:b/>
                <w:sz w:val="13"/>
              </w:rPr>
            </w:pPr>
          </w:p>
          <w:p>
            <w:pPr>
              <w:pStyle w:val="TableParagraph"/>
              <w:ind w:left="30"/>
              <w:rPr>
                <w:sz w:val="18"/>
              </w:rPr>
            </w:pPr>
            <w:r>
              <w:rPr>
                <w:sz w:val="18"/>
              </w:rPr>
              <w:t>$507,387</w:t>
            </w:r>
          </w:p>
        </w:tc>
        <w:tc>
          <w:tcPr>
            <w:tcW w:w="1102" w:type="dxa"/>
          </w:tcPr>
          <w:p>
            <w:pPr>
              <w:pStyle w:val="TableParagraph"/>
              <w:spacing w:before="3"/>
              <w:rPr>
                <w:b/>
                <w:sz w:val="13"/>
              </w:rPr>
            </w:pPr>
          </w:p>
          <w:p>
            <w:pPr>
              <w:pStyle w:val="TableParagraph"/>
              <w:ind w:left="29"/>
              <w:rPr>
                <w:sz w:val="18"/>
              </w:rPr>
            </w:pPr>
            <w:r>
              <w:rPr>
                <w:sz w:val="18"/>
              </w:rPr>
              <w:t>5.9</w:t>
            </w:r>
          </w:p>
        </w:tc>
      </w:tr>
      <w:tr>
        <w:trPr>
          <w:trHeight w:val="793" w:hRule="atLeast"/>
        </w:trPr>
        <w:tc>
          <w:tcPr>
            <w:tcW w:w="686" w:type="dxa"/>
          </w:tcPr>
          <w:p>
            <w:pPr>
              <w:pStyle w:val="TableParagraph"/>
              <w:spacing w:before="159"/>
              <w:ind w:left="26"/>
              <w:rPr>
                <w:sz w:val="18"/>
              </w:rPr>
            </w:pPr>
            <w:r>
              <w:rPr>
                <w:sz w:val="18"/>
              </w:rPr>
              <w:t>18288</w:t>
            </w:r>
          </w:p>
        </w:tc>
        <w:tc>
          <w:tcPr>
            <w:tcW w:w="3535" w:type="dxa"/>
          </w:tcPr>
          <w:p>
            <w:pPr>
              <w:pStyle w:val="TableParagraph"/>
              <w:spacing w:before="157"/>
              <w:ind w:left="26"/>
              <w:rPr>
                <w:sz w:val="18"/>
              </w:rPr>
            </w:pPr>
            <w:r>
              <w:rPr>
                <w:sz w:val="18"/>
              </w:rPr>
              <w:t>COELIAC PLEXUS OR SPLANCHNIC NERVES,</w:t>
            </w:r>
          </w:p>
          <w:p>
            <w:pPr>
              <w:pStyle w:val="TableParagraph"/>
              <w:spacing w:before="68"/>
              <w:ind w:left="26"/>
              <w:rPr>
                <w:sz w:val="18"/>
              </w:rPr>
            </w:pPr>
            <w:r>
              <w:rPr>
                <w:sz w:val="18"/>
              </w:rPr>
              <w:t>injection of an anaesthetic agent (Anaes.)</w:t>
            </w:r>
          </w:p>
        </w:tc>
        <w:tc>
          <w:tcPr>
            <w:tcW w:w="950" w:type="dxa"/>
          </w:tcPr>
          <w:p>
            <w:pPr>
              <w:pStyle w:val="TableParagraph"/>
              <w:spacing w:before="159"/>
              <w:ind w:left="29"/>
              <w:rPr>
                <w:sz w:val="18"/>
              </w:rPr>
            </w:pPr>
            <w:r>
              <w:rPr>
                <w:sz w:val="18"/>
              </w:rPr>
              <w:t>$147.65</w:t>
            </w:r>
          </w:p>
        </w:tc>
        <w:tc>
          <w:tcPr>
            <w:tcW w:w="1070" w:type="dxa"/>
          </w:tcPr>
          <w:p>
            <w:pPr>
              <w:pStyle w:val="TableParagraph"/>
              <w:spacing w:before="159"/>
              <w:ind w:left="28"/>
              <w:rPr>
                <w:sz w:val="18"/>
              </w:rPr>
            </w:pPr>
            <w:r>
              <w:rPr>
                <w:sz w:val="18"/>
              </w:rPr>
              <w:t>158</w:t>
            </w:r>
          </w:p>
        </w:tc>
        <w:tc>
          <w:tcPr>
            <w:tcW w:w="1053" w:type="dxa"/>
          </w:tcPr>
          <w:p>
            <w:pPr>
              <w:pStyle w:val="TableParagraph"/>
              <w:spacing w:before="159"/>
              <w:ind w:left="30"/>
              <w:rPr>
                <w:sz w:val="18"/>
              </w:rPr>
            </w:pPr>
            <w:r>
              <w:rPr>
                <w:sz w:val="18"/>
              </w:rPr>
              <w:t>$18,105</w:t>
            </w:r>
          </w:p>
        </w:tc>
        <w:tc>
          <w:tcPr>
            <w:tcW w:w="1102" w:type="dxa"/>
          </w:tcPr>
          <w:p>
            <w:pPr>
              <w:pStyle w:val="TableParagraph"/>
              <w:spacing w:before="159"/>
              <w:ind w:left="29"/>
              <w:rPr>
                <w:sz w:val="18"/>
              </w:rPr>
            </w:pPr>
            <w:r>
              <w:rPr>
                <w:sz w:val="18"/>
              </w:rPr>
              <w:t>7.1</w:t>
            </w:r>
          </w:p>
        </w:tc>
      </w:tr>
    </w:tbl>
    <w:p>
      <w:pPr>
        <w:pStyle w:val="BodyText"/>
        <w:rPr>
          <w:b/>
          <w:sz w:val="20"/>
        </w:rPr>
      </w:pPr>
    </w:p>
    <w:p>
      <w:pPr>
        <w:pStyle w:val="BodyText"/>
        <w:spacing w:before="8"/>
        <w:rPr>
          <w:b/>
          <w:sz w:val="26"/>
        </w:rPr>
      </w:pPr>
    </w:p>
    <w:p>
      <w:pPr>
        <w:pStyle w:val="Heading4"/>
        <w:numPr>
          <w:ilvl w:val="2"/>
          <w:numId w:val="17"/>
        </w:numPr>
        <w:tabs>
          <w:tab w:pos="1981" w:val="left" w:leader="none"/>
          <w:tab w:pos="1982" w:val="left" w:leader="none"/>
        </w:tabs>
        <w:spacing w:line="309" w:lineRule="auto" w:before="51" w:after="0"/>
        <w:ind w:left="1982" w:right="1846" w:hanging="720"/>
        <w:jc w:val="left"/>
      </w:pPr>
      <w:r>
        <w:rPr/>
        <w:t>Recommendation 20 – Restriction of co-claiming of items 18228, 18232, 18238, 18244, 18252, 18254, 18262, 18264, 18266, 18278, 18280 and</w:t>
      </w:r>
      <w:r>
        <w:rPr>
          <w:spacing w:val="-13"/>
        </w:rPr>
        <w:t> </w:t>
      </w:r>
      <w:r>
        <w:rPr/>
        <w:t>18288</w:t>
      </w:r>
    </w:p>
    <w:p>
      <w:pPr>
        <w:pStyle w:val="BodyText"/>
        <w:spacing w:before="123"/>
        <w:ind w:left="1262"/>
      </w:pPr>
      <w:r>
        <w:rPr/>
        <w:t>The Committee recommends:</w:t>
      </w:r>
    </w:p>
    <w:p>
      <w:pPr>
        <w:pStyle w:val="BodyText"/>
        <w:spacing w:before="4"/>
        <w:rPr>
          <w:sz w:val="16"/>
        </w:rPr>
      </w:pPr>
    </w:p>
    <w:p>
      <w:pPr>
        <w:pStyle w:val="ListParagraph"/>
        <w:numPr>
          <w:ilvl w:val="3"/>
          <w:numId w:val="17"/>
        </w:numPr>
        <w:tabs>
          <w:tab w:pos="2035" w:val="left" w:leader="none"/>
        </w:tabs>
        <w:spacing w:line="312" w:lineRule="auto" w:before="0" w:after="0"/>
        <w:ind w:left="2034" w:right="1837" w:hanging="360"/>
        <w:jc w:val="left"/>
        <w:rPr>
          <w:sz w:val="22"/>
        </w:rPr>
      </w:pPr>
      <w:r>
        <w:rPr>
          <w:sz w:val="22"/>
        </w:rPr>
        <w:t>these items should not be co-claimed with the surgical procedure if the nerve block is undertaken by field infiltration or under direct surgical exposure. Targeted percutaneous nerve blocks may still be co-claimed with the surgical</w:t>
      </w:r>
      <w:r>
        <w:rPr>
          <w:spacing w:val="-16"/>
          <w:sz w:val="22"/>
        </w:rPr>
        <w:t> </w:t>
      </w:r>
      <w:r>
        <w:rPr>
          <w:sz w:val="22"/>
        </w:rPr>
        <w:t>procedure.</w:t>
      </w:r>
    </w:p>
    <w:p>
      <w:pPr>
        <w:pStyle w:val="ListParagraph"/>
        <w:numPr>
          <w:ilvl w:val="3"/>
          <w:numId w:val="17"/>
        </w:numPr>
        <w:tabs>
          <w:tab w:pos="2035" w:val="left" w:leader="none"/>
        </w:tabs>
        <w:spacing w:line="312" w:lineRule="auto" w:before="122" w:after="0"/>
        <w:ind w:left="2034" w:right="1936" w:hanging="360"/>
        <w:jc w:val="left"/>
        <w:rPr>
          <w:sz w:val="22"/>
        </w:rPr>
      </w:pPr>
      <w:r>
        <w:rPr>
          <w:sz w:val="22"/>
        </w:rPr>
        <w:t>the appropriate surgical committees be informed about the changes to these item numbers.</w:t>
      </w:r>
    </w:p>
    <w:p>
      <w:pPr>
        <w:pStyle w:val="ListParagraph"/>
        <w:numPr>
          <w:ilvl w:val="3"/>
          <w:numId w:val="17"/>
        </w:numPr>
        <w:tabs>
          <w:tab w:pos="2034" w:val="left" w:leader="none"/>
          <w:tab w:pos="2035" w:val="left" w:leader="none"/>
        </w:tabs>
        <w:spacing w:line="240" w:lineRule="auto" w:before="120" w:after="0"/>
        <w:ind w:left="2034" w:right="0" w:hanging="361"/>
        <w:jc w:val="left"/>
        <w:rPr>
          <w:sz w:val="22"/>
        </w:rPr>
      </w:pPr>
      <w:r>
        <w:rPr>
          <w:sz w:val="22"/>
        </w:rPr>
        <w:t>amending the descriptors to include (changes in</w:t>
      </w:r>
      <w:r>
        <w:rPr>
          <w:spacing w:val="-4"/>
          <w:sz w:val="22"/>
        </w:rPr>
        <w:t> </w:t>
      </w:r>
      <w:r>
        <w:rPr>
          <w:sz w:val="22"/>
        </w:rPr>
        <w:t>bold):</w:t>
      </w:r>
    </w:p>
    <w:p>
      <w:pPr>
        <w:pStyle w:val="BodyText"/>
        <w:spacing w:before="4"/>
        <w:rPr>
          <w:sz w:val="16"/>
        </w:rPr>
      </w:pPr>
    </w:p>
    <w:p>
      <w:pPr>
        <w:pStyle w:val="Heading7"/>
        <w:spacing w:before="0"/>
        <w:ind w:left="1262"/>
      </w:pPr>
      <w:r>
        <w:rPr/>
        <w:t>Items 18228, 18232, 18238, 18244, 18252, 18254, 18262, 18278, 18264, 18266, 18278,</w:t>
      </w:r>
    </w:p>
    <w:p>
      <w:pPr>
        <w:pStyle w:val="Heading7"/>
        <w:spacing w:before="82"/>
        <w:ind w:left="1262"/>
        <w:rPr>
          <w:b w:val="0"/>
        </w:rPr>
      </w:pPr>
      <w:r>
        <w:rPr/>
        <w:t>18280 and 18288 </w:t>
      </w:r>
      <w:r>
        <w:rPr>
          <w:b w:val="0"/>
        </w:rPr>
        <w:t>Add:</w:t>
      </w:r>
    </w:p>
    <w:p>
      <w:pPr>
        <w:pStyle w:val="BodyText"/>
        <w:spacing w:before="4"/>
        <w:rPr>
          <w:sz w:val="16"/>
        </w:rPr>
      </w:pPr>
    </w:p>
    <w:p>
      <w:pPr>
        <w:pStyle w:val="Heading7"/>
        <w:spacing w:line="314" w:lineRule="auto" w:before="0"/>
        <w:ind w:left="1262" w:right="1846"/>
        <w:rPr>
          <w:b w:val="0"/>
        </w:rPr>
      </w:pPr>
      <w:r>
        <w:rPr>
          <w:b w:val="0"/>
        </w:rPr>
        <w:t>‘</w:t>
      </w:r>
      <w:r>
        <w:rPr/>
        <w:t>not to be co-claimed with any surgical procedures, including those performed under local anaesthesia unless the nerve block involves a targeted percutaneous approach’</w:t>
      </w:r>
      <w:r>
        <w:rPr>
          <w:b w:val="0"/>
        </w:rPr>
        <w:t>.</w:t>
      </w:r>
    </w:p>
    <w:p>
      <w:pPr>
        <w:pStyle w:val="BodyText"/>
      </w:pPr>
    </w:p>
    <w:p>
      <w:pPr>
        <w:pStyle w:val="BodyText"/>
        <w:spacing w:before="1"/>
        <w:rPr>
          <w:sz w:val="21"/>
        </w:rPr>
      </w:pPr>
    </w:p>
    <w:p>
      <w:pPr>
        <w:spacing w:before="0"/>
        <w:ind w:left="1314" w:right="0" w:firstLine="0"/>
        <w:jc w:val="left"/>
        <w:rPr>
          <w:i/>
          <w:sz w:val="22"/>
        </w:rPr>
      </w:pPr>
      <w:r>
        <w:rPr>
          <w:i/>
          <w:sz w:val="22"/>
        </w:rPr>
        <w:t>Note: For item 18232 please refer to recommendation 4 for further recommendations.</w:t>
      </w:r>
    </w:p>
    <w:p>
      <w:pPr>
        <w:spacing w:after="0"/>
        <w:jc w:val="left"/>
        <w:rPr>
          <w:sz w:val="22"/>
        </w:rPr>
        <w:sectPr>
          <w:pgSz w:w="11910" w:h="16840"/>
          <w:pgMar w:header="672" w:footer="978" w:top="1300" w:bottom="1160" w:left="440" w:right="140"/>
        </w:sectPr>
      </w:pPr>
    </w:p>
    <w:p>
      <w:pPr>
        <w:pStyle w:val="BodyText"/>
        <w:rPr>
          <w:i/>
          <w:sz w:val="20"/>
        </w:rPr>
      </w:pPr>
    </w:p>
    <w:p>
      <w:pPr>
        <w:pStyle w:val="BodyText"/>
        <w:spacing w:before="11"/>
        <w:rPr>
          <w:i/>
          <w:sz w:val="24"/>
        </w:rPr>
      </w:pPr>
    </w:p>
    <w:p>
      <w:pPr>
        <w:pStyle w:val="Heading4"/>
        <w:tabs>
          <w:tab w:pos="2397" w:val="left" w:leader="none"/>
        </w:tabs>
        <w:ind w:left="1262" w:firstLine="0"/>
      </w:pPr>
      <w:r>
        <w:rPr/>
        <w:t>4.3.1.1</w:t>
        <w:tab/>
        <w:t>Rationale 20</w:t>
      </w:r>
    </w:p>
    <w:p>
      <w:pPr>
        <w:pStyle w:val="BodyText"/>
        <w:spacing w:line="312" w:lineRule="auto" w:before="204"/>
        <w:ind w:left="1262" w:right="1828"/>
      </w:pPr>
      <w:r>
        <w:rPr/>
        <w:t>The pain management items of the MBS cover a wide variety of treatment options including pain treatment in conjunction with surgical procedures.</w:t>
      </w:r>
    </w:p>
    <w:p>
      <w:pPr>
        <w:pStyle w:val="BodyText"/>
        <w:spacing w:line="312" w:lineRule="auto" w:before="180"/>
        <w:ind w:left="1262" w:right="1662"/>
      </w:pPr>
      <w:r>
        <w:rPr/>
        <w:t>This recommendation focuses on clarifying service provision best practice and effective use of the health system. It is based on the following assessment:</w:t>
      </w:r>
    </w:p>
    <w:p>
      <w:pPr>
        <w:pStyle w:val="BodyText"/>
        <w:spacing w:line="312" w:lineRule="auto" w:before="72"/>
        <w:ind w:left="2123" w:right="1655"/>
      </w:pPr>
      <w:r>
        <w:rPr/>
        <w:t>The Committee agreed from the co-claiming evidence that many of the pain management items under consideration are being inappropriately co-claimed with a surgical procedure. This is happening across different specialties and includes:</w:t>
      </w:r>
    </w:p>
    <w:p>
      <w:pPr>
        <w:pStyle w:val="ListParagraph"/>
        <w:numPr>
          <w:ilvl w:val="0"/>
          <w:numId w:val="18"/>
        </w:numPr>
        <w:tabs>
          <w:tab w:pos="3493" w:val="left" w:leader="none"/>
          <w:tab w:pos="3494" w:val="left" w:leader="none"/>
        </w:tabs>
        <w:spacing w:line="312" w:lineRule="auto" w:before="122" w:after="0"/>
        <w:ind w:left="3494" w:right="1704" w:hanging="720"/>
        <w:jc w:val="left"/>
        <w:rPr>
          <w:sz w:val="22"/>
        </w:rPr>
      </w:pPr>
      <w:r>
        <w:rPr>
          <w:sz w:val="22"/>
        </w:rPr>
        <w:t>Claiming these items when field infiltration or a nerve block under open surgical exposure is a standard part of the procedure for either analgesia or</w:t>
      </w:r>
      <w:r>
        <w:rPr>
          <w:spacing w:val="-4"/>
          <w:sz w:val="22"/>
        </w:rPr>
        <w:t> </w:t>
      </w:r>
      <w:r>
        <w:rPr>
          <w:sz w:val="22"/>
        </w:rPr>
        <w:t>immobilisation.</w:t>
      </w:r>
    </w:p>
    <w:p>
      <w:pPr>
        <w:pStyle w:val="ListParagraph"/>
        <w:numPr>
          <w:ilvl w:val="0"/>
          <w:numId w:val="18"/>
        </w:numPr>
        <w:tabs>
          <w:tab w:pos="3493" w:val="left" w:leader="none"/>
          <w:tab w:pos="3494" w:val="left" w:leader="none"/>
        </w:tabs>
        <w:spacing w:line="312" w:lineRule="auto" w:before="119" w:after="0"/>
        <w:ind w:left="3494" w:right="2181" w:hanging="720"/>
        <w:jc w:val="left"/>
        <w:rPr>
          <w:sz w:val="22"/>
        </w:rPr>
      </w:pPr>
      <w:r>
        <w:rPr>
          <w:sz w:val="22"/>
        </w:rPr>
        <w:t>For example co-claiming nerve blocks when infiltration of local anaesthesia is used for procedures such as vasectomy, varicose sclerotherapy and removal of skin lesions where a targeted percutaneous nerve block is not</w:t>
      </w:r>
      <w:r>
        <w:rPr>
          <w:spacing w:val="-4"/>
          <w:sz w:val="22"/>
        </w:rPr>
        <w:t> </w:t>
      </w:r>
      <w:r>
        <w:rPr>
          <w:sz w:val="22"/>
        </w:rPr>
        <w:t>appropriate.</w:t>
      </w:r>
    </w:p>
    <w:p>
      <w:pPr>
        <w:pStyle w:val="BodyText"/>
        <w:spacing w:line="312" w:lineRule="auto" w:before="133"/>
        <w:ind w:left="2123" w:right="1986"/>
      </w:pPr>
      <w:r>
        <w:rPr/>
        <w:drawing>
          <wp:anchor distT="0" distB="0" distL="0" distR="0" allowOverlap="1" layoutInCell="1" locked="0" behindDoc="0" simplePos="0" relativeHeight="15878656">
            <wp:simplePos x="0" y="0"/>
            <wp:positionH relativeFrom="page">
              <wp:posOffset>1362646</wp:posOffset>
            </wp:positionH>
            <wp:positionV relativeFrom="paragraph">
              <wp:posOffset>153017</wp:posOffset>
            </wp:positionV>
            <wp:extent cx="52387" cy="52387"/>
            <wp:effectExtent l="0" t="0" r="0" b="0"/>
            <wp:wrapNone/>
            <wp:docPr id="601" name="image176.png"/>
            <wp:cNvGraphicFramePr>
              <a:graphicFrameLocks noChangeAspect="1"/>
            </wp:cNvGraphicFramePr>
            <a:graphic>
              <a:graphicData uri="http://schemas.openxmlformats.org/drawingml/2006/picture">
                <pic:pic>
                  <pic:nvPicPr>
                    <pic:cNvPr id="602" name="image176.png"/>
                    <pic:cNvPicPr/>
                  </pic:nvPicPr>
                  <pic:blipFill>
                    <a:blip r:embed="rId184" cstate="print"/>
                    <a:stretch>
                      <a:fillRect/>
                    </a:stretch>
                  </pic:blipFill>
                  <pic:spPr>
                    <a:xfrm>
                      <a:off x="0" y="0"/>
                      <a:ext cx="52387" cy="52387"/>
                    </a:xfrm>
                    <a:prstGeom prst="rect">
                      <a:avLst/>
                    </a:prstGeom>
                  </pic:spPr>
                </pic:pic>
              </a:graphicData>
            </a:graphic>
          </wp:anchor>
        </w:drawing>
      </w:r>
      <w:r>
        <w:rPr/>
        <w:t>The Committee considers that this is unintended practice which goes against the spirit of the MBS and that the principle of providing ‘complete medical services’ should be encouraged where possible.</w:t>
      </w:r>
    </w:p>
    <w:p>
      <w:pPr>
        <w:pStyle w:val="BodyText"/>
        <w:spacing w:line="312" w:lineRule="auto" w:before="131"/>
        <w:ind w:left="2123" w:right="1661"/>
      </w:pPr>
      <w:r>
        <w:rPr/>
        <w:drawing>
          <wp:anchor distT="0" distB="0" distL="0" distR="0" allowOverlap="1" layoutInCell="1" locked="0" behindDoc="0" simplePos="0" relativeHeight="15879168">
            <wp:simplePos x="0" y="0"/>
            <wp:positionH relativeFrom="page">
              <wp:posOffset>1362646</wp:posOffset>
            </wp:positionH>
            <wp:positionV relativeFrom="paragraph">
              <wp:posOffset>151747</wp:posOffset>
            </wp:positionV>
            <wp:extent cx="52387" cy="52387"/>
            <wp:effectExtent l="0" t="0" r="0" b="0"/>
            <wp:wrapNone/>
            <wp:docPr id="603" name="image176.png"/>
            <wp:cNvGraphicFramePr>
              <a:graphicFrameLocks noChangeAspect="1"/>
            </wp:cNvGraphicFramePr>
            <a:graphic>
              <a:graphicData uri="http://schemas.openxmlformats.org/drawingml/2006/picture">
                <pic:pic>
                  <pic:nvPicPr>
                    <pic:cNvPr id="604" name="image176.png"/>
                    <pic:cNvPicPr/>
                  </pic:nvPicPr>
                  <pic:blipFill>
                    <a:blip r:embed="rId184" cstate="print"/>
                    <a:stretch>
                      <a:fillRect/>
                    </a:stretch>
                  </pic:blipFill>
                  <pic:spPr>
                    <a:xfrm>
                      <a:off x="0" y="0"/>
                      <a:ext cx="52387" cy="52387"/>
                    </a:xfrm>
                    <a:prstGeom prst="rect">
                      <a:avLst/>
                    </a:prstGeom>
                  </pic:spPr>
                </pic:pic>
              </a:graphicData>
            </a:graphic>
          </wp:anchor>
        </w:drawing>
      </w:r>
      <w:r>
        <w:rPr/>
        <w:t>There was broad agreement across the Committee that the pain management items should not be co-claimed when they are a standard part of the surgical procedure.</w:t>
      </w:r>
    </w:p>
    <w:p>
      <w:pPr>
        <w:pStyle w:val="BodyText"/>
        <w:spacing w:line="312" w:lineRule="auto" w:before="132"/>
        <w:ind w:left="2123" w:right="1666"/>
      </w:pPr>
      <w:r>
        <w:rPr/>
        <w:drawing>
          <wp:anchor distT="0" distB="0" distL="0" distR="0" allowOverlap="1" layoutInCell="1" locked="0" behindDoc="0" simplePos="0" relativeHeight="15879680">
            <wp:simplePos x="0" y="0"/>
            <wp:positionH relativeFrom="page">
              <wp:posOffset>1362646</wp:posOffset>
            </wp:positionH>
            <wp:positionV relativeFrom="paragraph">
              <wp:posOffset>152128</wp:posOffset>
            </wp:positionV>
            <wp:extent cx="52387" cy="52387"/>
            <wp:effectExtent l="0" t="0" r="0" b="0"/>
            <wp:wrapNone/>
            <wp:docPr id="605" name="image175.png"/>
            <wp:cNvGraphicFramePr>
              <a:graphicFrameLocks noChangeAspect="1"/>
            </wp:cNvGraphicFramePr>
            <a:graphic>
              <a:graphicData uri="http://schemas.openxmlformats.org/drawingml/2006/picture">
                <pic:pic>
                  <pic:nvPicPr>
                    <pic:cNvPr id="606" name="image175.png"/>
                    <pic:cNvPicPr/>
                  </pic:nvPicPr>
                  <pic:blipFill>
                    <a:blip r:embed="rId183" cstate="print"/>
                    <a:stretch>
                      <a:fillRect/>
                    </a:stretch>
                  </pic:blipFill>
                  <pic:spPr>
                    <a:xfrm>
                      <a:off x="0" y="0"/>
                      <a:ext cx="52387" cy="52387"/>
                    </a:xfrm>
                    <a:prstGeom prst="rect">
                      <a:avLst/>
                    </a:prstGeom>
                  </pic:spPr>
                </pic:pic>
              </a:graphicData>
            </a:graphic>
          </wp:anchor>
        </w:drawing>
      </w:r>
      <w:r>
        <w:rPr/>
        <w:t>The Committee noted that the data identifying co-claiming practices where pain management items were being claimed 80% of the time with the surgical procedure suggested that the analgesia was a requirement of the surgery and therefore should form part of a ‘complete medical service’.</w:t>
      </w:r>
    </w:p>
    <w:p>
      <w:pPr>
        <w:pStyle w:val="BodyText"/>
        <w:spacing w:line="312" w:lineRule="auto" w:before="121"/>
        <w:ind w:left="1694" w:right="1681"/>
        <w:jc w:val="both"/>
      </w:pPr>
      <w:r>
        <w:rPr/>
        <w:t>The Committee supports the retention of stand-alone items in cases where the items are used for chronic pain or cancer pain or, in limited cases, acute pain outside the operating theatre.</w:t>
      </w:r>
    </w:p>
    <w:p>
      <w:pPr>
        <w:pStyle w:val="Heading4"/>
        <w:numPr>
          <w:ilvl w:val="2"/>
          <w:numId w:val="17"/>
        </w:numPr>
        <w:tabs>
          <w:tab w:pos="1982" w:val="left" w:leader="none"/>
        </w:tabs>
        <w:spacing w:line="240" w:lineRule="auto" w:before="121" w:after="0"/>
        <w:ind w:left="1982" w:right="0" w:hanging="720"/>
        <w:jc w:val="both"/>
      </w:pPr>
      <w:r>
        <w:rPr/>
        <w:t>Recommendation 21 – Clarifying items 18234 and 18236 - trigeminal</w:t>
      </w:r>
      <w:r>
        <w:rPr>
          <w:spacing w:val="-4"/>
        </w:rPr>
        <w:t> </w:t>
      </w:r>
      <w:r>
        <w:rPr/>
        <w:t>nerve</w:t>
      </w:r>
    </w:p>
    <w:p>
      <w:pPr>
        <w:pStyle w:val="BodyText"/>
        <w:spacing w:before="10"/>
        <w:rPr>
          <w:b/>
          <w:sz w:val="21"/>
        </w:rPr>
      </w:pPr>
    </w:p>
    <w:p>
      <w:pPr>
        <w:pStyle w:val="BodyText"/>
        <w:spacing w:line="312" w:lineRule="auto"/>
        <w:ind w:left="1262" w:right="1706"/>
      </w:pPr>
      <w:r>
        <w:rPr/>
        <w:t>The Committee recommends that items 18234 and 18236 should not be co-claimed with any surgical procedures, including those performed under local anaesthesia unless the nerve block involves a targeted percutaneous approach. In addition items 18234 and 18236 should not be co-claimed with each other at the time of surgery and that the descriptor be amended to (changes in bold):</w:t>
      </w:r>
    </w:p>
    <w:p>
      <w:pPr>
        <w:spacing w:after="0" w:line="312" w:lineRule="auto"/>
        <w:sectPr>
          <w:headerReference w:type="default" r:id="rId248"/>
          <w:footerReference w:type="default" r:id="rId249"/>
          <w:pgSz w:w="11910" w:h="16840"/>
          <w:pgMar w:header="672" w:footer="978" w:top="1300" w:bottom="1160" w:left="440" w:right="140"/>
        </w:sectPr>
      </w:pPr>
    </w:p>
    <w:p>
      <w:pPr>
        <w:pStyle w:val="BodyText"/>
        <w:rPr>
          <w:sz w:val="20"/>
        </w:rPr>
      </w:pPr>
    </w:p>
    <w:p>
      <w:pPr>
        <w:pStyle w:val="BodyText"/>
        <w:rPr>
          <w:sz w:val="20"/>
        </w:rPr>
      </w:pPr>
    </w:p>
    <w:p>
      <w:pPr>
        <w:pStyle w:val="BodyText"/>
        <w:spacing w:before="3"/>
        <w:rPr>
          <w:sz w:val="17"/>
        </w:rPr>
      </w:pPr>
    </w:p>
    <w:p>
      <w:pPr>
        <w:pStyle w:val="BodyText"/>
        <w:ind w:left="1241"/>
        <w:rPr>
          <w:sz w:val="20"/>
        </w:rPr>
      </w:pPr>
      <w:r>
        <w:rPr>
          <w:sz w:val="20"/>
        </w:rPr>
        <w:pict>
          <v:group style="width:416.3pt;height:104.5pt;mso-position-horizontal-relative:char;mso-position-vertical-relative:line" coordorigin="0,0" coordsize="8326,2090">
            <v:rect style="position:absolute;left:20;top:20;width:8286;height:2050" filled="false" stroked="true" strokeweight="2pt" strokecolor="#c0504d">
              <v:stroke dashstyle="solid"/>
            </v:rect>
            <v:shape style="position:absolute;left:184;top:153;width:1054;height:221" type="#_x0000_t202" filled="false" stroked="false">
              <v:textbox inset="0,0,0,0">
                <w:txbxContent>
                  <w:p>
                    <w:pPr>
                      <w:spacing w:line="221" w:lineRule="exact" w:before="0"/>
                      <w:ind w:left="0" w:right="0" w:firstLine="0"/>
                      <w:jc w:val="left"/>
                      <w:rPr>
                        <w:b/>
                        <w:sz w:val="22"/>
                      </w:rPr>
                    </w:pPr>
                    <w:r>
                      <w:rPr>
                        <w:b/>
                        <w:sz w:val="22"/>
                      </w:rPr>
                      <w:t>Item 18234</w:t>
                    </w:r>
                  </w:p>
                </w:txbxContent>
              </v:textbox>
              <w10:wrap type="none"/>
            </v:shape>
            <v:shape style="position:absolute;left:184;top:561;width:130;height:221" type="#_x0000_t202" filled="false" stroked="false">
              <v:textbox inset="0,0,0,0">
                <w:txbxContent>
                  <w:p>
                    <w:pPr>
                      <w:spacing w:line="221" w:lineRule="exact" w:before="0"/>
                      <w:ind w:left="0" w:right="0" w:firstLine="0"/>
                      <w:jc w:val="left"/>
                      <w:rPr>
                        <w:sz w:val="22"/>
                      </w:rPr>
                    </w:pPr>
                    <w:r>
                      <w:rPr>
                        <w:w w:val="100"/>
                        <w:sz w:val="22"/>
                      </w:rPr>
                      <w:t>•</w:t>
                    </w:r>
                  </w:p>
                </w:txbxContent>
              </v:textbox>
              <w10:wrap type="none"/>
            </v:shape>
            <v:shape style="position:absolute;left:750;top:561;width:6738;height:221" type="#_x0000_t202" filled="false" stroked="false">
              <v:textbox inset="0,0,0,0">
                <w:txbxContent>
                  <w:p>
                    <w:pPr>
                      <w:spacing w:line="221" w:lineRule="exact" w:before="0"/>
                      <w:ind w:left="0" w:right="0" w:firstLine="0"/>
                      <w:jc w:val="left"/>
                      <w:rPr>
                        <w:b/>
                        <w:sz w:val="22"/>
                      </w:rPr>
                    </w:pPr>
                    <w:r>
                      <w:rPr>
                        <w:sz w:val="22"/>
                      </w:rPr>
                      <w:t>TRIGEMINAL NERVE, primary branch </w:t>
                    </w:r>
                    <w:r>
                      <w:rPr>
                        <w:b/>
                        <w:sz w:val="22"/>
                      </w:rPr>
                      <w:t>(ophthalmic, maxillary or mandibular</w:t>
                    </w:r>
                  </w:p>
                </w:txbxContent>
              </v:textbox>
              <w10:wrap type="none"/>
            </v:shape>
            <v:shape style="position:absolute;left:184;top:911;width:7978;height:924" type="#_x0000_t202" filled="false" stroked="false">
              <v:textbox inset="0,0,0,0">
                <w:txbxContent>
                  <w:p>
                    <w:pPr>
                      <w:spacing w:line="225" w:lineRule="exact" w:before="0"/>
                      <w:ind w:left="0" w:right="0" w:firstLine="0"/>
                      <w:jc w:val="left"/>
                      <w:rPr>
                        <w:sz w:val="22"/>
                      </w:rPr>
                    </w:pPr>
                    <w:r>
                      <w:rPr>
                        <w:b/>
                        <w:sz w:val="22"/>
                      </w:rPr>
                      <w:t>branches) </w:t>
                    </w:r>
                    <w:r>
                      <w:rPr>
                        <w:sz w:val="22"/>
                      </w:rPr>
                      <w:t>injection of an anaesthetic agent or steroid (Anaes.). Should not be co-claimed</w:t>
                    </w:r>
                  </w:p>
                  <w:p>
                    <w:pPr>
                      <w:spacing w:line="356" w:lineRule="exact" w:before="4"/>
                      <w:ind w:left="0" w:right="110" w:firstLine="0"/>
                      <w:jc w:val="left"/>
                      <w:rPr>
                        <w:b/>
                        <w:sz w:val="22"/>
                      </w:rPr>
                    </w:pPr>
                    <w:r>
                      <w:rPr>
                        <w:b/>
                        <w:sz w:val="22"/>
                      </w:rPr>
                      <w:t>at the time of surgery unless a targeted percutaneous technique is used or at the time of surgery with 18236.</w:t>
                    </w:r>
                  </w:p>
                </w:txbxContent>
              </v:textbox>
              <w10:wrap type="none"/>
            </v:shape>
          </v:group>
        </w:pict>
      </w:r>
      <w:r>
        <w:rPr>
          <w:sz w:val="20"/>
        </w:rPr>
      </w:r>
    </w:p>
    <w:p>
      <w:pPr>
        <w:pStyle w:val="BodyText"/>
        <w:spacing w:before="123"/>
        <w:ind w:left="1262"/>
      </w:pPr>
      <w:r>
        <w:rPr/>
        <w:t>and</w:t>
      </w:r>
    </w:p>
    <w:p>
      <w:pPr>
        <w:pStyle w:val="BodyText"/>
        <w:spacing w:before="7"/>
        <w:rPr>
          <w:sz w:val="16"/>
        </w:rPr>
      </w:pPr>
      <w:r>
        <w:rPr/>
        <w:pict>
          <v:shape style="position:absolute;margin-left:85.050003pt;margin-top:13.102265pt;width:414.3pt;height:85pt;mso-position-horizontal-relative:page;mso-position-vertical-relative:paragraph;z-index:-15576576;mso-wrap-distance-left:0;mso-wrap-distance-right:0" type="#_x0000_t202" filled="false" stroked="true" strokeweight="2pt" strokecolor="#c0504d">
            <v:textbox inset="0,0,0,0">
              <w:txbxContent>
                <w:p>
                  <w:pPr>
                    <w:spacing w:before="68"/>
                    <w:ind w:left="144" w:right="0" w:firstLine="0"/>
                    <w:jc w:val="both"/>
                    <w:rPr>
                      <w:b/>
                      <w:sz w:val="22"/>
                    </w:rPr>
                  </w:pPr>
                  <w:r>
                    <w:rPr>
                      <w:b/>
                      <w:sz w:val="22"/>
                    </w:rPr>
                    <w:t>Item 18236</w:t>
                  </w:r>
                </w:p>
                <w:p>
                  <w:pPr>
                    <w:spacing w:line="312" w:lineRule="auto" w:before="142"/>
                    <w:ind w:left="144" w:right="249" w:firstLine="0"/>
                    <w:jc w:val="both"/>
                    <w:rPr>
                      <w:b/>
                      <w:sz w:val="22"/>
                    </w:rPr>
                  </w:pPr>
                  <w:r>
                    <w:rPr>
                      <w:sz w:val="22"/>
                    </w:rPr>
                    <w:t>TRIGEMINAL NERVE, peripheral branch of, injection of an anaesthetic agent. Should not be co-claimed </w:t>
                  </w:r>
                  <w:r>
                    <w:rPr>
                      <w:b/>
                      <w:sz w:val="22"/>
                    </w:rPr>
                    <w:t>at the time of surgery unless a targeted percutaneous technique is used or at the time of surgery with 18234.</w:t>
                  </w:r>
                </w:p>
              </w:txbxContent>
            </v:textbox>
            <v:stroke dashstyle="solid"/>
            <w10:wrap type="topAndBottom"/>
          </v:shape>
        </w:pict>
      </w:r>
    </w:p>
    <w:p>
      <w:pPr>
        <w:pStyle w:val="BodyText"/>
      </w:pPr>
    </w:p>
    <w:p>
      <w:pPr>
        <w:pStyle w:val="BodyText"/>
      </w:pPr>
    </w:p>
    <w:p>
      <w:pPr>
        <w:pStyle w:val="Heading4"/>
        <w:tabs>
          <w:tab w:pos="2397" w:val="left" w:leader="none"/>
        </w:tabs>
        <w:spacing w:before="172"/>
        <w:ind w:left="1262" w:firstLine="0"/>
      </w:pPr>
      <w:r>
        <w:rPr/>
        <w:t>4.3.2.1</w:t>
        <w:tab/>
        <w:t>Rationale</w:t>
      </w:r>
      <w:r>
        <w:rPr>
          <w:spacing w:val="-1"/>
        </w:rPr>
        <w:t> </w:t>
      </w:r>
      <w:r>
        <w:rPr/>
        <w:t>21</w:t>
      </w:r>
    </w:p>
    <w:p>
      <w:pPr>
        <w:pStyle w:val="BodyText"/>
        <w:spacing w:line="312" w:lineRule="auto" w:before="206"/>
        <w:ind w:left="1262" w:right="1807"/>
      </w:pPr>
      <w:r>
        <w:rPr/>
        <w:t>Items 18234 and 18236 provide for treatment of the trigeminal nerve via primary division or peripheral branch injection of an anaesthetic agent respectively.</w:t>
      </w:r>
    </w:p>
    <w:p>
      <w:pPr>
        <w:pStyle w:val="BodyText"/>
        <w:spacing w:line="312" w:lineRule="auto" w:before="180"/>
        <w:ind w:left="1262" w:right="1662"/>
      </w:pPr>
      <w:r>
        <w:rPr/>
        <w:t>This recommendation focuses on clarifying service provision best practice and effective use of the health system. It is based on the following assessment:</w:t>
      </w:r>
    </w:p>
    <w:p>
      <w:pPr>
        <w:pStyle w:val="BodyText"/>
        <w:spacing w:line="312" w:lineRule="auto" w:before="72"/>
        <w:ind w:left="2123" w:right="1974"/>
      </w:pPr>
      <w:r>
        <w:rPr/>
        <w:drawing>
          <wp:anchor distT="0" distB="0" distL="0" distR="0" allowOverlap="1" layoutInCell="1" locked="0" behindDoc="0" simplePos="0" relativeHeight="15881216">
            <wp:simplePos x="0" y="0"/>
            <wp:positionH relativeFrom="page">
              <wp:posOffset>1362646</wp:posOffset>
            </wp:positionH>
            <wp:positionV relativeFrom="paragraph">
              <wp:posOffset>114028</wp:posOffset>
            </wp:positionV>
            <wp:extent cx="52387" cy="52387"/>
            <wp:effectExtent l="0" t="0" r="0" b="0"/>
            <wp:wrapNone/>
            <wp:docPr id="609" name="image180.png"/>
            <wp:cNvGraphicFramePr>
              <a:graphicFrameLocks noChangeAspect="1"/>
            </wp:cNvGraphicFramePr>
            <a:graphic>
              <a:graphicData uri="http://schemas.openxmlformats.org/drawingml/2006/picture">
                <pic:pic>
                  <pic:nvPicPr>
                    <pic:cNvPr id="610" name="image180.png"/>
                    <pic:cNvPicPr/>
                  </pic:nvPicPr>
                  <pic:blipFill>
                    <a:blip r:embed="rId188" cstate="print"/>
                    <a:stretch>
                      <a:fillRect/>
                    </a:stretch>
                  </pic:blipFill>
                  <pic:spPr>
                    <a:xfrm>
                      <a:off x="0" y="0"/>
                      <a:ext cx="52387" cy="52387"/>
                    </a:xfrm>
                    <a:prstGeom prst="rect">
                      <a:avLst/>
                    </a:prstGeom>
                  </pic:spPr>
                </pic:pic>
              </a:graphicData>
            </a:graphic>
          </wp:anchor>
        </w:drawing>
      </w:r>
      <w:r>
        <w:rPr/>
        <w:t>In nearly all identified situations, it is only appropriate to claim one of these item numbers.</w:t>
      </w:r>
    </w:p>
    <w:p>
      <w:pPr>
        <w:pStyle w:val="BodyText"/>
        <w:spacing w:line="312" w:lineRule="auto" w:before="133"/>
        <w:ind w:left="2123" w:right="1662"/>
      </w:pPr>
      <w:r>
        <w:rPr/>
        <w:drawing>
          <wp:anchor distT="0" distB="0" distL="0" distR="0" allowOverlap="1" layoutInCell="1" locked="0" behindDoc="0" simplePos="0" relativeHeight="15881728">
            <wp:simplePos x="0" y="0"/>
            <wp:positionH relativeFrom="page">
              <wp:posOffset>1362646</wp:posOffset>
            </wp:positionH>
            <wp:positionV relativeFrom="paragraph">
              <wp:posOffset>152763</wp:posOffset>
            </wp:positionV>
            <wp:extent cx="52387" cy="52387"/>
            <wp:effectExtent l="0" t="0" r="0" b="0"/>
            <wp:wrapNone/>
            <wp:docPr id="611" name="image176.png"/>
            <wp:cNvGraphicFramePr>
              <a:graphicFrameLocks noChangeAspect="1"/>
            </wp:cNvGraphicFramePr>
            <a:graphic>
              <a:graphicData uri="http://schemas.openxmlformats.org/drawingml/2006/picture">
                <pic:pic>
                  <pic:nvPicPr>
                    <pic:cNvPr id="612" name="image176.png"/>
                    <pic:cNvPicPr/>
                  </pic:nvPicPr>
                  <pic:blipFill>
                    <a:blip r:embed="rId184" cstate="print"/>
                    <a:stretch>
                      <a:fillRect/>
                    </a:stretch>
                  </pic:blipFill>
                  <pic:spPr>
                    <a:xfrm>
                      <a:off x="0" y="0"/>
                      <a:ext cx="52387" cy="52387"/>
                    </a:xfrm>
                    <a:prstGeom prst="rect">
                      <a:avLst/>
                    </a:prstGeom>
                  </pic:spPr>
                </pic:pic>
              </a:graphicData>
            </a:graphic>
          </wp:anchor>
        </w:drawing>
      </w:r>
      <w:r>
        <w:rPr/>
        <w:t>The Committee identified the possibility of a limited number of cases where there may be contributions to facial pain from both primary and peripheral trigeminal branches. In such cases both a primary and peripheral injection of anaesthetic agent may be warranted and 18234 could to be claimed with 18236.</w:t>
      </w:r>
    </w:p>
    <w:p>
      <w:pPr>
        <w:pStyle w:val="BodyText"/>
        <w:spacing w:line="312" w:lineRule="auto" w:before="132"/>
        <w:ind w:left="2123" w:right="2103"/>
      </w:pPr>
      <w:r>
        <w:rPr/>
        <w:drawing>
          <wp:anchor distT="0" distB="0" distL="0" distR="0" allowOverlap="1" layoutInCell="1" locked="0" behindDoc="0" simplePos="0" relativeHeight="15882240">
            <wp:simplePos x="0" y="0"/>
            <wp:positionH relativeFrom="page">
              <wp:posOffset>1362646</wp:posOffset>
            </wp:positionH>
            <wp:positionV relativeFrom="paragraph">
              <wp:posOffset>152128</wp:posOffset>
            </wp:positionV>
            <wp:extent cx="52387" cy="52387"/>
            <wp:effectExtent l="0" t="0" r="0" b="0"/>
            <wp:wrapNone/>
            <wp:docPr id="613" name="image176.png"/>
            <wp:cNvGraphicFramePr>
              <a:graphicFrameLocks noChangeAspect="1"/>
            </wp:cNvGraphicFramePr>
            <a:graphic>
              <a:graphicData uri="http://schemas.openxmlformats.org/drawingml/2006/picture">
                <pic:pic>
                  <pic:nvPicPr>
                    <pic:cNvPr id="614" name="image176.png"/>
                    <pic:cNvPicPr/>
                  </pic:nvPicPr>
                  <pic:blipFill>
                    <a:blip r:embed="rId184" cstate="print"/>
                    <a:stretch>
                      <a:fillRect/>
                    </a:stretch>
                  </pic:blipFill>
                  <pic:spPr>
                    <a:xfrm>
                      <a:off x="0" y="0"/>
                      <a:ext cx="52387" cy="52387"/>
                    </a:xfrm>
                    <a:prstGeom prst="rect">
                      <a:avLst/>
                    </a:prstGeom>
                  </pic:spPr>
                </pic:pic>
              </a:graphicData>
            </a:graphic>
          </wp:anchor>
        </w:drawing>
      </w:r>
      <w:r>
        <w:rPr/>
        <w:t>However, this number is thought to be very small and not applicable to surgical procedures.</w:t>
      </w:r>
    </w:p>
    <w:p>
      <w:pPr>
        <w:pStyle w:val="BodyText"/>
        <w:spacing w:line="312" w:lineRule="auto" w:before="130"/>
        <w:ind w:left="2123" w:right="1776"/>
      </w:pPr>
      <w:r>
        <w:rPr/>
        <w:drawing>
          <wp:anchor distT="0" distB="0" distL="0" distR="0" allowOverlap="1" layoutInCell="1" locked="0" behindDoc="0" simplePos="0" relativeHeight="15882752">
            <wp:simplePos x="0" y="0"/>
            <wp:positionH relativeFrom="page">
              <wp:posOffset>1362646</wp:posOffset>
            </wp:positionH>
            <wp:positionV relativeFrom="paragraph">
              <wp:posOffset>150858</wp:posOffset>
            </wp:positionV>
            <wp:extent cx="52387" cy="52387"/>
            <wp:effectExtent l="0" t="0" r="0" b="0"/>
            <wp:wrapNone/>
            <wp:docPr id="615" name="image176.png"/>
            <wp:cNvGraphicFramePr>
              <a:graphicFrameLocks noChangeAspect="1"/>
            </wp:cNvGraphicFramePr>
            <a:graphic>
              <a:graphicData uri="http://schemas.openxmlformats.org/drawingml/2006/picture">
                <pic:pic>
                  <pic:nvPicPr>
                    <pic:cNvPr id="616" name="image176.png"/>
                    <pic:cNvPicPr/>
                  </pic:nvPicPr>
                  <pic:blipFill>
                    <a:blip r:embed="rId184" cstate="print"/>
                    <a:stretch>
                      <a:fillRect/>
                    </a:stretch>
                  </pic:blipFill>
                  <pic:spPr>
                    <a:xfrm>
                      <a:off x="0" y="0"/>
                      <a:ext cx="52387" cy="52387"/>
                    </a:xfrm>
                    <a:prstGeom prst="rect">
                      <a:avLst/>
                    </a:prstGeom>
                  </pic:spPr>
                </pic:pic>
              </a:graphicData>
            </a:graphic>
          </wp:anchor>
        </w:drawing>
      </w:r>
      <w:r>
        <w:rPr/>
        <w:t>The data suggests that items 18234 and 18236 are being co-claimed approximately 15,535 times per year (16/17 year data).</w:t>
      </w:r>
    </w:p>
    <w:p>
      <w:pPr>
        <w:pStyle w:val="BodyText"/>
        <w:rPr>
          <w:sz w:val="20"/>
        </w:rPr>
      </w:pPr>
    </w:p>
    <w:p>
      <w:pPr>
        <w:pStyle w:val="BodyText"/>
        <w:spacing w:before="5"/>
        <w:rPr>
          <w:sz w:val="24"/>
        </w:rPr>
      </w:pPr>
    </w:p>
    <w:p>
      <w:pPr>
        <w:pStyle w:val="Heading4"/>
        <w:numPr>
          <w:ilvl w:val="2"/>
          <w:numId w:val="17"/>
        </w:numPr>
        <w:tabs>
          <w:tab w:pos="1981" w:val="left" w:leader="none"/>
          <w:tab w:pos="1982" w:val="left" w:leader="none"/>
        </w:tabs>
        <w:spacing w:line="240" w:lineRule="auto" w:before="51" w:after="0"/>
        <w:ind w:left="1982" w:right="0" w:hanging="720"/>
        <w:jc w:val="left"/>
      </w:pPr>
      <w:r>
        <w:rPr/>
        <w:t>Recommendation 22 – Future review item 18278 – sciatic nerve</w:t>
      </w:r>
      <w:r>
        <w:rPr>
          <w:spacing w:val="-7"/>
        </w:rPr>
        <w:t> </w:t>
      </w:r>
      <w:r>
        <w:rPr/>
        <w:t>co-claiming</w:t>
      </w:r>
    </w:p>
    <w:p>
      <w:pPr>
        <w:pStyle w:val="BodyText"/>
        <w:spacing w:before="204"/>
        <w:ind w:left="1262"/>
      </w:pPr>
      <w:r>
        <w:rPr/>
        <w:t>The Committee recommends that item 18278 requires future review.</w:t>
      </w:r>
    </w:p>
    <w:p>
      <w:pPr>
        <w:spacing w:after="0"/>
        <w:sectPr>
          <w:headerReference w:type="default" r:id="rId250"/>
          <w:footerReference w:type="default" r:id="rId251"/>
          <w:pgSz w:w="11910" w:h="16840"/>
          <w:pgMar w:header="672" w:footer="978" w:top="1300" w:bottom="1160" w:left="440" w:right="140"/>
        </w:sectPr>
      </w:pPr>
    </w:p>
    <w:p>
      <w:pPr>
        <w:pStyle w:val="BodyText"/>
        <w:rPr>
          <w:sz w:val="20"/>
        </w:rPr>
      </w:pPr>
    </w:p>
    <w:p>
      <w:pPr>
        <w:pStyle w:val="BodyText"/>
        <w:spacing w:before="11"/>
        <w:rPr>
          <w:sz w:val="24"/>
        </w:rPr>
      </w:pPr>
    </w:p>
    <w:p>
      <w:pPr>
        <w:pStyle w:val="Heading4"/>
        <w:tabs>
          <w:tab w:pos="2397" w:val="left" w:leader="none"/>
        </w:tabs>
        <w:ind w:left="1262" w:firstLine="0"/>
      </w:pPr>
      <w:r>
        <w:rPr/>
        <w:t>4.3.3.1</w:t>
        <w:tab/>
        <w:t>Rationale 22</w:t>
      </w:r>
    </w:p>
    <w:p>
      <w:pPr>
        <w:pStyle w:val="BodyText"/>
        <w:spacing w:before="204"/>
        <w:ind w:left="1262"/>
      </w:pPr>
      <w:r>
        <w:rPr/>
        <w:t>Item 18278 provides for treatment of the sciatic nerve by injection of an anaesthetic agent.</w:t>
      </w:r>
    </w:p>
    <w:p>
      <w:pPr>
        <w:pStyle w:val="BodyText"/>
        <w:spacing w:before="5"/>
        <w:rPr>
          <w:sz w:val="21"/>
        </w:rPr>
      </w:pPr>
    </w:p>
    <w:p>
      <w:pPr>
        <w:pStyle w:val="BodyText"/>
        <w:spacing w:line="312" w:lineRule="auto"/>
        <w:ind w:left="1262" w:right="1787"/>
      </w:pPr>
      <w:r>
        <w:rPr/>
        <w:t>This recommendation focuses on ensuring continuing effective use of the health system into the future. It is based on the following assessment:</w:t>
      </w:r>
    </w:p>
    <w:p>
      <w:pPr>
        <w:pStyle w:val="BodyText"/>
        <w:spacing w:line="312" w:lineRule="auto" w:before="73"/>
        <w:ind w:left="2123" w:right="1801"/>
      </w:pPr>
      <w:r>
        <w:rPr/>
        <w:t>The Committee identified that item 18278 appeared to be co-claimed with transfusion which the Committee hypothesised was the use of platelet rich plasma for knee</w:t>
      </w:r>
      <w:r>
        <w:rPr>
          <w:spacing w:val="-1"/>
        </w:rPr>
        <w:t> </w:t>
      </w:r>
      <w:r>
        <w:rPr/>
        <w:t>pain.</w:t>
      </w:r>
    </w:p>
    <w:p>
      <w:pPr>
        <w:pStyle w:val="BodyText"/>
        <w:spacing w:line="312" w:lineRule="auto" w:before="131"/>
        <w:ind w:left="2123" w:right="1848"/>
      </w:pPr>
      <w:r>
        <w:rPr/>
        <w:drawing>
          <wp:anchor distT="0" distB="0" distL="0" distR="0" allowOverlap="1" layoutInCell="1" locked="0" behindDoc="0" simplePos="0" relativeHeight="15883264">
            <wp:simplePos x="0" y="0"/>
            <wp:positionH relativeFrom="page">
              <wp:posOffset>1362646</wp:posOffset>
            </wp:positionH>
            <wp:positionV relativeFrom="paragraph">
              <wp:posOffset>152128</wp:posOffset>
            </wp:positionV>
            <wp:extent cx="52387" cy="52387"/>
            <wp:effectExtent l="0" t="0" r="0" b="0"/>
            <wp:wrapNone/>
            <wp:docPr id="621" name="image176.png"/>
            <wp:cNvGraphicFramePr>
              <a:graphicFrameLocks noChangeAspect="1"/>
            </wp:cNvGraphicFramePr>
            <a:graphic>
              <a:graphicData uri="http://schemas.openxmlformats.org/drawingml/2006/picture">
                <pic:pic>
                  <pic:nvPicPr>
                    <pic:cNvPr id="622" name="image176.png"/>
                    <pic:cNvPicPr/>
                  </pic:nvPicPr>
                  <pic:blipFill>
                    <a:blip r:embed="rId184" cstate="print"/>
                    <a:stretch>
                      <a:fillRect/>
                    </a:stretch>
                  </pic:blipFill>
                  <pic:spPr>
                    <a:xfrm>
                      <a:off x="0" y="0"/>
                      <a:ext cx="52387" cy="52387"/>
                    </a:xfrm>
                    <a:prstGeom prst="rect">
                      <a:avLst/>
                    </a:prstGeom>
                  </pic:spPr>
                </pic:pic>
              </a:graphicData>
            </a:graphic>
          </wp:anchor>
        </w:drawing>
      </w:r>
      <w:r>
        <w:rPr/>
        <w:t>The use of platelet rich plasma for knee pain is not currently supported by an MBS item</w:t>
      </w:r>
      <w:r>
        <w:rPr>
          <w:spacing w:val="-1"/>
        </w:rPr>
        <w:t> </w:t>
      </w:r>
      <w:r>
        <w:rPr/>
        <w:t>number.</w:t>
      </w:r>
    </w:p>
    <w:p>
      <w:pPr>
        <w:pStyle w:val="BodyText"/>
        <w:spacing w:line="312" w:lineRule="auto" w:before="132"/>
        <w:ind w:left="2123" w:right="2107"/>
      </w:pPr>
      <w:r>
        <w:rPr/>
        <w:drawing>
          <wp:anchor distT="0" distB="0" distL="0" distR="0" allowOverlap="1" layoutInCell="1" locked="0" behindDoc="0" simplePos="0" relativeHeight="15883776">
            <wp:simplePos x="0" y="0"/>
            <wp:positionH relativeFrom="page">
              <wp:posOffset>1362646</wp:posOffset>
            </wp:positionH>
            <wp:positionV relativeFrom="paragraph">
              <wp:posOffset>152382</wp:posOffset>
            </wp:positionV>
            <wp:extent cx="52387" cy="52387"/>
            <wp:effectExtent l="0" t="0" r="0" b="0"/>
            <wp:wrapNone/>
            <wp:docPr id="623" name="image176.png"/>
            <wp:cNvGraphicFramePr>
              <a:graphicFrameLocks noChangeAspect="1"/>
            </wp:cNvGraphicFramePr>
            <a:graphic>
              <a:graphicData uri="http://schemas.openxmlformats.org/drawingml/2006/picture">
                <pic:pic>
                  <pic:nvPicPr>
                    <pic:cNvPr id="624" name="image176.png"/>
                    <pic:cNvPicPr/>
                  </pic:nvPicPr>
                  <pic:blipFill>
                    <a:blip r:embed="rId184" cstate="print"/>
                    <a:stretch>
                      <a:fillRect/>
                    </a:stretch>
                  </pic:blipFill>
                  <pic:spPr>
                    <a:xfrm>
                      <a:off x="0" y="0"/>
                      <a:ext cx="52387" cy="52387"/>
                    </a:xfrm>
                    <a:prstGeom prst="rect">
                      <a:avLst/>
                    </a:prstGeom>
                  </pic:spPr>
                </pic:pic>
              </a:graphicData>
            </a:graphic>
          </wp:anchor>
        </w:drawing>
      </w:r>
      <w:r>
        <w:rPr/>
        <w:t>The Committee considered that this issue required further investigation and/or consideration to ensure correct claiming and appropriate MBS inclusion.</w:t>
      </w:r>
    </w:p>
    <w:p>
      <w:pPr>
        <w:spacing w:after="0" w:line="312" w:lineRule="auto"/>
        <w:sectPr>
          <w:headerReference w:type="default" r:id="rId252"/>
          <w:footerReference w:type="default" r:id="rId253"/>
          <w:pgSz w:w="11910" w:h="16840"/>
          <w:pgMar w:header="672" w:footer="978" w:top="1300" w:bottom="1160" w:left="440" w:right="140"/>
        </w:sectPr>
      </w:pPr>
    </w:p>
    <w:p>
      <w:pPr>
        <w:pStyle w:val="BodyText"/>
        <w:rPr>
          <w:sz w:val="20"/>
        </w:rPr>
      </w:pPr>
    </w:p>
    <w:p>
      <w:pPr>
        <w:pStyle w:val="BodyText"/>
        <w:spacing w:before="9"/>
        <w:rPr>
          <w:sz w:val="27"/>
        </w:rPr>
      </w:pPr>
    </w:p>
    <w:p>
      <w:pPr>
        <w:pStyle w:val="ListParagraph"/>
        <w:numPr>
          <w:ilvl w:val="0"/>
          <w:numId w:val="10"/>
        </w:numPr>
        <w:tabs>
          <w:tab w:pos="1694" w:val="left" w:leader="none"/>
        </w:tabs>
        <w:spacing w:line="240" w:lineRule="auto" w:before="20" w:after="0"/>
        <w:ind w:left="1694" w:right="0" w:hanging="432"/>
        <w:jc w:val="left"/>
        <w:rPr>
          <w:b/>
          <w:sz w:val="40"/>
        </w:rPr>
      </w:pPr>
      <w:r>
        <w:rPr>
          <w:b/>
          <w:color w:val="00643E"/>
          <w:sz w:val="40"/>
        </w:rPr>
        <w:t>Recommendations for deletions and/or</w:t>
      </w:r>
      <w:r>
        <w:rPr>
          <w:b/>
          <w:color w:val="00643E"/>
          <w:spacing w:val="-5"/>
          <w:sz w:val="40"/>
        </w:rPr>
        <w:t> </w:t>
      </w:r>
      <w:r>
        <w:rPr>
          <w:b/>
          <w:color w:val="00643E"/>
          <w:sz w:val="40"/>
        </w:rPr>
        <w:t>review</w:t>
      </w:r>
    </w:p>
    <w:p>
      <w:pPr>
        <w:pStyle w:val="BodyText"/>
        <w:spacing w:before="9"/>
        <w:rPr>
          <w:b/>
          <w:sz w:val="26"/>
        </w:rPr>
      </w:pPr>
      <w:r>
        <w:rPr/>
        <w:pict>
          <v:rect style="position:absolute;margin-left:83.664001pt;margin-top:18.299414pt;width:423.31pt;height:1.92pt;mso-position-horizontal-relative:page;mso-position-vertical-relative:paragraph;z-index:-15572992;mso-wrap-distance-left:0;mso-wrap-distance-right:0" filled="true" fillcolor="#bebebe" stroked="false">
            <v:fill type="solid"/>
            <w10:wrap type="topAndBottom"/>
          </v:rect>
        </w:pict>
      </w:r>
    </w:p>
    <w:p>
      <w:pPr>
        <w:pStyle w:val="BodyText"/>
        <w:rPr>
          <w:b/>
          <w:sz w:val="20"/>
        </w:rPr>
      </w:pPr>
    </w:p>
    <w:p>
      <w:pPr>
        <w:pStyle w:val="BodyText"/>
        <w:rPr>
          <w:b/>
          <w:sz w:val="20"/>
        </w:rPr>
      </w:pPr>
    </w:p>
    <w:p>
      <w:pPr>
        <w:pStyle w:val="Heading3"/>
        <w:spacing w:before="202"/>
        <w:ind w:left="1828"/>
      </w:pPr>
      <w:r>
        <w:rPr/>
        <w:drawing>
          <wp:anchor distT="0" distB="0" distL="0" distR="0" allowOverlap="1" layoutInCell="1" locked="0" behindDoc="0" simplePos="0" relativeHeight="15884800">
            <wp:simplePos x="0" y="0"/>
            <wp:positionH relativeFrom="page">
              <wp:posOffset>1083581</wp:posOffset>
            </wp:positionH>
            <wp:positionV relativeFrom="paragraph">
              <wp:posOffset>181742</wp:posOffset>
            </wp:positionV>
            <wp:extent cx="197340" cy="108807"/>
            <wp:effectExtent l="0" t="0" r="0" b="0"/>
            <wp:wrapNone/>
            <wp:docPr id="627" name="image197.png"/>
            <wp:cNvGraphicFramePr>
              <a:graphicFrameLocks noChangeAspect="1"/>
            </wp:cNvGraphicFramePr>
            <a:graphic>
              <a:graphicData uri="http://schemas.openxmlformats.org/drawingml/2006/picture">
                <pic:pic>
                  <pic:nvPicPr>
                    <pic:cNvPr id="628" name="image197.png"/>
                    <pic:cNvPicPr/>
                  </pic:nvPicPr>
                  <pic:blipFill>
                    <a:blip r:embed="rId256" cstate="print"/>
                    <a:stretch>
                      <a:fillRect/>
                    </a:stretch>
                  </pic:blipFill>
                  <pic:spPr>
                    <a:xfrm>
                      <a:off x="0" y="0"/>
                      <a:ext cx="197340" cy="108807"/>
                    </a:xfrm>
                    <a:prstGeom prst="rect">
                      <a:avLst/>
                    </a:prstGeom>
                  </pic:spPr>
                </pic:pic>
              </a:graphicData>
            </a:graphic>
          </wp:anchor>
        </w:drawing>
      </w:r>
      <w:r>
        <w:rPr>
          <w:color w:val="00643E"/>
        </w:rPr>
        <w:t>Deletions</w:t>
      </w:r>
    </w:p>
    <w:p>
      <w:pPr>
        <w:pStyle w:val="BodyText"/>
        <w:spacing w:before="7"/>
        <w:rPr>
          <w:b/>
          <w:sz w:val="12"/>
        </w:rPr>
      </w:pPr>
    </w:p>
    <w:p>
      <w:pPr>
        <w:spacing w:before="59"/>
        <w:ind w:left="1262" w:right="0" w:firstLine="0"/>
        <w:jc w:val="left"/>
        <w:rPr>
          <w:b/>
          <w:sz w:val="20"/>
        </w:rPr>
      </w:pPr>
      <w:bookmarkStart w:name="_bookmark8" w:id="9"/>
      <w:bookmarkEnd w:id="9"/>
      <w:r>
        <w:rPr/>
      </w:r>
      <w:r>
        <w:rPr>
          <w:b/>
          <w:sz w:val="20"/>
          <w:u w:val="single"/>
        </w:rPr>
        <w:t>Table 7: Items – Deletions</w:t>
      </w:r>
    </w:p>
    <w:p>
      <w:pPr>
        <w:pStyle w:val="BodyText"/>
        <w:spacing w:before="1"/>
        <w:rPr>
          <w:b/>
          <w:sz w:val="16"/>
        </w:rPr>
      </w:pPr>
    </w:p>
    <w:tbl>
      <w:tblPr>
        <w:tblW w:w="0" w:type="auto"/>
        <w:jc w:val="left"/>
        <w:tblInd w:w="127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686"/>
        <w:gridCol w:w="3257"/>
        <w:gridCol w:w="924"/>
        <w:gridCol w:w="1049"/>
        <w:gridCol w:w="1188"/>
        <w:gridCol w:w="1045"/>
      </w:tblGrid>
      <w:tr>
        <w:trPr>
          <w:trHeight w:val="1363" w:hRule="atLeast"/>
        </w:trPr>
        <w:tc>
          <w:tcPr>
            <w:tcW w:w="686" w:type="dxa"/>
            <w:tcBorders>
              <w:bottom w:val="single" w:sz="4" w:space="0" w:color="000000"/>
            </w:tcBorders>
            <w:shd w:val="clear" w:color="auto" w:fill="00643E"/>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16"/>
              <w:ind w:left="26"/>
              <w:rPr>
                <w:b/>
                <w:sz w:val="18"/>
              </w:rPr>
            </w:pPr>
            <w:r>
              <w:rPr>
                <w:b/>
                <w:color w:val="FFFFFF"/>
                <w:sz w:val="18"/>
              </w:rPr>
              <w:t>Item</w:t>
            </w:r>
          </w:p>
        </w:tc>
        <w:tc>
          <w:tcPr>
            <w:tcW w:w="3257" w:type="dxa"/>
            <w:tcBorders>
              <w:bottom w:val="single" w:sz="4" w:space="0" w:color="000000"/>
            </w:tcBorders>
            <w:shd w:val="clear" w:color="auto" w:fill="00643E"/>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16"/>
              <w:ind w:left="28"/>
              <w:rPr>
                <w:b/>
                <w:sz w:val="18"/>
              </w:rPr>
            </w:pPr>
            <w:r>
              <w:rPr>
                <w:b/>
                <w:color w:val="FFFFFF"/>
                <w:sz w:val="18"/>
              </w:rPr>
              <w:t>Descriptor</w:t>
            </w:r>
          </w:p>
        </w:tc>
        <w:tc>
          <w:tcPr>
            <w:tcW w:w="924" w:type="dxa"/>
            <w:tcBorders>
              <w:bottom w:val="single" w:sz="4" w:space="0" w:color="000000"/>
            </w:tcBorders>
            <w:shd w:val="clear" w:color="auto" w:fill="00643E"/>
          </w:tcPr>
          <w:p>
            <w:pPr>
              <w:pStyle w:val="TableParagraph"/>
              <w:rPr>
                <w:b/>
                <w:sz w:val="18"/>
              </w:rPr>
            </w:pPr>
          </w:p>
          <w:p>
            <w:pPr>
              <w:pStyle w:val="TableParagraph"/>
              <w:rPr>
                <w:b/>
                <w:sz w:val="18"/>
              </w:rPr>
            </w:pPr>
          </w:p>
          <w:p>
            <w:pPr>
              <w:pStyle w:val="TableParagraph"/>
              <w:spacing w:before="1"/>
              <w:rPr>
                <w:b/>
                <w:sz w:val="22"/>
              </w:rPr>
            </w:pPr>
          </w:p>
          <w:p>
            <w:pPr>
              <w:pStyle w:val="TableParagraph"/>
              <w:spacing w:line="312" w:lineRule="auto"/>
              <w:ind w:left="26" w:right="192"/>
              <w:rPr>
                <w:b/>
                <w:sz w:val="18"/>
              </w:rPr>
            </w:pPr>
            <w:r>
              <w:rPr>
                <w:b/>
                <w:color w:val="FFFFFF"/>
                <w:sz w:val="18"/>
              </w:rPr>
              <w:t>Schedule fee</w:t>
            </w:r>
          </w:p>
        </w:tc>
        <w:tc>
          <w:tcPr>
            <w:tcW w:w="1049" w:type="dxa"/>
            <w:tcBorders>
              <w:bottom w:val="single" w:sz="4" w:space="0" w:color="000000"/>
            </w:tcBorders>
            <w:shd w:val="clear" w:color="auto" w:fill="00643E"/>
          </w:tcPr>
          <w:p>
            <w:pPr>
              <w:pStyle w:val="TableParagraph"/>
              <w:rPr>
                <w:b/>
                <w:sz w:val="18"/>
              </w:rPr>
            </w:pPr>
          </w:p>
          <w:p>
            <w:pPr>
              <w:pStyle w:val="TableParagraph"/>
              <w:rPr>
                <w:b/>
                <w:sz w:val="18"/>
              </w:rPr>
            </w:pPr>
          </w:p>
          <w:p>
            <w:pPr>
              <w:pStyle w:val="TableParagraph"/>
              <w:spacing w:before="1"/>
              <w:rPr>
                <w:b/>
                <w:sz w:val="22"/>
              </w:rPr>
            </w:pPr>
          </w:p>
          <w:p>
            <w:pPr>
              <w:pStyle w:val="TableParagraph"/>
              <w:spacing w:line="312" w:lineRule="auto"/>
              <w:ind w:left="29" w:right="189"/>
              <w:rPr>
                <w:b/>
                <w:sz w:val="18"/>
              </w:rPr>
            </w:pPr>
            <w:r>
              <w:rPr>
                <w:b/>
                <w:color w:val="FFFFFF"/>
                <w:sz w:val="18"/>
              </w:rPr>
              <w:t>Services FY2016/17</w:t>
            </w:r>
          </w:p>
        </w:tc>
        <w:tc>
          <w:tcPr>
            <w:tcW w:w="1188" w:type="dxa"/>
            <w:tcBorders>
              <w:bottom w:val="single" w:sz="4" w:space="0" w:color="000000"/>
            </w:tcBorders>
            <w:shd w:val="clear" w:color="auto" w:fill="00643E"/>
          </w:tcPr>
          <w:p>
            <w:pPr>
              <w:pStyle w:val="TableParagraph"/>
              <w:rPr>
                <w:b/>
                <w:sz w:val="18"/>
              </w:rPr>
            </w:pPr>
          </w:p>
          <w:p>
            <w:pPr>
              <w:pStyle w:val="TableParagraph"/>
              <w:rPr>
                <w:b/>
                <w:sz w:val="18"/>
              </w:rPr>
            </w:pPr>
          </w:p>
          <w:p>
            <w:pPr>
              <w:pStyle w:val="TableParagraph"/>
              <w:spacing w:before="1"/>
              <w:rPr>
                <w:b/>
                <w:sz w:val="22"/>
              </w:rPr>
            </w:pPr>
          </w:p>
          <w:p>
            <w:pPr>
              <w:pStyle w:val="TableParagraph"/>
              <w:spacing w:line="312" w:lineRule="auto"/>
              <w:ind w:left="29" w:right="328"/>
              <w:rPr>
                <w:b/>
                <w:sz w:val="18"/>
              </w:rPr>
            </w:pPr>
            <w:r>
              <w:rPr>
                <w:b/>
                <w:color w:val="FFFFFF"/>
                <w:sz w:val="18"/>
              </w:rPr>
              <w:t>Benefits FY2016/17</w:t>
            </w:r>
          </w:p>
        </w:tc>
        <w:tc>
          <w:tcPr>
            <w:tcW w:w="1045" w:type="dxa"/>
            <w:tcBorders>
              <w:bottom w:val="single" w:sz="4" w:space="0" w:color="000000"/>
            </w:tcBorders>
            <w:shd w:val="clear" w:color="auto" w:fill="00643E"/>
          </w:tcPr>
          <w:p>
            <w:pPr>
              <w:pStyle w:val="TableParagraph"/>
              <w:spacing w:line="309" w:lineRule="auto" w:before="85"/>
              <w:ind w:left="27" w:right="100"/>
              <w:rPr>
                <w:b/>
                <w:sz w:val="18"/>
              </w:rPr>
            </w:pPr>
            <w:r>
              <w:rPr>
                <w:b/>
                <w:color w:val="FFFFFF"/>
                <w:sz w:val="18"/>
              </w:rPr>
              <w:t>Services 5- year annual avg. growth</w:t>
            </w:r>
          </w:p>
          <w:p>
            <w:pPr>
              <w:pStyle w:val="TableParagraph"/>
              <w:spacing w:before="60"/>
              <w:ind w:left="27"/>
              <w:rPr>
                <w:b/>
                <w:sz w:val="18"/>
              </w:rPr>
            </w:pPr>
            <w:r>
              <w:rPr>
                <w:b/>
                <w:color w:val="FFFFFF"/>
                <w:sz w:val="18"/>
              </w:rPr>
              <w:t>%</w:t>
            </w:r>
          </w:p>
        </w:tc>
      </w:tr>
      <w:tr>
        <w:trPr>
          <w:trHeight w:val="1310" w:hRule="atLeast"/>
        </w:trPr>
        <w:tc>
          <w:tcPr>
            <w:tcW w:w="686" w:type="dxa"/>
            <w:tcBorders>
              <w:top w:val="single" w:sz="4" w:space="0" w:color="000000"/>
              <w:left w:val="single" w:sz="4" w:space="0" w:color="000000"/>
              <w:bottom w:val="single" w:sz="4" w:space="0" w:color="000000"/>
              <w:right w:val="single" w:sz="4" w:space="0" w:color="000000"/>
            </w:tcBorders>
          </w:tcPr>
          <w:p>
            <w:pPr>
              <w:pStyle w:val="TableParagraph"/>
              <w:spacing w:before="133"/>
              <w:ind w:right="110"/>
              <w:jc w:val="right"/>
              <w:rPr>
                <w:sz w:val="18"/>
              </w:rPr>
            </w:pPr>
            <w:r>
              <w:rPr>
                <w:sz w:val="18"/>
              </w:rPr>
              <w:t>18274</w:t>
            </w:r>
          </w:p>
        </w:tc>
        <w:tc>
          <w:tcPr>
            <w:tcW w:w="3257" w:type="dxa"/>
            <w:tcBorders>
              <w:top w:val="single" w:sz="4" w:space="0" w:color="000000"/>
              <w:left w:val="single" w:sz="4" w:space="0" w:color="000000"/>
              <w:bottom w:val="single" w:sz="4" w:space="0" w:color="000000"/>
              <w:right w:val="single" w:sz="4" w:space="0" w:color="000000"/>
            </w:tcBorders>
          </w:tcPr>
          <w:p>
            <w:pPr>
              <w:pStyle w:val="TableParagraph"/>
              <w:spacing w:line="312" w:lineRule="auto" w:before="131"/>
              <w:ind w:left="108"/>
              <w:rPr>
                <w:sz w:val="18"/>
              </w:rPr>
            </w:pPr>
            <w:r>
              <w:rPr>
                <w:sz w:val="18"/>
              </w:rPr>
              <w:t>PARAVERTEBRAL, CERVICAL, THORACIC, LUMBAR, SACRAL OR COCCYGEAL</w:t>
            </w:r>
          </w:p>
          <w:p>
            <w:pPr>
              <w:pStyle w:val="TableParagraph"/>
              <w:spacing w:line="312" w:lineRule="auto"/>
              <w:ind w:left="108" w:right="132"/>
              <w:rPr>
                <w:sz w:val="18"/>
              </w:rPr>
            </w:pPr>
            <w:r>
              <w:rPr>
                <w:sz w:val="18"/>
              </w:rPr>
              <w:t>NERVES, injection of an anaesthetic agent, (single vertebral level)</w:t>
            </w:r>
          </w:p>
        </w:tc>
        <w:tc>
          <w:tcPr>
            <w:tcW w:w="924" w:type="dxa"/>
            <w:tcBorders>
              <w:top w:val="single" w:sz="4" w:space="0" w:color="000000"/>
              <w:left w:val="single" w:sz="4" w:space="0" w:color="000000"/>
              <w:bottom w:val="single" w:sz="4" w:space="0" w:color="000000"/>
              <w:right w:val="single" w:sz="4" w:space="0" w:color="000000"/>
            </w:tcBorders>
          </w:tcPr>
          <w:p>
            <w:pPr>
              <w:pStyle w:val="TableParagraph"/>
              <w:spacing w:before="133"/>
              <w:ind w:left="108"/>
              <w:rPr>
                <w:sz w:val="18"/>
              </w:rPr>
            </w:pPr>
            <w:r>
              <w:rPr>
                <w:sz w:val="18"/>
              </w:rPr>
              <w:t>$88.65</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133"/>
              <w:ind w:left="108"/>
              <w:rPr>
                <w:sz w:val="18"/>
              </w:rPr>
            </w:pPr>
            <w:r>
              <w:rPr>
                <w:sz w:val="18"/>
              </w:rPr>
              <w:t>63,985</w:t>
            </w:r>
          </w:p>
        </w:tc>
        <w:tc>
          <w:tcPr>
            <w:tcW w:w="1188" w:type="dxa"/>
            <w:tcBorders>
              <w:top w:val="single" w:sz="4" w:space="0" w:color="000000"/>
              <w:left w:val="single" w:sz="4" w:space="0" w:color="000000"/>
              <w:bottom w:val="single" w:sz="4" w:space="0" w:color="000000"/>
              <w:right w:val="single" w:sz="4" w:space="0" w:color="000000"/>
            </w:tcBorders>
          </w:tcPr>
          <w:p>
            <w:pPr>
              <w:pStyle w:val="TableParagraph"/>
              <w:spacing w:before="133"/>
              <w:ind w:left="108"/>
              <w:rPr>
                <w:sz w:val="18"/>
              </w:rPr>
            </w:pPr>
            <w:r>
              <w:rPr>
                <w:sz w:val="18"/>
              </w:rPr>
              <w:t>$4,816,805</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before="133"/>
              <w:ind w:left="106"/>
              <w:rPr>
                <w:sz w:val="18"/>
              </w:rPr>
            </w:pPr>
            <w:r>
              <w:rPr>
                <w:sz w:val="18"/>
              </w:rPr>
              <w:t>13.6</w:t>
            </w:r>
          </w:p>
        </w:tc>
      </w:tr>
      <w:tr>
        <w:trPr>
          <w:trHeight w:val="738" w:hRule="atLeast"/>
        </w:trPr>
        <w:tc>
          <w:tcPr>
            <w:tcW w:w="686" w:type="dxa"/>
            <w:tcBorders>
              <w:top w:val="single" w:sz="4" w:space="0" w:color="000000"/>
              <w:left w:val="single" w:sz="4" w:space="0" w:color="000000"/>
              <w:bottom w:val="single" w:sz="4" w:space="0" w:color="000000"/>
              <w:right w:val="single" w:sz="4" w:space="0" w:color="000000"/>
            </w:tcBorders>
          </w:tcPr>
          <w:p>
            <w:pPr>
              <w:pStyle w:val="TableParagraph"/>
              <w:spacing w:before="133"/>
              <w:ind w:right="110"/>
              <w:jc w:val="right"/>
              <w:rPr>
                <w:sz w:val="18"/>
              </w:rPr>
            </w:pPr>
            <w:r>
              <w:rPr>
                <w:sz w:val="18"/>
              </w:rPr>
              <w:t>18276</w:t>
            </w:r>
          </w:p>
        </w:tc>
        <w:tc>
          <w:tcPr>
            <w:tcW w:w="3257" w:type="dxa"/>
            <w:tcBorders>
              <w:top w:val="single" w:sz="4" w:space="0" w:color="000000"/>
              <w:left w:val="single" w:sz="4" w:space="0" w:color="000000"/>
              <w:bottom w:val="single" w:sz="4" w:space="0" w:color="000000"/>
              <w:right w:val="single" w:sz="4" w:space="0" w:color="000000"/>
            </w:tcBorders>
          </w:tcPr>
          <w:p>
            <w:pPr>
              <w:pStyle w:val="TableParagraph"/>
              <w:spacing w:line="312" w:lineRule="auto" w:before="131"/>
              <w:ind w:left="108" w:right="132"/>
              <w:rPr>
                <w:sz w:val="18"/>
              </w:rPr>
            </w:pPr>
            <w:r>
              <w:rPr>
                <w:sz w:val="18"/>
              </w:rPr>
              <w:t>PARAVERTEBRAL NERVES, injection of an anaesthetic agent, (multiple levels)</w:t>
            </w:r>
          </w:p>
        </w:tc>
        <w:tc>
          <w:tcPr>
            <w:tcW w:w="924" w:type="dxa"/>
            <w:tcBorders>
              <w:top w:val="single" w:sz="4" w:space="0" w:color="000000"/>
              <w:left w:val="single" w:sz="4" w:space="0" w:color="000000"/>
              <w:bottom w:val="single" w:sz="4" w:space="0" w:color="000000"/>
              <w:right w:val="single" w:sz="4" w:space="0" w:color="000000"/>
            </w:tcBorders>
          </w:tcPr>
          <w:p>
            <w:pPr>
              <w:pStyle w:val="TableParagraph"/>
              <w:spacing w:before="133"/>
              <w:ind w:left="108"/>
              <w:rPr>
                <w:sz w:val="18"/>
              </w:rPr>
            </w:pPr>
            <w:r>
              <w:rPr>
                <w:sz w:val="18"/>
              </w:rPr>
              <w:t>$124.85</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133"/>
              <w:ind w:left="108"/>
              <w:rPr>
                <w:sz w:val="18"/>
              </w:rPr>
            </w:pPr>
            <w:r>
              <w:rPr>
                <w:sz w:val="18"/>
              </w:rPr>
              <w:t>18,668</w:t>
            </w:r>
          </w:p>
        </w:tc>
        <w:tc>
          <w:tcPr>
            <w:tcW w:w="1188" w:type="dxa"/>
            <w:tcBorders>
              <w:top w:val="single" w:sz="4" w:space="0" w:color="000000"/>
              <w:left w:val="single" w:sz="4" w:space="0" w:color="000000"/>
              <w:bottom w:val="single" w:sz="4" w:space="0" w:color="000000"/>
              <w:right w:val="single" w:sz="4" w:space="0" w:color="000000"/>
            </w:tcBorders>
          </w:tcPr>
          <w:p>
            <w:pPr>
              <w:pStyle w:val="TableParagraph"/>
              <w:spacing w:before="133"/>
              <w:ind w:left="108"/>
              <w:rPr>
                <w:sz w:val="18"/>
              </w:rPr>
            </w:pPr>
            <w:r>
              <w:rPr>
                <w:sz w:val="18"/>
              </w:rPr>
              <w:t>$1,888,203</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before="133"/>
              <w:ind w:left="106"/>
              <w:rPr>
                <w:sz w:val="18"/>
              </w:rPr>
            </w:pPr>
            <w:r>
              <w:rPr>
                <w:sz w:val="18"/>
              </w:rPr>
              <w:t>9.8</w:t>
            </w:r>
          </w:p>
        </w:tc>
      </w:tr>
      <w:tr>
        <w:trPr>
          <w:trHeight w:val="1881" w:hRule="atLeast"/>
        </w:trPr>
        <w:tc>
          <w:tcPr>
            <w:tcW w:w="686" w:type="dxa"/>
            <w:tcBorders>
              <w:top w:val="single" w:sz="4" w:space="0" w:color="000000"/>
              <w:left w:val="single" w:sz="4" w:space="0" w:color="000000"/>
              <w:bottom w:val="single" w:sz="4" w:space="0" w:color="000000"/>
              <w:right w:val="single" w:sz="4" w:space="0" w:color="000000"/>
            </w:tcBorders>
          </w:tcPr>
          <w:p>
            <w:pPr>
              <w:pStyle w:val="TableParagraph"/>
              <w:spacing w:before="133"/>
              <w:ind w:right="110"/>
              <w:jc w:val="right"/>
              <w:rPr>
                <w:sz w:val="18"/>
              </w:rPr>
            </w:pPr>
            <w:r>
              <w:rPr>
                <w:sz w:val="18"/>
              </w:rPr>
              <w:t>39115</w:t>
            </w:r>
          </w:p>
        </w:tc>
        <w:tc>
          <w:tcPr>
            <w:tcW w:w="3257" w:type="dxa"/>
            <w:tcBorders>
              <w:top w:val="single" w:sz="4" w:space="0" w:color="000000"/>
              <w:left w:val="single" w:sz="4" w:space="0" w:color="000000"/>
              <w:bottom w:val="single" w:sz="4" w:space="0" w:color="000000"/>
              <w:right w:val="single" w:sz="4" w:space="0" w:color="000000"/>
            </w:tcBorders>
          </w:tcPr>
          <w:p>
            <w:pPr>
              <w:pStyle w:val="TableParagraph"/>
              <w:spacing w:before="131"/>
              <w:ind w:left="108"/>
              <w:rPr>
                <w:sz w:val="18"/>
              </w:rPr>
            </w:pPr>
            <w:r>
              <w:rPr>
                <w:sz w:val="18"/>
              </w:rPr>
              <w:t>PERCUTANEOUS NEUROTOMY of</w:t>
            </w:r>
          </w:p>
          <w:p>
            <w:pPr>
              <w:pStyle w:val="TableParagraph"/>
              <w:spacing w:line="312" w:lineRule="auto" w:before="65"/>
              <w:ind w:left="108" w:right="327"/>
              <w:rPr>
                <w:sz w:val="18"/>
              </w:rPr>
            </w:pPr>
            <w:r>
              <w:rPr>
                <w:sz w:val="18"/>
              </w:rPr>
              <w:t>posterior divisions (or rami) of spinal nerves by any method, including any associated spinal, epidural or regional nerve block (payable once only in a 30 day period) (Anaes.)</w:t>
            </w:r>
          </w:p>
        </w:tc>
        <w:tc>
          <w:tcPr>
            <w:tcW w:w="924" w:type="dxa"/>
            <w:tcBorders>
              <w:top w:val="single" w:sz="4" w:space="0" w:color="000000"/>
              <w:left w:val="single" w:sz="4" w:space="0" w:color="000000"/>
              <w:bottom w:val="single" w:sz="4" w:space="0" w:color="000000"/>
              <w:right w:val="single" w:sz="4" w:space="0" w:color="000000"/>
            </w:tcBorders>
          </w:tcPr>
          <w:p>
            <w:pPr>
              <w:pStyle w:val="TableParagraph"/>
              <w:spacing w:before="133"/>
              <w:ind w:left="108"/>
              <w:rPr>
                <w:sz w:val="18"/>
              </w:rPr>
            </w:pPr>
            <w:r>
              <w:rPr>
                <w:sz w:val="18"/>
              </w:rPr>
              <w:t>$75.30</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133"/>
              <w:ind w:left="108"/>
              <w:rPr>
                <w:sz w:val="18"/>
              </w:rPr>
            </w:pPr>
            <w:r>
              <w:rPr>
                <w:sz w:val="18"/>
              </w:rPr>
              <w:t>67</w:t>
            </w:r>
          </w:p>
        </w:tc>
        <w:tc>
          <w:tcPr>
            <w:tcW w:w="1188" w:type="dxa"/>
            <w:tcBorders>
              <w:top w:val="single" w:sz="4" w:space="0" w:color="000000"/>
              <w:left w:val="single" w:sz="4" w:space="0" w:color="000000"/>
              <w:bottom w:val="single" w:sz="4" w:space="0" w:color="000000"/>
              <w:right w:val="single" w:sz="4" w:space="0" w:color="000000"/>
            </w:tcBorders>
          </w:tcPr>
          <w:p>
            <w:pPr>
              <w:pStyle w:val="TableParagraph"/>
              <w:spacing w:before="133"/>
              <w:ind w:left="108"/>
              <w:rPr>
                <w:sz w:val="18"/>
              </w:rPr>
            </w:pPr>
            <w:r>
              <w:rPr>
                <w:sz w:val="18"/>
              </w:rPr>
              <w:t>$4,190</w:t>
            </w:r>
          </w:p>
        </w:tc>
        <w:tc>
          <w:tcPr>
            <w:tcW w:w="1045" w:type="dxa"/>
            <w:tcBorders>
              <w:top w:val="single" w:sz="4" w:space="0" w:color="000000"/>
              <w:left w:val="single" w:sz="4" w:space="0" w:color="000000"/>
              <w:bottom w:val="single" w:sz="4" w:space="0" w:color="000000"/>
              <w:right w:val="single" w:sz="4" w:space="0" w:color="000000"/>
            </w:tcBorders>
          </w:tcPr>
          <w:p>
            <w:pPr>
              <w:pStyle w:val="TableParagraph"/>
              <w:spacing w:before="133"/>
              <w:ind w:left="106"/>
              <w:rPr>
                <w:sz w:val="18"/>
              </w:rPr>
            </w:pPr>
            <w:r>
              <w:rPr>
                <w:sz w:val="18"/>
              </w:rPr>
              <w:t>-11.2</w:t>
            </w:r>
          </w:p>
        </w:tc>
      </w:tr>
    </w:tbl>
    <w:p>
      <w:pPr>
        <w:pStyle w:val="Heading4"/>
        <w:numPr>
          <w:ilvl w:val="2"/>
          <w:numId w:val="19"/>
        </w:numPr>
        <w:tabs>
          <w:tab w:pos="1981" w:val="left" w:leader="none"/>
          <w:tab w:pos="1982" w:val="left" w:leader="none"/>
        </w:tabs>
        <w:spacing w:line="309" w:lineRule="auto" w:before="119" w:after="0"/>
        <w:ind w:left="1982" w:right="1891" w:hanging="720"/>
        <w:jc w:val="left"/>
      </w:pPr>
      <w:r>
        <w:rPr/>
        <w:t>Recommendation 23 – Deletion of items 18274, , 39115 - outdated and not best practice</w:t>
      </w:r>
    </w:p>
    <w:p>
      <w:pPr>
        <w:pStyle w:val="BodyText"/>
        <w:spacing w:before="183"/>
        <w:ind w:left="1262"/>
      </w:pPr>
      <w:r>
        <w:rPr/>
        <w:t>The Committee recommends the deletion of items 18274 and 39115.</w:t>
      </w:r>
    </w:p>
    <w:p>
      <w:pPr>
        <w:pStyle w:val="BodyText"/>
      </w:pPr>
    </w:p>
    <w:p>
      <w:pPr>
        <w:pStyle w:val="BodyText"/>
      </w:pPr>
    </w:p>
    <w:p>
      <w:pPr>
        <w:pStyle w:val="Heading4"/>
        <w:numPr>
          <w:ilvl w:val="3"/>
          <w:numId w:val="19"/>
        </w:numPr>
        <w:tabs>
          <w:tab w:pos="2397" w:val="left" w:leader="none"/>
          <w:tab w:pos="2398" w:val="left" w:leader="none"/>
        </w:tabs>
        <w:spacing w:line="240" w:lineRule="auto" w:before="195" w:after="0"/>
        <w:ind w:left="2397" w:right="0" w:hanging="1136"/>
        <w:jc w:val="left"/>
      </w:pPr>
      <w:r>
        <w:rPr/>
        <w:t>Rationale 23</w:t>
      </w:r>
    </w:p>
    <w:p>
      <w:pPr>
        <w:pStyle w:val="BodyText"/>
        <w:spacing w:before="9"/>
        <w:rPr>
          <w:b/>
          <w:sz w:val="21"/>
        </w:rPr>
      </w:pPr>
    </w:p>
    <w:p>
      <w:pPr>
        <w:pStyle w:val="BodyText"/>
        <w:spacing w:line="312" w:lineRule="auto" w:before="1"/>
        <w:ind w:left="1262" w:right="1831"/>
      </w:pPr>
      <w:r>
        <w:rPr/>
        <w:t>This recommendation focuses on ensuring continued effective use of the health system into the future. It is based on the following assessment:</w:t>
      </w:r>
    </w:p>
    <w:p>
      <w:pPr>
        <w:pStyle w:val="BodyText"/>
        <w:spacing w:line="312" w:lineRule="auto" w:before="72"/>
        <w:ind w:left="2123" w:right="1865"/>
        <w:rPr>
          <w:sz w:val="18"/>
        </w:rPr>
      </w:pPr>
      <w:r>
        <w:rPr/>
        <w:drawing>
          <wp:anchor distT="0" distB="0" distL="0" distR="0" allowOverlap="1" layoutInCell="1" locked="0" behindDoc="0" simplePos="0" relativeHeight="15885312">
            <wp:simplePos x="0" y="0"/>
            <wp:positionH relativeFrom="page">
              <wp:posOffset>1362646</wp:posOffset>
            </wp:positionH>
            <wp:positionV relativeFrom="paragraph">
              <wp:posOffset>113647</wp:posOffset>
            </wp:positionV>
            <wp:extent cx="52387" cy="52387"/>
            <wp:effectExtent l="0" t="0" r="0" b="0"/>
            <wp:wrapNone/>
            <wp:docPr id="629" name="image176.png"/>
            <wp:cNvGraphicFramePr>
              <a:graphicFrameLocks noChangeAspect="1"/>
            </wp:cNvGraphicFramePr>
            <a:graphic>
              <a:graphicData uri="http://schemas.openxmlformats.org/drawingml/2006/picture">
                <pic:pic>
                  <pic:nvPicPr>
                    <pic:cNvPr id="630" name="image176.png"/>
                    <pic:cNvPicPr/>
                  </pic:nvPicPr>
                  <pic:blipFill>
                    <a:blip r:embed="rId184" cstate="print"/>
                    <a:stretch>
                      <a:fillRect/>
                    </a:stretch>
                  </pic:blipFill>
                  <pic:spPr>
                    <a:xfrm>
                      <a:off x="0" y="0"/>
                      <a:ext cx="52387" cy="52387"/>
                    </a:xfrm>
                    <a:prstGeom prst="rect">
                      <a:avLst/>
                    </a:prstGeom>
                  </pic:spPr>
                </pic:pic>
              </a:graphicData>
            </a:graphic>
          </wp:anchor>
        </w:drawing>
      </w:r>
      <w:r>
        <w:rPr/>
        <w:t>The Committee has determined that item 18274 is not necessary because a multi- level injection is required to block even a single facet joint </w:t>
      </w:r>
      <w:r>
        <w:rPr>
          <w:sz w:val="18"/>
        </w:rPr>
        <w:t>(Kennedy, et al., 2018).</w:t>
      </w:r>
    </w:p>
    <w:p>
      <w:pPr>
        <w:pStyle w:val="BodyText"/>
        <w:spacing w:line="312" w:lineRule="auto" w:before="130"/>
        <w:ind w:left="2123" w:right="1891"/>
      </w:pPr>
      <w:r>
        <w:rPr/>
        <w:drawing>
          <wp:anchor distT="0" distB="0" distL="0" distR="0" allowOverlap="1" layoutInCell="1" locked="0" behindDoc="0" simplePos="0" relativeHeight="15885824">
            <wp:simplePos x="0" y="0"/>
            <wp:positionH relativeFrom="page">
              <wp:posOffset>1362646</wp:posOffset>
            </wp:positionH>
            <wp:positionV relativeFrom="paragraph">
              <wp:posOffset>150477</wp:posOffset>
            </wp:positionV>
            <wp:extent cx="52387" cy="52387"/>
            <wp:effectExtent l="0" t="0" r="0" b="0"/>
            <wp:wrapNone/>
            <wp:docPr id="631" name="image176.png"/>
            <wp:cNvGraphicFramePr>
              <a:graphicFrameLocks noChangeAspect="1"/>
            </wp:cNvGraphicFramePr>
            <a:graphic>
              <a:graphicData uri="http://schemas.openxmlformats.org/drawingml/2006/picture">
                <pic:pic>
                  <pic:nvPicPr>
                    <pic:cNvPr id="632" name="image176.png"/>
                    <pic:cNvPicPr/>
                  </pic:nvPicPr>
                  <pic:blipFill>
                    <a:blip r:embed="rId184" cstate="print"/>
                    <a:stretch>
                      <a:fillRect/>
                    </a:stretch>
                  </pic:blipFill>
                  <pic:spPr>
                    <a:xfrm>
                      <a:off x="0" y="0"/>
                      <a:ext cx="52387" cy="52387"/>
                    </a:xfrm>
                    <a:prstGeom prst="rect">
                      <a:avLst/>
                    </a:prstGeom>
                  </pic:spPr>
                </pic:pic>
              </a:graphicData>
            </a:graphic>
          </wp:anchor>
        </w:drawing>
      </w:r>
      <w:r>
        <w:rPr/>
        <w:t>The Committee notes that deletion of 18274 will result in an increase in fees associated with item 18276. The Committee considers that is justified because a multi-level injection is required to block even a single facet joint therefore though the item will technically be ‘absorbed’ by item 18276, the procedure is already</w:t>
      </w:r>
    </w:p>
    <w:p>
      <w:pPr>
        <w:spacing w:after="0" w:line="312" w:lineRule="auto"/>
        <w:sectPr>
          <w:headerReference w:type="default" r:id="rId254"/>
          <w:footerReference w:type="default" r:id="rId255"/>
          <w:pgSz w:w="11910" w:h="16840"/>
          <w:pgMar w:header="672" w:footer="978" w:top="1300" w:bottom="1160" w:left="440" w:right="140"/>
        </w:sectPr>
      </w:pPr>
    </w:p>
    <w:p>
      <w:pPr>
        <w:pStyle w:val="BodyText"/>
        <w:rPr>
          <w:sz w:val="20"/>
        </w:rPr>
      </w:pPr>
    </w:p>
    <w:p>
      <w:pPr>
        <w:pStyle w:val="BodyText"/>
        <w:spacing w:before="3"/>
        <w:rPr>
          <w:sz w:val="24"/>
        </w:rPr>
      </w:pPr>
    </w:p>
    <w:p>
      <w:pPr>
        <w:pStyle w:val="BodyText"/>
        <w:spacing w:line="312" w:lineRule="auto" w:before="57"/>
        <w:ind w:left="2123" w:right="1641"/>
      </w:pPr>
      <w:r>
        <w:rPr/>
        <w:t>being performed in line with item 18276 and therefore should attract the equivalent fee.</w:t>
      </w:r>
    </w:p>
    <w:p>
      <w:pPr>
        <w:pStyle w:val="BodyText"/>
        <w:spacing w:line="312" w:lineRule="auto" w:before="132"/>
        <w:ind w:left="2123" w:right="1720"/>
      </w:pPr>
      <w:r>
        <w:rPr/>
        <w:t>The Committee has determined that item 39115 is an historical number used for an outdated procedure and should be deleted as there are more appropriate pain management options available. This is supported by data that shows usage has continued to decrease by 42% over the 2016/17 to 2017/18 period.</w:t>
      </w:r>
    </w:p>
    <w:p>
      <w:pPr>
        <w:pStyle w:val="BodyText"/>
        <w:rPr>
          <w:sz w:val="20"/>
        </w:rPr>
      </w:pPr>
    </w:p>
    <w:p>
      <w:pPr>
        <w:pStyle w:val="BodyText"/>
        <w:rPr>
          <w:sz w:val="20"/>
        </w:rPr>
      </w:pPr>
    </w:p>
    <w:p>
      <w:pPr>
        <w:pStyle w:val="BodyText"/>
        <w:rPr>
          <w:sz w:val="20"/>
        </w:rPr>
      </w:pPr>
    </w:p>
    <w:p>
      <w:pPr>
        <w:pStyle w:val="BodyText"/>
        <w:spacing w:before="11"/>
      </w:pPr>
    </w:p>
    <w:p>
      <w:pPr>
        <w:pStyle w:val="Heading3"/>
        <w:ind w:left="1828"/>
      </w:pPr>
      <w:r>
        <w:rPr/>
        <w:drawing>
          <wp:anchor distT="0" distB="0" distL="0" distR="0" allowOverlap="1" layoutInCell="1" locked="0" behindDoc="0" simplePos="0" relativeHeight="15886336">
            <wp:simplePos x="0" y="0"/>
            <wp:positionH relativeFrom="page">
              <wp:posOffset>1083615</wp:posOffset>
            </wp:positionH>
            <wp:positionV relativeFrom="paragraph">
              <wp:posOffset>81663</wp:posOffset>
            </wp:positionV>
            <wp:extent cx="198830" cy="110460"/>
            <wp:effectExtent l="0" t="0" r="0" b="0"/>
            <wp:wrapNone/>
            <wp:docPr id="637" name="image198.png"/>
            <wp:cNvGraphicFramePr>
              <a:graphicFrameLocks noChangeAspect="1"/>
            </wp:cNvGraphicFramePr>
            <a:graphic>
              <a:graphicData uri="http://schemas.openxmlformats.org/drawingml/2006/picture">
                <pic:pic>
                  <pic:nvPicPr>
                    <pic:cNvPr id="638" name="image198.png"/>
                    <pic:cNvPicPr/>
                  </pic:nvPicPr>
                  <pic:blipFill>
                    <a:blip r:embed="rId259" cstate="print"/>
                    <a:stretch>
                      <a:fillRect/>
                    </a:stretch>
                  </pic:blipFill>
                  <pic:spPr>
                    <a:xfrm>
                      <a:off x="0" y="0"/>
                      <a:ext cx="198830" cy="110460"/>
                    </a:xfrm>
                    <a:prstGeom prst="rect">
                      <a:avLst/>
                    </a:prstGeom>
                  </pic:spPr>
                </pic:pic>
              </a:graphicData>
            </a:graphic>
          </wp:anchor>
        </w:drawing>
      </w:r>
      <w:r>
        <w:rPr>
          <w:color w:val="00643E"/>
        </w:rPr>
        <w:t>Referrals to other clinical committees</w:t>
      </w:r>
    </w:p>
    <w:p>
      <w:pPr>
        <w:pStyle w:val="BodyText"/>
        <w:spacing w:before="10"/>
        <w:rPr>
          <w:b/>
          <w:sz w:val="12"/>
        </w:rPr>
      </w:pPr>
    </w:p>
    <w:p>
      <w:pPr>
        <w:spacing w:before="59"/>
        <w:ind w:left="1262" w:right="0" w:firstLine="0"/>
        <w:jc w:val="left"/>
        <w:rPr>
          <w:b/>
          <w:sz w:val="20"/>
        </w:rPr>
      </w:pPr>
      <w:bookmarkStart w:name="_bookmark9" w:id="10"/>
      <w:bookmarkEnd w:id="10"/>
      <w:r>
        <w:rPr/>
      </w:r>
      <w:r>
        <w:rPr>
          <w:b/>
          <w:sz w:val="20"/>
          <w:u w:val="single"/>
        </w:rPr>
        <w:t>Table 8: Items – Referrals to other clinical committees</w:t>
      </w:r>
    </w:p>
    <w:p>
      <w:pPr>
        <w:pStyle w:val="BodyText"/>
        <w:spacing w:before="10"/>
        <w:rPr>
          <w:b/>
          <w:sz w:val="15"/>
        </w:rPr>
      </w:pPr>
    </w:p>
    <w:tbl>
      <w:tblPr>
        <w:tblW w:w="0" w:type="auto"/>
        <w:jc w:val="left"/>
        <w:tblInd w:w="127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682"/>
        <w:gridCol w:w="3354"/>
        <w:gridCol w:w="939"/>
        <w:gridCol w:w="1057"/>
        <w:gridCol w:w="1052"/>
        <w:gridCol w:w="1069"/>
        <w:gridCol w:w="1354"/>
      </w:tblGrid>
      <w:tr>
        <w:trPr>
          <w:trHeight w:val="1365" w:hRule="atLeast"/>
        </w:trPr>
        <w:tc>
          <w:tcPr>
            <w:tcW w:w="682" w:type="dxa"/>
            <w:tcBorders>
              <w:bottom w:val="single" w:sz="4" w:space="0" w:color="000000"/>
            </w:tcBorders>
            <w:shd w:val="clear" w:color="auto" w:fill="00643E"/>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18"/>
              <w:ind w:left="26"/>
              <w:rPr>
                <w:b/>
                <w:sz w:val="18"/>
              </w:rPr>
            </w:pPr>
            <w:r>
              <w:rPr>
                <w:b/>
                <w:color w:val="FFFFFF"/>
                <w:sz w:val="18"/>
              </w:rPr>
              <w:t>Item</w:t>
            </w:r>
          </w:p>
        </w:tc>
        <w:tc>
          <w:tcPr>
            <w:tcW w:w="3354" w:type="dxa"/>
            <w:tcBorders>
              <w:bottom w:val="single" w:sz="4" w:space="0" w:color="000000"/>
            </w:tcBorders>
            <w:shd w:val="clear" w:color="auto" w:fill="00643E"/>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18"/>
              <w:ind w:left="28"/>
              <w:rPr>
                <w:b/>
                <w:sz w:val="18"/>
              </w:rPr>
            </w:pPr>
            <w:r>
              <w:rPr>
                <w:b/>
                <w:color w:val="FFFFFF"/>
                <w:sz w:val="18"/>
              </w:rPr>
              <w:t>Descriptor</w:t>
            </w:r>
          </w:p>
        </w:tc>
        <w:tc>
          <w:tcPr>
            <w:tcW w:w="939" w:type="dxa"/>
            <w:tcBorders>
              <w:bottom w:val="single" w:sz="4" w:space="0" w:color="000000"/>
              <w:right w:val="single" w:sz="6" w:space="0" w:color="BEBEBE"/>
            </w:tcBorders>
            <w:shd w:val="clear" w:color="auto" w:fill="00643E"/>
          </w:tcPr>
          <w:p>
            <w:pPr>
              <w:pStyle w:val="TableParagraph"/>
              <w:rPr>
                <w:b/>
                <w:sz w:val="18"/>
              </w:rPr>
            </w:pPr>
          </w:p>
          <w:p>
            <w:pPr>
              <w:pStyle w:val="TableParagraph"/>
              <w:rPr>
                <w:b/>
                <w:sz w:val="18"/>
              </w:rPr>
            </w:pPr>
          </w:p>
          <w:p>
            <w:pPr>
              <w:pStyle w:val="TableParagraph"/>
              <w:spacing w:before="3"/>
              <w:rPr>
                <w:b/>
                <w:sz w:val="22"/>
              </w:rPr>
            </w:pPr>
          </w:p>
          <w:p>
            <w:pPr>
              <w:pStyle w:val="TableParagraph"/>
              <w:spacing w:line="312" w:lineRule="auto"/>
              <w:ind w:left="25" w:right="205"/>
              <w:rPr>
                <w:b/>
                <w:sz w:val="18"/>
              </w:rPr>
            </w:pPr>
            <w:r>
              <w:rPr>
                <w:b/>
                <w:color w:val="FFFFFF"/>
                <w:sz w:val="18"/>
              </w:rPr>
              <w:t>Schedule fee</w:t>
            </w:r>
          </w:p>
        </w:tc>
        <w:tc>
          <w:tcPr>
            <w:tcW w:w="1057" w:type="dxa"/>
            <w:tcBorders>
              <w:left w:val="single" w:sz="6" w:space="0" w:color="BEBEBE"/>
              <w:bottom w:val="single" w:sz="4" w:space="0" w:color="000000"/>
            </w:tcBorders>
            <w:shd w:val="clear" w:color="auto" w:fill="00643E"/>
          </w:tcPr>
          <w:p>
            <w:pPr>
              <w:pStyle w:val="TableParagraph"/>
              <w:rPr>
                <w:b/>
                <w:sz w:val="18"/>
              </w:rPr>
            </w:pPr>
          </w:p>
          <w:p>
            <w:pPr>
              <w:pStyle w:val="TableParagraph"/>
              <w:rPr>
                <w:b/>
                <w:sz w:val="18"/>
              </w:rPr>
            </w:pPr>
          </w:p>
          <w:p>
            <w:pPr>
              <w:pStyle w:val="TableParagraph"/>
              <w:spacing w:before="3"/>
              <w:rPr>
                <w:b/>
                <w:sz w:val="22"/>
              </w:rPr>
            </w:pPr>
          </w:p>
          <w:p>
            <w:pPr>
              <w:pStyle w:val="TableParagraph"/>
              <w:spacing w:line="312" w:lineRule="auto"/>
              <w:ind w:left="22" w:right="201"/>
              <w:rPr>
                <w:b/>
                <w:sz w:val="18"/>
              </w:rPr>
            </w:pPr>
            <w:r>
              <w:rPr>
                <w:b/>
                <w:color w:val="FFFFFF"/>
                <w:sz w:val="18"/>
              </w:rPr>
              <w:t>Services FY2016/17</w:t>
            </w:r>
          </w:p>
        </w:tc>
        <w:tc>
          <w:tcPr>
            <w:tcW w:w="1052" w:type="dxa"/>
            <w:tcBorders>
              <w:bottom w:val="single" w:sz="4" w:space="0" w:color="000000"/>
            </w:tcBorders>
            <w:shd w:val="clear" w:color="auto" w:fill="00643E"/>
          </w:tcPr>
          <w:p>
            <w:pPr>
              <w:pStyle w:val="TableParagraph"/>
              <w:rPr>
                <w:b/>
                <w:sz w:val="18"/>
              </w:rPr>
            </w:pPr>
          </w:p>
          <w:p>
            <w:pPr>
              <w:pStyle w:val="TableParagraph"/>
              <w:rPr>
                <w:b/>
                <w:sz w:val="18"/>
              </w:rPr>
            </w:pPr>
          </w:p>
          <w:p>
            <w:pPr>
              <w:pStyle w:val="TableParagraph"/>
              <w:spacing w:before="3"/>
              <w:rPr>
                <w:b/>
                <w:sz w:val="22"/>
              </w:rPr>
            </w:pPr>
          </w:p>
          <w:p>
            <w:pPr>
              <w:pStyle w:val="TableParagraph"/>
              <w:spacing w:line="312" w:lineRule="auto"/>
              <w:ind w:left="23" w:right="198"/>
              <w:rPr>
                <w:b/>
                <w:sz w:val="18"/>
              </w:rPr>
            </w:pPr>
            <w:r>
              <w:rPr>
                <w:b/>
                <w:color w:val="FFFFFF"/>
                <w:sz w:val="18"/>
              </w:rPr>
              <w:t>Benefits FY2016/17</w:t>
            </w:r>
          </w:p>
        </w:tc>
        <w:tc>
          <w:tcPr>
            <w:tcW w:w="1069" w:type="dxa"/>
            <w:tcBorders>
              <w:bottom w:val="single" w:sz="4" w:space="0" w:color="000000"/>
            </w:tcBorders>
            <w:shd w:val="clear" w:color="auto" w:fill="00643E"/>
          </w:tcPr>
          <w:p>
            <w:pPr>
              <w:pStyle w:val="TableParagraph"/>
              <w:spacing w:line="312" w:lineRule="auto" w:before="85"/>
              <w:ind w:left="23" w:right="128"/>
              <w:rPr>
                <w:b/>
                <w:sz w:val="18"/>
              </w:rPr>
            </w:pPr>
            <w:r>
              <w:rPr>
                <w:b/>
                <w:color w:val="FFFFFF"/>
                <w:sz w:val="18"/>
              </w:rPr>
              <w:t>Services 5- year annual avg. growth</w:t>
            </w:r>
          </w:p>
          <w:p>
            <w:pPr>
              <w:pStyle w:val="TableParagraph"/>
              <w:spacing w:before="55"/>
              <w:ind w:left="23"/>
              <w:rPr>
                <w:b/>
                <w:sz w:val="18"/>
              </w:rPr>
            </w:pPr>
            <w:r>
              <w:rPr>
                <w:b/>
                <w:color w:val="FFFFFF"/>
                <w:sz w:val="18"/>
              </w:rPr>
              <w:t>%</w:t>
            </w:r>
          </w:p>
        </w:tc>
        <w:tc>
          <w:tcPr>
            <w:tcW w:w="1354" w:type="dxa"/>
            <w:tcBorders>
              <w:bottom w:val="single" w:sz="4" w:space="0" w:color="000000"/>
            </w:tcBorders>
            <w:shd w:val="clear" w:color="auto" w:fill="00643E"/>
          </w:tcPr>
          <w:p>
            <w:pPr>
              <w:pStyle w:val="TableParagraph"/>
              <w:spacing w:line="312" w:lineRule="auto" w:before="85"/>
              <w:ind w:left="22" w:right="30"/>
              <w:rPr>
                <w:b/>
                <w:sz w:val="18"/>
              </w:rPr>
            </w:pPr>
            <w:r>
              <w:rPr>
                <w:b/>
                <w:color w:val="FFFFFF"/>
                <w:sz w:val="18"/>
              </w:rPr>
              <w:t>Expected change in services due to </w:t>
            </w:r>
            <w:r>
              <w:rPr>
                <w:b/>
                <w:color w:val="FFFFFF"/>
                <w:spacing w:val="-1"/>
                <w:sz w:val="18"/>
              </w:rPr>
              <w:t>recommendation</w:t>
            </w:r>
          </w:p>
        </w:tc>
      </w:tr>
      <w:tr>
        <w:trPr>
          <w:trHeight w:val="738" w:hRule="atLeast"/>
        </w:trPr>
        <w:tc>
          <w:tcPr>
            <w:tcW w:w="682" w:type="dxa"/>
            <w:tcBorders>
              <w:top w:val="single" w:sz="4" w:space="0" w:color="000000"/>
              <w:left w:val="single" w:sz="4" w:space="0" w:color="000000"/>
              <w:bottom w:val="single" w:sz="4" w:space="0" w:color="000000"/>
              <w:right w:val="single" w:sz="4" w:space="0" w:color="000000"/>
            </w:tcBorders>
          </w:tcPr>
          <w:p>
            <w:pPr>
              <w:pStyle w:val="TableParagraph"/>
              <w:spacing w:before="133"/>
              <w:ind w:right="106"/>
              <w:jc w:val="right"/>
              <w:rPr>
                <w:sz w:val="18"/>
              </w:rPr>
            </w:pPr>
            <w:r>
              <w:rPr>
                <w:sz w:val="18"/>
              </w:rPr>
              <w:t>18258</w:t>
            </w:r>
          </w:p>
        </w:tc>
        <w:tc>
          <w:tcPr>
            <w:tcW w:w="3354" w:type="dxa"/>
            <w:tcBorders>
              <w:top w:val="single" w:sz="4" w:space="0" w:color="000000"/>
              <w:left w:val="single" w:sz="4" w:space="0" w:color="000000"/>
              <w:bottom w:val="single" w:sz="4" w:space="0" w:color="000000"/>
              <w:right w:val="single" w:sz="4" w:space="0" w:color="000000"/>
            </w:tcBorders>
          </w:tcPr>
          <w:p>
            <w:pPr>
              <w:pStyle w:val="TableParagraph"/>
              <w:spacing w:line="312" w:lineRule="auto" w:before="131"/>
              <w:ind w:left="107" w:right="200"/>
              <w:rPr>
                <w:sz w:val="18"/>
              </w:rPr>
            </w:pPr>
            <w:r>
              <w:rPr>
                <w:sz w:val="18"/>
              </w:rPr>
              <w:t>INTERCOSTAL NERVE (single), injection of an anaesthetic agent</w:t>
            </w:r>
          </w:p>
        </w:tc>
        <w:tc>
          <w:tcPr>
            <w:tcW w:w="939" w:type="dxa"/>
            <w:tcBorders>
              <w:top w:val="single" w:sz="4" w:space="0" w:color="000000"/>
              <w:left w:val="single" w:sz="4" w:space="0" w:color="000000"/>
              <w:bottom w:val="single" w:sz="4" w:space="0" w:color="000000"/>
              <w:right w:val="single" w:sz="6" w:space="0" w:color="000000"/>
            </w:tcBorders>
          </w:tcPr>
          <w:p>
            <w:pPr>
              <w:pStyle w:val="TableParagraph"/>
              <w:spacing w:before="133"/>
              <w:ind w:left="106"/>
              <w:rPr>
                <w:sz w:val="18"/>
              </w:rPr>
            </w:pPr>
            <w:r>
              <w:rPr>
                <w:sz w:val="18"/>
              </w:rPr>
              <w:t>$62.50</w:t>
            </w:r>
          </w:p>
        </w:tc>
        <w:tc>
          <w:tcPr>
            <w:tcW w:w="1057" w:type="dxa"/>
            <w:tcBorders>
              <w:top w:val="single" w:sz="4" w:space="0" w:color="000000"/>
              <w:left w:val="single" w:sz="6" w:space="0" w:color="000000"/>
              <w:bottom w:val="single" w:sz="4" w:space="0" w:color="000000"/>
              <w:right w:val="single" w:sz="4" w:space="0" w:color="000000"/>
            </w:tcBorders>
          </w:tcPr>
          <w:p>
            <w:pPr>
              <w:pStyle w:val="TableParagraph"/>
              <w:spacing w:before="133"/>
              <w:ind w:left="104"/>
              <w:rPr>
                <w:sz w:val="18"/>
              </w:rPr>
            </w:pPr>
            <w:r>
              <w:rPr>
                <w:sz w:val="18"/>
              </w:rPr>
              <w:t>435</w:t>
            </w:r>
          </w:p>
        </w:tc>
        <w:tc>
          <w:tcPr>
            <w:tcW w:w="1052" w:type="dxa"/>
            <w:tcBorders>
              <w:top w:val="single" w:sz="4" w:space="0" w:color="000000"/>
              <w:left w:val="single" w:sz="4" w:space="0" w:color="000000"/>
              <w:bottom w:val="single" w:sz="4" w:space="0" w:color="000000"/>
              <w:right w:val="single" w:sz="4" w:space="0" w:color="000000"/>
            </w:tcBorders>
          </w:tcPr>
          <w:p>
            <w:pPr>
              <w:pStyle w:val="TableParagraph"/>
              <w:spacing w:before="133"/>
              <w:ind w:left="103"/>
              <w:rPr>
                <w:sz w:val="18"/>
              </w:rPr>
            </w:pPr>
            <w:r>
              <w:rPr>
                <w:sz w:val="18"/>
              </w:rPr>
              <w:t>$21,925</w:t>
            </w:r>
          </w:p>
        </w:tc>
        <w:tc>
          <w:tcPr>
            <w:tcW w:w="1069" w:type="dxa"/>
            <w:tcBorders>
              <w:top w:val="single" w:sz="4" w:space="0" w:color="000000"/>
              <w:left w:val="single" w:sz="4" w:space="0" w:color="000000"/>
              <w:bottom w:val="single" w:sz="4" w:space="0" w:color="000000"/>
              <w:right w:val="single" w:sz="4" w:space="0" w:color="000000"/>
            </w:tcBorders>
          </w:tcPr>
          <w:p>
            <w:pPr>
              <w:pStyle w:val="TableParagraph"/>
              <w:spacing w:before="133"/>
              <w:ind w:left="102"/>
              <w:rPr>
                <w:sz w:val="18"/>
              </w:rPr>
            </w:pPr>
            <w:r>
              <w:rPr>
                <w:sz w:val="18"/>
              </w:rPr>
              <w:t>-1.7</w:t>
            </w:r>
          </w:p>
        </w:tc>
        <w:tc>
          <w:tcPr>
            <w:tcW w:w="1354" w:type="dxa"/>
            <w:tcBorders>
              <w:top w:val="single" w:sz="4" w:space="0" w:color="000000"/>
              <w:left w:val="single" w:sz="4" w:space="0" w:color="000000"/>
              <w:bottom w:val="single" w:sz="4" w:space="0" w:color="000000"/>
              <w:right w:val="single" w:sz="4" w:space="0" w:color="000000"/>
            </w:tcBorders>
          </w:tcPr>
          <w:p>
            <w:pPr>
              <w:pStyle w:val="TableParagraph"/>
              <w:spacing w:before="133"/>
              <w:ind w:left="101"/>
              <w:rPr>
                <w:sz w:val="18"/>
              </w:rPr>
            </w:pPr>
            <w:r>
              <w:rPr>
                <w:sz w:val="18"/>
              </w:rPr>
              <w:t>n/a</w:t>
            </w:r>
          </w:p>
        </w:tc>
      </w:tr>
      <w:tr>
        <w:trPr>
          <w:trHeight w:val="736" w:hRule="atLeast"/>
        </w:trPr>
        <w:tc>
          <w:tcPr>
            <w:tcW w:w="682" w:type="dxa"/>
            <w:tcBorders>
              <w:top w:val="single" w:sz="4" w:space="0" w:color="000000"/>
              <w:left w:val="single" w:sz="4" w:space="0" w:color="000000"/>
              <w:bottom w:val="single" w:sz="4" w:space="0" w:color="000000"/>
              <w:right w:val="single" w:sz="4" w:space="0" w:color="000000"/>
            </w:tcBorders>
          </w:tcPr>
          <w:p>
            <w:pPr>
              <w:pStyle w:val="TableParagraph"/>
              <w:spacing w:before="133"/>
              <w:ind w:right="106"/>
              <w:jc w:val="right"/>
              <w:rPr>
                <w:sz w:val="18"/>
              </w:rPr>
            </w:pPr>
            <w:r>
              <w:rPr>
                <w:sz w:val="18"/>
              </w:rPr>
              <w:t>18260</w:t>
            </w:r>
          </w:p>
        </w:tc>
        <w:tc>
          <w:tcPr>
            <w:tcW w:w="3354" w:type="dxa"/>
            <w:tcBorders>
              <w:top w:val="single" w:sz="4" w:space="0" w:color="000000"/>
              <w:left w:val="single" w:sz="4" w:space="0" w:color="000000"/>
              <w:bottom w:val="single" w:sz="4" w:space="0" w:color="000000"/>
              <w:right w:val="single" w:sz="4" w:space="0" w:color="000000"/>
            </w:tcBorders>
          </w:tcPr>
          <w:p>
            <w:pPr>
              <w:pStyle w:val="TableParagraph"/>
              <w:spacing w:line="312" w:lineRule="auto" w:before="131"/>
              <w:ind w:left="107" w:right="13"/>
              <w:rPr>
                <w:sz w:val="18"/>
              </w:rPr>
            </w:pPr>
            <w:r>
              <w:rPr>
                <w:sz w:val="18"/>
              </w:rPr>
              <w:t>INTERCOSTAL NERVES (multiple), injection of an anaesthetic agent</w:t>
            </w:r>
          </w:p>
        </w:tc>
        <w:tc>
          <w:tcPr>
            <w:tcW w:w="939" w:type="dxa"/>
            <w:tcBorders>
              <w:top w:val="single" w:sz="4" w:space="0" w:color="000000"/>
              <w:left w:val="single" w:sz="4" w:space="0" w:color="000000"/>
              <w:bottom w:val="single" w:sz="4" w:space="0" w:color="000000"/>
              <w:right w:val="single" w:sz="6" w:space="0" w:color="000000"/>
            </w:tcBorders>
          </w:tcPr>
          <w:p>
            <w:pPr>
              <w:pStyle w:val="TableParagraph"/>
              <w:spacing w:before="133"/>
              <w:ind w:left="106"/>
              <w:rPr>
                <w:sz w:val="18"/>
              </w:rPr>
            </w:pPr>
            <w:r>
              <w:rPr>
                <w:sz w:val="18"/>
              </w:rPr>
              <w:t>$88.65</w:t>
            </w:r>
          </w:p>
        </w:tc>
        <w:tc>
          <w:tcPr>
            <w:tcW w:w="1057" w:type="dxa"/>
            <w:tcBorders>
              <w:top w:val="single" w:sz="4" w:space="0" w:color="000000"/>
              <w:left w:val="single" w:sz="6" w:space="0" w:color="000000"/>
              <w:bottom w:val="single" w:sz="4" w:space="0" w:color="000000"/>
              <w:right w:val="single" w:sz="4" w:space="0" w:color="000000"/>
            </w:tcBorders>
          </w:tcPr>
          <w:p>
            <w:pPr>
              <w:pStyle w:val="TableParagraph"/>
              <w:spacing w:before="133"/>
              <w:ind w:left="104"/>
              <w:rPr>
                <w:sz w:val="18"/>
              </w:rPr>
            </w:pPr>
            <w:r>
              <w:rPr>
                <w:sz w:val="18"/>
              </w:rPr>
              <w:t>4,719</w:t>
            </w:r>
          </w:p>
        </w:tc>
        <w:tc>
          <w:tcPr>
            <w:tcW w:w="1052" w:type="dxa"/>
            <w:tcBorders>
              <w:top w:val="single" w:sz="4" w:space="0" w:color="000000"/>
              <w:left w:val="single" w:sz="4" w:space="0" w:color="000000"/>
              <w:bottom w:val="single" w:sz="4" w:space="0" w:color="000000"/>
              <w:right w:val="single" w:sz="4" w:space="0" w:color="000000"/>
            </w:tcBorders>
          </w:tcPr>
          <w:p>
            <w:pPr>
              <w:pStyle w:val="TableParagraph"/>
              <w:spacing w:before="133"/>
              <w:ind w:left="103"/>
              <w:rPr>
                <w:sz w:val="18"/>
              </w:rPr>
            </w:pPr>
            <w:r>
              <w:rPr>
                <w:sz w:val="18"/>
              </w:rPr>
              <w:t>$320,622</w:t>
            </w:r>
          </w:p>
        </w:tc>
        <w:tc>
          <w:tcPr>
            <w:tcW w:w="1069" w:type="dxa"/>
            <w:tcBorders>
              <w:top w:val="single" w:sz="4" w:space="0" w:color="000000"/>
              <w:left w:val="single" w:sz="4" w:space="0" w:color="000000"/>
              <w:bottom w:val="single" w:sz="4" w:space="0" w:color="000000"/>
              <w:right w:val="single" w:sz="4" w:space="0" w:color="000000"/>
            </w:tcBorders>
          </w:tcPr>
          <w:p>
            <w:pPr>
              <w:pStyle w:val="TableParagraph"/>
              <w:spacing w:before="133"/>
              <w:ind w:left="102"/>
              <w:rPr>
                <w:sz w:val="18"/>
              </w:rPr>
            </w:pPr>
            <w:r>
              <w:rPr>
                <w:sz w:val="18"/>
              </w:rPr>
              <w:t>16.4</w:t>
            </w:r>
          </w:p>
        </w:tc>
        <w:tc>
          <w:tcPr>
            <w:tcW w:w="1354" w:type="dxa"/>
            <w:tcBorders>
              <w:top w:val="single" w:sz="4" w:space="0" w:color="000000"/>
              <w:left w:val="single" w:sz="4" w:space="0" w:color="000000"/>
              <w:bottom w:val="single" w:sz="4" w:space="0" w:color="000000"/>
              <w:right w:val="single" w:sz="4" w:space="0" w:color="000000"/>
            </w:tcBorders>
          </w:tcPr>
          <w:p>
            <w:pPr>
              <w:pStyle w:val="TableParagraph"/>
              <w:spacing w:before="133"/>
              <w:ind w:left="101"/>
              <w:rPr>
                <w:sz w:val="18"/>
              </w:rPr>
            </w:pPr>
            <w:r>
              <w:rPr>
                <w:sz w:val="18"/>
              </w:rPr>
              <w:t>n/a</w:t>
            </w:r>
          </w:p>
        </w:tc>
      </w:tr>
      <w:tr>
        <w:trPr>
          <w:trHeight w:val="739" w:hRule="atLeast"/>
        </w:trPr>
        <w:tc>
          <w:tcPr>
            <w:tcW w:w="682" w:type="dxa"/>
            <w:tcBorders>
              <w:top w:val="single" w:sz="4" w:space="0" w:color="000000"/>
              <w:left w:val="single" w:sz="4" w:space="0" w:color="000000"/>
              <w:bottom w:val="single" w:sz="4" w:space="0" w:color="000000"/>
              <w:right w:val="single" w:sz="4" w:space="0" w:color="000000"/>
            </w:tcBorders>
          </w:tcPr>
          <w:p>
            <w:pPr>
              <w:pStyle w:val="TableParagraph"/>
              <w:spacing w:before="135"/>
              <w:ind w:right="106"/>
              <w:jc w:val="right"/>
              <w:rPr>
                <w:sz w:val="18"/>
              </w:rPr>
            </w:pPr>
            <w:r>
              <w:rPr>
                <w:sz w:val="18"/>
              </w:rPr>
              <w:t>18270</w:t>
            </w:r>
          </w:p>
        </w:tc>
        <w:tc>
          <w:tcPr>
            <w:tcW w:w="3354" w:type="dxa"/>
            <w:tcBorders>
              <w:top w:val="single" w:sz="4" w:space="0" w:color="000000"/>
              <w:left w:val="single" w:sz="4" w:space="0" w:color="000000"/>
              <w:bottom w:val="single" w:sz="4" w:space="0" w:color="000000"/>
              <w:right w:val="single" w:sz="4" w:space="0" w:color="000000"/>
            </w:tcBorders>
          </w:tcPr>
          <w:p>
            <w:pPr>
              <w:pStyle w:val="TableParagraph"/>
              <w:spacing w:line="312" w:lineRule="auto" w:before="133"/>
              <w:ind w:left="107" w:right="829"/>
              <w:rPr>
                <w:sz w:val="18"/>
              </w:rPr>
            </w:pPr>
            <w:r>
              <w:rPr>
                <w:sz w:val="18"/>
              </w:rPr>
              <w:t>FEMORAL NERVE, injection of an anaesthetic agent</w:t>
            </w:r>
          </w:p>
        </w:tc>
        <w:tc>
          <w:tcPr>
            <w:tcW w:w="939" w:type="dxa"/>
            <w:tcBorders>
              <w:top w:val="single" w:sz="4" w:space="0" w:color="000000"/>
              <w:left w:val="single" w:sz="4" w:space="0" w:color="000000"/>
              <w:bottom w:val="single" w:sz="4" w:space="0" w:color="000000"/>
              <w:right w:val="single" w:sz="6" w:space="0" w:color="000000"/>
            </w:tcBorders>
          </w:tcPr>
          <w:p>
            <w:pPr>
              <w:pStyle w:val="TableParagraph"/>
              <w:spacing w:before="135"/>
              <w:ind w:left="106"/>
              <w:rPr>
                <w:sz w:val="18"/>
              </w:rPr>
            </w:pPr>
            <w:r>
              <w:rPr>
                <w:sz w:val="18"/>
              </w:rPr>
              <w:t>$88.65</w:t>
            </w:r>
          </w:p>
        </w:tc>
        <w:tc>
          <w:tcPr>
            <w:tcW w:w="1057" w:type="dxa"/>
            <w:tcBorders>
              <w:top w:val="single" w:sz="4" w:space="0" w:color="000000"/>
              <w:left w:val="single" w:sz="6" w:space="0" w:color="000000"/>
              <w:bottom w:val="single" w:sz="4" w:space="0" w:color="000000"/>
              <w:right w:val="single" w:sz="4" w:space="0" w:color="000000"/>
            </w:tcBorders>
          </w:tcPr>
          <w:p>
            <w:pPr>
              <w:pStyle w:val="TableParagraph"/>
              <w:spacing w:before="135"/>
              <w:ind w:left="104"/>
              <w:rPr>
                <w:sz w:val="18"/>
              </w:rPr>
            </w:pPr>
            <w:r>
              <w:rPr>
                <w:sz w:val="18"/>
              </w:rPr>
              <w:t>4,927</w:t>
            </w:r>
          </w:p>
        </w:tc>
        <w:tc>
          <w:tcPr>
            <w:tcW w:w="1052" w:type="dxa"/>
            <w:tcBorders>
              <w:top w:val="single" w:sz="4" w:space="0" w:color="000000"/>
              <w:left w:val="single" w:sz="4" w:space="0" w:color="000000"/>
              <w:bottom w:val="single" w:sz="4" w:space="0" w:color="000000"/>
              <w:right w:val="single" w:sz="4" w:space="0" w:color="000000"/>
            </w:tcBorders>
          </w:tcPr>
          <w:p>
            <w:pPr>
              <w:pStyle w:val="TableParagraph"/>
              <w:spacing w:before="135"/>
              <w:ind w:left="103"/>
              <w:rPr>
                <w:sz w:val="18"/>
              </w:rPr>
            </w:pPr>
            <w:r>
              <w:rPr>
                <w:sz w:val="18"/>
              </w:rPr>
              <w:t>$983,487</w:t>
            </w:r>
          </w:p>
        </w:tc>
        <w:tc>
          <w:tcPr>
            <w:tcW w:w="1069" w:type="dxa"/>
            <w:tcBorders>
              <w:top w:val="single" w:sz="4" w:space="0" w:color="000000"/>
              <w:left w:val="single" w:sz="4" w:space="0" w:color="000000"/>
              <w:bottom w:val="single" w:sz="4" w:space="0" w:color="000000"/>
              <w:right w:val="single" w:sz="4" w:space="0" w:color="000000"/>
            </w:tcBorders>
          </w:tcPr>
          <w:p>
            <w:pPr>
              <w:pStyle w:val="TableParagraph"/>
              <w:spacing w:before="135"/>
              <w:ind w:left="102"/>
              <w:rPr>
                <w:sz w:val="18"/>
              </w:rPr>
            </w:pPr>
            <w:r>
              <w:rPr>
                <w:sz w:val="18"/>
              </w:rPr>
              <w:t>26.0</w:t>
            </w:r>
          </w:p>
        </w:tc>
        <w:tc>
          <w:tcPr>
            <w:tcW w:w="1354" w:type="dxa"/>
            <w:tcBorders>
              <w:top w:val="single" w:sz="4" w:space="0" w:color="000000"/>
              <w:left w:val="single" w:sz="4" w:space="0" w:color="000000"/>
              <w:bottom w:val="single" w:sz="4" w:space="0" w:color="000000"/>
              <w:right w:val="single" w:sz="4" w:space="0" w:color="000000"/>
            </w:tcBorders>
          </w:tcPr>
          <w:p>
            <w:pPr>
              <w:pStyle w:val="TableParagraph"/>
              <w:spacing w:before="135"/>
              <w:ind w:left="101"/>
              <w:rPr>
                <w:sz w:val="18"/>
              </w:rPr>
            </w:pPr>
            <w:r>
              <w:rPr>
                <w:sz w:val="18"/>
              </w:rPr>
              <w:t>n/a</w:t>
            </w:r>
          </w:p>
        </w:tc>
      </w:tr>
      <w:tr>
        <w:trPr>
          <w:trHeight w:val="1310" w:hRule="atLeast"/>
        </w:trPr>
        <w:tc>
          <w:tcPr>
            <w:tcW w:w="682" w:type="dxa"/>
            <w:tcBorders>
              <w:top w:val="single" w:sz="4" w:space="0" w:color="000000"/>
              <w:left w:val="single" w:sz="4" w:space="0" w:color="000000"/>
              <w:bottom w:val="single" w:sz="4" w:space="0" w:color="000000"/>
              <w:right w:val="single" w:sz="4" w:space="0" w:color="000000"/>
            </w:tcBorders>
          </w:tcPr>
          <w:p>
            <w:pPr>
              <w:pStyle w:val="TableParagraph"/>
              <w:spacing w:before="133"/>
              <w:ind w:right="106"/>
              <w:jc w:val="right"/>
              <w:rPr>
                <w:sz w:val="18"/>
              </w:rPr>
            </w:pPr>
            <w:r>
              <w:rPr>
                <w:sz w:val="18"/>
              </w:rPr>
              <w:t>18272</w:t>
            </w:r>
          </w:p>
        </w:tc>
        <w:tc>
          <w:tcPr>
            <w:tcW w:w="3354" w:type="dxa"/>
            <w:tcBorders>
              <w:top w:val="single" w:sz="4" w:space="0" w:color="000000"/>
              <w:left w:val="single" w:sz="4" w:space="0" w:color="000000"/>
              <w:bottom w:val="single" w:sz="4" w:space="0" w:color="000000"/>
              <w:right w:val="single" w:sz="4" w:space="0" w:color="000000"/>
            </w:tcBorders>
          </w:tcPr>
          <w:p>
            <w:pPr>
              <w:pStyle w:val="TableParagraph"/>
              <w:spacing w:line="314" w:lineRule="auto" w:before="131"/>
              <w:ind w:left="107"/>
              <w:rPr>
                <w:sz w:val="18"/>
              </w:rPr>
            </w:pPr>
            <w:r>
              <w:rPr>
                <w:sz w:val="18"/>
              </w:rPr>
              <w:t>SAPHENOUS, SURAL, POPLITEAL OR POSTERIOR TIBIAL NERVE, MAIN TRUNK</w:t>
            </w:r>
          </w:p>
          <w:p>
            <w:pPr>
              <w:pStyle w:val="TableParagraph"/>
              <w:spacing w:line="312" w:lineRule="auto"/>
              <w:ind w:left="107" w:right="884"/>
              <w:rPr>
                <w:sz w:val="18"/>
              </w:rPr>
            </w:pPr>
            <w:r>
              <w:rPr>
                <w:sz w:val="18"/>
              </w:rPr>
              <w:t>OF, 1 or more of, injection of an anaesthetic agent</w:t>
            </w:r>
          </w:p>
        </w:tc>
        <w:tc>
          <w:tcPr>
            <w:tcW w:w="939" w:type="dxa"/>
            <w:tcBorders>
              <w:top w:val="single" w:sz="4" w:space="0" w:color="000000"/>
              <w:left w:val="single" w:sz="4" w:space="0" w:color="000000"/>
              <w:bottom w:val="single" w:sz="4" w:space="0" w:color="000000"/>
              <w:right w:val="single" w:sz="6" w:space="0" w:color="000000"/>
            </w:tcBorders>
          </w:tcPr>
          <w:p>
            <w:pPr>
              <w:pStyle w:val="TableParagraph"/>
              <w:spacing w:before="133"/>
              <w:ind w:left="106"/>
              <w:rPr>
                <w:sz w:val="18"/>
              </w:rPr>
            </w:pPr>
            <w:r>
              <w:rPr>
                <w:sz w:val="18"/>
              </w:rPr>
              <w:t>$62.50</w:t>
            </w:r>
          </w:p>
        </w:tc>
        <w:tc>
          <w:tcPr>
            <w:tcW w:w="1057" w:type="dxa"/>
            <w:tcBorders>
              <w:top w:val="single" w:sz="4" w:space="0" w:color="000000"/>
              <w:left w:val="single" w:sz="6" w:space="0" w:color="000000"/>
              <w:bottom w:val="single" w:sz="4" w:space="0" w:color="000000"/>
              <w:right w:val="single" w:sz="4" w:space="0" w:color="000000"/>
            </w:tcBorders>
          </w:tcPr>
          <w:p>
            <w:pPr>
              <w:pStyle w:val="TableParagraph"/>
              <w:spacing w:before="133"/>
              <w:ind w:left="104"/>
              <w:rPr>
                <w:sz w:val="18"/>
              </w:rPr>
            </w:pPr>
            <w:r>
              <w:rPr>
                <w:sz w:val="18"/>
              </w:rPr>
              <w:t>14,665</w:t>
            </w:r>
          </w:p>
        </w:tc>
        <w:tc>
          <w:tcPr>
            <w:tcW w:w="1052" w:type="dxa"/>
            <w:tcBorders>
              <w:top w:val="single" w:sz="4" w:space="0" w:color="000000"/>
              <w:left w:val="single" w:sz="4" w:space="0" w:color="000000"/>
              <w:bottom w:val="single" w:sz="4" w:space="0" w:color="000000"/>
              <w:right w:val="single" w:sz="4" w:space="0" w:color="000000"/>
            </w:tcBorders>
          </w:tcPr>
          <w:p>
            <w:pPr>
              <w:pStyle w:val="TableParagraph"/>
              <w:spacing w:before="133"/>
              <w:ind w:left="103"/>
              <w:rPr>
                <w:sz w:val="18"/>
              </w:rPr>
            </w:pPr>
            <w:r>
              <w:rPr>
                <w:sz w:val="18"/>
              </w:rPr>
              <w:t>$1,702,775</w:t>
            </w:r>
          </w:p>
        </w:tc>
        <w:tc>
          <w:tcPr>
            <w:tcW w:w="1069" w:type="dxa"/>
            <w:tcBorders>
              <w:top w:val="single" w:sz="4" w:space="0" w:color="000000"/>
              <w:left w:val="single" w:sz="4" w:space="0" w:color="000000"/>
              <w:bottom w:val="single" w:sz="4" w:space="0" w:color="000000"/>
              <w:right w:val="single" w:sz="4" w:space="0" w:color="000000"/>
            </w:tcBorders>
          </w:tcPr>
          <w:p>
            <w:pPr>
              <w:pStyle w:val="TableParagraph"/>
              <w:spacing w:before="133"/>
              <w:ind w:left="102"/>
              <w:rPr>
                <w:sz w:val="18"/>
              </w:rPr>
            </w:pPr>
            <w:r>
              <w:rPr>
                <w:sz w:val="18"/>
              </w:rPr>
              <w:t>13.8</w:t>
            </w:r>
          </w:p>
        </w:tc>
        <w:tc>
          <w:tcPr>
            <w:tcW w:w="1354" w:type="dxa"/>
            <w:tcBorders>
              <w:top w:val="single" w:sz="4" w:space="0" w:color="000000"/>
              <w:left w:val="single" w:sz="4" w:space="0" w:color="000000"/>
              <w:bottom w:val="single" w:sz="4" w:space="0" w:color="000000"/>
              <w:right w:val="single" w:sz="4" w:space="0" w:color="000000"/>
            </w:tcBorders>
          </w:tcPr>
          <w:p>
            <w:pPr>
              <w:pStyle w:val="TableParagraph"/>
              <w:spacing w:before="133"/>
              <w:ind w:left="101"/>
              <w:rPr>
                <w:sz w:val="18"/>
              </w:rPr>
            </w:pPr>
            <w:r>
              <w:rPr>
                <w:sz w:val="18"/>
              </w:rPr>
              <w:t>n/a</w:t>
            </w:r>
          </w:p>
        </w:tc>
      </w:tr>
      <w:tr>
        <w:trPr>
          <w:trHeight w:val="1024" w:hRule="atLeast"/>
        </w:trPr>
        <w:tc>
          <w:tcPr>
            <w:tcW w:w="682" w:type="dxa"/>
            <w:tcBorders>
              <w:top w:val="single" w:sz="4" w:space="0" w:color="000000"/>
              <w:left w:val="single" w:sz="4" w:space="0" w:color="000000"/>
              <w:bottom w:val="single" w:sz="4" w:space="0" w:color="000000"/>
              <w:right w:val="single" w:sz="4" w:space="0" w:color="000000"/>
            </w:tcBorders>
          </w:tcPr>
          <w:p>
            <w:pPr>
              <w:pStyle w:val="TableParagraph"/>
              <w:spacing w:before="133"/>
              <w:ind w:right="106"/>
              <w:jc w:val="right"/>
              <w:rPr>
                <w:sz w:val="18"/>
              </w:rPr>
            </w:pPr>
            <w:r>
              <w:rPr>
                <w:sz w:val="18"/>
              </w:rPr>
              <w:t>18282</w:t>
            </w:r>
          </w:p>
        </w:tc>
        <w:tc>
          <w:tcPr>
            <w:tcW w:w="3354" w:type="dxa"/>
            <w:tcBorders>
              <w:top w:val="single" w:sz="4" w:space="0" w:color="000000"/>
              <w:left w:val="single" w:sz="4" w:space="0" w:color="000000"/>
              <w:bottom w:val="single" w:sz="4" w:space="0" w:color="000000"/>
              <w:right w:val="single" w:sz="4" w:space="0" w:color="000000"/>
            </w:tcBorders>
          </w:tcPr>
          <w:p>
            <w:pPr>
              <w:pStyle w:val="TableParagraph"/>
              <w:spacing w:line="312" w:lineRule="auto" w:before="131"/>
              <w:ind w:left="107" w:right="200"/>
              <w:rPr>
                <w:sz w:val="18"/>
              </w:rPr>
            </w:pPr>
            <w:r>
              <w:rPr>
                <w:sz w:val="18"/>
              </w:rPr>
              <w:t>CAROTID SINUS, injection of an anaesthetic agent, as an independent percutaneous procedure</w:t>
            </w:r>
          </w:p>
        </w:tc>
        <w:tc>
          <w:tcPr>
            <w:tcW w:w="939" w:type="dxa"/>
            <w:tcBorders>
              <w:top w:val="single" w:sz="4" w:space="0" w:color="000000"/>
              <w:left w:val="single" w:sz="4" w:space="0" w:color="000000"/>
              <w:bottom w:val="single" w:sz="4" w:space="0" w:color="000000"/>
              <w:right w:val="single" w:sz="6" w:space="0" w:color="000000"/>
            </w:tcBorders>
          </w:tcPr>
          <w:p>
            <w:pPr>
              <w:pStyle w:val="TableParagraph"/>
              <w:spacing w:before="133"/>
              <w:ind w:left="106"/>
              <w:rPr>
                <w:sz w:val="18"/>
              </w:rPr>
            </w:pPr>
            <w:r>
              <w:rPr>
                <w:sz w:val="18"/>
              </w:rPr>
              <w:t>$100.80</w:t>
            </w:r>
          </w:p>
        </w:tc>
        <w:tc>
          <w:tcPr>
            <w:tcW w:w="1057" w:type="dxa"/>
            <w:tcBorders>
              <w:top w:val="single" w:sz="4" w:space="0" w:color="000000"/>
              <w:left w:val="single" w:sz="6" w:space="0" w:color="000000"/>
              <w:bottom w:val="single" w:sz="4" w:space="0" w:color="000000"/>
              <w:right w:val="single" w:sz="4" w:space="0" w:color="000000"/>
            </w:tcBorders>
          </w:tcPr>
          <w:p>
            <w:pPr>
              <w:pStyle w:val="TableParagraph"/>
              <w:spacing w:before="133"/>
              <w:ind w:left="104"/>
              <w:rPr>
                <w:sz w:val="18"/>
              </w:rPr>
            </w:pPr>
            <w:r>
              <w:rPr>
                <w:sz w:val="18"/>
              </w:rPr>
              <w:t>28</w:t>
            </w:r>
          </w:p>
        </w:tc>
        <w:tc>
          <w:tcPr>
            <w:tcW w:w="1052" w:type="dxa"/>
            <w:tcBorders>
              <w:top w:val="single" w:sz="4" w:space="0" w:color="000000"/>
              <w:left w:val="single" w:sz="4" w:space="0" w:color="000000"/>
              <w:bottom w:val="single" w:sz="4" w:space="0" w:color="000000"/>
              <w:right w:val="single" w:sz="4" w:space="0" w:color="000000"/>
            </w:tcBorders>
          </w:tcPr>
          <w:p>
            <w:pPr>
              <w:pStyle w:val="TableParagraph"/>
              <w:spacing w:before="133"/>
              <w:ind w:left="103"/>
              <w:rPr>
                <w:sz w:val="18"/>
              </w:rPr>
            </w:pPr>
            <w:r>
              <w:rPr>
                <w:sz w:val="18"/>
              </w:rPr>
              <w:t>$2,139</w:t>
            </w:r>
          </w:p>
        </w:tc>
        <w:tc>
          <w:tcPr>
            <w:tcW w:w="1069" w:type="dxa"/>
            <w:tcBorders>
              <w:top w:val="single" w:sz="4" w:space="0" w:color="000000"/>
              <w:left w:val="single" w:sz="4" w:space="0" w:color="000000"/>
              <w:bottom w:val="single" w:sz="4" w:space="0" w:color="000000"/>
              <w:right w:val="single" w:sz="4" w:space="0" w:color="000000"/>
            </w:tcBorders>
          </w:tcPr>
          <w:p>
            <w:pPr>
              <w:pStyle w:val="TableParagraph"/>
              <w:spacing w:before="133"/>
              <w:ind w:left="102"/>
              <w:rPr>
                <w:sz w:val="18"/>
              </w:rPr>
            </w:pPr>
            <w:r>
              <w:rPr>
                <w:sz w:val="18"/>
              </w:rPr>
              <w:t>25.5</w:t>
            </w:r>
          </w:p>
        </w:tc>
        <w:tc>
          <w:tcPr>
            <w:tcW w:w="1354" w:type="dxa"/>
            <w:tcBorders>
              <w:top w:val="single" w:sz="4" w:space="0" w:color="000000"/>
              <w:left w:val="single" w:sz="4" w:space="0" w:color="000000"/>
              <w:bottom w:val="single" w:sz="4" w:space="0" w:color="000000"/>
              <w:right w:val="single" w:sz="4" w:space="0" w:color="000000"/>
            </w:tcBorders>
          </w:tcPr>
          <w:p>
            <w:pPr>
              <w:pStyle w:val="TableParagraph"/>
              <w:spacing w:before="133"/>
              <w:ind w:left="101"/>
              <w:rPr>
                <w:sz w:val="18"/>
              </w:rPr>
            </w:pPr>
            <w:r>
              <w:rPr>
                <w:sz w:val="18"/>
              </w:rPr>
              <w:t>n/a</w:t>
            </w:r>
          </w:p>
        </w:tc>
      </w:tr>
    </w:tbl>
    <w:p>
      <w:pPr>
        <w:pStyle w:val="BodyText"/>
        <w:rPr>
          <w:b/>
          <w:sz w:val="20"/>
        </w:rPr>
      </w:pPr>
    </w:p>
    <w:p>
      <w:pPr>
        <w:pStyle w:val="BodyText"/>
        <w:rPr>
          <w:b/>
          <w:sz w:val="20"/>
        </w:rPr>
      </w:pPr>
    </w:p>
    <w:p>
      <w:pPr>
        <w:pStyle w:val="Heading4"/>
        <w:numPr>
          <w:ilvl w:val="2"/>
          <w:numId w:val="20"/>
        </w:numPr>
        <w:tabs>
          <w:tab w:pos="1981" w:val="left" w:leader="none"/>
          <w:tab w:pos="1982" w:val="left" w:leader="none"/>
        </w:tabs>
        <w:spacing w:line="312" w:lineRule="auto" w:before="133" w:after="0"/>
        <w:ind w:left="1982" w:right="2015" w:hanging="720"/>
        <w:jc w:val="left"/>
      </w:pPr>
      <w:r>
        <w:rPr/>
        <w:t>Recommendation 24 – Referrals of items 18258, 18260, 18270, 18272 and 18282</w:t>
      </w:r>
    </w:p>
    <w:p>
      <w:pPr>
        <w:pStyle w:val="BodyText"/>
        <w:spacing w:before="177"/>
        <w:ind w:left="1262"/>
      </w:pPr>
      <w:r>
        <w:rPr/>
        <w:t>The Committee recommends:</w:t>
      </w:r>
    </w:p>
    <w:p>
      <w:pPr>
        <w:pStyle w:val="BodyText"/>
        <w:spacing w:before="5"/>
        <w:rPr>
          <w:sz w:val="21"/>
        </w:rPr>
      </w:pPr>
    </w:p>
    <w:p>
      <w:pPr>
        <w:pStyle w:val="ListParagraph"/>
        <w:numPr>
          <w:ilvl w:val="3"/>
          <w:numId w:val="20"/>
        </w:numPr>
        <w:tabs>
          <w:tab w:pos="2035" w:val="left" w:leader="none"/>
        </w:tabs>
        <w:spacing w:line="312" w:lineRule="auto" w:before="0" w:after="0"/>
        <w:ind w:left="2034" w:right="1934" w:hanging="360"/>
        <w:jc w:val="left"/>
        <w:rPr>
          <w:sz w:val="22"/>
        </w:rPr>
      </w:pPr>
      <w:r>
        <w:rPr>
          <w:sz w:val="22"/>
        </w:rPr>
        <w:t>items 18258 and 18260 be considered by the Thoracic Surgery Clinical Committee, with the advice on how specialist pain medicine physicians use these items,</w:t>
      </w:r>
      <w:r>
        <w:rPr>
          <w:spacing w:val="-14"/>
          <w:sz w:val="22"/>
        </w:rPr>
        <w:t> </w:t>
      </w:r>
      <w:r>
        <w:rPr>
          <w:sz w:val="22"/>
        </w:rPr>
        <w:t>and</w:t>
      </w:r>
    </w:p>
    <w:p>
      <w:pPr>
        <w:pStyle w:val="ListParagraph"/>
        <w:numPr>
          <w:ilvl w:val="3"/>
          <w:numId w:val="20"/>
        </w:numPr>
        <w:tabs>
          <w:tab w:pos="2035" w:val="left" w:leader="none"/>
        </w:tabs>
        <w:spacing w:line="240" w:lineRule="auto" w:before="58" w:after="0"/>
        <w:ind w:left="2034" w:right="0" w:hanging="361"/>
        <w:jc w:val="left"/>
        <w:rPr>
          <w:sz w:val="22"/>
        </w:rPr>
      </w:pPr>
      <w:r>
        <w:rPr>
          <w:sz w:val="22"/>
        </w:rPr>
        <w:t>items 18272, 18270 and 18282 be considered by the Vascular Clinical</w:t>
      </w:r>
      <w:r>
        <w:rPr>
          <w:spacing w:val="-9"/>
          <w:sz w:val="22"/>
        </w:rPr>
        <w:t> </w:t>
      </w:r>
      <w:r>
        <w:rPr>
          <w:sz w:val="22"/>
        </w:rPr>
        <w:t>Committee.</w:t>
      </w:r>
    </w:p>
    <w:p>
      <w:pPr>
        <w:spacing w:after="0" w:line="240" w:lineRule="auto"/>
        <w:jc w:val="left"/>
        <w:rPr>
          <w:sz w:val="22"/>
        </w:rPr>
        <w:sectPr>
          <w:headerReference w:type="default" r:id="rId257"/>
          <w:footerReference w:type="default" r:id="rId258"/>
          <w:pgSz w:w="11910" w:h="16840"/>
          <w:pgMar w:header="672" w:footer="978" w:top="1300" w:bottom="1160" w:left="440" w:right="140"/>
        </w:sectPr>
      </w:pPr>
    </w:p>
    <w:p>
      <w:pPr>
        <w:pStyle w:val="BodyText"/>
        <w:rPr>
          <w:sz w:val="20"/>
        </w:rPr>
      </w:pPr>
    </w:p>
    <w:p>
      <w:pPr>
        <w:pStyle w:val="BodyText"/>
        <w:spacing w:before="11"/>
        <w:rPr>
          <w:sz w:val="24"/>
        </w:rPr>
      </w:pPr>
    </w:p>
    <w:p>
      <w:pPr>
        <w:pStyle w:val="Heading4"/>
        <w:tabs>
          <w:tab w:pos="2397" w:val="left" w:leader="none"/>
        </w:tabs>
        <w:ind w:left="1262" w:firstLine="0"/>
      </w:pPr>
      <w:r>
        <w:rPr/>
        <w:t>5.2.1.1</w:t>
        <w:tab/>
        <w:t>Rationale 24</w:t>
      </w:r>
    </w:p>
    <w:p>
      <w:pPr>
        <w:pStyle w:val="BodyText"/>
        <w:spacing w:before="7"/>
        <w:rPr>
          <w:b/>
          <w:sz w:val="21"/>
        </w:rPr>
      </w:pPr>
    </w:p>
    <w:p>
      <w:pPr>
        <w:pStyle w:val="BodyText"/>
        <w:spacing w:line="312" w:lineRule="auto" w:before="1"/>
        <w:ind w:left="1262" w:right="1787"/>
      </w:pPr>
      <w:r>
        <w:rPr/>
        <w:t>This recommendation focuses on ensuring continuing effective use of the health system into the future. It is based on the following assessment:</w:t>
      </w:r>
    </w:p>
    <w:p>
      <w:pPr>
        <w:pStyle w:val="BodyText"/>
        <w:spacing w:line="312" w:lineRule="auto" w:before="72"/>
        <w:ind w:left="2123" w:right="2513"/>
      </w:pPr>
      <w:r>
        <w:rPr/>
        <w:t>Items 18258 and 18260 are not used in volume by Specialist Pain Medicine Physicians.</w:t>
      </w:r>
    </w:p>
    <w:p>
      <w:pPr>
        <w:pStyle w:val="BodyText"/>
        <w:spacing w:line="312" w:lineRule="auto" w:before="132"/>
        <w:ind w:left="2123" w:right="1782"/>
      </w:pPr>
      <w:r>
        <w:rPr/>
        <w:t>Items 18258 and 18260 usage relates to chest trauma (e.g. rib fractures) and there is substantial use associated with thoracic surgery. The items are used by Specialist Pain Medicine Physicians as a diagnostic procedure in the palliative setting in determining whether to proceed to a neurolytic procedure or other intervention, however usage is higher in the thoracic surgery specialty.</w:t>
      </w:r>
    </w:p>
    <w:p>
      <w:pPr>
        <w:pStyle w:val="BodyText"/>
        <w:spacing w:line="312" w:lineRule="auto" w:before="132"/>
        <w:ind w:left="2123" w:right="2144"/>
      </w:pPr>
      <w:r>
        <w:rPr/>
        <w:drawing>
          <wp:anchor distT="0" distB="0" distL="0" distR="0" allowOverlap="1" layoutInCell="1" locked="0" behindDoc="0" simplePos="0" relativeHeight="15886848">
            <wp:simplePos x="0" y="0"/>
            <wp:positionH relativeFrom="page">
              <wp:posOffset>1362646</wp:posOffset>
            </wp:positionH>
            <wp:positionV relativeFrom="paragraph">
              <wp:posOffset>152382</wp:posOffset>
            </wp:positionV>
            <wp:extent cx="52387" cy="52387"/>
            <wp:effectExtent l="0" t="0" r="0" b="0"/>
            <wp:wrapNone/>
            <wp:docPr id="645" name="image176.png"/>
            <wp:cNvGraphicFramePr>
              <a:graphicFrameLocks noChangeAspect="1"/>
            </wp:cNvGraphicFramePr>
            <a:graphic>
              <a:graphicData uri="http://schemas.openxmlformats.org/drawingml/2006/picture">
                <pic:pic>
                  <pic:nvPicPr>
                    <pic:cNvPr id="646" name="image176.png"/>
                    <pic:cNvPicPr/>
                  </pic:nvPicPr>
                  <pic:blipFill>
                    <a:blip r:embed="rId184" cstate="print"/>
                    <a:stretch>
                      <a:fillRect/>
                    </a:stretch>
                  </pic:blipFill>
                  <pic:spPr>
                    <a:xfrm>
                      <a:off x="0" y="0"/>
                      <a:ext cx="52387" cy="52387"/>
                    </a:xfrm>
                    <a:prstGeom prst="rect">
                      <a:avLst/>
                    </a:prstGeom>
                  </pic:spPr>
                </pic:pic>
              </a:graphicData>
            </a:graphic>
          </wp:anchor>
        </w:drawing>
      </w:r>
      <w:r>
        <w:rPr/>
        <w:t>Items 18270 and 18272 are mostly used in the treatment of varicose veins, it is rarely used as a stand-alone item for the treatment of chronic pain.</w:t>
      </w:r>
    </w:p>
    <w:p>
      <w:pPr>
        <w:pStyle w:val="BodyText"/>
        <w:spacing w:line="312" w:lineRule="auto" w:before="132"/>
        <w:ind w:left="2123" w:right="1726"/>
      </w:pPr>
      <w:r>
        <w:rPr/>
        <w:drawing>
          <wp:anchor distT="0" distB="0" distL="0" distR="0" allowOverlap="1" layoutInCell="1" locked="0" behindDoc="0" simplePos="0" relativeHeight="15887360">
            <wp:simplePos x="0" y="0"/>
            <wp:positionH relativeFrom="page">
              <wp:posOffset>1362646</wp:posOffset>
            </wp:positionH>
            <wp:positionV relativeFrom="paragraph">
              <wp:posOffset>152382</wp:posOffset>
            </wp:positionV>
            <wp:extent cx="52387" cy="52387"/>
            <wp:effectExtent l="0" t="0" r="0" b="0"/>
            <wp:wrapNone/>
            <wp:docPr id="647" name="image176.png"/>
            <wp:cNvGraphicFramePr>
              <a:graphicFrameLocks noChangeAspect="1"/>
            </wp:cNvGraphicFramePr>
            <a:graphic>
              <a:graphicData uri="http://schemas.openxmlformats.org/drawingml/2006/picture">
                <pic:pic>
                  <pic:nvPicPr>
                    <pic:cNvPr id="648" name="image176.png"/>
                    <pic:cNvPicPr/>
                  </pic:nvPicPr>
                  <pic:blipFill>
                    <a:blip r:embed="rId184" cstate="print"/>
                    <a:stretch>
                      <a:fillRect/>
                    </a:stretch>
                  </pic:blipFill>
                  <pic:spPr>
                    <a:xfrm>
                      <a:off x="0" y="0"/>
                      <a:ext cx="52387" cy="52387"/>
                    </a:xfrm>
                    <a:prstGeom prst="rect">
                      <a:avLst/>
                    </a:prstGeom>
                  </pic:spPr>
                </pic:pic>
              </a:graphicData>
            </a:graphic>
          </wp:anchor>
        </w:drawing>
      </w:r>
      <w:r>
        <w:rPr/>
        <w:t>The Committee had concerns that a femoral nerve block performed properly would result in motor blockade (essentially a “dead leg”) so that this was not a suitable claim for outpatient procedures as the patient would be unable to ambulate to go home. The hypothesis is that these are being claimed for local infiltration not true femoral nerve block.</w:t>
      </w:r>
    </w:p>
    <w:p>
      <w:pPr>
        <w:pStyle w:val="BodyText"/>
        <w:spacing w:before="133"/>
        <w:ind w:left="2123" w:right="1729"/>
      </w:pPr>
      <w:r>
        <w:rPr/>
        <w:drawing>
          <wp:anchor distT="0" distB="0" distL="0" distR="0" allowOverlap="1" layoutInCell="1" locked="0" behindDoc="0" simplePos="0" relativeHeight="15887872">
            <wp:simplePos x="0" y="0"/>
            <wp:positionH relativeFrom="page">
              <wp:posOffset>1362646</wp:posOffset>
            </wp:positionH>
            <wp:positionV relativeFrom="paragraph">
              <wp:posOffset>153017</wp:posOffset>
            </wp:positionV>
            <wp:extent cx="52387" cy="52387"/>
            <wp:effectExtent l="0" t="0" r="0" b="0"/>
            <wp:wrapNone/>
            <wp:docPr id="649" name="image180.png"/>
            <wp:cNvGraphicFramePr>
              <a:graphicFrameLocks noChangeAspect="1"/>
            </wp:cNvGraphicFramePr>
            <a:graphic>
              <a:graphicData uri="http://schemas.openxmlformats.org/drawingml/2006/picture">
                <pic:pic>
                  <pic:nvPicPr>
                    <pic:cNvPr id="650" name="image180.png"/>
                    <pic:cNvPicPr/>
                  </pic:nvPicPr>
                  <pic:blipFill>
                    <a:blip r:embed="rId188" cstate="print"/>
                    <a:stretch>
                      <a:fillRect/>
                    </a:stretch>
                  </pic:blipFill>
                  <pic:spPr>
                    <a:xfrm>
                      <a:off x="0" y="0"/>
                      <a:ext cx="52387" cy="52387"/>
                    </a:xfrm>
                    <a:prstGeom prst="rect">
                      <a:avLst/>
                    </a:prstGeom>
                  </pic:spPr>
                </pic:pic>
              </a:graphicData>
            </a:graphic>
          </wp:anchor>
        </w:drawing>
      </w:r>
      <w:r>
        <w:rPr/>
        <w:t>Item 18282 is a low-use item not used by Specialist Pain Medicine Physicians but by vascular surgeons.</w:t>
      </w:r>
    </w:p>
    <w:p>
      <w:pPr>
        <w:spacing w:after="0"/>
        <w:sectPr>
          <w:headerReference w:type="default" r:id="rId260"/>
          <w:footerReference w:type="default" r:id="rId261"/>
          <w:pgSz w:w="11910" w:h="16840"/>
          <w:pgMar w:header="672" w:footer="978" w:top="1300" w:bottom="1160" w:left="440" w:right="140"/>
        </w:sectPr>
      </w:pPr>
    </w:p>
    <w:p>
      <w:pPr>
        <w:pStyle w:val="BodyText"/>
        <w:rPr>
          <w:sz w:val="20"/>
        </w:rPr>
      </w:pPr>
    </w:p>
    <w:p>
      <w:pPr>
        <w:pStyle w:val="BodyText"/>
        <w:spacing w:before="9"/>
        <w:rPr>
          <w:sz w:val="27"/>
        </w:rPr>
      </w:pPr>
    </w:p>
    <w:p>
      <w:pPr>
        <w:pStyle w:val="ListParagraph"/>
        <w:numPr>
          <w:ilvl w:val="0"/>
          <w:numId w:val="10"/>
        </w:numPr>
        <w:tabs>
          <w:tab w:pos="1694" w:val="left" w:leader="none"/>
        </w:tabs>
        <w:spacing w:line="240" w:lineRule="auto" w:before="20" w:after="0"/>
        <w:ind w:left="1694" w:right="0" w:hanging="432"/>
        <w:jc w:val="left"/>
        <w:rPr>
          <w:b/>
          <w:sz w:val="40"/>
        </w:rPr>
      </w:pPr>
      <w:r>
        <w:rPr>
          <w:b/>
          <w:color w:val="00643E"/>
          <w:sz w:val="40"/>
        </w:rPr>
        <w:t>Recommendations for new</w:t>
      </w:r>
      <w:r>
        <w:rPr>
          <w:b/>
          <w:color w:val="00643E"/>
          <w:spacing w:val="-1"/>
          <w:sz w:val="40"/>
        </w:rPr>
        <w:t> </w:t>
      </w:r>
      <w:r>
        <w:rPr>
          <w:b/>
          <w:color w:val="00643E"/>
          <w:sz w:val="40"/>
        </w:rPr>
        <w:t>items</w:t>
      </w:r>
    </w:p>
    <w:p>
      <w:pPr>
        <w:pStyle w:val="BodyText"/>
        <w:spacing w:before="9"/>
        <w:rPr>
          <w:b/>
          <w:sz w:val="26"/>
        </w:rPr>
      </w:pPr>
      <w:r>
        <w:rPr/>
        <w:pict>
          <v:rect style="position:absolute;margin-left:83.664001pt;margin-top:18.299414pt;width:423.31pt;height:1.92pt;mso-position-horizontal-relative:page;mso-position-vertical-relative:paragraph;z-index:-15568896;mso-wrap-distance-left:0;mso-wrap-distance-right:0" filled="true" fillcolor="#bebebe" stroked="false">
            <v:fill type="solid"/>
            <w10:wrap type="topAndBottom"/>
          </v:rect>
        </w:pict>
      </w:r>
    </w:p>
    <w:p>
      <w:pPr>
        <w:pStyle w:val="BodyText"/>
        <w:rPr>
          <w:b/>
          <w:sz w:val="20"/>
        </w:rPr>
      </w:pPr>
    </w:p>
    <w:p>
      <w:pPr>
        <w:pStyle w:val="BodyText"/>
        <w:rPr>
          <w:b/>
          <w:sz w:val="20"/>
        </w:rPr>
      </w:pPr>
    </w:p>
    <w:p>
      <w:pPr>
        <w:pStyle w:val="Heading3"/>
        <w:spacing w:before="202"/>
        <w:ind w:left="1828"/>
      </w:pPr>
      <w:r>
        <w:rPr/>
        <w:drawing>
          <wp:anchor distT="0" distB="0" distL="0" distR="0" allowOverlap="1" layoutInCell="1" locked="0" behindDoc="0" simplePos="0" relativeHeight="15889408">
            <wp:simplePos x="0" y="0"/>
            <wp:positionH relativeFrom="page">
              <wp:posOffset>1082091</wp:posOffset>
            </wp:positionH>
            <wp:positionV relativeFrom="paragraph">
              <wp:posOffset>180090</wp:posOffset>
            </wp:positionV>
            <wp:extent cx="198830" cy="110459"/>
            <wp:effectExtent l="0" t="0" r="0" b="0"/>
            <wp:wrapNone/>
            <wp:docPr id="653" name="image199.png"/>
            <wp:cNvGraphicFramePr>
              <a:graphicFrameLocks noChangeAspect="1"/>
            </wp:cNvGraphicFramePr>
            <a:graphic>
              <a:graphicData uri="http://schemas.openxmlformats.org/drawingml/2006/picture">
                <pic:pic>
                  <pic:nvPicPr>
                    <pic:cNvPr id="654" name="image199.png"/>
                    <pic:cNvPicPr/>
                  </pic:nvPicPr>
                  <pic:blipFill>
                    <a:blip r:embed="rId264" cstate="print"/>
                    <a:stretch>
                      <a:fillRect/>
                    </a:stretch>
                  </pic:blipFill>
                  <pic:spPr>
                    <a:xfrm>
                      <a:off x="0" y="0"/>
                      <a:ext cx="198830" cy="110459"/>
                    </a:xfrm>
                    <a:prstGeom prst="rect">
                      <a:avLst/>
                    </a:prstGeom>
                  </pic:spPr>
                </pic:pic>
              </a:graphicData>
            </a:graphic>
          </wp:anchor>
        </w:drawing>
      </w:r>
      <w:r>
        <w:rPr>
          <w:color w:val="00643E"/>
        </w:rPr>
        <w:t>Access to Botox for pelvic tension myalgia</w:t>
      </w:r>
    </w:p>
    <w:p>
      <w:pPr>
        <w:pStyle w:val="BodyText"/>
        <w:spacing w:before="7"/>
        <w:rPr>
          <w:b/>
          <w:sz w:val="17"/>
        </w:rPr>
      </w:pPr>
    </w:p>
    <w:p>
      <w:pPr>
        <w:pStyle w:val="BodyText"/>
        <w:spacing w:line="312" w:lineRule="auto" w:before="56"/>
        <w:ind w:left="1262" w:right="2049"/>
      </w:pPr>
      <w:r>
        <w:rPr/>
        <w:t>Botulinum toxin (Botox) injections are used and recognised by the MBS in a wide range of medical conditions where muscle spasm is present, including migraine, cerebral palsy, torticollis, blepharospasm and detrusor overactivity (items 18350-18379).</w:t>
      </w:r>
    </w:p>
    <w:p>
      <w:pPr>
        <w:pStyle w:val="Heading4"/>
        <w:numPr>
          <w:ilvl w:val="2"/>
          <w:numId w:val="21"/>
        </w:numPr>
        <w:tabs>
          <w:tab w:pos="1981" w:val="left" w:leader="none"/>
          <w:tab w:pos="1982" w:val="left" w:leader="none"/>
        </w:tabs>
        <w:spacing w:line="312" w:lineRule="auto" w:before="124" w:after="0"/>
        <w:ind w:left="1982" w:right="3118" w:hanging="720"/>
        <w:jc w:val="left"/>
      </w:pPr>
      <w:r>
        <w:rPr/>
        <w:t>Recommendation 25 - Botox for Pelvic Tension Myalgia (MSAC consideration)</w:t>
      </w:r>
    </w:p>
    <w:p>
      <w:pPr>
        <w:pStyle w:val="BodyText"/>
        <w:spacing w:before="117"/>
        <w:ind w:left="1262"/>
      </w:pPr>
      <w:r>
        <w:rPr/>
        <w:t>The Committee recommends:</w:t>
      </w:r>
    </w:p>
    <w:p>
      <w:pPr>
        <w:pStyle w:val="BodyText"/>
        <w:spacing w:before="6"/>
        <w:rPr>
          <w:sz w:val="16"/>
        </w:rPr>
      </w:pPr>
    </w:p>
    <w:p>
      <w:pPr>
        <w:pStyle w:val="ListParagraph"/>
        <w:numPr>
          <w:ilvl w:val="3"/>
          <w:numId w:val="21"/>
        </w:numPr>
        <w:tabs>
          <w:tab w:pos="2035" w:val="left" w:leader="none"/>
        </w:tabs>
        <w:spacing w:line="240" w:lineRule="auto" w:before="0" w:after="0"/>
        <w:ind w:left="2034" w:right="0" w:hanging="361"/>
        <w:jc w:val="left"/>
        <w:rPr>
          <w:sz w:val="22"/>
        </w:rPr>
      </w:pPr>
      <w:r>
        <w:rPr>
          <w:sz w:val="22"/>
        </w:rPr>
        <w:t>a new item be considered by MSAC to be added to the MBS, as set out</w:t>
      </w:r>
      <w:r>
        <w:rPr>
          <w:spacing w:val="-15"/>
          <w:sz w:val="22"/>
        </w:rPr>
        <w:t> </w:t>
      </w:r>
      <w:r>
        <w:rPr>
          <w:sz w:val="22"/>
        </w:rPr>
        <w:t>below:</w:t>
      </w:r>
    </w:p>
    <w:p>
      <w:pPr>
        <w:pStyle w:val="BodyText"/>
        <w:spacing w:before="9"/>
        <w:rPr>
          <w:sz w:val="11"/>
        </w:rPr>
      </w:pPr>
      <w:r>
        <w:rPr/>
        <w:pict>
          <v:shape style="position:absolute;margin-left:85.050003pt;margin-top:10.135625pt;width:414.3pt;height:273.95pt;mso-position-horizontal-relative:page;mso-position-vertical-relative:paragraph;z-index:-15568384;mso-wrap-distance-left:0;mso-wrap-distance-right:0" type="#_x0000_t202" filled="false" stroked="true" strokeweight="2pt" strokecolor="#c0504d">
            <v:textbox inset="0,0,0,0">
              <w:txbxContent>
                <w:p>
                  <w:pPr>
                    <w:spacing w:before="71"/>
                    <w:ind w:left="144" w:right="0" w:firstLine="0"/>
                    <w:jc w:val="left"/>
                    <w:rPr>
                      <w:b/>
                      <w:sz w:val="22"/>
                    </w:rPr>
                  </w:pPr>
                  <w:r>
                    <w:rPr>
                      <w:b/>
                      <w:sz w:val="22"/>
                    </w:rPr>
                    <w:t>New Item</w:t>
                  </w:r>
                </w:p>
                <w:p>
                  <w:pPr>
                    <w:pStyle w:val="BodyText"/>
                    <w:numPr>
                      <w:ilvl w:val="0"/>
                      <w:numId w:val="22"/>
                    </w:numPr>
                    <w:tabs>
                      <w:tab w:pos="504" w:val="left" w:leader="none"/>
                      <w:tab w:pos="505" w:val="left" w:leader="none"/>
                    </w:tabs>
                    <w:spacing w:line="307" w:lineRule="auto" w:before="140" w:after="0"/>
                    <w:ind w:left="504" w:right="458" w:hanging="360"/>
                    <w:jc w:val="left"/>
                  </w:pPr>
                  <w:r>
                    <w:rPr/>
                    <w:t>Botulinum toxin type A for reducing pain and pelvic floor pressure in women with chronic pelvic pain and pelvic floor muscle</w:t>
                  </w:r>
                  <w:r>
                    <w:rPr>
                      <w:spacing w:val="-7"/>
                    </w:rPr>
                    <w:t> </w:t>
                  </w:r>
                  <w:r>
                    <w:rPr/>
                    <w:t>spasm.</w:t>
                  </w:r>
                </w:p>
                <w:p>
                  <w:pPr>
                    <w:pStyle w:val="BodyText"/>
                    <w:numPr>
                      <w:ilvl w:val="0"/>
                      <w:numId w:val="22"/>
                    </w:numPr>
                    <w:tabs>
                      <w:tab w:pos="504" w:val="left" w:leader="none"/>
                      <w:tab w:pos="505" w:val="left" w:leader="none"/>
                    </w:tabs>
                    <w:spacing w:line="240" w:lineRule="auto" w:before="70" w:after="0"/>
                    <w:ind w:left="504" w:right="0" w:hanging="361"/>
                    <w:jc w:val="left"/>
                  </w:pPr>
                  <w:r>
                    <w:rPr/>
                    <w:t>Botox injection for the treatment of moderate to severe focal spasticity</w:t>
                  </w:r>
                  <w:r>
                    <w:rPr>
                      <w:spacing w:val="-13"/>
                    </w:rPr>
                    <w:t> </w:t>
                  </w:r>
                  <w:r>
                    <w:rPr/>
                    <w:t>if:</w:t>
                  </w:r>
                </w:p>
                <w:p>
                  <w:pPr>
                    <w:pStyle w:val="BodyText"/>
                    <w:numPr>
                      <w:ilvl w:val="1"/>
                      <w:numId w:val="22"/>
                    </w:numPr>
                    <w:tabs>
                      <w:tab w:pos="1225" w:val="left" w:leader="none"/>
                    </w:tabs>
                    <w:spacing w:line="240" w:lineRule="auto" w:before="140" w:after="0"/>
                    <w:ind w:left="1224" w:right="0" w:hanging="361"/>
                    <w:jc w:val="left"/>
                  </w:pPr>
                  <w:r>
                    <w:rPr/>
                    <w:t>the patient is at least 18 years of</w:t>
                  </w:r>
                  <w:r>
                    <w:rPr>
                      <w:spacing w:val="-7"/>
                    </w:rPr>
                    <w:t> </w:t>
                  </w:r>
                  <w:r>
                    <w:rPr/>
                    <w:t>age,</w:t>
                  </w:r>
                </w:p>
                <w:p>
                  <w:pPr>
                    <w:pStyle w:val="BodyText"/>
                    <w:numPr>
                      <w:ilvl w:val="1"/>
                      <w:numId w:val="22"/>
                    </w:numPr>
                    <w:tabs>
                      <w:tab w:pos="1225" w:val="left" w:leader="none"/>
                    </w:tabs>
                    <w:spacing w:line="240" w:lineRule="auto" w:before="82" w:after="0"/>
                    <w:ind w:left="1224" w:right="0" w:hanging="361"/>
                    <w:jc w:val="left"/>
                  </w:pPr>
                  <w:r>
                    <w:rPr/>
                    <w:t>she is not</w:t>
                  </w:r>
                  <w:r>
                    <w:rPr>
                      <w:spacing w:val="-1"/>
                    </w:rPr>
                    <w:t> </w:t>
                  </w:r>
                  <w:r>
                    <w:rPr/>
                    <w:t>pregnant,</w:t>
                  </w:r>
                </w:p>
                <w:p>
                  <w:pPr>
                    <w:pStyle w:val="BodyText"/>
                    <w:numPr>
                      <w:ilvl w:val="1"/>
                      <w:numId w:val="22"/>
                    </w:numPr>
                    <w:tabs>
                      <w:tab w:pos="1224" w:val="left" w:leader="none"/>
                      <w:tab w:pos="1225" w:val="left" w:leader="none"/>
                    </w:tabs>
                    <w:spacing w:line="240" w:lineRule="auto" w:before="80" w:after="0"/>
                    <w:ind w:left="1224" w:right="0" w:hanging="361"/>
                    <w:jc w:val="left"/>
                  </w:pPr>
                  <w:r>
                    <w:rPr/>
                    <w:t>the dysfunction is associated with muscle tension of the pelvic</w:t>
                  </w:r>
                  <w:r>
                    <w:rPr>
                      <w:spacing w:val="-12"/>
                    </w:rPr>
                    <w:t> </w:t>
                  </w:r>
                  <w:r>
                    <w:rPr/>
                    <w:t>floor,</w:t>
                  </w:r>
                </w:p>
                <w:p>
                  <w:pPr>
                    <w:pStyle w:val="BodyText"/>
                    <w:numPr>
                      <w:ilvl w:val="1"/>
                      <w:numId w:val="22"/>
                    </w:numPr>
                    <w:tabs>
                      <w:tab w:pos="1225" w:val="left" w:leader="none"/>
                    </w:tabs>
                    <w:spacing w:line="312" w:lineRule="auto" w:before="81" w:after="0"/>
                    <w:ind w:left="1224" w:right="455" w:hanging="360"/>
                    <w:jc w:val="left"/>
                  </w:pPr>
                  <w:r>
                    <w:rPr/>
                    <w:t>she has consulted a suitably qualified pelvic physiotherapist and standard treatment for the condition (physiotherapy to down-train muscles) has failed</w:t>
                  </w:r>
                </w:p>
                <w:p>
                  <w:pPr>
                    <w:pStyle w:val="BodyText"/>
                    <w:spacing w:line="268" w:lineRule="exact"/>
                    <w:ind w:left="1224"/>
                  </w:pPr>
                  <w:r>
                    <w:rPr/>
                    <w:t>or the treatment will aid physiotherapy.</w:t>
                  </w:r>
                </w:p>
                <w:p>
                  <w:pPr>
                    <w:pStyle w:val="BodyText"/>
                    <w:numPr>
                      <w:ilvl w:val="0"/>
                      <w:numId w:val="22"/>
                    </w:numPr>
                    <w:tabs>
                      <w:tab w:pos="504" w:val="left" w:leader="none"/>
                      <w:tab w:pos="505" w:val="left" w:leader="none"/>
                    </w:tabs>
                    <w:spacing w:line="309" w:lineRule="auto" w:before="140" w:after="0"/>
                    <w:ind w:left="504" w:right="189" w:hanging="360"/>
                    <w:jc w:val="left"/>
                  </w:pPr>
                  <w:r>
                    <w:rPr/>
                    <w:t>A lifetime limit of 4 injections supported under the MBS at intervals of no less than 6 months between</w:t>
                  </w:r>
                  <w:r>
                    <w:rPr>
                      <w:spacing w:val="-1"/>
                    </w:rPr>
                    <w:t> </w:t>
                  </w:r>
                  <w:r>
                    <w:rPr/>
                    <w:t>injections</w:t>
                  </w:r>
                </w:p>
                <w:p>
                  <w:pPr>
                    <w:pStyle w:val="BodyText"/>
                    <w:numPr>
                      <w:ilvl w:val="0"/>
                      <w:numId w:val="22"/>
                    </w:numPr>
                    <w:tabs>
                      <w:tab w:pos="504" w:val="left" w:leader="none"/>
                      <w:tab w:pos="505" w:val="left" w:leader="none"/>
                    </w:tabs>
                    <w:spacing w:line="240" w:lineRule="auto" w:before="68" w:after="0"/>
                    <w:ind w:left="504" w:right="0" w:hanging="361"/>
                    <w:jc w:val="left"/>
                  </w:pPr>
                  <w:r>
                    <w:rPr/>
                    <w:t>The procedure is to be performed by an appropriately trained</w:t>
                  </w:r>
                  <w:r>
                    <w:rPr>
                      <w:spacing w:val="-10"/>
                    </w:rPr>
                    <w:t> </w:t>
                  </w:r>
                  <w:r>
                    <w:rPr/>
                    <w:t>doctor.</w:t>
                  </w:r>
                </w:p>
              </w:txbxContent>
            </v:textbox>
            <v:stroke dashstyle="solid"/>
            <w10:wrap type="topAndBottom"/>
          </v:shape>
        </w:pict>
      </w:r>
    </w:p>
    <w:p>
      <w:pPr>
        <w:pStyle w:val="Heading4"/>
        <w:tabs>
          <w:tab w:pos="2397" w:val="left" w:leader="none"/>
        </w:tabs>
        <w:spacing w:before="182"/>
        <w:ind w:left="1262" w:firstLine="0"/>
      </w:pPr>
      <w:r>
        <w:rPr/>
        <w:t>6.1.1.1</w:t>
        <w:tab/>
        <w:t>Rationale 25</w:t>
      </w:r>
    </w:p>
    <w:p>
      <w:pPr>
        <w:pStyle w:val="BodyText"/>
        <w:spacing w:before="8"/>
        <w:rPr>
          <w:b/>
          <w:sz w:val="21"/>
        </w:rPr>
      </w:pPr>
    </w:p>
    <w:p>
      <w:pPr>
        <w:pStyle w:val="BodyText"/>
        <w:spacing w:line="312" w:lineRule="auto"/>
        <w:ind w:left="1262" w:right="1719"/>
      </w:pPr>
      <w:r>
        <w:rPr/>
        <w:t>This recommendation focuses on ensuring improving value to the patient and instituting best practice. It is based on the following assessment:</w:t>
      </w:r>
    </w:p>
    <w:p>
      <w:pPr>
        <w:spacing w:line="312" w:lineRule="auto" w:before="72"/>
        <w:ind w:left="2123" w:right="1664" w:firstLine="0"/>
        <w:jc w:val="left"/>
        <w:rPr>
          <w:sz w:val="22"/>
        </w:rPr>
      </w:pPr>
      <w:r>
        <w:rPr/>
        <w:drawing>
          <wp:anchor distT="0" distB="0" distL="0" distR="0" allowOverlap="1" layoutInCell="1" locked="0" behindDoc="0" simplePos="0" relativeHeight="15889920">
            <wp:simplePos x="0" y="0"/>
            <wp:positionH relativeFrom="page">
              <wp:posOffset>1362646</wp:posOffset>
            </wp:positionH>
            <wp:positionV relativeFrom="paragraph">
              <wp:posOffset>113647</wp:posOffset>
            </wp:positionV>
            <wp:extent cx="52387" cy="52387"/>
            <wp:effectExtent l="0" t="0" r="0" b="0"/>
            <wp:wrapNone/>
            <wp:docPr id="655" name="image176.png"/>
            <wp:cNvGraphicFramePr>
              <a:graphicFrameLocks noChangeAspect="1"/>
            </wp:cNvGraphicFramePr>
            <a:graphic>
              <a:graphicData uri="http://schemas.openxmlformats.org/drawingml/2006/picture">
                <pic:pic>
                  <pic:nvPicPr>
                    <pic:cNvPr id="656" name="image176.png"/>
                    <pic:cNvPicPr/>
                  </pic:nvPicPr>
                  <pic:blipFill>
                    <a:blip r:embed="rId184" cstate="print"/>
                    <a:stretch>
                      <a:fillRect/>
                    </a:stretch>
                  </pic:blipFill>
                  <pic:spPr>
                    <a:xfrm>
                      <a:off x="0" y="0"/>
                      <a:ext cx="52387" cy="52387"/>
                    </a:xfrm>
                    <a:prstGeom prst="rect">
                      <a:avLst/>
                    </a:prstGeom>
                  </pic:spPr>
                </pic:pic>
              </a:graphicData>
            </a:graphic>
          </wp:anchor>
        </w:drawing>
      </w:r>
      <w:r>
        <w:rPr>
          <w:sz w:val="22"/>
        </w:rPr>
        <w:t>Pelvic pain is estimated to affect between 15% and 25% of women </w:t>
      </w:r>
      <w:r>
        <w:rPr>
          <w:sz w:val="18"/>
        </w:rPr>
        <w:t>(Grace &amp; Zondervan, 2004) (Mathias, Kupperman, Liberman, &amp; et al, 1996)</w:t>
      </w:r>
      <w:r>
        <w:rPr>
          <w:sz w:val="22"/>
        </w:rPr>
        <w:t>. As with many types of persistent pain, muscle dysfunction may accompany persistent pelvic pain. Mild to moderate cases</w:t>
      </w:r>
    </w:p>
    <w:p>
      <w:pPr>
        <w:spacing w:after="0" w:line="312" w:lineRule="auto"/>
        <w:jc w:val="left"/>
        <w:rPr>
          <w:sz w:val="22"/>
        </w:rPr>
        <w:sectPr>
          <w:headerReference w:type="default" r:id="rId262"/>
          <w:footerReference w:type="default" r:id="rId263"/>
          <w:pgSz w:w="11910" w:h="16840"/>
          <w:pgMar w:header="672" w:footer="978" w:top="1300" w:bottom="1160" w:left="440" w:right="140"/>
        </w:sectPr>
      </w:pPr>
    </w:p>
    <w:p>
      <w:pPr>
        <w:pStyle w:val="BodyText"/>
        <w:rPr>
          <w:sz w:val="20"/>
        </w:rPr>
      </w:pPr>
    </w:p>
    <w:p>
      <w:pPr>
        <w:pStyle w:val="BodyText"/>
        <w:spacing w:before="3"/>
        <w:rPr>
          <w:sz w:val="24"/>
        </w:rPr>
      </w:pPr>
    </w:p>
    <w:p>
      <w:pPr>
        <w:pStyle w:val="BodyText"/>
        <w:spacing w:line="312" w:lineRule="auto" w:before="57"/>
        <w:ind w:left="2123" w:right="1919"/>
      </w:pPr>
      <w:r>
        <w:rPr/>
        <w:t>can be managed effectively with a combination of pelvic physiotherapy to 'down- train' muscles, increased gentle exercise with avoidance of aggravating activities and the use of medications. However, where pain is severe, these treatment options may be impractical or inadequately effective.</w:t>
      </w:r>
    </w:p>
    <w:p>
      <w:pPr>
        <w:pStyle w:val="BodyText"/>
        <w:spacing w:line="312" w:lineRule="auto" w:before="132"/>
        <w:ind w:left="2123" w:right="1934"/>
      </w:pPr>
      <w:r>
        <w:rPr/>
        <w:t>Botulinum toxin (Botox) injections are used and recognised by the MBS in a wide range of medical conditions where muscle spasm is present, including migraine, cerebral palsy, torticollis, blepharospasm and detrusor overactivity (items 18350- 18379). Injections of Botox to pubococcygeus and obturator internus have been used in the management of the severe pain associated with pelvic muscle spasm with evidence of long term/short term effectiveness. (Grace &amp; Zondervan, 2004) (Mathias, Kupperman, Liberman, &amp; et al, 1996)</w:t>
      </w:r>
    </w:p>
    <w:p>
      <w:pPr>
        <w:pStyle w:val="BodyText"/>
        <w:spacing w:line="312" w:lineRule="auto" w:before="132"/>
        <w:ind w:left="2123" w:right="1967"/>
      </w:pPr>
      <w:r>
        <w:rPr/>
        <w:drawing>
          <wp:anchor distT="0" distB="0" distL="0" distR="0" allowOverlap="1" layoutInCell="1" locked="0" behindDoc="0" simplePos="0" relativeHeight="15890432">
            <wp:simplePos x="0" y="0"/>
            <wp:positionH relativeFrom="page">
              <wp:posOffset>1362646</wp:posOffset>
            </wp:positionH>
            <wp:positionV relativeFrom="paragraph">
              <wp:posOffset>152382</wp:posOffset>
            </wp:positionV>
            <wp:extent cx="52387" cy="52387"/>
            <wp:effectExtent l="0" t="0" r="0" b="0"/>
            <wp:wrapNone/>
            <wp:docPr id="661" name="image180.png"/>
            <wp:cNvGraphicFramePr>
              <a:graphicFrameLocks noChangeAspect="1"/>
            </wp:cNvGraphicFramePr>
            <a:graphic>
              <a:graphicData uri="http://schemas.openxmlformats.org/drawingml/2006/picture">
                <pic:pic>
                  <pic:nvPicPr>
                    <pic:cNvPr id="662" name="image180.png"/>
                    <pic:cNvPicPr/>
                  </pic:nvPicPr>
                  <pic:blipFill>
                    <a:blip r:embed="rId188" cstate="print"/>
                    <a:stretch>
                      <a:fillRect/>
                    </a:stretch>
                  </pic:blipFill>
                  <pic:spPr>
                    <a:xfrm>
                      <a:off x="0" y="0"/>
                      <a:ext cx="52387" cy="52387"/>
                    </a:xfrm>
                    <a:prstGeom prst="rect">
                      <a:avLst/>
                    </a:prstGeom>
                  </pic:spPr>
                </pic:pic>
              </a:graphicData>
            </a:graphic>
          </wp:anchor>
        </w:drawing>
      </w:r>
      <w:r>
        <w:rPr/>
        <w:t>For focal spasticity in adults and children two years and older BOTOX® treatment reduces both the objective signs and subjective symptoms of spasticity.</w:t>
      </w:r>
    </w:p>
    <w:p>
      <w:pPr>
        <w:pStyle w:val="BodyText"/>
        <w:spacing w:line="312" w:lineRule="auto"/>
        <w:ind w:left="2123" w:right="2289"/>
      </w:pPr>
      <w:r>
        <w:rPr/>
        <w:t>Improvements include reduction in muscle tone, increase in range of motion, reduction in pain and a reduction of spasticity-related functional disability.</w:t>
      </w:r>
    </w:p>
    <w:p>
      <w:pPr>
        <w:pStyle w:val="BodyText"/>
        <w:spacing w:line="312" w:lineRule="auto" w:before="152"/>
        <w:ind w:left="2123" w:right="1725"/>
      </w:pPr>
      <w:r>
        <w:rPr/>
        <w:drawing>
          <wp:anchor distT="0" distB="0" distL="0" distR="0" allowOverlap="1" layoutInCell="1" locked="0" behindDoc="0" simplePos="0" relativeHeight="15890944">
            <wp:simplePos x="0" y="0"/>
            <wp:positionH relativeFrom="page">
              <wp:posOffset>1364038</wp:posOffset>
            </wp:positionH>
            <wp:positionV relativeFrom="paragraph">
              <wp:posOffset>160378</wp:posOffset>
            </wp:positionV>
            <wp:extent cx="55567" cy="55567"/>
            <wp:effectExtent l="0" t="0" r="0" b="0"/>
            <wp:wrapNone/>
            <wp:docPr id="663" name="image200.png"/>
            <wp:cNvGraphicFramePr>
              <a:graphicFrameLocks noChangeAspect="1"/>
            </wp:cNvGraphicFramePr>
            <a:graphic>
              <a:graphicData uri="http://schemas.openxmlformats.org/drawingml/2006/picture">
                <pic:pic>
                  <pic:nvPicPr>
                    <pic:cNvPr id="664" name="image200.png"/>
                    <pic:cNvPicPr/>
                  </pic:nvPicPr>
                  <pic:blipFill>
                    <a:blip r:embed="rId267" cstate="print"/>
                    <a:stretch>
                      <a:fillRect/>
                    </a:stretch>
                  </pic:blipFill>
                  <pic:spPr>
                    <a:xfrm>
                      <a:off x="0" y="0"/>
                      <a:ext cx="55567" cy="55567"/>
                    </a:xfrm>
                    <a:prstGeom prst="rect">
                      <a:avLst/>
                    </a:prstGeom>
                  </pic:spPr>
                </pic:pic>
              </a:graphicData>
            </a:graphic>
          </wp:anchor>
        </w:drawing>
      </w:r>
      <w:r>
        <w:rPr/>
        <w:t>Improvement in pelvic pain for people treated with this procedure / (or adequately treated for other types of severe pain) led to return to work, decreased use of strong analgesia, improved community participation and decreased use of health services etc. (Grace &amp; Zondervan, 2004) (Mathias, Kupperman, Liberman, &amp; et al, 1996) It is estimated that a small percentage of patients (potentially 10% of those who meet the criteria) (Grace &amp; Zondervan, 2004) (Mathias, Kupperman, Liberman, &amp; et al, 1996) would use Botox as a treatment option.</w:t>
      </w:r>
    </w:p>
    <w:p>
      <w:pPr>
        <w:pStyle w:val="BodyText"/>
        <w:spacing w:line="312" w:lineRule="auto" w:before="131"/>
        <w:ind w:left="2123" w:right="1729"/>
      </w:pPr>
      <w:r>
        <w:rPr/>
        <w:drawing>
          <wp:anchor distT="0" distB="0" distL="0" distR="0" allowOverlap="1" layoutInCell="1" locked="0" behindDoc="0" simplePos="0" relativeHeight="15891456">
            <wp:simplePos x="0" y="0"/>
            <wp:positionH relativeFrom="page">
              <wp:posOffset>1362646</wp:posOffset>
            </wp:positionH>
            <wp:positionV relativeFrom="paragraph">
              <wp:posOffset>151493</wp:posOffset>
            </wp:positionV>
            <wp:extent cx="52387" cy="52387"/>
            <wp:effectExtent l="0" t="0" r="0" b="0"/>
            <wp:wrapNone/>
            <wp:docPr id="665" name="image176.png"/>
            <wp:cNvGraphicFramePr>
              <a:graphicFrameLocks noChangeAspect="1"/>
            </wp:cNvGraphicFramePr>
            <a:graphic>
              <a:graphicData uri="http://schemas.openxmlformats.org/drawingml/2006/picture">
                <pic:pic>
                  <pic:nvPicPr>
                    <pic:cNvPr id="666" name="image176.png"/>
                    <pic:cNvPicPr/>
                  </pic:nvPicPr>
                  <pic:blipFill>
                    <a:blip r:embed="rId184" cstate="print"/>
                    <a:stretch>
                      <a:fillRect/>
                    </a:stretch>
                  </pic:blipFill>
                  <pic:spPr>
                    <a:xfrm>
                      <a:off x="0" y="0"/>
                      <a:ext cx="52387" cy="52387"/>
                    </a:xfrm>
                    <a:prstGeom prst="rect">
                      <a:avLst/>
                    </a:prstGeom>
                  </pic:spPr>
                </pic:pic>
              </a:graphicData>
            </a:graphic>
          </wp:anchor>
        </w:drawing>
      </w:r>
      <w:r>
        <w:rPr/>
        <w:t>Botox is listed for muscle spasticity on the Australian Register of Therapeutic Goods (ARTG).</w:t>
      </w:r>
    </w:p>
    <w:p>
      <w:pPr>
        <w:pStyle w:val="BodyText"/>
        <w:spacing w:line="312" w:lineRule="auto" w:before="132"/>
        <w:ind w:left="2123" w:right="2587"/>
      </w:pPr>
      <w:r>
        <w:rPr/>
        <w:drawing>
          <wp:anchor distT="0" distB="0" distL="0" distR="0" allowOverlap="1" layoutInCell="1" locked="0" behindDoc="0" simplePos="0" relativeHeight="15891968">
            <wp:simplePos x="0" y="0"/>
            <wp:positionH relativeFrom="page">
              <wp:posOffset>1362646</wp:posOffset>
            </wp:positionH>
            <wp:positionV relativeFrom="paragraph">
              <wp:posOffset>152128</wp:posOffset>
            </wp:positionV>
            <wp:extent cx="52387" cy="52387"/>
            <wp:effectExtent l="0" t="0" r="0" b="0"/>
            <wp:wrapNone/>
            <wp:docPr id="667" name="image176.png"/>
            <wp:cNvGraphicFramePr>
              <a:graphicFrameLocks noChangeAspect="1"/>
            </wp:cNvGraphicFramePr>
            <a:graphic>
              <a:graphicData uri="http://schemas.openxmlformats.org/drawingml/2006/picture">
                <pic:pic>
                  <pic:nvPicPr>
                    <pic:cNvPr id="668" name="image176.png"/>
                    <pic:cNvPicPr/>
                  </pic:nvPicPr>
                  <pic:blipFill>
                    <a:blip r:embed="rId184" cstate="print"/>
                    <a:stretch>
                      <a:fillRect/>
                    </a:stretch>
                  </pic:blipFill>
                  <pic:spPr>
                    <a:xfrm>
                      <a:off x="0" y="0"/>
                      <a:ext cx="52387" cy="52387"/>
                    </a:xfrm>
                    <a:prstGeom prst="rect">
                      <a:avLst/>
                    </a:prstGeom>
                  </pic:spPr>
                </pic:pic>
              </a:graphicData>
            </a:graphic>
          </wp:anchor>
        </w:drawing>
      </w:r>
      <w:r>
        <w:rPr/>
        <w:t>To ensure patient safety and effective treatment the procedure should be performed by an appropriately trained doctor.</w:t>
      </w:r>
    </w:p>
    <w:p>
      <w:pPr>
        <w:spacing w:after="0" w:line="312" w:lineRule="auto"/>
        <w:sectPr>
          <w:headerReference w:type="default" r:id="rId265"/>
          <w:footerReference w:type="default" r:id="rId266"/>
          <w:pgSz w:w="11910" w:h="16840"/>
          <w:pgMar w:header="672" w:footer="978" w:top="1300" w:bottom="1160" w:left="440" w:right="140"/>
        </w:sectPr>
      </w:pPr>
    </w:p>
    <w:p>
      <w:pPr>
        <w:pStyle w:val="BodyText"/>
        <w:rPr>
          <w:sz w:val="20"/>
        </w:rPr>
      </w:pPr>
    </w:p>
    <w:p>
      <w:pPr>
        <w:pStyle w:val="BodyText"/>
        <w:spacing w:before="5"/>
        <w:rPr>
          <w:sz w:val="27"/>
        </w:rPr>
      </w:pPr>
    </w:p>
    <w:p>
      <w:pPr>
        <w:pStyle w:val="ListParagraph"/>
        <w:numPr>
          <w:ilvl w:val="0"/>
          <w:numId w:val="10"/>
        </w:numPr>
        <w:tabs>
          <w:tab w:pos="1694" w:val="left" w:leader="none"/>
        </w:tabs>
        <w:spacing w:line="312" w:lineRule="auto" w:before="20" w:after="0"/>
        <w:ind w:left="1694" w:right="2305" w:hanging="432"/>
        <w:jc w:val="left"/>
        <w:rPr>
          <w:b/>
          <w:sz w:val="40"/>
        </w:rPr>
      </w:pPr>
      <w:r>
        <w:rPr>
          <w:b/>
          <w:color w:val="00643E"/>
          <w:sz w:val="40"/>
        </w:rPr>
        <w:t>Recommendations to improve access to evidence based care for people with chronic pain</w:t>
      </w:r>
    </w:p>
    <w:p>
      <w:pPr>
        <w:pStyle w:val="BodyText"/>
        <w:spacing w:before="1"/>
        <w:rPr>
          <w:b/>
          <w:sz w:val="15"/>
        </w:rPr>
      </w:pPr>
      <w:r>
        <w:rPr/>
        <w:pict>
          <v:rect style="position:absolute;margin-left:83.664001pt;margin-top:11.178633pt;width:423.31pt;height:1.92pt;mso-position-horizontal-relative:page;mso-position-vertical-relative:paragraph;z-index:-15564800;mso-wrap-distance-left:0;mso-wrap-distance-right:0" filled="true" fillcolor="#bebebe" stroked="false">
            <v:fill type="solid"/>
            <w10:wrap type="topAndBottom"/>
          </v:rect>
        </w:pict>
      </w:r>
    </w:p>
    <w:p>
      <w:pPr>
        <w:pStyle w:val="BodyText"/>
        <w:rPr>
          <w:b/>
          <w:sz w:val="20"/>
        </w:rPr>
      </w:pPr>
    </w:p>
    <w:p>
      <w:pPr>
        <w:pStyle w:val="BodyText"/>
        <w:rPr>
          <w:b/>
          <w:sz w:val="20"/>
        </w:rPr>
      </w:pPr>
    </w:p>
    <w:p>
      <w:pPr>
        <w:pStyle w:val="Heading3"/>
        <w:spacing w:before="202"/>
        <w:ind w:left="1828"/>
      </w:pPr>
      <w:r>
        <w:rPr/>
        <w:drawing>
          <wp:anchor distT="0" distB="0" distL="0" distR="0" allowOverlap="1" layoutInCell="1" locked="0" behindDoc="0" simplePos="0" relativeHeight="15892992">
            <wp:simplePos x="0" y="0"/>
            <wp:positionH relativeFrom="page">
              <wp:posOffset>1088187</wp:posOffset>
            </wp:positionH>
            <wp:positionV relativeFrom="paragraph">
              <wp:posOffset>181678</wp:posOffset>
            </wp:positionV>
            <wp:extent cx="198830" cy="107346"/>
            <wp:effectExtent l="0" t="0" r="0" b="0"/>
            <wp:wrapNone/>
            <wp:docPr id="671" name="image201.png"/>
            <wp:cNvGraphicFramePr>
              <a:graphicFrameLocks noChangeAspect="1"/>
            </wp:cNvGraphicFramePr>
            <a:graphic>
              <a:graphicData uri="http://schemas.openxmlformats.org/drawingml/2006/picture">
                <pic:pic>
                  <pic:nvPicPr>
                    <pic:cNvPr id="672" name="image201.png"/>
                    <pic:cNvPicPr/>
                  </pic:nvPicPr>
                  <pic:blipFill>
                    <a:blip r:embed="rId270" cstate="print"/>
                    <a:stretch>
                      <a:fillRect/>
                    </a:stretch>
                  </pic:blipFill>
                  <pic:spPr>
                    <a:xfrm>
                      <a:off x="0" y="0"/>
                      <a:ext cx="198830" cy="107346"/>
                    </a:xfrm>
                    <a:prstGeom prst="rect">
                      <a:avLst/>
                    </a:prstGeom>
                  </pic:spPr>
                </pic:pic>
              </a:graphicData>
            </a:graphic>
          </wp:anchor>
        </w:drawing>
      </w:r>
      <w:r>
        <w:rPr>
          <w:color w:val="00643E"/>
        </w:rPr>
        <w:t>Better access to evidence based care for people with chronic pain</w:t>
      </w:r>
    </w:p>
    <w:p>
      <w:pPr>
        <w:pStyle w:val="BodyText"/>
        <w:spacing w:before="8"/>
        <w:rPr>
          <w:b/>
          <w:sz w:val="12"/>
        </w:rPr>
      </w:pPr>
    </w:p>
    <w:p>
      <w:pPr>
        <w:pStyle w:val="BodyText"/>
        <w:spacing w:line="312" w:lineRule="auto" w:before="56"/>
        <w:ind w:left="1262" w:right="1685"/>
      </w:pPr>
      <w:r>
        <w:rPr/>
        <w:t>In its current form, the MBS does not support multidisciplinary, patient-centred approaches to pain management at an adequate dose (number of visits). </w:t>
      </w:r>
      <w:r>
        <w:rPr>
          <w:sz w:val="18"/>
        </w:rPr>
        <w:t>(The Australian Pain Society, 2017) (Healthcare Improvement Scotland, 2013) </w:t>
      </w:r>
      <w:r>
        <w:rPr/>
        <w:t>Best practice management for chronic non-cancer pain involves the understanding of and attention to physical, psychological and sociological factors associated with pain </w:t>
      </w:r>
      <w:r>
        <w:rPr>
          <w:sz w:val="18"/>
        </w:rPr>
        <w:t>(Faculty of Pain Medicine, 2010)</w:t>
      </w:r>
      <w:r>
        <w:rPr/>
        <w:t>. There is also a need for an effective multi- modal approach for at-risk individuals with acute pain to prevent progression to chronicity.</w:t>
      </w:r>
    </w:p>
    <w:p>
      <w:pPr>
        <w:pStyle w:val="BodyText"/>
      </w:pPr>
    </w:p>
    <w:p>
      <w:pPr>
        <w:pStyle w:val="BodyText"/>
        <w:spacing w:before="7"/>
        <w:rPr>
          <w:sz w:val="16"/>
        </w:rPr>
      </w:pPr>
    </w:p>
    <w:p>
      <w:pPr>
        <w:spacing w:line="312" w:lineRule="auto" w:before="0"/>
        <w:ind w:left="1262" w:right="1775" w:firstLine="0"/>
        <w:jc w:val="left"/>
        <w:rPr>
          <w:sz w:val="22"/>
        </w:rPr>
      </w:pPr>
      <w:r>
        <w:rPr>
          <w:sz w:val="22"/>
        </w:rPr>
        <w:t>Effective treatment of chronic pain involves a long-term multidimensional management plan to equip the patient with self-management skills. </w:t>
      </w:r>
      <w:r>
        <w:rPr>
          <w:sz w:val="18"/>
        </w:rPr>
        <w:t>(Australian Commission on Safety and Quality in Health Care, 2015) </w:t>
      </w:r>
      <w:r>
        <w:rPr>
          <w:sz w:val="22"/>
        </w:rPr>
        <w:t>Often this requires multidisciplinary input. Self-management skills can be applied for as long as pain persists and may, in themselves, reduce pain intensity over time. Focusing on just one aspect of management (medications, physical therapy or psychological approaches) is unlikely to lead to optimal outcomes such as maximised daily function </w:t>
      </w:r>
      <w:r>
        <w:rPr>
          <w:sz w:val="18"/>
        </w:rPr>
        <w:t>(Royal Australian College of General Practitioners, 2016)</w:t>
      </w:r>
      <w:r>
        <w:rPr>
          <w:sz w:val="22"/>
        </w:rPr>
        <w:t>.</w:t>
      </w:r>
    </w:p>
    <w:p>
      <w:pPr>
        <w:pStyle w:val="BodyText"/>
        <w:spacing w:line="312" w:lineRule="auto" w:before="120"/>
        <w:ind w:left="1694" w:right="1656"/>
      </w:pPr>
      <w:r>
        <w:rPr/>
        <w:t>Chronic pain is Australia's third most costly health condition after cardiovascular diseases and musculoskeletal conditions (also associated with chronic pain</w:t>
      </w:r>
      <w:r>
        <w:rPr>
          <w:sz w:val="18"/>
        </w:rPr>
        <w:t>)</w:t>
      </w:r>
      <w:r>
        <w:rPr>
          <w:i/>
          <w:sz w:val="18"/>
        </w:rPr>
        <w:t>. </w:t>
      </w:r>
      <w:r>
        <w:rPr/>
        <w:t>The total financial cost of chronic pain in Australia in 2018 was estimated to be $73.2 billion, including</w:t>
      </w:r>
    </w:p>
    <w:p>
      <w:pPr>
        <w:pStyle w:val="BodyText"/>
        <w:spacing w:line="312" w:lineRule="auto"/>
        <w:ind w:left="1694" w:right="1824"/>
      </w:pPr>
      <w:r>
        <w:rPr/>
        <w:t>$12.2 billion in health system costs, $48.3 billion in productivity losses and $12.7 billion in other financial costs, such as informal care, aids and modifications and deadweight losses. (Painaustralia, 2019)</w:t>
      </w:r>
    </w:p>
    <w:p>
      <w:pPr>
        <w:pStyle w:val="BodyText"/>
        <w:spacing w:line="312" w:lineRule="auto" w:before="121"/>
        <w:ind w:left="1262" w:right="1673"/>
      </w:pPr>
      <w:r>
        <w:rPr/>
        <w:t>The Department of Health has acknowledged the current deficiencies in treatment of chronic pain in the </w:t>
      </w:r>
      <w:hyperlink r:id="rId271">
        <w:r>
          <w:rPr>
            <w:color w:val="0000FF"/>
            <w:u w:val="single" w:color="0000FF"/>
          </w:rPr>
          <w:t>National Strategic Action Plan for Pain Management</w:t>
        </w:r>
        <w:r>
          <w:rPr>
            <w:color w:val="0000FF"/>
          </w:rPr>
          <w:t> </w:t>
        </w:r>
      </w:hyperlink>
      <w:r>
        <w:rPr/>
        <w:t>2019. The National Strategic Action Plan for Pain Management 2019 was developed by Painaustralia with funding from the Australian Government Department of Health. The Pain Management Clinical Committee endorse the National Strategic Action Plan and have identified the following elements as being important to the MBS review and vital to effective chronic pain management in Australia:</w:t>
      </w:r>
    </w:p>
    <w:p>
      <w:pPr>
        <w:spacing w:after="0" w:line="312" w:lineRule="auto"/>
        <w:sectPr>
          <w:headerReference w:type="default" r:id="rId268"/>
          <w:footerReference w:type="default" r:id="rId269"/>
          <w:pgSz w:w="11910" w:h="16840"/>
          <w:pgMar w:header="672" w:footer="978" w:top="1300" w:bottom="1160" w:left="440" w:right="140"/>
        </w:sectPr>
      </w:pPr>
    </w:p>
    <w:p>
      <w:pPr>
        <w:pStyle w:val="BodyText"/>
        <w:rPr>
          <w:sz w:val="20"/>
        </w:rPr>
      </w:pPr>
    </w:p>
    <w:p>
      <w:pPr>
        <w:pStyle w:val="BodyText"/>
        <w:spacing w:before="8"/>
        <w:rPr>
          <w:sz w:val="20"/>
        </w:rPr>
      </w:pPr>
    </w:p>
    <w:p>
      <w:pPr>
        <w:pStyle w:val="ListParagraph"/>
        <w:numPr>
          <w:ilvl w:val="0"/>
          <w:numId w:val="23"/>
        </w:numPr>
        <w:tabs>
          <w:tab w:pos="1981" w:val="left" w:leader="none"/>
          <w:tab w:pos="1982" w:val="left" w:leader="none"/>
        </w:tabs>
        <w:spacing w:line="240" w:lineRule="auto" w:before="101" w:after="0"/>
        <w:ind w:left="1982" w:right="0" w:hanging="360"/>
        <w:jc w:val="left"/>
        <w:rPr>
          <w:sz w:val="22"/>
        </w:rPr>
      </w:pPr>
      <w:r>
        <w:rPr>
          <w:sz w:val="22"/>
        </w:rPr>
        <w:t>Access to multidisciplinary care outside of state services (Goal 4</w:t>
      </w:r>
      <w:r>
        <w:rPr>
          <w:spacing w:val="-13"/>
          <w:sz w:val="22"/>
        </w:rPr>
        <w:t> </w:t>
      </w:r>
      <w:r>
        <w:rPr>
          <w:sz w:val="22"/>
        </w:rPr>
        <w:t>NSAPPM)</w:t>
      </w:r>
    </w:p>
    <w:p>
      <w:pPr>
        <w:pStyle w:val="ListParagraph"/>
        <w:numPr>
          <w:ilvl w:val="0"/>
          <w:numId w:val="23"/>
        </w:numPr>
        <w:tabs>
          <w:tab w:pos="1981" w:val="left" w:leader="none"/>
          <w:tab w:pos="1982" w:val="left" w:leader="none"/>
        </w:tabs>
        <w:spacing w:line="240" w:lineRule="auto" w:before="200" w:after="0"/>
        <w:ind w:left="1982" w:right="0" w:hanging="360"/>
        <w:jc w:val="left"/>
        <w:rPr>
          <w:sz w:val="22"/>
        </w:rPr>
      </w:pPr>
      <w:r>
        <w:rPr>
          <w:sz w:val="22"/>
        </w:rPr>
        <w:t>Carefully developed pain management plans (Goal 4.2</w:t>
      </w:r>
      <w:r>
        <w:rPr>
          <w:spacing w:val="-11"/>
          <w:sz w:val="22"/>
        </w:rPr>
        <w:t> </w:t>
      </w:r>
      <w:r>
        <w:rPr>
          <w:sz w:val="22"/>
        </w:rPr>
        <w:t>NSAPPM)</w:t>
      </w:r>
    </w:p>
    <w:p>
      <w:pPr>
        <w:pStyle w:val="ListParagraph"/>
        <w:numPr>
          <w:ilvl w:val="0"/>
          <w:numId w:val="23"/>
        </w:numPr>
        <w:tabs>
          <w:tab w:pos="1981" w:val="left" w:leader="none"/>
          <w:tab w:pos="1982" w:val="left" w:leader="none"/>
        </w:tabs>
        <w:spacing w:line="240" w:lineRule="auto" w:before="199" w:after="0"/>
        <w:ind w:left="1982" w:right="0" w:hanging="360"/>
        <w:jc w:val="left"/>
        <w:rPr>
          <w:sz w:val="22"/>
        </w:rPr>
      </w:pPr>
      <w:r>
        <w:rPr>
          <w:sz w:val="22"/>
        </w:rPr>
        <w:t>Access to an evidence based number of visits to allied health (Goal 4.2</w:t>
      </w:r>
      <w:r>
        <w:rPr>
          <w:spacing w:val="-20"/>
          <w:sz w:val="22"/>
        </w:rPr>
        <w:t> </w:t>
      </w:r>
      <w:r>
        <w:rPr>
          <w:sz w:val="22"/>
        </w:rPr>
        <w:t>NSAPPM)</w:t>
      </w:r>
    </w:p>
    <w:p>
      <w:pPr>
        <w:pStyle w:val="ListParagraph"/>
        <w:numPr>
          <w:ilvl w:val="0"/>
          <w:numId w:val="23"/>
        </w:numPr>
        <w:tabs>
          <w:tab w:pos="1981" w:val="left" w:leader="none"/>
          <w:tab w:pos="1982" w:val="left" w:leader="none"/>
        </w:tabs>
        <w:spacing w:line="240" w:lineRule="auto" w:before="202" w:after="0"/>
        <w:ind w:left="1982" w:right="0" w:hanging="360"/>
        <w:jc w:val="left"/>
        <w:rPr>
          <w:sz w:val="22"/>
        </w:rPr>
      </w:pPr>
      <w:r>
        <w:rPr>
          <w:sz w:val="22"/>
        </w:rPr>
        <w:t>Access to group therapy (Goal 4.3</w:t>
      </w:r>
      <w:r>
        <w:rPr>
          <w:spacing w:val="-9"/>
          <w:sz w:val="22"/>
        </w:rPr>
        <w:t> </w:t>
      </w:r>
      <w:r>
        <w:rPr>
          <w:sz w:val="22"/>
        </w:rPr>
        <w:t>NSAPPM)</w:t>
      </w:r>
    </w:p>
    <w:p>
      <w:pPr>
        <w:pStyle w:val="ListParagraph"/>
        <w:numPr>
          <w:ilvl w:val="0"/>
          <w:numId w:val="23"/>
        </w:numPr>
        <w:tabs>
          <w:tab w:pos="1981" w:val="left" w:leader="none"/>
          <w:tab w:pos="1982" w:val="left" w:leader="none"/>
        </w:tabs>
        <w:spacing w:line="240" w:lineRule="auto" w:before="200" w:after="0"/>
        <w:ind w:left="1982" w:right="0" w:hanging="360"/>
        <w:jc w:val="left"/>
        <w:rPr>
          <w:sz w:val="22"/>
        </w:rPr>
      </w:pPr>
      <w:r>
        <w:rPr>
          <w:sz w:val="22"/>
        </w:rPr>
        <w:t>Access to pain management services via Telehealth (Goal 4.5</w:t>
      </w:r>
      <w:r>
        <w:rPr>
          <w:spacing w:val="-16"/>
          <w:sz w:val="22"/>
        </w:rPr>
        <w:t> </w:t>
      </w:r>
      <w:r>
        <w:rPr>
          <w:sz w:val="22"/>
        </w:rPr>
        <w:t>NSAPPM)</w:t>
      </w:r>
    </w:p>
    <w:p>
      <w:pPr>
        <w:pStyle w:val="BodyText"/>
        <w:rPr>
          <w:sz w:val="28"/>
        </w:rPr>
      </w:pPr>
    </w:p>
    <w:p>
      <w:pPr>
        <w:pStyle w:val="BodyText"/>
        <w:spacing w:before="11"/>
        <w:rPr>
          <w:sz w:val="26"/>
        </w:rPr>
      </w:pPr>
    </w:p>
    <w:p>
      <w:pPr>
        <w:pStyle w:val="BodyText"/>
        <w:spacing w:line="312" w:lineRule="auto"/>
        <w:ind w:left="1262" w:right="1704"/>
      </w:pPr>
      <w:r>
        <w:rPr/>
        <w:t>The Committee believes that these outcomes may be achieved through multiple different options. It is anticipated that the exact MBS mechanisms for the management of chronic pain will be considered in the deliberations of the Allied Health Reference Group and the General Practice Primary Care Clinical Committee in the context of current item numbers, changes occurring as part of the MBS review, current medical practice and Health department policy.</w:t>
      </w:r>
    </w:p>
    <w:p>
      <w:pPr>
        <w:pStyle w:val="BodyText"/>
        <w:spacing w:line="312" w:lineRule="auto" w:before="120"/>
        <w:ind w:left="1262" w:right="1673"/>
      </w:pPr>
      <w:r>
        <w:rPr/>
        <w:t>The Committee has listed multiple options that have the potential to meet these outcomes as outlined in the following sections. These seek to provide the foundations for a robust, effective and efficient approach to multidisciplinary care for chronic pain management via a variety of methods, including face-to-face and group meetings as well as telehealth technologies.</w:t>
      </w:r>
    </w:p>
    <w:p>
      <w:pPr>
        <w:pStyle w:val="Heading4"/>
        <w:numPr>
          <w:ilvl w:val="2"/>
          <w:numId w:val="24"/>
        </w:numPr>
        <w:tabs>
          <w:tab w:pos="1981" w:val="left" w:leader="none"/>
          <w:tab w:pos="1982" w:val="left" w:leader="none"/>
        </w:tabs>
        <w:spacing w:line="309" w:lineRule="auto" w:before="124" w:after="0"/>
        <w:ind w:left="1982" w:right="1986" w:hanging="720"/>
        <w:jc w:val="left"/>
      </w:pPr>
      <w:r>
        <w:rPr/>
        <w:t>Recommendation 26 – Access to multidisciplinary pain management, pain management plans and an evidence based number of allied health</w:t>
      </w:r>
      <w:r>
        <w:rPr>
          <w:spacing w:val="-22"/>
        </w:rPr>
        <w:t> </w:t>
      </w:r>
      <w:r>
        <w:rPr/>
        <w:t>visits</w:t>
      </w:r>
    </w:p>
    <w:p>
      <w:pPr>
        <w:pStyle w:val="BodyText"/>
        <w:spacing w:before="183"/>
        <w:ind w:left="1262"/>
      </w:pPr>
      <w:r>
        <w:rPr/>
        <w:t>The Committee recommends the consideration of a combination of the following options:</w:t>
      </w:r>
    </w:p>
    <w:p>
      <w:pPr>
        <w:pStyle w:val="BodyText"/>
        <w:spacing w:before="2"/>
        <w:rPr>
          <w:sz w:val="21"/>
        </w:rPr>
      </w:pPr>
    </w:p>
    <w:p>
      <w:pPr>
        <w:pStyle w:val="ListParagraph"/>
        <w:numPr>
          <w:ilvl w:val="3"/>
          <w:numId w:val="24"/>
        </w:numPr>
        <w:tabs>
          <w:tab w:pos="1982" w:val="left" w:leader="none"/>
        </w:tabs>
        <w:spacing w:line="312" w:lineRule="auto" w:before="1" w:after="0"/>
        <w:ind w:left="1982" w:right="1665" w:hanging="360"/>
        <w:jc w:val="left"/>
        <w:rPr>
          <w:sz w:val="22"/>
        </w:rPr>
      </w:pPr>
      <w:r>
        <w:rPr>
          <w:sz w:val="22"/>
        </w:rPr>
        <w:t>Modify the current Chronic Disease GP Management Plans and Team Care Arrangements (item numbers 229,721, 230 and 723) to explicitly include chronic</w:t>
      </w:r>
      <w:r>
        <w:rPr>
          <w:spacing w:val="-26"/>
          <w:sz w:val="22"/>
        </w:rPr>
        <w:t> </w:t>
      </w:r>
      <w:r>
        <w:rPr>
          <w:sz w:val="22"/>
        </w:rPr>
        <w:t>pain.</w:t>
      </w:r>
    </w:p>
    <w:p>
      <w:pPr>
        <w:pStyle w:val="BodyText"/>
        <w:ind w:left="1982"/>
      </w:pPr>
      <w:r>
        <w:rPr/>
        <w:t>AND/OR</w:t>
      </w:r>
    </w:p>
    <w:p>
      <w:pPr>
        <w:pStyle w:val="ListParagraph"/>
        <w:numPr>
          <w:ilvl w:val="3"/>
          <w:numId w:val="24"/>
        </w:numPr>
        <w:tabs>
          <w:tab w:pos="1982" w:val="left" w:leader="none"/>
        </w:tabs>
        <w:spacing w:line="240" w:lineRule="auto" w:before="82" w:after="0"/>
        <w:ind w:left="1982" w:right="0" w:hanging="360"/>
        <w:jc w:val="left"/>
        <w:rPr>
          <w:sz w:val="22"/>
        </w:rPr>
      </w:pPr>
      <w:r>
        <w:rPr>
          <w:sz w:val="22"/>
        </w:rPr>
        <w:t>Create a new GP Chronic pain management plan item number</w:t>
      </w:r>
      <w:r>
        <w:rPr>
          <w:spacing w:val="-6"/>
          <w:sz w:val="22"/>
        </w:rPr>
        <w:t> </w:t>
      </w:r>
      <w:r>
        <w:rPr>
          <w:sz w:val="22"/>
        </w:rPr>
        <w:t>AND/OR</w:t>
      </w:r>
    </w:p>
    <w:p>
      <w:pPr>
        <w:pStyle w:val="ListParagraph"/>
        <w:numPr>
          <w:ilvl w:val="3"/>
          <w:numId w:val="24"/>
        </w:numPr>
        <w:tabs>
          <w:tab w:pos="1981" w:val="left" w:leader="none"/>
          <w:tab w:pos="1982" w:val="left" w:leader="none"/>
        </w:tabs>
        <w:spacing w:line="312" w:lineRule="auto" w:before="139" w:after="0"/>
        <w:ind w:left="1982" w:right="1698" w:hanging="360"/>
        <w:jc w:val="left"/>
        <w:rPr>
          <w:sz w:val="22"/>
        </w:rPr>
      </w:pPr>
      <w:r>
        <w:rPr>
          <w:sz w:val="22"/>
        </w:rPr>
        <w:t>Build in a time and complexity tiered approach relating to the number of allied health visits able to be accessed to address the differing levels of need of</w:t>
      </w:r>
      <w:r>
        <w:rPr>
          <w:spacing w:val="-10"/>
          <w:sz w:val="22"/>
        </w:rPr>
        <w:t> </w:t>
      </w:r>
      <w:r>
        <w:rPr>
          <w:sz w:val="22"/>
        </w:rPr>
        <w:t>patients</w:t>
      </w:r>
    </w:p>
    <w:p>
      <w:pPr>
        <w:pStyle w:val="BodyText"/>
        <w:spacing w:before="120"/>
        <w:ind w:left="1694"/>
      </w:pPr>
      <w:r>
        <w:rPr/>
        <w:t>For each option:</w:t>
      </w:r>
    </w:p>
    <w:p>
      <w:pPr>
        <w:pStyle w:val="BodyText"/>
        <w:spacing w:before="7"/>
        <w:rPr>
          <w:sz w:val="16"/>
        </w:rPr>
      </w:pPr>
    </w:p>
    <w:p>
      <w:pPr>
        <w:pStyle w:val="ListParagraph"/>
        <w:numPr>
          <w:ilvl w:val="4"/>
          <w:numId w:val="24"/>
        </w:numPr>
        <w:tabs>
          <w:tab w:pos="2461" w:val="left" w:leader="none"/>
          <w:tab w:pos="2462" w:val="left" w:leader="none"/>
        </w:tabs>
        <w:spacing w:line="309" w:lineRule="auto" w:before="0" w:after="0"/>
        <w:ind w:left="2462" w:right="2097" w:hanging="360"/>
        <w:jc w:val="left"/>
        <w:rPr>
          <w:sz w:val="22"/>
        </w:rPr>
      </w:pPr>
      <w:r>
        <w:rPr>
          <w:sz w:val="22"/>
        </w:rPr>
        <w:t>completion of a plan for chronic pain would allow eligible patients to access rebates for a number of relevant allied health</w:t>
      </w:r>
      <w:r>
        <w:rPr>
          <w:spacing w:val="-9"/>
          <w:sz w:val="22"/>
        </w:rPr>
        <w:t> </w:t>
      </w:r>
      <w:r>
        <w:rPr>
          <w:sz w:val="22"/>
        </w:rPr>
        <w:t>visits</w:t>
      </w:r>
    </w:p>
    <w:p>
      <w:pPr>
        <w:pStyle w:val="ListParagraph"/>
        <w:numPr>
          <w:ilvl w:val="4"/>
          <w:numId w:val="24"/>
        </w:numPr>
        <w:tabs>
          <w:tab w:pos="2461" w:val="left" w:leader="none"/>
          <w:tab w:pos="2462" w:val="left" w:leader="none"/>
        </w:tabs>
        <w:spacing w:line="309" w:lineRule="auto" w:before="126" w:after="0"/>
        <w:ind w:left="2462" w:right="1755" w:hanging="360"/>
        <w:jc w:val="left"/>
        <w:rPr>
          <w:sz w:val="22"/>
        </w:rPr>
      </w:pPr>
      <w:r>
        <w:rPr>
          <w:sz w:val="22"/>
        </w:rPr>
        <w:t>A form of shared medical record must be used between members of the team for ongoing care of the chronic pain patient to facilitate communication with all members of the multidisciplinary</w:t>
      </w:r>
      <w:r>
        <w:rPr>
          <w:spacing w:val="-8"/>
          <w:sz w:val="22"/>
        </w:rPr>
        <w:t> </w:t>
      </w:r>
      <w:r>
        <w:rPr>
          <w:sz w:val="22"/>
        </w:rPr>
        <w:t>team.</w:t>
      </w:r>
    </w:p>
    <w:p>
      <w:pPr>
        <w:spacing w:after="0" w:line="309" w:lineRule="auto"/>
        <w:jc w:val="left"/>
        <w:rPr>
          <w:sz w:val="22"/>
        </w:rPr>
        <w:sectPr>
          <w:pgSz w:w="11910" w:h="16840"/>
          <w:pgMar w:header="672" w:footer="978" w:top="1300" w:bottom="1160" w:left="440" w:right="140"/>
        </w:sectPr>
      </w:pPr>
    </w:p>
    <w:p>
      <w:pPr>
        <w:pStyle w:val="BodyText"/>
        <w:rPr>
          <w:sz w:val="20"/>
        </w:rPr>
      </w:pPr>
    </w:p>
    <w:p>
      <w:pPr>
        <w:pStyle w:val="BodyText"/>
        <w:spacing w:before="8"/>
        <w:rPr>
          <w:sz w:val="24"/>
        </w:rPr>
      </w:pPr>
    </w:p>
    <w:p>
      <w:pPr>
        <w:pStyle w:val="ListParagraph"/>
        <w:numPr>
          <w:ilvl w:val="0"/>
          <w:numId w:val="25"/>
        </w:numPr>
        <w:tabs>
          <w:tab w:pos="2191" w:val="left" w:leader="none"/>
        </w:tabs>
        <w:spacing w:line="307" w:lineRule="auto" w:before="52" w:after="0"/>
        <w:ind w:left="2190" w:right="1821" w:hanging="360"/>
        <w:jc w:val="left"/>
        <w:rPr>
          <w:sz w:val="22"/>
        </w:rPr>
      </w:pPr>
      <w:r>
        <w:rPr>
          <w:sz w:val="22"/>
        </w:rPr>
        <w:t>modify the current Chronic Disease Items (items 132 and 133) to explicitly include chronic pain as a chronic disease and allow specialist pain medicine physicians access to development of the pain aspect of the plan</w:t>
      </w:r>
      <w:r>
        <w:rPr>
          <w:spacing w:val="-13"/>
          <w:sz w:val="22"/>
        </w:rPr>
        <w:t> </w:t>
      </w:r>
      <w:r>
        <w:rPr>
          <w:sz w:val="22"/>
        </w:rPr>
        <w:t>AND/OR</w:t>
      </w:r>
    </w:p>
    <w:p>
      <w:pPr>
        <w:pStyle w:val="ListParagraph"/>
        <w:numPr>
          <w:ilvl w:val="0"/>
          <w:numId w:val="25"/>
        </w:numPr>
        <w:tabs>
          <w:tab w:pos="2191" w:val="left" w:leader="none"/>
        </w:tabs>
        <w:spacing w:line="307" w:lineRule="auto" w:before="3" w:after="0"/>
        <w:ind w:left="2190" w:right="1904" w:hanging="360"/>
        <w:jc w:val="left"/>
        <w:rPr>
          <w:sz w:val="22"/>
        </w:rPr>
      </w:pPr>
      <w:r>
        <w:rPr>
          <w:sz w:val="22"/>
        </w:rPr>
        <w:t>Introduce a multidisciplinary Chronic Pain Management Plan option for specialist Pain medicine physicians, similar to how Psychiatrists can develop a Psychiatric Assessment and Management Plan (item</w:t>
      </w:r>
      <w:r>
        <w:rPr>
          <w:spacing w:val="-8"/>
          <w:sz w:val="22"/>
        </w:rPr>
        <w:t> </w:t>
      </w:r>
      <w:r>
        <w:rPr>
          <w:sz w:val="22"/>
        </w:rPr>
        <w:t>291)</w:t>
      </w:r>
    </w:p>
    <w:p>
      <w:pPr>
        <w:spacing w:before="63"/>
        <w:ind w:left="1694" w:right="0" w:firstLine="0"/>
        <w:jc w:val="left"/>
        <w:rPr>
          <w:i/>
          <w:sz w:val="22"/>
        </w:rPr>
      </w:pPr>
      <w:r>
        <w:rPr>
          <w:i/>
          <w:sz w:val="22"/>
        </w:rPr>
        <w:t>AND/OR</w:t>
      </w:r>
    </w:p>
    <w:p>
      <w:pPr>
        <w:pStyle w:val="BodyText"/>
        <w:spacing w:before="6"/>
        <w:rPr>
          <w:i/>
          <w:sz w:val="16"/>
        </w:rPr>
      </w:pPr>
    </w:p>
    <w:p>
      <w:pPr>
        <w:pStyle w:val="BodyText"/>
        <w:spacing w:line="312" w:lineRule="auto"/>
        <w:ind w:left="2190" w:right="2098"/>
      </w:pPr>
      <w:r>
        <w:rPr/>
        <w:t>Build in a time and complexity tiered approach relating to the number of allied health visits able to be accessed by specialist pain medicine physician referral.</w:t>
      </w:r>
    </w:p>
    <w:p>
      <w:pPr>
        <w:pStyle w:val="BodyText"/>
        <w:spacing w:before="121"/>
        <w:ind w:left="1694"/>
      </w:pPr>
      <w:r>
        <w:rPr/>
        <w:t>For each option:</w:t>
      </w:r>
    </w:p>
    <w:p>
      <w:pPr>
        <w:pStyle w:val="BodyText"/>
        <w:spacing w:before="4"/>
        <w:rPr>
          <w:sz w:val="16"/>
        </w:rPr>
      </w:pPr>
    </w:p>
    <w:p>
      <w:pPr>
        <w:pStyle w:val="ListParagraph"/>
        <w:numPr>
          <w:ilvl w:val="1"/>
          <w:numId w:val="25"/>
        </w:numPr>
        <w:tabs>
          <w:tab w:pos="2461" w:val="left" w:leader="none"/>
          <w:tab w:pos="2462" w:val="left" w:leader="none"/>
        </w:tabs>
        <w:spacing w:line="309" w:lineRule="auto" w:before="1" w:after="0"/>
        <w:ind w:left="2462" w:right="2097" w:hanging="360"/>
        <w:jc w:val="left"/>
        <w:rPr>
          <w:sz w:val="22"/>
        </w:rPr>
      </w:pPr>
      <w:r>
        <w:rPr>
          <w:sz w:val="22"/>
        </w:rPr>
        <w:t>completion of a plan for chronic pain would allow eligible patients to access rebates for a number of relevant allied health</w:t>
      </w:r>
      <w:r>
        <w:rPr>
          <w:spacing w:val="-9"/>
          <w:sz w:val="22"/>
        </w:rPr>
        <w:t> </w:t>
      </w:r>
      <w:r>
        <w:rPr>
          <w:sz w:val="22"/>
        </w:rPr>
        <w:t>visits.</w:t>
      </w:r>
    </w:p>
    <w:p>
      <w:pPr>
        <w:pStyle w:val="ListParagraph"/>
        <w:numPr>
          <w:ilvl w:val="1"/>
          <w:numId w:val="25"/>
        </w:numPr>
        <w:tabs>
          <w:tab w:pos="2461" w:val="left" w:leader="none"/>
          <w:tab w:pos="2462" w:val="left" w:leader="none"/>
        </w:tabs>
        <w:spacing w:line="309" w:lineRule="auto" w:before="125" w:after="0"/>
        <w:ind w:left="2462" w:right="1834" w:hanging="360"/>
        <w:jc w:val="left"/>
        <w:rPr>
          <w:sz w:val="22"/>
        </w:rPr>
      </w:pPr>
      <w:r>
        <w:rPr>
          <w:sz w:val="22"/>
        </w:rPr>
        <w:t>The Committee recognises the need to keep GPs as a key part of the treating team, and as such, the patients regular GP would always need to be one of the multidisciplinary team and have opportunity to input into the</w:t>
      </w:r>
      <w:r>
        <w:rPr>
          <w:spacing w:val="-7"/>
          <w:sz w:val="22"/>
        </w:rPr>
        <w:t> </w:t>
      </w:r>
      <w:r>
        <w:rPr>
          <w:sz w:val="22"/>
        </w:rPr>
        <w:t>plan.</w:t>
      </w:r>
    </w:p>
    <w:p>
      <w:pPr>
        <w:pStyle w:val="ListParagraph"/>
        <w:numPr>
          <w:ilvl w:val="1"/>
          <w:numId w:val="25"/>
        </w:numPr>
        <w:tabs>
          <w:tab w:pos="2461" w:val="left" w:leader="none"/>
          <w:tab w:pos="2462" w:val="left" w:leader="none"/>
        </w:tabs>
        <w:spacing w:line="309" w:lineRule="auto" w:before="127" w:after="0"/>
        <w:ind w:left="2462" w:right="1755" w:hanging="360"/>
        <w:jc w:val="left"/>
        <w:rPr>
          <w:sz w:val="22"/>
        </w:rPr>
      </w:pPr>
      <w:r>
        <w:rPr>
          <w:sz w:val="22"/>
        </w:rPr>
        <w:t>A form of shared medical record must be used between members of the team for ongoing care of the chronic pain patient to facilitate communication with all members of the multidisciplinary</w:t>
      </w:r>
      <w:r>
        <w:rPr>
          <w:spacing w:val="-7"/>
          <w:sz w:val="22"/>
        </w:rPr>
        <w:t> </w:t>
      </w:r>
      <w:r>
        <w:rPr>
          <w:sz w:val="22"/>
        </w:rPr>
        <w:t>team.</w:t>
      </w:r>
    </w:p>
    <w:p>
      <w:pPr>
        <w:pStyle w:val="BodyText"/>
        <w:spacing w:before="129"/>
        <w:ind w:left="1262"/>
      </w:pPr>
      <w:r>
        <w:rPr/>
        <w:t>Introduce multidisciplinary initial assessment items for each member of the treating team</w:t>
      </w:r>
    </w:p>
    <w:p>
      <w:pPr>
        <w:pStyle w:val="BodyText"/>
        <w:spacing w:before="4"/>
        <w:rPr>
          <w:sz w:val="21"/>
        </w:rPr>
      </w:pPr>
    </w:p>
    <w:p>
      <w:pPr>
        <w:pStyle w:val="ListParagraph"/>
        <w:numPr>
          <w:ilvl w:val="0"/>
          <w:numId w:val="26"/>
        </w:numPr>
        <w:tabs>
          <w:tab w:pos="1982" w:val="left" w:leader="none"/>
        </w:tabs>
        <w:spacing w:line="240" w:lineRule="auto" w:before="0" w:after="0"/>
        <w:ind w:left="1982" w:right="0" w:hanging="360"/>
        <w:jc w:val="left"/>
        <w:rPr>
          <w:sz w:val="22"/>
        </w:rPr>
      </w:pPr>
      <w:r>
        <w:rPr>
          <w:sz w:val="22"/>
        </w:rPr>
        <w:t>Multidisciplinary Chronic Pain Management Plan review</w:t>
      </w:r>
      <w:r>
        <w:rPr>
          <w:spacing w:val="-8"/>
          <w:sz w:val="22"/>
        </w:rPr>
        <w:t> </w:t>
      </w:r>
      <w:r>
        <w:rPr>
          <w:sz w:val="22"/>
        </w:rPr>
        <w:t>item,</w:t>
      </w:r>
    </w:p>
    <w:p>
      <w:pPr>
        <w:spacing w:before="82"/>
        <w:ind w:left="1982" w:right="0" w:firstLine="0"/>
        <w:jc w:val="left"/>
        <w:rPr>
          <w:i/>
          <w:sz w:val="22"/>
        </w:rPr>
      </w:pPr>
      <w:r>
        <w:rPr>
          <w:i/>
          <w:sz w:val="22"/>
        </w:rPr>
        <w:t>AND/OR</w:t>
      </w:r>
    </w:p>
    <w:p>
      <w:pPr>
        <w:pStyle w:val="ListParagraph"/>
        <w:numPr>
          <w:ilvl w:val="0"/>
          <w:numId w:val="26"/>
        </w:numPr>
        <w:tabs>
          <w:tab w:pos="1982" w:val="left" w:leader="none"/>
        </w:tabs>
        <w:spacing w:line="240" w:lineRule="auto" w:before="79" w:after="0"/>
        <w:ind w:left="1982" w:right="0" w:hanging="360"/>
        <w:jc w:val="left"/>
        <w:rPr>
          <w:sz w:val="22"/>
        </w:rPr>
      </w:pPr>
      <w:r>
        <w:rPr>
          <w:sz w:val="22"/>
        </w:rPr>
        <w:t>Access to case conferencing, available to each member of the treating</w:t>
      </w:r>
      <w:r>
        <w:rPr>
          <w:spacing w:val="-15"/>
          <w:sz w:val="22"/>
        </w:rPr>
        <w:t> </w:t>
      </w:r>
      <w:r>
        <w:rPr>
          <w:sz w:val="22"/>
        </w:rPr>
        <w:t>team.</w:t>
      </w:r>
    </w:p>
    <w:p>
      <w:pPr>
        <w:pStyle w:val="BodyText"/>
        <w:spacing w:before="3"/>
        <w:rPr>
          <w:sz w:val="21"/>
        </w:rPr>
      </w:pPr>
    </w:p>
    <w:p>
      <w:pPr>
        <w:pStyle w:val="BodyText"/>
        <w:ind w:left="1262"/>
      </w:pPr>
      <w:r>
        <w:rPr/>
        <w:t>For all options:</w:t>
      </w:r>
    </w:p>
    <w:p>
      <w:pPr>
        <w:pStyle w:val="BodyText"/>
        <w:spacing w:line="312" w:lineRule="auto" w:before="154"/>
        <w:ind w:left="2123" w:right="1668"/>
      </w:pPr>
      <w:r>
        <w:rPr/>
        <w:drawing>
          <wp:anchor distT="0" distB="0" distL="0" distR="0" allowOverlap="1" layoutInCell="1" locked="0" behindDoc="0" simplePos="0" relativeHeight="15893504">
            <wp:simplePos x="0" y="0"/>
            <wp:positionH relativeFrom="page">
              <wp:posOffset>1362646</wp:posOffset>
            </wp:positionH>
            <wp:positionV relativeFrom="paragraph">
              <wp:posOffset>166098</wp:posOffset>
            </wp:positionV>
            <wp:extent cx="52387" cy="52387"/>
            <wp:effectExtent l="0" t="0" r="0" b="0"/>
            <wp:wrapNone/>
            <wp:docPr id="673" name="image176.png"/>
            <wp:cNvGraphicFramePr>
              <a:graphicFrameLocks noChangeAspect="1"/>
            </wp:cNvGraphicFramePr>
            <a:graphic>
              <a:graphicData uri="http://schemas.openxmlformats.org/drawingml/2006/picture">
                <pic:pic>
                  <pic:nvPicPr>
                    <pic:cNvPr id="674" name="image176.png"/>
                    <pic:cNvPicPr/>
                  </pic:nvPicPr>
                  <pic:blipFill>
                    <a:blip r:embed="rId184" cstate="print"/>
                    <a:stretch>
                      <a:fillRect/>
                    </a:stretch>
                  </pic:blipFill>
                  <pic:spPr>
                    <a:xfrm>
                      <a:off x="0" y="0"/>
                      <a:ext cx="52387" cy="52387"/>
                    </a:xfrm>
                    <a:prstGeom prst="rect">
                      <a:avLst/>
                    </a:prstGeom>
                  </pic:spPr>
                </pic:pic>
              </a:graphicData>
            </a:graphic>
          </wp:anchor>
        </w:drawing>
      </w:r>
      <w:r>
        <w:rPr/>
        <w:t>All participants should be trained in chronic pain management as determined by the relevant colleges or professional bodies.</w:t>
      </w:r>
    </w:p>
    <w:p>
      <w:pPr>
        <w:pStyle w:val="BodyText"/>
        <w:spacing w:line="312" w:lineRule="auto" w:before="132"/>
        <w:ind w:left="2123" w:right="1735"/>
      </w:pPr>
      <w:r>
        <w:rPr/>
        <w:drawing>
          <wp:anchor distT="0" distB="0" distL="0" distR="0" allowOverlap="1" layoutInCell="1" locked="0" behindDoc="0" simplePos="0" relativeHeight="15894016">
            <wp:simplePos x="0" y="0"/>
            <wp:positionH relativeFrom="page">
              <wp:posOffset>1362646</wp:posOffset>
            </wp:positionH>
            <wp:positionV relativeFrom="paragraph">
              <wp:posOffset>152128</wp:posOffset>
            </wp:positionV>
            <wp:extent cx="52387" cy="52387"/>
            <wp:effectExtent l="0" t="0" r="0" b="0"/>
            <wp:wrapNone/>
            <wp:docPr id="675" name="image176.png"/>
            <wp:cNvGraphicFramePr>
              <a:graphicFrameLocks noChangeAspect="1"/>
            </wp:cNvGraphicFramePr>
            <a:graphic>
              <a:graphicData uri="http://schemas.openxmlformats.org/drawingml/2006/picture">
                <pic:pic>
                  <pic:nvPicPr>
                    <pic:cNvPr id="676" name="image176.png"/>
                    <pic:cNvPicPr/>
                  </pic:nvPicPr>
                  <pic:blipFill>
                    <a:blip r:embed="rId184" cstate="print"/>
                    <a:stretch>
                      <a:fillRect/>
                    </a:stretch>
                  </pic:blipFill>
                  <pic:spPr>
                    <a:xfrm>
                      <a:off x="0" y="0"/>
                      <a:ext cx="52387" cy="52387"/>
                    </a:xfrm>
                    <a:prstGeom prst="rect">
                      <a:avLst/>
                    </a:prstGeom>
                  </pic:spPr>
                </pic:pic>
              </a:graphicData>
            </a:graphic>
          </wp:anchor>
        </w:drawing>
      </w:r>
      <w:r>
        <w:rPr/>
        <w:t>There must be specific communication between members of the pain management team regarding review of progress and recommended future needs.</w:t>
      </w:r>
    </w:p>
    <w:p>
      <w:pPr>
        <w:pStyle w:val="ListParagraph"/>
        <w:numPr>
          <w:ilvl w:val="0"/>
          <w:numId w:val="27"/>
        </w:numPr>
        <w:tabs>
          <w:tab w:pos="3493" w:val="left" w:leader="none"/>
          <w:tab w:pos="3494" w:val="left" w:leader="none"/>
        </w:tabs>
        <w:spacing w:line="312" w:lineRule="auto" w:before="121" w:after="0"/>
        <w:ind w:left="3494" w:right="1762" w:hanging="720"/>
        <w:jc w:val="left"/>
        <w:rPr>
          <w:sz w:val="22"/>
        </w:rPr>
      </w:pPr>
      <w:r>
        <w:rPr>
          <w:sz w:val="22"/>
        </w:rPr>
        <w:t>The review mechanism could potentially unlock access to additional relevant allied health rebates if</w:t>
      </w:r>
      <w:r>
        <w:rPr>
          <w:spacing w:val="-1"/>
          <w:sz w:val="22"/>
        </w:rPr>
        <w:t> </w:t>
      </w:r>
      <w:r>
        <w:rPr>
          <w:sz w:val="22"/>
        </w:rPr>
        <w:t>required.</w:t>
      </w:r>
    </w:p>
    <w:p>
      <w:pPr>
        <w:pStyle w:val="ListParagraph"/>
        <w:numPr>
          <w:ilvl w:val="0"/>
          <w:numId w:val="27"/>
        </w:numPr>
        <w:tabs>
          <w:tab w:pos="3493" w:val="left" w:leader="none"/>
          <w:tab w:pos="3494" w:val="left" w:leader="none"/>
        </w:tabs>
        <w:spacing w:line="312" w:lineRule="auto" w:before="120" w:after="0"/>
        <w:ind w:left="3494" w:right="1786" w:hanging="720"/>
        <w:jc w:val="left"/>
        <w:rPr>
          <w:sz w:val="22"/>
        </w:rPr>
      </w:pPr>
      <w:r>
        <w:rPr>
          <w:sz w:val="22"/>
        </w:rPr>
        <w:t>Review may or may not require case conferencing - documented communication in a shared medical record between all members of the team regarding progress and future needs would be</w:t>
      </w:r>
      <w:r>
        <w:rPr>
          <w:spacing w:val="-11"/>
          <w:sz w:val="22"/>
        </w:rPr>
        <w:t> </w:t>
      </w:r>
      <w:r>
        <w:rPr>
          <w:sz w:val="22"/>
        </w:rPr>
        <w:t>adequate.</w:t>
      </w:r>
    </w:p>
    <w:p>
      <w:pPr>
        <w:spacing w:after="0" w:line="312" w:lineRule="auto"/>
        <w:jc w:val="left"/>
        <w:rPr>
          <w:sz w:val="22"/>
        </w:rPr>
        <w:sectPr>
          <w:pgSz w:w="11910" w:h="16840"/>
          <w:pgMar w:header="672" w:footer="978" w:top="1300" w:bottom="1160" w:left="440" w:right="140"/>
        </w:sectPr>
      </w:pPr>
    </w:p>
    <w:p>
      <w:pPr>
        <w:pStyle w:val="BodyText"/>
        <w:rPr>
          <w:sz w:val="20"/>
        </w:rPr>
      </w:pPr>
    </w:p>
    <w:p>
      <w:pPr>
        <w:pStyle w:val="BodyText"/>
        <w:spacing w:before="11"/>
        <w:rPr>
          <w:sz w:val="24"/>
        </w:rPr>
      </w:pPr>
    </w:p>
    <w:p>
      <w:pPr>
        <w:pStyle w:val="Heading4"/>
        <w:tabs>
          <w:tab w:pos="2397" w:val="left" w:leader="none"/>
        </w:tabs>
        <w:ind w:left="1262" w:firstLine="0"/>
      </w:pPr>
      <w:r>
        <w:rPr/>
        <w:t>7.1.1.1</w:t>
        <w:tab/>
        <w:t>Rationale for improving access to multidisciplinary</w:t>
      </w:r>
      <w:r>
        <w:rPr>
          <w:spacing w:val="-5"/>
        </w:rPr>
        <w:t> </w:t>
      </w:r>
      <w:r>
        <w:rPr/>
        <w:t>care</w:t>
      </w:r>
    </w:p>
    <w:p>
      <w:pPr>
        <w:pStyle w:val="BodyText"/>
        <w:spacing w:before="7"/>
        <w:rPr>
          <w:b/>
          <w:sz w:val="21"/>
        </w:rPr>
      </w:pPr>
    </w:p>
    <w:p>
      <w:pPr>
        <w:pStyle w:val="BodyText"/>
        <w:spacing w:line="312" w:lineRule="auto" w:before="1"/>
        <w:ind w:left="1262" w:right="1957"/>
      </w:pPr>
      <w:r>
        <w:rPr/>
        <w:t>These recommendations focus on ensuring improved patient care, collaboration between members of the health system, implementing best practice and continuing effective use of the health system. It is based on the following assessment:</w:t>
      </w:r>
    </w:p>
    <w:p>
      <w:pPr>
        <w:pStyle w:val="BodyText"/>
        <w:spacing w:line="312" w:lineRule="auto" w:before="73"/>
        <w:ind w:left="2123" w:right="1691"/>
      </w:pPr>
      <w:r>
        <w:rPr>
          <w:b/>
        </w:rPr>
        <w:t>Multidisciplinary care </w:t>
      </w:r>
      <w:r>
        <w:rPr>
          <w:sz w:val="18"/>
        </w:rPr>
        <w:t>(NSW Agency for Clinical Innovation, 2015)</w:t>
      </w:r>
      <w:r>
        <w:rPr/>
        <w:t>: Access to multidisciplinary teams for assessment, participation in the development of a management plan, and review enables people with chronic pain to learn to self- manage, optimise medical therapy, and be supported through any required rehabilitation or retraining </w:t>
      </w:r>
      <w:r>
        <w:rPr>
          <w:sz w:val="18"/>
        </w:rPr>
        <w:t>(cancer.org.au, n.d.)</w:t>
      </w:r>
      <w:r>
        <w:rPr/>
        <w:t>. The ideal team will vary between individuals, determined by the severity and type of their pain, but may include health professionals from general practice, physiotherapy, psychology, exercise physiology, occupational therapy, and pharmacy along with specialist pain medicine physicians.</w:t>
      </w:r>
    </w:p>
    <w:p>
      <w:pPr>
        <w:pStyle w:val="BodyText"/>
        <w:spacing w:line="312" w:lineRule="auto" w:before="132"/>
        <w:ind w:left="2123" w:right="1734"/>
      </w:pPr>
      <w:r>
        <w:rPr/>
        <w:drawing>
          <wp:anchor distT="0" distB="0" distL="0" distR="0" allowOverlap="1" layoutInCell="1" locked="0" behindDoc="0" simplePos="0" relativeHeight="15894528">
            <wp:simplePos x="0" y="0"/>
            <wp:positionH relativeFrom="page">
              <wp:posOffset>1362646</wp:posOffset>
            </wp:positionH>
            <wp:positionV relativeFrom="paragraph">
              <wp:posOffset>152382</wp:posOffset>
            </wp:positionV>
            <wp:extent cx="52387" cy="52387"/>
            <wp:effectExtent l="0" t="0" r="0" b="0"/>
            <wp:wrapNone/>
            <wp:docPr id="681" name="image176.png"/>
            <wp:cNvGraphicFramePr>
              <a:graphicFrameLocks noChangeAspect="1"/>
            </wp:cNvGraphicFramePr>
            <a:graphic>
              <a:graphicData uri="http://schemas.openxmlformats.org/drawingml/2006/picture">
                <pic:pic>
                  <pic:nvPicPr>
                    <pic:cNvPr id="682" name="image176.png"/>
                    <pic:cNvPicPr/>
                  </pic:nvPicPr>
                  <pic:blipFill>
                    <a:blip r:embed="rId184" cstate="print"/>
                    <a:stretch>
                      <a:fillRect/>
                    </a:stretch>
                  </pic:blipFill>
                  <pic:spPr>
                    <a:xfrm>
                      <a:off x="0" y="0"/>
                      <a:ext cx="52387" cy="52387"/>
                    </a:xfrm>
                    <a:prstGeom prst="rect">
                      <a:avLst/>
                    </a:prstGeom>
                  </pic:spPr>
                </pic:pic>
              </a:graphicData>
            </a:graphic>
          </wp:anchor>
        </w:drawing>
      </w:r>
      <w:r>
        <w:rPr>
          <w:b/>
        </w:rPr>
        <w:t>Chronic pain as a chronic disease: </w:t>
      </w:r>
      <w:r>
        <w:rPr/>
        <w:t>Chronic pain is recognised as a chronic disease and, as such, it should be listed in MBS material that relates to chronic disease item numbers to prevent confusion. Current chronic disease items may be suitable for those who do not have other comorbidities and less complex pain management needs.</w:t>
      </w:r>
    </w:p>
    <w:p>
      <w:pPr>
        <w:pStyle w:val="BodyText"/>
        <w:spacing w:line="312" w:lineRule="auto" w:before="131"/>
        <w:ind w:left="2123" w:right="1910"/>
      </w:pPr>
      <w:r>
        <w:rPr/>
        <w:drawing>
          <wp:anchor distT="0" distB="0" distL="0" distR="0" allowOverlap="1" layoutInCell="1" locked="0" behindDoc="0" simplePos="0" relativeHeight="15895040">
            <wp:simplePos x="0" y="0"/>
            <wp:positionH relativeFrom="page">
              <wp:posOffset>1362646</wp:posOffset>
            </wp:positionH>
            <wp:positionV relativeFrom="paragraph">
              <wp:posOffset>151747</wp:posOffset>
            </wp:positionV>
            <wp:extent cx="52387" cy="52387"/>
            <wp:effectExtent l="0" t="0" r="0" b="0"/>
            <wp:wrapNone/>
            <wp:docPr id="683" name="image175.png"/>
            <wp:cNvGraphicFramePr>
              <a:graphicFrameLocks noChangeAspect="1"/>
            </wp:cNvGraphicFramePr>
            <a:graphic>
              <a:graphicData uri="http://schemas.openxmlformats.org/drawingml/2006/picture">
                <pic:pic>
                  <pic:nvPicPr>
                    <pic:cNvPr id="684" name="image175.png"/>
                    <pic:cNvPicPr/>
                  </pic:nvPicPr>
                  <pic:blipFill>
                    <a:blip r:embed="rId183" cstate="print"/>
                    <a:stretch>
                      <a:fillRect/>
                    </a:stretch>
                  </pic:blipFill>
                  <pic:spPr>
                    <a:xfrm>
                      <a:off x="0" y="0"/>
                      <a:ext cx="52387" cy="52387"/>
                    </a:xfrm>
                    <a:prstGeom prst="rect">
                      <a:avLst/>
                    </a:prstGeom>
                  </pic:spPr>
                </pic:pic>
              </a:graphicData>
            </a:graphic>
          </wp:anchor>
        </w:drawing>
      </w:r>
      <w:r>
        <w:rPr>
          <w:b/>
        </w:rPr>
        <w:t>A separate Chronic Pain Management plan: </w:t>
      </w:r>
      <w:r>
        <w:rPr/>
        <w:t>Many people who have chronic pain also have an additional chronic disease, such as diabetes. For these people, allied health visits available under GP chronic disease items are rapidly used in the management of the other chronic disease, leaving no allied health visits available for management of their chronic pain. A separate Chronic Pain Management plan would allow multidisciplinary management of both chronic pain and other comorbidities.</w:t>
      </w:r>
    </w:p>
    <w:p>
      <w:pPr>
        <w:pStyle w:val="BodyText"/>
        <w:spacing w:line="312" w:lineRule="auto" w:before="132"/>
        <w:ind w:left="2123" w:right="1684"/>
      </w:pPr>
      <w:r>
        <w:rPr/>
        <w:drawing>
          <wp:anchor distT="0" distB="0" distL="0" distR="0" allowOverlap="1" layoutInCell="1" locked="0" behindDoc="0" simplePos="0" relativeHeight="15895552">
            <wp:simplePos x="0" y="0"/>
            <wp:positionH relativeFrom="page">
              <wp:posOffset>1362646</wp:posOffset>
            </wp:positionH>
            <wp:positionV relativeFrom="paragraph">
              <wp:posOffset>152128</wp:posOffset>
            </wp:positionV>
            <wp:extent cx="52387" cy="52387"/>
            <wp:effectExtent l="0" t="0" r="0" b="0"/>
            <wp:wrapNone/>
            <wp:docPr id="685" name="image176.png"/>
            <wp:cNvGraphicFramePr>
              <a:graphicFrameLocks noChangeAspect="1"/>
            </wp:cNvGraphicFramePr>
            <a:graphic>
              <a:graphicData uri="http://schemas.openxmlformats.org/drawingml/2006/picture">
                <pic:pic>
                  <pic:nvPicPr>
                    <pic:cNvPr id="686" name="image176.png"/>
                    <pic:cNvPicPr/>
                  </pic:nvPicPr>
                  <pic:blipFill>
                    <a:blip r:embed="rId184" cstate="print"/>
                    <a:stretch>
                      <a:fillRect/>
                    </a:stretch>
                  </pic:blipFill>
                  <pic:spPr>
                    <a:xfrm>
                      <a:off x="0" y="0"/>
                      <a:ext cx="52387" cy="52387"/>
                    </a:xfrm>
                    <a:prstGeom prst="rect">
                      <a:avLst/>
                    </a:prstGeom>
                  </pic:spPr>
                </pic:pic>
              </a:graphicData>
            </a:graphic>
          </wp:anchor>
        </w:drawing>
      </w:r>
      <w:r>
        <w:rPr>
          <w:b/>
        </w:rPr>
        <w:t>Better Access Initiative Mental Health framework as a model: </w:t>
      </w:r>
      <w:r>
        <w:rPr/>
        <w:t>The GP mental health items (items </w:t>
      </w:r>
      <w:hyperlink r:id="rId274">
        <w:r>
          <w:rPr/>
          <w:t>2700 to 2717</w:t>
        </w:r>
      </w:hyperlink>
      <w:r>
        <w:rPr/>
        <w:t>) have provided a structured framework for GPs to undertake early intervention, assessment and management of patients with mental health disorders, as well as providing referral pathways to clinical psychologists, health psychologists, and appropriately trained social workers and occupational therapists. The Committee suggests that a multidisciplinary chronic pain management framework might be developed using the mental health framework as a model (items 2700 to 2717 and the supporting accreditation and training). This would put well trained GPs at the centre of chronic pain care and enable a patient with chronic pain greater access to allied health services, such as physiotherapy, psychology and occupational therapy services.</w:t>
      </w:r>
    </w:p>
    <w:p>
      <w:pPr>
        <w:spacing w:after="0" w:line="312" w:lineRule="auto"/>
        <w:sectPr>
          <w:headerReference w:type="default" r:id="rId272"/>
          <w:footerReference w:type="default" r:id="rId273"/>
          <w:pgSz w:w="11910" w:h="16840"/>
          <w:pgMar w:header="672" w:footer="978" w:top="1300" w:bottom="1160" w:left="440" w:right="140"/>
        </w:sectPr>
      </w:pPr>
    </w:p>
    <w:p>
      <w:pPr>
        <w:pStyle w:val="BodyText"/>
        <w:rPr>
          <w:sz w:val="20"/>
        </w:rPr>
      </w:pPr>
    </w:p>
    <w:p>
      <w:pPr>
        <w:pStyle w:val="BodyText"/>
        <w:spacing w:before="3"/>
        <w:rPr>
          <w:sz w:val="24"/>
        </w:rPr>
      </w:pPr>
    </w:p>
    <w:p>
      <w:pPr>
        <w:pStyle w:val="BodyText"/>
        <w:spacing w:line="312" w:lineRule="auto" w:before="57"/>
        <w:ind w:left="2123" w:right="1682"/>
      </w:pPr>
      <w:r>
        <w:rPr/>
        <w:t>Brief, targeted mental health training under the mental health framework is used to help GPs further develop and improve their skills in diagnosing, treating and referring patients with mental disorders to appropriate services. Well developed short training in chronic pain management is likely to improve the skills of GPs in identifying the best options for treatment for an individual with chronic pain and improve knowledge of the multidisciplinary support available in their region.</w:t>
      </w:r>
    </w:p>
    <w:p>
      <w:pPr>
        <w:pStyle w:val="BodyText"/>
        <w:ind w:left="2123"/>
      </w:pPr>
      <w:r>
        <w:rPr/>
        <w:t>Incentivisation for undertaking the training should be considered.</w:t>
      </w:r>
    </w:p>
    <w:p>
      <w:pPr>
        <w:pStyle w:val="BodyText"/>
        <w:spacing w:before="9"/>
        <w:rPr>
          <w:sz w:val="12"/>
        </w:rPr>
      </w:pPr>
    </w:p>
    <w:p>
      <w:pPr>
        <w:pStyle w:val="BodyText"/>
        <w:spacing w:line="312" w:lineRule="auto" w:before="56"/>
        <w:ind w:left="2123" w:right="1659"/>
      </w:pPr>
      <w:r>
        <w:rPr>
          <w:b/>
        </w:rPr>
        <w:t>Multidisciplinary input into the development of management plans</w:t>
      </w:r>
      <w:r>
        <w:rPr/>
        <w:t>: Chronic pain management plans are best developed following multidisciplinary assessment and communication between the members of the treating team </w:t>
      </w:r>
      <w:r>
        <w:rPr>
          <w:sz w:val="18"/>
        </w:rPr>
        <w:t>(cancer.org.au, n.d.)</w:t>
      </w:r>
      <w:r>
        <w:rPr/>
        <w:t>. The introduction of initial assessment items that can be accessed by select allied health prior to the development of a Chronic Pain Management Plan will enable input from relevant team members to provide the most appropriately tailored plan.</w:t>
      </w:r>
    </w:p>
    <w:p>
      <w:pPr>
        <w:spacing w:line="312" w:lineRule="auto" w:before="133"/>
        <w:ind w:left="2123" w:right="1809" w:firstLine="0"/>
        <w:jc w:val="left"/>
        <w:rPr>
          <w:sz w:val="22"/>
        </w:rPr>
      </w:pPr>
      <w:r>
        <w:rPr/>
        <w:drawing>
          <wp:anchor distT="0" distB="0" distL="0" distR="0" allowOverlap="1" layoutInCell="1" locked="0" behindDoc="0" simplePos="0" relativeHeight="15896064">
            <wp:simplePos x="0" y="0"/>
            <wp:positionH relativeFrom="page">
              <wp:posOffset>1362646</wp:posOffset>
            </wp:positionH>
            <wp:positionV relativeFrom="paragraph">
              <wp:posOffset>153017</wp:posOffset>
            </wp:positionV>
            <wp:extent cx="52387" cy="52387"/>
            <wp:effectExtent l="0" t="0" r="0" b="0"/>
            <wp:wrapNone/>
            <wp:docPr id="687" name="image176.png"/>
            <wp:cNvGraphicFramePr>
              <a:graphicFrameLocks noChangeAspect="1"/>
            </wp:cNvGraphicFramePr>
            <a:graphic>
              <a:graphicData uri="http://schemas.openxmlformats.org/drawingml/2006/picture">
                <pic:pic>
                  <pic:nvPicPr>
                    <pic:cNvPr id="688" name="image176.png"/>
                    <pic:cNvPicPr/>
                  </pic:nvPicPr>
                  <pic:blipFill>
                    <a:blip r:embed="rId184" cstate="print"/>
                    <a:stretch>
                      <a:fillRect/>
                    </a:stretch>
                  </pic:blipFill>
                  <pic:spPr>
                    <a:xfrm>
                      <a:off x="0" y="0"/>
                      <a:ext cx="52387" cy="52387"/>
                    </a:xfrm>
                    <a:prstGeom prst="rect">
                      <a:avLst/>
                    </a:prstGeom>
                  </pic:spPr>
                </pic:pic>
              </a:graphicData>
            </a:graphic>
          </wp:anchor>
        </w:drawing>
      </w:r>
      <w:r>
        <w:rPr>
          <w:b/>
          <w:sz w:val="22"/>
        </w:rPr>
        <w:t>Specialist pain medicine physician multidisciplinary care plans: </w:t>
      </w:r>
      <w:r>
        <w:rPr>
          <w:sz w:val="22"/>
        </w:rPr>
        <w:t>This would enable improved access to care for people with chronic pain who require specialist care who can currently only access this through overloaded state funded facilities.</w:t>
      </w:r>
    </w:p>
    <w:p>
      <w:pPr>
        <w:pStyle w:val="BodyText"/>
        <w:spacing w:line="312" w:lineRule="auto" w:before="119"/>
        <w:ind w:left="2123" w:right="1701"/>
      </w:pPr>
      <w:r>
        <w:rPr/>
        <w:t>It is important to include the GP in the treating team in a way that streamlines patient access to allied health, coordinates treatment of other medical conditions and supports all team members and the patient to be working toward the same goal. It is believed that requiring the patients regular GP to be part of the treatment team if a specialist has developed the plan will facilitate these outcomes as will a shared medical record.</w:t>
      </w:r>
    </w:p>
    <w:p>
      <w:pPr>
        <w:spacing w:line="312" w:lineRule="auto" w:before="133"/>
        <w:ind w:left="2123" w:right="1736" w:firstLine="0"/>
        <w:jc w:val="left"/>
        <w:rPr>
          <w:sz w:val="22"/>
        </w:rPr>
      </w:pPr>
      <w:r>
        <w:rPr/>
        <w:drawing>
          <wp:anchor distT="0" distB="0" distL="0" distR="0" allowOverlap="1" layoutInCell="1" locked="0" behindDoc="0" simplePos="0" relativeHeight="15896576">
            <wp:simplePos x="0" y="0"/>
            <wp:positionH relativeFrom="page">
              <wp:posOffset>1362646</wp:posOffset>
            </wp:positionH>
            <wp:positionV relativeFrom="paragraph">
              <wp:posOffset>152763</wp:posOffset>
            </wp:positionV>
            <wp:extent cx="52387" cy="52387"/>
            <wp:effectExtent l="0" t="0" r="0" b="0"/>
            <wp:wrapNone/>
            <wp:docPr id="689" name="image176.png"/>
            <wp:cNvGraphicFramePr>
              <a:graphicFrameLocks noChangeAspect="1"/>
            </wp:cNvGraphicFramePr>
            <a:graphic>
              <a:graphicData uri="http://schemas.openxmlformats.org/drawingml/2006/picture">
                <pic:pic>
                  <pic:nvPicPr>
                    <pic:cNvPr id="690" name="image176.png"/>
                    <pic:cNvPicPr/>
                  </pic:nvPicPr>
                  <pic:blipFill>
                    <a:blip r:embed="rId184" cstate="print"/>
                    <a:stretch>
                      <a:fillRect/>
                    </a:stretch>
                  </pic:blipFill>
                  <pic:spPr>
                    <a:xfrm>
                      <a:off x="0" y="0"/>
                      <a:ext cx="52387" cy="52387"/>
                    </a:xfrm>
                    <a:prstGeom prst="rect">
                      <a:avLst/>
                    </a:prstGeom>
                  </pic:spPr>
                </pic:pic>
              </a:graphicData>
            </a:graphic>
          </wp:anchor>
        </w:drawing>
      </w:r>
      <w:r>
        <w:rPr>
          <w:b/>
          <w:sz w:val="22"/>
        </w:rPr>
        <w:t>Increased access to Allied health - appropriate treatment dose according to level of need: </w:t>
      </w:r>
      <w:r>
        <w:rPr>
          <w:sz w:val="22"/>
        </w:rPr>
        <w:t>Access to allied health through current chronic disease items is helpful but at an inadequate evidence based dose for most people with chronic pain.</w:t>
      </w:r>
    </w:p>
    <w:p>
      <w:pPr>
        <w:pStyle w:val="BodyText"/>
        <w:spacing w:line="312" w:lineRule="auto" w:before="119"/>
        <w:ind w:left="2123" w:right="1737"/>
      </w:pPr>
      <w:r>
        <w:rPr/>
        <w:t>Aligning the number of allied health visits with the evidence base for treatment will better recognise the complex nature of treating pain as part of a comprehensive assessment and treatment program. Patients with chronic pain who have mild to moderate levels of distress/disability should reliably respond to less than 10 sessions of targeted multidisciplinary pain self-management treatment. Patients with higher distress/disability will need more sessions.</w:t>
      </w:r>
    </w:p>
    <w:p>
      <w:pPr>
        <w:pStyle w:val="BodyText"/>
        <w:spacing w:line="312" w:lineRule="auto" w:before="121"/>
        <w:ind w:left="2123" w:right="1651"/>
        <w:rPr>
          <w:i/>
          <w:sz w:val="18"/>
        </w:rPr>
      </w:pPr>
      <w:r>
        <w:rPr/>
        <w:t>If the case is recent onset (1-8 weeks) the low intensity programs (group or individual) should be sufficient (in the WISE study in NSW, five sessions, on average, with a psychologist, plus physio exercises were enough for sustained return to work, improved mood and function) </w:t>
      </w:r>
      <w:r>
        <w:rPr>
          <w:sz w:val="18"/>
        </w:rPr>
        <w:t>(Australian Pain Society, n.d.)</w:t>
      </w:r>
      <w:r>
        <w:rPr>
          <w:i/>
          <w:sz w:val="18"/>
        </w:rPr>
        <w:t>.</w:t>
      </w:r>
    </w:p>
    <w:p>
      <w:pPr>
        <w:spacing w:after="0" w:line="312" w:lineRule="auto"/>
        <w:rPr>
          <w:sz w:val="18"/>
        </w:rPr>
        <w:sectPr>
          <w:pgSz w:w="11910" w:h="16840"/>
          <w:pgMar w:header="672" w:footer="978" w:top="1300" w:bottom="1160" w:left="440" w:right="140"/>
        </w:sectPr>
      </w:pPr>
    </w:p>
    <w:p>
      <w:pPr>
        <w:pStyle w:val="BodyText"/>
        <w:rPr>
          <w:i/>
          <w:sz w:val="20"/>
        </w:rPr>
      </w:pPr>
    </w:p>
    <w:p>
      <w:pPr>
        <w:pStyle w:val="BodyText"/>
        <w:spacing w:before="3"/>
        <w:rPr>
          <w:i/>
          <w:sz w:val="24"/>
        </w:rPr>
      </w:pPr>
    </w:p>
    <w:p>
      <w:pPr>
        <w:spacing w:line="312" w:lineRule="auto" w:before="57"/>
        <w:ind w:left="2123" w:right="1799" w:firstLine="0"/>
        <w:jc w:val="left"/>
        <w:rPr>
          <w:i/>
          <w:sz w:val="18"/>
        </w:rPr>
      </w:pPr>
      <w:r>
        <w:rPr>
          <w:sz w:val="22"/>
        </w:rPr>
        <w:t>High distress/disability cases will need more comprehensive and longer programs. More intensive interdisciplinary </w:t>
      </w:r>
      <w:r>
        <w:rPr>
          <w:sz w:val="18"/>
        </w:rPr>
        <w:t>(The Australian Pain Society, 2017) </w:t>
      </w:r>
      <w:r>
        <w:rPr>
          <w:sz w:val="22"/>
        </w:rPr>
        <w:t>programs (50-100 hrs over 3-5 weeks) have more reliable effects with high severity cases </w:t>
      </w:r>
      <w:r>
        <w:rPr>
          <w:sz w:val="18"/>
        </w:rPr>
        <w:t>(Australian Pain Society, n.d.)</w:t>
      </w:r>
      <w:r>
        <w:rPr>
          <w:i/>
          <w:sz w:val="18"/>
        </w:rPr>
        <w:t>.</w:t>
      </w:r>
    </w:p>
    <w:p>
      <w:pPr>
        <w:spacing w:line="312" w:lineRule="auto" w:before="131"/>
        <w:ind w:left="2123" w:right="1812" w:firstLine="0"/>
        <w:jc w:val="left"/>
        <w:rPr>
          <w:i/>
          <w:sz w:val="18"/>
        </w:rPr>
      </w:pPr>
      <w:r>
        <w:rPr>
          <w:b/>
          <w:sz w:val="22"/>
        </w:rPr>
        <w:t>Increased access to allied health – direct referral from a specialist pain medicine physician in the context of a multidisciplinary team: </w:t>
      </w:r>
      <w:r>
        <w:rPr>
          <w:sz w:val="22"/>
        </w:rPr>
        <w:t>Effective chronic pain management involves a multi-modal approach to treatment including allied health </w:t>
      </w:r>
      <w:r>
        <w:rPr>
          <w:sz w:val="18"/>
        </w:rPr>
        <w:t>(The Australian Pain Society, 2017)</w:t>
      </w:r>
      <w:r>
        <w:rPr>
          <w:i/>
          <w:color w:val="FF0000"/>
          <w:sz w:val="18"/>
        </w:rPr>
        <w:t>.</w:t>
      </w:r>
    </w:p>
    <w:p>
      <w:pPr>
        <w:pStyle w:val="BodyText"/>
        <w:spacing w:line="312" w:lineRule="auto" w:before="119"/>
        <w:ind w:left="2123" w:right="1654"/>
      </w:pPr>
      <w:r>
        <w:rPr/>
        <w:t>Currently, specialists wishing to refer patients to allied health professionals and have them be eligible for MBS reimbursement must send the patient back to a GP, who may not be their regular GP, to ask for referral. This is an added financial and time barrier to the patient. This approach can result in untimely, under-treatment of individuals.</w:t>
      </w:r>
    </w:p>
    <w:p>
      <w:pPr>
        <w:pStyle w:val="BodyText"/>
        <w:spacing w:line="312" w:lineRule="auto" w:before="122"/>
        <w:ind w:left="2123" w:right="1896"/>
      </w:pPr>
      <w:r>
        <w:rPr/>
        <w:t>From a patient perspective it is often difficult, costly (to the patient and the healthcare system), unnecessary and often ineffective to be returning to a GP to obtain recommended allied health referrals when their time with that member of the treating team could be used more effectively.</w:t>
      </w:r>
    </w:p>
    <w:p>
      <w:pPr>
        <w:pStyle w:val="BodyText"/>
        <w:spacing w:line="312" w:lineRule="auto" w:before="132"/>
        <w:ind w:left="2123" w:right="1706"/>
      </w:pPr>
      <w:r>
        <w:rPr/>
        <w:drawing>
          <wp:anchor distT="0" distB="0" distL="0" distR="0" allowOverlap="1" layoutInCell="1" locked="0" behindDoc="0" simplePos="0" relativeHeight="15897088">
            <wp:simplePos x="0" y="0"/>
            <wp:positionH relativeFrom="page">
              <wp:posOffset>1362646</wp:posOffset>
            </wp:positionH>
            <wp:positionV relativeFrom="paragraph">
              <wp:posOffset>152382</wp:posOffset>
            </wp:positionV>
            <wp:extent cx="52387" cy="52387"/>
            <wp:effectExtent l="0" t="0" r="0" b="0"/>
            <wp:wrapNone/>
            <wp:docPr id="691" name="image176.png"/>
            <wp:cNvGraphicFramePr>
              <a:graphicFrameLocks noChangeAspect="1"/>
            </wp:cNvGraphicFramePr>
            <a:graphic>
              <a:graphicData uri="http://schemas.openxmlformats.org/drawingml/2006/picture">
                <pic:pic>
                  <pic:nvPicPr>
                    <pic:cNvPr id="692" name="image176.png"/>
                    <pic:cNvPicPr/>
                  </pic:nvPicPr>
                  <pic:blipFill>
                    <a:blip r:embed="rId184" cstate="print"/>
                    <a:stretch>
                      <a:fillRect/>
                    </a:stretch>
                  </pic:blipFill>
                  <pic:spPr>
                    <a:xfrm>
                      <a:off x="0" y="0"/>
                      <a:ext cx="52387" cy="52387"/>
                    </a:xfrm>
                    <a:prstGeom prst="rect">
                      <a:avLst/>
                    </a:prstGeom>
                  </pic:spPr>
                </pic:pic>
              </a:graphicData>
            </a:graphic>
          </wp:anchor>
        </w:drawing>
      </w:r>
      <w:r>
        <w:rPr>
          <w:b/>
        </w:rPr>
        <w:t>Shared Medical Records: </w:t>
      </w:r>
      <w:r>
        <w:rPr/>
        <w:t>Collaboration is a vital part of any management by a team of health care providers. Traditionally, pain management teams have been geographically co-located and state funded, which can provide well-coordinated and tailored care for patients. This model, however, is not always feasible for large scale patient access, in rural or remote areas or in private settings. If the treating team that deliver chronic pain management have some form of shared medical record, this will enable each member of the multidisciplinary team to tailor their response based on the needs of the patient and the relevant expertise available in the region/ by telehealth that may or may not be co-located with the treating doctor.</w:t>
      </w:r>
    </w:p>
    <w:p>
      <w:pPr>
        <w:pStyle w:val="BodyText"/>
        <w:spacing w:line="312" w:lineRule="auto" w:before="131"/>
        <w:ind w:left="2123" w:right="1904"/>
      </w:pPr>
      <w:r>
        <w:rPr/>
        <w:drawing>
          <wp:anchor distT="0" distB="0" distL="0" distR="0" allowOverlap="1" layoutInCell="1" locked="0" behindDoc="0" simplePos="0" relativeHeight="15897600">
            <wp:simplePos x="0" y="0"/>
            <wp:positionH relativeFrom="page">
              <wp:posOffset>1362646</wp:posOffset>
            </wp:positionH>
            <wp:positionV relativeFrom="paragraph">
              <wp:posOffset>151493</wp:posOffset>
            </wp:positionV>
            <wp:extent cx="52387" cy="52387"/>
            <wp:effectExtent l="0" t="0" r="0" b="0"/>
            <wp:wrapNone/>
            <wp:docPr id="693" name="image176.png"/>
            <wp:cNvGraphicFramePr>
              <a:graphicFrameLocks noChangeAspect="1"/>
            </wp:cNvGraphicFramePr>
            <a:graphic>
              <a:graphicData uri="http://schemas.openxmlformats.org/drawingml/2006/picture">
                <pic:pic>
                  <pic:nvPicPr>
                    <pic:cNvPr id="694" name="image176.png"/>
                    <pic:cNvPicPr/>
                  </pic:nvPicPr>
                  <pic:blipFill>
                    <a:blip r:embed="rId184" cstate="print"/>
                    <a:stretch>
                      <a:fillRect/>
                    </a:stretch>
                  </pic:blipFill>
                  <pic:spPr>
                    <a:xfrm>
                      <a:off x="0" y="0"/>
                      <a:ext cx="52387" cy="52387"/>
                    </a:xfrm>
                    <a:prstGeom prst="rect">
                      <a:avLst/>
                    </a:prstGeom>
                  </pic:spPr>
                </pic:pic>
              </a:graphicData>
            </a:graphic>
          </wp:anchor>
        </w:drawing>
      </w:r>
      <w:r>
        <w:rPr>
          <w:b/>
        </w:rPr>
        <w:t>Review items</w:t>
      </w:r>
      <w:r>
        <w:rPr/>
        <w:t>: Review of a case cannot always occur with all members of the treating team present on one occasion or with the patient present. Review items facilitate communication between team members which can take significant time and is currently not rebatable under the MBS.</w:t>
      </w:r>
    </w:p>
    <w:p>
      <w:pPr>
        <w:pStyle w:val="BodyText"/>
        <w:spacing w:line="312" w:lineRule="auto" w:before="133"/>
        <w:ind w:left="2123" w:right="1726"/>
      </w:pPr>
      <w:r>
        <w:rPr/>
        <w:drawing>
          <wp:anchor distT="0" distB="0" distL="0" distR="0" allowOverlap="1" layoutInCell="1" locked="0" behindDoc="0" simplePos="0" relativeHeight="15898112">
            <wp:simplePos x="0" y="0"/>
            <wp:positionH relativeFrom="page">
              <wp:posOffset>1362646</wp:posOffset>
            </wp:positionH>
            <wp:positionV relativeFrom="paragraph">
              <wp:posOffset>152382</wp:posOffset>
            </wp:positionV>
            <wp:extent cx="52387" cy="52387"/>
            <wp:effectExtent l="0" t="0" r="0" b="0"/>
            <wp:wrapNone/>
            <wp:docPr id="695" name="image176.png"/>
            <wp:cNvGraphicFramePr>
              <a:graphicFrameLocks noChangeAspect="1"/>
            </wp:cNvGraphicFramePr>
            <a:graphic>
              <a:graphicData uri="http://schemas.openxmlformats.org/drawingml/2006/picture">
                <pic:pic>
                  <pic:nvPicPr>
                    <pic:cNvPr id="696" name="image176.png"/>
                    <pic:cNvPicPr/>
                  </pic:nvPicPr>
                  <pic:blipFill>
                    <a:blip r:embed="rId184" cstate="print"/>
                    <a:stretch>
                      <a:fillRect/>
                    </a:stretch>
                  </pic:blipFill>
                  <pic:spPr>
                    <a:xfrm>
                      <a:off x="0" y="0"/>
                      <a:ext cx="52387" cy="52387"/>
                    </a:xfrm>
                    <a:prstGeom prst="rect">
                      <a:avLst/>
                    </a:prstGeom>
                  </pic:spPr>
                </pic:pic>
              </a:graphicData>
            </a:graphic>
          </wp:anchor>
        </w:drawing>
      </w:r>
      <w:r>
        <w:rPr>
          <w:b/>
        </w:rPr>
        <w:t>Case conferencing: </w:t>
      </w:r>
      <w:r>
        <w:rPr/>
        <w:t>Case conferencing allows members of the treating team to summarise progress, discuss issues that have arisen during their treatment that can be managed by other members of the team, and problem solve together. Case conferencing item numbers support multidisciplinary care for complex cases.</w:t>
      </w:r>
    </w:p>
    <w:p>
      <w:pPr>
        <w:pStyle w:val="BodyText"/>
        <w:spacing w:line="312" w:lineRule="auto"/>
        <w:ind w:left="2123" w:right="2200"/>
      </w:pPr>
      <w:r>
        <w:rPr/>
        <w:t>Currently, case conferencing items are limited and either not applicable to the situation or many of the treating team are unable to access them.</w:t>
      </w:r>
    </w:p>
    <w:p>
      <w:pPr>
        <w:spacing w:after="0" w:line="312" w:lineRule="auto"/>
        <w:sectPr>
          <w:pgSz w:w="11910" w:h="16840"/>
          <w:pgMar w:header="672" w:footer="978" w:top="1300" w:bottom="1160" w:left="440" w:right="140"/>
        </w:sectPr>
      </w:pPr>
    </w:p>
    <w:p>
      <w:pPr>
        <w:pStyle w:val="BodyText"/>
        <w:rPr>
          <w:sz w:val="20"/>
        </w:rPr>
      </w:pPr>
    </w:p>
    <w:p>
      <w:pPr>
        <w:pStyle w:val="BodyText"/>
        <w:spacing w:before="3"/>
        <w:rPr>
          <w:sz w:val="24"/>
        </w:rPr>
      </w:pPr>
    </w:p>
    <w:p>
      <w:pPr>
        <w:pStyle w:val="BodyText"/>
        <w:spacing w:line="312" w:lineRule="auto" w:before="57"/>
        <w:ind w:left="2123" w:right="1701"/>
      </w:pPr>
      <w:r>
        <w:rPr/>
        <w:t>Case conferencing items should be flexible enough to incorporate new technologies that allow team communication in ways beyond face to face or teleconferencing.</w:t>
      </w:r>
    </w:p>
    <w:p>
      <w:pPr>
        <w:pStyle w:val="BodyText"/>
        <w:spacing w:line="312" w:lineRule="auto"/>
        <w:ind w:left="2123" w:right="1700"/>
      </w:pPr>
      <w:r>
        <w:rPr/>
        <w:t>Relying on all members of the team to meet face to face is often an insurmountable barrier when team members are not co-located.</w:t>
      </w:r>
    </w:p>
    <w:p>
      <w:pPr>
        <w:pStyle w:val="BodyText"/>
        <w:spacing w:line="312" w:lineRule="auto" w:before="120"/>
        <w:ind w:left="2123" w:right="1780"/>
      </w:pPr>
      <w:r>
        <w:rPr/>
        <w:t>Case conferencing items facilitate geographically separate multidisciplinary care. Traditionally, pain management teams have been geographically co-located and state funded, which can provide well-coordinated and tailored care for patients. This model, however, is not always feasible for large scale patient access or in rural or remote areas.</w:t>
      </w:r>
    </w:p>
    <w:p>
      <w:pPr>
        <w:pStyle w:val="BodyText"/>
      </w:pPr>
    </w:p>
    <w:p>
      <w:pPr>
        <w:pStyle w:val="BodyText"/>
        <w:spacing w:before="4"/>
        <w:rPr>
          <w:sz w:val="26"/>
        </w:rPr>
      </w:pPr>
    </w:p>
    <w:p>
      <w:pPr>
        <w:pStyle w:val="Heading6"/>
        <w:rPr>
          <w:i/>
        </w:rPr>
      </w:pPr>
      <w:r>
        <w:rPr>
          <w:i/>
        </w:rPr>
        <w:t>Estimate of need</w:t>
      </w:r>
    </w:p>
    <w:p>
      <w:pPr>
        <w:pStyle w:val="BodyText"/>
        <w:spacing w:before="4"/>
        <w:rPr>
          <w:i/>
          <w:sz w:val="13"/>
        </w:rPr>
      </w:pPr>
    </w:p>
    <w:p>
      <w:pPr>
        <w:pStyle w:val="BodyText"/>
        <w:spacing w:line="312" w:lineRule="auto" w:before="56"/>
        <w:ind w:left="2123" w:right="1669"/>
        <w:jc w:val="both"/>
      </w:pPr>
      <w:r>
        <w:rPr/>
        <w:drawing>
          <wp:anchor distT="0" distB="0" distL="0" distR="0" allowOverlap="1" layoutInCell="1" locked="0" behindDoc="0" simplePos="0" relativeHeight="15898624">
            <wp:simplePos x="0" y="0"/>
            <wp:positionH relativeFrom="page">
              <wp:posOffset>1362646</wp:posOffset>
            </wp:positionH>
            <wp:positionV relativeFrom="paragraph">
              <wp:posOffset>104122</wp:posOffset>
            </wp:positionV>
            <wp:extent cx="52387" cy="52387"/>
            <wp:effectExtent l="0" t="0" r="0" b="0"/>
            <wp:wrapNone/>
            <wp:docPr id="699" name="image176.png"/>
            <wp:cNvGraphicFramePr>
              <a:graphicFrameLocks noChangeAspect="1"/>
            </wp:cNvGraphicFramePr>
            <a:graphic>
              <a:graphicData uri="http://schemas.openxmlformats.org/drawingml/2006/picture">
                <pic:pic>
                  <pic:nvPicPr>
                    <pic:cNvPr id="700" name="image176.png"/>
                    <pic:cNvPicPr/>
                  </pic:nvPicPr>
                  <pic:blipFill>
                    <a:blip r:embed="rId184" cstate="print"/>
                    <a:stretch>
                      <a:fillRect/>
                    </a:stretch>
                  </pic:blipFill>
                  <pic:spPr>
                    <a:xfrm>
                      <a:off x="0" y="0"/>
                      <a:ext cx="52387" cy="52387"/>
                    </a:xfrm>
                    <a:prstGeom prst="rect">
                      <a:avLst/>
                    </a:prstGeom>
                  </pic:spPr>
                </pic:pic>
              </a:graphicData>
            </a:graphic>
          </wp:anchor>
        </w:drawing>
      </w:r>
      <w:r>
        <w:rPr/>
        <w:t>It is estimated that approximately 35,000 people would require access each year to these item numbers. Some of these people would currently be receiving care under the chronic disease management and team care arrangement items or better access for mental health items.</w:t>
      </w:r>
    </w:p>
    <w:p>
      <w:pPr>
        <w:spacing w:after="0" w:line="312" w:lineRule="auto"/>
        <w:jc w:val="both"/>
        <w:sectPr>
          <w:headerReference w:type="default" r:id="rId275"/>
          <w:footerReference w:type="default" r:id="rId276"/>
          <w:pgSz w:w="11910" w:h="16840"/>
          <w:pgMar w:header="672" w:footer="978" w:top="1300" w:bottom="1160" w:left="440" w:right="140"/>
        </w:sectPr>
      </w:pPr>
    </w:p>
    <w:p>
      <w:pPr>
        <w:pStyle w:val="BodyText"/>
        <w:rPr>
          <w:sz w:val="20"/>
        </w:rPr>
      </w:pPr>
    </w:p>
    <w:p>
      <w:pPr>
        <w:pStyle w:val="BodyText"/>
        <w:rPr>
          <w:sz w:val="20"/>
        </w:rPr>
      </w:pPr>
    </w:p>
    <w:p>
      <w:pPr>
        <w:pStyle w:val="BodyText"/>
        <w:rPr>
          <w:sz w:val="20"/>
        </w:rPr>
      </w:pPr>
    </w:p>
    <w:p>
      <w:pPr>
        <w:pStyle w:val="BodyText"/>
        <w:spacing w:before="3"/>
        <w:rPr>
          <w:sz w:val="23"/>
        </w:rPr>
      </w:pPr>
    </w:p>
    <w:p>
      <w:pPr>
        <w:pStyle w:val="Heading4"/>
        <w:numPr>
          <w:ilvl w:val="2"/>
          <w:numId w:val="24"/>
        </w:numPr>
        <w:tabs>
          <w:tab w:pos="1981" w:val="left" w:leader="none"/>
          <w:tab w:pos="1982" w:val="left" w:leader="none"/>
        </w:tabs>
        <w:spacing w:line="240" w:lineRule="auto" w:before="51" w:after="0"/>
        <w:ind w:left="1982" w:right="0" w:hanging="720"/>
        <w:jc w:val="left"/>
      </w:pPr>
      <w:r>
        <w:rPr/>
        <w:t>Recommendation 27: Access to group therapy for pain management</w:t>
      </w:r>
    </w:p>
    <w:p>
      <w:pPr>
        <w:pStyle w:val="BodyText"/>
        <w:spacing w:before="10"/>
        <w:rPr>
          <w:b/>
          <w:sz w:val="21"/>
        </w:rPr>
      </w:pPr>
    </w:p>
    <w:p>
      <w:pPr>
        <w:pStyle w:val="BodyText"/>
        <w:ind w:left="1262"/>
      </w:pPr>
      <w:r>
        <w:rPr/>
        <w:t>The Committee recommends:</w:t>
      </w:r>
    </w:p>
    <w:p>
      <w:pPr>
        <w:pStyle w:val="BodyText"/>
        <w:spacing w:line="312" w:lineRule="auto" w:before="139"/>
        <w:ind w:left="1262" w:right="1736"/>
      </w:pPr>
      <w:r>
        <w:rPr>
          <w:color w:val="212121"/>
        </w:rPr>
        <w:t>A new MBS item be created covering provision of a chronic pain management health service provided to a person by an eligible clinician being a physiotherapist, </w:t>
      </w:r>
      <w:r>
        <w:rPr/>
        <w:t>nurse, exercise physiologist, clinical psychologist or occupational therapist </w:t>
      </w:r>
      <w:r>
        <w:rPr>
          <w:color w:val="212121"/>
        </w:rPr>
        <w:t>with training and credentialing requirements to be determined by the relevant Colleges or peak bodies as a GROUP SERVICE if:</w:t>
      </w:r>
    </w:p>
    <w:p>
      <w:pPr>
        <w:pStyle w:val="BodyText"/>
        <w:spacing w:before="3"/>
        <w:rPr>
          <w:sz w:val="8"/>
        </w:rPr>
      </w:pPr>
      <w:r>
        <w:rPr/>
        <w:pict>
          <v:shape style="position:absolute;margin-left:101.660004pt;margin-top:6.266992pt;width:405.35pt;height:34.950pt;mso-position-horizontal-relative:page;mso-position-vertical-relative:paragraph;z-index:-15558144;mso-wrap-distance-left:0;mso-wrap-distance-right:0" type="#_x0000_t202" filled="true" fillcolor="#fafafa" stroked="false">
            <v:textbox inset="0,0,0,0">
              <w:txbxContent>
                <w:p>
                  <w:pPr>
                    <w:pStyle w:val="BodyText"/>
                    <w:spacing w:line="312" w:lineRule="auto"/>
                    <w:ind w:left="388" w:right="176" w:hanging="360"/>
                  </w:pPr>
                  <w:r>
                    <w:rPr>
                      <w:color w:val="212121"/>
                    </w:rPr>
                    <w:t>1. the service is provided to a person who is part of a group of between 4 and 12 patients inclusive; and</w:t>
                  </w:r>
                </w:p>
              </w:txbxContent>
            </v:textbox>
            <v:fill type="solid"/>
            <w10:wrap type="topAndBottom"/>
          </v:shape>
        </w:pict>
      </w:r>
      <w:r>
        <w:rPr/>
        <w:pict>
          <v:shape style="position:absolute;margin-left:101.540001pt;margin-top:47.216991pt;width:405.45pt;height:321.3pt;mso-position-horizontal-relative:page;mso-position-vertical-relative:paragraph;z-index:-15557632;mso-wrap-distance-left:0;mso-wrap-distance-right:0" type="#_x0000_t202" filled="true" fillcolor="#fafafa" stroked="false">
            <v:textbox inset="0,0,0,0">
              <w:txbxContent>
                <w:p>
                  <w:pPr>
                    <w:pStyle w:val="BodyText"/>
                    <w:numPr>
                      <w:ilvl w:val="0"/>
                      <w:numId w:val="28"/>
                    </w:numPr>
                    <w:tabs>
                      <w:tab w:pos="384" w:val="left" w:leader="none"/>
                    </w:tabs>
                    <w:spacing w:line="265" w:lineRule="exact" w:before="0" w:after="0"/>
                    <w:ind w:left="384" w:right="0" w:hanging="356"/>
                    <w:jc w:val="left"/>
                  </w:pPr>
                  <w:r>
                    <w:rPr>
                      <w:color w:val="212121"/>
                    </w:rPr>
                    <w:t>the person is not an admitted patient of a hospital;</w:t>
                  </w:r>
                  <w:r>
                    <w:rPr>
                      <w:color w:val="212121"/>
                      <w:spacing w:val="-10"/>
                    </w:rPr>
                    <w:t> </w:t>
                  </w:r>
                  <w:r>
                    <w:rPr>
                      <w:color w:val="212121"/>
                    </w:rPr>
                    <w:t>and</w:t>
                  </w:r>
                </w:p>
                <w:p>
                  <w:pPr>
                    <w:pStyle w:val="BodyText"/>
                    <w:spacing w:before="4"/>
                    <w:rPr>
                      <w:sz w:val="16"/>
                    </w:rPr>
                  </w:pPr>
                </w:p>
                <w:p>
                  <w:pPr>
                    <w:pStyle w:val="BodyText"/>
                    <w:numPr>
                      <w:ilvl w:val="0"/>
                      <w:numId w:val="28"/>
                    </w:numPr>
                    <w:tabs>
                      <w:tab w:pos="384" w:val="left" w:leader="none"/>
                    </w:tabs>
                    <w:spacing w:line="312" w:lineRule="auto" w:before="0" w:after="0"/>
                    <w:ind w:left="383" w:right="147" w:hanging="356"/>
                    <w:jc w:val="left"/>
                  </w:pPr>
                  <w:r>
                    <w:rPr>
                      <w:color w:val="212121"/>
                    </w:rPr>
                    <w:t>the patients are referred by a medical practitioner, as part of a GP Mental Health Treatment Plan or as part of a shared care plan; or referred by a medical practitioner (including a general practitioner or a specialist pain management physician);</w:t>
                  </w:r>
                  <w:r>
                    <w:rPr>
                      <w:color w:val="212121"/>
                      <w:spacing w:val="-19"/>
                    </w:rPr>
                    <w:t> </w:t>
                  </w:r>
                  <w:r>
                    <w:rPr>
                      <w:color w:val="212121"/>
                    </w:rPr>
                    <w:t>and</w:t>
                  </w:r>
                </w:p>
                <w:p>
                  <w:pPr>
                    <w:pStyle w:val="BodyText"/>
                    <w:numPr>
                      <w:ilvl w:val="0"/>
                      <w:numId w:val="28"/>
                    </w:numPr>
                    <w:tabs>
                      <w:tab w:pos="384" w:val="left" w:leader="none"/>
                    </w:tabs>
                    <w:spacing w:line="312" w:lineRule="auto" w:before="119" w:after="0"/>
                    <w:ind w:left="383" w:right="256" w:hanging="356"/>
                    <w:jc w:val="left"/>
                  </w:pPr>
                  <w:r>
                    <w:rPr>
                      <w:color w:val="212121"/>
                    </w:rPr>
                    <w:t>the service is provided to a person involving the personal attendance by the eligible clinician; and</w:t>
                  </w:r>
                </w:p>
                <w:p>
                  <w:pPr>
                    <w:pStyle w:val="BodyText"/>
                    <w:numPr>
                      <w:ilvl w:val="0"/>
                      <w:numId w:val="28"/>
                    </w:numPr>
                    <w:tabs>
                      <w:tab w:pos="384" w:val="left" w:leader="none"/>
                    </w:tabs>
                    <w:spacing w:line="240" w:lineRule="auto" w:before="120" w:after="0"/>
                    <w:ind w:left="384" w:right="0" w:hanging="356"/>
                    <w:jc w:val="left"/>
                  </w:pPr>
                  <w:r>
                    <w:rPr>
                      <w:color w:val="212121"/>
                    </w:rPr>
                    <w:t>the service is of at least 60 minutes duration;</w:t>
                  </w:r>
                  <w:r>
                    <w:rPr>
                      <w:color w:val="212121"/>
                      <w:spacing w:val="-7"/>
                    </w:rPr>
                    <w:t> </w:t>
                  </w:r>
                  <w:r>
                    <w:rPr>
                      <w:color w:val="212121"/>
                    </w:rPr>
                    <w:t>and</w:t>
                  </w:r>
                </w:p>
                <w:p>
                  <w:pPr>
                    <w:pStyle w:val="BodyText"/>
                    <w:spacing w:before="6"/>
                    <w:rPr>
                      <w:sz w:val="16"/>
                    </w:rPr>
                  </w:pPr>
                </w:p>
                <w:p>
                  <w:pPr>
                    <w:pStyle w:val="BodyText"/>
                    <w:numPr>
                      <w:ilvl w:val="0"/>
                      <w:numId w:val="28"/>
                    </w:numPr>
                    <w:tabs>
                      <w:tab w:pos="384" w:val="left" w:leader="none"/>
                    </w:tabs>
                    <w:spacing w:line="240" w:lineRule="auto" w:before="1" w:after="0"/>
                    <w:ind w:left="384" w:right="0" w:hanging="356"/>
                    <w:jc w:val="left"/>
                  </w:pPr>
                  <w:r>
                    <w:rPr>
                      <w:color w:val="212121"/>
                    </w:rPr>
                    <w:t>eligibility is limited to up to 10 sessions in a calendar year;</w:t>
                  </w:r>
                  <w:r>
                    <w:rPr>
                      <w:color w:val="212121"/>
                      <w:spacing w:val="-12"/>
                    </w:rPr>
                    <w:t> </w:t>
                  </w:r>
                  <w:r>
                    <w:rPr>
                      <w:color w:val="212121"/>
                    </w:rPr>
                    <w:t>and</w:t>
                  </w:r>
                </w:p>
                <w:p>
                  <w:pPr>
                    <w:pStyle w:val="BodyText"/>
                    <w:spacing w:before="4"/>
                    <w:rPr>
                      <w:sz w:val="16"/>
                    </w:rPr>
                  </w:pPr>
                </w:p>
                <w:p>
                  <w:pPr>
                    <w:pStyle w:val="BodyText"/>
                    <w:numPr>
                      <w:ilvl w:val="0"/>
                      <w:numId w:val="28"/>
                    </w:numPr>
                    <w:tabs>
                      <w:tab w:pos="384" w:val="left" w:leader="none"/>
                    </w:tabs>
                    <w:spacing w:line="312" w:lineRule="auto" w:before="0" w:after="0"/>
                    <w:ind w:left="383" w:right="225" w:hanging="356"/>
                    <w:jc w:val="left"/>
                  </w:pPr>
                  <w:r>
                    <w:rPr>
                      <w:color w:val="212121"/>
                    </w:rPr>
                    <w:t>after the last service in the group services program the eligible clinician prepares, or contribute to, a written report to be provided to the referring medical practitioner; and</w:t>
                  </w:r>
                </w:p>
                <w:p>
                  <w:pPr>
                    <w:pStyle w:val="BodyText"/>
                    <w:numPr>
                      <w:ilvl w:val="0"/>
                      <w:numId w:val="28"/>
                    </w:numPr>
                    <w:tabs>
                      <w:tab w:pos="384" w:val="left" w:leader="none"/>
                    </w:tabs>
                    <w:spacing w:line="240" w:lineRule="auto" w:before="122" w:after="0"/>
                    <w:ind w:left="384" w:right="0" w:hanging="356"/>
                    <w:jc w:val="left"/>
                  </w:pPr>
                  <w:r>
                    <w:rPr>
                      <w:color w:val="212121"/>
                    </w:rPr>
                    <w:t>an attendance record for the group is maintained by the eligible clinician;</w:t>
                  </w:r>
                  <w:r>
                    <w:rPr>
                      <w:color w:val="212121"/>
                      <w:spacing w:val="-13"/>
                    </w:rPr>
                    <w:t> </w:t>
                  </w:r>
                  <w:r>
                    <w:rPr>
                      <w:color w:val="212121"/>
                    </w:rPr>
                    <w:t>and</w:t>
                  </w:r>
                </w:p>
                <w:p>
                  <w:pPr>
                    <w:pStyle w:val="BodyText"/>
                    <w:spacing w:before="3"/>
                    <w:rPr>
                      <w:sz w:val="16"/>
                    </w:rPr>
                  </w:pPr>
                </w:p>
                <w:p>
                  <w:pPr>
                    <w:pStyle w:val="BodyText"/>
                    <w:numPr>
                      <w:ilvl w:val="0"/>
                      <w:numId w:val="28"/>
                    </w:numPr>
                    <w:tabs>
                      <w:tab w:pos="384" w:val="left" w:leader="none"/>
                    </w:tabs>
                    <w:spacing w:line="312" w:lineRule="auto" w:before="1" w:after="0"/>
                    <w:ind w:left="383" w:right="127" w:hanging="356"/>
                    <w:jc w:val="left"/>
                  </w:pPr>
                  <w:r>
                    <w:rPr>
                      <w:color w:val="212121"/>
                    </w:rPr>
                    <w:t>in the case of a service in respect of which a private health insurance benefit is payable - the person who incurred the medical expenses in respect of the service has elected to claim the Medicare benefit in respect of the service, and not the private health insurance benefit.</w:t>
                  </w:r>
                </w:p>
              </w:txbxContent>
            </v:textbox>
            <v:fill type="solid"/>
            <w10:wrap type="topAndBottom"/>
          </v:shape>
        </w:pict>
      </w:r>
    </w:p>
    <w:p>
      <w:pPr>
        <w:pStyle w:val="BodyText"/>
        <w:spacing w:before="7"/>
        <w:rPr>
          <w:sz w:val="6"/>
        </w:rPr>
      </w:pPr>
    </w:p>
    <w:p>
      <w:pPr>
        <w:pStyle w:val="BodyText"/>
        <w:rPr>
          <w:sz w:val="20"/>
        </w:rPr>
      </w:pPr>
    </w:p>
    <w:p>
      <w:pPr>
        <w:pStyle w:val="BodyText"/>
        <w:spacing w:before="10"/>
        <w:rPr>
          <w:sz w:val="27"/>
        </w:rPr>
      </w:pPr>
    </w:p>
    <w:p>
      <w:pPr>
        <w:pStyle w:val="Heading4"/>
        <w:tabs>
          <w:tab w:pos="2397" w:val="left" w:leader="none"/>
        </w:tabs>
        <w:ind w:left="1262" w:firstLine="0"/>
      </w:pPr>
      <w:r>
        <w:rPr/>
        <w:t>7.1.2.1</w:t>
        <w:tab/>
        <w:t>Rationale 27</w:t>
      </w:r>
    </w:p>
    <w:p>
      <w:pPr>
        <w:pStyle w:val="BodyText"/>
        <w:spacing w:before="8"/>
        <w:rPr>
          <w:b/>
          <w:sz w:val="21"/>
        </w:rPr>
      </w:pPr>
    </w:p>
    <w:p>
      <w:pPr>
        <w:pStyle w:val="BodyText"/>
        <w:spacing w:line="312" w:lineRule="auto"/>
        <w:ind w:left="1262" w:right="1674"/>
      </w:pPr>
      <w:r>
        <w:rPr/>
        <w:t>This recommendation focuses on ensuring improved patient care, implementing best practice and continuing effective use of the health system. It is based on the following assessment:</w:t>
      </w:r>
    </w:p>
    <w:p>
      <w:pPr>
        <w:pStyle w:val="BodyText"/>
        <w:spacing w:line="312" w:lineRule="auto" w:before="72"/>
        <w:ind w:left="2123" w:right="1894"/>
      </w:pPr>
      <w:r>
        <w:rPr/>
        <w:drawing>
          <wp:anchor distT="0" distB="0" distL="0" distR="0" allowOverlap="1" layoutInCell="1" locked="0" behindDoc="0" simplePos="0" relativeHeight="15900160">
            <wp:simplePos x="0" y="0"/>
            <wp:positionH relativeFrom="page">
              <wp:posOffset>1362646</wp:posOffset>
            </wp:positionH>
            <wp:positionV relativeFrom="paragraph">
              <wp:posOffset>113647</wp:posOffset>
            </wp:positionV>
            <wp:extent cx="52387" cy="52387"/>
            <wp:effectExtent l="0" t="0" r="0" b="0"/>
            <wp:wrapNone/>
            <wp:docPr id="701" name="image176.png"/>
            <wp:cNvGraphicFramePr>
              <a:graphicFrameLocks noChangeAspect="1"/>
            </wp:cNvGraphicFramePr>
            <a:graphic>
              <a:graphicData uri="http://schemas.openxmlformats.org/drawingml/2006/picture">
                <pic:pic>
                  <pic:nvPicPr>
                    <pic:cNvPr id="702" name="image176.png"/>
                    <pic:cNvPicPr/>
                  </pic:nvPicPr>
                  <pic:blipFill>
                    <a:blip r:embed="rId184" cstate="print"/>
                    <a:stretch>
                      <a:fillRect/>
                    </a:stretch>
                  </pic:blipFill>
                  <pic:spPr>
                    <a:xfrm>
                      <a:off x="0" y="0"/>
                      <a:ext cx="52387" cy="52387"/>
                    </a:xfrm>
                    <a:prstGeom prst="rect">
                      <a:avLst/>
                    </a:prstGeom>
                  </pic:spPr>
                </pic:pic>
              </a:graphicData>
            </a:graphic>
          </wp:anchor>
        </w:drawing>
      </w:r>
      <w:r>
        <w:rPr/>
        <w:t>Intensive pain management group programs have the highest level of evidence of both benefit and efficiency in treating chronic pain, yet this is currently not</w:t>
      </w:r>
    </w:p>
    <w:p>
      <w:pPr>
        <w:spacing w:after="0" w:line="312" w:lineRule="auto"/>
        <w:sectPr>
          <w:pgSz w:w="11910" w:h="16840"/>
          <w:pgMar w:header="672" w:footer="978" w:top="1300" w:bottom="1160" w:left="440" w:right="140"/>
        </w:sectPr>
      </w:pPr>
    </w:p>
    <w:p>
      <w:pPr>
        <w:pStyle w:val="BodyText"/>
        <w:rPr>
          <w:sz w:val="20"/>
        </w:rPr>
      </w:pPr>
    </w:p>
    <w:p>
      <w:pPr>
        <w:pStyle w:val="BodyText"/>
        <w:spacing w:before="3"/>
        <w:rPr>
          <w:sz w:val="24"/>
        </w:rPr>
      </w:pPr>
    </w:p>
    <w:p>
      <w:pPr>
        <w:pStyle w:val="BodyText"/>
        <w:spacing w:line="312" w:lineRule="auto" w:before="57"/>
        <w:ind w:left="2123" w:right="1888"/>
      </w:pPr>
      <w:bookmarkStart w:name="_bookmark10" w:id="11"/>
      <w:bookmarkEnd w:id="11"/>
      <w:r>
        <w:rPr/>
      </w:r>
      <w:r>
        <w:rPr/>
        <w:t>recognised under the MBS. This would decrease the cost to the individual and the health care system of procedures, medication and medical visits.</w:t>
      </w:r>
    </w:p>
    <w:p>
      <w:pPr>
        <w:pStyle w:val="BodyText"/>
        <w:spacing w:line="312" w:lineRule="auto" w:before="132"/>
        <w:ind w:left="2123" w:right="1949"/>
      </w:pPr>
      <w:r>
        <w:rPr/>
        <w:t>Currently patients have difficulty accessing these services because of the limited number of available group pain programs in Australia (most are in public hospital settings).</w:t>
      </w:r>
    </w:p>
    <w:p>
      <w:pPr>
        <w:pStyle w:val="BodyText"/>
        <w:spacing w:line="312" w:lineRule="auto" w:before="131"/>
        <w:ind w:left="2123" w:right="1658"/>
      </w:pPr>
      <w:r>
        <w:rPr/>
        <w:t>Medicare currently recognises the value of group treatment programs for psychiatry and diabetes education that are available to eligible people through items 80020 and 81100 to 81125.</w:t>
      </w:r>
    </w:p>
    <w:p>
      <w:pPr>
        <w:pStyle w:val="BodyText"/>
        <w:spacing w:line="312" w:lineRule="auto" w:before="131"/>
        <w:ind w:left="2123" w:right="1813"/>
      </w:pPr>
      <w:r>
        <w:rPr/>
        <w:drawing>
          <wp:anchor distT="0" distB="0" distL="0" distR="0" allowOverlap="1" layoutInCell="1" locked="0" behindDoc="0" simplePos="0" relativeHeight="15900672">
            <wp:simplePos x="0" y="0"/>
            <wp:positionH relativeFrom="page">
              <wp:posOffset>1362646</wp:posOffset>
            </wp:positionH>
            <wp:positionV relativeFrom="paragraph">
              <wp:posOffset>152128</wp:posOffset>
            </wp:positionV>
            <wp:extent cx="52387" cy="52387"/>
            <wp:effectExtent l="0" t="0" r="0" b="0"/>
            <wp:wrapNone/>
            <wp:docPr id="709" name="image180.png"/>
            <wp:cNvGraphicFramePr>
              <a:graphicFrameLocks noChangeAspect="1"/>
            </wp:cNvGraphicFramePr>
            <a:graphic>
              <a:graphicData uri="http://schemas.openxmlformats.org/drawingml/2006/picture">
                <pic:pic>
                  <pic:nvPicPr>
                    <pic:cNvPr id="710" name="image180.png"/>
                    <pic:cNvPicPr/>
                  </pic:nvPicPr>
                  <pic:blipFill>
                    <a:blip r:embed="rId188" cstate="print"/>
                    <a:stretch>
                      <a:fillRect/>
                    </a:stretch>
                  </pic:blipFill>
                  <pic:spPr>
                    <a:xfrm>
                      <a:off x="0" y="0"/>
                      <a:ext cx="52387" cy="52387"/>
                    </a:xfrm>
                    <a:prstGeom prst="rect">
                      <a:avLst/>
                    </a:prstGeom>
                  </pic:spPr>
                </pic:pic>
              </a:graphicData>
            </a:graphic>
          </wp:anchor>
        </w:drawing>
      </w:r>
      <w:r>
        <w:rPr/>
        <w:t>Tiered levels of access to group programs in accordance with need could be provided. The NSW guidelines </w:t>
      </w:r>
      <w:r>
        <w:rPr>
          <w:sz w:val="18"/>
        </w:rPr>
        <w:t>(NSW Agency for Clinical Innovation, n.d.), </w:t>
      </w:r>
      <w:r>
        <w:rPr/>
        <w:t>which have been adopted as a national standard, provide a template for appropriate care.</w:t>
      </w:r>
    </w:p>
    <w:p>
      <w:pPr>
        <w:pStyle w:val="BodyText"/>
        <w:spacing w:line="312" w:lineRule="auto" w:before="132"/>
        <w:ind w:left="2123" w:right="1970"/>
      </w:pPr>
      <w:r>
        <w:rPr/>
        <w:drawing>
          <wp:anchor distT="0" distB="0" distL="0" distR="0" allowOverlap="1" layoutInCell="1" locked="0" behindDoc="0" simplePos="0" relativeHeight="15901184">
            <wp:simplePos x="0" y="0"/>
            <wp:positionH relativeFrom="page">
              <wp:posOffset>1362646</wp:posOffset>
            </wp:positionH>
            <wp:positionV relativeFrom="paragraph">
              <wp:posOffset>152382</wp:posOffset>
            </wp:positionV>
            <wp:extent cx="52387" cy="52387"/>
            <wp:effectExtent l="0" t="0" r="0" b="0"/>
            <wp:wrapNone/>
            <wp:docPr id="711" name="image175.png"/>
            <wp:cNvGraphicFramePr>
              <a:graphicFrameLocks noChangeAspect="1"/>
            </wp:cNvGraphicFramePr>
            <a:graphic>
              <a:graphicData uri="http://schemas.openxmlformats.org/drawingml/2006/picture">
                <pic:pic>
                  <pic:nvPicPr>
                    <pic:cNvPr id="712" name="image175.png"/>
                    <pic:cNvPicPr/>
                  </pic:nvPicPr>
                  <pic:blipFill>
                    <a:blip r:embed="rId183" cstate="print"/>
                    <a:stretch>
                      <a:fillRect/>
                    </a:stretch>
                  </pic:blipFill>
                  <pic:spPr>
                    <a:xfrm>
                      <a:off x="0" y="0"/>
                      <a:ext cx="52387" cy="52387"/>
                    </a:xfrm>
                    <a:prstGeom prst="rect">
                      <a:avLst/>
                    </a:prstGeom>
                  </pic:spPr>
                </pic:pic>
              </a:graphicData>
            </a:graphic>
          </wp:anchor>
        </w:drawing>
      </w:r>
      <w:r>
        <w:rPr/>
        <w:t>The Committee believes this recommendation to be relevant to several reviews across the MBS Review, including the Allied Health Reference Group and Chronic Disease Management Working Group.</w:t>
      </w:r>
    </w:p>
    <w:p>
      <w:pPr>
        <w:spacing w:after="0" w:line="312" w:lineRule="auto"/>
        <w:sectPr>
          <w:headerReference w:type="default" r:id="rId277"/>
          <w:footerReference w:type="default" r:id="rId278"/>
          <w:pgSz w:w="11910" w:h="16840"/>
          <w:pgMar w:header="672" w:footer="978" w:top="1300" w:bottom="1160" w:left="440" w:right="140"/>
        </w:sectPr>
      </w:pPr>
    </w:p>
    <w:p>
      <w:pPr>
        <w:pStyle w:val="BodyText"/>
        <w:rPr>
          <w:sz w:val="20"/>
        </w:rPr>
      </w:pPr>
    </w:p>
    <w:p>
      <w:pPr>
        <w:pStyle w:val="BodyText"/>
        <w:spacing w:before="9"/>
        <w:rPr>
          <w:sz w:val="27"/>
        </w:rPr>
      </w:pPr>
    </w:p>
    <w:p>
      <w:pPr>
        <w:pStyle w:val="Heading1"/>
        <w:numPr>
          <w:ilvl w:val="0"/>
          <w:numId w:val="10"/>
        </w:numPr>
        <w:tabs>
          <w:tab w:pos="1790" w:val="left" w:leader="none"/>
        </w:tabs>
        <w:spacing w:line="240" w:lineRule="auto" w:before="20" w:after="0"/>
        <w:ind w:left="1790" w:right="0" w:hanging="432"/>
        <w:jc w:val="left"/>
      </w:pPr>
      <w:bookmarkStart w:name="_TOC_250003" w:id="12"/>
      <w:r>
        <w:rPr>
          <w:color w:val="00643E"/>
        </w:rPr>
        <w:t>Consumer impact</w:t>
      </w:r>
      <w:r>
        <w:rPr>
          <w:color w:val="00643E"/>
          <w:spacing w:val="-1"/>
        </w:rPr>
        <w:t> </w:t>
      </w:r>
      <w:bookmarkEnd w:id="12"/>
      <w:r>
        <w:rPr>
          <w:color w:val="00643E"/>
        </w:rPr>
        <w:t>statement</w:t>
      </w:r>
    </w:p>
    <w:p>
      <w:pPr>
        <w:pStyle w:val="BodyText"/>
        <w:spacing w:before="9"/>
        <w:rPr>
          <w:b/>
          <w:sz w:val="26"/>
        </w:rPr>
      </w:pPr>
      <w:r>
        <w:rPr/>
        <w:pict>
          <v:rect style="position:absolute;margin-left:88.463997pt;margin-top:18.299414pt;width:418.51pt;height:1.92pt;mso-position-horizontal-relative:page;mso-position-vertical-relative:paragraph;z-index:-15555584;mso-wrap-distance-left:0;mso-wrap-distance-right:0" filled="true" fillcolor="#bebebe" stroked="false">
            <v:fill type="solid"/>
            <w10:wrap type="topAndBottom"/>
          </v:rect>
        </w:pict>
      </w:r>
    </w:p>
    <w:p>
      <w:pPr>
        <w:pStyle w:val="BodyText"/>
        <w:rPr>
          <w:b/>
          <w:sz w:val="20"/>
        </w:rPr>
      </w:pPr>
    </w:p>
    <w:p>
      <w:pPr>
        <w:pStyle w:val="BodyText"/>
        <w:rPr>
          <w:b/>
          <w:sz w:val="20"/>
        </w:rPr>
      </w:pPr>
    </w:p>
    <w:p>
      <w:pPr>
        <w:pStyle w:val="BodyText"/>
        <w:spacing w:before="4"/>
        <w:rPr>
          <w:b/>
          <w:sz w:val="16"/>
        </w:rPr>
      </w:pPr>
    </w:p>
    <w:p>
      <w:pPr>
        <w:pStyle w:val="BodyText"/>
        <w:spacing w:line="312" w:lineRule="auto"/>
        <w:ind w:left="1358" w:right="1903"/>
      </w:pPr>
      <w:r>
        <w:rPr/>
        <w:t>The key recommendations from a consumer perspective are summarised in this section of the Report. It aims to make it easier for the general public to better understand and</w:t>
      </w:r>
    </w:p>
    <w:p>
      <w:pPr>
        <w:pStyle w:val="BodyText"/>
        <w:spacing w:line="266" w:lineRule="exact"/>
        <w:ind w:left="1358"/>
      </w:pPr>
      <w:r>
        <w:rPr/>
        <w:t>comment on the report’s recommendations.</w:t>
      </w:r>
    </w:p>
    <w:p>
      <w:pPr>
        <w:pStyle w:val="BodyText"/>
        <w:spacing w:before="5"/>
        <w:rPr>
          <w:sz w:val="21"/>
        </w:rPr>
      </w:pPr>
    </w:p>
    <w:p>
      <w:pPr>
        <w:pStyle w:val="BodyText"/>
        <w:spacing w:line="312" w:lineRule="auto" w:before="1"/>
        <w:ind w:left="1358" w:right="1888"/>
      </w:pPr>
      <w:r>
        <w:rPr/>
        <w:t>Patients and clinicians are both expected to benefit from these recommendations. The recommendations address concerns regarding patient safety and quality of care, and they take steps to simplify the MBS and make it easier to use and understand. Patient access to services was considered for each recommendation. The Committee considered each</w:t>
      </w:r>
    </w:p>
    <w:p>
      <w:pPr>
        <w:pStyle w:val="BodyText"/>
        <w:spacing w:line="312" w:lineRule="auto"/>
        <w:ind w:left="1358" w:right="1833"/>
      </w:pPr>
      <w:r>
        <w:rPr/>
        <w:t>recommendation’s impact on provider groups to ensure that any changes were reasonable and fair. However, if the Committee identified evidence of potential item misuse or safety concerns, recommendations were made to encourage best practice, in line with the overarching purpose of the MBS Review.</w:t>
      </w:r>
    </w:p>
    <w:p>
      <w:pPr>
        <w:pStyle w:val="BodyText"/>
        <w:spacing w:line="312" w:lineRule="auto" w:before="181"/>
        <w:ind w:left="1358" w:right="1661"/>
      </w:pPr>
      <w:r>
        <w:rPr/>
        <w:t>Recommended changes to the pain management items covered in this report predominantly serve to improve the value of the services patients receive.</w:t>
      </w:r>
    </w:p>
    <w:p>
      <w:pPr>
        <w:pStyle w:val="BodyText"/>
        <w:spacing w:line="312" w:lineRule="auto" w:before="180"/>
        <w:ind w:left="1358" w:right="1662"/>
      </w:pPr>
      <w:r>
        <w:rPr/>
        <w:t>The Committee reviewed the 62 listed MBS items for pain management procedures and the report contains a detailed explanation of the specific changes that have been recommended. In particular, the Committee agreed that there is merit in revising MBS items where pain management items are being claimed alongside a surgical procedure. The Committee recommended removal of the ability to co-claim nerve blocks (for the diagnosis and management of chronic pain) with surgical items in keeping with the philosophy of a complete medical service. The Committee were of the view that, in most instances, the co- claiming of nerve blocks for the diagnosis and management of chronic pain alongside surgical procedure items went against the spirit of the MBS and that where a surgical procedure is being administered the scheduled fee should include the cost of any pain management incurred during the</w:t>
      </w:r>
      <w:r>
        <w:rPr>
          <w:spacing w:val="-4"/>
        </w:rPr>
        <w:t> </w:t>
      </w:r>
      <w:r>
        <w:rPr/>
        <w:t>procedure.</w:t>
      </w:r>
    </w:p>
    <w:p>
      <w:pPr>
        <w:pStyle w:val="BodyText"/>
        <w:spacing w:line="312" w:lineRule="auto" w:before="180"/>
        <w:ind w:left="1358" w:right="1996"/>
      </w:pPr>
      <w:r>
        <w:rPr/>
        <w:t>The Committee has made a number of recommendations to amend item descriptors to prevent unintended claiming of incorrect items and ensure that item numbers accurately reflect the service being administered. Changes to explanatory notes have also been recommended to guide best practice use of implanted devices for the management of chronic pain.</w:t>
      </w:r>
    </w:p>
    <w:p>
      <w:pPr>
        <w:pStyle w:val="BodyText"/>
        <w:spacing w:line="312" w:lineRule="auto" w:before="180"/>
        <w:ind w:left="1358" w:right="2027"/>
      </w:pPr>
      <w:r>
        <w:rPr/>
        <w:t>In addition to recommendations relating to existing pain management MBS items, the Committee has also recommended that urgent consideration is given to the need for the</w:t>
      </w:r>
    </w:p>
    <w:p>
      <w:pPr>
        <w:spacing w:after="0" w:line="312" w:lineRule="auto"/>
        <w:sectPr>
          <w:headerReference w:type="default" r:id="rId279"/>
          <w:footerReference w:type="default" r:id="rId280"/>
          <w:pgSz w:w="11910" w:h="16840"/>
          <w:pgMar w:header="672" w:footer="978" w:top="1300" w:bottom="1160" w:left="440" w:right="140"/>
        </w:sectPr>
      </w:pPr>
    </w:p>
    <w:p>
      <w:pPr>
        <w:pStyle w:val="BodyText"/>
        <w:rPr>
          <w:sz w:val="20"/>
        </w:rPr>
      </w:pPr>
    </w:p>
    <w:p>
      <w:pPr>
        <w:pStyle w:val="BodyText"/>
        <w:spacing w:before="3"/>
        <w:rPr>
          <w:sz w:val="24"/>
        </w:rPr>
      </w:pPr>
    </w:p>
    <w:p>
      <w:pPr>
        <w:pStyle w:val="BodyText"/>
        <w:spacing w:line="312" w:lineRule="auto" w:before="57"/>
        <w:ind w:left="1358" w:right="1723"/>
      </w:pPr>
      <w:r>
        <w:rPr/>
        <w:t>MBS to better reflect contemporary knowledge about persistent pain and evidence supporting the need for a biopsychosocial approach to managing this chronic condition, focussing on management and functional improvement, rather than treating the pain alone. This approach is recommended also in relation to cancer pain and to prevent the progression of acute pain to chronicity.</w:t>
      </w:r>
    </w:p>
    <w:p>
      <w:pPr>
        <w:pStyle w:val="BodyText"/>
        <w:spacing w:line="312" w:lineRule="auto" w:before="179"/>
        <w:ind w:left="1358" w:right="1784"/>
      </w:pPr>
      <w:r>
        <w:rPr/>
        <w:t>The Committee makes the point that a shift towards best practice, multidisciplinary pain management within the MBS would also reduce reliance on medications (including opioids) and expensive interventions. Equipping patients with the ability to self-manage their condition effectively, supported by allied health professionals, has the potential to reduce costs for both patients and government.</w:t>
      </w:r>
    </w:p>
    <w:p>
      <w:pPr>
        <w:pStyle w:val="BodyText"/>
        <w:spacing w:line="312" w:lineRule="auto" w:before="180"/>
        <w:ind w:left="1358" w:right="1945"/>
        <w:jc w:val="both"/>
      </w:pPr>
      <w:r>
        <w:rPr/>
        <w:t>Accordingly, the report includes recommendations and presents a case for changes to the MBS to align with the best practice model of care. The Committee considered there was a case for:</w:t>
      </w:r>
    </w:p>
    <w:p>
      <w:pPr>
        <w:pStyle w:val="BodyText"/>
        <w:spacing w:line="312" w:lineRule="auto" w:before="73"/>
        <w:ind w:left="2219" w:right="1731"/>
      </w:pPr>
      <w:r>
        <w:rPr/>
        <w:drawing>
          <wp:anchor distT="0" distB="0" distL="0" distR="0" allowOverlap="1" layoutInCell="1" locked="0" behindDoc="0" simplePos="0" relativeHeight="15902208">
            <wp:simplePos x="0" y="0"/>
            <wp:positionH relativeFrom="page">
              <wp:posOffset>1423606</wp:posOffset>
            </wp:positionH>
            <wp:positionV relativeFrom="paragraph">
              <wp:posOffset>114917</wp:posOffset>
            </wp:positionV>
            <wp:extent cx="52387" cy="52387"/>
            <wp:effectExtent l="0" t="0" r="0" b="0"/>
            <wp:wrapNone/>
            <wp:docPr id="715" name="image176.png"/>
            <wp:cNvGraphicFramePr>
              <a:graphicFrameLocks noChangeAspect="1"/>
            </wp:cNvGraphicFramePr>
            <a:graphic>
              <a:graphicData uri="http://schemas.openxmlformats.org/drawingml/2006/picture">
                <pic:pic>
                  <pic:nvPicPr>
                    <pic:cNvPr id="716" name="image176.png"/>
                    <pic:cNvPicPr/>
                  </pic:nvPicPr>
                  <pic:blipFill>
                    <a:blip r:embed="rId184" cstate="print"/>
                    <a:stretch>
                      <a:fillRect/>
                    </a:stretch>
                  </pic:blipFill>
                  <pic:spPr>
                    <a:xfrm>
                      <a:off x="0" y="0"/>
                      <a:ext cx="52387" cy="52387"/>
                    </a:xfrm>
                    <a:prstGeom prst="rect">
                      <a:avLst/>
                    </a:prstGeom>
                  </pic:spPr>
                </pic:pic>
              </a:graphicData>
            </a:graphic>
          </wp:anchor>
        </w:drawing>
      </w:r>
      <w:r>
        <w:rPr/>
        <w:t>More appropriate rebates for specialist pain medicine physician consultations that establishes equity with other specialities.</w:t>
      </w:r>
    </w:p>
    <w:p>
      <w:pPr>
        <w:pStyle w:val="BodyText"/>
        <w:spacing w:line="312" w:lineRule="auto" w:before="132"/>
        <w:ind w:left="2219" w:right="1702"/>
        <w:jc w:val="both"/>
      </w:pPr>
      <w:r>
        <w:rPr/>
        <w:drawing>
          <wp:anchor distT="0" distB="0" distL="0" distR="0" allowOverlap="1" layoutInCell="1" locked="0" behindDoc="0" simplePos="0" relativeHeight="15902720">
            <wp:simplePos x="0" y="0"/>
            <wp:positionH relativeFrom="page">
              <wp:posOffset>1423606</wp:posOffset>
            </wp:positionH>
            <wp:positionV relativeFrom="paragraph">
              <wp:posOffset>152382</wp:posOffset>
            </wp:positionV>
            <wp:extent cx="52387" cy="52387"/>
            <wp:effectExtent l="0" t="0" r="0" b="0"/>
            <wp:wrapNone/>
            <wp:docPr id="717" name="image175.png"/>
            <wp:cNvGraphicFramePr>
              <a:graphicFrameLocks noChangeAspect="1"/>
            </wp:cNvGraphicFramePr>
            <a:graphic>
              <a:graphicData uri="http://schemas.openxmlformats.org/drawingml/2006/picture">
                <pic:pic>
                  <pic:nvPicPr>
                    <pic:cNvPr id="718" name="image175.png"/>
                    <pic:cNvPicPr/>
                  </pic:nvPicPr>
                  <pic:blipFill>
                    <a:blip r:embed="rId183" cstate="print"/>
                    <a:stretch>
                      <a:fillRect/>
                    </a:stretch>
                  </pic:blipFill>
                  <pic:spPr>
                    <a:xfrm>
                      <a:off x="0" y="0"/>
                      <a:ext cx="52387" cy="52387"/>
                    </a:xfrm>
                    <a:prstGeom prst="rect">
                      <a:avLst/>
                    </a:prstGeom>
                  </pic:spPr>
                </pic:pic>
              </a:graphicData>
            </a:graphic>
          </wp:anchor>
        </w:drawing>
      </w:r>
      <w:r>
        <w:rPr/>
        <w:t>The ability for a specialist pain medicine physicians to order a Chronic Disease Care Plan for their patient, with referral to suitably trained allied health</w:t>
      </w:r>
    </w:p>
    <w:p>
      <w:pPr>
        <w:pStyle w:val="BodyText"/>
        <w:spacing w:line="312" w:lineRule="auto"/>
        <w:ind w:left="2219" w:right="1746"/>
        <w:jc w:val="both"/>
      </w:pPr>
      <w:r>
        <w:rPr/>
        <w:t>professionals (currently the MBS stipulates this can only be done by the GP which requires the patient to arrange a separate GP consultation. This is unhelpful to the patient, unnecessary, and adds to MBS and patient costs.)</w:t>
      </w:r>
    </w:p>
    <w:p>
      <w:pPr>
        <w:pStyle w:val="BodyText"/>
        <w:spacing w:line="312" w:lineRule="auto" w:before="132"/>
        <w:ind w:left="2219" w:right="1838"/>
      </w:pPr>
      <w:r>
        <w:rPr/>
        <w:drawing>
          <wp:anchor distT="0" distB="0" distL="0" distR="0" allowOverlap="1" layoutInCell="1" locked="0" behindDoc="0" simplePos="0" relativeHeight="15903232">
            <wp:simplePos x="0" y="0"/>
            <wp:positionH relativeFrom="page">
              <wp:posOffset>1423606</wp:posOffset>
            </wp:positionH>
            <wp:positionV relativeFrom="paragraph">
              <wp:posOffset>152128</wp:posOffset>
            </wp:positionV>
            <wp:extent cx="52387" cy="52387"/>
            <wp:effectExtent l="0" t="0" r="0" b="0"/>
            <wp:wrapNone/>
            <wp:docPr id="719" name="image176.png"/>
            <wp:cNvGraphicFramePr>
              <a:graphicFrameLocks noChangeAspect="1"/>
            </wp:cNvGraphicFramePr>
            <a:graphic>
              <a:graphicData uri="http://schemas.openxmlformats.org/drawingml/2006/picture">
                <pic:pic>
                  <pic:nvPicPr>
                    <pic:cNvPr id="720" name="image176.png"/>
                    <pic:cNvPicPr/>
                  </pic:nvPicPr>
                  <pic:blipFill>
                    <a:blip r:embed="rId184" cstate="print"/>
                    <a:stretch>
                      <a:fillRect/>
                    </a:stretch>
                  </pic:blipFill>
                  <pic:spPr>
                    <a:xfrm>
                      <a:off x="0" y="0"/>
                      <a:ext cx="52387" cy="52387"/>
                    </a:xfrm>
                    <a:prstGeom prst="rect">
                      <a:avLst/>
                    </a:prstGeom>
                  </pic:spPr>
                </pic:pic>
              </a:graphicData>
            </a:graphic>
          </wp:anchor>
        </w:drawing>
      </w:r>
      <w:r>
        <w:rPr/>
        <w:t>An increase in the number of allied health visits for eligible patients with chronic pain under the Chronic Disease Care Plan (currently 5 allied health visits). It is recommended that a Chronic Pain Care Plan which allows up to 10 visits to a physio, psychologist or other allied health professional, depending on the patient individual needs, would potentially achieve a better outcome, given the complex nature of chronic pain.</w:t>
      </w:r>
    </w:p>
    <w:p>
      <w:pPr>
        <w:pStyle w:val="BodyText"/>
        <w:spacing w:line="312" w:lineRule="auto" w:before="130"/>
        <w:ind w:left="2219" w:right="2054"/>
      </w:pPr>
      <w:r>
        <w:rPr/>
        <w:drawing>
          <wp:anchor distT="0" distB="0" distL="0" distR="0" allowOverlap="1" layoutInCell="1" locked="0" behindDoc="0" simplePos="0" relativeHeight="15903744">
            <wp:simplePos x="0" y="0"/>
            <wp:positionH relativeFrom="page">
              <wp:posOffset>1423606</wp:posOffset>
            </wp:positionH>
            <wp:positionV relativeFrom="paragraph">
              <wp:posOffset>150858</wp:posOffset>
            </wp:positionV>
            <wp:extent cx="52387" cy="52387"/>
            <wp:effectExtent l="0" t="0" r="0" b="0"/>
            <wp:wrapNone/>
            <wp:docPr id="721" name="image175.png"/>
            <wp:cNvGraphicFramePr>
              <a:graphicFrameLocks noChangeAspect="1"/>
            </wp:cNvGraphicFramePr>
            <a:graphic>
              <a:graphicData uri="http://schemas.openxmlformats.org/drawingml/2006/picture">
                <pic:pic>
                  <pic:nvPicPr>
                    <pic:cNvPr id="722" name="image175.png"/>
                    <pic:cNvPicPr/>
                  </pic:nvPicPr>
                  <pic:blipFill>
                    <a:blip r:embed="rId183" cstate="print"/>
                    <a:stretch>
                      <a:fillRect/>
                    </a:stretch>
                  </pic:blipFill>
                  <pic:spPr>
                    <a:xfrm>
                      <a:off x="0" y="0"/>
                      <a:ext cx="52387" cy="52387"/>
                    </a:xfrm>
                    <a:prstGeom prst="rect">
                      <a:avLst/>
                    </a:prstGeom>
                  </pic:spPr>
                </pic:pic>
              </a:graphicData>
            </a:graphic>
          </wp:anchor>
        </w:drawing>
      </w:r>
      <w:r>
        <w:rPr/>
        <w:t>New MBS items (rebates) to cover accredited pain programs – programs which enable the patient to better understand their condition and learn a range of strategies to support their ability to self-manage chronic pain.</w:t>
      </w:r>
    </w:p>
    <w:p>
      <w:pPr>
        <w:pStyle w:val="BodyText"/>
        <w:spacing w:line="312" w:lineRule="auto" w:before="134"/>
        <w:ind w:left="2219" w:right="1767"/>
      </w:pPr>
      <w:r>
        <w:rPr/>
        <w:drawing>
          <wp:anchor distT="0" distB="0" distL="0" distR="0" allowOverlap="1" layoutInCell="1" locked="0" behindDoc="0" simplePos="0" relativeHeight="15904256">
            <wp:simplePos x="0" y="0"/>
            <wp:positionH relativeFrom="page">
              <wp:posOffset>1423606</wp:posOffset>
            </wp:positionH>
            <wp:positionV relativeFrom="paragraph">
              <wp:posOffset>153017</wp:posOffset>
            </wp:positionV>
            <wp:extent cx="52387" cy="52387"/>
            <wp:effectExtent l="0" t="0" r="0" b="0"/>
            <wp:wrapNone/>
            <wp:docPr id="723" name="image176.png"/>
            <wp:cNvGraphicFramePr>
              <a:graphicFrameLocks noChangeAspect="1"/>
            </wp:cNvGraphicFramePr>
            <a:graphic>
              <a:graphicData uri="http://schemas.openxmlformats.org/drawingml/2006/picture">
                <pic:pic>
                  <pic:nvPicPr>
                    <pic:cNvPr id="724" name="image176.png"/>
                    <pic:cNvPicPr/>
                  </pic:nvPicPr>
                  <pic:blipFill>
                    <a:blip r:embed="rId184" cstate="print"/>
                    <a:stretch>
                      <a:fillRect/>
                    </a:stretch>
                  </pic:blipFill>
                  <pic:spPr>
                    <a:xfrm>
                      <a:off x="0" y="0"/>
                      <a:ext cx="52387" cy="52387"/>
                    </a:xfrm>
                    <a:prstGeom prst="rect">
                      <a:avLst/>
                    </a:prstGeom>
                  </pic:spPr>
                </pic:pic>
              </a:graphicData>
            </a:graphic>
          </wp:anchor>
        </w:drawing>
      </w:r>
      <w:r>
        <w:rPr/>
        <w:t>New MBS items that allow for multidisciplinary assessment and case conferencing for a multidisciplinary team caring for the patient with chronic pain.</w:t>
      </w:r>
    </w:p>
    <w:p>
      <w:pPr>
        <w:spacing w:after="0" w:line="312" w:lineRule="auto"/>
        <w:sectPr>
          <w:pgSz w:w="11910" w:h="16840"/>
          <w:pgMar w:header="672" w:footer="978" w:top="1300" w:bottom="1160" w:left="440" w:right="140"/>
        </w:sectPr>
      </w:pPr>
    </w:p>
    <w:p>
      <w:pPr>
        <w:pStyle w:val="BodyText"/>
        <w:rPr>
          <w:sz w:val="20"/>
        </w:rPr>
      </w:pPr>
    </w:p>
    <w:p>
      <w:pPr>
        <w:pStyle w:val="BodyText"/>
        <w:spacing w:before="9"/>
        <w:rPr>
          <w:sz w:val="27"/>
        </w:rPr>
      </w:pPr>
    </w:p>
    <w:p>
      <w:pPr>
        <w:pStyle w:val="Heading1"/>
        <w:numPr>
          <w:ilvl w:val="0"/>
          <w:numId w:val="10"/>
        </w:numPr>
        <w:tabs>
          <w:tab w:pos="1790" w:val="left" w:leader="none"/>
        </w:tabs>
        <w:spacing w:line="240" w:lineRule="auto" w:before="20" w:after="0"/>
        <w:ind w:left="1790" w:right="0" w:hanging="432"/>
        <w:jc w:val="left"/>
      </w:pPr>
      <w:bookmarkStart w:name="_TOC_250002" w:id="13"/>
      <w:bookmarkEnd w:id="13"/>
      <w:r>
        <w:rPr>
          <w:color w:val="00643E"/>
        </w:rPr>
        <w:t>References</w:t>
      </w:r>
    </w:p>
    <w:p>
      <w:pPr>
        <w:pStyle w:val="BodyText"/>
        <w:spacing w:before="9"/>
        <w:rPr>
          <w:b/>
          <w:sz w:val="26"/>
        </w:rPr>
      </w:pPr>
      <w:r>
        <w:rPr/>
        <w:pict>
          <v:rect style="position:absolute;margin-left:88.463997pt;margin-top:18.299414pt;width:418.51pt;height:1.92pt;mso-position-horizontal-relative:page;mso-position-vertical-relative:paragraph;z-index:-15552512;mso-wrap-distance-left:0;mso-wrap-distance-right:0" filled="true" fillcolor="#bebebe" stroked="false">
            <v:fill type="solid"/>
            <w10:wrap type="topAndBottom"/>
          </v:rect>
        </w:pict>
      </w:r>
    </w:p>
    <w:p>
      <w:pPr>
        <w:pStyle w:val="BodyText"/>
        <w:rPr>
          <w:b/>
          <w:sz w:val="20"/>
        </w:rPr>
      </w:pPr>
    </w:p>
    <w:p>
      <w:pPr>
        <w:pStyle w:val="BodyText"/>
        <w:rPr>
          <w:b/>
          <w:sz w:val="20"/>
        </w:rPr>
      </w:pPr>
    </w:p>
    <w:p>
      <w:pPr>
        <w:pStyle w:val="BodyText"/>
        <w:spacing w:before="4"/>
        <w:rPr>
          <w:b/>
          <w:sz w:val="16"/>
        </w:rPr>
      </w:pPr>
    </w:p>
    <w:p>
      <w:pPr>
        <w:spacing w:line="312" w:lineRule="auto" w:before="0"/>
        <w:ind w:left="2078" w:right="1983" w:hanging="720"/>
        <w:jc w:val="left"/>
        <w:rPr>
          <w:sz w:val="22"/>
        </w:rPr>
      </w:pPr>
      <w:r>
        <w:rPr>
          <w:sz w:val="22"/>
        </w:rPr>
        <w:t>Australian Commission on Safety and Quality in Health Care. (2015). </w:t>
      </w:r>
      <w:r>
        <w:rPr>
          <w:i/>
          <w:sz w:val="22"/>
        </w:rPr>
        <w:t>Australian Atlas of </w:t>
      </w:r>
      <w:r>
        <w:rPr>
          <w:i/>
          <w:sz w:val="22"/>
        </w:rPr>
        <w:t>Healthcare Variation Series</w:t>
      </w:r>
      <w:r>
        <w:rPr>
          <w:sz w:val="22"/>
        </w:rPr>
        <w:t>. Retrieved from Australian Commission on Safety and Quality in Health Care: https:/</w:t>
      </w:r>
      <w:hyperlink r:id="rId281">
        <w:r>
          <w:rPr>
            <w:sz w:val="22"/>
          </w:rPr>
          <w:t>/www.safetyandquality.gov.au/atlas/</w:t>
        </w:r>
      </w:hyperlink>
    </w:p>
    <w:p>
      <w:pPr>
        <w:pStyle w:val="BodyText"/>
        <w:spacing w:line="312" w:lineRule="auto" w:before="179"/>
        <w:ind w:left="2078" w:right="1965" w:hanging="720"/>
      </w:pPr>
      <w:r>
        <w:rPr/>
        <w:t>Australian Pain Society. (n.d.). Retrieved from https://blog.apsoc.org.au/2016/10/05/the- work-injury-screening-and-early-intervention-wise-study/.</w:t>
      </w:r>
    </w:p>
    <w:p>
      <w:pPr>
        <w:pStyle w:val="BodyText"/>
        <w:spacing w:line="312" w:lineRule="auto" w:before="181"/>
        <w:ind w:left="2078" w:right="1728" w:hanging="720"/>
      </w:pPr>
      <w:r>
        <w:rPr/>
        <w:t>cancer.org.au. (n.d.). </w:t>
      </w:r>
      <w:r>
        <w:rPr>
          <w:i/>
        </w:rPr>
        <w:t>Guidelines: Cancer pain management</w:t>
      </w:r>
      <w:r>
        <w:rPr/>
        <w:t>. Retrieved from https://wiki.cancer.org.au/australia/Guidelines:Cancer_pain_management/Patient_ awareness_%26_self-management.</w:t>
      </w:r>
    </w:p>
    <w:p>
      <w:pPr>
        <w:pStyle w:val="BodyText"/>
        <w:spacing w:before="179"/>
        <w:ind w:left="1342" w:right="1641"/>
        <w:jc w:val="center"/>
      </w:pPr>
      <w:r>
        <w:rPr/>
        <w:t>Celik B, E. U. (2011). Effectiveness of Lumbar Zygapophysial Joint Blockage for Low Back Pain.</w:t>
      </w:r>
    </w:p>
    <w:p>
      <w:pPr>
        <w:spacing w:before="82"/>
        <w:ind w:left="1342" w:right="1589" w:firstLine="0"/>
        <w:jc w:val="center"/>
        <w:rPr>
          <w:sz w:val="22"/>
        </w:rPr>
      </w:pPr>
      <w:r>
        <w:rPr>
          <w:i/>
          <w:sz w:val="22"/>
        </w:rPr>
        <w:t>Turkish Neurosurgery, 21</w:t>
      </w:r>
      <w:r>
        <w:rPr>
          <w:sz w:val="22"/>
        </w:rPr>
        <w:t>(4), 467-470. doi:10.5137/1019-5149.JTN .4057-10.1</w:t>
      </w:r>
    </w:p>
    <w:p>
      <w:pPr>
        <w:pStyle w:val="BodyText"/>
        <w:spacing w:before="3"/>
        <w:rPr>
          <w:sz w:val="21"/>
        </w:rPr>
      </w:pPr>
    </w:p>
    <w:p>
      <w:pPr>
        <w:spacing w:line="312" w:lineRule="auto" w:before="0"/>
        <w:ind w:left="2078" w:right="1822" w:hanging="720"/>
        <w:jc w:val="left"/>
        <w:rPr>
          <w:sz w:val="22"/>
        </w:rPr>
      </w:pPr>
      <w:r>
        <w:rPr>
          <w:sz w:val="22"/>
        </w:rPr>
        <w:t>Davies, A. (2018). </w:t>
      </w:r>
      <w:r>
        <w:rPr>
          <w:i/>
          <w:sz w:val="22"/>
        </w:rPr>
        <w:t>How the management of breakthrough cancer pain is evolving. </w:t>
      </w:r>
      <w:r>
        <w:rPr>
          <w:sz w:val="22"/>
        </w:rPr>
        <w:t>Retrieved from Research Review: </w:t>
      </w:r>
      <w:hyperlink r:id="rId282">
        <w:r>
          <w:rPr>
            <w:sz w:val="22"/>
          </w:rPr>
          <w:t>http://www.researchreview.com.au/</w:t>
        </w:r>
      </w:hyperlink>
    </w:p>
    <w:p>
      <w:pPr>
        <w:spacing w:line="312" w:lineRule="auto" w:before="180"/>
        <w:ind w:left="2078" w:right="1999" w:hanging="720"/>
        <w:jc w:val="both"/>
        <w:rPr>
          <w:sz w:val="22"/>
        </w:rPr>
      </w:pPr>
      <w:r>
        <w:rPr>
          <w:sz w:val="22"/>
        </w:rPr>
        <w:t>Eccleston, C., Fisher, E., Craig, L., Duggan, G., Rosser, B., &amp; Keogh, E. (2014). Psychological therapies (Internet-delivered) for the management of chronic pain in adults'. </w:t>
      </w:r>
      <w:r>
        <w:rPr>
          <w:i/>
          <w:sz w:val="22"/>
        </w:rPr>
        <w:t>The </w:t>
      </w:r>
      <w:r>
        <w:rPr>
          <w:i/>
          <w:sz w:val="22"/>
        </w:rPr>
        <w:t>Cochrane Database of Systematic Reviews, 2</w:t>
      </w:r>
      <w:r>
        <w:rPr>
          <w:sz w:val="22"/>
        </w:rPr>
        <w:t>.</w:t>
      </w:r>
    </w:p>
    <w:p>
      <w:pPr>
        <w:spacing w:before="182"/>
        <w:ind w:left="1358" w:right="0" w:firstLine="0"/>
        <w:jc w:val="left"/>
        <w:rPr>
          <w:i/>
          <w:sz w:val="22"/>
        </w:rPr>
      </w:pPr>
      <w:r>
        <w:rPr>
          <w:sz w:val="22"/>
        </w:rPr>
        <w:t>Elshaug, A. (2016). </w:t>
      </w:r>
      <w:r>
        <w:rPr>
          <w:i/>
          <w:sz w:val="22"/>
        </w:rPr>
        <w:t>Appropriate Use Criteria.</w:t>
      </w:r>
    </w:p>
    <w:p>
      <w:pPr>
        <w:pStyle w:val="BodyText"/>
        <w:spacing w:before="3"/>
        <w:rPr>
          <w:i/>
          <w:sz w:val="21"/>
        </w:rPr>
      </w:pPr>
    </w:p>
    <w:p>
      <w:pPr>
        <w:pStyle w:val="BodyText"/>
        <w:ind w:left="1358"/>
      </w:pPr>
      <w:r>
        <w:rPr/>
        <w:t>Faculty of Pain Medicine. (2010). National Pain Summit Initiative - National Pain Strategy.</w:t>
      </w:r>
    </w:p>
    <w:p>
      <w:pPr>
        <w:pStyle w:val="BodyText"/>
        <w:spacing w:before="3"/>
        <w:rPr>
          <w:sz w:val="21"/>
        </w:rPr>
      </w:pPr>
    </w:p>
    <w:p>
      <w:pPr>
        <w:pStyle w:val="BodyText"/>
        <w:spacing w:line="312" w:lineRule="auto"/>
        <w:ind w:left="2078" w:right="1887" w:hanging="720"/>
      </w:pPr>
      <w:r>
        <w:rPr/>
        <w:t>Grace, V., &amp; Zondervan, K. (2004). Chronic Pelvic Pain in New Zealand; prevalence, pain severity, diagnoses and use of the health services. </w:t>
      </w:r>
      <w:r>
        <w:rPr>
          <w:i/>
        </w:rPr>
        <w:t>Australian NZ Public Health</w:t>
      </w:r>
      <w:r>
        <w:rPr/>
        <w:t>(28), 369-375.</w:t>
      </w:r>
    </w:p>
    <w:p>
      <w:pPr>
        <w:pStyle w:val="BodyText"/>
        <w:spacing w:line="312" w:lineRule="auto" w:before="181"/>
        <w:ind w:left="2078" w:right="2279" w:hanging="720"/>
      </w:pPr>
      <w:r>
        <w:rPr/>
        <w:t>Gunduz, O. H., &amp; Kenis-Coskun, O. (2017). </w:t>
      </w:r>
      <w:r>
        <w:rPr>
          <w:i/>
        </w:rPr>
        <w:t>Dovepress</w:t>
      </w:r>
      <w:r>
        <w:rPr/>
        <w:t>. Retrieved from https://</w:t>
      </w:r>
      <w:hyperlink r:id="rId283">
        <w:r>
          <w:rPr/>
          <w:t>www.dovepress.com/ganglion-blocks-as-a-treatment-of-pain-current-</w:t>
        </w:r>
      </w:hyperlink>
      <w:r>
        <w:rPr/>
        <w:t> perspectives-peer-reviewed-fulltext-article-JPR</w:t>
      </w:r>
    </w:p>
    <w:p>
      <w:pPr>
        <w:pStyle w:val="BodyText"/>
        <w:spacing w:line="312" w:lineRule="auto" w:before="180"/>
        <w:ind w:left="2078" w:right="1645" w:hanging="720"/>
      </w:pPr>
      <w:r>
        <w:rPr/>
        <w:t>Healthcare Improvement Scotland. (2013). </w:t>
      </w:r>
      <w:r>
        <w:rPr>
          <w:i/>
        </w:rPr>
        <w:t>The Australian Pain Society</w:t>
      </w:r>
      <w:r>
        <w:rPr/>
        <w:t>. Retrieved from https://</w:t>
      </w:r>
      <w:hyperlink r:id="rId284">
        <w:r>
          <w:rPr/>
          <w:t>www.apsoc.org.au/PDF/Position_Paper/201312_SIGN136_Management_of_</w:t>
        </w:r>
      </w:hyperlink>
      <w:r>
        <w:rPr/>
        <w:t> chronic_pain.pdf</w:t>
      </w:r>
    </w:p>
    <w:p>
      <w:pPr>
        <w:spacing w:line="312" w:lineRule="auto" w:before="182"/>
        <w:ind w:left="2078" w:right="2137" w:hanging="720"/>
        <w:jc w:val="left"/>
        <w:rPr>
          <w:sz w:val="22"/>
        </w:rPr>
      </w:pPr>
      <w:r>
        <w:rPr>
          <w:sz w:val="22"/>
        </w:rPr>
        <w:t>International Neuromodulation Society. (2017). </w:t>
      </w:r>
      <w:r>
        <w:rPr>
          <w:i/>
          <w:sz w:val="22"/>
        </w:rPr>
        <w:t>International Neuromodulation Society, </w:t>
      </w:r>
      <w:r>
        <w:rPr>
          <w:i/>
          <w:sz w:val="22"/>
        </w:rPr>
        <w:t>2017. Neuromodulation Research [Online]</w:t>
      </w:r>
      <w:r>
        <w:rPr>
          <w:sz w:val="22"/>
        </w:rPr>
        <w:t>.</w:t>
      </w:r>
    </w:p>
    <w:p>
      <w:pPr>
        <w:spacing w:after="0" w:line="312" w:lineRule="auto"/>
        <w:jc w:val="left"/>
        <w:rPr>
          <w:sz w:val="22"/>
        </w:rPr>
        <w:sectPr>
          <w:pgSz w:w="11910" w:h="16840"/>
          <w:pgMar w:header="672" w:footer="978" w:top="1300" w:bottom="1160" w:left="440" w:right="140"/>
        </w:sectPr>
      </w:pPr>
    </w:p>
    <w:p>
      <w:pPr>
        <w:pStyle w:val="BodyText"/>
        <w:rPr>
          <w:sz w:val="20"/>
        </w:rPr>
      </w:pPr>
    </w:p>
    <w:p>
      <w:pPr>
        <w:pStyle w:val="BodyText"/>
        <w:spacing w:before="3"/>
        <w:rPr>
          <w:sz w:val="24"/>
        </w:rPr>
      </w:pPr>
    </w:p>
    <w:p>
      <w:pPr>
        <w:pStyle w:val="BodyText"/>
        <w:spacing w:line="312" w:lineRule="auto" w:before="57"/>
        <w:ind w:left="2078" w:right="2400" w:hanging="720"/>
        <w:jc w:val="both"/>
      </w:pPr>
      <w:r>
        <w:rPr/>
        <w:t>Kawu AA, Olawepo A, Salami AO. (2011). Facet Joints Infiltration: A viable alternative treatment to physiotherapy in patients with low back pain due to facet joint arthropathy. </w:t>
      </w:r>
      <w:r>
        <w:rPr>
          <w:i/>
        </w:rPr>
        <w:t>Nigerian Journal of Clinical Practice, 14</w:t>
      </w:r>
      <w:r>
        <w:rPr/>
        <w:t>(2), 219-222.</w:t>
      </w:r>
    </w:p>
    <w:p>
      <w:pPr>
        <w:pStyle w:val="BodyText"/>
        <w:spacing w:before="179"/>
        <w:ind w:left="1358"/>
      </w:pPr>
      <w:r>
        <w:rPr/>
        <w:t>Kennedy, D. J., Huynh, L., Wong, J., Mattie, R., Levin, J., Smuck, M., &amp; Schneider, B. J. (2018).</w:t>
      </w:r>
    </w:p>
    <w:p>
      <w:pPr>
        <w:spacing w:line="312" w:lineRule="auto" w:before="82"/>
        <w:ind w:left="2078" w:right="2294" w:firstLine="0"/>
        <w:jc w:val="left"/>
        <w:rPr>
          <w:sz w:val="22"/>
        </w:rPr>
      </w:pPr>
      <w:r>
        <w:rPr>
          <w:i/>
          <w:sz w:val="22"/>
        </w:rPr>
        <w:t>Corticosteroid Injections Into Lumbar Facet Joints: A Prospective, Randomized, </w:t>
      </w:r>
      <w:r>
        <w:rPr>
          <w:i/>
          <w:sz w:val="22"/>
        </w:rPr>
        <w:t>Double-Blind Placebo-Controlled Trial. </w:t>
      </w:r>
      <w:r>
        <w:rPr>
          <w:sz w:val="22"/>
        </w:rPr>
        <w:t>Retrieved from PubMed.gov: https://</w:t>
      </w:r>
      <w:hyperlink r:id="rId285">
        <w:r>
          <w:rPr>
            <w:sz w:val="22"/>
          </w:rPr>
          <w:t>www.ncbi.nlm.nih.gov/pubmed/29734232</w:t>
        </w:r>
      </w:hyperlink>
    </w:p>
    <w:p>
      <w:pPr>
        <w:spacing w:line="312" w:lineRule="auto" w:before="179"/>
        <w:ind w:left="2078" w:right="2156" w:hanging="720"/>
        <w:jc w:val="left"/>
        <w:rPr>
          <w:sz w:val="22"/>
        </w:rPr>
      </w:pPr>
      <w:r>
        <w:rPr>
          <w:sz w:val="22"/>
        </w:rPr>
        <w:t>Keogh, E., Rosser, B. A., &amp; Eccleston, C. (2010). </w:t>
      </w:r>
      <w:r>
        <w:rPr>
          <w:i/>
          <w:sz w:val="22"/>
        </w:rPr>
        <w:t>e-Health and chronic pain management: </w:t>
      </w:r>
      <w:r>
        <w:rPr>
          <w:i/>
          <w:sz w:val="22"/>
        </w:rPr>
        <w:t>Current status and developments. </w:t>
      </w:r>
      <w:r>
        <w:rPr>
          <w:sz w:val="22"/>
        </w:rPr>
        <w:t>Pain 151. Retrieved from</w:t>
      </w:r>
      <w:hyperlink r:id="rId286">
        <w:r>
          <w:rPr>
            <w:sz w:val="22"/>
          </w:rPr>
          <w:t> http://www.elsevier.com/locate/pain</w:t>
        </w:r>
      </w:hyperlink>
    </w:p>
    <w:p>
      <w:pPr>
        <w:pStyle w:val="BodyText"/>
        <w:spacing w:line="312" w:lineRule="auto" w:before="179"/>
        <w:ind w:left="2078" w:right="2585" w:hanging="720"/>
        <w:jc w:val="both"/>
      </w:pPr>
      <w:r>
        <w:rPr/>
        <w:t>Mathias, S. D., Kupperman, M., Liberman, R. F., &amp; et al. (1996). Chronic Pelvic Pain: prevalence, health-related quality of life, and economic correlates. </w:t>
      </w:r>
      <w:r>
        <w:rPr>
          <w:i/>
        </w:rPr>
        <w:t>Obstet </w:t>
      </w:r>
      <w:r>
        <w:rPr>
          <w:i/>
        </w:rPr>
        <w:t>Gynaecol</w:t>
      </w:r>
      <w:r>
        <w:rPr/>
        <w:t>(87), 327-327.</w:t>
      </w:r>
    </w:p>
    <w:p>
      <w:pPr>
        <w:pStyle w:val="BodyText"/>
        <w:spacing w:line="312" w:lineRule="auto" w:before="182"/>
        <w:ind w:left="2078" w:right="1724" w:hanging="720"/>
      </w:pPr>
      <w:r>
        <w:rPr/>
        <w:t>McGeary, D. D., McGeary, C. A., &amp; Gatchel, R. J. (2012). A Comprehensive Review of Telehealth for Pain Managament: Where We are and The Way Ahead. </w:t>
      </w:r>
      <w:r>
        <w:rPr>
          <w:i/>
        </w:rPr>
        <w:t>Pain Practice, </w:t>
      </w:r>
      <w:r>
        <w:rPr>
          <w:i/>
        </w:rPr>
        <w:t>12</w:t>
      </w:r>
      <w:r>
        <w:rPr/>
        <w:t>(7), pp. 570-577.</w:t>
      </w:r>
    </w:p>
    <w:p>
      <w:pPr>
        <w:pStyle w:val="BodyText"/>
        <w:spacing w:line="312" w:lineRule="auto" w:before="179"/>
        <w:ind w:left="2078" w:right="1685" w:hanging="720"/>
      </w:pPr>
      <w:r>
        <w:rPr/>
        <w:t>Mekhail, N., Visnjevac, O., Azer, G., Mehanny, D. S., Agrawal, P., &amp; Foorsov, V. (2018, May). Spinal Cord Stimulation 50 Years Later - Clinical Outcomes of Spinal Cord Stimulation Based on Randomized Clinical Trials - A Systematic Review. </w:t>
      </w:r>
      <w:r>
        <w:rPr>
          <w:i/>
        </w:rPr>
        <w:t>Regional Anesthesia and </w:t>
      </w:r>
      <w:r>
        <w:rPr>
          <w:i/>
        </w:rPr>
        <w:t>Pain Medicine, 43</w:t>
      </w:r>
      <w:r>
        <w:rPr/>
        <w:t>(4), 391-406.</w:t>
      </w:r>
    </w:p>
    <w:p>
      <w:pPr>
        <w:pStyle w:val="BodyText"/>
        <w:spacing w:line="312" w:lineRule="auto" w:before="180"/>
        <w:ind w:left="2078" w:right="1695" w:hanging="720"/>
      </w:pPr>
      <w:r>
        <w:rPr/>
        <w:t>Mercadante, S., Klepstad, P., Kurita, G. P., &amp; al, e. (2015). </w:t>
      </w:r>
      <w:r>
        <w:rPr>
          <w:i/>
        </w:rPr>
        <w:t>PubMed.gov</w:t>
      </w:r>
      <w:r>
        <w:rPr/>
        <w:t>. Retrieved 2015, from https://</w:t>
      </w:r>
      <w:hyperlink r:id="rId287">
        <w:r>
          <w:rPr/>
          <w:t>www.ncbi.nlm.nih.gov/pubmed/26297518</w:t>
        </w:r>
      </w:hyperlink>
    </w:p>
    <w:p>
      <w:pPr>
        <w:spacing w:line="312" w:lineRule="auto" w:before="181"/>
        <w:ind w:left="2078" w:right="1765" w:hanging="720"/>
        <w:jc w:val="left"/>
        <w:rPr>
          <w:sz w:val="22"/>
        </w:rPr>
      </w:pPr>
      <w:r>
        <w:rPr>
          <w:sz w:val="22"/>
        </w:rPr>
        <w:t>NSW Agency for Clinical Innovation. (2015, April). </w:t>
      </w:r>
      <w:r>
        <w:rPr>
          <w:i/>
          <w:sz w:val="22"/>
        </w:rPr>
        <w:t>Pain Management Programs – Which </w:t>
      </w:r>
      <w:r>
        <w:rPr>
          <w:i/>
          <w:sz w:val="22"/>
        </w:rPr>
        <w:t>Patient for Which Program? A guide for NSW Tier 3 and Tier 2 public health facilities providing pain programs for adults . </w:t>
      </w:r>
      <w:r>
        <w:rPr>
          <w:sz w:val="22"/>
        </w:rPr>
        <w:t>Retrieved from https://</w:t>
      </w:r>
      <w:hyperlink r:id="rId288">
        <w:r>
          <w:rPr>
            <w:sz w:val="22"/>
          </w:rPr>
          <w:t>www.apsoc.org.au/PDF/Position_Paper/201504_ACI13-015-pain-mgmt-</w:t>
        </w:r>
      </w:hyperlink>
      <w:r>
        <w:rPr>
          <w:sz w:val="22"/>
        </w:rPr>
        <w:t> programs-2015-web.pdf.</w:t>
      </w:r>
    </w:p>
    <w:p>
      <w:pPr>
        <w:pStyle w:val="BodyText"/>
        <w:spacing w:before="179"/>
        <w:ind w:left="1358"/>
      </w:pPr>
      <w:r>
        <w:rPr/>
        <w:t>NSW Cancer Institute. (n.d.). </w:t>
      </w:r>
      <w:r>
        <w:rPr>
          <w:i/>
        </w:rPr>
        <w:t>eviQ</w:t>
      </w:r>
      <w:r>
        <w:rPr/>
        <w:t>. Retrieved from https:/</w:t>
      </w:r>
      <w:hyperlink r:id="rId289">
        <w:r>
          <w:rPr/>
          <w:t>/www.eviq.org.au.</w:t>
        </w:r>
      </w:hyperlink>
    </w:p>
    <w:p>
      <w:pPr>
        <w:pStyle w:val="BodyText"/>
        <w:spacing w:before="6"/>
        <w:rPr>
          <w:sz w:val="21"/>
        </w:rPr>
      </w:pPr>
    </w:p>
    <w:p>
      <w:pPr>
        <w:pStyle w:val="BodyText"/>
        <w:spacing w:line="312" w:lineRule="auto"/>
        <w:ind w:left="2078" w:right="1770" w:hanging="720"/>
      </w:pPr>
      <w:r>
        <w:rPr/>
        <w:t>Painaustralia. (2019). </w:t>
      </w:r>
      <w:r>
        <w:rPr>
          <w:i/>
        </w:rPr>
        <w:t>The cost of pain in Australia. </w:t>
      </w:r>
      <w:r>
        <w:rPr/>
        <w:t>Canberra: PainAustralia. Retrieved from https://</w:t>
      </w:r>
      <w:hyperlink r:id="rId290">
        <w:r>
          <w:rPr/>
          <w:t>www.painaustralia.org.au/static/uploads/files/the-cost-of-pain-in-australia-</w:t>
        </w:r>
      </w:hyperlink>
      <w:r>
        <w:rPr/>
        <w:t> final-report-12mar-wfxbrfyboams.pdf</w:t>
      </w:r>
    </w:p>
    <w:p>
      <w:pPr>
        <w:spacing w:line="312" w:lineRule="auto" w:before="179"/>
        <w:ind w:left="2078" w:right="4022" w:hanging="720"/>
        <w:jc w:val="left"/>
        <w:rPr>
          <w:sz w:val="22"/>
        </w:rPr>
      </w:pPr>
      <w:r>
        <w:rPr>
          <w:sz w:val="22"/>
        </w:rPr>
        <w:t>painaustralia. (n.d.). </w:t>
      </w:r>
      <w:r>
        <w:rPr>
          <w:i/>
          <w:sz w:val="22"/>
        </w:rPr>
        <w:t>Painful Facts - Economic Cost </w:t>
      </w:r>
      <w:r>
        <w:rPr>
          <w:sz w:val="22"/>
        </w:rPr>
        <w:t>. Retrieved from</w:t>
      </w:r>
      <w:hyperlink r:id="rId291">
        <w:r>
          <w:rPr>
            <w:sz w:val="22"/>
          </w:rPr>
          <w:t> http://www.painaustralia.org.au/about-pain/painful-facts</w:t>
        </w:r>
      </w:hyperlink>
    </w:p>
    <w:p>
      <w:pPr>
        <w:spacing w:after="0" w:line="312" w:lineRule="auto"/>
        <w:jc w:val="left"/>
        <w:rPr>
          <w:sz w:val="22"/>
        </w:rPr>
        <w:sectPr>
          <w:pgSz w:w="11910" w:h="16840"/>
          <w:pgMar w:header="672" w:footer="978" w:top="1300" w:bottom="1160" w:left="440" w:right="140"/>
        </w:sectPr>
      </w:pPr>
    </w:p>
    <w:p>
      <w:pPr>
        <w:pStyle w:val="BodyText"/>
        <w:rPr>
          <w:sz w:val="20"/>
        </w:rPr>
      </w:pPr>
    </w:p>
    <w:p>
      <w:pPr>
        <w:pStyle w:val="BodyText"/>
        <w:spacing w:before="3"/>
        <w:rPr>
          <w:sz w:val="24"/>
        </w:rPr>
      </w:pPr>
    </w:p>
    <w:p>
      <w:pPr>
        <w:spacing w:line="312" w:lineRule="auto" w:before="57"/>
        <w:ind w:left="2078" w:right="2015" w:hanging="720"/>
        <w:jc w:val="left"/>
        <w:rPr>
          <w:sz w:val="22"/>
        </w:rPr>
      </w:pPr>
      <w:r>
        <w:rPr>
          <w:sz w:val="22"/>
        </w:rPr>
        <w:t>Pronovost, A., Peng, P. M., &amp; Ker, R. (2009, May 30). Telemedicine in the management of chronic pain: a cost. </w:t>
      </w:r>
      <w:r>
        <w:rPr>
          <w:i/>
          <w:sz w:val="22"/>
        </w:rPr>
        <w:t>Canadian Anesthesiologists' Society</w:t>
      </w:r>
      <w:r>
        <w:rPr>
          <w:sz w:val="22"/>
        </w:rPr>
        <w:t>, pp. 590-596.</w:t>
      </w:r>
    </w:p>
    <w:p>
      <w:pPr>
        <w:spacing w:line="312" w:lineRule="auto" w:before="180"/>
        <w:ind w:left="2078" w:right="1998" w:hanging="720"/>
        <w:jc w:val="left"/>
        <w:rPr>
          <w:sz w:val="22"/>
        </w:rPr>
      </w:pPr>
      <w:r>
        <w:rPr>
          <w:sz w:val="22"/>
        </w:rPr>
        <w:t>Royal Australian College of General Practitioners. (2016). </w:t>
      </w:r>
      <w:r>
        <w:rPr>
          <w:i/>
          <w:sz w:val="22"/>
        </w:rPr>
        <w:t>PM16 - Pain Management </w:t>
      </w:r>
      <w:r>
        <w:rPr>
          <w:i/>
          <w:sz w:val="22"/>
        </w:rPr>
        <w:t>Contextual Unit. </w:t>
      </w:r>
      <w:r>
        <w:rPr>
          <w:sz w:val="22"/>
        </w:rPr>
        <w:t>Royal Australian College of General Practitioners. Curriculum for Australian General Practice.</w:t>
      </w:r>
    </w:p>
    <w:p>
      <w:pPr>
        <w:pStyle w:val="BodyText"/>
        <w:spacing w:line="312" w:lineRule="auto" w:before="179"/>
        <w:ind w:left="2078" w:right="1706" w:hanging="720"/>
      </w:pPr>
      <w:r>
        <w:rPr/>
        <w:t>Smith, T. J., Staats, P. S., Deer, T., Stearns, L. J., Rauck, R. L., Boortz-Marx, R. L., &amp; et, a. (2002). Randomized Clinical Trial of an Implantable Drug Delivery System Compared with Comprehensive Medical Mangaement for Refractory Cancer Pain, Drug Related Toxicity and Survival. </w:t>
      </w:r>
      <w:r>
        <w:rPr>
          <w:i/>
        </w:rPr>
        <w:t>Journal of Oncology, 20</w:t>
      </w:r>
      <w:r>
        <w:rPr/>
        <w:t>, 4040-4049.</w:t>
      </w:r>
    </w:p>
    <w:p>
      <w:pPr>
        <w:spacing w:line="312" w:lineRule="auto" w:before="181"/>
        <w:ind w:left="2078" w:right="1788" w:hanging="720"/>
        <w:jc w:val="left"/>
        <w:rPr>
          <w:sz w:val="22"/>
        </w:rPr>
      </w:pPr>
      <w:r>
        <w:rPr>
          <w:sz w:val="22"/>
        </w:rPr>
        <w:t>The Australian Pain Society. (2017). </w:t>
      </w:r>
      <w:r>
        <w:rPr>
          <w:i/>
          <w:sz w:val="22"/>
        </w:rPr>
        <w:t>APS Guiding Principles for Pain Management</w:t>
      </w:r>
      <w:r>
        <w:rPr>
          <w:sz w:val="22"/>
        </w:rPr>
        <w:t>. Retrieved from https:/</w:t>
      </w:r>
      <w:hyperlink r:id="rId292">
        <w:r>
          <w:rPr>
            <w:sz w:val="22"/>
          </w:rPr>
          <w:t>/www.apsoc.org.au/position-papers</w:t>
        </w:r>
      </w:hyperlink>
    </w:p>
    <w:p>
      <w:pPr>
        <w:spacing w:before="180"/>
        <w:ind w:left="1358" w:right="0" w:firstLine="0"/>
        <w:jc w:val="left"/>
        <w:rPr>
          <w:sz w:val="22"/>
        </w:rPr>
      </w:pPr>
      <w:r>
        <w:rPr>
          <w:sz w:val="22"/>
        </w:rPr>
        <w:t>The Australian Pain Society. (2017). </w:t>
      </w:r>
      <w:r>
        <w:rPr>
          <w:i/>
          <w:sz w:val="22"/>
        </w:rPr>
        <w:t>APS Guiding Principles for Pain Management. [Online]</w:t>
      </w:r>
      <w:r>
        <w:rPr>
          <w:sz w:val="22"/>
        </w:rPr>
        <w:t>.</w:t>
      </w:r>
    </w:p>
    <w:p>
      <w:pPr>
        <w:pStyle w:val="BodyText"/>
        <w:spacing w:before="79"/>
        <w:ind w:left="2078"/>
      </w:pPr>
      <w:r>
        <w:rPr/>
        <w:t>Retrieved from https://</w:t>
      </w:r>
      <w:hyperlink r:id="rId292">
        <w:r>
          <w:rPr/>
          <w:t>www.apsoc.org.au/position-papers.</w:t>
        </w:r>
      </w:hyperlink>
    </w:p>
    <w:p>
      <w:pPr>
        <w:pStyle w:val="BodyText"/>
        <w:spacing w:before="6"/>
        <w:rPr>
          <w:sz w:val="21"/>
        </w:rPr>
      </w:pPr>
    </w:p>
    <w:p>
      <w:pPr>
        <w:spacing w:line="312" w:lineRule="auto" w:before="0"/>
        <w:ind w:left="2078" w:right="2903" w:hanging="720"/>
        <w:jc w:val="left"/>
        <w:rPr>
          <w:sz w:val="22"/>
        </w:rPr>
      </w:pPr>
      <w:r>
        <w:rPr>
          <w:sz w:val="22"/>
        </w:rPr>
        <w:t>Wan, A. (August 2014). GP Pain Management:What are the 'Ps' and 'As' of Pain Management? </w:t>
      </w:r>
      <w:r>
        <w:rPr>
          <w:i/>
          <w:sz w:val="22"/>
        </w:rPr>
        <w:t>Australian Family Physician</w:t>
      </w:r>
      <w:r>
        <w:rPr>
          <w:sz w:val="22"/>
        </w:rPr>
        <w:t>, 537-540.</w:t>
      </w:r>
    </w:p>
    <w:p>
      <w:pPr>
        <w:pStyle w:val="BodyText"/>
        <w:spacing w:line="312" w:lineRule="auto" w:before="180"/>
        <w:ind w:left="2078" w:right="1900" w:hanging="720"/>
      </w:pPr>
      <w:r>
        <w:rPr/>
        <w:t>Zakrzewska J.M., &amp;. A. (2011). </w:t>
      </w:r>
      <w:r>
        <w:rPr>
          <w:i/>
        </w:rPr>
        <w:t>Cochrane.org</w:t>
      </w:r>
      <w:r>
        <w:rPr/>
        <w:t>. Retrieved from https://</w:t>
      </w:r>
      <w:hyperlink r:id="rId293">
        <w:r>
          <w:rPr/>
          <w:t>www.cochrane.org/CD007312/NEUROMUSC_neurosurgical-interventions-</w:t>
        </w:r>
      </w:hyperlink>
      <w:r>
        <w:rPr/>
        <w:t> for-the-treatment-of-classical-trigeminal-neuralgia</w:t>
      </w:r>
    </w:p>
    <w:p>
      <w:pPr>
        <w:spacing w:line="312" w:lineRule="auto" w:before="180"/>
        <w:ind w:left="2078" w:right="1864" w:hanging="720"/>
        <w:jc w:val="left"/>
        <w:rPr>
          <w:sz w:val="22"/>
        </w:rPr>
      </w:pPr>
      <w:r>
        <w:rPr>
          <w:sz w:val="22"/>
        </w:rPr>
        <w:t>Zheng, S., He, L., &amp; Yang, X. (2017). </w:t>
      </w:r>
      <w:r>
        <w:rPr>
          <w:i/>
          <w:sz w:val="22"/>
        </w:rPr>
        <w:t>Evaluation of Intrathecal drug delivery System for </w:t>
      </w:r>
      <w:r>
        <w:rPr>
          <w:i/>
          <w:sz w:val="22"/>
        </w:rPr>
        <w:t>Intractable Pain in Advanced Malignancies: A Prospecxtive Cohort Study</w:t>
      </w:r>
      <w:r>
        <w:rPr>
          <w:sz w:val="22"/>
        </w:rPr>
        <w:t>. Retrieved from https:/</w:t>
      </w:r>
      <w:hyperlink r:id="rId294">
        <w:r>
          <w:rPr>
            <w:sz w:val="22"/>
          </w:rPr>
          <w:t>/www.ncbi.nlm.nih.gov/pubmed/28296770</w:t>
        </w:r>
      </w:hyperlink>
    </w:p>
    <w:p>
      <w:pPr>
        <w:spacing w:after="0" w:line="312" w:lineRule="auto"/>
        <w:jc w:val="left"/>
        <w:rPr>
          <w:sz w:val="22"/>
        </w:rPr>
        <w:sectPr>
          <w:pgSz w:w="11910" w:h="16840"/>
          <w:pgMar w:header="672" w:footer="978" w:top="1300" w:bottom="1160" w:left="440" w:right="140"/>
        </w:sectPr>
      </w:pPr>
    </w:p>
    <w:p>
      <w:pPr>
        <w:pStyle w:val="BodyText"/>
        <w:rPr>
          <w:sz w:val="20"/>
        </w:rPr>
      </w:pPr>
    </w:p>
    <w:p>
      <w:pPr>
        <w:pStyle w:val="BodyText"/>
        <w:spacing w:before="9"/>
        <w:rPr>
          <w:sz w:val="27"/>
        </w:rPr>
      </w:pPr>
    </w:p>
    <w:p>
      <w:pPr>
        <w:pStyle w:val="Heading1"/>
        <w:numPr>
          <w:ilvl w:val="0"/>
          <w:numId w:val="10"/>
        </w:numPr>
        <w:tabs>
          <w:tab w:pos="1925" w:val="left" w:leader="none"/>
        </w:tabs>
        <w:spacing w:line="240" w:lineRule="auto" w:before="20" w:after="0"/>
        <w:ind w:left="1924" w:right="0" w:hanging="567"/>
        <w:jc w:val="left"/>
      </w:pPr>
      <w:bookmarkStart w:name="_TOC_250001" w:id="14"/>
      <w:bookmarkEnd w:id="14"/>
      <w:r>
        <w:rPr>
          <w:color w:val="00643E"/>
        </w:rPr>
        <w:t>Glossary</w:t>
      </w:r>
    </w:p>
    <w:p>
      <w:pPr>
        <w:pStyle w:val="BodyText"/>
        <w:spacing w:before="9"/>
        <w:rPr>
          <w:b/>
          <w:sz w:val="26"/>
        </w:rPr>
      </w:pPr>
      <w:r>
        <w:rPr/>
        <w:pict>
          <v:rect style="position:absolute;margin-left:88.463997pt;margin-top:18.299414pt;width:418.51pt;height:1.92pt;mso-position-horizontal-relative:page;mso-position-vertical-relative:paragraph;z-index:-15552000;mso-wrap-distance-left:0;mso-wrap-distance-right:0" filled="true" fillcolor="#bebebe" stroked="false">
            <v:fill type="solid"/>
            <w10:wrap type="topAndBottom"/>
          </v:rect>
        </w:pict>
      </w:r>
    </w:p>
    <w:p>
      <w:pPr>
        <w:pStyle w:val="BodyText"/>
        <w:rPr>
          <w:b/>
          <w:sz w:val="20"/>
        </w:rPr>
      </w:pPr>
    </w:p>
    <w:p>
      <w:pPr>
        <w:pStyle w:val="BodyText"/>
        <w:rPr>
          <w:b/>
          <w:sz w:val="20"/>
        </w:rPr>
      </w:pPr>
    </w:p>
    <w:p>
      <w:pPr>
        <w:pStyle w:val="BodyText"/>
        <w:spacing w:before="7"/>
        <w:rPr>
          <w:b/>
          <w:sz w:val="16"/>
        </w:rPr>
      </w:pPr>
    </w:p>
    <w:tbl>
      <w:tblPr>
        <w:tblW w:w="0" w:type="auto"/>
        <w:jc w:val="left"/>
        <w:tblInd w:w="137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122"/>
        <w:gridCol w:w="6172"/>
      </w:tblGrid>
      <w:tr>
        <w:trPr>
          <w:trHeight w:val="451" w:hRule="atLeast"/>
        </w:trPr>
        <w:tc>
          <w:tcPr>
            <w:tcW w:w="2122" w:type="dxa"/>
            <w:tcBorders>
              <w:bottom w:val="nil"/>
            </w:tcBorders>
            <w:shd w:val="clear" w:color="auto" w:fill="00643E"/>
          </w:tcPr>
          <w:p>
            <w:pPr>
              <w:pStyle w:val="TableParagraph"/>
              <w:spacing w:before="83"/>
              <w:ind w:left="28"/>
              <w:rPr>
                <w:b/>
                <w:sz w:val="18"/>
              </w:rPr>
            </w:pPr>
            <w:r>
              <w:rPr>
                <w:b/>
                <w:color w:val="FFFFFF"/>
                <w:sz w:val="18"/>
              </w:rPr>
              <w:t>Term</w:t>
            </w:r>
          </w:p>
        </w:tc>
        <w:tc>
          <w:tcPr>
            <w:tcW w:w="6172" w:type="dxa"/>
            <w:tcBorders>
              <w:bottom w:val="nil"/>
            </w:tcBorders>
            <w:shd w:val="clear" w:color="auto" w:fill="00643E"/>
          </w:tcPr>
          <w:p>
            <w:pPr>
              <w:pStyle w:val="TableParagraph"/>
              <w:spacing w:before="83"/>
              <w:ind w:left="28"/>
              <w:rPr>
                <w:b/>
                <w:sz w:val="18"/>
              </w:rPr>
            </w:pPr>
            <w:r>
              <w:rPr>
                <w:b/>
                <w:color w:val="FFFFFF"/>
                <w:sz w:val="18"/>
              </w:rPr>
              <w:t>Description</w:t>
            </w:r>
          </w:p>
        </w:tc>
      </w:tr>
      <w:tr>
        <w:trPr>
          <w:trHeight w:val="508" w:hRule="atLeast"/>
        </w:trPr>
        <w:tc>
          <w:tcPr>
            <w:tcW w:w="2122" w:type="dxa"/>
            <w:tcBorders>
              <w:top w:val="nil"/>
              <w:left w:val="single" w:sz="8" w:space="0" w:color="BEBEBE"/>
              <w:bottom w:val="single" w:sz="8" w:space="0" w:color="BEBEBE"/>
              <w:right w:val="single" w:sz="8" w:space="0" w:color="BEBEBE"/>
            </w:tcBorders>
          </w:tcPr>
          <w:p>
            <w:pPr>
              <w:pStyle w:val="TableParagraph"/>
              <w:spacing w:before="3"/>
              <w:rPr>
                <w:b/>
                <w:sz w:val="13"/>
              </w:rPr>
            </w:pPr>
          </w:p>
          <w:p>
            <w:pPr>
              <w:pStyle w:val="TableParagraph"/>
              <w:ind w:left="28"/>
              <w:rPr>
                <w:sz w:val="18"/>
              </w:rPr>
            </w:pPr>
            <w:r>
              <w:rPr>
                <w:sz w:val="18"/>
              </w:rPr>
              <w:t>ACT</w:t>
            </w:r>
          </w:p>
        </w:tc>
        <w:tc>
          <w:tcPr>
            <w:tcW w:w="6172" w:type="dxa"/>
            <w:tcBorders>
              <w:top w:val="nil"/>
              <w:left w:val="single" w:sz="8" w:space="0" w:color="BEBEBE"/>
              <w:bottom w:val="single" w:sz="8" w:space="0" w:color="BEBEBE"/>
              <w:right w:val="single" w:sz="8" w:space="0" w:color="BEBEBE"/>
            </w:tcBorders>
          </w:tcPr>
          <w:p>
            <w:pPr>
              <w:pStyle w:val="TableParagraph"/>
              <w:spacing w:before="3"/>
              <w:rPr>
                <w:b/>
                <w:sz w:val="13"/>
              </w:rPr>
            </w:pPr>
          </w:p>
          <w:p>
            <w:pPr>
              <w:pStyle w:val="TableParagraph"/>
              <w:ind w:left="25"/>
              <w:rPr>
                <w:sz w:val="18"/>
              </w:rPr>
            </w:pPr>
            <w:r>
              <w:rPr>
                <w:sz w:val="18"/>
              </w:rPr>
              <w:t>Australian Capital Territory</w:t>
            </w:r>
          </w:p>
        </w:tc>
      </w:tr>
      <w:tr>
        <w:trPr>
          <w:trHeight w:val="819" w:hRule="atLeast"/>
        </w:trPr>
        <w:tc>
          <w:tcPr>
            <w:tcW w:w="2122" w:type="dxa"/>
            <w:tcBorders>
              <w:top w:val="single" w:sz="8" w:space="0" w:color="BEBEBE"/>
              <w:left w:val="single" w:sz="8" w:space="0" w:color="BEBEBE"/>
              <w:bottom w:val="single" w:sz="8" w:space="0" w:color="BEBEBE"/>
              <w:right w:val="single" w:sz="8" w:space="0" w:color="BEBEBE"/>
            </w:tcBorders>
          </w:tcPr>
          <w:p>
            <w:pPr>
              <w:pStyle w:val="TableParagraph"/>
              <w:spacing w:before="140"/>
              <w:ind w:left="28"/>
              <w:rPr>
                <w:sz w:val="18"/>
              </w:rPr>
            </w:pPr>
            <w:r>
              <w:rPr>
                <w:sz w:val="18"/>
              </w:rPr>
              <w:t>Best Practice</w:t>
            </w:r>
          </w:p>
        </w:tc>
        <w:tc>
          <w:tcPr>
            <w:tcW w:w="6172" w:type="dxa"/>
            <w:tcBorders>
              <w:top w:val="single" w:sz="8" w:space="0" w:color="BEBEBE"/>
              <w:left w:val="single" w:sz="8" w:space="0" w:color="BEBEBE"/>
              <w:bottom w:val="single" w:sz="8" w:space="0" w:color="BEBEBE"/>
              <w:right w:val="single" w:sz="8" w:space="0" w:color="BEBEBE"/>
            </w:tcBorders>
          </w:tcPr>
          <w:p>
            <w:pPr>
              <w:pStyle w:val="TableParagraph"/>
              <w:spacing w:line="312" w:lineRule="auto" w:before="138"/>
              <w:ind w:left="25" w:right="238"/>
              <w:rPr>
                <w:rFonts w:ascii="Arial"/>
                <w:sz w:val="22"/>
              </w:rPr>
            </w:pPr>
            <w:r>
              <w:rPr>
                <w:color w:val="212121"/>
                <w:sz w:val="18"/>
              </w:rPr>
              <w:t>Commercial or professional procedures that are accepted or prescribed as being correct or most effective</w:t>
            </w:r>
            <w:r>
              <w:rPr>
                <w:rFonts w:ascii="Arial"/>
                <w:color w:val="212121"/>
                <w:sz w:val="22"/>
              </w:rPr>
              <w:t>.</w:t>
            </w:r>
          </w:p>
        </w:tc>
      </w:tr>
      <w:tr>
        <w:trPr>
          <w:trHeight w:val="1103" w:hRule="atLeast"/>
        </w:trPr>
        <w:tc>
          <w:tcPr>
            <w:tcW w:w="2122" w:type="dxa"/>
            <w:tcBorders>
              <w:top w:val="single" w:sz="8" w:space="0" w:color="BEBEBE"/>
              <w:left w:val="single" w:sz="8" w:space="0" w:color="BEBEBE"/>
              <w:bottom w:val="single" w:sz="8" w:space="0" w:color="BEBEBE"/>
              <w:right w:val="single" w:sz="8" w:space="0" w:color="BEBEBE"/>
            </w:tcBorders>
          </w:tcPr>
          <w:p>
            <w:pPr>
              <w:pStyle w:val="TableParagraph"/>
              <w:spacing w:before="141"/>
              <w:ind w:left="28"/>
              <w:rPr>
                <w:sz w:val="18"/>
              </w:rPr>
            </w:pPr>
            <w:r>
              <w:rPr>
                <w:sz w:val="18"/>
              </w:rPr>
              <w:t>Bier’s Block</w:t>
            </w:r>
          </w:p>
        </w:tc>
        <w:tc>
          <w:tcPr>
            <w:tcW w:w="6172" w:type="dxa"/>
            <w:tcBorders>
              <w:top w:val="single" w:sz="8" w:space="0" w:color="BEBEBE"/>
              <w:left w:val="single" w:sz="8" w:space="0" w:color="BEBEBE"/>
              <w:bottom w:val="single" w:sz="8" w:space="0" w:color="BEBEBE"/>
              <w:right w:val="single" w:sz="8" w:space="0" w:color="BEBEBE"/>
            </w:tcBorders>
          </w:tcPr>
          <w:p>
            <w:pPr>
              <w:pStyle w:val="TableParagraph"/>
              <w:spacing w:line="312" w:lineRule="auto" w:before="138"/>
              <w:ind w:left="25" w:right="34"/>
              <w:rPr>
                <w:rFonts w:ascii="Arial"/>
                <w:sz w:val="22"/>
              </w:rPr>
            </w:pPr>
            <w:r>
              <w:rPr>
                <w:color w:val="212121"/>
                <w:sz w:val="18"/>
              </w:rPr>
              <w:t>Intravenous regional anaesthesia (IVRA) or </w:t>
            </w:r>
            <w:r>
              <w:rPr>
                <w:b/>
                <w:color w:val="212121"/>
                <w:sz w:val="18"/>
              </w:rPr>
              <w:t>Bier block </w:t>
            </w:r>
            <w:r>
              <w:rPr>
                <w:color w:val="212121"/>
                <w:sz w:val="18"/>
              </w:rPr>
              <w:t>anaesthesia is an anaesthetic technique for surgical procedures on the body's extremities where a local anaesthetic is injected intravenously distal to a tourniquet</w:t>
            </w:r>
            <w:r>
              <w:rPr>
                <w:rFonts w:ascii="Arial"/>
                <w:color w:val="212121"/>
                <w:sz w:val="22"/>
              </w:rPr>
              <w:t>.</w:t>
            </w:r>
          </w:p>
        </w:tc>
      </w:tr>
      <w:tr>
        <w:trPr>
          <w:trHeight w:val="793" w:hRule="atLeast"/>
        </w:trPr>
        <w:tc>
          <w:tcPr>
            <w:tcW w:w="2122" w:type="dxa"/>
            <w:tcBorders>
              <w:top w:val="single" w:sz="8" w:space="0" w:color="BEBEBE"/>
              <w:left w:val="single" w:sz="8" w:space="0" w:color="BEBEBE"/>
              <w:bottom w:val="single" w:sz="8" w:space="0" w:color="BEBEBE"/>
              <w:right w:val="single" w:sz="8" w:space="0" w:color="BEBEBE"/>
            </w:tcBorders>
          </w:tcPr>
          <w:p>
            <w:pPr>
              <w:pStyle w:val="TableParagraph"/>
              <w:spacing w:before="162"/>
              <w:ind w:left="28"/>
              <w:rPr>
                <w:sz w:val="18"/>
              </w:rPr>
            </w:pPr>
            <w:r>
              <w:rPr>
                <w:sz w:val="18"/>
              </w:rPr>
              <w:t>CAGR</w:t>
            </w:r>
          </w:p>
        </w:tc>
        <w:tc>
          <w:tcPr>
            <w:tcW w:w="6172" w:type="dxa"/>
            <w:tcBorders>
              <w:top w:val="single" w:sz="8" w:space="0" w:color="BEBEBE"/>
              <w:left w:val="single" w:sz="8" w:space="0" w:color="BEBEBE"/>
              <w:bottom w:val="single" w:sz="8" w:space="0" w:color="BEBEBE"/>
              <w:right w:val="single" w:sz="8" w:space="0" w:color="BEBEBE"/>
            </w:tcBorders>
          </w:tcPr>
          <w:p>
            <w:pPr>
              <w:pStyle w:val="TableParagraph"/>
              <w:spacing w:line="312" w:lineRule="auto" w:before="159"/>
              <w:ind w:left="25"/>
              <w:rPr>
                <w:sz w:val="18"/>
              </w:rPr>
            </w:pPr>
            <w:r>
              <w:rPr>
                <w:sz w:val="18"/>
              </w:rPr>
              <w:t>Compound annual growth rate or the average annual growth rate over a specified time period.</w:t>
            </w:r>
          </w:p>
        </w:tc>
      </w:tr>
      <w:tr>
        <w:trPr>
          <w:trHeight w:val="1938" w:hRule="atLeast"/>
        </w:trPr>
        <w:tc>
          <w:tcPr>
            <w:tcW w:w="2122" w:type="dxa"/>
            <w:tcBorders>
              <w:top w:val="single" w:sz="8" w:space="0" w:color="BEBEBE"/>
              <w:left w:val="single" w:sz="8" w:space="0" w:color="BEBEBE"/>
              <w:bottom w:val="single" w:sz="8" w:space="0" w:color="BEBEBE"/>
              <w:right w:val="single" w:sz="8" w:space="0" w:color="BEBEBE"/>
            </w:tcBorders>
          </w:tcPr>
          <w:p>
            <w:pPr>
              <w:pStyle w:val="TableParagraph"/>
              <w:spacing w:before="162"/>
              <w:ind w:left="28"/>
              <w:rPr>
                <w:sz w:val="18"/>
              </w:rPr>
            </w:pPr>
            <w:r>
              <w:rPr>
                <w:sz w:val="18"/>
              </w:rPr>
              <w:t>Change</w:t>
            </w:r>
          </w:p>
        </w:tc>
        <w:tc>
          <w:tcPr>
            <w:tcW w:w="6172" w:type="dxa"/>
            <w:tcBorders>
              <w:top w:val="single" w:sz="8" w:space="0" w:color="BEBEBE"/>
              <w:left w:val="single" w:sz="8" w:space="0" w:color="BEBEBE"/>
              <w:bottom w:val="single" w:sz="8" w:space="0" w:color="BEBEBE"/>
              <w:right w:val="single" w:sz="8" w:space="0" w:color="BEBEBE"/>
            </w:tcBorders>
          </w:tcPr>
          <w:p>
            <w:pPr>
              <w:pStyle w:val="TableParagraph"/>
              <w:spacing w:line="312" w:lineRule="auto" w:before="159"/>
              <w:ind w:left="25" w:right="44"/>
              <w:rPr>
                <w:sz w:val="18"/>
              </w:rPr>
            </w:pPr>
            <w:r>
              <w:rPr>
                <w:sz w:val="18"/>
              </w:rPr>
              <w:t>When referring to an item, "change" describes when the item and/or its services will be affected by the recommendations. This could result from a range of recommendations, such as: (i) specific recommendations that affect the services provided by changing item descriptors or explanatory notes; (ii) the consolidation of item numbers; and (iii) splitting item numbers (for example, splitting the current services provided across two or more items).</w:t>
            </w:r>
          </w:p>
        </w:tc>
      </w:tr>
      <w:tr>
        <w:trPr>
          <w:trHeight w:val="1060" w:hRule="atLeast"/>
        </w:trPr>
        <w:tc>
          <w:tcPr>
            <w:tcW w:w="2122" w:type="dxa"/>
            <w:tcBorders>
              <w:top w:val="single" w:sz="8" w:space="0" w:color="BEBEBE"/>
              <w:left w:val="single" w:sz="8" w:space="0" w:color="BEBEBE"/>
              <w:bottom w:val="single" w:sz="8" w:space="0" w:color="BEBEBE"/>
              <w:right w:val="single" w:sz="8" w:space="0" w:color="BEBEBE"/>
            </w:tcBorders>
          </w:tcPr>
          <w:p>
            <w:pPr>
              <w:pStyle w:val="TableParagraph"/>
              <w:spacing w:before="143"/>
              <w:ind w:left="28"/>
              <w:rPr>
                <w:sz w:val="18"/>
              </w:rPr>
            </w:pPr>
            <w:r>
              <w:rPr>
                <w:sz w:val="18"/>
              </w:rPr>
              <w:t>Chronic Intractable Pain (IP)</w:t>
            </w:r>
          </w:p>
        </w:tc>
        <w:tc>
          <w:tcPr>
            <w:tcW w:w="6172" w:type="dxa"/>
            <w:tcBorders>
              <w:top w:val="single" w:sz="8" w:space="0" w:color="BEBEBE"/>
              <w:left w:val="single" w:sz="8" w:space="0" w:color="BEBEBE"/>
              <w:bottom w:val="single" w:sz="8" w:space="0" w:color="BEBEBE"/>
              <w:right w:val="single" w:sz="8" w:space="0" w:color="BEBEBE"/>
            </w:tcBorders>
          </w:tcPr>
          <w:p>
            <w:pPr>
              <w:pStyle w:val="TableParagraph"/>
              <w:spacing w:line="312" w:lineRule="auto" w:before="140"/>
              <w:ind w:left="25"/>
              <w:rPr>
                <w:sz w:val="18"/>
              </w:rPr>
            </w:pPr>
            <w:r>
              <w:rPr>
                <w:sz w:val="18"/>
              </w:rPr>
              <w:t>Pain that is excruciating, constant, incurable, and of such severity that it dominates virtually every conscious moment, produces mental and physical debilitation and may produce a desire to commit suicide for the sole purpose of stopping the pain.</w:t>
            </w:r>
          </w:p>
        </w:tc>
      </w:tr>
      <w:tr>
        <w:trPr>
          <w:trHeight w:val="1060" w:hRule="atLeast"/>
        </w:trPr>
        <w:tc>
          <w:tcPr>
            <w:tcW w:w="2122" w:type="dxa"/>
            <w:tcBorders>
              <w:top w:val="single" w:sz="8" w:space="0" w:color="BEBEBE"/>
              <w:left w:val="single" w:sz="8" w:space="0" w:color="BEBEBE"/>
              <w:bottom w:val="single" w:sz="8" w:space="0" w:color="BEBEBE"/>
              <w:right w:val="single" w:sz="8" w:space="0" w:color="BEBEBE"/>
            </w:tcBorders>
          </w:tcPr>
          <w:p>
            <w:pPr>
              <w:pStyle w:val="TableParagraph"/>
              <w:spacing w:before="140"/>
              <w:ind w:left="28"/>
              <w:rPr>
                <w:sz w:val="18"/>
              </w:rPr>
            </w:pPr>
            <w:r>
              <w:rPr>
                <w:sz w:val="18"/>
              </w:rPr>
              <w:t>Complete Medical Service</w:t>
            </w:r>
          </w:p>
        </w:tc>
        <w:tc>
          <w:tcPr>
            <w:tcW w:w="6172" w:type="dxa"/>
            <w:tcBorders>
              <w:top w:val="single" w:sz="8" w:space="0" w:color="BEBEBE"/>
              <w:left w:val="single" w:sz="8" w:space="0" w:color="BEBEBE"/>
              <w:bottom w:val="single" w:sz="8" w:space="0" w:color="BEBEBE"/>
              <w:right w:val="single" w:sz="8" w:space="0" w:color="BEBEBE"/>
            </w:tcBorders>
          </w:tcPr>
          <w:p>
            <w:pPr>
              <w:pStyle w:val="TableParagraph"/>
              <w:spacing w:line="314" w:lineRule="auto" w:before="138"/>
              <w:ind w:left="25" w:right="44"/>
              <w:rPr>
                <w:sz w:val="18"/>
              </w:rPr>
            </w:pPr>
            <w:r>
              <w:rPr>
                <w:sz w:val="18"/>
              </w:rPr>
              <w:t>A service which provides holistic health care for the patient and their family/carer, which includes, prevention, and treatment for chronic and acute illnesses or disease</w:t>
            </w:r>
          </w:p>
        </w:tc>
      </w:tr>
      <w:tr>
        <w:trPr>
          <w:trHeight w:val="1060" w:hRule="atLeast"/>
        </w:trPr>
        <w:tc>
          <w:tcPr>
            <w:tcW w:w="2122" w:type="dxa"/>
            <w:tcBorders>
              <w:top w:val="single" w:sz="8" w:space="0" w:color="BEBEBE"/>
              <w:left w:val="single" w:sz="8" w:space="0" w:color="BEBEBE"/>
              <w:bottom w:val="single" w:sz="8" w:space="0" w:color="BEBEBE"/>
              <w:right w:val="single" w:sz="8" w:space="0" w:color="BEBEBE"/>
            </w:tcBorders>
          </w:tcPr>
          <w:p>
            <w:pPr>
              <w:pStyle w:val="TableParagraph"/>
              <w:spacing w:before="140"/>
              <w:ind w:left="28"/>
              <w:rPr>
                <w:sz w:val="18"/>
              </w:rPr>
            </w:pPr>
            <w:r>
              <w:rPr>
                <w:sz w:val="18"/>
              </w:rPr>
              <w:t>Clinical Committees</w:t>
            </w:r>
          </w:p>
        </w:tc>
        <w:tc>
          <w:tcPr>
            <w:tcW w:w="6172" w:type="dxa"/>
            <w:tcBorders>
              <w:top w:val="single" w:sz="8" w:space="0" w:color="BEBEBE"/>
              <w:left w:val="single" w:sz="8" w:space="0" w:color="BEBEBE"/>
              <w:bottom w:val="single" w:sz="8" w:space="0" w:color="BEBEBE"/>
              <w:right w:val="single" w:sz="8" w:space="0" w:color="BEBEBE"/>
            </w:tcBorders>
          </w:tcPr>
          <w:p>
            <w:pPr>
              <w:pStyle w:val="TableParagraph"/>
              <w:spacing w:line="314" w:lineRule="auto" w:before="138"/>
              <w:ind w:left="25" w:right="19"/>
              <w:rPr>
                <w:sz w:val="18"/>
              </w:rPr>
            </w:pPr>
            <w:r>
              <w:rPr>
                <w:sz w:val="18"/>
              </w:rPr>
              <w:t>A committee which is </w:t>
            </w:r>
            <w:r>
              <w:rPr>
                <w:color w:val="212121"/>
                <w:sz w:val="18"/>
              </w:rPr>
              <w:t>chaired by a clinician practising in the area under review, and comprised of other clinicians, health system experts and consumers. General practitioners participate on all clinical reviews.</w:t>
            </w:r>
          </w:p>
        </w:tc>
      </w:tr>
      <w:tr>
        <w:trPr>
          <w:trHeight w:val="1060" w:hRule="atLeast"/>
        </w:trPr>
        <w:tc>
          <w:tcPr>
            <w:tcW w:w="2122" w:type="dxa"/>
            <w:tcBorders>
              <w:top w:val="single" w:sz="8" w:space="0" w:color="BEBEBE"/>
              <w:left w:val="single" w:sz="8" w:space="0" w:color="BEBEBE"/>
              <w:bottom w:val="single" w:sz="8" w:space="0" w:color="BEBEBE"/>
              <w:right w:val="single" w:sz="8" w:space="0" w:color="BEBEBE"/>
            </w:tcBorders>
          </w:tcPr>
          <w:p>
            <w:pPr>
              <w:pStyle w:val="TableParagraph"/>
              <w:spacing w:before="140"/>
              <w:ind w:left="28"/>
              <w:rPr>
                <w:sz w:val="18"/>
              </w:rPr>
            </w:pPr>
            <w:r>
              <w:rPr>
                <w:sz w:val="18"/>
              </w:rPr>
              <w:t>Clinician</w:t>
            </w:r>
          </w:p>
        </w:tc>
        <w:tc>
          <w:tcPr>
            <w:tcW w:w="6172" w:type="dxa"/>
            <w:tcBorders>
              <w:top w:val="single" w:sz="8" w:space="0" w:color="BEBEBE"/>
              <w:left w:val="single" w:sz="8" w:space="0" w:color="BEBEBE"/>
              <w:bottom w:val="single" w:sz="8" w:space="0" w:color="BEBEBE"/>
              <w:right w:val="single" w:sz="8" w:space="0" w:color="BEBEBE"/>
            </w:tcBorders>
          </w:tcPr>
          <w:p>
            <w:pPr>
              <w:pStyle w:val="TableParagraph"/>
              <w:spacing w:line="314" w:lineRule="auto" w:before="138"/>
              <w:ind w:left="25" w:right="122"/>
              <w:rPr>
                <w:sz w:val="18"/>
              </w:rPr>
            </w:pPr>
            <w:r>
              <w:rPr>
                <w:color w:val="212121"/>
                <w:sz w:val="18"/>
              </w:rPr>
              <w:t>A health care professional that works as a primary care giver of a patient in a hospital, skilled nursing facility, clinic, or patient's home. A clinician diagnoses and treats patients.</w:t>
            </w:r>
          </w:p>
        </w:tc>
      </w:tr>
      <w:tr>
        <w:trPr>
          <w:trHeight w:val="512" w:hRule="atLeast"/>
        </w:trPr>
        <w:tc>
          <w:tcPr>
            <w:tcW w:w="2122" w:type="dxa"/>
            <w:tcBorders>
              <w:top w:val="single" w:sz="8" w:space="0" w:color="BEBEBE"/>
              <w:left w:val="single" w:sz="8" w:space="0" w:color="BEBEBE"/>
              <w:bottom w:val="single" w:sz="8" w:space="0" w:color="BEBEBE"/>
              <w:right w:val="single" w:sz="8" w:space="0" w:color="BEBEBE"/>
            </w:tcBorders>
          </w:tcPr>
          <w:p>
            <w:pPr>
              <w:pStyle w:val="TableParagraph"/>
              <w:spacing w:before="140"/>
              <w:ind w:left="28"/>
              <w:rPr>
                <w:sz w:val="18"/>
              </w:rPr>
            </w:pPr>
            <w:r>
              <w:rPr>
                <w:sz w:val="18"/>
              </w:rPr>
              <w:t>Consumer</w:t>
            </w:r>
          </w:p>
        </w:tc>
        <w:tc>
          <w:tcPr>
            <w:tcW w:w="6172" w:type="dxa"/>
            <w:tcBorders>
              <w:top w:val="single" w:sz="8" w:space="0" w:color="BEBEBE"/>
              <w:left w:val="single" w:sz="8" w:space="0" w:color="BEBEBE"/>
              <w:bottom w:val="single" w:sz="8" w:space="0" w:color="BEBEBE"/>
              <w:right w:val="single" w:sz="8" w:space="0" w:color="BEBEBE"/>
            </w:tcBorders>
          </w:tcPr>
          <w:p>
            <w:pPr>
              <w:pStyle w:val="TableParagraph"/>
              <w:spacing w:before="140"/>
              <w:ind w:left="25"/>
              <w:rPr>
                <w:sz w:val="18"/>
              </w:rPr>
            </w:pPr>
            <w:r>
              <w:rPr>
                <w:sz w:val="18"/>
              </w:rPr>
              <w:t>People who use health services, as well as their family and carers</w:t>
            </w:r>
          </w:p>
        </w:tc>
      </w:tr>
      <w:tr>
        <w:trPr>
          <w:trHeight w:val="488" w:hRule="atLeast"/>
        </w:trPr>
        <w:tc>
          <w:tcPr>
            <w:tcW w:w="2122" w:type="dxa"/>
            <w:tcBorders>
              <w:top w:val="single" w:sz="8" w:space="0" w:color="BEBEBE"/>
              <w:left w:val="single" w:sz="8" w:space="0" w:color="BEBEBE"/>
              <w:bottom w:val="single" w:sz="8" w:space="0" w:color="BEBEBE"/>
              <w:right w:val="single" w:sz="8" w:space="0" w:color="BEBEBE"/>
            </w:tcBorders>
          </w:tcPr>
          <w:p>
            <w:pPr>
              <w:pStyle w:val="TableParagraph"/>
              <w:spacing w:before="142"/>
              <w:ind w:left="28"/>
              <w:rPr>
                <w:sz w:val="18"/>
              </w:rPr>
            </w:pPr>
            <w:r>
              <w:rPr>
                <w:sz w:val="18"/>
              </w:rPr>
              <w:t>CHF</w:t>
            </w:r>
          </w:p>
        </w:tc>
        <w:tc>
          <w:tcPr>
            <w:tcW w:w="6172" w:type="dxa"/>
            <w:tcBorders>
              <w:top w:val="single" w:sz="8" w:space="0" w:color="BEBEBE"/>
              <w:left w:val="single" w:sz="8" w:space="0" w:color="BEBEBE"/>
              <w:bottom w:val="single" w:sz="8" w:space="0" w:color="BEBEBE"/>
              <w:right w:val="single" w:sz="8" w:space="0" w:color="BEBEBE"/>
            </w:tcBorders>
          </w:tcPr>
          <w:p>
            <w:pPr>
              <w:pStyle w:val="TableParagraph"/>
              <w:spacing w:before="142"/>
              <w:ind w:left="25"/>
              <w:rPr>
                <w:sz w:val="18"/>
              </w:rPr>
            </w:pPr>
            <w:r>
              <w:rPr>
                <w:sz w:val="18"/>
              </w:rPr>
              <w:t>Consumer Health Forum</w:t>
            </w:r>
          </w:p>
        </w:tc>
      </w:tr>
      <w:tr>
        <w:trPr>
          <w:trHeight w:val="488" w:hRule="atLeast"/>
        </w:trPr>
        <w:tc>
          <w:tcPr>
            <w:tcW w:w="2122" w:type="dxa"/>
            <w:tcBorders>
              <w:top w:val="single" w:sz="8" w:space="0" w:color="BEBEBE"/>
              <w:left w:val="single" w:sz="8" w:space="0" w:color="BEBEBE"/>
              <w:bottom w:val="single" w:sz="8" w:space="0" w:color="BEBEBE"/>
              <w:right w:val="single" w:sz="8" w:space="0" w:color="BEBEBE"/>
            </w:tcBorders>
          </w:tcPr>
          <w:p>
            <w:pPr>
              <w:pStyle w:val="TableParagraph"/>
              <w:spacing w:before="142"/>
              <w:ind w:left="28"/>
              <w:rPr>
                <w:sz w:val="18"/>
              </w:rPr>
            </w:pPr>
            <w:r>
              <w:rPr>
                <w:sz w:val="18"/>
              </w:rPr>
              <w:t>Diagnostic</w:t>
            </w:r>
          </w:p>
        </w:tc>
        <w:tc>
          <w:tcPr>
            <w:tcW w:w="6172" w:type="dxa"/>
            <w:tcBorders>
              <w:top w:val="single" w:sz="8" w:space="0" w:color="BEBEBE"/>
              <w:left w:val="single" w:sz="8" w:space="0" w:color="BEBEBE"/>
              <w:bottom w:val="single" w:sz="8" w:space="0" w:color="BEBEBE"/>
              <w:right w:val="single" w:sz="8" w:space="0" w:color="BEBEBE"/>
            </w:tcBorders>
          </w:tcPr>
          <w:p>
            <w:pPr>
              <w:pStyle w:val="TableParagraph"/>
              <w:spacing w:before="142"/>
              <w:ind w:left="25"/>
              <w:rPr>
                <w:sz w:val="18"/>
              </w:rPr>
            </w:pPr>
            <w:r>
              <w:rPr>
                <w:color w:val="212121"/>
                <w:sz w:val="18"/>
              </w:rPr>
              <w:t>Concerned with the diagnosis of illness or other problems</w:t>
            </w:r>
          </w:p>
        </w:tc>
      </w:tr>
    </w:tbl>
    <w:p>
      <w:pPr>
        <w:spacing w:after="0"/>
        <w:rPr>
          <w:sz w:val="18"/>
        </w:rPr>
        <w:sectPr>
          <w:pgSz w:w="11910" w:h="16840"/>
          <w:pgMar w:header="672" w:footer="978" w:top="1300" w:bottom="1160" w:left="440" w:right="140"/>
        </w:sectPr>
      </w:pPr>
    </w:p>
    <w:p>
      <w:pPr>
        <w:pStyle w:val="BodyText"/>
        <w:rPr>
          <w:b/>
          <w:sz w:val="20"/>
        </w:rPr>
      </w:pPr>
    </w:p>
    <w:p>
      <w:pPr>
        <w:pStyle w:val="BodyText"/>
        <w:rPr>
          <w:b/>
          <w:sz w:val="20"/>
        </w:rPr>
      </w:pPr>
    </w:p>
    <w:p>
      <w:pPr>
        <w:pStyle w:val="BodyText"/>
        <w:spacing w:before="9"/>
        <w:rPr>
          <w:b/>
          <w:sz w:val="10"/>
        </w:rPr>
      </w:pPr>
    </w:p>
    <w:tbl>
      <w:tblPr>
        <w:tblW w:w="0" w:type="auto"/>
        <w:jc w:val="left"/>
        <w:tblInd w:w="1378" w:type="dxa"/>
        <w:tblBorders>
          <w:top w:val="single" w:sz="8" w:space="0" w:color="BEBEBE"/>
          <w:left w:val="single" w:sz="8" w:space="0" w:color="BEBEBE"/>
          <w:bottom w:val="single" w:sz="8" w:space="0" w:color="BEBEBE"/>
          <w:right w:val="single" w:sz="8" w:space="0" w:color="BEBEBE"/>
          <w:insideH w:val="single" w:sz="8" w:space="0" w:color="BEBEBE"/>
          <w:insideV w:val="single" w:sz="8" w:space="0" w:color="BEBEBE"/>
        </w:tblBorders>
        <w:tblLayout w:type="fixed"/>
        <w:tblCellMar>
          <w:top w:w="0" w:type="dxa"/>
          <w:left w:w="0" w:type="dxa"/>
          <w:bottom w:w="0" w:type="dxa"/>
          <w:right w:w="0" w:type="dxa"/>
        </w:tblCellMar>
        <w:tblLook w:val="01E0"/>
      </w:tblPr>
      <w:tblGrid>
        <w:gridCol w:w="2122"/>
        <w:gridCol w:w="6172"/>
      </w:tblGrid>
      <w:tr>
        <w:trPr>
          <w:trHeight w:val="765" w:hRule="atLeast"/>
        </w:trPr>
        <w:tc>
          <w:tcPr>
            <w:tcW w:w="2122" w:type="dxa"/>
            <w:tcBorders>
              <w:top w:val="nil"/>
            </w:tcBorders>
          </w:tcPr>
          <w:p>
            <w:pPr>
              <w:pStyle w:val="TableParagraph"/>
              <w:spacing w:before="131"/>
              <w:ind w:left="28"/>
              <w:rPr>
                <w:sz w:val="18"/>
              </w:rPr>
            </w:pPr>
            <w:r>
              <w:rPr>
                <w:sz w:val="18"/>
              </w:rPr>
              <w:t>Delete</w:t>
            </w:r>
          </w:p>
        </w:tc>
        <w:tc>
          <w:tcPr>
            <w:tcW w:w="6172" w:type="dxa"/>
            <w:tcBorders>
              <w:top w:val="nil"/>
            </w:tcBorders>
          </w:tcPr>
          <w:p>
            <w:pPr>
              <w:pStyle w:val="TableParagraph"/>
              <w:spacing w:line="314" w:lineRule="auto" w:before="128"/>
              <w:ind w:left="25" w:right="609"/>
              <w:rPr>
                <w:sz w:val="18"/>
              </w:rPr>
            </w:pPr>
            <w:r>
              <w:rPr>
                <w:sz w:val="18"/>
              </w:rPr>
              <w:t>Describes when an item is recommended for removal from the MBS and its services will no longer be provided under the MBS.</w:t>
            </w:r>
          </w:p>
        </w:tc>
      </w:tr>
      <w:tr>
        <w:trPr>
          <w:trHeight w:val="488" w:hRule="atLeast"/>
        </w:trPr>
        <w:tc>
          <w:tcPr>
            <w:tcW w:w="2122" w:type="dxa"/>
          </w:tcPr>
          <w:p>
            <w:pPr>
              <w:pStyle w:val="TableParagraph"/>
              <w:spacing w:before="140"/>
              <w:ind w:left="28"/>
              <w:rPr>
                <w:sz w:val="18"/>
              </w:rPr>
            </w:pPr>
            <w:r>
              <w:rPr>
                <w:sz w:val="18"/>
              </w:rPr>
              <w:t>Department, The</w:t>
            </w:r>
          </w:p>
        </w:tc>
        <w:tc>
          <w:tcPr>
            <w:tcW w:w="6172" w:type="dxa"/>
          </w:tcPr>
          <w:p>
            <w:pPr>
              <w:pStyle w:val="TableParagraph"/>
              <w:spacing w:before="140"/>
              <w:ind w:left="25"/>
              <w:rPr>
                <w:sz w:val="18"/>
              </w:rPr>
            </w:pPr>
            <w:r>
              <w:rPr>
                <w:sz w:val="18"/>
              </w:rPr>
              <w:t>Australian Government Department of Health</w:t>
            </w:r>
          </w:p>
        </w:tc>
      </w:tr>
      <w:tr>
        <w:trPr>
          <w:trHeight w:val="774" w:hRule="atLeast"/>
        </w:trPr>
        <w:tc>
          <w:tcPr>
            <w:tcW w:w="2122" w:type="dxa"/>
          </w:tcPr>
          <w:p>
            <w:pPr>
              <w:pStyle w:val="TableParagraph"/>
              <w:spacing w:before="140"/>
              <w:ind w:left="28"/>
              <w:rPr>
                <w:sz w:val="18"/>
              </w:rPr>
            </w:pPr>
            <w:r>
              <w:rPr>
                <w:sz w:val="18"/>
              </w:rPr>
              <w:t>Episode</w:t>
            </w:r>
          </w:p>
        </w:tc>
        <w:tc>
          <w:tcPr>
            <w:tcW w:w="6172" w:type="dxa"/>
          </w:tcPr>
          <w:p>
            <w:pPr>
              <w:pStyle w:val="TableParagraph"/>
              <w:spacing w:line="312" w:lineRule="auto" w:before="138"/>
              <w:ind w:left="25" w:right="231"/>
              <w:rPr>
                <w:sz w:val="18"/>
              </w:rPr>
            </w:pPr>
            <w:r>
              <w:rPr>
                <w:sz w:val="18"/>
              </w:rPr>
              <w:t>A treatment or related multiple treatments administered by a physician during a single visit for a diagnosed condition.</w:t>
            </w:r>
          </w:p>
        </w:tc>
      </w:tr>
      <w:tr>
        <w:trPr>
          <w:trHeight w:val="486" w:hRule="atLeast"/>
        </w:trPr>
        <w:tc>
          <w:tcPr>
            <w:tcW w:w="2122" w:type="dxa"/>
          </w:tcPr>
          <w:p>
            <w:pPr>
              <w:pStyle w:val="TableParagraph"/>
              <w:spacing w:before="140"/>
              <w:ind w:left="28"/>
              <w:rPr>
                <w:sz w:val="18"/>
              </w:rPr>
            </w:pPr>
            <w:r>
              <w:rPr>
                <w:sz w:val="18"/>
              </w:rPr>
              <w:t>FY</w:t>
            </w:r>
          </w:p>
        </w:tc>
        <w:tc>
          <w:tcPr>
            <w:tcW w:w="6172" w:type="dxa"/>
          </w:tcPr>
          <w:p>
            <w:pPr>
              <w:pStyle w:val="TableParagraph"/>
              <w:spacing w:before="140"/>
              <w:ind w:left="25"/>
              <w:rPr>
                <w:sz w:val="18"/>
              </w:rPr>
            </w:pPr>
            <w:r>
              <w:rPr>
                <w:sz w:val="18"/>
              </w:rPr>
              <w:t>Financial year</w:t>
            </w:r>
          </w:p>
        </w:tc>
      </w:tr>
      <w:tr>
        <w:trPr>
          <w:trHeight w:val="774" w:hRule="atLeast"/>
        </w:trPr>
        <w:tc>
          <w:tcPr>
            <w:tcW w:w="2122" w:type="dxa"/>
          </w:tcPr>
          <w:p>
            <w:pPr>
              <w:pStyle w:val="TableParagraph"/>
              <w:spacing w:before="142"/>
              <w:ind w:left="28"/>
              <w:rPr>
                <w:sz w:val="18"/>
              </w:rPr>
            </w:pPr>
            <w:r>
              <w:rPr>
                <w:sz w:val="18"/>
              </w:rPr>
              <w:t>High-value care</w:t>
            </w:r>
          </w:p>
        </w:tc>
        <w:tc>
          <w:tcPr>
            <w:tcW w:w="6172" w:type="dxa"/>
          </w:tcPr>
          <w:p>
            <w:pPr>
              <w:pStyle w:val="TableParagraph"/>
              <w:spacing w:line="312" w:lineRule="auto" w:before="140"/>
              <w:ind w:left="25" w:right="276"/>
              <w:rPr>
                <w:sz w:val="18"/>
              </w:rPr>
            </w:pPr>
            <w:r>
              <w:rPr>
                <w:sz w:val="18"/>
              </w:rPr>
              <w:t>Services of proven efficacy reflecting current best medical practice, or for which the potential benefit to consumers exceeds the risk and costs.</w:t>
            </w:r>
          </w:p>
        </w:tc>
      </w:tr>
      <w:tr>
        <w:trPr>
          <w:trHeight w:val="1060" w:hRule="atLeast"/>
        </w:trPr>
        <w:tc>
          <w:tcPr>
            <w:tcW w:w="2122" w:type="dxa"/>
          </w:tcPr>
          <w:p>
            <w:pPr>
              <w:pStyle w:val="TableParagraph"/>
              <w:spacing w:before="142"/>
              <w:ind w:left="28"/>
              <w:rPr>
                <w:sz w:val="18"/>
              </w:rPr>
            </w:pPr>
            <w:r>
              <w:rPr>
                <w:sz w:val="18"/>
              </w:rPr>
              <w:t>Implanted Devices</w:t>
            </w:r>
          </w:p>
        </w:tc>
        <w:tc>
          <w:tcPr>
            <w:tcW w:w="6172" w:type="dxa"/>
          </w:tcPr>
          <w:p>
            <w:pPr>
              <w:pStyle w:val="TableParagraph"/>
              <w:spacing w:line="312" w:lineRule="auto" w:before="140"/>
              <w:ind w:left="25"/>
              <w:rPr>
                <w:sz w:val="18"/>
              </w:rPr>
            </w:pPr>
            <w:r>
              <w:rPr>
                <w:color w:val="212121"/>
                <w:sz w:val="18"/>
              </w:rPr>
              <w:t>A medical device manufactured to replace a missing biological structure, support a damaged biological structure, or enhance an existing biological structure. Medical implants are man-made devices</w:t>
            </w:r>
          </w:p>
        </w:tc>
      </w:tr>
      <w:tr>
        <w:trPr>
          <w:trHeight w:val="1060" w:hRule="atLeast"/>
        </w:trPr>
        <w:tc>
          <w:tcPr>
            <w:tcW w:w="2122" w:type="dxa"/>
          </w:tcPr>
          <w:p>
            <w:pPr>
              <w:pStyle w:val="TableParagraph"/>
              <w:spacing w:before="142"/>
              <w:ind w:left="28"/>
              <w:rPr>
                <w:sz w:val="18"/>
              </w:rPr>
            </w:pPr>
            <w:r>
              <w:rPr>
                <w:sz w:val="18"/>
              </w:rPr>
              <w:t>Inappropriate use / misuse</w:t>
            </w:r>
          </w:p>
        </w:tc>
        <w:tc>
          <w:tcPr>
            <w:tcW w:w="6172" w:type="dxa"/>
          </w:tcPr>
          <w:p>
            <w:pPr>
              <w:pStyle w:val="TableParagraph"/>
              <w:spacing w:line="312" w:lineRule="auto" w:before="140"/>
              <w:ind w:left="25"/>
              <w:rPr>
                <w:sz w:val="18"/>
              </w:rPr>
            </w:pPr>
            <w:r>
              <w:rPr>
                <w:sz w:val="18"/>
              </w:rPr>
              <w:t>The use of MBS services for purposes other than those intended. This includes a range of behaviours, from failing to adhere to particular item descriptors or rules through to deliberate fraud.</w:t>
            </w:r>
          </w:p>
        </w:tc>
      </w:tr>
      <w:tr>
        <w:trPr>
          <w:trHeight w:val="1060" w:hRule="atLeast"/>
        </w:trPr>
        <w:tc>
          <w:tcPr>
            <w:tcW w:w="2122" w:type="dxa"/>
          </w:tcPr>
          <w:p>
            <w:pPr>
              <w:pStyle w:val="TableParagraph"/>
              <w:spacing w:before="142"/>
              <w:ind w:left="28"/>
              <w:rPr>
                <w:sz w:val="18"/>
              </w:rPr>
            </w:pPr>
            <w:r>
              <w:rPr>
                <w:sz w:val="18"/>
              </w:rPr>
              <w:t>Low-value care</w:t>
            </w:r>
          </w:p>
        </w:tc>
        <w:tc>
          <w:tcPr>
            <w:tcW w:w="6172" w:type="dxa"/>
          </w:tcPr>
          <w:p>
            <w:pPr>
              <w:pStyle w:val="TableParagraph"/>
              <w:spacing w:line="312" w:lineRule="auto" w:before="140"/>
              <w:ind w:left="25" w:right="36"/>
              <w:rPr>
                <w:sz w:val="18"/>
              </w:rPr>
            </w:pPr>
            <w:r>
              <w:rPr>
                <w:sz w:val="18"/>
              </w:rPr>
              <w:t>Services that evidence suggests confer no or very little benefit to consumers; or for which the risk of harm exceeds the likely benefit; or, more broadly, where the added costs of services do not provide proportional added benefits.</w:t>
            </w:r>
          </w:p>
        </w:tc>
      </w:tr>
      <w:tr>
        <w:trPr>
          <w:trHeight w:val="488" w:hRule="atLeast"/>
        </w:trPr>
        <w:tc>
          <w:tcPr>
            <w:tcW w:w="2122" w:type="dxa"/>
          </w:tcPr>
          <w:p>
            <w:pPr>
              <w:pStyle w:val="TableParagraph"/>
              <w:spacing w:before="142"/>
              <w:ind w:left="28"/>
              <w:rPr>
                <w:sz w:val="18"/>
              </w:rPr>
            </w:pPr>
            <w:r>
              <w:rPr>
                <w:sz w:val="18"/>
              </w:rPr>
              <w:t>MBS</w:t>
            </w:r>
          </w:p>
        </w:tc>
        <w:tc>
          <w:tcPr>
            <w:tcW w:w="6172" w:type="dxa"/>
          </w:tcPr>
          <w:p>
            <w:pPr>
              <w:pStyle w:val="TableParagraph"/>
              <w:spacing w:before="142"/>
              <w:ind w:left="25"/>
              <w:rPr>
                <w:sz w:val="18"/>
              </w:rPr>
            </w:pPr>
            <w:r>
              <w:rPr>
                <w:sz w:val="18"/>
              </w:rPr>
              <w:t>Medicare Benefits Schedule</w:t>
            </w:r>
          </w:p>
        </w:tc>
      </w:tr>
      <w:tr>
        <w:trPr>
          <w:trHeight w:val="1060" w:hRule="atLeast"/>
        </w:trPr>
        <w:tc>
          <w:tcPr>
            <w:tcW w:w="2122" w:type="dxa"/>
          </w:tcPr>
          <w:p>
            <w:pPr>
              <w:pStyle w:val="TableParagraph"/>
              <w:spacing w:before="142"/>
              <w:ind w:left="28"/>
              <w:rPr>
                <w:sz w:val="18"/>
              </w:rPr>
            </w:pPr>
            <w:r>
              <w:rPr>
                <w:sz w:val="18"/>
              </w:rPr>
              <w:t>MBS item</w:t>
            </w:r>
          </w:p>
        </w:tc>
        <w:tc>
          <w:tcPr>
            <w:tcW w:w="6172" w:type="dxa"/>
          </w:tcPr>
          <w:p>
            <w:pPr>
              <w:pStyle w:val="TableParagraph"/>
              <w:spacing w:line="312" w:lineRule="auto" w:before="140"/>
              <w:ind w:left="25" w:right="14"/>
              <w:rPr>
                <w:sz w:val="18"/>
              </w:rPr>
            </w:pPr>
            <w:r>
              <w:rPr>
                <w:sz w:val="18"/>
              </w:rPr>
              <w:t>An administrative object listed in the MBS and used for the purposes of claiming and paying Medicare benefits, consisting of an item number, service descriptor and supporting information, schedule fee and Medicare benefits.</w:t>
            </w:r>
          </w:p>
        </w:tc>
      </w:tr>
      <w:tr>
        <w:trPr>
          <w:trHeight w:val="774" w:hRule="atLeast"/>
        </w:trPr>
        <w:tc>
          <w:tcPr>
            <w:tcW w:w="2122" w:type="dxa"/>
          </w:tcPr>
          <w:p>
            <w:pPr>
              <w:pStyle w:val="TableParagraph"/>
              <w:spacing w:before="142"/>
              <w:ind w:left="28"/>
              <w:rPr>
                <w:sz w:val="18"/>
              </w:rPr>
            </w:pPr>
            <w:r>
              <w:rPr>
                <w:sz w:val="18"/>
              </w:rPr>
              <w:t>MBS service</w:t>
            </w:r>
          </w:p>
        </w:tc>
        <w:tc>
          <w:tcPr>
            <w:tcW w:w="6172" w:type="dxa"/>
          </w:tcPr>
          <w:p>
            <w:pPr>
              <w:pStyle w:val="TableParagraph"/>
              <w:spacing w:line="312" w:lineRule="auto" w:before="140"/>
              <w:ind w:left="25" w:right="67"/>
              <w:rPr>
                <w:sz w:val="18"/>
              </w:rPr>
            </w:pPr>
            <w:r>
              <w:rPr>
                <w:sz w:val="18"/>
              </w:rPr>
              <w:t>The actual medical consultation, procedure or test to which the relevant MBS item refers.</w:t>
            </w:r>
          </w:p>
        </w:tc>
      </w:tr>
      <w:tr>
        <w:trPr>
          <w:trHeight w:val="488" w:hRule="atLeast"/>
        </w:trPr>
        <w:tc>
          <w:tcPr>
            <w:tcW w:w="2122" w:type="dxa"/>
          </w:tcPr>
          <w:p>
            <w:pPr>
              <w:pStyle w:val="TableParagraph"/>
              <w:spacing w:before="142"/>
              <w:ind w:left="28"/>
              <w:rPr>
                <w:sz w:val="18"/>
              </w:rPr>
            </w:pPr>
            <w:r>
              <w:rPr>
                <w:sz w:val="18"/>
              </w:rPr>
              <w:t>MSAC</w:t>
            </w:r>
          </w:p>
        </w:tc>
        <w:tc>
          <w:tcPr>
            <w:tcW w:w="6172" w:type="dxa"/>
          </w:tcPr>
          <w:p>
            <w:pPr>
              <w:pStyle w:val="TableParagraph"/>
              <w:spacing w:before="142"/>
              <w:ind w:left="25"/>
              <w:rPr>
                <w:sz w:val="18"/>
              </w:rPr>
            </w:pPr>
            <w:r>
              <w:rPr>
                <w:sz w:val="18"/>
              </w:rPr>
              <w:t>Medical Services Advisory Committee</w:t>
            </w:r>
          </w:p>
        </w:tc>
      </w:tr>
      <w:tr>
        <w:trPr>
          <w:trHeight w:val="1060" w:hRule="atLeast"/>
        </w:trPr>
        <w:tc>
          <w:tcPr>
            <w:tcW w:w="2122" w:type="dxa"/>
          </w:tcPr>
          <w:p>
            <w:pPr>
              <w:pStyle w:val="TableParagraph"/>
              <w:spacing w:before="142"/>
              <w:ind w:left="28"/>
              <w:rPr>
                <w:sz w:val="18"/>
              </w:rPr>
            </w:pPr>
            <w:r>
              <w:rPr>
                <w:sz w:val="18"/>
              </w:rPr>
              <w:t>Misuse (of MBS item)</w:t>
            </w:r>
          </w:p>
        </w:tc>
        <w:tc>
          <w:tcPr>
            <w:tcW w:w="6172" w:type="dxa"/>
          </w:tcPr>
          <w:p>
            <w:pPr>
              <w:pStyle w:val="TableParagraph"/>
              <w:spacing w:line="312" w:lineRule="auto" w:before="140"/>
              <w:ind w:left="25"/>
              <w:rPr>
                <w:sz w:val="18"/>
              </w:rPr>
            </w:pPr>
            <w:r>
              <w:rPr>
                <w:sz w:val="18"/>
              </w:rPr>
              <w:t>The use of MBS services for purposes other than those intended. This includes a range of behaviours, from failing to adhere to particular item descriptors or rules through to deliberate fraud.</w:t>
            </w:r>
          </w:p>
        </w:tc>
      </w:tr>
      <w:tr>
        <w:trPr>
          <w:trHeight w:val="488" w:hRule="atLeast"/>
        </w:trPr>
        <w:tc>
          <w:tcPr>
            <w:tcW w:w="2122" w:type="dxa"/>
          </w:tcPr>
          <w:p>
            <w:pPr>
              <w:pStyle w:val="TableParagraph"/>
              <w:spacing w:before="142"/>
              <w:ind w:left="28"/>
              <w:rPr>
                <w:sz w:val="18"/>
              </w:rPr>
            </w:pPr>
            <w:r>
              <w:rPr>
                <w:sz w:val="18"/>
              </w:rPr>
              <w:t>MBS</w:t>
            </w:r>
          </w:p>
        </w:tc>
        <w:tc>
          <w:tcPr>
            <w:tcW w:w="6172" w:type="dxa"/>
          </w:tcPr>
          <w:p>
            <w:pPr>
              <w:pStyle w:val="TableParagraph"/>
              <w:spacing w:before="142"/>
              <w:ind w:left="25"/>
              <w:rPr>
                <w:sz w:val="18"/>
              </w:rPr>
            </w:pPr>
            <w:r>
              <w:rPr>
                <w:sz w:val="18"/>
              </w:rPr>
              <w:t>Medicare Benefits Schedule</w:t>
            </w:r>
          </w:p>
        </w:tc>
      </w:tr>
      <w:tr>
        <w:trPr>
          <w:trHeight w:val="489" w:hRule="atLeast"/>
        </w:trPr>
        <w:tc>
          <w:tcPr>
            <w:tcW w:w="2122" w:type="dxa"/>
          </w:tcPr>
          <w:p>
            <w:pPr>
              <w:pStyle w:val="TableParagraph"/>
              <w:spacing w:before="143"/>
              <w:ind w:left="28"/>
              <w:rPr>
                <w:sz w:val="18"/>
              </w:rPr>
            </w:pPr>
            <w:r>
              <w:rPr>
                <w:sz w:val="18"/>
              </w:rPr>
              <w:t>MSAC</w:t>
            </w:r>
          </w:p>
        </w:tc>
        <w:tc>
          <w:tcPr>
            <w:tcW w:w="6172" w:type="dxa"/>
          </w:tcPr>
          <w:p>
            <w:pPr>
              <w:pStyle w:val="TableParagraph"/>
              <w:spacing w:before="143"/>
              <w:ind w:left="25"/>
              <w:rPr>
                <w:sz w:val="18"/>
              </w:rPr>
            </w:pPr>
            <w:r>
              <w:rPr>
                <w:sz w:val="18"/>
              </w:rPr>
              <w:t>Medical Services Advisory Committee</w:t>
            </w:r>
          </w:p>
        </w:tc>
      </w:tr>
      <w:tr>
        <w:trPr>
          <w:trHeight w:val="774" w:hRule="atLeast"/>
        </w:trPr>
        <w:tc>
          <w:tcPr>
            <w:tcW w:w="2122" w:type="dxa"/>
          </w:tcPr>
          <w:p>
            <w:pPr>
              <w:pStyle w:val="TableParagraph"/>
              <w:spacing w:before="142"/>
              <w:ind w:left="28"/>
              <w:rPr>
                <w:sz w:val="18"/>
              </w:rPr>
            </w:pPr>
            <w:r>
              <w:rPr>
                <w:sz w:val="18"/>
              </w:rPr>
              <w:t>Nerve Block(s)</w:t>
            </w:r>
          </w:p>
        </w:tc>
        <w:tc>
          <w:tcPr>
            <w:tcW w:w="6172" w:type="dxa"/>
          </w:tcPr>
          <w:p>
            <w:pPr>
              <w:pStyle w:val="TableParagraph"/>
              <w:spacing w:line="312" w:lineRule="auto" w:before="140"/>
              <w:ind w:left="25" w:right="238"/>
              <w:rPr>
                <w:sz w:val="18"/>
              </w:rPr>
            </w:pPr>
            <w:r>
              <w:rPr>
                <w:color w:val="212121"/>
                <w:sz w:val="18"/>
              </w:rPr>
              <w:t>The production of insensibility in a part of the body by injecting an anaesthetic close to the nerves that supply it.</w:t>
            </w:r>
          </w:p>
        </w:tc>
      </w:tr>
    </w:tbl>
    <w:p>
      <w:pPr>
        <w:spacing w:after="0" w:line="312" w:lineRule="auto"/>
        <w:rPr>
          <w:sz w:val="18"/>
        </w:rPr>
        <w:sectPr>
          <w:headerReference w:type="default" r:id="rId295"/>
          <w:footerReference w:type="default" r:id="rId296"/>
          <w:pgSz w:w="11910" w:h="16840"/>
          <w:pgMar w:header="672" w:footer="734" w:top="1300" w:bottom="920" w:left="440" w:right="140"/>
        </w:sectPr>
      </w:pPr>
    </w:p>
    <w:tbl>
      <w:tblPr>
        <w:tblW w:w="0" w:type="auto"/>
        <w:jc w:val="left"/>
        <w:tblInd w:w="1378" w:type="dxa"/>
        <w:tblBorders>
          <w:top w:val="single" w:sz="8" w:space="0" w:color="BEBEBE"/>
          <w:left w:val="single" w:sz="8" w:space="0" w:color="BEBEBE"/>
          <w:bottom w:val="single" w:sz="8" w:space="0" w:color="BEBEBE"/>
          <w:right w:val="single" w:sz="8" w:space="0" w:color="BEBEBE"/>
          <w:insideH w:val="single" w:sz="8" w:space="0" w:color="BEBEBE"/>
          <w:insideV w:val="single" w:sz="8" w:space="0" w:color="BEBEBE"/>
        </w:tblBorders>
        <w:tblLayout w:type="fixed"/>
        <w:tblCellMar>
          <w:top w:w="0" w:type="dxa"/>
          <w:left w:w="0" w:type="dxa"/>
          <w:bottom w:w="0" w:type="dxa"/>
          <w:right w:w="0" w:type="dxa"/>
        </w:tblCellMar>
        <w:tblLook w:val="01E0"/>
      </w:tblPr>
      <w:tblGrid>
        <w:gridCol w:w="2122"/>
        <w:gridCol w:w="6172"/>
      </w:tblGrid>
      <w:tr>
        <w:trPr>
          <w:trHeight w:val="1050" w:hRule="atLeast"/>
        </w:trPr>
        <w:tc>
          <w:tcPr>
            <w:tcW w:w="2122" w:type="dxa"/>
            <w:tcBorders>
              <w:top w:val="nil"/>
            </w:tcBorders>
          </w:tcPr>
          <w:p>
            <w:pPr>
              <w:pStyle w:val="TableParagraph"/>
              <w:spacing w:before="121"/>
              <w:ind w:left="28"/>
              <w:rPr>
                <w:sz w:val="18"/>
              </w:rPr>
            </w:pPr>
            <w:r>
              <w:rPr>
                <w:sz w:val="18"/>
              </w:rPr>
              <w:t>Neurolytic Procedure</w:t>
            </w:r>
          </w:p>
        </w:tc>
        <w:tc>
          <w:tcPr>
            <w:tcW w:w="6172" w:type="dxa"/>
            <w:tcBorders>
              <w:top w:val="nil"/>
            </w:tcBorders>
          </w:tcPr>
          <w:p>
            <w:pPr>
              <w:pStyle w:val="TableParagraph"/>
              <w:spacing w:line="314" w:lineRule="auto" w:before="119"/>
              <w:ind w:left="25"/>
              <w:rPr>
                <w:sz w:val="18"/>
              </w:rPr>
            </w:pPr>
            <w:r>
              <w:rPr>
                <w:sz w:val="18"/>
              </w:rPr>
              <w:t>A technique requiring the administration of an agent that is capable of destroying neural structures involved in the perception of pain to promote long lasting analgesia (pain relief).</w:t>
            </w:r>
          </w:p>
        </w:tc>
      </w:tr>
      <w:tr>
        <w:trPr>
          <w:trHeight w:val="1345" w:hRule="atLeast"/>
        </w:trPr>
        <w:tc>
          <w:tcPr>
            <w:tcW w:w="2122" w:type="dxa"/>
          </w:tcPr>
          <w:p>
            <w:pPr>
              <w:pStyle w:val="TableParagraph"/>
              <w:spacing w:before="130"/>
              <w:ind w:left="28"/>
              <w:rPr>
                <w:sz w:val="18"/>
              </w:rPr>
            </w:pPr>
            <w:r>
              <w:rPr>
                <w:sz w:val="18"/>
              </w:rPr>
              <w:t>New service</w:t>
            </w:r>
          </w:p>
        </w:tc>
        <w:tc>
          <w:tcPr>
            <w:tcW w:w="6172" w:type="dxa"/>
          </w:tcPr>
          <w:p>
            <w:pPr>
              <w:pStyle w:val="TableParagraph"/>
              <w:spacing w:line="312" w:lineRule="auto" w:before="128"/>
              <w:ind w:left="25" w:right="-7"/>
              <w:rPr>
                <w:sz w:val="18"/>
              </w:rPr>
            </w:pPr>
            <w:r>
              <w:rPr>
                <w:sz w:val="18"/>
              </w:rPr>
              <w:t>Describes when a new service has been recommended, with a new item number. In most circumstances, new services will need to go through the MSAC. It is worth noting that implementation of the recommendation may result in more or fewer item numbers than specifically stated.</w:t>
            </w:r>
          </w:p>
        </w:tc>
      </w:tr>
      <w:tr>
        <w:trPr>
          <w:trHeight w:val="1346" w:hRule="atLeast"/>
        </w:trPr>
        <w:tc>
          <w:tcPr>
            <w:tcW w:w="2122" w:type="dxa"/>
          </w:tcPr>
          <w:p>
            <w:pPr>
              <w:pStyle w:val="TableParagraph"/>
              <w:spacing w:line="314" w:lineRule="auto" w:before="128"/>
              <w:ind w:left="28"/>
              <w:rPr>
                <w:sz w:val="18"/>
              </w:rPr>
            </w:pPr>
            <w:r>
              <w:rPr>
                <w:sz w:val="18"/>
              </w:rPr>
              <w:t>No change or leave unchanged</w:t>
            </w:r>
          </w:p>
        </w:tc>
        <w:tc>
          <w:tcPr>
            <w:tcW w:w="6172" w:type="dxa"/>
          </w:tcPr>
          <w:p>
            <w:pPr>
              <w:pStyle w:val="TableParagraph"/>
              <w:spacing w:line="312" w:lineRule="auto" w:before="128"/>
              <w:ind w:left="25" w:right="117"/>
              <w:rPr>
                <w:sz w:val="18"/>
              </w:rPr>
            </w:pPr>
            <w:r>
              <w:rPr>
                <w:sz w:val="18"/>
              </w:rPr>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trPr>
          <w:trHeight w:val="774" w:hRule="atLeast"/>
        </w:trPr>
        <w:tc>
          <w:tcPr>
            <w:tcW w:w="2122" w:type="dxa"/>
          </w:tcPr>
          <w:p>
            <w:pPr>
              <w:pStyle w:val="TableParagraph"/>
              <w:spacing w:before="130"/>
              <w:ind w:left="28"/>
              <w:rPr>
                <w:sz w:val="18"/>
              </w:rPr>
            </w:pPr>
            <w:r>
              <w:rPr>
                <w:sz w:val="18"/>
              </w:rPr>
              <w:t>Obsolete services / items</w:t>
            </w:r>
          </w:p>
        </w:tc>
        <w:tc>
          <w:tcPr>
            <w:tcW w:w="6172" w:type="dxa"/>
          </w:tcPr>
          <w:p>
            <w:pPr>
              <w:pStyle w:val="TableParagraph"/>
              <w:spacing w:line="314" w:lineRule="auto" w:before="128"/>
              <w:ind w:left="25" w:right="242"/>
              <w:rPr>
                <w:sz w:val="18"/>
              </w:rPr>
            </w:pPr>
            <w:r>
              <w:rPr>
                <w:sz w:val="18"/>
              </w:rPr>
              <w:t>Services that should no longer be performed as they do not represent current clinical best practice and have been superseded by superior tests or procedures.</w:t>
            </w:r>
          </w:p>
        </w:tc>
      </w:tr>
      <w:tr>
        <w:trPr>
          <w:trHeight w:val="488" w:hRule="atLeast"/>
        </w:trPr>
        <w:tc>
          <w:tcPr>
            <w:tcW w:w="2122" w:type="dxa"/>
          </w:tcPr>
          <w:p>
            <w:pPr>
              <w:pStyle w:val="TableParagraph"/>
              <w:spacing w:before="130"/>
              <w:ind w:left="28"/>
              <w:rPr>
                <w:sz w:val="18"/>
              </w:rPr>
            </w:pPr>
            <w:r>
              <w:rPr>
                <w:sz w:val="18"/>
              </w:rPr>
              <w:t>Committee</w:t>
            </w:r>
          </w:p>
        </w:tc>
        <w:tc>
          <w:tcPr>
            <w:tcW w:w="6172" w:type="dxa"/>
          </w:tcPr>
          <w:p>
            <w:pPr>
              <w:pStyle w:val="TableParagraph"/>
              <w:spacing w:before="130"/>
              <w:ind w:left="25"/>
              <w:rPr>
                <w:sz w:val="18"/>
              </w:rPr>
            </w:pPr>
            <w:r>
              <w:rPr>
                <w:sz w:val="18"/>
              </w:rPr>
              <w:t>Pain Management Clinical Committee</w:t>
            </w:r>
          </w:p>
        </w:tc>
      </w:tr>
      <w:tr>
        <w:trPr>
          <w:trHeight w:val="486" w:hRule="atLeast"/>
        </w:trPr>
        <w:tc>
          <w:tcPr>
            <w:tcW w:w="2122" w:type="dxa"/>
          </w:tcPr>
          <w:p>
            <w:pPr>
              <w:pStyle w:val="TableParagraph"/>
              <w:spacing w:before="130"/>
              <w:ind w:left="28"/>
              <w:rPr>
                <w:sz w:val="18"/>
              </w:rPr>
            </w:pPr>
            <w:r>
              <w:rPr>
                <w:sz w:val="18"/>
              </w:rPr>
              <w:t>PBS</w:t>
            </w:r>
          </w:p>
        </w:tc>
        <w:tc>
          <w:tcPr>
            <w:tcW w:w="6172" w:type="dxa"/>
          </w:tcPr>
          <w:p>
            <w:pPr>
              <w:pStyle w:val="TableParagraph"/>
              <w:spacing w:before="130"/>
              <w:ind w:left="25"/>
              <w:rPr>
                <w:sz w:val="18"/>
              </w:rPr>
            </w:pPr>
            <w:r>
              <w:rPr>
                <w:sz w:val="18"/>
              </w:rPr>
              <w:t>Pharmaceutical Benefits Scheme</w:t>
            </w:r>
          </w:p>
        </w:tc>
      </w:tr>
      <w:tr>
        <w:trPr>
          <w:trHeight w:val="774" w:hRule="atLeast"/>
        </w:trPr>
        <w:tc>
          <w:tcPr>
            <w:tcW w:w="2122" w:type="dxa"/>
          </w:tcPr>
          <w:p>
            <w:pPr>
              <w:pStyle w:val="TableParagraph"/>
              <w:spacing w:before="133"/>
              <w:ind w:left="28"/>
              <w:rPr>
                <w:sz w:val="18"/>
              </w:rPr>
            </w:pPr>
            <w:r>
              <w:rPr>
                <w:sz w:val="18"/>
              </w:rPr>
              <w:t>Prioritisation matrix</w:t>
            </w:r>
          </w:p>
        </w:tc>
        <w:tc>
          <w:tcPr>
            <w:tcW w:w="6172" w:type="dxa"/>
          </w:tcPr>
          <w:p>
            <w:pPr>
              <w:pStyle w:val="TableParagraph"/>
              <w:spacing w:line="312" w:lineRule="auto" w:before="130"/>
              <w:ind w:left="25"/>
              <w:rPr>
                <w:sz w:val="18"/>
              </w:rPr>
            </w:pPr>
            <w:r>
              <w:rPr>
                <w:color w:val="212121"/>
                <w:sz w:val="18"/>
              </w:rPr>
              <w:t>Helps rank problems or issues (usually generated through brainstorming or other techniques) by a particular criterion that is important to the project</w:t>
            </w:r>
          </w:p>
        </w:tc>
      </w:tr>
      <w:tr>
        <w:trPr>
          <w:trHeight w:val="774" w:hRule="atLeast"/>
        </w:trPr>
        <w:tc>
          <w:tcPr>
            <w:tcW w:w="2122" w:type="dxa"/>
          </w:tcPr>
          <w:p>
            <w:pPr>
              <w:pStyle w:val="TableParagraph"/>
              <w:spacing w:line="312" w:lineRule="auto" w:before="130"/>
              <w:ind w:left="28" w:right="751"/>
              <w:rPr>
                <w:sz w:val="18"/>
              </w:rPr>
            </w:pPr>
            <w:r>
              <w:rPr>
                <w:sz w:val="18"/>
              </w:rPr>
              <w:t>Principles &amp; Rules Committee</w:t>
            </w:r>
          </w:p>
        </w:tc>
        <w:tc>
          <w:tcPr>
            <w:tcW w:w="6172" w:type="dxa"/>
          </w:tcPr>
          <w:p>
            <w:pPr>
              <w:pStyle w:val="TableParagraph"/>
              <w:spacing w:line="312" w:lineRule="auto" w:before="130"/>
              <w:ind w:left="25"/>
              <w:rPr>
                <w:sz w:val="18"/>
              </w:rPr>
            </w:pPr>
            <w:r>
              <w:rPr>
                <w:sz w:val="18"/>
              </w:rPr>
              <w:t>A committee that considers the broader questions about the principles, objectives and boundaries shaping the MBS and its impact in practice</w:t>
            </w:r>
          </w:p>
        </w:tc>
      </w:tr>
      <w:tr>
        <w:trPr>
          <w:trHeight w:val="489" w:hRule="atLeast"/>
        </w:trPr>
        <w:tc>
          <w:tcPr>
            <w:tcW w:w="2122" w:type="dxa"/>
          </w:tcPr>
          <w:p>
            <w:pPr>
              <w:pStyle w:val="TableParagraph"/>
              <w:spacing w:before="133"/>
              <w:ind w:left="28"/>
              <w:rPr>
                <w:sz w:val="18"/>
              </w:rPr>
            </w:pPr>
            <w:r>
              <w:rPr>
                <w:sz w:val="18"/>
              </w:rPr>
              <w:t>RACGP</w:t>
            </w:r>
          </w:p>
        </w:tc>
        <w:tc>
          <w:tcPr>
            <w:tcW w:w="6172" w:type="dxa"/>
          </w:tcPr>
          <w:p>
            <w:pPr>
              <w:pStyle w:val="TableParagraph"/>
              <w:spacing w:before="133"/>
              <w:ind w:left="25"/>
              <w:rPr>
                <w:sz w:val="18"/>
              </w:rPr>
            </w:pPr>
            <w:r>
              <w:rPr>
                <w:sz w:val="18"/>
              </w:rPr>
              <w:t>Royal Australian College of General Practitioners</w:t>
            </w:r>
          </w:p>
        </w:tc>
      </w:tr>
      <w:tr>
        <w:trPr>
          <w:trHeight w:val="488" w:hRule="atLeast"/>
        </w:trPr>
        <w:tc>
          <w:tcPr>
            <w:tcW w:w="2122" w:type="dxa"/>
          </w:tcPr>
          <w:p>
            <w:pPr>
              <w:pStyle w:val="TableParagraph"/>
              <w:spacing w:before="133"/>
              <w:ind w:left="28"/>
              <w:rPr>
                <w:sz w:val="18"/>
              </w:rPr>
            </w:pPr>
            <w:r>
              <w:rPr>
                <w:sz w:val="18"/>
              </w:rPr>
              <w:t>Rationale</w:t>
            </w:r>
          </w:p>
        </w:tc>
        <w:tc>
          <w:tcPr>
            <w:tcW w:w="6172" w:type="dxa"/>
          </w:tcPr>
          <w:p>
            <w:pPr>
              <w:pStyle w:val="TableParagraph"/>
              <w:spacing w:before="133"/>
              <w:ind w:left="25"/>
              <w:rPr>
                <w:sz w:val="18"/>
              </w:rPr>
            </w:pPr>
            <w:r>
              <w:rPr>
                <w:color w:val="212121"/>
                <w:sz w:val="18"/>
              </w:rPr>
              <w:t>A set of reasons or a logical basis for a course of action or belief.</w:t>
            </w:r>
          </w:p>
        </w:tc>
      </w:tr>
      <w:tr>
        <w:trPr>
          <w:trHeight w:val="774" w:hRule="atLeast"/>
        </w:trPr>
        <w:tc>
          <w:tcPr>
            <w:tcW w:w="2122" w:type="dxa"/>
          </w:tcPr>
          <w:p>
            <w:pPr>
              <w:pStyle w:val="TableParagraph"/>
              <w:spacing w:line="312" w:lineRule="auto" w:before="130"/>
              <w:ind w:left="28"/>
              <w:rPr>
                <w:sz w:val="18"/>
              </w:rPr>
            </w:pPr>
            <w:r>
              <w:rPr>
                <w:sz w:val="18"/>
              </w:rPr>
              <w:t>Services average annual growth</w:t>
            </w:r>
          </w:p>
        </w:tc>
        <w:tc>
          <w:tcPr>
            <w:tcW w:w="6172" w:type="dxa"/>
          </w:tcPr>
          <w:p>
            <w:pPr>
              <w:pStyle w:val="TableParagraph"/>
              <w:spacing w:line="312" w:lineRule="auto" w:before="130"/>
              <w:ind w:left="25"/>
              <w:rPr>
                <w:sz w:val="18"/>
              </w:rPr>
            </w:pPr>
            <w:r>
              <w:rPr>
                <w:sz w:val="18"/>
              </w:rPr>
              <w:t>The average growth per year, over five years to 2016/17, in utilisation of services. Also known as the compound annual growth rate (CAGR).</w:t>
            </w:r>
          </w:p>
        </w:tc>
      </w:tr>
      <w:tr>
        <w:trPr>
          <w:trHeight w:val="774" w:hRule="atLeast"/>
        </w:trPr>
        <w:tc>
          <w:tcPr>
            <w:tcW w:w="2122" w:type="dxa"/>
          </w:tcPr>
          <w:p>
            <w:pPr>
              <w:pStyle w:val="TableParagraph"/>
              <w:spacing w:before="133"/>
              <w:ind w:left="28"/>
              <w:rPr>
                <w:sz w:val="18"/>
              </w:rPr>
            </w:pPr>
            <w:r>
              <w:rPr>
                <w:sz w:val="18"/>
              </w:rPr>
              <w:t>Spinal Injections</w:t>
            </w:r>
          </w:p>
        </w:tc>
        <w:tc>
          <w:tcPr>
            <w:tcW w:w="6172" w:type="dxa"/>
          </w:tcPr>
          <w:p>
            <w:pPr>
              <w:pStyle w:val="TableParagraph"/>
              <w:spacing w:line="312" w:lineRule="auto" w:before="130"/>
              <w:ind w:left="25" w:right="327"/>
              <w:rPr>
                <w:sz w:val="18"/>
              </w:rPr>
            </w:pPr>
            <w:r>
              <w:rPr>
                <w:sz w:val="18"/>
              </w:rPr>
              <w:t>An injection into an area of the spine to help reduce pain and improve function through reducing inflammation (swelling and irritation) and/or nociception.</w:t>
            </w:r>
          </w:p>
        </w:tc>
      </w:tr>
      <w:tr>
        <w:trPr>
          <w:trHeight w:val="774" w:hRule="atLeast"/>
        </w:trPr>
        <w:tc>
          <w:tcPr>
            <w:tcW w:w="2122" w:type="dxa"/>
          </w:tcPr>
          <w:p>
            <w:pPr>
              <w:pStyle w:val="TableParagraph"/>
              <w:spacing w:before="133"/>
              <w:ind w:left="28"/>
              <w:rPr>
                <w:sz w:val="18"/>
              </w:rPr>
            </w:pPr>
            <w:r>
              <w:rPr>
                <w:sz w:val="18"/>
              </w:rPr>
              <w:t>Stakeholder</w:t>
            </w:r>
          </w:p>
        </w:tc>
        <w:tc>
          <w:tcPr>
            <w:tcW w:w="6172" w:type="dxa"/>
          </w:tcPr>
          <w:p>
            <w:pPr>
              <w:pStyle w:val="TableParagraph"/>
              <w:spacing w:line="312" w:lineRule="auto" w:before="130"/>
              <w:ind w:left="25" w:right="102"/>
              <w:rPr>
                <w:sz w:val="18"/>
              </w:rPr>
            </w:pPr>
            <w:r>
              <w:rPr>
                <w:sz w:val="18"/>
              </w:rPr>
              <w:t>Persons, groups or organisations that have an interest or concern in the outcomes of the MBS Review, and can affect or are affected by those outcomes.</w:t>
            </w:r>
          </w:p>
        </w:tc>
      </w:tr>
      <w:tr>
        <w:trPr>
          <w:trHeight w:val="1060" w:hRule="atLeast"/>
        </w:trPr>
        <w:tc>
          <w:tcPr>
            <w:tcW w:w="2122" w:type="dxa"/>
          </w:tcPr>
          <w:p>
            <w:pPr>
              <w:pStyle w:val="TableParagraph"/>
              <w:spacing w:before="133"/>
              <w:ind w:left="28"/>
              <w:rPr>
                <w:sz w:val="18"/>
              </w:rPr>
            </w:pPr>
            <w:r>
              <w:rPr>
                <w:sz w:val="18"/>
              </w:rPr>
              <w:t>Surgical Assistant(s)</w:t>
            </w:r>
          </w:p>
        </w:tc>
        <w:tc>
          <w:tcPr>
            <w:tcW w:w="6172" w:type="dxa"/>
          </w:tcPr>
          <w:p>
            <w:pPr>
              <w:pStyle w:val="TableParagraph"/>
              <w:spacing w:line="312" w:lineRule="auto" w:before="130"/>
              <w:ind w:left="25" w:right="90"/>
              <w:rPr>
                <w:sz w:val="18"/>
              </w:rPr>
            </w:pPr>
            <w:r>
              <w:rPr>
                <w:color w:val="212121"/>
                <w:sz w:val="18"/>
              </w:rPr>
              <w:t>An assistant to the surgeon who provides aid in exposure, haemostasis, closure, and other intraoperative technical functions that help the surgeon carry out a safe operation with optimal results for the patient.</w:t>
            </w:r>
          </w:p>
        </w:tc>
      </w:tr>
      <w:tr>
        <w:trPr>
          <w:trHeight w:val="774" w:hRule="atLeast"/>
        </w:trPr>
        <w:tc>
          <w:tcPr>
            <w:tcW w:w="2122" w:type="dxa"/>
          </w:tcPr>
          <w:p>
            <w:pPr>
              <w:pStyle w:val="TableParagraph"/>
              <w:spacing w:before="133"/>
              <w:ind w:left="28"/>
              <w:rPr>
                <w:sz w:val="18"/>
              </w:rPr>
            </w:pPr>
            <w:r>
              <w:rPr>
                <w:sz w:val="18"/>
              </w:rPr>
              <w:t>Surgical Co-Claiming</w:t>
            </w:r>
          </w:p>
        </w:tc>
        <w:tc>
          <w:tcPr>
            <w:tcW w:w="6172" w:type="dxa"/>
          </w:tcPr>
          <w:p>
            <w:pPr>
              <w:pStyle w:val="TableParagraph"/>
              <w:spacing w:line="312" w:lineRule="auto" w:before="130"/>
              <w:ind w:left="25" w:right="422"/>
              <w:rPr>
                <w:sz w:val="18"/>
              </w:rPr>
            </w:pPr>
            <w:r>
              <w:rPr>
                <w:sz w:val="18"/>
              </w:rPr>
              <w:t>Where an item is claimed in conjunction with a surgical procedure item which should form part of that surgical procedure.</w:t>
            </w:r>
          </w:p>
        </w:tc>
      </w:tr>
      <w:tr>
        <w:trPr>
          <w:trHeight w:val="488" w:hRule="atLeast"/>
        </w:trPr>
        <w:tc>
          <w:tcPr>
            <w:tcW w:w="2122" w:type="dxa"/>
          </w:tcPr>
          <w:p>
            <w:pPr>
              <w:pStyle w:val="TableParagraph"/>
              <w:spacing w:before="133"/>
              <w:ind w:left="28"/>
              <w:rPr>
                <w:sz w:val="18"/>
              </w:rPr>
            </w:pPr>
            <w:r>
              <w:rPr>
                <w:sz w:val="18"/>
              </w:rPr>
              <w:t>The Committee</w:t>
            </w:r>
          </w:p>
        </w:tc>
        <w:tc>
          <w:tcPr>
            <w:tcW w:w="6172" w:type="dxa"/>
          </w:tcPr>
          <w:p>
            <w:pPr>
              <w:pStyle w:val="TableParagraph"/>
              <w:spacing w:before="133"/>
              <w:ind w:left="25"/>
              <w:rPr>
                <w:sz w:val="18"/>
              </w:rPr>
            </w:pPr>
            <w:r>
              <w:rPr>
                <w:sz w:val="18"/>
              </w:rPr>
              <w:t>The Pain Management Clinical Committee of the MBS Review</w:t>
            </w:r>
          </w:p>
        </w:tc>
      </w:tr>
    </w:tbl>
    <w:p>
      <w:pPr>
        <w:spacing w:after="0"/>
        <w:rPr>
          <w:sz w:val="18"/>
        </w:rPr>
        <w:sectPr>
          <w:pgSz w:w="11910" w:h="16840"/>
          <w:pgMar w:header="672" w:footer="734" w:top="1940" w:bottom="920" w:left="440" w:right="140"/>
        </w:sectPr>
      </w:pPr>
    </w:p>
    <w:p>
      <w:pPr>
        <w:pStyle w:val="BodyText"/>
        <w:rPr>
          <w:b/>
          <w:sz w:val="20"/>
        </w:rPr>
      </w:pPr>
    </w:p>
    <w:p>
      <w:pPr>
        <w:pStyle w:val="BodyText"/>
        <w:spacing w:before="4"/>
        <w:rPr>
          <w:b/>
          <w:sz w:val="28"/>
        </w:rPr>
      </w:pPr>
    </w:p>
    <w:tbl>
      <w:tblPr>
        <w:tblW w:w="0" w:type="auto"/>
        <w:jc w:val="left"/>
        <w:tblInd w:w="1378" w:type="dxa"/>
        <w:tblBorders>
          <w:top w:val="single" w:sz="8" w:space="0" w:color="BEBEBE"/>
          <w:left w:val="single" w:sz="8" w:space="0" w:color="BEBEBE"/>
          <w:bottom w:val="single" w:sz="8" w:space="0" w:color="BEBEBE"/>
          <w:right w:val="single" w:sz="8" w:space="0" w:color="BEBEBE"/>
          <w:insideH w:val="single" w:sz="8" w:space="0" w:color="BEBEBE"/>
          <w:insideV w:val="single" w:sz="8" w:space="0" w:color="BEBEBE"/>
        </w:tblBorders>
        <w:tblLayout w:type="fixed"/>
        <w:tblCellMar>
          <w:top w:w="0" w:type="dxa"/>
          <w:left w:w="0" w:type="dxa"/>
          <w:bottom w:w="0" w:type="dxa"/>
          <w:right w:w="0" w:type="dxa"/>
        </w:tblCellMar>
        <w:tblLook w:val="01E0"/>
      </w:tblPr>
      <w:tblGrid>
        <w:gridCol w:w="2122"/>
        <w:gridCol w:w="6172"/>
      </w:tblGrid>
      <w:tr>
        <w:trPr>
          <w:trHeight w:val="508" w:hRule="atLeast"/>
        </w:trPr>
        <w:tc>
          <w:tcPr>
            <w:tcW w:w="2122" w:type="dxa"/>
            <w:tcBorders>
              <w:top w:val="nil"/>
            </w:tcBorders>
          </w:tcPr>
          <w:p>
            <w:pPr>
              <w:pStyle w:val="TableParagraph"/>
              <w:spacing w:before="160"/>
              <w:ind w:left="28"/>
              <w:rPr>
                <w:sz w:val="18"/>
              </w:rPr>
            </w:pPr>
            <w:r>
              <w:rPr>
                <w:sz w:val="18"/>
              </w:rPr>
              <w:t>The Taskforce</w:t>
            </w:r>
          </w:p>
        </w:tc>
        <w:tc>
          <w:tcPr>
            <w:tcW w:w="6172" w:type="dxa"/>
            <w:tcBorders>
              <w:top w:val="nil"/>
            </w:tcBorders>
          </w:tcPr>
          <w:p>
            <w:pPr>
              <w:pStyle w:val="TableParagraph"/>
              <w:spacing w:before="160"/>
              <w:ind w:left="25"/>
              <w:rPr>
                <w:sz w:val="18"/>
              </w:rPr>
            </w:pPr>
            <w:r>
              <w:rPr>
                <w:sz w:val="18"/>
              </w:rPr>
              <w:t>The MBS Review Taskforce</w:t>
            </w:r>
          </w:p>
        </w:tc>
      </w:tr>
      <w:tr>
        <w:trPr>
          <w:trHeight w:val="529" w:hRule="atLeast"/>
        </w:trPr>
        <w:tc>
          <w:tcPr>
            <w:tcW w:w="2122" w:type="dxa"/>
          </w:tcPr>
          <w:p>
            <w:pPr>
              <w:pStyle w:val="TableParagraph"/>
              <w:spacing w:before="162"/>
              <w:ind w:left="28"/>
              <w:rPr>
                <w:sz w:val="18"/>
              </w:rPr>
            </w:pPr>
            <w:r>
              <w:rPr>
                <w:sz w:val="18"/>
              </w:rPr>
              <w:t>Therapeutic</w:t>
            </w:r>
          </w:p>
        </w:tc>
        <w:tc>
          <w:tcPr>
            <w:tcW w:w="6172" w:type="dxa"/>
          </w:tcPr>
          <w:p>
            <w:pPr>
              <w:pStyle w:val="TableParagraph"/>
              <w:spacing w:before="162"/>
              <w:ind w:left="25"/>
              <w:rPr>
                <w:sz w:val="18"/>
              </w:rPr>
            </w:pPr>
            <w:r>
              <w:rPr>
                <w:sz w:val="18"/>
              </w:rPr>
              <w:t>The treatment of disease &amp; and the action of remedial agents</w:t>
            </w:r>
          </w:p>
        </w:tc>
      </w:tr>
      <w:tr>
        <w:trPr>
          <w:trHeight w:val="774" w:hRule="atLeast"/>
        </w:trPr>
        <w:tc>
          <w:tcPr>
            <w:tcW w:w="2122" w:type="dxa"/>
          </w:tcPr>
          <w:p>
            <w:pPr>
              <w:pStyle w:val="TableParagraph"/>
              <w:spacing w:before="3"/>
              <w:rPr>
                <w:b/>
                <w:sz w:val="23"/>
              </w:rPr>
            </w:pPr>
          </w:p>
          <w:p>
            <w:pPr>
              <w:pStyle w:val="TableParagraph"/>
              <w:ind w:left="28"/>
              <w:rPr>
                <w:sz w:val="18"/>
              </w:rPr>
            </w:pPr>
            <w:r>
              <w:rPr>
                <w:sz w:val="18"/>
              </w:rPr>
              <w:t>Three-item rule</w:t>
            </w:r>
          </w:p>
        </w:tc>
        <w:tc>
          <w:tcPr>
            <w:tcW w:w="6172" w:type="dxa"/>
          </w:tcPr>
          <w:p>
            <w:pPr>
              <w:pStyle w:val="TableParagraph"/>
              <w:spacing w:line="314" w:lineRule="auto" w:before="138"/>
              <w:ind w:left="25"/>
              <w:rPr>
                <w:sz w:val="18"/>
              </w:rPr>
            </w:pPr>
            <w:r>
              <w:rPr>
                <w:color w:val="212121"/>
                <w:sz w:val="18"/>
              </w:rPr>
              <w:t>When more than </w:t>
            </w:r>
            <w:r>
              <w:rPr>
                <w:b/>
                <w:color w:val="212121"/>
                <w:sz w:val="18"/>
              </w:rPr>
              <w:t>three items </w:t>
            </w:r>
            <w:r>
              <w:rPr>
                <w:color w:val="212121"/>
                <w:sz w:val="18"/>
              </w:rPr>
              <w:t>are requested in an episode by a general practitioner for an out-of-hospital service, Medicare only pays for the </w:t>
            </w:r>
            <w:r>
              <w:rPr>
                <w:b/>
                <w:color w:val="212121"/>
                <w:sz w:val="18"/>
              </w:rPr>
              <w:t>three </w:t>
            </w:r>
            <w:r>
              <w:rPr>
                <w:color w:val="212121"/>
                <w:sz w:val="18"/>
              </w:rPr>
              <w:t>most expensive</w:t>
            </w:r>
          </w:p>
        </w:tc>
      </w:tr>
      <w:tr>
        <w:trPr>
          <w:trHeight w:val="488" w:hRule="atLeast"/>
        </w:trPr>
        <w:tc>
          <w:tcPr>
            <w:tcW w:w="2122" w:type="dxa"/>
          </w:tcPr>
          <w:p>
            <w:pPr>
              <w:pStyle w:val="TableParagraph"/>
              <w:spacing w:before="140"/>
              <w:ind w:left="28"/>
              <w:rPr>
                <w:sz w:val="18"/>
              </w:rPr>
            </w:pPr>
            <w:r>
              <w:rPr>
                <w:sz w:val="18"/>
              </w:rPr>
              <w:t>Total benefits</w:t>
            </w:r>
          </w:p>
        </w:tc>
        <w:tc>
          <w:tcPr>
            <w:tcW w:w="6172" w:type="dxa"/>
          </w:tcPr>
          <w:p>
            <w:pPr>
              <w:pStyle w:val="TableParagraph"/>
              <w:spacing w:before="140"/>
              <w:ind w:left="25"/>
              <w:rPr>
                <w:sz w:val="18"/>
              </w:rPr>
            </w:pPr>
            <w:r>
              <w:rPr>
                <w:sz w:val="18"/>
              </w:rPr>
              <w:t>Total benefits paid in 2016/17 unless otherwise specified.</w:t>
            </w:r>
          </w:p>
        </w:tc>
      </w:tr>
      <w:tr>
        <w:trPr>
          <w:trHeight w:val="793" w:hRule="atLeast"/>
        </w:trPr>
        <w:tc>
          <w:tcPr>
            <w:tcW w:w="2122" w:type="dxa"/>
          </w:tcPr>
          <w:p>
            <w:pPr>
              <w:pStyle w:val="TableParagraph"/>
              <w:spacing w:before="10"/>
              <w:rPr>
                <w:b/>
                <w:sz w:val="24"/>
              </w:rPr>
            </w:pPr>
          </w:p>
          <w:p>
            <w:pPr>
              <w:pStyle w:val="TableParagraph"/>
              <w:ind w:left="28"/>
              <w:rPr>
                <w:sz w:val="18"/>
              </w:rPr>
            </w:pPr>
            <w:r>
              <w:rPr>
                <w:sz w:val="18"/>
              </w:rPr>
              <w:t>Zygapophyseal</w:t>
            </w:r>
          </w:p>
        </w:tc>
        <w:tc>
          <w:tcPr>
            <w:tcW w:w="6172" w:type="dxa"/>
          </w:tcPr>
          <w:p>
            <w:pPr>
              <w:pStyle w:val="TableParagraph"/>
              <w:spacing w:line="312" w:lineRule="auto" w:before="159"/>
              <w:ind w:left="25" w:right="170"/>
              <w:rPr>
                <w:sz w:val="18"/>
              </w:rPr>
            </w:pPr>
            <w:r>
              <w:rPr>
                <w:sz w:val="18"/>
              </w:rPr>
              <w:t>A set of synovial, plane joints between the articular processes of two (2) adjacent vertebrae.</w:t>
            </w:r>
          </w:p>
        </w:tc>
      </w:tr>
    </w:tbl>
    <w:p>
      <w:pPr>
        <w:spacing w:after="0" w:line="312" w:lineRule="auto"/>
        <w:rPr>
          <w:sz w:val="18"/>
        </w:rPr>
        <w:sectPr>
          <w:headerReference w:type="default" r:id="rId297"/>
          <w:footerReference w:type="default" r:id="rId298"/>
          <w:pgSz w:w="11910" w:h="16840"/>
          <w:pgMar w:header="672" w:footer="734" w:top="1300" w:bottom="920" w:left="440" w:right="140"/>
        </w:sectPr>
      </w:pPr>
    </w:p>
    <w:p>
      <w:pPr>
        <w:pStyle w:val="BodyText"/>
        <w:rPr>
          <w:b/>
          <w:sz w:val="20"/>
        </w:rPr>
      </w:pPr>
      <w:r>
        <w:rPr/>
        <w:pict>
          <v:rect style="position:absolute;margin-left:70.559998pt;margin-top:533.015991pt;width:700.9pt;height:1.44pt;mso-position-horizontal-relative:page;mso-position-vertical-relative:page;z-index:15905792" filled="true" fillcolor="#bebebe" stroked="false">
            <v:fill type="solid"/>
            <w10:wrap type="none"/>
          </v:rect>
        </w:pict>
      </w:r>
    </w:p>
    <w:p>
      <w:pPr>
        <w:pStyle w:val="BodyText"/>
        <w:rPr>
          <w:b/>
          <w:sz w:val="20"/>
        </w:rPr>
      </w:pPr>
    </w:p>
    <w:p>
      <w:pPr>
        <w:pStyle w:val="BodyText"/>
        <w:rPr>
          <w:b/>
          <w:sz w:val="20"/>
        </w:rPr>
      </w:pPr>
    </w:p>
    <w:p>
      <w:pPr>
        <w:pStyle w:val="BodyText"/>
        <w:rPr>
          <w:b/>
          <w:sz w:val="20"/>
        </w:rPr>
      </w:pPr>
    </w:p>
    <w:p>
      <w:pPr>
        <w:pStyle w:val="Heading2"/>
        <w:spacing w:before="169"/>
        <w:ind w:left="440"/>
      </w:pPr>
      <w:bookmarkStart w:name="_TOC_250000" w:id="15"/>
      <w:r>
        <w:rPr>
          <w:b w:val="0"/>
          <w:position w:val="-5"/>
        </w:rPr>
        <w:drawing>
          <wp:inline distT="0" distB="0" distL="0" distR="0">
            <wp:extent cx="942594" cy="180594"/>
            <wp:effectExtent l="0" t="0" r="0" b="0"/>
            <wp:docPr id="731" name="image203.png"/>
            <wp:cNvGraphicFramePr>
              <a:graphicFrameLocks noChangeAspect="1"/>
            </wp:cNvGraphicFramePr>
            <a:graphic>
              <a:graphicData uri="http://schemas.openxmlformats.org/drawingml/2006/picture">
                <pic:pic>
                  <pic:nvPicPr>
                    <pic:cNvPr id="732" name="image203.png"/>
                    <pic:cNvPicPr/>
                  </pic:nvPicPr>
                  <pic:blipFill>
                    <a:blip r:embed="rId301" cstate="print"/>
                    <a:stretch>
                      <a:fillRect/>
                    </a:stretch>
                  </pic:blipFill>
                  <pic:spPr>
                    <a:xfrm>
                      <a:off x="0" y="0"/>
                      <a:ext cx="942594" cy="180594"/>
                    </a:xfrm>
                    <a:prstGeom prst="rect">
                      <a:avLst/>
                    </a:prstGeom>
                  </pic:spPr>
                </pic:pic>
              </a:graphicData>
            </a:graphic>
          </wp:inline>
        </w:drawing>
      </w:r>
      <w:r>
        <w:rPr>
          <w:b w:val="0"/>
          <w:position w:val="-5"/>
        </w:rPr>
      </w:r>
      <w:r>
        <w:rPr>
          <w:rFonts w:ascii="Times New Roman"/>
          <w:b w:val="0"/>
          <w:sz w:val="20"/>
        </w:rPr>
        <w:t>   </w:t>
      </w:r>
      <w:r>
        <w:rPr>
          <w:rFonts w:ascii="Times New Roman"/>
          <w:b w:val="0"/>
          <w:spacing w:val="17"/>
          <w:sz w:val="20"/>
        </w:rPr>
        <w:t> </w:t>
      </w:r>
      <w:r>
        <w:rPr>
          <w:color w:val="00643E"/>
        </w:rPr>
        <w:t>Summary for</w:t>
      </w:r>
      <w:r>
        <w:rPr>
          <w:color w:val="00643E"/>
          <w:spacing w:val="-3"/>
        </w:rPr>
        <w:t> </w:t>
      </w:r>
      <w:bookmarkEnd w:id="15"/>
      <w:r>
        <w:rPr>
          <w:color w:val="00643E"/>
        </w:rPr>
        <w:t>consumers</w:t>
      </w:r>
    </w:p>
    <w:p>
      <w:pPr>
        <w:pStyle w:val="BodyText"/>
        <w:spacing w:before="6"/>
        <w:rPr>
          <w:b/>
          <w:sz w:val="19"/>
        </w:rPr>
      </w:pPr>
    </w:p>
    <w:p>
      <w:pPr>
        <w:pStyle w:val="BodyText"/>
        <w:spacing w:before="57"/>
        <w:ind w:left="440"/>
      </w:pPr>
      <w:r>
        <w:rPr/>
        <w:t>This table describes the medical service, the recommendations of the clinical experts and why the recommendations have been made.</w:t>
      </w:r>
    </w:p>
    <w:p>
      <w:pPr>
        <w:pStyle w:val="BodyText"/>
      </w:pPr>
    </w:p>
    <w:p>
      <w:pPr>
        <w:pStyle w:val="BodyText"/>
        <w:spacing w:before="6"/>
        <w:rPr>
          <w:sz w:val="30"/>
        </w:rPr>
      </w:pPr>
    </w:p>
    <w:p>
      <w:pPr>
        <w:spacing w:before="0"/>
        <w:ind w:left="440" w:right="0" w:firstLine="0"/>
        <w:jc w:val="left"/>
        <w:rPr>
          <w:b/>
          <w:sz w:val="20"/>
        </w:rPr>
      </w:pPr>
      <w:bookmarkStart w:name="_bookmark11" w:id="16"/>
      <w:bookmarkEnd w:id="16"/>
      <w:r>
        <w:rPr/>
      </w:r>
      <w:r>
        <w:rPr>
          <w:b/>
          <w:sz w:val="20"/>
          <w:u w:val="single"/>
        </w:rPr>
        <w:t>Table 9: Summary for Consumers</w:t>
      </w:r>
    </w:p>
    <w:p>
      <w:pPr>
        <w:pStyle w:val="BodyText"/>
        <w:spacing w:before="11"/>
        <w:rPr>
          <w:b/>
          <w:sz w:val="15"/>
        </w:rPr>
      </w:pPr>
    </w:p>
    <w:p>
      <w:pPr>
        <w:pStyle w:val="Heading8"/>
        <w:tabs>
          <w:tab w:pos="2708" w:val="left" w:leader="none"/>
        </w:tabs>
        <w:rPr>
          <w:i/>
        </w:rPr>
      </w:pPr>
      <w:r>
        <w:rPr>
          <w:i/>
        </w:rPr>
        <w:t>Recommendation</w:t>
      </w:r>
      <w:r>
        <w:rPr>
          <w:i/>
          <w:spacing w:val="-2"/>
        </w:rPr>
        <w:t> </w:t>
      </w:r>
      <w:r>
        <w:rPr>
          <w:i/>
        </w:rPr>
        <w:t>1:</w:t>
        <w:tab/>
        <w:t>Clarifying item 18213 - intravenous regional</w:t>
      </w:r>
      <w:r>
        <w:rPr>
          <w:i/>
          <w:spacing w:val="-6"/>
        </w:rPr>
        <w:t> </w:t>
      </w:r>
      <w:r>
        <w:rPr>
          <w:i/>
        </w:rPr>
        <w:t>anaesthesia</w:t>
      </w:r>
    </w:p>
    <w:p>
      <w:pPr>
        <w:pStyle w:val="BodyText"/>
        <w:spacing w:before="8"/>
        <w:rPr>
          <w:b/>
          <w:i/>
          <w:sz w:val="20"/>
        </w:rPr>
      </w:pPr>
    </w:p>
    <w:tbl>
      <w:tblPr>
        <w:tblW w:w="0" w:type="auto"/>
        <w:jc w:val="left"/>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2"/>
        <w:gridCol w:w="3596"/>
        <w:gridCol w:w="2825"/>
        <w:gridCol w:w="2966"/>
        <w:gridCol w:w="3649"/>
      </w:tblGrid>
      <w:tr>
        <w:trPr>
          <w:trHeight w:val="940" w:hRule="atLeast"/>
        </w:trPr>
        <w:tc>
          <w:tcPr>
            <w:tcW w:w="932" w:type="dxa"/>
            <w:tcBorders>
              <w:top w:val="single" w:sz="4" w:space="0" w:color="B66012"/>
              <w:bottom w:val="single" w:sz="4" w:space="0" w:color="B66012"/>
            </w:tcBorders>
            <w:shd w:val="clear" w:color="auto" w:fill="CC6600"/>
          </w:tcPr>
          <w:p>
            <w:pPr>
              <w:pStyle w:val="TableParagraph"/>
              <w:spacing w:before="179"/>
              <w:ind w:left="120"/>
              <w:rPr>
                <w:b/>
                <w:sz w:val="22"/>
              </w:rPr>
            </w:pPr>
            <w:r>
              <w:rPr>
                <w:b/>
                <w:sz w:val="22"/>
              </w:rPr>
              <w:t>Item</w:t>
            </w:r>
          </w:p>
        </w:tc>
        <w:tc>
          <w:tcPr>
            <w:tcW w:w="3596" w:type="dxa"/>
            <w:shd w:val="clear" w:color="auto" w:fill="B66012"/>
          </w:tcPr>
          <w:p>
            <w:pPr>
              <w:pStyle w:val="TableParagraph"/>
              <w:spacing w:before="179"/>
              <w:ind w:left="112"/>
              <w:rPr>
                <w:b/>
                <w:sz w:val="22"/>
              </w:rPr>
            </w:pPr>
            <w:r>
              <w:rPr>
                <w:b/>
                <w:sz w:val="22"/>
              </w:rPr>
              <w:t>What it does</w:t>
            </w:r>
          </w:p>
        </w:tc>
        <w:tc>
          <w:tcPr>
            <w:tcW w:w="2825" w:type="dxa"/>
            <w:shd w:val="clear" w:color="auto" w:fill="B66012"/>
          </w:tcPr>
          <w:p>
            <w:pPr>
              <w:pStyle w:val="TableParagraph"/>
              <w:spacing w:line="312" w:lineRule="auto" w:before="179"/>
              <w:ind w:left="220" w:right="1005"/>
              <w:rPr>
                <w:b/>
                <w:sz w:val="22"/>
              </w:rPr>
            </w:pPr>
            <w:r>
              <w:rPr>
                <w:b/>
                <w:sz w:val="22"/>
              </w:rPr>
              <w:t>Committee recommendation</w:t>
            </w:r>
          </w:p>
        </w:tc>
        <w:tc>
          <w:tcPr>
            <w:tcW w:w="2966" w:type="dxa"/>
            <w:shd w:val="clear" w:color="auto" w:fill="B66012"/>
          </w:tcPr>
          <w:p>
            <w:pPr>
              <w:pStyle w:val="TableParagraph"/>
              <w:spacing w:before="179"/>
              <w:ind w:left="241"/>
              <w:rPr>
                <w:b/>
                <w:sz w:val="22"/>
              </w:rPr>
            </w:pPr>
            <w:r>
              <w:rPr>
                <w:b/>
                <w:sz w:val="22"/>
              </w:rPr>
              <w:t>What would be different</w:t>
            </w:r>
          </w:p>
        </w:tc>
        <w:tc>
          <w:tcPr>
            <w:tcW w:w="3649" w:type="dxa"/>
            <w:shd w:val="clear" w:color="auto" w:fill="B66012"/>
          </w:tcPr>
          <w:p>
            <w:pPr>
              <w:pStyle w:val="TableParagraph"/>
              <w:spacing w:before="179"/>
              <w:ind w:left="139"/>
              <w:rPr>
                <w:b/>
                <w:sz w:val="22"/>
              </w:rPr>
            </w:pPr>
            <w:r>
              <w:rPr>
                <w:b/>
                <w:sz w:val="22"/>
              </w:rPr>
              <w:t>Why</w:t>
            </w:r>
          </w:p>
        </w:tc>
      </w:tr>
      <w:tr>
        <w:trPr>
          <w:trHeight w:val="2515" w:hRule="atLeast"/>
        </w:trPr>
        <w:tc>
          <w:tcPr>
            <w:tcW w:w="932" w:type="dxa"/>
            <w:tcBorders>
              <w:top w:val="single" w:sz="4" w:space="0" w:color="B66012"/>
              <w:bottom w:val="single" w:sz="4" w:space="0" w:color="B66012"/>
            </w:tcBorders>
          </w:tcPr>
          <w:p>
            <w:pPr>
              <w:pStyle w:val="TableParagraph"/>
              <w:spacing w:before="176"/>
              <w:ind w:left="120"/>
              <w:rPr>
                <w:b/>
                <w:sz w:val="22"/>
              </w:rPr>
            </w:pPr>
            <w:r>
              <w:rPr>
                <w:b/>
                <w:sz w:val="22"/>
              </w:rPr>
              <w:t>14209</w:t>
            </w:r>
          </w:p>
        </w:tc>
        <w:tc>
          <w:tcPr>
            <w:tcW w:w="3596" w:type="dxa"/>
            <w:tcBorders>
              <w:top w:val="single" w:sz="4" w:space="0" w:color="B66012"/>
              <w:bottom w:val="single" w:sz="4" w:space="0" w:color="B66012"/>
            </w:tcBorders>
          </w:tcPr>
          <w:p>
            <w:pPr>
              <w:pStyle w:val="TableParagraph"/>
              <w:spacing w:line="312" w:lineRule="auto" w:before="176"/>
              <w:ind w:left="112" w:right="192"/>
              <w:rPr>
                <w:sz w:val="22"/>
              </w:rPr>
            </w:pPr>
            <w:r>
              <w:rPr>
                <w:sz w:val="22"/>
              </w:rPr>
              <w:t>Injection into the artery of an arm of leg with a particular medication</w:t>
            </w:r>
          </w:p>
        </w:tc>
        <w:tc>
          <w:tcPr>
            <w:tcW w:w="2825" w:type="dxa"/>
            <w:tcBorders>
              <w:top w:val="single" w:sz="4" w:space="0" w:color="B66012"/>
              <w:bottom w:val="single" w:sz="4" w:space="0" w:color="B66012"/>
            </w:tcBorders>
          </w:tcPr>
          <w:p>
            <w:pPr>
              <w:pStyle w:val="TableParagraph"/>
              <w:spacing w:before="176"/>
              <w:ind w:left="220"/>
              <w:rPr>
                <w:sz w:val="22"/>
              </w:rPr>
            </w:pPr>
            <w:r>
              <w:rPr>
                <w:sz w:val="22"/>
              </w:rPr>
              <w:t>Deletion</w:t>
            </w:r>
          </w:p>
        </w:tc>
        <w:tc>
          <w:tcPr>
            <w:tcW w:w="2966" w:type="dxa"/>
            <w:tcBorders>
              <w:top w:val="single" w:sz="4" w:space="0" w:color="B66012"/>
              <w:bottom w:val="single" w:sz="4" w:space="0" w:color="B66012"/>
            </w:tcBorders>
          </w:tcPr>
          <w:p>
            <w:pPr>
              <w:pStyle w:val="TableParagraph"/>
              <w:spacing w:line="312" w:lineRule="auto" w:before="176"/>
              <w:ind w:left="241" w:right="128"/>
              <w:jc w:val="both"/>
              <w:rPr>
                <w:sz w:val="22"/>
              </w:rPr>
            </w:pPr>
            <w:r>
              <w:rPr>
                <w:sz w:val="22"/>
              </w:rPr>
              <w:t>Pain management specialists would no longer have access to this item. Claims would be made under item 18213</w:t>
            </w:r>
          </w:p>
        </w:tc>
        <w:tc>
          <w:tcPr>
            <w:tcW w:w="3649" w:type="dxa"/>
            <w:tcBorders>
              <w:top w:val="single" w:sz="4" w:space="0" w:color="B66012"/>
              <w:bottom w:val="single" w:sz="4" w:space="0" w:color="B66012"/>
            </w:tcBorders>
          </w:tcPr>
          <w:p>
            <w:pPr>
              <w:pStyle w:val="TableParagraph"/>
              <w:spacing w:line="312" w:lineRule="auto" w:before="176"/>
              <w:ind w:left="139" w:right="282"/>
              <w:rPr>
                <w:sz w:val="22"/>
              </w:rPr>
            </w:pPr>
            <w:r>
              <w:rPr>
                <w:sz w:val="22"/>
              </w:rPr>
              <w:t>The item is no longer required as a stand-alone item for use by pain management specialists as current scientific evidence does not support the use of a sympatholytic agent</w:t>
            </w:r>
          </w:p>
        </w:tc>
      </w:tr>
      <w:tr>
        <w:trPr>
          <w:trHeight w:val="1397" w:hRule="atLeast"/>
        </w:trPr>
        <w:tc>
          <w:tcPr>
            <w:tcW w:w="932" w:type="dxa"/>
            <w:tcBorders>
              <w:top w:val="single" w:sz="4" w:space="0" w:color="B66012"/>
              <w:bottom w:val="single" w:sz="4" w:space="0" w:color="B66012"/>
            </w:tcBorders>
          </w:tcPr>
          <w:p>
            <w:pPr>
              <w:pStyle w:val="TableParagraph"/>
              <w:spacing w:before="176"/>
              <w:ind w:left="120"/>
              <w:rPr>
                <w:b/>
                <w:sz w:val="22"/>
              </w:rPr>
            </w:pPr>
            <w:r>
              <w:rPr>
                <w:b/>
                <w:sz w:val="22"/>
              </w:rPr>
              <w:t>18213</w:t>
            </w:r>
          </w:p>
        </w:tc>
        <w:tc>
          <w:tcPr>
            <w:tcW w:w="3596" w:type="dxa"/>
            <w:tcBorders>
              <w:top w:val="single" w:sz="4" w:space="0" w:color="B66012"/>
              <w:bottom w:val="single" w:sz="4" w:space="0" w:color="B66012"/>
            </w:tcBorders>
          </w:tcPr>
          <w:p>
            <w:pPr>
              <w:pStyle w:val="TableParagraph"/>
              <w:spacing w:line="312" w:lineRule="auto" w:before="176"/>
              <w:ind w:left="112" w:right="261"/>
              <w:rPr>
                <w:sz w:val="22"/>
              </w:rPr>
            </w:pPr>
            <w:r>
              <w:rPr>
                <w:sz w:val="22"/>
              </w:rPr>
              <w:t>Blocking the feeling in an arm or leg using an injection into a vein</w:t>
            </w:r>
          </w:p>
        </w:tc>
        <w:tc>
          <w:tcPr>
            <w:tcW w:w="2825" w:type="dxa"/>
            <w:tcBorders>
              <w:top w:val="single" w:sz="4" w:space="0" w:color="B66012"/>
              <w:bottom w:val="single" w:sz="4" w:space="0" w:color="B66012"/>
            </w:tcBorders>
          </w:tcPr>
          <w:p>
            <w:pPr>
              <w:pStyle w:val="TableParagraph"/>
              <w:spacing w:line="312" w:lineRule="auto"/>
              <w:ind w:left="220" w:right="215"/>
              <w:rPr>
                <w:sz w:val="22"/>
              </w:rPr>
            </w:pPr>
            <w:r>
              <w:rPr>
                <w:sz w:val="22"/>
              </w:rPr>
              <w:t>The item be amended to allow for item 14209 to be incorporated</w:t>
            </w:r>
          </w:p>
        </w:tc>
        <w:tc>
          <w:tcPr>
            <w:tcW w:w="2966" w:type="dxa"/>
            <w:tcBorders>
              <w:top w:val="single" w:sz="4" w:space="0" w:color="B66012"/>
              <w:bottom w:val="single" w:sz="4" w:space="0" w:color="B66012"/>
            </w:tcBorders>
          </w:tcPr>
          <w:p>
            <w:pPr>
              <w:pStyle w:val="TableParagraph"/>
              <w:spacing w:line="312" w:lineRule="auto" w:before="176"/>
              <w:ind w:left="241" w:right="138"/>
              <w:rPr>
                <w:sz w:val="22"/>
              </w:rPr>
            </w:pPr>
            <w:r>
              <w:rPr>
                <w:sz w:val="22"/>
              </w:rPr>
              <w:t>Claims for item 14209 would now be claimed under 18213.</w:t>
            </w:r>
          </w:p>
        </w:tc>
        <w:tc>
          <w:tcPr>
            <w:tcW w:w="3649" w:type="dxa"/>
            <w:tcBorders>
              <w:top w:val="single" w:sz="4" w:space="0" w:color="B66012"/>
              <w:bottom w:val="single" w:sz="4" w:space="0" w:color="B66012"/>
            </w:tcBorders>
          </w:tcPr>
          <w:p>
            <w:pPr>
              <w:pStyle w:val="TableParagraph"/>
              <w:spacing w:line="312" w:lineRule="auto"/>
              <w:ind w:left="139" w:right="284"/>
              <w:rPr>
                <w:sz w:val="22"/>
              </w:rPr>
            </w:pPr>
            <w:r>
              <w:rPr>
                <w:sz w:val="22"/>
              </w:rPr>
              <w:t>It is more appropriate for pain management specialists to use item 18213</w:t>
            </w:r>
          </w:p>
        </w:tc>
      </w:tr>
    </w:tbl>
    <w:p>
      <w:pPr>
        <w:spacing w:after="0" w:line="312" w:lineRule="auto"/>
        <w:rPr>
          <w:sz w:val="22"/>
        </w:rPr>
        <w:sectPr>
          <w:headerReference w:type="default" r:id="rId299"/>
          <w:footerReference w:type="default" r:id="rId300"/>
          <w:pgSz w:w="16840" w:h="11910" w:orient="landscape"/>
          <w:pgMar w:header="0" w:footer="722" w:top="1180" w:bottom="920" w:left="1000" w:right="1640"/>
        </w:sectPr>
      </w:pPr>
    </w:p>
    <w:p>
      <w:pPr>
        <w:pStyle w:val="BodyText"/>
        <w:rPr>
          <w:b/>
          <w:i/>
          <w:sz w:val="20"/>
        </w:rPr>
      </w:pPr>
    </w:p>
    <w:p>
      <w:pPr>
        <w:pStyle w:val="BodyText"/>
        <w:rPr>
          <w:b/>
          <w:i/>
          <w:sz w:val="20"/>
        </w:rPr>
      </w:pPr>
    </w:p>
    <w:p>
      <w:pPr>
        <w:pStyle w:val="BodyText"/>
        <w:spacing w:before="7"/>
        <w:rPr>
          <w:b/>
          <w:i/>
          <w:sz w:val="10"/>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7"/>
        <w:gridCol w:w="3729"/>
        <w:gridCol w:w="2856"/>
        <w:gridCol w:w="2864"/>
        <w:gridCol w:w="3663"/>
      </w:tblGrid>
      <w:tr>
        <w:trPr>
          <w:trHeight w:val="2275" w:hRule="atLeast"/>
        </w:trPr>
        <w:tc>
          <w:tcPr>
            <w:tcW w:w="857" w:type="dxa"/>
            <w:tcBorders>
              <w:top w:val="single" w:sz="4" w:space="0" w:color="B66012"/>
              <w:bottom w:val="single" w:sz="4" w:space="0" w:color="B66012"/>
            </w:tcBorders>
          </w:tcPr>
          <w:p>
            <w:pPr>
              <w:pStyle w:val="TableParagraph"/>
              <w:rPr>
                <w:rFonts w:ascii="Times New Roman"/>
                <w:sz w:val="20"/>
              </w:rPr>
            </w:pPr>
          </w:p>
        </w:tc>
        <w:tc>
          <w:tcPr>
            <w:tcW w:w="3729" w:type="dxa"/>
            <w:tcBorders>
              <w:top w:val="single" w:sz="4" w:space="0" w:color="B66012"/>
              <w:bottom w:val="single" w:sz="4" w:space="0" w:color="B66012"/>
            </w:tcBorders>
          </w:tcPr>
          <w:p>
            <w:pPr>
              <w:pStyle w:val="TableParagraph"/>
              <w:rPr>
                <w:rFonts w:ascii="Times New Roman"/>
                <w:sz w:val="20"/>
              </w:rPr>
            </w:pPr>
          </w:p>
        </w:tc>
        <w:tc>
          <w:tcPr>
            <w:tcW w:w="2856" w:type="dxa"/>
            <w:tcBorders>
              <w:top w:val="single" w:sz="4" w:space="0" w:color="B66012"/>
              <w:bottom w:val="single" w:sz="4" w:space="0" w:color="B66012"/>
            </w:tcBorders>
          </w:tcPr>
          <w:p>
            <w:pPr>
              <w:pStyle w:val="TableParagraph"/>
              <w:spacing w:line="265" w:lineRule="exact"/>
              <w:ind w:left="157"/>
              <w:rPr>
                <w:sz w:val="22"/>
              </w:rPr>
            </w:pPr>
            <w:r>
              <w:rPr>
                <w:sz w:val="22"/>
              </w:rPr>
              <w:t>The item to read -</w:t>
            </w:r>
          </w:p>
          <w:p>
            <w:pPr>
              <w:pStyle w:val="TableParagraph"/>
              <w:spacing w:line="312" w:lineRule="auto" w:before="79"/>
              <w:ind w:left="157" w:right="539"/>
              <w:rPr>
                <w:sz w:val="22"/>
              </w:rPr>
            </w:pPr>
            <w:r>
              <w:rPr>
                <w:sz w:val="22"/>
              </w:rPr>
              <w:t>‘Intraarterial infusion or Intravenous regional anaesthesia of limb by</w:t>
            </w:r>
          </w:p>
          <w:p>
            <w:pPr>
              <w:pStyle w:val="TableParagraph"/>
              <w:spacing w:before="2"/>
              <w:ind w:left="157"/>
              <w:rPr>
                <w:sz w:val="22"/>
              </w:rPr>
            </w:pPr>
            <w:r>
              <w:rPr>
                <w:sz w:val="22"/>
              </w:rPr>
              <w:t>retrograde perfusion’</w:t>
            </w:r>
          </w:p>
        </w:tc>
        <w:tc>
          <w:tcPr>
            <w:tcW w:w="2864" w:type="dxa"/>
            <w:tcBorders>
              <w:top w:val="single" w:sz="4" w:space="0" w:color="B66012"/>
              <w:bottom w:val="single" w:sz="4" w:space="0" w:color="B66012"/>
            </w:tcBorders>
          </w:tcPr>
          <w:p>
            <w:pPr>
              <w:pStyle w:val="TableParagraph"/>
              <w:rPr>
                <w:rFonts w:ascii="Times New Roman"/>
                <w:sz w:val="20"/>
              </w:rPr>
            </w:pPr>
          </w:p>
        </w:tc>
        <w:tc>
          <w:tcPr>
            <w:tcW w:w="3663" w:type="dxa"/>
            <w:tcBorders>
              <w:top w:val="single" w:sz="4" w:space="0" w:color="B66012"/>
              <w:bottom w:val="single" w:sz="4" w:space="0" w:color="B66012"/>
            </w:tcBorders>
          </w:tcPr>
          <w:p>
            <w:pPr>
              <w:pStyle w:val="TableParagraph"/>
              <w:spacing w:line="312" w:lineRule="auto"/>
              <w:ind w:left="147" w:right="299"/>
              <w:rPr>
                <w:sz w:val="22"/>
              </w:rPr>
            </w:pPr>
            <w:r>
              <w:rPr>
                <w:sz w:val="22"/>
              </w:rPr>
              <w:t>This item remains as contemporary clinical best practice and that the change will clarify that other agents are not supported by the evidence</w:t>
            </w:r>
          </w:p>
        </w:tc>
      </w:tr>
      <w:tr>
        <w:trPr>
          <w:trHeight w:val="1117" w:hRule="atLeast"/>
        </w:trPr>
        <w:tc>
          <w:tcPr>
            <w:tcW w:w="13969" w:type="dxa"/>
            <w:gridSpan w:val="5"/>
            <w:tcBorders>
              <w:top w:val="single" w:sz="4" w:space="0" w:color="B66012"/>
              <w:bottom w:val="single" w:sz="4" w:space="0" w:color="B66012"/>
            </w:tcBorders>
          </w:tcPr>
          <w:p>
            <w:pPr>
              <w:pStyle w:val="TableParagraph"/>
              <w:rPr>
                <w:b/>
                <w:i/>
                <w:sz w:val="22"/>
              </w:rPr>
            </w:pPr>
          </w:p>
          <w:p>
            <w:pPr>
              <w:pStyle w:val="TableParagraph"/>
              <w:rPr>
                <w:b/>
                <w:i/>
                <w:sz w:val="22"/>
              </w:rPr>
            </w:pPr>
          </w:p>
          <w:p>
            <w:pPr>
              <w:pStyle w:val="TableParagraph"/>
              <w:tabs>
                <w:tab w:pos="2434" w:val="left" w:leader="none"/>
              </w:tabs>
              <w:spacing w:before="167"/>
              <w:ind w:left="115"/>
              <w:rPr>
                <w:b/>
                <w:i/>
                <w:sz w:val="22"/>
              </w:rPr>
            </w:pPr>
            <w:r>
              <w:rPr>
                <w:b/>
                <w:i/>
                <w:sz w:val="22"/>
              </w:rPr>
              <w:t>Recommendation</w:t>
            </w:r>
            <w:r>
              <w:rPr>
                <w:b/>
                <w:i/>
                <w:spacing w:val="-2"/>
                <w:sz w:val="22"/>
              </w:rPr>
              <w:t> </w:t>
            </w:r>
            <w:r>
              <w:rPr>
                <w:b/>
                <w:i/>
                <w:sz w:val="22"/>
              </w:rPr>
              <w:t>2:</w:t>
              <w:tab/>
              <w:t>Clarifying items 18222 and 18225 - continuous infusion by</w:t>
            </w:r>
            <w:r>
              <w:rPr>
                <w:b/>
                <w:i/>
                <w:spacing w:val="-9"/>
                <w:sz w:val="22"/>
              </w:rPr>
              <w:t> </w:t>
            </w:r>
            <w:r>
              <w:rPr>
                <w:b/>
                <w:i/>
                <w:sz w:val="22"/>
              </w:rPr>
              <w:t>catheter</w:t>
            </w:r>
          </w:p>
        </w:tc>
      </w:tr>
      <w:tr>
        <w:trPr>
          <w:trHeight w:val="938" w:hRule="atLeast"/>
        </w:trPr>
        <w:tc>
          <w:tcPr>
            <w:tcW w:w="857" w:type="dxa"/>
            <w:tcBorders>
              <w:top w:val="single" w:sz="4" w:space="0" w:color="B66012"/>
              <w:bottom w:val="single" w:sz="4" w:space="0" w:color="B66012"/>
            </w:tcBorders>
            <w:shd w:val="clear" w:color="auto" w:fill="CC6600"/>
          </w:tcPr>
          <w:p>
            <w:pPr>
              <w:pStyle w:val="TableParagraph"/>
              <w:spacing w:before="176"/>
              <w:ind w:left="115"/>
              <w:rPr>
                <w:b/>
                <w:sz w:val="22"/>
              </w:rPr>
            </w:pPr>
            <w:r>
              <w:rPr>
                <w:b/>
                <w:sz w:val="22"/>
              </w:rPr>
              <w:t>Item</w:t>
            </w:r>
          </w:p>
        </w:tc>
        <w:tc>
          <w:tcPr>
            <w:tcW w:w="3729" w:type="dxa"/>
            <w:tcBorders>
              <w:top w:val="single" w:sz="4" w:space="0" w:color="B66012"/>
              <w:bottom w:val="single" w:sz="4" w:space="0" w:color="B66012"/>
            </w:tcBorders>
            <w:shd w:val="clear" w:color="auto" w:fill="CC6600"/>
          </w:tcPr>
          <w:p>
            <w:pPr>
              <w:pStyle w:val="TableParagraph"/>
              <w:spacing w:before="176"/>
              <w:ind w:left="183"/>
              <w:rPr>
                <w:b/>
                <w:sz w:val="22"/>
              </w:rPr>
            </w:pPr>
            <w:r>
              <w:rPr>
                <w:b/>
                <w:sz w:val="22"/>
              </w:rPr>
              <w:t>What it does</w:t>
            </w:r>
          </w:p>
        </w:tc>
        <w:tc>
          <w:tcPr>
            <w:tcW w:w="2856" w:type="dxa"/>
            <w:tcBorders>
              <w:top w:val="single" w:sz="4" w:space="0" w:color="B66012"/>
              <w:bottom w:val="single" w:sz="4" w:space="0" w:color="B66012"/>
            </w:tcBorders>
            <w:shd w:val="clear" w:color="auto" w:fill="CC6600"/>
          </w:tcPr>
          <w:p>
            <w:pPr>
              <w:pStyle w:val="TableParagraph"/>
              <w:spacing w:line="312" w:lineRule="auto" w:before="176"/>
              <w:ind w:left="157" w:right="1099"/>
              <w:rPr>
                <w:b/>
                <w:sz w:val="22"/>
              </w:rPr>
            </w:pPr>
            <w:r>
              <w:rPr>
                <w:b/>
                <w:sz w:val="22"/>
              </w:rPr>
              <w:t>Committee recommendation</w:t>
            </w:r>
          </w:p>
        </w:tc>
        <w:tc>
          <w:tcPr>
            <w:tcW w:w="2864" w:type="dxa"/>
            <w:tcBorders>
              <w:top w:val="single" w:sz="4" w:space="0" w:color="B66012"/>
              <w:bottom w:val="single" w:sz="4" w:space="0" w:color="B66012"/>
            </w:tcBorders>
            <w:shd w:val="clear" w:color="auto" w:fill="CC6600"/>
          </w:tcPr>
          <w:p>
            <w:pPr>
              <w:pStyle w:val="TableParagraph"/>
              <w:spacing w:before="176"/>
              <w:ind w:left="148"/>
              <w:rPr>
                <w:b/>
                <w:sz w:val="22"/>
              </w:rPr>
            </w:pPr>
            <w:r>
              <w:rPr>
                <w:b/>
                <w:sz w:val="22"/>
              </w:rPr>
              <w:t>What would be different</w:t>
            </w:r>
          </w:p>
        </w:tc>
        <w:tc>
          <w:tcPr>
            <w:tcW w:w="3663" w:type="dxa"/>
            <w:tcBorders>
              <w:top w:val="single" w:sz="4" w:space="0" w:color="B66012"/>
              <w:bottom w:val="single" w:sz="4" w:space="0" w:color="B66012"/>
            </w:tcBorders>
            <w:shd w:val="clear" w:color="auto" w:fill="CC6600"/>
          </w:tcPr>
          <w:p>
            <w:pPr>
              <w:pStyle w:val="TableParagraph"/>
              <w:spacing w:before="176"/>
              <w:ind w:left="147"/>
              <w:rPr>
                <w:b/>
                <w:sz w:val="22"/>
              </w:rPr>
            </w:pPr>
            <w:r>
              <w:rPr>
                <w:b/>
                <w:sz w:val="22"/>
              </w:rPr>
              <w:t>Why</w:t>
            </w:r>
          </w:p>
        </w:tc>
      </w:tr>
      <w:tr>
        <w:trPr>
          <w:trHeight w:val="3214" w:hRule="atLeast"/>
        </w:trPr>
        <w:tc>
          <w:tcPr>
            <w:tcW w:w="857" w:type="dxa"/>
            <w:tcBorders>
              <w:top w:val="single" w:sz="4" w:space="0" w:color="B66012"/>
              <w:bottom w:val="single" w:sz="4" w:space="0" w:color="B66012"/>
            </w:tcBorders>
          </w:tcPr>
          <w:p>
            <w:pPr>
              <w:pStyle w:val="TableParagraph"/>
              <w:spacing w:before="176"/>
              <w:ind w:left="115"/>
              <w:rPr>
                <w:b/>
                <w:sz w:val="22"/>
              </w:rPr>
            </w:pPr>
            <w:r>
              <w:rPr>
                <w:b/>
                <w:sz w:val="22"/>
              </w:rPr>
              <w:t>18222</w:t>
            </w:r>
          </w:p>
        </w:tc>
        <w:tc>
          <w:tcPr>
            <w:tcW w:w="3729" w:type="dxa"/>
            <w:tcBorders>
              <w:top w:val="single" w:sz="4" w:space="0" w:color="B66012"/>
              <w:bottom w:val="single" w:sz="4" w:space="0" w:color="B66012"/>
            </w:tcBorders>
          </w:tcPr>
          <w:p>
            <w:pPr>
              <w:pStyle w:val="TableParagraph"/>
              <w:spacing w:line="312" w:lineRule="auto" w:before="176"/>
              <w:ind w:left="183" w:right="140"/>
              <w:rPr>
                <w:sz w:val="22"/>
              </w:rPr>
            </w:pPr>
            <w:r>
              <w:rPr>
                <w:sz w:val="22"/>
              </w:rPr>
              <w:t>Giving medicine continuously to keep a part of the body from having feeling or pain, with the doctor there for 15 minutes or less</w:t>
            </w:r>
          </w:p>
        </w:tc>
        <w:tc>
          <w:tcPr>
            <w:tcW w:w="2856" w:type="dxa"/>
            <w:tcBorders>
              <w:top w:val="single" w:sz="4" w:space="0" w:color="B66012"/>
              <w:bottom w:val="single" w:sz="4" w:space="0" w:color="B66012"/>
            </w:tcBorders>
          </w:tcPr>
          <w:p>
            <w:pPr>
              <w:pStyle w:val="TableParagraph"/>
              <w:spacing w:line="312" w:lineRule="auto" w:before="176"/>
              <w:ind w:left="157" w:right="130"/>
              <w:rPr>
                <w:sz w:val="22"/>
              </w:rPr>
            </w:pPr>
            <w:r>
              <w:rPr>
                <w:sz w:val="22"/>
              </w:rPr>
              <w:t>Amend item to include ‘</w:t>
            </w:r>
            <w:r>
              <w:rPr>
                <w:i/>
                <w:sz w:val="22"/>
              </w:rPr>
              <w:t>not </w:t>
            </w:r>
            <w:r>
              <w:rPr>
                <w:i/>
                <w:sz w:val="22"/>
              </w:rPr>
              <w:t>contrast medium</w:t>
            </w:r>
            <w:r>
              <w:rPr>
                <w:sz w:val="22"/>
              </w:rPr>
              <w:t>’ and </w:t>
            </w:r>
            <w:r>
              <w:rPr>
                <w:i/>
                <w:sz w:val="22"/>
              </w:rPr>
              <w:t>‘or </w:t>
            </w:r>
            <w:r>
              <w:rPr>
                <w:i/>
                <w:sz w:val="22"/>
              </w:rPr>
              <w:t>injection continuous infusion by catheter</w:t>
            </w:r>
            <w:r>
              <w:rPr>
                <w:sz w:val="22"/>
              </w:rPr>
              <w:t>’</w:t>
            </w:r>
          </w:p>
        </w:tc>
        <w:tc>
          <w:tcPr>
            <w:tcW w:w="2864" w:type="dxa"/>
            <w:tcBorders>
              <w:top w:val="single" w:sz="4" w:space="0" w:color="B66012"/>
              <w:bottom w:val="single" w:sz="4" w:space="0" w:color="B66012"/>
            </w:tcBorders>
          </w:tcPr>
          <w:p>
            <w:pPr>
              <w:pStyle w:val="TableParagraph"/>
              <w:spacing w:line="314" w:lineRule="auto" w:before="176"/>
              <w:ind w:left="148" w:right="129"/>
              <w:rPr>
                <w:sz w:val="22"/>
              </w:rPr>
            </w:pPr>
            <w:r>
              <w:rPr>
                <w:sz w:val="22"/>
              </w:rPr>
              <w:t>The item can no longer be used for diagnostic purposes</w:t>
            </w:r>
          </w:p>
        </w:tc>
        <w:tc>
          <w:tcPr>
            <w:tcW w:w="3663" w:type="dxa"/>
            <w:tcBorders>
              <w:top w:val="single" w:sz="4" w:space="0" w:color="B66012"/>
              <w:bottom w:val="single" w:sz="4" w:space="0" w:color="B66012"/>
            </w:tcBorders>
          </w:tcPr>
          <w:p>
            <w:pPr>
              <w:pStyle w:val="TableParagraph"/>
              <w:spacing w:line="312" w:lineRule="auto" w:before="176"/>
              <w:ind w:left="147" w:right="165"/>
              <w:rPr>
                <w:sz w:val="22"/>
              </w:rPr>
            </w:pPr>
            <w:r>
              <w:rPr>
                <w:sz w:val="22"/>
              </w:rPr>
              <w:t>The items should not be used for diagnostic purposes because adequate item numbers already exist for diagnostic radiology practice.</w:t>
            </w:r>
          </w:p>
          <w:p>
            <w:pPr>
              <w:pStyle w:val="TableParagraph"/>
              <w:spacing w:line="312" w:lineRule="auto" w:before="181"/>
              <w:ind w:left="147" w:right="121"/>
              <w:rPr>
                <w:sz w:val="22"/>
              </w:rPr>
            </w:pPr>
            <w:r>
              <w:rPr>
                <w:sz w:val="22"/>
              </w:rPr>
              <w:t>Edits to the item ensures the use of these items are not for diagnostic purposes, improving the value of care provided by the MBS.</w:t>
            </w:r>
          </w:p>
        </w:tc>
      </w:tr>
    </w:tbl>
    <w:p>
      <w:pPr>
        <w:spacing w:after="0" w:line="312" w:lineRule="auto"/>
        <w:rPr>
          <w:sz w:val="22"/>
        </w:rPr>
        <w:sectPr>
          <w:headerReference w:type="default" r:id="rId302"/>
          <w:footerReference w:type="default" r:id="rId303"/>
          <w:pgSz w:w="16840" w:h="11910" w:orient="landscape"/>
          <w:pgMar w:header="0" w:footer="722" w:top="1180" w:bottom="920" w:left="1000" w:right="1640"/>
          <w:pgNumType w:start="81"/>
        </w:sectPr>
      </w:pPr>
    </w:p>
    <w:p>
      <w:pPr>
        <w:pStyle w:val="BodyText"/>
        <w:rPr>
          <w:b/>
          <w:i/>
          <w:sz w:val="20"/>
        </w:rPr>
      </w:pPr>
    </w:p>
    <w:p>
      <w:pPr>
        <w:pStyle w:val="BodyText"/>
        <w:rPr>
          <w:b/>
          <w:i/>
          <w:sz w:val="20"/>
        </w:rPr>
      </w:pPr>
    </w:p>
    <w:p>
      <w:pPr>
        <w:pStyle w:val="BodyText"/>
        <w:spacing w:before="7"/>
        <w:rPr>
          <w:b/>
          <w:i/>
          <w:sz w:val="10"/>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7"/>
        <w:gridCol w:w="3755"/>
        <w:gridCol w:w="2797"/>
        <w:gridCol w:w="2922"/>
        <w:gridCol w:w="3640"/>
      </w:tblGrid>
      <w:tr>
        <w:trPr>
          <w:trHeight w:val="1984" w:hRule="atLeast"/>
        </w:trPr>
        <w:tc>
          <w:tcPr>
            <w:tcW w:w="857" w:type="dxa"/>
            <w:tcBorders>
              <w:top w:val="single" w:sz="4" w:space="0" w:color="B66012"/>
              <w:bottom w:val="single" w:sz="4" w:space="0" w:color="B66012"/>
            </w:tcBorders>
          </w:tcPr>
          <w:p>
            <w:pPr>
              <w:pStyle w:val="TableParagraph"/>
              <w:spacing w:before="176"/>
              <w:ind w:left="115"/>
              <w:rPr>
                <w:b/>
                <w:sz w:val="22"/>
              </w:rPr>
            </w:pPr>
            <w:r>
              <w:rPr>
                <w:b/>
                <w:sz w:val="22"/>
              </w:rPr>
              <w:t>18225</w:t>
            </w:r>
          </w:p>
        </w:tc>
        <w:tc>
          <w:tcPr>
            <w:tcW w:w="3755" w:type="dxa"/>
            <w:tcBorders>
              <w:top w:val="single" w:sz="4" w:space="0" w:color="B66012"/>
              <w:bottom w:val="single" w:sz="4" w:space="0" w:color="B66012"/>
            </w:tcBorders>
          </w:tcPr>
          <w:p>
            <w:pPr>
              <w:pStyle w:val="TableParagraph"/>
              <w:spacing w:line="312" w:lineRule="auto" w:before="176"/>
              <w:ind w:left="182" w:right="131"/>
              <w:jc w:val="both"/>
              <w:rPr>
                <w:sz w:val="22"/>
              </w:rPr>
            </w:pPr>
            <w:r>
              <w:rPr>
                <w:sz w:val="22"/>
              </w:rPr>
              <w:t>Giving medicine continuously to keep a part of the body from having feeling or pain with the doctor there for more than 15 minutes</w:t>
            </w:r>
          </w:p>
        </w:tc>
        <w:tc>
          <w:tcPr>
            <w:tcW w:w="2797" w:type="dxa"/>
            <w:tcBorders>
              <w:top w:val="single" w:sz="4" w:space="0" w:color="B66012"/>
              <w:bottom w:val="single" w:sz="4" w:space="0" w:color="B66012"/>
            </w:tcBorders>
          </w:tcPr>
          <w:p>
            <w:pPr>
              <w:pStyle w:val="TableParagraph"/>
              <w:spacing w:line="312" w:lineRule="auto" w:before="176"/>
              <w:ind w:left="131" w:right="254"/>
              <w:rPr>
                <w:sz w:val="22"/>
              </w:rPr>
            </w:pPr>
            <w:r>
              <w:rPr>
                <w:sz w:val="22"/>
              </w:rPr>
              <w:t>Amend item descriptors to include ‘</w:t>
            </w:r>
            <w:r>
              <w:rPr>
                <w:i/>
                <w:sz w:val="22"/>
              </w:rPr>
              <w:t>not contrast </w:t>
            </w:r>
            <w:r>
              <w:rPr>
                <w:i/>
                <w:sz w:val="22"/>
              </w:rPr>
              <w:t>medium</w:t>
            </w:r>
            <w:r>
              <w:rPr>
                <w:sz w:val="22"/>
              </w:rPr>
              <w:t>’ and </w:t>
            </w:r>
            <w:r>
              <w:rPr>
                <w:i/>
                <w:sz w:val="22"/>
              </w:rPr>
              <w:t>‘or injection </w:t>
            </w:r>
            <w:r>
              <w:rPr>
                <w:i/>
                <w:sz w:val="22"/>
              </w:rPr>
              <w:t>continuous infusion by catheter</w:t>
            </w:r>
            <w:r>
              <w:rPr>
                <w:sz w:val="22"/>
              </w:rPr>
              <w:t>’</w:t>
            </w:r>
          </w:p>
        </w:tc>
        <w:tc>
          <w:tcPr>
            <w:tcW w:w="2922" w:type="dxa"/>
            <w:tcBorders>
              <w:top w:val="single" w:sz="4" w:space="0" w:color="B66012"/>
              <w:bottom w:val="single" w:sz="4" w:space="0" w:color="B66012"/>
            </w:tcBorders>
          </w:tcPr>
          <w:p>
            <w:pPr>
              <w:pStyle w:val="TableParagraph"/>
              <w:spacing w:line="312" w:lineRule="auto" w:before="176"/>
              <w:ind w:left="181" w:right="154"/>
              <w:rPr>
                <w:sz w:val="22"/>
              </w:rPr>
            </w:pPr>
            <w:r>
              <w:rPr>
                <w:sz w:val="22"/>
              </w:rPr>
              <w:t>The item can no longer be used for diagnostic purposes</w:t>
            </w:r>
          </w:p>
        </w:tc>
        <w:tc>
          <w:tcPr>
            <w:tcW w:w="3640" w:type="dxa"/>
            <w:tcBorders>
              <w:top w:val="single" w:sz="4" w:space="0" w:color="B66012"/>
              <w:bottom w:val="single" w:sz="4" w:space="0" w:color="B66012"/>
            </w:tcBorders>
          </w:tcPr>
          <w:p>
            <w:pPr>
              <w:pStyle w:val="TableParagraph"/>
              <w:spacing w:line="312" w:lineRule="auto" w:before="176"/>
              <w:ind w:left="122" w:right="167"/>
              <w:rPr>
                <w:sz w:val="22"/>
              </w:rPr>
            </w:pPr>
            <w:r>
              <w:rPr>
                <w:sz w:val="22"/>
              </w:rPr>
              <w:t>The items should not be used for diagnostic purposes because adequate item numbers already exist for diagnostic radiology practice</w:t>
            </w:r>
          </w:p>
        </w:tc>
      </w:tr>
      <w:tr>
        <w:trPr>
          <w:trHeight w:val="1118" w:hRule="atLeast"/>
        </w:trPr>
        <w:tc>
          <w:tcPr>
            <w:tcW w:w="13971" w:type="dxa"/>
            <w:gridSpan w:val="5"/>
            <w:tcBorders>
              <w:top w:val="single" w:sz="4" w:space="0" w:color="B66012"/>
              <w:bottom w:val="single" w:sz="4" w:space="0" w:color="B66012"/>
            </w:tcBorders>
          </w:tcPr>
          <w:p>
            <w:pPr>
              <w:pStyle w:val="TableParagraph"/>
              <w:rPr>
                <w:b/>
                <w:i/>
                <w:sz w:val="22"/>
              </w:rPr>
            </w:pPr>
          </w:p>
          <w:p>
            <w:pPr>
              <w:pStyle w:val="TableParagraph"/>
              <w:rPr>
                <w:b/>
                <w:i/>
                <w:sz w:val="22"/>
              </w:rPr>
            </w:pPr>
          </w:p>
          <w:p>
            <w:pPr>
              <w:pStyle w:val="TableParagraph"/>
              <w:tabs>
                <w:tab w:pos="2383" w:val="left" w:leader="none"/>
              </w:tabs>
              <w:spacing w:before="170"/>
              <w:ind w:left="115"/>
              <w:rPr>
                <w:b/>
                <w:i/>
                <w:sz w:val="22"/>
              </w:rPr>
            </w:pPr>
            <w:r>
              <w:rPr>
                <w:b/>
                <w:i/>
                <w:sz w:val="22"/>
              </w:rPr>
              <w:t>Recommendation</w:t>
            </w:r>
            <w:r>
              <w:rPr>
                <w:b/>
                <w:i/>
                <w:spacing w:val="-2"/>
                <w:sz w:val="22"/>
              </w:rPr>
              <w:t> </w:t>
            </w:r>
            <w:r>
              <w:rPr>
                <w:b/>
                <w:i/>
                <w:sz w:val="22"/>
              </w:rPr>
              <w:t>3:</w:t>
              <w:tab/>
              <w:t>Clarifying item 18230 - intrathecal or epidural injection of neurolytic</w:t>
            </w:r>
            <w:r>
              <w:rPr>
                <w:b/>
                <w:i/>
                <w:spacing w:val="-13"/>
                <w:sz w:val="22"/>
              </w:rPr>
              <w:t> </w:t>
            </w:r>
            <w:r>
              <w:rPr>
                <w:b/>
                <w:i/>
                <w:sz w:val="22"/>
              </w:rPr>
              <w:t>substance</w:t>
            </w:r>
          </w:p>
        </w:tc>
      </w:tr>
      <w:tr>
        <w:trPr>
          <w:trHeight w:val="937" w:hRule="atLeast"/>
        </w:trPr>
        <w:tc>
          <w:tcPr>
            <w:tcW w:w="857" w:type="dxa"/>
            <w:tcBorders>
              <w:top w:val="single" w:sz="4" w:space="0" w:color="B66012"/>
              <w:bottom w:val="single" w:sz="4" w:space="0" w:color="B66012"/>
            </w:tcBorders>
            <w:shd w:val="clear" w:color="auto" w:fill="CC6600"/>
          </w:tcPr>
          <w:p>
            <w:pPr>
              <w:pStyle w:val="TableParagraph"/>
              <w:spacing w:before="179"/>
              <w:ind w:left="115"/>
              <w:rPr>
                <w:b/>
                <w:sz w:val="22"/>
              </w:rPr>
            </w:pPr>
            <w:r>
              <w:rPr>
                <w:b/>
                <w:sz w:val="22"/>
              </w:rPr>
              <w:t>Item</w:t>
            </w:r>
          </w:p>
        </w:tc>
        <w:tc>
          <w:tcPr>
            <w:tcW w:w="3755" w:type="dxa"/>
            <w:tcBorders>
              <w:top w:val="single" w:sz="4" w:space="0" w:color="B66012"/>
              <w:bottom w:val="single" w:sz="4" w:space="0" w:color="B66012"/>
            </w:tcBorders>
            <w:shd w:val="clear" w:color="auto" w:fill="CC6600"/>
          </w:tcPr>
          <w:p>
            <w:pPr>
              <w:pStyle w:val="TableParagraph"/>
              <w:spacing w:before="179"/>
              <w:ind w:left="182"/>
              <w:rPr>
                <w:b/>
                <w:sz w:val="22"/>
              </w:rPr>
            </w:pPr>
            <w:r>
              <w:rPr>
                <w:b/>
                <w:sz w:val="22"/>
              </w:rPr>
              <w:t>What it does</w:t>
            </w:r>
          </w:p>
        </w:tc>
        <w:tc>
          <w:tcPr>
            <w:tcW w:w="2797" w:type="dxa"/>
            <w:tcBorders>
              <w:top w:val="single" w:sz="4" w:space="0" w:color="B66012"/>
              <w:bottom w:val="single" w:sz="4" w:space="0" w:color="B66012"/>
            </w:tcBorders>
            <w:shd w:val="clear" w:color="auto" w:fill="CC6600"/>
          </w:tcPr>
          <w:p>
            <w:pPr>
              <w:pStyle w:val="TableParagraph"/>
              <w:spacing w:line="312" w:lineRule="auto" w:before="179"/>
              <w:ind w:left="131" w:right="1066"/>
              <w:rPr>
                <w:b/>
                <w:sz w:val="22"/>
              </w:rPr>
            </w:pPr>
            <w:r>
              <w:rPr>
                <w:b/>
                <w:sz w:val="22"/>
              </w:rPr>
              <w:t>Committee recommendation</w:t>
            </w:r>
          </w:p>
        </w:tc>
        <w:tc>
          <w:tcPr>
            <w:tcW w:w="2922" w:type="dxa"/>
            <w:tcBorders>
              <w:top w:val="single" w:sz="4" w:space="0" w:color="B66012"/>
              <w:bottom w:val="single" w:sz="4" w:space="0" w:color="B66012"/>
            </w:tcBorders>
            <w:shd w:val="clear" w:color="auto" w:fill="CC6600"/>
          </w:tcPr>
          <w:p>
            <w:pPr>
              <w:pStyle w:val="TableParagraph"/>
              <w:spacing w:before="179"/>
              <w:ind w:left="181"/>
              <w:rPr>
                <w:b/>
                <w:sz w:val="22"/>
              </w:rPr>
            </w:pPr>
            <w:r>
              <w:rPr>
                <w:b/>
                <w:sz w:val="22"/>
              </w:rPr>
              <w:t>What would be different</w:t>
            </w:r>
          </w:p>
        </w:tc>
        <w:tc>
          <w:tcPr>
            <w:tcW w:w="3640" w:type="dxa"/>
            <w:tcBorders>
              <w:top w:val="single" w:sz="4" w:space="0" w:color="B66012"/>
              <w:bottom w:val="single" w:sz="4" w:space="0" w:color="B66012"/>
            </w:tcBorders>
            <w:shd w:val="clear" w:color="auto" w:fill="CC6600"/>
          </w:tcPr>
          <w:p>
            <w:pPr>
              <w:pStyle w:val="TableParagraph"/>
              <w:spacing w:before="179"/>
              <w:ind w:left="122"/>
              <w:rPr>
                <w:b/>
                <w:sz w:val="22"/>
              </w:rPr>
            </w:pPr>
            <w:r>
              <w:rPr>
                <w:b/>
                <w:sz w:val="22"/>
              </w:rPr>
              <w:t>Why</w:t>
            </w:r>
          </w:p>
        </w:tc>
      </w:tr>
      <w:tr>
        <w:trPr>
          <w:trHeight w:val="3564" w:hRule="atLeast"/>
        </w:trPr>
        <w:tc>
          <w:tcPr>
            <w:tcW w:w="857" w:type="dxa"/>
            <w:tcBorders>
              <w:top w:val="single" w:sz="4" w:space="0" w:color="B66012"/>
              <w:bottom w:val="single" w:sz="4" w:space="0" w:color="B66012"/>
            </w:tcBorders>
          </w:tcPr>
          <w:p>
            <w:pPr>
              <w:pStyle w:val="TableParagraph"/>
              <w:spacing w:before="179"/>
              <w:ind w:left="115"/>
              <w:rPr>
                <w:b/>
                <w:sz w:val="22"/>
              </w:rPr>
            </w:pPr>
            <w:r>
              <w:rPr>
                <w:b/>
                <w:sz w:val="22"/>
              </w:rPr>
              <w:t>18230</w:t>
            </w:r>
          </w:p>
        </w:tc>
        <w:tc>
          <w:tcPr>
            <w:tcW w:w="3755" w:type="dxa"/>
            <w:tcBorders>
              <w:top w:val="single" w:sz="4" w:space="0" w:color="B66012"/>
              <w:bottom w:val="single" w:sz="4" w:space="0" w:color="B66012"/>
            </w:tcBorders>
          </w:tcPr>
          <w:p>
            <w:pPr>
              <w:pStyle w:val="TableParagraph"/>
              <w:spacing w:line="312" w:lineRule="auto" w:before="179"/>
              <w:ind w:left="182" w:right="219"/>
              <w:rPr>
                <w:sz w:val="22"/>
              </w:rPr>
            </w:pPr>
            <w:r>
              <w:rPr>
                <w:sz w:val="22"/>
              </w:rPr>
              <w:t>Injection near the spinal cord of a substance that can damage nerves which is used to provide pain relief in chronic pain</w:t>
            </w:r>
          </w:p>
        </w:tc>
        <w:tc>
          <w:tcPr>
            <w:tcW w:w="2797" w:type="dxa"/>
            <w:tcBorders>
              <w:top w:val="single" w:sz="4" w:space="0" w:color="B66012"/>
              <w:bottom w:val="single" w:sz="4" w:space="0" w:color="B66012"/>
            </w:tcBorders>
          </w:tcPr>
          <w:p>
            <w:pPr>
              <w:pStyle w:val="TableParagraph"/>
              <w:spacing w:before="179"/>
              <w:ind w:left="131"/>
              <w:rPr>
                <w:sz w:val="22"/>
              </w:rPr>
            </w:pPr>
            <w:r>
              <w:rPr>
                <w:sz w:val="22"/>
              </w:rPr>
              <w:t>Amend the item to</w:t>
            </w:r>
          </w:p>
          <w:p>
            <w:pPr>
              <w:pStyle w:val="TableParagraph"/>
              <w:spacing w:before="79"/>
              <w:ind w:left="131"/>
              <w:rPr>
                <w:sz w:val="22"/>
              </w:rPr>
            </w:pPr>
            <w:r>
              <w:rPr>
                <w:sz w:val="22"/>
              </w:rPr>
              <w:t>‘INTRATHECAL or EPIDURAL</w:t>
            </w:r>
          </w:p>
          <w:p>
            <w:pPr>
              <w:pStyle w:val="TableParagraph"/>
              <w:spacing w:line="312" w:lineRule="auto" w:before="83"/>
              <w:ind w:left="131" w:right="202"/>
              <w:rPr>
                <w:sz w:val="22"/>
              </w:rPr>
            </w:pPr>
            <w:r>
              <w:rPr>
                <w:sz w:val="22"/>
              </w:rPr>
              <w:t>INJECTION of neurolytic substance (not contrast) by any route including transforaminal for the palliative treatment of chronic pain (Anaes.)’</w:t>
            </w:r>
          </w:p>
        </w:tc>
        <w:tc>
          <w:tcPr>
            <w:tcW w:w="2922" w:type="dxa"/>
            <w:tcBorders>
              <w:top w:val="single" w:sz="4" w:space="0" w:color="B66012"/>
              <w:bottom w:val="single" w:sz="4" w:space="0" w:color="B66012"/>
            </w:tcBorders>
          </w:tcPr>
          <w:p>
            <w:pPr>
              <w:pStyle w:val="TableParagraph"/>
              <w:spacing w:line="312" w:lineRule="auto" w:before="179"/>
              <w:ind w:left="181" w:right="109"/>
              <w:rPr>
                <w:sz w:val="22"/>
              </w:rPr>
            </w:pPr>
            <w:r>
              <w:rPr>
                <w:sz w:val="22"/>
              </w:rPr>
              <w:t>The use of this item is not for diagnostic radiology procedures that use contrast</w:t>
            </w:r>
          </w:p>
        </w:tc>
        <w:tc>
          <w:tcPr>
            <w:tcW w:w="3640" w:type="dxa"/>
            <w:tcBorders>
              <w:top w:val="single" w:sz="4" w:space="0" w:color="B66012"/>
              <w:bottom w:val="single" w:sz="4" w:space="0" w:color="B66012"/>
            </w:tcBorders>
          </w:tcPr>
          <w:p>
            <w:pPr>
              <w:pStyle w:val="TableParagraph"/>
              <w:spacing w:line="312" w:lineRule="auto"/>
              <w:ind w:left="122" w:right="312"/>
              <w:rPr>
                <w:sz w:val="22"/>
              </w:rPr>
            </w:pPr>
            <w:r>
              <w:rPr>
                <w:sz w:val="22"/>
              </w:rPr>
              <w:t>Amending the item will ensure the use is not for diagnostic procedures that use contrast</w:t>
            </w:r>
          </w:p>
          <w:p>
            <w:pPr>
              <w:pStyle w:val="TableParagraph"/>
              <w:spacing w:before="4"/>
              <w:rPr>
                <w:b/>
                <w:i/>
                <w:sz w:val="28"/>
              </w:rPr>
            </w:pPr>
          </w:p>
          <w:p>
            <w:pPr>
              <w:pStyle w:val="TableParagraph"/>
              <w:spacing w:line="312" w:lineRule="auto"/>
              <w:ind w:left="122" w:right="110"/>
              <w:rPr>
                <w:sz w:val="22"/>
              </w:rPr>
            </w:pPr>
            <w:r>
              <w:rPr>
                <w:sz w:val="22"/>
              </w:rPr>
              <w:t>Additional information in relation to route and treatment clarifies the item scope and encourages appropriate claiming</w:t>
            </w:r>
          </w:p>
        </w:tc>
      </w:tr>
      <w:tr>
        <w:trPr>
          <w:trHeight w:val="589" w:hRule="atLeast"/>
        </w:trPr>
        <w:tc>
          <w:tcPr>
            <w:tcW w:w="10331" w:type="dxa"/>
            <w:gridSpan w:val="4"/>
            <w:tcBorders>
              <w:top w:val="single" w:sz="4" w:space="0" w:color="B66012"/>
              <w:bottom w:val="single" w:sz="4" w:space="0" w:color="B66012"/>
            </w:tcBorders>
          </w:tcPr>
          <w:p>
            <w:pPr>
              <w:pStyle w:val="TableParagraph"/>
              <w:tabs>
                <w:tab w:pos="2434" w:val="left" w:leader="none"/>
              </w:tabs>
              <w:spacing w:before="176"/>
              <w:ind w:left="115"/>
              <w:rPr>
                <w:b/>
                <w:i/>
                <w:sz w:val="22"/>
              </w:rPr>
            </w:pPr>
            <w:r>
              <w:rPr>
                <w:b/>
                <w:i/>
                <w:sz w:val="22"/>
              </w:rPr>
              <w:t>Recommendation</w:t>
            </w:r>
            <w:r>
              <w:rPr>
                <w:b/>
                <w:i/>
                <w:spacing w:val="-2"/>
                <w:sz w:val="22"/>
              </w:rPr>
              <w:t> </w:t>
            </w:r>
            <w:r>
              <w:rPr>
                <w:b/>
                <w:i/>
                <w:sz w:val="22"/>
              </w:rPr>
              <w:t>4:</w:t>
              <w:tab/>
              <w:t>Clarifying item 18232 - intrathecal or epidural injection of non-neurolytic</w:t>
            </w:r>
            <w:r>
              <w:rPr>
                <w:b/>
                <w:i/>
                <w:spacing w:val="-27"/>
                <w:sz w:val="22"/>
              </w:rPr>
              <w:t> </w:t>
            </w:r>
            <w:r>
              <w:rPr>
                <w:b/>
                <w:i/>
                <w:sz w:val="22"/>
              </w:rPr>
              <w:t>substances</w:t>
            </w:r>
          </w:p>
        </w:tc>
        <w:tc>
          <w:tcPr>
            <w:tcW w:w="3640" w:type="dxa"/>
            <w:tcBorders>
              <w:top w:val="single" w:sz="4" w:space="0" w:color="B66012"/>
              <w:bottom w:val="single" w:sz="4" w:space="0" w:color="B66012"/>
            </w:tcBorders>
          </w:tcPr>
          <w:p>
            <w:pPr>
              <w:pStyle w:val="TableParagraph"/>
              <w:rPr>
                <w:rFonts w:ascii="Times New Roman"/>
                <w:sz w:val="20"/>
              </w:rPr>
            </w:pPr>
          </w:p>
        </w:tc>
      </w:tr>
    </w:tbl>
    <w:p>
      <w:pPr>
        <w:spacing w:after="0"/>
        <w:rPr>
          <w:rFonts w:ascii="Times New Roman"/>
          <w:sz w:val="20"/>
        </w:rPr>
        <w:sectPr>
          <w:pgSz w:w="16840" w:h="11910" w:orient="landscape"/>
          <w:pgMar w:header="0" w:footer="722" w:top="1180" w:bottom="920" w:left="1000" w:right="1640"/>
        </w:sectPr>
      </w:pPr>
    </w:p>
    <w:p>
      <w:pPr>
        <w:pStyle w:val="BodyText"/>
        <w:rPr>
          <w:b/>
          <w:i/>
          <w:sz w:val="20"/>
        </w:rPr>
      </w:pPr>
    </w:p>
    <w:p>
      <w:pPr>
        <w:pStyle w:val="BodyText"/>
        <w:rPr>
          <w:b/>
          <w:i/>
          <w:sz w:val="20"/>
        </w:rPr>
      </w:pPr>
    </w:p>
    <w:p>
      <w:pPr>
        <w:pStyle w:val="BodyText"/>
        <w:spacing w:before="7"/>
        <w:rPr>
          <w:b/>
          <w:i/>
          <w:sz w:val="10"/>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7"/>
        <w:gridCol w:w="3760"/>
        <w:gridCol w:w="2855"/>
        <w:gridCol w:w="2843"/>
        <w:gridCol w:w="3656"/>
      </w:tblGrid>
      <w:tr>
        <w:trPr>
          <w:trHeight w:val="937" w:hRule="atLeast"/>
        </w:trPr>
        <w:tc>
          <w:tcPr>
            <w:tcW w:w="857" w:type="dxa"/>
            <w:tcBorders>
              <w:top w:val="single" w:sz="4" w:space="0" w:color="B66012"/>
              <w:bottom w:val="single" w:sz="4" w:space="0" w:color="B66012"/>
            </w:tcBorders>
            <w:shd w:val="clear" w:color="auto" w:fill="CC6600"/>
          </w:tcPr>
          <w:p>
            <w:pPr>
              <w:pStyle w:val="TableParagraph"/>
              <w:spacing w:before="176"/>
              <w:ind w:left="115"/>
              <w:rPr>
                <w:b/>
                <w:sz w:val="22"/>
              </w:rPr>
            </w:pPr>
            <w:r>
              <w:rPr>
                <w:b/>
                <w:sz w:val="22"/>
              </w:rPr>
              <w:t>Item</w:t>
            </w:r>
          </w:p>
        </w:tc>
        <w:tc>
          <w:tcPr>
            <w:tcW w:w="3760" w:type="dxa"/>
            <w:tcBorders>
              <w:top w:val="single" w:sz="4" w:space="0" w:color="B66012"/>
              <w:bottom w:val="single" w:sz="4" w:space="0" w:color="B66012"/>
            </w:tcBorders>
            <w:shd w:val="clear" w:color="auto" w:fill="CC6600"/>
          </w:tcPr>
          <w:p>
            <w:pPr>
              <w:pStyle w:val="TableParagraph"/>
              <w:spacing w:before="176"/>
              <w:ind w:left="182"/>
              <w:rPr>
                <w:b/>
                <w:sz w:val="22"/>
              </w:rPr>
            </w:pPr>
            <w:r>
              <w:rPr>
                <w:b/>
                <w:sz w:val="22"/>
              </w:rPr>
              <w:t>What it does</w:t>
            </w:r>
          </w:p>
        </w:tc>
        <w:tc>
          <w:tcPr>
            <w:tcW w:w="2855" w:type="dxa"/>
            <w:tcBorders>
              <w:top w:val="single" w:sz="4" w:space="0" w:color="B66012"/>
              <w:bottom w:val="single" w:sz="4" w:space="0" w:color="B66012"/>
            </w:tcBorders>
            <w:shd w:val="clear" w:color="auto" w:fill="CC6600"/>
          </w:tcPr>
          <w:p>
            <w:pPr>
              <w:pStyle w:val="TableParagraph"/>
              <w:spacing w:line="312" w:lineRule="auto" w:before="176"/>
              <w:ind w:left="126" w:right="1129"/>
              <w:rPr>
                <w:b/>
                <w:sz w:val="22"/>
              </w:rPr>
            </w:pPr>
            <w:r>
              <w:rPr>
                <w:b/>
                <w:sz w:val="22"/>
              </w:rPr>
              <w:t>Committee recommendation</w:t>
            </w:r>
          </w:p>
        </w:tc>
        <w:tc>
          <w:tcPr>
            <w:tcW w:w="2843" w:type="dxa"/>
            <w:tcBorders>
              <w:top w:val="single" w:sz="4" w:space="0" w:color="B66012"/>
              <w:bottom w:val="single" w:sz="4" w:space="0" w:color="B66012"/>
            </w:tcBorders>
            <w:shd w:val="clear" w:color="auto" w:fill="CC6600"/>
          </w:tcPr>
          <w:p>
            <w:pPr>
              <w:pStyle w:val="TableParagraph"/>
              <w:spacing w:before="176"/>
              <w:ind w:left="118"/>
              <w:rPr>
                <w:b/>
                <w:sz w:val="22"/>
              </w:rPr>
            </w:pPr>
            <w:r>
              <w:rPr>
                <w:b/>
                <w:sz w:val="22"/>
              </w:rPr>
              <w:t>What would be different</w:t>
            </w:r>
          </w:p>
        </w:tc>
        <w:tc>
          <w:tcPr>
            <w:tcW w:w="3656" w:type="dxa"/>
            <w:tcBorders>
              <w:top w:val="single" w:sz="4" w:space="0" w:color="B66012"/>
              <w:bottom w:val="single" w:sz="4" w:space="0" w:color="B66012"/>
            </w:tcBorders>
            <w:shd w:val="clear" w:color="auto" w:fill="CC6600"/>
          </w:tcPr>
          <w:p>
            <w:pPr>
              <w:pStyle w:val="TableParagraph"/>
              <w:spacing w:before="176"/>
              <w:ind w:left="138"/>
              <w:rPr>
                <w:b/>
                <w:sz w:val="22"/>
              </w:rPr>
            </w:pPr>
            <w:r>
              <w:rPr>
                <w:b/>
                <w:sz w:val="22"/>
              </w:rPr>
              <w:t>Why</w:t>
            </w:r>
          </w:p>
        </w:tc>
      </w:tr>
      <w:tr>
        <w:trPr>
          <w:trHeight w:val="3561" w:hRule="atLeast"/>
        </w:trPr>
        <w:tc>
          <w:tcPr>
            <w:tcW w:w="857" w:type="dxa"/>
            <w:tcBorders>
              <w:top w:val="single" w:sz="4" w:space="0" w:color="B66012"/>
              <w:bottom w:val="single" w:sz="4" w:space="0" w:color="B66012"/>
            </w:tcBorders>
          </w:tcPr>
          <w:p>
            <w:pPr>
              <w:pStyle w:val="TableParagraph"/>
              <w:spacing w:before="176"/>
              <w:ind w:left="115"/>
              <w:rPr>
                <w:b/>
                <w:sz w:val="22"/>
              </w:rPr>
            </w:pPr>
            <w:r>
              <w:rPr>
                <w:b/>
                <w:sz w:val="22"/>
              </w:rPr>
              <w:t>18232</w:t>
            </w:r>
          </w:p>
        </w:tc>
        <w:tc>
          <w:tcPr>
            <w:tcW w:w="3760" w:type="dxa"/>
            <w:tcBorders>
              <w:top w:val="single" w:sz="4" w:space="0" w:color="B66012"/>
              <w:bottom w:val="single" w:sz="4" w:space="0" w:color="B66012"/>
            </w:tcBorders>
          </w:tcPr>
          <w:p>
            <w:pPr>
              <w:pStyle w:val="TableParagraph"/>
              <w:spacing w:line="312" w:lineRule="auto" w:before="176"/>
              <w:ind w:left="182" w:right="219"/>
              <w:rPr>
                <w:sz w:val="22"/>
              </w:rPr>
            </w:pPr>
            <w:r>
              <w:rPr>
                <w:sz w:val="22"/>
              </w:rPr>
              <w:t>Injection near the spinal cord of a substance that is not an anaesthetic (which causes numbness/stops feeling), contrast (which shows up on scans), or a substance that damages nerves which is used to diagnose a problem or provide pain relief in chronic pain</w:t>
            </w:r>
          </w:p>
        </w:tc>
        <w:tc>
          <w:tcPr>
            <w:tcW w:w="2855" w:type="dxa"/>
            <w:tcBorders>
              <w:top w:val="single" w:sz="4" w:space="0" w:color="B66012"/>
              <w:bottom w:val="single" w:sz="4" w:space="0" w:color="B66012"/>
            </w:tcBorders>
          </w:tcPr>
          <w:p>
            <w:pPr>
              <w:pStyle w:val="TableParagraph"/>
              <w:spacing w:line="312" w:lineRule="auto" w:before="176"/>
              <w:ind w:left="126" w:right="325"/>
              <w:rPr>
                <w:sz w:val="22"/>
              </w:rPr>
            </w:pPr>
            <w:r>
              <w:rPr>
                <w:sz w:val="22"/>
              </w:rPr>
              <w:t>Expand to include epidural injection with local anaesthetic and steroid, specifically including the transforaminal route</w:t>
            </w:r>
          </w:p>
        </w:tc>
        <w:tc>
          <w:tcPr>
            <w:tcW w:w="2843" w:type="dxa"/>
            <w:tcBorders>
              <w:top w:val="single" w:sz="4" w:space="0" w:color="B66012"/>
              <w:bottom w:val="single" w:sz="4" w:space="0" w:color="B66012"/>
            </w:tcBorders>
          </w:tcPr>
          <w:p>
            <w:pPr>
              <w:pStyle w:val="TableParagraph"/>
              <w:spacing w:line="312" w:lineRule="auto" w:before="176"/>
              <w:ind w:left="118" w:right="283"/>
              <w:rPr>
                <w:sz w:val="22"/>
              </w:rPr>
            </w:pPr>
            <w:r>
              <w:rPr>
                <w:sz w:val="22"/>
              </w:rPr>
              <w:t>Nothing, it is expected that claims are currently being claimed under this item.</w:t>
            </w:r>
          </w:p>
        </w:tc>
        <w:tc>
          <w:tcPr>
            <w:tcW w:w="3656" w:type="dxa"/>
            <w:tcBorders>
              <w:top w:val="single" w:sz="4" w:space="0" w:color="B66012"/>
              <w:bottom w:val="single" w:sz="4" w:space="0" w:color="B66012"/>
            </w:tcBorders>
          </w:tcPr>
          <w:p>
            <w:pPr>
              <w:pStyle w:val="TableParagraph"/>
              <w:spacing w:line="312" w:lineRule="auto" w:before="176"/>
              <w:ind w:left="138" w:right="324"/>
              <w:rPr>
                <w:sz w:val="22"/>
              </w:rPr>
            </w:pPr>
            <w:r>
              <w:rPr>
                <w:sz w:val="22"/>
              </w:rPr>
              <w:t>Edits to the item are intended to provide clarity that services already being claimed are legitimate</w:t>
            </w:r>
          </w:p>
        </w:tc>
      </w:tr>
      <w:tr>
        <w:trPr>
          <w:trHeight w:val="1118" w:hRule="atLeast"/>
        </w:trPr>
        <w:tc>
          <w:tcPr>
            <w:tcW w:w="13971" w:type="dxa"/>
            <w:gridSpan w:val="5"/>
            <w:tcBorders>
              <w:top w:val="single" w:sz="4" w:space="0" w:color="B66012"/>
              <w:bottom w:val="single" w:sz="4" w:space="0" w:color="B66012"/>
            </w:tcBorders>
          </w:tcPr>
          <w:p>
            <w:pPr>
              <w:pStyle w:val="TableParagraph"/>
              <w:rPr>
                <w:b/>
                <w:i/>
                <w:sz w:val="22"/>
              </w:rPr>
            </w:pPr>
          </w:p>
          <w:p>
            <w:pPr>
              <w:pStyle w:val="TableParagraph"/>
              <w:rPr>
                <w:b/>
                <w:i/>
                <w:sz w:val="22"/>
              </w:rPr>
            </w:pPr>
          </w:p>
          <w:p>
            <w:pPr>
              <w:pStyle w:val="TableParagraph"/>
              <w:tabs>
                <w:tab w:pos="2434" w:val="left" w:leader="none"/>
              </w:tabs>
              <w:spacing w:before="170"/>
              <w:ind w:left="115"/>
              <w:rPr>
                <w:b/>
                <w:i/>
                <w:sz w:val="22"/>
              </w:rPr>
            </w:pPr>
            <w:r>
              <w:rPr>
                <w:b/>
                <w:i/>
                <w:sz w:val="22"/>
              </w:rPr>
              <w:t>Recommendation</w:t>
            </w:r>
            <w:r>
              <w:rPr>
                <w:b/>
                <w:i/>
                <w:spacing w:val="-2"/>
                <w:sz w:val="22"/>
              </w:rPr>
              <w:t> </w:t>
            </w:r>
            <w:r>
              <w:rPr>
                <w:b/>
                <w:i/>
                <w:sz w:val="22"/>
              </w:rPr>
              <w:t>5:</w:t>
              <w:tab/>
              <w:t>Clarifying item18284 - ganglion</w:t>
            </w:r>
          </w:p>
        </w:tc>
      </w:tr>
      <w:tr>
        <w:trPr>
          <w:trHeight w:val="937" w:hRule="atLeast"/>
        </w:trPr>
        <w:tc>
          <w:tcPr>
            <w:tcW w:w="857" w:type="dxa"/>
            <w:tcBorders>
              <w:top w:val="single" w:sz="4" w:space="0" w:color="B66012"/>
              <w:bottom w:val="single" w:sz="4" w:space="0" w:color="B66012"/>
            </w:tcBorders>
            <w:shd w:val="clear" w:color="auto" w:fill="CC6600"/>
          </w:tcPr>
          <w:p>
            <w:pPr>
              <w:pStyle w:val="TableParagraph"/>
              <w:spacing w:before="176"/>
              <w:ind w:left="115"/>
              <w:rPr>
                <w:b/>
                <w:sz w:val="22"/>
              </w:rPr>
            </w:pPr>
            <w:r>
              <w:rPr>
                <w:b/>
                <w:sz w:val="22"/>
              </w:rPr>
              <w:t>Item</w:t>
            </w:r>
          </w:p>
        </w:tc>
        <w:tc>
          <w:tcPr>
            <w:tcW w:w="3760" w:type="dxa"/>
            <w:tcBorders>
              <w:top w:val="single" w:sz="4" w:space="0" w:color="B66012"/>
              <w:bottom w:val="single" w:sz="4" w:space="0" w:color="B66012"/>
            </w:tcBorders>
            <w:shd w:val="clear" w:color="auto" w:fill="CC6600"/>
          </w:tcPr>
          <w:p>
            <w:pPr>
              <w:pStyle w:val="TableParagraph"/>
              <w:spacing w:before="176"/>
              <w:ind w:left="182"/>
              <w:rPr>
                <w:b/>
                <w:sz w:val="22"/>
              </w:rPr>
            </w:pPr>
            <w:r>
              <w:rPr>
                <w:b/>
                <w:sz w:val="22"/>
              </w:rPr>
              <w:t>What it does</w:t>
            </w:r>
          </w:p>
        </w:tc>
        <w:tc>
          <w:tcPr>
            <w:tcW w:w="2855" w:type="dxa"/>
            <w:tcBorders>
              <w:top w:val="single" w:sz="4" w:space="0" w:color="B66012"/>
              <w:bottom w:val="single" w:sz="4" w:space="0" w:color="B66012"/>
            </w:tcBorders>
            <w:shd w:val="clear" w:color="auto" w:fill="CC6600"/>
          </w:tcPr>
          <w:p>
            <w:pPr>
              <w:pStyle w:val="TableParagraph"/>
              <w:spacing w:line="312" w:lineRule="auto" w:before="176"/>
              <w:ind w:left="126" w:right="1129"/>
              <w:rPr>
                <w:b/>
                <w:sz w:val="22"/>
              </w:rPr>
            </w:pPr>
            <w:r>
              <w:rPr>
                <w:b/>
                <w:sz w:val="22"/>
              </w:rPr>
              <w:t>Committee recommendation</w:t>
            </w:r>
          </w:p>
        </w:tc>
        <w:tc>
          <w:tcPr>
            <w:tcW w:w="2843" w:type="dxa"/>
            <w:tcBorders>
              <w:top w:val="single" w:sz="4" w:space="0" w:color="B66012"/>
              <w:bottom w:val="single" w:sz="4" w:space="0" w:color="B66012"/>
            </w:tcBorders>
            <w:shd w:val="clear" w:color="auto" w:fill="CC6600"/>
          </w:tcPr>
          <w:p>
            <w:pPr>
              <w:pStyle w:val="TableParagraph"/>
              <w:spacing w:before="176"/>
              <w:ind w:left="118"/>
              <w:rPr>
                <w:b/>
                <w:sz w:val="22"/>
              </w:rPr>
            </w:pPr>
            <w:r>
              <w:rPr>
                <w:b/>
                <w:sz w:val="22"/>
              </w:rPr>
              <w:t>What would be different</w:t>
            </w:r>
          </w:p>
        </w:tc>
        <w:tc>
          <w:tcPr>
            <w:tcW w:w="3656" w:type="dxa"/>
            <w:tcBorders>
              <w:top w:val="single" w:sz="4" w:space="0" w:color="B66012"/>
              <w:bottom w:val="single" w:sz="4" w:space="0" w:color="B66012"/>
            </w:tcBorders>
            <w:shd w:val="clear" w:color="auto" w:fill="CC6600"/>
          </w:tcPr>
          <w:p>
            <w:pPr>
              <w:pStyle w:val="TableParagraph"/>
              <w:spacing w:before="176"/>
              <w:ind w:left="138"/>
              <w:rPr>
                <w:b/>
                <w:sz w:val="22"/>
              </w:rPr>
            </w:pPr>
            <w:r>
              <w:rPr>
                <w:b/>
                <w:sz w:val="22"/>
              </w:rPr>
              <w:t>Why</w:t>
            </w:r>
          </w:p>
        </w:tc>
      </w:tr>
      <w:tr>
        <w:trPr>
          <w:trHeight w:val="1639" w:hRule="atLeast"/>
        </w:trPr>
        <w:tc>
          <w:tcPr>
            <w:tcW w:w="857" w:type="dxa"/>
            <w:tcBorders>
              <w:top w:val="single" w:sz="4" w:space="0" w:color="B66012"/>
              <w:bottom w:val="single" w:sz="4" w:space="0" w:color="B66012"/>
            </w:tcBorders>
          </w:tcPr>
          <w:p>
            <w:pPr>
              <w:pStyle w:val="TableParagraph"/>
              <w:spacing w:before="179"/>
              <w:ind w:left="115"/>
              <w:rPr>
                <w:b/>
                <w:sz w:val="22"/>
              </w:rPr>
            </w:pPr>
            <w:r>
              <w:rPr>
                <w:b/>
                <w:sz w:val="22"/>
              </w:rPr>
              <w:t>18284</w:t>
            </w:r>
          </w:p>
        </w:tc>
        <w:tc>
          <w:tcPr>
            <w:tcW w:w="3760" w:type="dxa"/>
            <w:tcBorders>
              <w:top w:val="single" w:sz="4" w:space="0" w:color="B66012"/>
              <w:bottom w:val="single" w:sz="4" w:space="0" w:color="B66012"/>
            </w:tcBorders>
          </w:tcPr>
          <w:p>
            <w:pPr>
              <w:pStyle w:val="TableParagraph"/>
              <w:spacing w:line="312" w:lineRule="auto" w:before="179"/>
              <w:ind w:left="182" w:right="112"/>
              <w:rPr>
                <w:sz w:val="22"/>
              </w:rPr>
            </w:pPr>
            <w:r>
              <w:rPr>
                <w:sz w:val="22"/>
              </w:rPr>
              <w:t>Injection of an anaesthetic substance into the nerves at the bottom and side of the neck.</w:t>
            </w:r>
          </w:p>
        </w:tc>
        <w:tc>
          <w:tcPr>
            <w:tcW w:w="2855" w:type="dxa"/>
            <w:tcBorders>
              <w:top w:val="single" w:sz="4" w:space="0" w:color="B66012"/>
              <w:bottom w:val="single" w:sz="4" w:space="0" w:color="B66012"/>
            </w:tcBorders>
          </w:tcPr>
          <w:p>
            <w:pPr>
              <w:pStyle w:val="TableParagraph"/>
              <w:spacing w:line="312" w:lineRule="auto" w:before="179"/>
              <w:ind w:left="126" w:right="119"/>
              <w:rPr>
                <w:sz w:val="22"/>
              </w:rPr>
            </w:pPr>
            <w:r>
              <w:rPr>
                <w:sz w:val="22"/>
              </w:rPr>
              <w:t>Amend to include to </w:t>
            </w:r>
            <w:r>
              <w:rPr>
                <w:spacing w:val="-3"/>
                <w:sz w:val="22"/>
              </w:rPr>
              <w:t>‘cervical </w:t>
            </w:r>
            <w:r>
              <w:rPr>
                <w:sz w:val="22"/>
              </w:rPr>
              <w:t>or thoracic sympathetic chain injection of an anaesthetic agent’</w:t>
            </w:r>
          </w:p>
        </w:tc>
        <w:tc>
          <w:tcPr>
            <w:tcW w:w="2843" w:type="dxa"/>
            <w:tcBorders>
              <w:top w:val="single" w:sz="4" w:space="0" w:color="B66012"/>
              <w:bottom w:val="single" w:sz="4" w:space="0" w:color="B66012"/>
            </w:tcBorders>
          </w:tcPr>
          <w:p>
            <w:pPr>
              <w:pStyle w:val="TableParagraph"/>
              <w:spacing w:line="312" w:lineRule="auto" w:before="179"/>
              <w:ind w:left="118" w:right="124"/>
              <w:rPr>
                <w:sz w:val="22"/>
              </w:rPr>
            </w:pPr>
            <w:r>
              <w:rPr>
                <w:sz w:val="22"/>
              </w:rPr>
              <w:t>Nothing, thoracic sympathetic chain blocks are currently being claimed under this item</w:t>
            </w:r>
          </w:p>
        </w:tc>
        <w:tc>
          <w:tcPr>
            <w:tcW w:w="3656" w:type="dxa"/>
            <w:tcBorders>
              <w:top w:val="single" w:sz="4" w:space="0" w:color="B66012"/>
              <w:bottom w:val="single" w:sz="4" w:space="0" w:color="B66012"/>
            </w:tcBorders>
          </w:tcPr>
          <w:p>
            <w:pPr>
              <w:pStyle w:val="TableParagraph"/>
              <w:spacing w:line="312" w:lineRule="auto" w:before="179"/>
              <w:ind w:left="138" w:right="94"/>
              <w:rPr>
                <w:sz w:val="22"/>
              </w:rPr>
            </w:pPr>
            <w:r>
              <w:rPr>
                <w:sz w:val="22"/>
              </w:rPr>
              <w:t>Brings the local anaesthetic items into alignment with the neurolytic sympathetic chain blocks, providing clarity around claiming</w:t>
            </w:r>
          </w:p>
        </w:tc>
      </w:tr>
    </w:tbl>
    <w:p>
      <w:pPr>
        <w:spacing w:after="0" w:line="312" w:lineRule="auto"/>
        <w:rPr>
          <w:sz w:val="22"/>
        </w:rPr>
        <w:sectPr>
          <w:pgSz w:w="16840" w:h="11910" w:orient="landscape"/>
          <w:pgMar w:header="0" w:footer="722" w:top="1180" w:bottom="920" w:left="1000" w:right="1640"/>
        </w:sectPr>
      </w:pPr>
    </w:p>
    <w:p>
      <w:pPr>
        <w:pStyle w:val="BodyText"/>
        <w:rPr>
          <w:b/>
          <w:i/>
          <w:sz w:val="20"/>
        </w:rPr>
      </w:pPr>
    </w:p>
    <w:p>
      <w:pPr>
        <w:pStyle w:val="BodyText"/>
        <w:rPr>
          <w:b/>
          <w:i/>
          <w:sz w:val="20"/>
        </w:rPr>
      </w:pPr>
    </w:p>
    <w:p>
      <w:pPr>
        <w:pStyle w:val="BodyText"/>
        <w:spacing w:before="7"/>
        <w:rPr>
          <w:b/>
          <w:i/>
          <w:sz w:val="10"/>
        </w:rPr>
      </w:pPr>
    </w:p>
    <w:tbl>
      <w:tblPr>
        <w:tblW w:w="0" w:type="auto"/>
        <w:jc w:val="left"/>
        <w:tblInd w:w="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9"/>
        <w:gridCol w:w="3754"/>
        <w:gridCol w:w="2772"/>
        <w:gridCol w:w="2882"/>
        <w:gridCol w:w="3703"/>
      </w:tblGrid>
      <w:tr>
        <w:trPr>
          <w:trHeight w:val="877" w:hRule="atLeast"/>
        </w:trPr>
        <w:tc>
          <w:tcPr>
            <w:tcW w:w="849" w:type="dxa"/>
            <w:tcBorders>
              <w:top w:val="single" w:sz="4" w:space="0" w:color="B66012"/>
              <w:bottom w:val="single" w:sz="4" w:space="0" w:color="B66012"/>
            </w:tcBorders>
          </w:tcPr>
          <w:p>
            <w:pPr>
              <w:pStyle w:val="TableParagraph"/>
              <w:rPr>
                <w:rFonts w:ascii="Times New Roman"/>
                <w:sz w:val="20"/>
              </w:rPr>
            </w:pPr>
          </w:p>
        </w:tc>
        <w:tc>
          <w:tcPr>
            <w:tcW w:w="3754" w:type="dxa"/>
            <w:tcBorders>
              <w:top w:val="single" w:sz="4" w:space="0" w:color="B66012"/>
              <w:bottom w:val="single" w:sz="4" w:space="0" w:color="B66012"/>
            </w:tcBorders>
          </w:tcPr>
          <w:p>
            <w:pPr>
              <w:pStyle w:val="TableParagraph"/>
              <w:spacing w:line="312" w:lineRule="auto" w:before="116"/>
              <w:ind w:left="183" w:right="114"/>
              <w:rPr>
                <w:sz w:val="22"/>
              </w:rPr>
            </w:pPr>
            <w:r>
              <w:rPr>
                <w:sz w:val="22"/>
              </w:rPr>
              <w:t>This may reduce pain, swelling or sweating and may improve movement</w:t>
            </w:r>
          </w:p>
        </w:tc>
        <w:tc>
          <w:tcPr>
            <w:tcW w:w="2772" w:type="dxa"/>
            <w:tcBorders>
              <w:top w:val="single" w:sz="4" w:space="0" w:color="B66012"/>
              <w:bottom w:val="single" w:sz="4" w:space="0" w:color="B66012"/>
            </w:tcBorders>
          </w:tcPr>
          <w:p>
            <w:pPr>
              <w:pStyle w:val="TableParagraph"/>
              <w:rPr>
                <w:rFonts w:ascii="Times New Roman"/>
                <w:sz w:val="20"/>
              </w:rPr>
            </w:pPr>
          </w:p>
        </w:tc>
        <w:tc>
          <w:tcPr>
            <w:tcW w:w="2882" w:type="dxa"/>
            <w:tcBorders>
              <w:top w:val="single" w:sz="4" w:space="0" w:color="B66012"/>
              <w:bottom w:val="single" w:sz="4" w:space="0" w:color="B66012"/>
            </w:tcBorders>
          </w:tcPr>
          <w:p>
            <w:pPr>
              <w:pStyle w:val="TableParagraph"/>
              <w:rPr>
                <w:rFonts w:ascii="Times New Roman"/>
                <w:sz w:val="20"/>
              </w:rPr>
            </w:pPr>
          </w:p>
        </w:tc>
        <w:tc>
          <w:tcPr>
            <w:tcW w:w="3703" w:type="dxa"/>
            <w:tcBorders>
              <w:top w:val="single" w:sz="4" w:space="0" w:color="B66012"/>
              <w:bottom w:val="single" w:sz="4" w:space="0" w:color="B66012"/>
            </w:tcBorders>
          </w:tcPr>
          <w:p>
            <w:pPr>
              <w:pStyle w:val="TableParagraph"/>
              <w:rPr>
                <w:rFonts w:ascii="Times New Roman"/>
                <w:sz w:val="20"/>
              </w:rPr>
            </w:pPr>
          </w:p>
        </w:tc>
      </w:tr>
      <w:tr>
        <w:trPr>
          <w:trHeight w:val="1117" w:hRule="atLeast"/>
        </w:trPr>
        <w:tc>
          <w:tcPr>
            <w:tcW w:w="13960" w:type="dxa"/>
            <w:gridSpan w:val="5"/>
            <w:tcBorders>
              <w:top w:val="single" w:sz="4" w:space="0" w:color="B66012"/>
              <w:bottom w:val="single" w:sz="4" w:space="0" w:color="B66012"/>
            </w:tcBorders>
          </w:tcPr>
          <w:p>
            <w:pPr>
              <w:pStyle w:val="TableParagraph"/>
              <w:rPr>
                <w:b/>
                <w:i/>
                <w:sz w:val="22"/>
              </w:rPr>
            </w:pPr>
          </w:p>
          <w:p>
            <w:pPr>
              <w:pStyle w:val="TableParagraph"/>
              <w:rPr>
                <w:b/>
                <w:i/>
                <w:sz w:val="22"/>
              </w:rPr>
            </w:pPr>
          </w:p>
          <w:p>
            <w:pPr>
              <w:pStyle w:val="TableParagraph"/>
              <w:tabs>
                <w:tab w:pos="2426" w:val="left" w:leader="none"/>
              </w:tabs>
              <w:spacing w:before="167"/>
              <w:ind w:left="107"/>
              <w:rPr>
                <w:b/>
                <w:i/>
                <w:sz w:val="22"/>
              </w:rPr>
            </w:pPr>
            <w:r>
              <w:rPr>
                <w:b/>
                <w:i/>
                <w:sz w:val="22"/>
              </w:rPr>
              <w:t>Recommendation</w:t>
            </w:r>
            <w:r>
              <w:rPr>
                <w:b/>
                <w:i/>
                <w:spacing w:val="-2"/>
                <w:sz w:val="22"/>
              </w:rPr>
              <w:t> </w:t>
            </w:r>
            <w:r>
              <w:rPr>
                <w:b/>
                <w:i/>
                <w:sz w:val="22"/>
              </w:rPr>
              <w:t>6:</w:t>
              <w:tab/>
              <w:t>Clarifying item 18286 - pelvic sympathetic</w:t>
            </w:r>
            <w:r>
              <w:rPr>
                <w:b/>
                <w:i/>
                <w:spacing w:val="-5"/>
                <w:sz w:val="22"/>
              </w:rPr>
              <w:t> </w:t>
            </w:r>
            <w:r>
              <w:rPr>
                <w:b/>
                <w:i/>
                <w:sz w:val="22"/>
              </w:rPr>
              <w:t>blocks</w:t>
            </w:r>
          </w:p>
        </w:tc>
      </w:tr>
      <w:tr>
        <w:trPr>
          <w:trHeight w:val="938" w:hRule="atLeast"/>
        </w:trPr>
        <w:tc>
          <w:tcPr>
            <w:tcW w:w="849" w:type="dxa"/>
            <w:tcBorders>
              <w:top w:val="single" w:sz="4" w:space="0" w:color="B66012"/>
              <w:bottom w:val="single" w:sz="4" w:space="0" w:color="B66012"/>
            </w:tcBorders>
            <w:shd w:val="clear" w:color="auto" w:fill="CC6600"/>
          </w:tcPr>
          <w:p>
            <w:pPr>
              <w:pStyle w:val="TableParagraph"/>
              <w:spacing w:before="177"/>
              <w:ind w:left="107"/>
              <w:rPr>
                <w:b/>
                <w:sz w:val="22"/>
              </w:rPr>
            </w:pPr>
            <w:r>
              <w:rPr>
                <w:b/>
                <w:sz w:val="22"/>
              </w:rPr>
              <w:t>Item</w:t>
            </w:r>
          </w:p>
        </w:tc>
        <w:tc>
          <w:tcPr>
            <w:tcW w:w="3754" w:type="dxa"/>
            <w:tcBorders>
              <w:top w:val="single" w:sz="4" w:space="0" w:color="B66012"/>
              <w:bottom w:val="single" w:sz="4" w:space="0" w:color="B66012"/>
            </w:tcBorders>
            <w:shd w:val="clear" w:color="auto" w:fill="CC6600"/>
          </w:tcPr>
          <w:p>
            <w:pPr>
              <w:pStyle w:val="TableParagraph"/>
              <w:spacing w:before="177"/>
              <w:ind w:left="183"/>
              <w:rPr>
                <w:b/>
                <w:sz w:val="22"/>
              </w:rPr>
            </w:pPr>
            <w:r>
              <w:rPr>
                <w:b/>
                <w:sz w:val="22"/>
              </w:rPr>
              <w:t>What it does</w:t>
            </w:r>
          </w:p>
        </w:tc>
        <w:tc>
          <w:tcPr>
            <w:tcW w:w="2772" w:type="dxa"/>
            <w:tcBorders>
              <w:top w:val="single" w:sz="4" w:space="0" w:color="B66012"/>
              <w:bottom w:val="single" w:sz="4" w:space="0" w:color="B66012"/>
            </w:tcBorders>
            <w:shd w:val="clear" w:color="auto" w:fill="CC6600"/>
          </w:tcPr>
          <w:p>
            <w:pPr>
              <w:pStyle w:val="TableParagraph"/>
              <w:spacing w:line="312" w:lineRule="auto" w:before="177"/>
              <w:ind w:left="133" w:right="1039"/>
              <w:rPr>
                <w:b/>
                <w:sz w:val="22"/>
              </w:rPr>
            </w:pPr>
            <w:r>
              <w:rPr>
                <w:b/>
                <w:sz w:val="22"/>
              </w:rPr>
              <w:t>Committee recommendation</w:t>
            </w:r>
          </w:p>
        </w:tc>
        <w:tc>
          <w:tcPr>
            <w:tcW w:w="2882" w:type="dxa"/>
            <w:tcBorders>
              <w:top w:val="single" w:sz="4" w:space="0" w:color="B66012"/>
              <w:bottom w:val="single" w:sz="4" w:space="0" w:color="B66012"/>
            </w:tcBorders>
            <w:shd w:val="clear" w:color="auto" w:fill="CC6600"/>
          </w:tcPr>
          <w:p>
            <w:pPr>
              <w:pStyle w:val="TableParagraph"/>
              <w:spacing w:before="177"/>
              <w:ind w:left="207"/>
              <w:rPr>
                <w:b/>
                <w:sz w:val="22"/>
              </w:rPr>
            </w:pPr>
            <w:r>
              <w:rPr>
                <w:b/>
                <w:sz w:val="22"/>
              </w:rPr>
              <w:t>What would be different</w:t>
            </w:r>
          </w:p>
        </w:tc>
        <w:tc>
          <w:tcPr>
            <w:tcW w:w="3703" w:type="dxa"/>
            <w:tcBorders>
              <w:top w:val="single" w:sz="4" w:space="0" w:color="B66012"/>
              <w:bottom w:val="single" w:sz="4" w:space="0" w:color="B66012"/>
            </w:tcBorders>
            <w:shd w:val="clear" w:color="auto" w:fill="CC6600"/>
          </w:tcPr>
          <w:p>
            <w:pPr>
              <w:pStyle w:val="TableParagraph"/>
              <w:spacing w:before="177"/>
              <w:ind w:left="189"/>
              <w:rPr>
                <w:b/>
                <w:sz w:val="22"/>
              </w:rPr>
            </w:pPr>
            <w:r>
              <w:rPr>
                <w:b/>
                <w:sz w:val="22"/>
              </w:rPr>
              <w:t>Why</w:t>
            </w:r>
          </w:p>
        </w:tc>
      </w:tr>
      <w:tr>
        <w:trPr>
          <w:trHeight w:val="2515" w:hRule="atLeast"/>
        </w:trPr>
        <w:tc>
          <w:tcPr>
            <w:tcW w:w="849" w:type="dxa"/>
            <w:tcBorders>
              <w:top w:val="single" w:sz="4" w:space="0" w:color="B66012"/>
              <w:bottom w:val="single" w:sz="4" w:space="0" w:color="B66012"/>
            </w:tcBorders>
          </w:tcPr>
          <w:p>
            <w:pPr>
              <w:pStyle w:val="TableParagraph"/>
              <w:spacing w:before="176"/>
              <w:ind w:left="107"/>
              <w:rPr>
                <w:b/>
                <w:sz w:val="22"/>
              </w:rPr>
            </w:pPr>
            <w:r>
              <w:rPr>
                <w:b/>
                <w:sz w:val="22"/>
              </w:rPr>
              <w:t>18286</w:t>
            </w:r>
          </w:p>
        </w:tc>
        <w:tc>
          <w:tcPr>
            <w:tcW w:w="3754" w:type="dxa"/>
            <w:tcBorders>
              <w:top w:val="single" w:sz="4" w:space="0" w:color="B66012"/>
              <w:bottom w:val="single" w:sz="4" w:space="0" w:color="B66012"/>
            </w:tcBorders>
          </w:tcPr>
          <w:p>
            <w:pPr>
              <w:pStyle w:val="TableParagraph"/>
              <w:spacing w:line="312" w:lineRule="auto" w:before="176"/>
              <w:ind w:left="183" w:right="227"/>
              <w:rPr>
                <w:sz w:val="22"/>
              </w:rPr>
            </w:pPr>
            <w:r>
              <w:rPr>
                <w:sz w:val="22"/>
              </w:rPr>
              <w:t>Injection of an anaesthetic substance into the nerves in the upper or lower back near the spine (thoracic or lumbar sympathetic chain).</w:t>
            </w:r>
          </w:p>
          <w:p>
            <w:pPr>
              <w:pStyle w:val="TableParagraph"/>
              <w:spacing w:line="312" w:lineRule="auto" w:before="181"/>
              <w:ind w:left="183" w:right="114"/>
              <w:rPr>
                <w:sz w:val="22"/>
              </w:rPr>
            </w:pPr>
            <w:r>
              <w:rPr>
                <w:sz w:val="22"/>
              </w:rPr>
              <w:t>This may reduce pain, swelling or sweating and may improve movement</w:t>
            </w:r>
          </w:p>
        </w:tc>
        <w:tc>
          <w:tcPr>
            <w:tcW w:w="2772" w:type="dxa"/>
            <w:tcBorders>
              <w:top w:val="single" w:sz="4" w:space="0" w:color="B66012"/>
              <w:bottom w:val="single" w:sz="4" w:space="0" w:color="B66012"/>
            </w:tcBorders>
          </w:tcPr>
          <w:p>
            <w:pPr>
              <w:pStyle w:val="TableParagraph"/>
              <w:spacing w:line="312" w:lineRule="auto" w:before="176"/>
              <w:ind w:left="133" w:right="187"/>
              <w:rPr>
                <w:sz w:val="22"/>
              </w:rPr>
            </w:pPr>
            <w:r>
              <w:rPr>
                <w:sz w:val="22"/>
              </w:rPr>
              <w:t>Amend to exclude the thoracic region and include the pelvic region of the sympathetic chain</w:t>
            </w:r>
          </w:p>
        </w:tc>
        <w:tc>
          <w:tcPr>
            <w:tcW w:w="2882" w:type="dxa"/>
            <w:tcBorders>
              <w:top w:val="single" w:sz="4" w:space="0" w:color="B66012"/>
              <w:bottom w:val="single" w:sz="4" w:space="0" w:color="B66012"/>
            </w:tcBorders>
          </w:tcPr>
          <w:p>
            <w:pPr>
              <w:pStyle w:val="TableParagraph"/>
              <w:spacing w:line="312" w:lineRule="auto"/>
              <w:ind w:left="207" w:right="167"/>
              <w:rPr>
                <w:sz w:val="22"/>
              </w:rPr>
            </w:pPr>
            <w:r>
              <w:rPr>
                <w:sz w:val="22"/>
              </w:rPr>
              <w:t>Nothing, pelvic sympathetic blocks are already claimed under this item</w:t>
            </w:r>
          </w:p>
        </w:tc>
        <w:tc>
          <w:tcPr>
            <w:tcW w:w="3703" w:type="dxa"/>
            <w:tcBorders>
              <w:top w:val="single" w:sz="4" w:space="0" w:color="B66012"/>
              <w:bottom w:val="single" w:sz="4" w:space="0" w:color="B66012"/>
            </w:tcBorders>
          </w:tcPr>
          <w:p>
            <w:pPr>
              <w:pStyle w:val="TableParagraph"/>
              <w:spacing w:line="312" w:lineRule="auto" w:before="176"/>
              <w:ind w:left="189" w:right="124"/>
              <w:rPr>
                <w:sz w:val="22"/>
              </w:rPr>
            </w:pPr>
            <w:r>
              <w:rPr>
                <w:sz w:val="22"/>
              </w:rPr>
              <w:t>Limits any potential unintentional restriction on this item to areas above the pelvis and brings the local anaesthetic items into alignment with the neurolytic sympathetic chain blocks</w:t>
            </w:r>
          </w:p>
        </w:tc>
      </w:tr>
      <w:tr>
        <w:trPr>
          <w:trHeight w:val="1117" w:hRule="atLeast"/>
        </w:trPr>
        <w:tc>
          <w:tcPr>
            <w:tcW w:w="13960" w:type="dxa"/>
            <w:gridSpan w:val="5"/>
            <w:tcBorders>
              <w:top w:val="single" w:sz="4" w:space="0" w:color="B66012"/>
              <w:bottom w:val="single" w:sz="4" w:space="0" w:color="B66012"/>
            </w:tcBorders>
          </w:tcPr>
          <w:p>
            <w:pPr>
              <w:pStyle w:val="TableParagraph"/>
              <w:rPr>
                <w:b/>
                <w:i/>
                <w:sz w:val="22"/>
              </w:rPr>
            </w:pPr>
          </w:p>
          <w:p>
            <w:pPr>
              <w:pStyle w:val="TableParagraph"/>
              <w:rPr>
                <w:b/>
                <w:i/>
                <w:sz w:val="22"/>
              </w:rPr>
            </w:pPr>
          </w:p>
          <w:p>
            <w:pPr>
              <w:pStyle w:val="TableParagraph"/>
              <w:tabs>
                <w:tab w:pos="2426" w:val="left" w:leader="none"/>
              </w:tabs>
              <w:spacing w:before="170"/>
              <w:ind w:left="107"/>
              <w:rPr>
                <w:b/>
                <w:i/>
                <w:sz w:val="22"/>
              </w:rPr>
            </w:pPr>
            <w:r>
              <w:rPr>
                <w:b/>
                <w:i/>
                <w:sz w:val="22"/>
              </w:rPr>
              <w:t>Recommendation</w:t>
            </w:r>
            <w:r>
              <w:rPr>
                <w:b/>
                <w:i/>
                <w:spacing w:val="-2"/>
                <w:sz w:val="22"/>
              </w:rPr>
              <w:t> </w:t>
            </w:r>
            <w:r>
              <w:rPr>
                <w:b/>
                <w:i/>
                <w:sz w:val="22"/>
              </w:rPr>
              <w:t>7:</w:t>
              <w:tab/>
              <w:t>Reflecting best practice in items 18290 -18294 - neurolytic agent</w:t>
            </w:r>
            <w:r>
              <w:rPr>
                <w:b/>
                <w:i/>
                <w:spacing w:val="-13"/>
                <w:sz w:val="22"/>
              </w:rPr>
              <w:t> </w:t>
            </w:r>
            <w:r>
              <w:rPr>
                <w:b/>
                <w:i/>
                <w:sz w:val="22"/>
              </w:rPr>
              <w:t>treatment</w:t>
            </w:r>
          </w:p>
        </w:tc>
      </w:tr>
      <w:tr>
        <w:trPr>
          <w:trHeight w:val="938" w:hRule="atLeast"/>
        </w:trPr>
        <w:tc>
          <w:tcPr>
            <w:tcW w:w="849" w:type="dxa"/>
            <w:tcBorders>
              <w:top w:val="single" w:sz="4" w:space="0" w:color="B66012"/>
              <w:bottom w:val="single" w:sz="4" w:space="0" w:color="B66012"/>
            </w:tcBorders>
            <w:shd w:val="clear" w:color="auto" w:fill="CC6600"/>
          </w:tcPr>
          <w:p>
            <w:pPr>
              <w:pStyle w:val="TableParagraph"/>
              <w:spacing w:before="176"/>
              <w:ind w:left="107"/>
              <w:rPr>
                <w:b/>
                <w:sz w:val="22"/>
              </w:rPr>
            </w:pPr>
            <w:r>
              <w:rPr>
                <w:b/>
                <w:sz w:val="22"/>
              </w:rPr>
              <w:t>Item</w:t>
            </w:r>
          </w:p>
        </w:tc>
        <w:tc>
          <w:tcPr>
            <w:tcW w:w="3754" w:type="dxa"/>
            <w:tcBorders>
              <w:top w:val="single" w:sz="4" w:space="0" w:color="B66012"/>
              <w:bottom w:val="single" w:sz="4" w:space="0" w:color="B66012"/>
            </w:tcBorders>
            <w:shd w:val="clear" w:color="auto" w:fill="CC6600"/>
          </w:tcPr>
          <w:p>
            <w:pPr>
              <w:pStyle w:val="TableParagraph"/>
              <w:spacing w:before="176"/>
              <w:ind w:left="183"/>
              <w:rPr>
                <w:b/>
                <w:sz w:val="22"/>
              </w:rPr>
            </w:pPr>
            <w:r>
              <w:rPr>
                <w:b/>
                <w:sz w:val="22"/>
              </w:rPr>
              <w:t>What it does</w:t>
            </w:r>
          </w:p>
        </w:tc>
        <w:tc>
          <w:tcPr>
            <w:tcW w:w="2772" w:type="dxa"/>
            <w:tcBorders>
              <w:top w:val="single" w:sz="4" w:space="0" w:color="B66012"/>
              <w:bottom w:val="single" w:sz="4" w:space="0" w:color="B66012"/>
            </w:tcBorders>
            <w:shd w:val="clear" w:color="auto" w:fill="CC6600"/>
          </w:tcPr>
          <w:p>
            <w:pPr>
              <w:pStyle w:val="TableParagraph"/>
              <w:spacing w:line="312" w:lineRule="auto" w:before="176"/>
              <w:ind w:left="133" w:right="1039"/>
              <w:rPr>
                <w:b/>
                <w:sz w:val="22"/>
              </w:rPr>
            </w:pPr>
            <w:r>
              <w:rPr>
                <w:b/>
                <w:sz w:val="22"/>
              </w:rPr>
              <w:t>Committee recommendation</w:t>
            </w:r>
          </w:p>
        </w:tc>
        <w:tc>
          <w:tcPr>
            <w:tcW w:w="2882" w:type="dxa"/>
            <w:tcBorders>
              <w:top w:val="single" w:sz="4" w:space="0" w:color="B66012"/>
              <w:bottom w:val="single" w:sz="4" w:space="0" w:color="B66012"/>
            </w:tcBorders>
            <w:shd w:val="clear" w:color="auto" w:fill="CC6600"/>
          </w:tcPr>
          <w:p>
            <w:pPr>
              <w:pStyle w:val="TableParagraph"/>
              <w:spacing w:before="176"/>
              <w:ind w:left="207"/>
              <w:rPr>
                <w:b/>
                <w:sz w:val="22"/>
              </w:rPr>
            </w:pPr>
            <w:r>
              <w:rPr>
                <w:b/>
                <w:sz w:val="22"/>
              </w:rPr>
              <w:t>What would be different</w:t>
            </w:r>
          </w:p>
        </w:tc>
        <w:tc>
          <w:tcPr>
            <w:tcW w:w="3703" w:type="dxa"/>
            <w:tcBorders>
              <w:top w:val="single" w:sz="4" w:space="0" w:color="B66012"/>
              <w:bottom w:val="single" w:sz="4" w:space="0" w:color="B66012"/>
            </w:tcBorders>
            <w:shd w:val="clear" w:color="auto" w:fill="CC6600"/>
          </w:tcPr>
          <w:p>
            <w:pPr>
              <w:pStyle w:val="TableParagraph"/>
              <w:spacing w:before="176"/>
              <w:ind w:left="189"/>
              <w:rPr>
                <w:b/>
                <w:sz w:val="22"/>
              </w:rPr>
            </w:pPr>
            <w:r>
              <w:rPr>
                <w:b/>
                <w:sz w:val="22"/>
              </w:rPr>
              <w:t>Why</w:t>
            </w:r>
          </w:p>
        </w:tc>
      </w:tr>
    </w:tbl>
    <w:p>
      <w:pPr>
        <w:spacing w:after="0"/>
        <w:rPr>
          <w:sz w:val="22"/>
        </w:rPr>
        <w:sectPr>
          <w:pgSz w:w="16840" w:h="11910" w:orient="landscape"/>
          <w:pgMar w:header="0" w:footer="722" w:top="1180" w:bottom="920" w:left="1000" w:right="1640"/>
        </w:sectPr>
      </w:pPr>
    </w:p>
    <w:p>
      <w:pPr>
        <w:pStyle w:val="BodyText"/>
        <w:rPr>
          <w:b/>
          <w:i/>
          <w:sz w:val="20"/>
        </w:rPr>
      </w:pPr>
    </w:p>
    <w:p>
      <w:pPr>
        <w:pStyle w:val="BodyText"/>
        <w:rPr>
          <w:b/>
          <w:i/>
          <w:sz w:val="20"/>
        </w:rPr>
      </w:pPr>
    </w:p>
    <w:p>
      <w:pPr>
        <w:pStyle w:val="BodyText"/>
        <w:spacing w:before="7"/>
        <w:rPr>
          <w:b/>
          <w:i/>
          <w:sz w:val="10"/>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6"/>
        <w:gridCol w:w="3738"/>
        <w:gridCol w:w="2661"/>
        <w:gridCol w:w="2860"/>
        <w:gridCol w:w="3849"/>
      </w:tblGrid>
      <w:tr>
        <w:trPr>
          <w:trHeight w:val="3741" w:hRule="atLeast"/>
        </w:trPr>
        <w:tc>
          <w:tcPr>
            <w:tcW w:w="856" w:type="dxa"/>
            <w:tcBorders>
              <w:top w:val="single" w:sz="4" w:space="0" w:color="B66012"/>
              <w:bottom w:val="single" w:sz="4" w:space="0" w:color="B66012"/>
            </w:tcBorders>
          </w:tcPr>
          <w:p>
            <w:pPr>
              <w:pStyle w:val="TableParagraph"/>
              <w:spacing w:before="176"/>
              <w:ind w:left="115"/>
              <w:rPr>
                <w:b/>
                <w:sz w:val="22"/>
              </w:rPr>
            </w:pPr>
            <w:r>
              <w:rPr>
                <w:b/>
                <w:sz w:val="22"/>
              </w:rPr>
              <w:t>18290</w:t>
            </w:r>
          </w:p>
        </w:tc>
        <w:tc>
          <w:tcPr>
            <w:tcW w:w="3738" w:type="dxa"/>
            <w:tcBorders>
              <w:top w:val="single" w:sz="4" w:space="0" w:color="B66012"/>
              <w:bottom w:val="single" w:sz="4" w:space="0" w:color="B66012"/>
            </w:tcBorders>
          </w:tcPr>
          <w:p>
            <w:pPr>
              <w:pStyle w:val="TableParagraph"/>
              <w:spacing w:line="312" w:lineRule="auto" w:before="176"/>
              <w:ind w:left="183" w:right="219"/>
              <w:rPr>
                <w:sz w:val="22"/>
              </w:rPr>
            </w:pPr>
            <w:r>
              <w:rPr>
                <w:sz w:val="22"/>
              </w:rPr>
              <w:t>Destruction of one of the nerves that come from the brain and go outside the skull to other parts of the body (the cranial nerves).</w:t>
            </w:r>
          </w:p>
          <w:p>
            <w:pPr>
              <w:pStyle w:val="TableParagraph"/>
              <w:spacing w:line="312" w:lineRule="auto" w:before="181"/>
              <w:ind w:left="183" w:right="130"/>
              <w:rPr>
                <w:sz w:val="22"/>
              </w:rPr>
            </w:pPr>
            <w:r>
              <w:rPr>
                <w:sz w:val="22"/>
              </w:rPr>
              <w:t>This can be used to treat chronic pain. One of the nerves, the trigeminal, is not covered here.</w:t>
            </w:r>
          </w:p>
          <w:p>
            <w:pPr>
              <w:pStyle w:val="TableParagraph"/>
              <w:spacing w:line="312" w:lineRule="auto" w:before="179"/>
              <w:ind w:left="183" w:right="136" w:firstLine="50"/>
              <w:rPr>
                <w:sz w:val="22"/>
              </w:rPr>
            </w:pPr>
            <w:r>
              <w:rPr>
                <w:sz w:val="22"/>
              </w:rPr>
              <w:t>“Botox” injections are not covered by this item.</w:t>
            </w:r>
          </w:p>
        </w:tc>
        <w:tc>
          <w:tcPr>
            <w:tcW w:w="2661" w:type="dxa"/>
            <w:tcBorders>
              <w:top w:val="single" w:sz="4" w:space="0" w:color="B66012"/>
              <w:bottom w:val="single" w:sz="4" w:space="0" w:color="B66012"/>
            </w:tcBorders>
          </w:tcPr>
          <w:p>
            <w:pPr>
              <w:pStyle w:val="TableParagraph"/>
              <w:spacing w:before="176"/>
              <w:ind w:left="149"/>
              <w:rPr>
                <w:sz w:val="22"/>
              </w:rPr>
            </w:pPr>
            <w:r>
              <w:rPr>
                <w:sz w:val="22"/>
              </w:rPr>
              <w:t>Amend item to include</w:t>
            </w:r>
          </w:p>
          <w:p>
            <w:pPr>
              <w:pStyle w:val="TableParagraph"/>
              <w:spacing w:before="80"/>
              <w:ind w:left="149"/>
              <w:rPr>
                <w:sz w:val="22"/>
              </w:rPr>
            </w:pPr>
            <w:r>
              <w:rPr>
                <w:sz w:val="22"/>
              </w:rPr>
              <w:t>‘Under image guidance’.</w:t>
            </w:r>
          </w:p>
        </w:tc>
        <w:tc>
          <w:tcPr>
            <w:tcW w:w="2860" w:type="dxa"/>
            <w:tcBorders>
              <w:top w:val="single" w:sz="4" w:space="0" w:color="B66012"/>
              <w:bottom w:val="single" w:sz="4" w:space="0" w:color="B66012"/>
            </w:tcBorders>
          </w:tcPr>
          <w:p>
            <w:pPr>
              <w:pStyle w:val="TableParagraph"/>
              <w:spacing w:line="312" w:lineRule="auto" w:before="176"/>
              <w:ind w:left="334" w:right="317"/>
              <w:rPr>
                <w:sz w:val="22"/>
              </w:rPr>
            </w:pPr>
            <w:r>
              <w:rPr>
                <w:sz w:val="22"/>
              </w:rPr>
              <w:t>Must now be performed under image guidance</w:t>
            </w:r>
          </w:p>
        </w:tc>
        <w:tc>
          <w:tcPr>
            <w:tcW w:w="3849" w:type="dxa"/>
            <w:tcBorders>
              <w:top w:val="single" w:sz="4" w:space="0" w:color="B66012"/>
              <w:bottom w:val="single" w:sz="4" w:space="0" w:color="B66012"/>
            </w:tcBorders>
          </w:tcPr>
          <w:p>
            <w:pPr>
              <w:pStyle w:val="TableParagraph"/>
              <w:spacing w:line="312" w:lineRule="auto" w:before="176"/>
              <w:ind w:left="338" w:right="369"/>
              <w:rPr>
                <w:sz w:val="22"/>
              </w:rPr>
            </w:pPr>
            <w:r>
              <w:rPr>
                <w:sz w:val="22"/>
              </w:rPr>
              <w:t>Improves patient safety, and aligns the MBS to best practice</w:t>
            </w:r>
          </w:p>
        </w:tc>
      </w:tr>
      <w:tr>
        <w:trPr>
          <w:trHeight w:val="2167" w:hRule="atLeast"/>
        </w:trPr>
        <w:tc>
          <w:tcPr>
            <w:tcW w:w="856" w:type="dxa"/>
            <w:tcBorders>
              <w:top w:val="single" w:sz="4" w:space="0" w:color="B66012"/>
              <w:bottom w:val="single" w:sz="4" w:space="0" w:color="B66012"/>
            </w:tcBorders>
          </w:tcPr>
          <w:p>
            <w:pPr>
              <w:pStyle w:val="TableParagraph"/>
              <w:spacing w:before="176"/>
              <w:ind w:left="115"/>
              <w:rPr>
                <w:b/>
                <w:sz w:val="22"/>
              </w:rPr>
            </w:pPr>
            <w:r>
              <w:rPr>
                <w:b/>
                <w:sz w:val="22"/>
              </w:rPr>
              <w:t>18292</w:t>
            </w:r>
          </w:p>
        </w:tc>
        <w:tc>
          <w:tcPr>
            <w:tcW w:w="3738" w:type="dxa"/>
            <w:tcBorders>
              <w:top w:val="single" w:sz="4" w:space="0" w:color="B66012"/>
              <w:bottom w:val="single" w:sz="4" w:space="0" w:color="B66012"/>
            </w:tcBorders>
          </w:tcPr>
          <w:p>
            <w:pPr>
              <w:pStyle w:val="TableParagraph"/>
              <w:spacing w:line="312" w:lineRule="auto" w:before="176"/>
              <w:ind w:left="183" w:right="200"/>
              <w:jc w:val="both"/>
              <w:rPr>
                <w:sz w:val="22"/>
              </w:rPr>
            </w:pPr>
            <w:r>
              <w:rPr>
                <w:sz w:val="22"/>
              </w:rPr>
              <w:t>Destruction of one of the branches of nerves in the body.</w:t>
            </w:r>
          </w:p>
          <w:p>
            <w:pPr>
              <w:pStyle w:val="TableParagraph"/>
              <w:spacing w:line="312" w:lineRule="auto" w:before="181"/>
              <w:ind w:left="183" w:right="146"/>
              <w:jc w:val="both"/>
              <w:rPr>
                <w:sz w:val="22"/>
              </w:rPr>
            </w:pPr>
            <w:r>
              <w:rPr>
                <w:sz w:val="22"/>
              </w:rPr>
              <w:t>This can be used to treat chronic pain. “Botox” injections are not covered by this item.</w:t>
            </w:r>
          </w:p>
        </w:tc>
        <w:tc>
          <w:tcPr>
            <w:tcW w:w="2661" w:type="dxa"/>
            <w:tcBorders>
              <w:top w:val="single" w:sz="4" w:space="0" w:color="B66012"/>
              <w:bottom w:val="single" w:sz="4" w:space="0" w:color="B66012"/>
            </w:tcBorders>
          </w:tcPr>
          <w:p>
            <w:pPr>
              <w:pStyle w:val="TableParagraph"/>
              <w:spacing w:line="312" w:lineRule="auto" w:before="176"/>
              <w:ind w:left="149" w:right="370"/>
              <w:rPr>
                <w:sz w:val="22"/>
              </w:rPr>
            </w:pPr>
            <w:r>
              <w:rPr>
                <w:sz w:val="22"/>
              </w:rPr>
              <w:t>Amend item to include ‘Under image guidance’</w:t>
            </w:r>
          </w:p>
        </w:tc>
        <w:tc>
          <w:tcPr>
            <w:tcW w:w="2860" w:type="dxa"/>
            <w:tcBorders>
              <w:top w:val="single" w:sz="4" w:space="0" w:color="B66012"/>
              <w:bottom w:val="single" w:sz="4" w:space="0" w:color="B66012"/>
            </w:tcBorders>
          </w:tcPr>
          <w:p>
            <w:pPr>
              <w:pStyle w:val="TableParagraph"/>
              <w:spacing w:line="312" w:lineRule="auto" w:before="176"/>
              <w:ind w:left="334" w:right="317"/>
              <w:rPr>
                <w:sz w:val="22"/>
              </w:rPr>
            </w:pPr>
            <w:r>
              <w:rPr>
                <w:sz w:val="22"/>
              </w:rPr>
              <w:t>Must now be performed under image guidance</w:t>
            </w:r>
          </w:p>
        </w:tc>
        <w:tc>
          <w:tcPr>
            <w:tcW w:w="3849" w:type="dxa"/>
            <w:tcBorders>
              <w:top w:val="single" w:sz="4" w:space="0" w:color="B66012"/>
              <w:bottom w:val="single" w:sz="4" w:space="0" w:color="B66012"/>
            </w:tcBorders>
          </w:tcPr>
          <w:p>
            <w:pPr>
              <w:pStyle w:val="TableParagraph"/>
              <w:spacing w:line="312" w:lineRule="auto" w:before="176"/>
              <w:ind w:left="338" w:right="369"/>
              <w:rPr>
                <w:sz w:val="22"/>
              </w:rPr>
            </w:pPr>
            <w:r>
              <w:rPr>
                <w:sz w:val="22"/>
              </w:rPr>
              <w:t>Improves patient safety, and aligns the MBS to best practice</w:t>
            </w:r>
          </w:p>
        </w:tc>
      </w:tr>
      <w:tr>
        <w:trPr>
          <w:trHeight w:val="2164" w:hRule="atLeast"/>
        </w:trPr>
        <w:tc>
          <w:tcPr>
            <w:tcW w:w="856" w:type="dxa"/>
            <w:tcBorders>
              <w:top w:val="single" w:sz="4" w:space="0" w:color="B66012"/>
              <w:bottom w:val="single" w:sz="4" w:space="0" w:color="B66012"/>
            </w:tcBorders>
          </w:tcPr>
          <w:p>
            <w:pPr>
              <w:pStyle w:val="TableParagraph"/>
              <w:spacing w:before="176"/>
              <w:ind w:left="115"/>
              <w:rPr>
                <w:b/>
                <w:sz w:val="22"/>
              </w:rPr>
            </w:pPr>
            <w:r>
              <w:rPr>
                <w:b/>
                <w:sz w:val="22"/>
              </w:rPr>
              <w:t>18294</w:t>
            </w:r>
          </w:p>
        </w:tc>
        <w:tc>
          <w:tcPr>
            <w:tcW w:w="3738" w:type="dxa"/>
            <w:tcBorders>
              <w:top w:val="single" w:sz="4" w:space="0" w:color="B66012"/>
              <w:bottom w:val="single" w:sz="4" w:space="0" w:color="B66012"/>
            </w:tcBorders>
          </w:tcPr>
          <w:p>
            <w:pPr>
              <w:pStyle w:val="TableParagraph"/>
              <w:spacing w:line="312" w:lineRule="auto" w:before="176"/>
              <w:ind w:left="183" w:right="243"/>
              <w:rPr>
                <w:sz w:val="22"/>
              </w:rPr>
            </w:pPr>
            <w:r>
              <w:rPr>
                <w:sz w:val="22"/>
              </w:rPr>
              <w:t>Destruction of a network of nerves (coeliac plexus) or particular nerves ( splanchnic nerves) in the abdomen</w:t>
            </w:r>
          </w:p>
          <w:p>
            <w:pPr>
              <w:pStyle w:val="TableParagraph"/>
              <w:spacing w:line="314" w:lineRule="auto" w:before="179"/>
              <w:ind w:left="183" w:right="283"/>
              <w:rPr>
                <w:sz w:val="22"/>
              </w:rPr>
            </w:pPr>
            <w:r>
              <w:rPr>
                <w:sz w:val="22"/>
              </w:rPr>
              <w:t>This may be done to treat chronic or cancer pain</w:t>
            </w:r>
          </w:p>
        </w:tc>
        <w:tc>
          <w:tcPr>
            <w:tcW w:w="2661" w:type="dxa"/>
            <w:tcBorders>
              <w:top w:val="single" w:sz="4" w:space="0" w:color="B66012"/>
              <w:bottom w:val="single" w:sz="4" w:space="0" w:color="B66012"/>
            </w:tcBorders>
          </w:tcPr>
          <w:p>
            <w:pPr>
              <w:pStyle w:val="TableParagraph"/>
              <w:spacing w:line="312" w:lineRule="auto" w:before="176"/>
              <w:ind w:left="149" w:right="370"/>
              <w:rPr>
                <w:sz w:val="22"/>
              </w:rPr>
            </w:pPr>
            <w:r>
              <w:rPr>
                <w:sz w:val="22"/>
              </w:rPr>
              <w:t>Amend item to include ‘Under image guidance’</w:t>
            </w:r>
          </w:p>
        </w:tc>
        <w:tc>
          <w:tcPr>
            <w:tcW w:w="2860" w:type="dxa"/>
            <w:tcBorders>
              <w:top w:val="single" w:sz="4" w:space="0" w:color="B66012"/>
              <w:bottom w:val="single" w:sz="4" w:space="0" w:color="B66012"/>
            </w:tcBorders>
          </w:tcPr>
          <w:p>
            <w:pPr>
              <w:pStyle w:val="TableParagraph"/>
              <w:spacing w:line="312" w:lineRule="auto" w:before="176"/>
              <w:ind w:left="334" w:right="317"/>
              <w:rPr>
                <w:sz w:val="22"/>
              </w:rPr>
            </w:pPr>
            <w:r>
              <w:rPr>
                <w:sz w:val="22"/>
              </w:rPr>
              <w:t>Must now be performed under image guidance</w:t>
            </w:r>
          </w:p>
        </w:tc>
        <w:tc>
          <w:tcPr>
            <w:tcW w:w="3849" w:type="dxa"/>
            <w:tcBorders>
              <w:top w:val="single" w:sz="4" w:space="0" w:color="B66012"/>
              <w:bottom w:val="single" w:sz="4" w:space="0" w:color="B66012"/>
            </w:tcBorders>
          </w:tcPr>
          <w:p>
            <w:pPr>
              <w:pStyle w:val="TableParagraph"/>
              <w:spacing w:line="312" w:lineRule="auto" w:before="176"/>
              <w:ind w:left="338" w:right="369"/>
              <w:rPr>
                <w:sz w:val="22"/>
              </w:rPr>
            </w:pPr>
            <w:r>
              <w:rPr>
                <w:sz w:val="22"/>
              </w:rPr>
              <w:t>Improves patient safety, and aligns the MBS to best practice</w:t>
            </w:r>
          </w:p>
        </w:tc>
      </w:tr>
    </w:tbl>
    <w:p>
      <w:pPr>
        <w:spacing w:after="0" w:line="312" w:lineRule="auto"/>
        <w:rPr>
          <w:sz w:val="22"/>
        </w:rPr>
        <w:sectPr>
          <w:pgSz w:w="16840" w:h="11910" w:orient="landscape"/>
          <w:pgMar w:header="0" w:footer="722" w:top="1180" w:bottom="920" w:left="1000" w:right="1640"/>
        </w:sectPr>
      </w:pPr>
    </w:p>
    <w:p>
      <w:pPr>
        <w:pStyle w:val="BodyText"/>
        <w:rPr>
          <w:b/>
          <w:i/>
          <w:sz w:val="20"/>
        </w:rPr>
      </w:pPr>
    </w:p>
    <w:p>
      <w:pPr>
        <w:pStyle w:val="BodyText"/>
        <w:rPr>
          <w:b/>
          <w:i/>
          <w:sz w:val="20"/>
        </w:rPr>
      </w:pPr>
    </w:p>
    <w:p>
      <w:pPr>
        <w:pStyle w:val="BodyText"/>
        <w:spacing w:before="7"/>
        <w:rPr>
          <w:b/>
          <w:i/>
          <w:sz w:val="10"/>
        </w:rPr>
      </w:pPr>
    </w:p>
    <w:p>
      <w:pPr>
        <w:pStyle w:val="BodyText"/>
        <w:spacing w:line="20" w:lineRule="exact"/>
        <w:ind w:left="120"/>
        <w:rPr>
          <w:sz w:val="2"/>
        </w:rPr>
      </w:pPr>
      <w:r>
        <w:rPr>
          <w:sz w:val="2"/>
        </w:rPr>
        <w:pict>
          <v:group style="width:698.05pt;height:.5pt;mso-position-horizontal-relative:char;mso-position-vertical-relative:line" coordorigin="0,0" coordsize="13961,10">
            <v:shape style="position:absolute;left:0;top:0;width:13961;height:10" coordorigin="0,0" coordsize="13961,10" path="m4628,0l934,0,924,0,924,0,0,0,0,10,924,10,924,10,934,10,4628,10,4628,0xm10348,0l10338,0,7484,0,7475,0,4638,0,4628,0,4628,10,4638,10,7475,10,7484,10,10338,10,10348,10,10348,0xm13960,0l10348,0,10348,10,13960,10,13960,0xe" filled="true" fillcolor="#b66012" stroked="false">
              <v:path arrowok="t"/>
              <v:fill type="solid"/>
            </v:shape>
          </v:group>
        </w:pict>
      </w:r>
      <w:r>
        <w:rPr>
          <w:sz w:val="2"/>
        </w:rPr>
      </w:r>
    </w:p>
    <w:p>
      <w:pPr>
        <w:pStyle w:val="BodyText"/>
        <w:rPr>
          <w:b/>
          <w:i/>
          <w:sz w:val="20"/>
        </w:rPr>
      </w:pPr>
    </w:p>
    <w:p>
      <w:pPr>
        <w:pStyle w:val="BodyText"/>
        <w:spacing w:before="4" w:after="1"/>
        <w:rPr>
          <w:b/>
          <w:i/>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6"/>
        <w:gridCol w:w="3754"/>
        <w:gridCol w:w="2839"/>
        <w:gridCol w:w="2883"/>
        <w:gridCol w:w="3633"/>
      </w:tblGrid>
      <w:tr>
        <w:trPr>
          <w:trHeight w:val="589" w:hRule="atLeast"/>
        </w:trPr>
        <w:tc>
          <w:tcPr>
            <w:tcW w:w="13965" w:type="dxa"/>
            <w:gridSpan w:val="5"/>
            <w:tcBorders>
              <w:top w:val="single" w:sz="4" w:space="0" w:color="B66012"/>
              <w:bottom w:val="single" w:sz="4" w:space="0" w:color="B66012"/>
            </w:tcBorders>
          </w:tcPr>
          <w:p>
            <w:pPr>
              <w:pStyle w:val="TableParagraph"/>
              <w:tabs>
                <w:tab w:pos="2434" w:val="left" w:leader="none"/>
              </w:tabs>
              <w:spacing w:before="179"/>
              <w:ind w:left="115"/>
              <w:rPr>
                <w:b/>
                <w:i/>
                <w:sz w:val="22"/>
              </w:rPr>
            </w:pPr>
            <w:r>
              <w:rPr>
                <w:b/>
                <w:i/>
                <w:sz w:val="22"/>
              </w:rPr>
              <w:t>Recommendation</w:t>
            </w:r>
            <w:r>
              <w:rPr>
                <w:b/>
                <w:i/>
                <w:spacing w:val="-2"/>
                <w:sz w:val="22"/>
              </w:rPr>
              <w:t> </w:t>
            </w:r>
            <w:r>
              <w:rPr>
                <w:b/>
                <w:i/>
                <w:sz w:val="22"/>
              </w:rPr>
              <w:t>8:</w:t>
              <w:tab/>
              <w:t>Clarifying item 18296 - pelvic region of the sympathetic</w:t>
            </w:r>
            <w:r>
              <w:rPr>
                <w:b/>
                <w:i/>
                <w:spacing w:val="-8"/>
                <w:sz w:val="22"/>
              </w:rPr>
              <w:t> </w:t>
            </w:r>
            <w:r>
              <w:rPr>
                <w:b/>
                <w:i/>
                <w:sz w:val="22"/>
              </w:rPr>
              <w:t>chain</w:t>
            </w:r>
          </w:p>
        </w:tc>
      </w:tr>
      <w:tr>
        <w:trPr>
          <w:trHeight w:val="938" w:hRule="atLeast"/>
        </w:trPr>
        <w:tc>
          <w:tcPr>
            <w:tcW w:w="856" w:type="dxa"/>
            <w:tcBorders>
              <w:top w:val="single" w:sz="4" w:space="0" w:color="B66012"/>
              <w:bottom w:val="single" w:sz="4" w:space="0" w:color="B66012"/>
            </w:tcBorders>
            <w:shd w:val="clear" w:color="auto" w:fill="CC6600"/>
          </w:tcPr>
          <w:p>
            <w:pPr>
              <w:pStyle w:val="TableParagraph"/>
              <w:spacing w:before="176"/>
              <w:ind w:left="115"/>
              <w:rPr>
                <w:b/>
                <w:sz w:val="22"/>
              </w:rPr>
            </w:pPr>
            <w:r>
              <w:rPr>
                <w:b/>
                <w:sz w:val="22"/>
              </w:rPr>
              <w:t>Item</w:t>
            </w:r>
          </w:p>
        </w:tc>
        <w:tc>
          <w:tcPr>
            <w:tcW w:w="3754" w:type="dxa"/>
            <w:tcBorders>
              <w:top w:val="single" w:sz="4" w:space="0" w:color="B66012"/>
              <w:bottom w:val="single" w:sz="4" w:space="0" w:color="B66012"/>
            </w:tcBorders>
            <w:shd w:val="clear" w:color="auto" w:fill="CC6600"/>
          </w:tcPr>
          <w:p>
            <w:pPr>
              <w:pStyle w:val="TableParagraph"/>
              <w:spacing w:before="176"/>
              <w:ind w:left="183"/>
              <w:rPr>
                <w:b/>
                <w:sz w:val="22"/>
              </w:rPr>
            </w:pPr>
            <w:r>
              <w:rPr>
                <w:b/>
                <w:sz w:val="22"/>
              </w:rPr>
              <w:t>What it does</w:t>
            </w:r>
          </w:p>
        </w:tc>
        <w:tc>
          <w:tcPr>
            <w:tcW w:w="2839" w:type="dxa"/>
            <w:tcBorders>
              <w:top w:val="single" w:sz="4" w:space="0" w:color="B66012"/>
              <w:bottom w:val="single" w:sz="4" w:space="0" w:color="B66012"/>
            </w:tcBorders>
            <w:shd w:val="clear" w:color="auto" w:fill="CC6600"/>
          </w:tcPr>
          <w:p>
            <w:pPr>
              <w:pStyle w:val="TableParagraph"/>
              <w:spacing w:line="312" w:lineRule="auto" w:before="176"/>
              <w:ind w:left="133" w:right="1106"/>
              <w:rPr>
                <w:b/>
                <w:sz w:val="22"/>
              </w:rPr>
            </w:pPr>
            <w:r>
              <w:rPr>
                <w:b/>
                <w:sz w:val="22"/>
              </w:rPr>
              <w:t>Committee recommendation</w:t>
            </w:r>
          </w:p>
        </w:tc>
        <w:tc>
          <w:tcPr>
            <w:tcW w:w="2883" w:type="dxa"/>
            <w:tcBorders>
              <w:top w:val="single" w:sz="4" w:space="0" w:color="B66012"/>
              <w:bottom w:val="single" w:sz="4" w:space="0" w:color="B66012"/>
            </w:tcBorders>
            <w:shd w:val="clear" w:color="auto" w:fill="CC6600"/>
          </w:tcPr>
          <w:p>
            <w:pPr>
              <w:pStyle w:val="TableParagraph"/>
              <w:spacing w:before="176"/>
              <w:ind w:left="140"/>
              <w:rPr>
                <w:b/>
                <w:sz w:val="22"/>
              </w:rPr>
            </w:pPr>
            <w:r>
              <w:rPr>
                <w:b/>
                <w:sz w:val="22"/>
              </w:rPr>
              <w:t>What would be different</w:t>
            </w:r>
          </w:p>
        </w:tc>
        <w:tc>
          <w:tcPr>
            <w:tcW w:w="3633" w:type="dxa"/>
            <w:tcBorders>
              <w:top w:val="single" w:sz="4" w:space="0" w:color="B66012"/>
              <w:bottom w:val="single" w:sz="4" w:space="0" w:color="B66012"/>
            </w:tcBorders>
            <w:shd w:val="clear" w:color="auto" w:fill="CC6600"/>
          </w:tcPr>
          <w:p>
            <w:pPr>
              <w:pStyle w:val="TableParagraph"/>
              <w:spacing w:before="176"/>
              <w:ind w:left="121"/>
              <w:rPr>
                <w:b/>
                <w:sz w:val="22"/>
              </w:rPr>
            </w:pPr>
            <w:r>
              <w:rPr>
                <w:b/>
                <w:sz w:val="22"/>
              </w:rPr>
              <w:t>Why</w:t>
            </w:r>
          </w:p>
        </w:tc>
      </w:tr>
      <w:tr>
        <w:trPr>
          <w:trHeight w:val="3034" w:hRule="atLeast"/>
        </w:trPr>
        <w:tc>
          <w:tcPr>
            <w:tcW w:w="856" w:type="dxa"/>
            <w:tcBorders>
              <w:top w:val="single" w:sz="4" w:space="0" w:color="B66012"/>
              <w:bottom w:val="single" w:sz="4" w:space="0" w:color="B66012"/>
            </w:tcBorders>
          </w:tcPr>
          <w:p>
            <w:pPr>
              <w:pStyle w:val="TableParagraph"/>
              <w:spacing w:before="177"/>
              <w:ind w:left="115"/>
              <w:rPr>
                <w:b/>
                <w:sz w:val="22"/>
              </w:rPr>
            </w:pPr>
            <w:r>
              <w:rPr>
                <w:b/>
                <w:sz w:val="22"/>
              </w:rPr>
              <w:t>18296</w:t>
            </w:r>
          </w:p>
        </w:tc>
        <w:tc>
          <w:tcPr>
            <w:tcW w:w="3754" w:type="dxa"/>
            <w:tcBorders>
              <w:top w:val="single" w:sz="4" w:space="0" w:color="B66012"/>
              <w:bottom w:val="single" w:sz="4" w:space="0" w:color="B66012"/>
            </w:tcBorders>
          </w:tcPr>
          <w:p>
            <w:pPr>
              <w:pStyle w:val="TableParagraph"/>
              <w:spacing w:line="312" w:lineRule="auto" w:before="177"/>
              <w:ind w:left="183" w:right="227"/>
              <w:rPr>
                <w:sz w:val="22"/>
              </w:rPr>
            </w:pPr>
            <w:r>
              <w:rPr>
                <w:sz w:val="22"/>
              </w:rPr>
              <w:t>Injection of an anaesthetic substance into a bundle of the nerves in the lower back near the spine (lumbar sympathetic chain)</w:t>
            </w:r>
          </w:p>
          <w:p>
            <w:pPr>
              <w:pStyle w:val="TableParagraph"/>
              <w:spacing w:line="312" w:lineRule="auto" w:before="180"/>
              <w:ind w:left="183" w:right="114"/>
              <w:rPr>
                <w:sz w:val="22"/>
              </w:rPr>
            </w:pPr>
            <w:r>
              <w:rPr>
                <w:sz w:val="22"/>
              </w:rPr>
              <w:t>This may reduce pain, swelling or sweating and may improve movement</w:t>
            </w:r>
          </w:p>
        </w:tc>
        <w:tc>
          <w:tcPr>
            <w:tcW w:w="2839" w:type="dxa"/>
            <w:tcBorders>
              <w:top w:val="single" w:sz="4" w:space="0" w:color="B66012"/>
              <w:bottom w:val="single" w:sz="4" w:space="0" w:color="B66012"/>
            </w:tcBorders>
          </w:tcPr>
          <w:p>
            <w:pPr>
              <w:pStyle w:val="TableParagraph"/>
              <w:spacing w:line="312" w:lineRule="auto" w:before="177"/>
              <w:ind w:left="133" w:right="213"/>
              <w:rPr>
                <w:sz w:val="22"/>
              </w:rPr>
            </w:pPr>
            <w:r>
              <w:rPr>
                <w:sz w:val="22"/>
              </w:rPr>
              <w:t>Include reference to PELVIC region in item</w:t>
            </w:r>
          </w:p>
        </w:tc>
        <w:tc>
          <w:tcPr>
            <w:tcW w:w="2883" w:type="dxa"/>
            <w:tcBorders>
              <w:top w:val="single" w:sz="4" w:space="0" w:color="B66012"/>
              <w:bottom w:val="single" w:sz="4" w:space="0" w:color="B66012"/>
            </w:tcBorders>
          </w:tcPr>
          <w:p>
            <w:pPr>
              <w:pStyle w:val="TableParagraph"/>
              <w:spacing w:line="312" w:lineRule="auto" w:before="177"/>
              <w:ind w:left="140" w:right="134"/>
              <w:rPr>
                <w:sz w:val="22"/>
              </w:rPr>
            </w:pPr>
            <w:r>
              <w:rPr>
                <w:sz w:val="22"/>
              </w:rPr>
              <w:t>Nothing, the PELVIC region is currently being claimed under this item.</w:t>
            </w:r>
          </w:p>
        </w:tc>
        <w:tc>
          <w:tcPr>
            <w:tcW w:w="3633" w:type="dxa"/>
            <w:tcBorders>
              <w:top w:val="single" w:sz="4" w:space="0" w:color="B66012"/>
              <w:bottom w:val="single" w:sz="4" w:space="0" w:color="B66012"/>
            </w:tcBorders>
          </w:tcPr>
          <w:p>
            <w:pPr>
              <w:pStyle w:val="TableParagraph"/>
              <w:spacing w:line="312" w:lineRule="auto" w:before="177"/>
              <w:ind w:left="121" w:right="368"/>
              <w:jc w:val="both"/>
              <w:rPr>
                <w:sz w:val="22"/>
              </w:rPr>
            </w:pPr>
            <w:r>
              <w:rPr>
                <w:sz w:val="22"/>
              </w:rPr>
              <w:t>There is currently no item number which provides access to the pelvic region of the sympathetic chain for neurolytic injection.</w:t>
            </w:r>
          </w:p>
          <w:p>
            <w:pPr>
              <w:pStyle w:val="TableParagraph"/>
              <w:spacing w:before="9"/>
              <w:rPr>
                <w:b/>
                <w:i/>
                <w:sz w:val="28"/>
              </w:rPr>
            </w:pPr>
          </w:p>
          <w:p>
            <w:pPr>
              <w:pStyle w:val="TableParagraph"/>
              <w:spacing w:line="312" w:lineRule="auto"/>
              <w:ind w:left="121" w:right="110"/>
              <w:rPr>
                <w:sz w:val="22"/>
              </w:rPr>
            </w:pPr>
            <w:r>
              <w:rPr>
                <w:sz w:val="22"/>
              </w:rPr>
              <w:t>This change will reduce confusion with billing practices and will not change the number of claims per year</w:t>
            </w:r>
          </w:p>
        </w:tc>
      </w:tr>
      <w:tr>
        <w:trPr>
          <w:trHeight w:val="1117" w:hRule="atLeast"/>
        </w:trPr>
        <w:tc>
          <w:tcPr>
            <w:tcW w:w="13965" w:type="dxa"/>
            <w:gridSpan w:val="5"/>
            <w:tcBorders>
              <w:top w:val="single" w:sz="4" w:space="0" w:color="B66012"/>
              <w:bottom w:val="single" w:sz="4" w:space="0" w:color="B66012"/>
            </w:tcBorders>
          </w:tcPr>
          <w:p>
            <w:pPr>
              <w:pStyle w:val="TableParagraph"/>
              <w:rPr>
                <w:b/>
                <w:i/>
                <w:sz w:val="22"/>
              </w:rPr>
            </w:pPr>
          </w:p>
          <w:p>
            <w:pPr>
              <w:pStyle w:val="TableParagraph"/>
              <w:rPr>
                <w:b/>
                <w:i/>
                <w:sz w:val="22"/>
              </w:rPr>
            </w:pPr>
          </w:p>
          <w:p>
            <w:pPr>
              <w:pStyle w:val="TableParagraph"/>
              <w:tabs>
                <w:tab w:pos="2434" w:val="left" w:leader="none"/>
              </w:tabs>
              <w:spacing w:before="170"/>
              <w:ind w:left="115"/>
              <w:rPr>
                <w:b/>
                <w:i/>
                <w:sz w:val="22"/>
              </w:rPr>
            </w:pPr>
            <w:r>
              <w:rPr>
                <w:b/>
                <w:i/>
                <w:sz w:val="22"/>
              </w:rPr>
              <w:t>Recommendation</w:t>
            </w:r>
            <w:r>
              <w:rPr>
                <w:b/>
                <w:i/>
                <w:spacing w:val="-2"/>
                <w:sz w:val="22"/>
              </w:rPr>
              <w:t> </w:t>
            </w:r>
            <w:r>
              <w:rPr>
                <w:b/>
                <w:i/>
                <w:sz w:val="22"/>
              </w:rPr>
              <w:t>9:</w:t>
              <w:tab/>
              <w:t>Reflecting best practice in item 39013 - intra-articular</w:t>
            </w:r>
            <w:r>
              <w:rPr>
                <w:b/>
                <w:i/>
                <w:spacing w:val="-10"/>
                <w:sz w:val="22"/>
              </w:rPr>
              <w:t> </w:t>
            </w:r>
            <w:r>
              <w:rPr>
                <w:b/>
                <w:i/>
                <w:sz w:val="22"/>
              </w:rPr>
              <w:t>injection</w:t>
            </w:r>
          </w:p>
        </w:tc>
      </w:tr>
      <w:tr>
        <w:trPr>
          <w:trHeight w:val="938" w:hRule="atLeast"/>
        </w:trPr>
        <w:tc>
          <w:tcPr>
            <w:tcW w:w="856" w:type="dxa"/>
            <w:tcBorders>
              <w:top w:val="single" w:sz="4" w:space="0" w:color="B66012"/>
              <w:bottom w:val="single" w:sz="4" w:space="0" w:color="B66012"/>
            </w:tcBorders>
            <w:shd w:val="clear" w:color="auto" w:fill="CC6600"/>
          </w:tcPr>
          <w:p>
            <w:pPr>
              <w:pStyle w:val="TableParagraph"/>
              <w:spacing w:before="176"/>
              <w:ind w:left="115"/>
              <w:rPr>
                <w:b/>
                <w:sz w:val="22"/>
              </w:rPr>
            </w:pPr>
            <w:r>
              <w:rPr>
                <w:b/>
                <w:sz w:val="22"/>
              </w:rPr>
              <w:t>Item</w:t>
            </w:r>
          </w:p>
        </w:tc>
        <w:tc>
          <w:tcPr>
            <w:tcW w:w="3754" w:type="dxa"/>
            <w:tcBorders>
              <w:top w:val="single" w:sz="4" w:space="0" w:color="B66012"/>
              <w:bottom w:val="single" w:sz="4" w:space="0" w:color="B66012"/>
            </w:tcBorders>
            <w:shd w:val="clear" w:color="auto" w:fill="CC6600"/>
          </w:tcPr>
          <w:p>
            <w:pPr>
              <w:pStyle w:val="TableParagraph"/>
              <w:spacing w:before="176"/>
              <w:ind w:left="183"/>
              <w:rPr>
                <w:b/>
                <w:sz w:val="22"/>
              </w:rPr>
            </w:pPr>
            <w:r>
              <w:rPr>
                <w:b/>
                <w:sz w:val="22"/>
              </w:rPr>
              <w:t>What it does</w:t>
            </w:r>
          </w:p>
        </w:tc>
        <w:tc>
          <w:tcPr>
            <w:tcW w:w="2839" w:type="dxa"/>
            <w:tcBorders>
              <w:top w:val="single" w:sz="4" w:space="0" w:color="B66012"/>
              <w:bottom w:val="single" w:sz="4" w:space="0" w:color="B66012"/>
            </w:tcBorders>
            <w:shd w:val="clear" w:color="auto" w:fill="CC6600"/>
          </w:tcPr>
          <w:p>
            <w:pPr>
              <w:pStyle w:val="TableParagraph"/>
              <w:spacing w:line="312" w:lineRule="auto" w:before="176"/>
              <w:ind w:left="133" w:right="1106"/>
              <w:rPr>
                <w:b/>
                <w:sz w:val="22"/>
              </w:rPr>
            </w:pPr>
            <w:r>
              <w:rPr>
                <w:b/>
                <w:sz w:val="22"/>
              </w:rPr>
              <w:t>Committee recommendation</w:t>
            </w:r>
          </w:p>
        </w:tc>
        <w:tc>
          <w:tcPr>
            <w:tcW w:w="2883" w:type="dxa"/>
            <w:tcBorders>
              <w:top w:val="single" w:sz="4" w:space="0" w:color="B66012"/>
              <w:bottom w:val="single" w:sz="4" w:space="0" w:color="B66012"/>
            </w:tcBorders>
            <w:shd w:val="clear" w:color="auto" w:fill="CC6600"/>
          </w:tcPr>
          <w:p>
            <w:pPr>
              <w:pStyle w:val="TableParagraph"/>
              <w:spacing w:before="176"/>
              <w:ind w:left="140"/>
              <w:rPr>
                <w:b/>
                <w:sz w:val="22"/>
              </w:rPr>
            </w:pPr>
            <w:r>
              <w:rPr>
                <w:b/>
                <w:sz w:val="22"/>
              </w:rPr>
              <w:t>What would be different</w:t>
            </w:r>
          </w:p>
        </w:tc>
        <w:tc>
          <w:tcPr>
            <w:tcW w:w="3633" w:type="dxa"/>
            <w:tcBorders>
              <w:top w:val="single" w:sz="4" w:space="0" w:color="B66012"/>
              <w:bottom w:val="single" w:sz="4" w:space="0" w:color="B66012"/>
            </w:tcBorders>
            <w:shd w:val="clear" w:color="auto" w:fill="CC6600"/>
          </w:tcPr>
          <w:p>
            <w:pPr>
              <w:pStyle w:val="TableParagraph"/>
              <w:spacing w:before="176"/>
              <w:ind w:left="121"/>
              <w:rPr>
                <w:b/>
                <w:sz w:val="22"/>
              </w:rPr>
            </w:pPr>
            <w:r>
              <w:rPr>
                <w:b/>
                <w:sz w:val="22"/>
              </w:rPr>
              <w:t>Why</w:t>
            </w:r>
          </w:p>
        </w:tc>
      </w:tr>
      <w:tr>
        <w:trPr>
          <w:trHeight w:val="1048" w:hRule="atLeast"/>
        </w:trPr>
        <w:tc>
          <w:tcPr>
            <w:tcW w:w="856" w:type="dxa"/>
            <w:tcBorders>
              <w:top w:val="single" w:sz="4" w:space="0" w:color="B66012"/>
              <w:bottom w:val="single" w:sz="4" w:space="0" w:color="B66012"/>
            </w:tcBorders>
          </w:tcPr>
          <w:p>
            <w:pPr>
              <w:pStyle w:val="TableParagraph"/>
              <w:spacing w:before="177"/>
              <w:ind w:left="115"/>
              <w:rPr>
                <w:b/>
                <w:sz w:val="22"/>
              </w:rPr>
            </w:pPr>
            <w:r>
              <w:rPr>
                <w:b/>
                <w:sz w:val="22"/>
              </w:rPr>
              <w:t>39013</w:t>
            </w:r>
          </w:p>
        </w:tc>
        <w:tc>
          <w:tcPr>
            <w:tcW w:w="3754" w:type="dxa"/>
            <w:tcBorders>
              <w:top w:val="single" w:sz="4" w:space="0" w:color="B66012"/>
              <w:bottom w:val="single" w:sz="4" w:space="0" w:color="B66012"/>
            </w:tcBorders>
          </w:tcPr>
          <w:p>
            <w:pPr>
              <w:pStyle w:val="TableParagraph"/>
              <w:spacing w:line="312" w:lineRule="auto" w:before="177"/>
              <w:ind w:left="183" w:right="206"/>
              <w:rPr>
                <w:sz w:val="22"/>
              </w:rPr>
            </w:pPr>
            <w:r>
              <w:rPr>
                <w:sz w:val="22"/>
              </w:rPr>
              <w:t>Injection of contrast (which shows up on a scan), anaesthetic (which makes</w:t>
            </w:r>
          </w:p>
        </w:tc>
        <w:tc>
          <w:tcPr>
            <w:tcW w:w="2839" w:type="dxa"/>
            <w:tcBorders>
              <w:top w:val="single" w:sz="4" w:space="0" w:color="B66012"/>
              <w:bottom w:val="single" w:sz="4" w:space="0" w:color="B66012"/>
            </w:tcBorders>
          </w:tcPr>
          <w:p>
            <w:pPr>
              <w:pStyle w:val="TableParagraph"/>
              <w:spacing w:line="314" w:lineRule="auto"/>
              <w:ind w:left="133" w:right="119"/>
              <w:rPr>
                <w:sz w:val="22"/>
              </w:rPr>
            </w:pPr>
            <w:r>
              <w:rPr>
                <w:sz w:val="22"/>
              </w:rPr>
              <w:t>Delete ‘or 1 or more primary posterior rami of spinal</w:t>
            </w:r>
          </w:p>
        </w:tc>
        <w:tc>
          <w:tcPr>
            <w:tcW w:w="2883" w:type="dxa"/>
            <w:tcBorders>
              <w:top w:val="single" w:sz="4" w:space="0" w:color="B66012"/>
              <w:bottom w:val="single" w:sz="4" w:space="0" w:color="B66012"/>
            </w:tcBorders>
          </w:tcPr>
          <w:p>
            <w:pPr>
              <w:pStyle w:val="TableParagraph"/>
              <w:spacing w:line="265" w:lineRule="exact"/>
              <w:ind w:left="500"/>
              <w:rPr>
                <w:sz w:val="22"/>
              </w:rPr>
            </w:pPr>
            <w:r>
              <w:rPr>
                <w:sz w:val="22"/>
              </w:rPr>
              <w:t>Medial branch blocks will</w:t>
            </w:r>
          </w:p>
          <w:p>
            <w:pPr>
              <w:pStyle w:val="TableParagraph"/>
              <w:spacing w:line="340" w:lineRule="atLeast" w:before="11"/>
              <w:ind w:left="500" w:right="366"/>
              <w:rPr>
                <w:sz w:val="22"/>
              </w:rPr>
            </w:pPr>
            <w:r>
              <w:rPr>
                <w:sz w:val="22"/>
              </w:rPr>
              <w:t>now be claimed under item 18276</w:t>
            </w:r>
          </w:p>
        </w:tc>
        <w:tc>
          <w:tcPr>
            <w:tcW w:w="3633" w:type="dxa"/>
            <w:tcBorders>
              <w:top w:val="single" w:sz="4" w:space="0" w:color="B66012"/>
              <w:bottom w:val="single" w:sz="4" w:space="0" w:color="B66012"/>
            </w:tcBorders>
          </w:tcPr>
          <w:p>
            <w:pPr>
              <w:pStyle w:val="TableParagraph"/>
              <w:spacing w:line="265" w:lineRule="exact"/>
              <w:ind w:left="481"/>
              <w:rPr>
                <w:sz w:val="22"/>
              </w:rPr>
            </w:pPr>
            <w:r>
              <w:rPr>
                <w:sz w:val="22"/>
              </w:rPr>
              <w:t>There is currently widespread</w:t>
            </w:r>
          </w:p>
          <w:p>
            <w:pPr>
              <w:pStyle w:val="TableParagraph"/>
              <w:spacing w:line="340" w:lineRule="atLeast" w:before="11"/>
              <w:ind w:left="481" w:right="251"/>
              <w:rPr>
                <w:sz w:val="22"/>
              </w:rPr>
            </w:pPr>
            <w:r>
              <w:rPr>
                <w:sz w:val="22"/>
              </w:rPr>
              <w:t>claiming of this item number for diagnostic medial branch blocks</w:t>
            </w:r>
          </w:p>
        </w:tc>
      </w:tr>
    </w:tbl>
    <w:p>
      <w:pPr>
        <w:spacing w:after="0" w:line="340" w:lineRule="atLeast"/>
        <w:rPr>
          <w:sz w:val="22"/>
        </w:rPr>
        <w:sectPr>
          <w:pgSz w:w="16840" w:h="11910" w:orient="landscape"/>
          <w:pgMar w:header="0" w:footer="722" w:top="1180" w:bottom="920" w:left="1000" w:right="1640"/>
        </w:sectPr>
      </w:pPr>
    </w:p>
    <w:p>
      <w:pPr>
        <w:pStyle w:val="BodyText"/>
        <w:rPr>
          <w:b/>
          <w:i/>
          <w:sz w:val="20"/>
        </w:rPr>
      </w:pPr>
    </w:p>
    <w:p>
      <w:pPr>
        <w:pStyle w:val="BodyText"/>
        <w:rPr>
          <w:b/>
          <w:i/>
          <w:sz w:val="20"/>
        </w:rPr>
      </w:pPr>
    </w:p>
    <w:p>
      <w:pPr>
        <w:pStyle w:val="BodyText"/>
        <w:spacing w:before="7"/>
        <w:rPr>
          <w:b/>
          <w:i/>
          <w:sz w:val="10"/>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7"/>
        <w:gridCol w:w="3751"/>
        <w:gridCol w:w="2836"/>
        <w:gridCol w:w="2709"/>
        <w:gridCol w:w="3815"/>
      </w:tblGrid>
      <w:tr>
        <w:trPr>
          <w:trHeight w:val="4887" w:hRule="atLeast"/>
        </w:trPr>
        <w:tc>
          <w:tcPr>
            <w:tcW w:w="857" w:type="dxa"/>
            <w:tcBorders>
              <w:top w:val="single" w:sz="4" w:space="0" w:color="B66012"/>
              <w:bottom w:val="single" w:sz="4" w:space="0" w:color="B66012"/>
            </w:tcBorders>
          </w:tcPr>
          <w:p>
            <w:pPr>
              <w:pStyle w:val="TableParagraph"/>
              <w:rPr>
                <w:rFonts w:ascii="Times New Roman"/>
                <w:sz w:val="20"/>
              </w:rPr>
            </w:pPr>
          </w:p>
        </w:tc>
        <w:tc>
          <w:tcPr>
            <w:tcW w:w="3751" w:type="dxa"/>
            <w:tcBorders>
              <w:top w:val="single" w:sz="4" w:space="0" w:color="B66012"/>
              <w:bottom w:val="single" w:sz="4" w:space="0" w:color="B66012"/>
            </w:tcBorders>
          </w:tcPr>
          <w:p>
            <w:pPr>
              <w:pStyle w:val="TableParagraph"/>
              <w:spacing w:line="312" w:lineRule="auto"/>
              <w:ind w:left="183" w:right="205"/>
              <w:rPr>
                <w:sz w:val="22"/>
              </w:rPr>
            </w:pPr>
            <w:r>
              <w:rPr>
                <w:sz w:val="22"/>
              </w:rPr>
              <w:t>it go numb), or corticosteroid (which reduces inflammation) into one or more of the small joints at the side of the spine (zygo-apophyseal joints or costo – transverse joints) or one the nerves that come out of the spinal cord (this description of the nerve pretty loose</w:t>
            </w:r>
          </w:p>
        </w:tc>
        <w:tc>
          <w:tcPr>
            <w:tcW w:w="2836" w:type="dxa"/>
            <w:tcBorders>
              <w:top w:val="single" w:sz="4" w:space="0" w:color="B66012"/>
              <w:bottom w:val="single" w:sz="4" w:space="0" w:color="B66012"/>
            </w:tcBorders>
          </w:tcPr>
          <w:p>
            <w:pPr>
              <w:pStyle w:val="TableParagraph"/>
              <w:spacing w:line="265" w:lineRule="exact"/>
              <w:ind w:left="135"/>
              <w:rPr>
                <w:sz w:val="22"/>
              </w:rPr>
            </w:pPr>
            <w:r>
              <w:rPr>
                <w:sz w:val="22"/>
              </w:rPr>
              <w:t>nerves’ and ‘or</w:t>
            </w:r>
          </w:p>
          <w:p>
            <w:pPr>
              <w:pStyle w:val="TableParagraph"/>
              <w:spacing w:before="79"/>
              <w:ind w:left="135"/>
              <w:rPr>
                <w:sz w:val="22"/>
              </w:rPr>
            </w:pPr>
            <w:r>
              <w:rPr>
                <w:sz w:val="22"/>
              </w:rPr>
              <w:t>costotransverse’.</w:t>
            </w:r>
          </w:p>
          <w:p>
            <w:pPr>
              <w:pStyle w:val="TableParagraph"/>
              <w:rPr>
                <w:b/>
                <w:i/>
                <w:sz w:val="22"/>
              </w:rPr>
            </w:pPr>
          </w:p>
          <w:p>
            <w:pPr>
              <w:pStyle w:val="TableParagraph"/>
              <w:spacing w:before="161"/>
              <w:ind w:left="186"/>
              <w:rPr>
                <w:sz w:val="22"/>
              </w:rPr>
            </w:pPr>
            <w:r>
              <w:rPr>
                <w:sz w:val="22"/>
              </w:rPr>
              <w:t>Include ‘under image</w:t>
            </w:r>
          </w:p>
          <w:p>
            <w:pPr>
              <w:pStyle w:val="TableParagraph"/>
              <w:spacing w:line="312" w:lineRule="auto" w:before="82"/>
              <w:ind w:left="135" w:right="318"/>
              <w:rPr>
                <w:sz w:val="22"/>
              </w:rPr>
            </w:pPr>
            <w:r>
              <w:rPr>
                <w:sz w:val="22"/>
              </w:rPr>
              <w:t>guidance’ and explanatory notes regarding longer lasting pain management techniques.</w:t>
            </w:r>
          </w:p>
          <w:p>
            <w:pPr>
              <w:pStyle w:val="TableParagraph"/>
              <w:spacing w:before="7"/>
              <w:rPr>
                <w:b/>
                <w:i/>
                <w:sz w:val="28"/>
              </w:rPr>
            </w:pPr>
          </w:p>
          <w:p>
            <w:pPr>
              <w:pStyle w:val="TableParagraph"/>
              <w:spacing w:line="312" w:lineRule="auto"/>
              <w:ind w:left="135" w:right="363"/>
              <w:rPr>
                <w:sz w:val="22"/>
              </w:rPr>
            </w:pPr>
            <w:r>
              <w:rPr>
                <w:sz w:val="22"/>
              </w:rPr>
              <w:t>This item will only be available to intra-articular injection</w:t>
            </w:r>
          </w:p>
          <w:p>
            <w:pPr>
              <w:pStyle w:val="TableParagraph"/>
              <w:spacing w:before="8"/>
              <w:rPr>
                <w:b/>
                <w:i/>
                <w:sz w:val="28"/>
              </w:rPr>
            </w:pPr>
          </w:p>
          <w:p>
            <w:pPr>
              <w:pStyle w:val="TableParagraph"/>
              <w:ind w:left="135"/>
              <w:rPr>
                <w:sz w:val="22"/>
              </w:rPr>
            </w:pPr>
            <w:r>
              <w:rPr>
                <w:sz w:val="22"/>
              </w:rPr>
              <w:t>Review in 2 years.</w:t>
            </w:r>
          </w:p>
        </w:tc>
        <w:tc>
          <w:tcPr>
            <w:tcW w:w="2709" w:type="dxa"/>
            <w:tcBorders>
              <w:top w:val="single" w:sz="4" w:space="0" w:color="B66012"/>
              <w:bottom w:val="single" w:sz="4" w:space="0" w:color="B66012"/>
            </w:tcBorders>
          </w:tcPr>
          <w:p>
            <w:pPr>
              <w:pStyle w:val="TableParagraph"/>
              <w:rPr>
                <w:rFonts w:ascii="Times New Roman"/>
                <w:sz w:val="20"/>
              </w:rPr>
            </w:pPr>
          </w:p>
        </w:tc>
        <w:tc>
          <w:tcPr>
            <w:tcW w:w="3815" w:type="dxa"/>
            <w:tcBorders>
              <w:top w:val="single" w:sz="4" w:space="0" w:color="B66012"/>
              <w:bottom w:val="single" w:sz="4" w:space="0" w:color="B66012"/>
            </w:tcBorders>
          </w:tcPr>
          <w:p>
            <w:pPr>
              <w:pStyle w:val="TableParagraph"/>
              <w:spacing w:line="312" w:lineRule="auto"/>
              <w:ind w:left="660" w:right="122"/>
              <w:rPr>
                <w:sz w:val="22"/>
              </w:rPr>
            </w:pPr>
            <w:r>
              <w:rPr>
                <w:sz w:val="22"/>
              </w:rPr>
              <w:t>and the Committee considered that claiming for this procedure is better suited to item 18276.</w:t>
            </w:r>
          </w:p>
          <w:p>
            <w:pPr>
              <w:pStyle w:val="TableParagraph"/>
              <w:spacing w:before="4"/>
              <w:rPr>
                <w:b/>
                <w:i/>
                <w:sz w:val="28"/>
              </w:rPr>
            </w:pPr>
          </w:p>
          <w:p>
            <w:pPr>
              <w:pStyle w:val="TableParagraph"/>
              <w:spacing w:line="312" w:lineRule="auto"/>
              <w:ind w:left="660" w:right="146"/>
              <w:rPr>
                <w:sz w:val="22"/>
              </w:rPr>
            </w:pPr>
            <w:r>
              <w:rPr>
                <w:sz w:val="22"/>
              </w:rPr>
              <w:t>Item will now be restricted to the lumbar region of the spine.</w:t>
            </w:r>
          </w:p>
        </w:tc>
      </w:tr>
      <w:tr>
        <w:trPr>
          <w:trHeight w:val="1120" w:hRule="atLeast"/>
        </w:trPr>
        <w:tc>
          <w:tcPr>
            <w:tcW w:w="13968" w:type="dxa"/>
            <w:gridSpan w:val="5"/>
            <w:tcBorders>
              <w:top w:val="single" w:sz="4" w:space="0" w:color="B66012"/>
              <w:bottom w:val="single" w:sz="4" w:space="0" w:color="B66012"/>
            </w:tcBorders>
          </w:tcPr>
          <w:p>
            <w:pPr>
              <w:pStyle w:val="TableParagraph"/>
              <w:rPr>
                <w:b/>
                <w:i/>
                <w:sz w:val="22"/>
              </w:rPr>
            </w:pPr>
          </w:p>
          <w:p>
            <w:pPr>
              <w:pStyle w:val="TableParagraph"/>
              <w:rPr>
                <w:b/>
                <w:i/>
                <w:sz w:val="22"/>
              </w:rPr>
            </w:pPr>
          </w:p>
          <w:p>
            <w:pPr>
              <w:pStyle w:val="TableParagraph"/>
              <w:tabs>
                <w:tab w:pos="2434" w:val="left" w:leader="none"/>
              </w:tabs>
              <w:spacing w:before="170"/>
              <w:ind w:left="115"/>
              <w:rPr>
                <w:b/>
                <w:i/>
                <w:sz w:val="22"/>
              </w:rPr>
            </w:pPr>
            <w:r>
              <w:rPr>
                <w:b/>
                <w:i/>
                <w:sz w:val="22"/>
              </w:rPr>
              <w:t>Recommendation</w:t>
            </w:r>
            <w:r>
              <w:rPr>
                <w:b/>
                <w:i/>
                <w:spacing w:val="-2"/>
                <w:sz w:val="22"/>
              </w:rPr>
              <w:t> </w:t>
            </w:r>
            <w:r>
              <w:rPr>
                <w:b/>
                <w:i/>
                <w:sz w:val="22"/>
              </w:rPr>
              <w:t>10:</w:t>
              <w:tab/>
              <w:t>Clarifying item 39100 - trigeminal</w:t>
            </w:r>
            <w:r>
              <w:rPr>
                <w:b/>
                <w:i/>
                <w:spacing w:val="-4"/>
                <w:sz w:val="22"/>
              </w:rPr>
              <w:t> </w:t>
            </w:r>
            <w:r>
              <w:rPr>
                <w:b/>
                <w:i/>
                <w:sz w:val="22"/>
              </w:rPr>
              <w:t>nerve</w:t>
            </w:r>
          </w:p>
        </w:tc>
      </w:tr>
      <w:tr>
        <w:trPr>
          <w:trHeight w:val="938" w:hRule="atLeast"/>
        </w:trPr>
        <w:tc>
          <w:tcPr>
            <w:tcW w:w="857" w:type="dxa"/>
            <w:tcBorders>
              <w:top w:val="single" w:sz="4" w:space="0" w:color="B66012"/>
              <w:bottom w:val="single" w:sz="4" w:space="0" w:color="B66012"/>
            </w:tcBorders>
            <w:shd w:val="clear" w:color="auto" w:fill="CC6600"/>
          </w:tcPr>
          <w:p>
            <w:pPr>
              <w:pStyle w:val="TableParagraph"/>
              <w:spacing w:before="176"/>
              <w:ind w:left="115"/>
              <w:rPr>
                <w:b/>
                <w:sz w:val="22"/>
              </w:rPr>
            </w:pPr>
            <w:r>
              <w:rPr>
                <w:b/>
                <w:sz w:val="22"/>
              </w:rPr>
              <w:t>Item</w:t>
            </w:r>
          </w:p>
        </w:tc>
        <w:tc>
          <w:tcPr>
            <w:tcW w:w="3751" w:type="dxa"/>
            <w:tcBorders>
              <w:top w:val="single" w:sz="4" w:space="0" w:color="B66012"/>
              <w:bottom w:val="single" w:sz="4" w:space="0" w:color="B66012"/>
            </w:tcBorders>
            <w:shd w:val="clear" w:color="auto" w:fill="CC6600"/>
          </w:tcPr>
          <w:p>
            <w:pPr>
              <w:pStyle w:val="TableParagraph"/>
              <w:spacing w:before="176"/>
              <w:ind w:left="183"/>
              <w:rPr>
                <w:b/>
                <w:sz w:val="22"/>
              </w:rPr>
            </w:pPr>
            <w:r>
              <w:rPr>
                <w:b/>
                <w:sz w:val="22"/>
              </w:rPr>
              <w:t>What it does</w:t>
            </w:r>
          </w:p>
        </w:tc>
        <w:tc>
          <w:tcPr>
            <w:tcW w:w="2836" w:type="dxa"/>
            <w:tcBorders>
              <w:top w:val="single" w:sz="4" w:space="0" w:color="B66012"/>
              <w:bottom w:val="single" w:sz="4" w:space="0" w:color="B66012"/>
            </w:tcBorders>
            <w:shd w:val="clear" w:color="auto" w:fill="CC6600"/>
          </w:tcPr>
          <w:p>
            <w:pPr>
              <w:pStyle w:val="TableParagraph"/>
              <w:spacing w:line="312" w:lineRule="auto" w:before="176"/>
              <w:ind w:left="135" w:right="1101"/>
              <w:rPr>
                <w:b/>
                <w:sz w:val="22"/>
              </w:rPr>
            </w:pPr>
            <w:r>
              <w:rPr>
                <w:b/>
                <w:sz w:val="22"/>
              </w:rPr>
              <w:t>Committee recommendation</w:t>
            </w:r>
          </w:p>
        </w:tc>
        <w:tc>
          <w:tcPr>
            <w:tcW w:w="2709" w:type="dxa"/>
            <w:tcBorders>
              <w:top w:val="single" w:sz="4" w:space="0" w:color="B66012"/>
              <w:bottom w:val="single" w:sz="4" w:space="0" w:color="B66012"/>
            </w:tcBorders>
            <w:shd w:val="clear" w:color="auto" w:fill="CC6600"/>
          </w:tcPr>
          <w:p>
            <w:pPr>
              <w:pStyle w:val="TableParagraph"/>
              <w:spacing w:before="176"/>
              <w:ind w:left="146"/>
              <w:rPr>
                <w:b/>
                <w:sz w:val="22"/>
              </w:rPr>
            </w:pPr>
            <w:r>
              <w:rPr>
                <w:b/>
                <w:sz w:val="22"/>
              </w:rPr>
              <w:t>What would be different</w:t>
            </w:r>
          </w:p>
        </w:tc>
        <w:tc>
          <w:tcPr>
            <w:tcW w:w="3815" w:type="dxa"/>
            <w:tcBorders>
              <w:top w:val="single" w:sz="4" w:space="0" w:color="B66012"/>
              <w:bottom w:val="single" w:sz="4" w:space="0" w:color="B66012"/>
            </w:tcBorders>
            <w:shd w:val="clear" w:color="auto" w:fill="CC6600"/>
          </w:tcPr>
          <w:p>
            <w:pPr>
              <w:pStyle w:val="TableParagraph"/>
              <w:spacing w:before="176"/>
              <w:ind w:left="300"/>
              <w:rPr>
                <w:b/>
                <w:sz w:val="22"/>
              </w:rPr>
            </w:pPr>
            <w:r>
              <w:rPr>
                <w:b/>
                <w:sz w:val="22"/>
              </w:rPr>
              <w:t>Why</w:t>
            </w:r>
          </w:p>
        </w:tc>
      </w:tr>
      <w:tr>
        <w:trPr>
          <w:trHeight w:val="1286" w:hRule="atLeast"/>
        </w:trPr>
        <w:tc>
          <w:tcPr>
            <w:tcW w:w="857" w:type="dxa"/>
            <w:tcBorders>
              <w:top w:val="single" w:sz="4" w:space="0" w:color="B66012"/>
              <w:bottom w:val="single" w:sz="4" w:space="0" w:color="B66012"/>
            </w:tcBorders>
          </w:tcPr>
          <w:p>
            <w:pPr>
              <w:pStyle w:val="TableParagraph"/>
              <w:spacing w:before="176"/>
              <w:ind w:left="115"/>
              <w:rPr>
                <w:b/>
                <w:sz w:val="22"/>
              </w:rPr>
            </w:pPr>
            <w:r>
              <w:rPr>
                <w:b/>
                <w:sz w:val="22"/>
              </w:rPr>
              <w:t>39100</w:t>
            </w:r>
          </w:p>
        </w:tc>
        <w:tc>
          <w:tcPr>
            <w:tcW w:w="3751" w:type="dxa"/>
            <w:tcBorders>
              <w:top w:val="single" w:sz="4" w:space="0" w:color="B66012"/>
              <w:bottom w:val="single" w:sz="4" w:space="0" w:color="B66012"/>
            </w:tcBorders>
          </w:tcPr>
          <w:p>
            <w:pPr>
              <w:pStyle w:val="TableParagraph"/>
              <w:spacing w:line="312" w:lineRule="auto" w:before="176"/>
              <w:ind w:left="183" w:right="120"/>
              <w:rPr>
                <w:sz w:val="22"/>
              </w:rPr>
            </w:pPr>
            <w:r>
              <w:rPr>
                <w:sz w:val="22"/>
              </w:rPr>
              <w:t>Injection of the nerve that is responsible for feeling in the face, and the muscles used for biting and</w:t>
            </w:r>
          </w:p>
        </w:tc>
        <w:tc>
          <w:tcPr>
            <w:tcW w:w="2836" w:type="dxa"/>
            <w:tcBorders>
              <w:top w:val="single" w:sz="4" w:space="0" w:color="B66012"/>
              <w:bottom w:val="single" w:sz="4" w:space="0" w:color="B66012"/>
            </w:tcBorders>
          </w:tcPr>
          <w:p>
            <w:pPr>
              <w:pStyle w:val="TableParagraph"/>
              <w:spacing w:line="312" w:lineRule="auto" w:before="176"/>
              <w:ind w:left="135" w:right="128"/>
              <w:rPr>
                <w:sz w:val="22"/>
              </w:rPr>
            </w:pPr>
            <w:r>
              <w:rPr>
                <w:sz w:val="22"/>
              </w:rPr>
              <w:t>Amend to include that the injection should occur under image guidance and to</w:t>
            </w:r>
          </w:p>
        </w:tc>
        <w:tc>
          <w:tcPr>
            <w:tcW w:w="2709" w:type="dxa"/>
            <w:tcBorders>
              <w:top w:val="single" w:sz="4" w:space="0" w:color="B66012"/>
              <w:bottom w:val="single" w:sz="4" w:space="0" w:color="B66012"/>
            </w:tcBorders>
          </w:tcPr>
          <w:p>
            <w:pPr>
              <w:pStyle w:val="TableParagraph"/>
              <w:spacing w:line="312" w:lineRule="auto" w:before="176"/>
              <w:ind w:left="146" w:right="420"/>
              <w:jc w:val="both"/>
              <w:rPr>
                <w:sz w:val="22"/>
              </w:rPr>
            </w:pPr>
            <w:r>
              <w:rPr>
                <w:sz w:val="22"/>
              </w:rPr>
              <w:t>The procedure must be performed under image guidance</w:t>
            </w:r>
          </w:p>
        </w:tc>
        <w:tc>
          <w:tcPr>
            <w:tcW w:w="3815" w:type="dxa"/>
            <w:tcBorders>
              <w:top w:val="single" w:sz="4" w:space="0" w:color="B66012"/>
              <w:bottom w:val="single" w:sz="4" w:space="0" w:color="B66012"/>
            </w:tcBorders>
          </w:tcPr>
          <w:p>
            <w:pPr>
              <w:pStyle w:val="TableParagraph"/>
              <w:spacing w:line="312" w:lineRule="auto" w:before="176"/>
              <w:ind w:left="300" w:right="466"/>
              <w:rPr>
                <w:sz w:val="22"/>
              </w:rPr>
            </w:pPr>
            <w:r>
              <w:rPr>
                <w:sz w:val="22"/>
              </w:rPr>
              <w:t>Clarifies what is considered as the ‘primary branch’ of the trigeminal</w:t>
            </w:r>
          </w:p>
        </w:tc>
      </w:tr>
    </w:tbl>
    <w:p>
      <w:pPr>
        <w:spacing w:after="0" w:line="312" w:lineRule="auto"/>
        <w:rPr>
          <w:sz w:val="22"/>
        </w:rPr>
        <w:sectPr>
          <w:pgSz w:w="16840" w:h="11910" w:orient="landscape"/>
          <w:pgMar w:header="0" w:footer="722" w:top="1180" w:bottom="920" w:left="1000" w:right="1640"/>
        </w:sectPr>
      </w:pPr>
    </w:p>
    <w:p>
      <w:pPr>
        <w:pStyle w:val="BodyText"/>
        <w:rPr>
          <w:b/>
          <w:i/>
          <w:sz w:val="20"/>
        </w:rPr>
      </w:pPr>
    </w:p>
    <w:p>
      <w:pPr>
        <w:pStyle w:val="BodyText"/>
        <w:rPr>
          <w:b/>
          <w:i/>
          <w:sz w:val="20"/>
        </w:rPr>
      </w:pPr>
    </w:p>
    <w:p>
      <w:pPr>
        <w:pStyle w:val="BodyText"/>
        <w:spacing w:before="7"/>
        <w:rPr>
          <w:b/>
          <w:i/>
          <w:sz w:val="10"/>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7"/>
        <w:gridCol w:w="3766"/>
        <w:gridCol w:w="2736"/>
        <w:gridCol w:w="2949"/>
        <w:gridCol w:w="3660"/>
      </w:tblGrid>
      <w:tr>
        <w:trPr>
          <w:trHeight w:val="1984" w:hRule="atLeast"/>
        </w:trPr>
        <w:tc>
          <w:tcPr>
            <w:tcW w:w="857" w:type="dxa"/>
            <w:tcBorders>
              <w:top w:val="single" w:sz="4" w:space="0" w:color="B66012"/>
              <w:bottom w:val="single" w:sz="4" w:space="0" w:color="B66012"/>
            </w:tcBorders>
          </w:tcPr>
          <w:p>
            <w:pPr>
              <w:pStyle w:val="TableParagraph"/>
              <w:rPr>
                <w:rFonts w:ascii="Times New Roman"/>
                <w:sz w:val="20"/>
              </w:rPr>
            </w:pPr>
          </w:p>
        </w:tc>
        <w:tc>
          <w:tcPr>
            <w:tcW w:w="3766" w:type="dxa"/>
            <w:tcBorders>
              <w:top w:val="single" w:sz="4" w:space="0" w:color="B66012"/>
              <w:bottom w:val="single" w:sz="4" w:space="0" w:color="B66012"/>
            </w:tcBorders>
          </w:tcPr>
          <w:p>
            <w:pPr>
              <w:pStyle w:val="TableParagraph"/>
              <w:spacing w:line="312" w:lineRule="auto"/>
              <w:ind w:left="183" w:right="119"/>
              <w:jc w:val="both"/>
              <w:rPr>
                <w:sz w:val="22"/>
              </w:rPr>
            </w:pPr>
            <w:r>
              <w:rPr>
                <w:sz w:val="22"/>
              </w:rPr>
              <w:t>chewing (the trigeminal nerve), with a substance that will damage the nerve (alcohol or phenol) or a substance that will decrease inflammation (cortisone)</w:t>
            </w:r>
          </w:p>
          <w:p>
            <w:pPr>
              <w:pStyle w:val="TableParagraph"/>
              <w:spacing w:before="177"/>
              <w:ind w:left="183"/>
              <w:jc w:val="both"/>
              <w:rPr>
                <w:sz w:val="22"/>
              </w:rPr>
            </w:pPr>
            <w:r>
              <w:rPr>
                <w:sz w:val="22"/>
              </w:rPr>
              <w:t>This is done to treat chronic pain</w:t>
            </w:r>
          </w:p>
        </w:tc>
        <w:tc>
          <w:tcPr>
            <w:tcW w:w="2736" w:type="dxa"/>
            <w:tcBorders>
              <w:top w:val="single" w:sz="4" w:space="0" w:color="B66012"/>
              <w:bottom w:val="single" w:sz="4" w:space="0" w:color="B66012"/>
            </w:tcBorders>
          </w:tcPr>
          <w:p>
            <w:pPr>
              <w:pStyle w:val="TableParagraph"/>
              <w:spacing w:line="312" w:lineRule="auto"/>
              <w:ind w:left="120" w:right="315"/>
              <w:rPr>
                <w:sz w:val="22"/>
              </w:rPr>
            </w:pPr>
            <w:r>
              <w:rPr>
                <w:sz w:val="22"/>
              </w:rPr>
              <w:t>identify the three specific branches</w:t>
            </w:r>
          </w:p>
        </w:tc>
        <w:tc>
          <w:tcPr>
            <w:tcW w:w="2949" w:type="dxa"/>
            <w:tcBorders>
              <w:top w:val="single" w:sz="4" w:space="0" w:color="B66012"/>
              <w:bottom w:val="single" w:sz="4" w:space="0" w:color="B66012"/>
            </w:tcBorders>
          </w:tcPr>
          <w:p>
            <w:pPr>
              <w:pStyle w:val="TableParagraph"/>
              <w:rPr>
                <w:rFonts w:ascii="Times New Roman"/>
                <w:sz w:val="20"/>
              </w:rPr>
            </w:pPr>
          </w:p>
        </w:tc>
        <w:tc>
          <w:tcPr>
            <w:tcW w:w="3660" w:type="dxa"/>
            <w:tcBorders>
              <w:top w:val="single" w:sz="4" w:space="0" w:color="B66012"/>
              <w:bottom w:val="single" w:sz="4" w:space="0" w:color="B66012"/>
            </w:tcBorders>
          </w:tcPr>
          <w:p>
            <w:pPr>
              <w:pStyle w:val="TableParagraph"/>
              <w:spacing w:line="312" w:lineRule="auto"/>
              <w:ind w:left="145" w:right="756"/>
              <w:rPr>
                <w:sz w:val="22"/>
              </w:rPr>
            </w:pPr>
            <w:r>
              <w:rPr>
                <w:sz w:val="22"/>
              </w:rPr>
              <w:t>nerve as there are three major branches</w:t>
            </w:r>
          </w:p>
          <w:p>
            <w:pPr>
              <w:pStyle w:val="TableParagraph"/>
              <w:spacing w:line="312" w:lineRule="auto" w:before="177"/>
              <w:ind w:left="145" w:right="721"/>
              <w:rPr>
                <w:sz w:val="22"/>
              </w:rPr>
            </w:pPr>
            <w:r>
              <w:rPr>
                <w:sz w:val="22"/>
              </w:rPr>
              <w:t>Adding ‘under image guidance’ improves safety for patients</w:t>
            </w:r>
          </w:p>
        </w:tc>
      </w:tr>
      <w:tr>
        <w:trPr>
          <w:trHeight w:val="1118" w:hRule="atLeast"/>
        </w:trPr>
        <w:tc>
          <w:tcPr>
            <w:tcW w:w="13968" w:type="dxa"/>
            <w:gridSpan w:val="5"/>
            <w:tcBorders>
              <w:top w:val="single" w:sz="4" w:space="0" w:color="B66012"/>
              <w:bottom w:val="single" w:sz="4" w:space="0" w:color="B66012"/>
            </w:tcBorders>
          </w:tcPr>
          <w:p>
            <w:pPr>
              <w:pStyle w:val="TableParagraph"/>
              <w:rPr>
                <w:b/>
                <w:i/>
                <w:sz w:val="22"/>
              </w:rPr>
            </w:pPr>
          </w:p>
          <w:p>
            <w:pPr>
              <w:pStyle w:val="TableParagraph"/>
              <w:rPr>
                <w:b/>
                <w:i/>
                <w:sz w:val="22"/>
              </w:rPr>
            </w:pPr>
          </w:p>
          <w:p>
            <w:pPr>
              <w:pStyle w:val="TableParagraph"/>
              <w:tabs>
                <w:tab w:pos="2434" w:val="left" w:leader="none"/>
              </w:tabs>
              <w:spacing w:before="170"/>
              <w:ind w:left="115"/>
              <w:rPr>
                <w:b/>
                <w:i/>
                <w:sz w:val="22"/>
              </w:rPr>
            </w:pPr>
            <w:r>
              <w:rPr>
                <w:b/>
                <w:i/>
                <w:sz w:val="22"/>
              </w:rPr>
              <w:t>Recommendation</w:t>
            </w:r>
            <w:r>
              <w:rPr>
                <w:b/>
                <w:i/>
                <w:spacing w:val="-2"/>
                <w:sz w:val="22"/>
              </w:rPr>
              <w:t> </w:t>
            </w:r>
            <w:r>
              <w:rPr>
                <w:b/>
                <w:i/>
                <w:sz w:val="22"/>
              </w:rPr>
              <w:t>11:</w:t>
              <w:tab/>
              <w:t>Clarifying item 39118 - percutaneous</w:t>
            </w:r>
            <w:r>
              <w:rPr>
                <w:b/>
                <w:i/>
                <w:spacing w:val="-5"/>
                <w:sz w:val="22"/>
              </w:rPr>
              <w:t> </w:t>
            </w:r>
            <w:r>
              <w:rPr>
                <w:b/>
                <w:i/>
                <w:sz w:val="22"/>
              </w:rPr>
              <w:t>neurotomy</w:t>
            </w:r>
          </w:p>
        </w:tc>
      </w:tr>
      <w:tr>
        <w:trPr>
          <w:trHeight w:val="937" w:hRule="atLeast"/>
        </w:trPr>
        <w:tc>
          <w:tcPr>
            <w:tcW w:w="857" w:type="dxa"/>
            <w:tcBorders>
              <w:top w:val="single" w:sz="4" w:space="0" w:color="B66012"/>
              <w:bottom w:val="single" w:sz="4" w:space="0" w:color="B66012"/>
            </w:tcBorders>
            <w:shd w:val="clear" w:color="auto" w:fill="CC6600"/>
          </w:tcPr>
          <w:p>
            <w:pPr>
              <w:pStyle w:val="TableParagraph"/>
              <w:spacing w:before="179"/>
              <w:ind w:left="115"/>
              <w:rPr>
                <w:b/>
                <w:sz w:val="22"/>
              </w:rPr>
            </w:pPr>
            <w:r>
              <w:rPr>
                <w:b/>
                <w:sz w:val="22"/>
              </w:rPr>
              <w:t>Item</w:t>
            </w:r>
          </w:p>
        </w:tc>
        <w:tc>
          <w:tcPr>
            <w:tcW w:w="3766" w:type="dxa"/>
            <w:tcBorders>
              <w:top w:val="single" w:sz="4" w:space="0" w:color="B66012"/>
              <w:bottom w:val="single" w:sz="4" w:space="0" w:color="B66012"/>
            </w:tcBorders>
            <w:shd w:val="clear" w:color="auto" w:fill="CC6600"/>
          </w:tcPr>
          <w:p>
            <w:pPr>
              <w:pStyle w:val="TableParagraph"/>
              <w:spacing w:before="179"/>
              <w:ind w:left="183"/>
              <w:rPr>
                <w:b/>
                <w:sz w:val="22"/>
              </w:rPr>
            </w:pPr>
            <w:r>
              <w:rPr>
                <w:b/>
                <w:sz w:val="22"/>
              </w:rPr>
              <w:t>What it does</w:t>
            </w:r>
          </w:p>
        </w:tc>
        <w:tc>
          <w:tcPr>
            <w:tcW w:w="2736" w:type="dxa"/>
            <w:tcBorders>
              <w:top w:val="single" w:sz="4" w:space="0" w:color="B66012"/>
              <w:bottom w:val="single" w:sz="4" w:space="0" w:color="B66012"/>
            </w:tcBorders>
            <w:shd w:val="clear" w:color="auto" w:fill="CC6600"/>
          </w:tcPr>
          <w:p>
            <w:pPr>
              <w:pStyle w:val="TableParagraph"/>
              <w:spacing w:line="312" w:lineRule="auto" w:before="179"/>
              <w:ind w:left="120" w:right="1016"/>
              <w:rPr>
                <w:b/>
                <w:sz w:val="22"/>
              </w:rPr>
            </w:pPr>
            <w:r>
              <w:rPr>
                <w:b/>
                <w:sz w:val="22"/>
              </w:rPr>
              <w:t>Committee recommendation</w:t>
            </w:r>
          </w:p>
        </w:tc>
        <w:tc>
          <w:tcPr>
            <w:tcW w:w="2949" w:type="dxa"/>
            <w:tcBorders>
              <w:top w:val="single" w:sz="4" w:space="0" w:color="B66012"/>
              <w:bottom w:val="single" w:sz="4" w:space="0" w:color="B66012"/>
            </w:tcBorders>
            <w:shd w:val="clear" w:color="auto" w:fill="CC6600"/>
          </w:tcPr>
          <w:p>
            <w:pPr>
              <w:pStyle w:val="TableParagraph"/>
              <w:spacing w:before="179"/>
              <w:ind w:left="231"/>
              <w:rPr>
                <w:b/>
                <w:sz w:val="22"/>
              </w:rPr>
            </w:pPr>
            <w:r>
              <w:rPr>
                <w:b/>
                <w:sz w:val="22"/>
              </w:rPr>
              <w:t>What would be different</w:t>
            </w:r>
          </w:p>
        </w:tc>
        <w:tc>
          <w:tcPr>
            <w:tcW w:w="3660" w:type="dxa"/>
            <w:tcBorders>
              <w:top w:val="single" w:sz="4" w:space="0" w:color="B66012"/>
              <w:bottom w:val="single" w:sz="4" w:space="0" w:color="B66012"/>
            </w:tcBorders>
            <w:shd w:val="clear" w:color="auto" w:fill="CC6600"/>
          </w:tcPr>
          <w:p>
            <w:pPr>
              <w:pStyle w:val="TableParagraph"/>
              <w:spacing w:before="179"/>
              <w:ind w:left="145"/>
              <w:rPr>
                <w:b/>
                <w:sz w:val="22"/>
              </w:rPr>
            </w:pPr>
            <w:r>
              <w:rPr>
                <w:b/>
                <w:sz w:val="22"/>
              </w:rPr>
              <w:t>Why</w:t>
            </w:r>
          </w:p>
        </w:tc>
      </w:tr>
      <w:tr>
        <w:trPr>
          <w:trHeight w:val="3744" w:hRule="atLeast"/>
        </w:trPr>
        <w:tc>
          <w:tcPr>
            <w:tcW w:w="857" w:type="dxa"/>
            <w:tcBorders>
              <w:top w:val="single" w:sz="4" w:space="0" w:color="B66012"/>
              <w:bottom w:val="single" w:sz="4" w:space="0" w:color="B66012"/>
            </w:tcBorders>
          </w:tcPr>
          <w:p>
            <w:pPr>
              <w:pStyle w:val="TableParagraph"/>
              <w:spacing w:before="179"/>
              <w:ind w:left="115"/>
              <w:rPr>
                <w:b/>
                <w:sz w:val="22"/>
              </w:rPr>
            </w:pPr>
            <w:r>
              <w:rPr>
                <w:b/>
                <w:sz w:val="22"/>
              </w:rPr>
              <w:t>39118</w:t>
            </w:r>
          </w:p>
        </w:tc>
        <w:tc>
          <w:tcPr>
            <w:tcW w:w="3766" w:type="dxa"/>
            <w:tcBorders>
              <w:top w:val="single" w:sz="4" w:space="0" w:color="B66012"/>
              <w:bottom w:val="single" w:sz="4" w:space="0" w:color="B66012"/>
            </w:tcBorders>
          </w:tcPr>
          <w:p>
            <w:pPr>
              <w:pStyle w:val="TableParagraph"/>
              <w:spacing w:line="312" w:lineRule="auto" w:before="179"/>
              <w:ind w:left="183" w:right="133"/>
              <w:rPr>
                <w:sz w:val="22"/>
              </w:rPr>
            </w:pPr>
            <w:r>
              <w:rPr>
                <w:sz w:val="22"/>
              </w:rPr>
              <w:t>Using radiowaves or freezing directed through needles in the skin to temporarily block the nerves that go to one of the small joints at the side of the spine (facet</w:t>
            </w:r>
            <w:r>
              <w:rPr>
                <w:spacing w:val="-2"/>
                <w:sz w:val="22"/>
              </w:rPr>
              <w:t> </w:t>
            </w:r>
            <w:r>
              <w:rPr>
                <w:sz w:val="22"/>
              </w:rPr>
              <w:t>joints).</w:t>
            </w:r>
          </w:p>
          <w:p>
            <w:pPr>
              <w:pStyle w:val="TableParagraph"/>
              <w:spacing w:line="312" w:lineRule="auto" w:before="179"/>
              <w:ind w:left="183" w:right="491"/>
              <w:rPr>
                <w:sz w:val="22"/>
              </w:rPr>
            </w:pPr>
            <w:r>
              <w:rPr>
                <w:sz w:val="22"/>
              </w:rPr>
              <w:t>A scan is done at the same time to guide the procedure.</w:t>
            </w:r>
          </w:p>
          <w:p>
            <w:pPr>
              <w:pStyle w:val="TableParagraph"/>
              <w:spacing w:line="312" w:lineRule="auto" w:before="181"/>
              <w:ind w:left="183" w:right="217"/>
              <w:rPr>
                <w:sz w:val="22"/>
              </w:rPr>
            </w:pPr>
            <w:r>
              <w:rPr>
                <w:sz w:val="22"/>
              </w:rPr>
              <w:t>This is used to treat chronic or cancer pain.</w:t>
            </w:r>
          </w:p>
        </w:tc>
        <w:tc>
          <w:tcPr>
            <w:tcW w:w="2736" w:type="dxa"/>
            <w:tcBorders>
              <w:top w:val="single" w:sz="4" w:space="0" w:color="B66012"/>
              <w:bottom w:val="single" w:sz="4" w:space="0" w:color="B66012"/>
            </w:tcBorders>
          </w:tcPr>
          <w:p>
            <w:pPr>
              <w:pStyle w:val="TableParagraph"/>
              <w:spacing w:line="312" w:lineRule="auto" w:before="179"/>
              <w:ind w:left="120" w:right="373"/>
              <w:rPr>
                <w:sz w:val="22"/>
              </w:rPr>
            </w:pPr>
            <w:r>
              <w:rPr>
                <w:sz w:val="22"/>
              </w:rPr>
              <w:t>Remove assistant fees associated with this item</w:t>
            </w:r>
          </w:p>
          <w:p>
            <w:pPr>
              <w:pStyle w:val="TableParagraph"/>
              <w:spacing w:line="312" w:lineRule="auto" w:before="180"/>
              <w:ind w:left="120" w:right="294"/>
              <w:rPr>
                <w:sz w:val="22"/>
              </w:rPr>
            </w:pPr>
            <w:r>
              <w:rPr>
                <w:sz w:val="22"/>
              </w:rPr>
              <w:t>Create (6) new items for spine regions and sides of the body</w:t>
            </w:r>
          </w:p>
          <w:p>
            <w:pPr>
              <w:pStyle w:val="TableParagraph"/>
              <w:spacing w:line="312" w:lineRule="auto" w:before="179"/>
              <w:ind w:left="120" w:right="216"/>
              <w:rPr>
                <w:sz w:val="22"/>
              </w:rPr>
            </w:pPr>
            <w:r>
              <w:rPr>
                <w:sz w:val="22"/>
              </w:rPr>
              <w:t>Restrict to three episodes per year for each region of the spine and side of the body</w:t>
            </w:r>
          </w:p>
        </w:tc>
        <w:tc>
          <w:tcPr>
            <w:tcW w:w="2949" w:type="dxa"/>
            <w:tcBorders>
              <w:top w:val="single" w:sz="4" w:space="0" w:color="B66012"/>
              <w:bottom w:val="single" w:sz="4" w:space="0" w:color="B66012"/>
            </w:tcBorders>
          </w:tcPr>
          <w:p>
            <w:pPr>
              <w:pStyle w:val="TableParagraph"/>
              <w:spacing w:line="312" w:lineRule="auto" w:before="179"/>
              <w:ind w:left="231" w:right="126"/>
              <w:rPr>
                <w:sz w:val="22"/>
              </w:rPr>
            </w:pPr>
            <w:r>
              <w:rPr>
                <w:sz w:val="22"/>
              </w:rPr>
              <w:t>All new items will be created in order to restrict the level of services able to be performed in a 12 month period to left and right sides of the body, and spinal region (Cervical, Thoracic, Lumbar and Sacral).</w:t>
            </w:r>
          </w:p>
        </w:tc>
        <w:tc>
          <w:tcPr>
            <w:tcW w:w="3660" w:type="dxa"/>
            <w:tcBorders>
              <w:top w:val="single" w:sz="4" w:space="0" w:color="B66012"/>
              <w:bottom w:val="single" w:sz="4" w:space="0" w:color="B66012"/>
            </w:tcBorders>
          </w:tcPr>
          <w:p>
            <w:pPr>
              <w:pStyle w:val="TableParagraph"/>
              <w:spacing w:line="312" w:lineRule="auto" w:before="179"/>
              <w:ind w:left="145" w:right="123"/>
              <w:rPr>
                <w:sz w:val="22"/>
              </w:rPr>
            </w:pPr>
            <w:r>
              <w:rPr>
                <w:sz w:val="22"/>
              </w:rPr>
              <w:t>The surgical three-item rule is designed to encourage procedures are performed over multiple days, therefore restricting claiming for this procedure to four procedures in a calendar year for a specified pain region will encourage quality patient experience and safety and ensure that the MBS aligns with best practice professional</w:t>
            </w:r>
            <w:r>
              <w:rPr>
                <w:spacing w:val="-1"/>
                <w:sz w:val="22"/>
              </w:rPr>
              <w:t> </w:t>
            </w:r>
            <w:r>
              <w:rPr>
                <w:sz w:val="22"/>
              </w:rPr>
              <w:t>standards</w:t>
            </w:r>
          </w:p>
        </w:tc>
      </w:tr>
    </w:tbl>
    <w:p>
      <w:pPr>
        <w:spacing w:after="0" w:line="312" w:lineRule="auto"/>
        <w:rPr>
          <w:sz w:val="22"/>
        </w:rPr>
        <w:sectPr>
          <w:pgSz w:w="16840" w:h="11910" w:orient="landscape"/>
          <w:pgMar w:header="0" w:footer="722" w:top="1180" w:bottom="920" w:left="1000" w:right="1640"/>
        </w:sectPr>
      </w:pPr>
    </w:p>
    <w:p>
      <w:pPr>
        <w:pStyle w:val="BodyText"/>
        <w:rPr>
          <w:b/>
          <w:i/>
          <w:sz w:val="20"/>
        </w:rPr>
      </w:pPr>
    </w:p>
    <w:p>
      <w:pPr>
        <w:pStyle w:val="BodyText"/>
        <w:rPr>
          <w:b/>
          <w:i/>
          <w:sz w:val="20"/>
        </w:rPr>
      </w:pPr>
    </w:p>
    <w:p>
      <w:pPr>
        <w:pStyle w:val="BodyText"/>
        <w:spacing w:before="7"/>
        <w:rPr>
          <w:b/>
          <w:i/>
          <w:sz w:val="10"/>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7"/>
        <w:gridCol w:w="3748"/>
        <w:gridCol w:w="2863"/>
        <w:gridCol w:w="2871"/>
        <w:gridCol w:w="3629"/>
      </w:tblGrid>
      <w:tr>
        <w:trPr>
          <w:trHeight w:val="3153" w:hRule="atLeast"/>
        </w:trPr>
        <w:tc>
          <w:tcPr>
            <w:tcW w:w="857" w:type="dxa"/>
            <w:tcBorders>
              <w:top w:val="single" w:sz="4" w:space="0" w:color="B66012"/>
              <w:bottom w:val="single" w:sz="4" w:space="0" w:color="B66012"/>
            </w:tcBorders>
          </w:tcPr>
          <w:p>
            <w:pPr>
              <w:pStyle w:val="TableParagraph"/>
              <w:rPr>
                <w:rFonts w:ascii="Times New Roman"/>
                <w:sz w:val="20"/>
              </w:rPr>
            </w:pPr>
          </w:p>
        </w:tc>
        <w:tc>
          <w:tcPr>
            <w:tcW w:w="3748" w:type="dxa"/>
            <w:tcBorders>
              <w:top w:val="single" w:sz="4" w:space="0" w:color="B66012"/>
              <w:bottom w:val="single" w:sz="4" w:space="0" w:color="B66012"/>
            </w:tcBorders>
          </w:tcPr>
          <w:p>
            <w:pPr>
              <w:pStyle w:val="TableParagraph"/>
              <w:rPr>
                <w:rFonts w:ascii="Times New Roman"/>
                <w:sz w:val="20"/>
              </w:rPr>
            </w:pPr>
          </w:p>
        </w:tc>
        <w:tc>
          <w:tcPr>
            <w:tcW w:w="2863" w:type="dxa"/>
            <w:tcBorders>
              <w:top w:val="single" w:sz="4" w:space="0" w:color="B66012"/>
              <w:bottom w:val="single" w:sz="4" w:space="0" w:color="B66012"/>
            </w:tcBorders>
          </w:tcPr>
          <w:p>
            <w:pPr>
              <w:pStyle w:val="TableParagraph"/>
              <w:spacing w:line="312" w:lineRule="auto" w:before="116"/>
              <w:ind w:left="138" w:right="159"/>
              <w:rPr>
                <w:sz w:val="22"/>
              </w:rPr>
            </w:pPr>
            <w:r>
              <w:rPr>
                <w:sz w:val="22"/>
              </w:rPr>
              <w:t>Change wording from ‘facet’ to ‘zygapophyseal’ joint to achieve consistent wording with item 39013</w:t>
            </w:r>
          </w:p>
          <w:p>
            <w:pPr>
              <w:pStyle w:val="TableParagraph"/>
              <w:spacing w:before="181"/>
              <w:ind w:left="138"/>
              <w:rPr>
                <w:sz w:val="22"/>
              </w:rPr>
            </w:pPr>
            <w:r>
              <w:rPr>
                <w:sz w:val="22"/>
              </w:rPr>
              <w:t>Review in 2 years.</w:t>
            </w:r>
          </w:p>
        </w:tc>
        <w:tc>
          <w:tcPr>
            <w:tcW w:w="2871" w:type="dxa"/>
            <w:tcBorders>
              <w:top w:val="single" w:sz="4" w:space="0" w:color="B66012"/>
              <w:bottom w:val="single" w:sz="4" w:space="0" w:color="B66012"/>
            </w:tcBorders>
          </w:tcPr>
          <w:p>
            <w:pPr>
              <w:pStyle w:val="TableParagraph"/>
              <w:rPr>
                <w:rFonts w:ascii="Times New Roman"/>
                <w:sz w:val="20"/>
              </w:rPr>
            </w:pPr>
          </w:p>
        </w:tc>
        <w:tc>
          <w:tcPr>
            <w:tcW w:w="3629" w:type="dxa"/>
            <w:tcBorders>
              <w:top w:val="single" w:sz="4" w:space="0" w:color="B66012"/>
              <w:bottom w:val="single" w:sz="4" w:space="0" w:color="B66012"/>
            </w:tcBorders>
          </w:tcPr>
          <w:p>
            <w:pPr>
              <w:pStyle w:val="TableParagraph"/>
              <w:spacing w:line="312" w:lineRule="auto" w:before="116"/>
              <w:ind w:left="114" w:right="507"/>
              <w:rPr>
                <w:sz w:val="22"/>
              </w:rPr>
            </w:pPr>
            <w:r>
              <w:rPr>
                <w:sz w:val="22"/>
              </w:rPr>
              <w:t>There is little evidence to support that pulsed radio-frequency is of lasting benefit for medial branch radio-frequency</w:t>
            </w:r>
          </w:p>
          <w:p>
            <w:pPr>
              <w:pStyle w:val="TableParagraph"/>
              <w:spacing w:line="312" w:lineRule="auto" w:before="181"/>
              <w:ind w:left="114" w:right="167"/>
              <w:rPr>
                <w:sz w:val="22"/>
              </w:rPr>
            </w:pPr>
            <w:r>
              <w:rPr>
                <w:sz w:val="22"/>
              </w:rPr>
              <w:t>The Committee does not believe that an assistant is needed for this procedure and patient safety will be maintained without it.</w:t>
            </w:r>
          </w:p>
        </w:tc>
      </w:tr>
      <w:tr>
        <w:trPr>
          <w:trHeight w:val="587" w:hRule="atLeast"/>
        </w:trPr>
        <w:tc>
          <w:tcPr>
            <w:tcW w:w="13968" w:type="dxa"/>
            <w:gridSpan w:val="5"/>
            <w:tcBorders>
              <w:top w:val="single" w:sz="4" w:space="0" w:color="B66012"/>
              <w:bottom w:val="single" w:sz="4" w:space="0" w:color="B66012"/>
            </w:tcBorders>
          </w:tcPr>
          <w:p>
            <w:pPr>
              <w:pStyle w:val="TableParagraph"/>
              <w:tabs>
                <w:tab w:pos="2434" w:val="left" w:leader="none"/>
              </w:tabs>
              <w:spacing w:before="176"/>
              <w:ind w:left="115"/>
              <w:rPr>
                <w:b/>
                <w:i/>
                <w:sz w:val="22"/>
              </w:rPr>
            </w:pPr>
            <w:r>
              <w:rPr>
                <w:b/>
                <w:i/>
                <w:sz w:val="22"/>
              </w:rPr>
              <w:t>Recommendation</w:t>
            </w:r>
            <w:r>
              <w:rPr>
                <w:b/>
                <w:i/>
                <w:spacing w:val="-2"/>
                <w:sz w:val="22"/>
              </w:rPr>
              <w:t> </w:t>
            </w:r>
            <w:r>
              <w:rPr>
                <w:b/>
                <w:i/>
                <w:sz w:val="22"/>
              </w:rPr>
              <w:t>12:</w:t>
              <w:tab/>
              <w:t>Reflecting best practice in item 39323 - percutaneous</w:t>
            </w:r>
            <w:r>
              <w:rPr>
                <w:b/>
                <w:i/>
                <w:spacing w:val="-11"/>
                <w:sz w:val="22"/>
              </w:rPr>
              <w:t> </w:t>
            </w:r>
            <w:r>
              <w:rPr>
                <w:b/>
                <w:i/>
                <w:sz w:val="22"/>
              </w:rPr>
              <w:t>neurotomy</w:t>
            </w:r>
          </w:p>
        </w:tc>
      </w:tr>
      <w:tr>
        <w:trPr>
          <w:trHeight w:val="937" w:hRule="atLeast"/>
        </w:trPr>
        <w:tc>
          <w:tcPr>
            <w:tcW w:w="857" w:type="dxa"/>
            <w:tcBorders>
              <w:top w:val="single" w:sz="4" w:space="0" w:color="B66012"/>
              <w:bottom w:val="single" w:sz="4" w:space="0" w:color="B66012"/>
            </w:tcBorders>
            <w:shd w:val="clear" w:color="auto" w:fill="CC6600"/>
          </w:tcPr>
          <w:p>
            <w:pPr>
              <w:pStyle w:val="TableParagraph"/>
              <w:spacing w:before="176"/>
              <w:ind w:left="115"/>
              <w:rPr>
                <w:b/>
                <w:sz w:val="22"/>
              </w:rPr>
            </w:pPr>
            <w:r>
              <w:rPr>
                <w:b/>
                <w:sz w:val="22"/>
              </w:rPr>
              <w:t>Item</w:t>
            </w:r>
          </w:p>
        </w:tc>
        <w:tc>
          <w:tcPr>
            <w:tcW w:w="3748" w:type="dxa"/>
            <w:tcBorders>
              <w:top w:val="single" w:sz="4" w:space="0" w:color="B66012"/>
              <w:bottom w:val="single" w:sz="4" w:space="0" w:color="B66012"/>
            </w:tcBorders>
            <w:shd w:val="clear" w:color="auto" w:fill="CC6600"/>
          </w:tcPr>
          <w:p>
            <w:pPr>
              <w:pStyle w:val="TableParagraph"/>
              <w:spacing w:before="176"/>
              <w:ind w:left="183"/>
              <w:rPr>
                <w:b/>
                <w:sz w:val="22"/>
              </w:rPr>
            </w:pPr>
            <w:r>
              <w:rPr>
                <w:b/>
                <w:sz w:val="22"/>
              </w:rPr>
              <w:t>What it does</w:t>
            </w:r>
          </w:p>
        </w:tc>
        <w:tc>
          <w:tcPr>
            <w:tcW w:w="2863" w:type="dxa"/>
            <w:tcBorders>
              <w:top w:val="single" w:sz="4" w:space="0" w:color="B66012"/>
              <w:bottom w:val="single" w:sz="4" w:space="0" w:color="B66012"/>
            </w:tcBorders>
            <w:shd w:val="clear" w:color="auto" w:fill="CC6600"/>
          </w:tcPr>
          <w:p>
            <w:pPr>
              <w:pStyle w:val="TableParagraph"/>
              <w:spacing w:line="312" w:lineRule="auto" w:before="176"/>
              <w:ind w:left="138" w:right="1125"/>
              <w:rPr>
                <w:b/>
                <w:sz w:val="22"/>
              </w:rPr>
            </w:pPr>
            <w:r>
              <w:rPr>
                <w:b/>
                <w:sz w:val="22"/>
              </w:rPr>
              <w:t>Committee recommendation</w:t>
            </w:r>
          </w:p>
        </w:tc>
        <w:tc>
          <w:tcPr>
            <w:tcW w:w="2871" w:type="dxa"/>
            <w:tcBorders>
              <w:top w:val="single" w:sz="4" w:space="0" w:color="B66012"/>
              <w:bottom w:val="single" w:sz="4" w:space="0" w:color="B66012"/>
            </w:tcBorders>
            <w:shd w:val="clear" w:color="auto" w:fill="CC6600"/>
          </w:tcPr>
          <w:p>
            <w:pPr>
              <w:pStyle w:val="TableParagraph"/>
              <w:spacing w:before="176"/>
              <w:ind w:left="122"/>
              <w:rPr>
                <w:b/>
                <w:sz w:val="22"/>
              </w:rPr>
            </w:pPr>
            <w:r>
              <w:rPr>
                <w:b/>
                <w:sz w:val="22"/>
              </w:rPr>
              <w:t>What would be different</w:t>
            </w:r>
          </w:p>
        </w:tc>
        <w:tc>
          <w:tcPr>
            <w:tcW w:w="3629" w:type="dxa"/>
            <w:tcBorders>
              <w:top w:val="single" w:sz="4" w:space="0" w:color="B66012"/>
              <w:bottom w:val="single" w:sz="4" w:space="0" w:color="B66012"/>
            </w:tcBorders>
            <w:shd w:val="clear" w:color="auto" w:fill="CC6600"/>
          </w:tcPr>
          <w:p>
            <w:pPr>
              <w:pStyle w:val="TableParagraph"/>
              <w:spacing w:before="176"/>
              <w:ind w:left="114"/>
              <w:rPr>
                <w:b/>
                <w:sz w:val="22"/>
              </w:rPr>
            </w:pPr>
            <w:r>
              <w:rPr>
                <w:b/>
                <w:sz w:val="22"/>
              </w:rPr>
              <w:t>Why</w:t>
            </w:r>
          </w:p>
        </w:tc>
      </w:tr>
      <w:tr>
        <w:trPr>
          <w:trHeight w:val="3046" w:hRule="atLeast"/>
        </w:trPr>
        <w:tc>
          <w:tcPr>
            <w:tcW w:w="857" w:type="dxa"/>
            <w:tcBorders>
              <w:top w:val="single" w:sz="4" w:space="0" w:color="B66012"/>
              <w:bottom w:val="single" w:sz="4" w:space="0" w:color="B66012"/>
            </w:tcBorders>
          </w:tcPr>
          <w:p>
            <w:pPr>
              <w:pStyle w:val="TableParagraph"/>
              <w:spacing w:before="179"/>
              <w:ind w:left="115"/>
              <w:rPr>
                <w:b/>
                <w:sz w:val="22"/>
              </w:rPr>
            </w:pPr>
            <w:r>
              <w:rPr>
                <w:b/>
                <w:sz w:val="22"/>
              </w:rPr>
              <w:t>39323</w:t>
            </w:r>
          </w:p>
        </w:tc>
        <w:tc>
          <w:tcPr>
            <w:tcW w:w="3748" w:type="dxa"/>
            <w:tcBorders>
              <w:top w:val="single" w:sz="4" w:space="0" w:color="B66012"/>
              <w:bottom w:val="single" w:sz="4" w:space="0" w:color="B66012"/>
            </w:tcBorders>
          </w:tcPr>
          <w:p>
            <w:pPr>
              <w:pStyle w:val="TableParagraph"/>
              <w:spacing w:line="312" w:lineRule="auto" w:before="179"/>
              <w:ind w:left="183" w:right="121"/>
              <w:rPr>
                <w:sz w:val="22"/>
              </w:rPr>
            </w:pPr>
            <w:r>
              <w:rPr>
                <w:sz w:val="22"/>
              </w:rPr>
              <w:t>Using radio waves or freezing directed through the needles in the skin to temporarily block nerves</w:t>
            </w:r>
          </w:p>
          <w:p>
            <w:pPr>
              <w:pStyle w:val="TableParagraph"/>
              <w:spacing w:line="312" w:lineRule="auto" w:before="179"/>
              <w:ind w:left="183" w:right="357"/>
              <w:rPr>
                <w:sz w:val="22"/>
              </w:rPr>
            </w:pPr>
            <w:r>
              <w:rPr>
                <w:sz w:val="22"/>
              </w:rPr>
              <w:t>A scan is done at the same time to guide the procedure. This is used to treat chronic or cancer pain</w:t>
            </w:r>
          </w:p>
        </w:tc>
        <w:tc>
          <w:tcPr>
            <w:tcW w:w="2863" w:type="dxa"/>
            <w:tcBorders>
              <w:top w:val="single" w:sz="4" w:space="0" w:color="B66012"/>
              <w:bottom w:val="single" w:sz="4" w:space="0" w:color="B66012"/>
            </w:tcBorders>
          </w:tcPr>
          <w:p>
            <w:pPr>
              <w:pStyle w:val="TableParagraph"/>
              <w:spacing w:line="312" w:lineRule="auto" w:before="179"/>
              <w:ind w:left="138" w:right="105"/>
              <w:rPr>
                <w:sz w:val="22"/>
              </w:rPr>
            </w:pPr>
            <w:r>
              <w:rPr>
                <w:sz w:val="22"/>
              </w:rPr>
              <w:t>Limit number of repeat procedures to six procedures in a calendar year for a specified pain region</w:t>
            </w:r>
          </w:p>
          <w:p>
            <w:pPr>
              <w:pStyle w:val="TableParagraph"/>
              <w:spacing w:line="312" w:lineRule="auto" w:before="178"/>
              <w:ind w:left="138" w:right="634"/>
              <w:rPr>
                <w:sz w:val="22"/>
              </w:rPr>
            </w:pPr>
            <w:r>
              <w:rPr>
                <w:sz w:val="22"/>
              </w:rPr>
              <w:t>Exclude ‘medial branch nerve’</w:t>
            </w:r>
          </w:p>
          <w:p>
            <w:pPr>
              <w:pStyle w:val="TableParagraph"/>
              <w:spacing w:before="181"/>
              <w:ind w:left="138"/>
              <w:rPr>
                <w:sz w:val="22"/>
              </w:rPr>
            </w:pPr>
            <w:r>
              <w:rPr>
                <w:sz w:val="22"/>
              </w:rPr>
              <w:t>Remove assistant fee.</w:t>
            </w:r>
          </w:p>
        </w:tc>
        <w:tc>
          <w:tcPr>
            <w:tcW w:w="2871" w:type="dxa"/>
            <w:tcBorders>
              <w:top w:val="single" w:sz="4" w:space="0" w:color="B66012"/>
              <w:bottom w:val="single" w:sz="4" w:space="0" w:color="B66012"/>
            </w:tcBorders>
          </w:tcPr>
          <w:p>
            <w:pPr>
              <w:pStyle w:val="TableParagraph"/>
              <w:spacing w:line="312" w:lineRule="auto" w:before="179"/>
              <w:ind w:left="122" w:right="251"/>
              <w:rPr>
                <w:sz w:val="22"/>
              </w:rPr>
            </w:pPr>
            <w:r>
              <w:rPr>
                <w:sz w:val="22"/>
              </w:rPr>
              <w:t>Will only be claimable to a maximum of 6 episodes per year</w:t>
            </w:r>
          </w:p>
          <w:p>
            <w:pPr>
              <w:pStyle w:val="TableParagraph"/>
              <w:spacing w:line="312" w:lineRule="auto" w:before="179"/>
              <w:ind w:left="122" w:right="97"/>
              <w:rPr>
                <w:sz w:val="22"/>
              </w:rPr>
            </w:pPr>
            <w:r>
              <w:rPr>
                <w:sz w:val="22"/>
              </w:rPr>
              <w:t>An assistant will not be allowed to be claimed as part of this procedure</w:t>
            </w:r>
          </w:p>
        </w:tc>
        <w:tc>
          <w:tcPr>
            <w:tcW w:w="3629" w:type="dxa"/>
            <w:tcBorders>
              <w:top w:val="single" w:sz="4" w:space="0" w:color="B66012"/>
              <w:bottom w:val="single" w:sz="4" w:space="0" w:color="B66012"/>
            </w:tcBorders>
          </w:tcPr>
          <w:p>
            <w:pPr>
              <w:pStyle w:val="TableParagraph"/>
              <w:spacing w:line="312" w:lineRule="auto" w:before="179"/>
              <w:ind w:left="114" w:right="673"/>
              <w:rPr>
                <w:sz w:val="22"/>
              </w:rPr>
            </w:pPr>
            <w:r>
              <w:rPr>
                <w:sz w:val="22"/>
              </w:rPr>
              <w:t>Restrictions on episodes are for patient safety</w:t>
            </w:r>
          </w:p>
          <w:p>
            <w:pPr>
              <w:pStyle w:val="TableParagraph"/>
              <w:spacing w:line="312" w:lineRule="auto" w:before="178"/>
              <w:ind w:left="114" w:right="138"/>
              <w:rPr>
                <w:sz w:val="22"/>
              </w:rPr>
            </w:pPr>
            <w:r>
              <w:rPr>
                <w:sz w:val="22"/>
              </w:rPr>
              <w:t>It is not considered necessary that an assistant is needed for this procedure</w:t>
            </w:r>
          </w:p>
        </w:tc>
      </w:tr>
    </w:tbl>
    <w:p>
      <w:pPr>
        <w:spacing w:after="0" w:line="312" w:lineRule="auto"/>
        <w:rPr>
          <w:sz w:val="22"/>
        </w:rPr>
        <w:sectPr>
          <w:pgSz w:w="16840" w:h="11910" w:orient="landscape"/>
          <w:pgMar w:header="0" w:footer="722" w:top="1180" w:bottom="920" w:left="1000" w:right="1640"/>
        </w:sectPr>
      </w:pPr>
    </w:p>
    <w:p>
      <w:pPr>
        <w:pStyle w:val="BodyText"/>
        <w:rPr>
          <w:b/>
          <w:i/>
          <w:sz w:val="20"/>
        </w:rPr>
      </w:pPr>
    </w:p>
    <w:p>
      <w:pPr>
        <w:pStyle w:val="BodyText"/>
        <w:rPr>
          <w:b/>
          <w:i/>
          <w:sz w:val="20"/>
        </w:rPr>
      </w:pPr>
    </w:p>
    <w:p>
      <w:pPr>
        <w:pStyle w:val="BodyText"/>
        <w:spacing w:before="7"/>
        <w:rPr>
          <w:b/>
          <w:i/>
          <w:sz w:val="10"/>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5"/>
        <w:gridCol w:w="3734"/>
        <w:gridCol w:w="2731"/>
        <w:gridCol w:w="2942"/>
        <w:gridCol w:w="3674"/>
      </w:tblGrid>
      <w:tr>
        <w:trPr>
          <w:trHeight w:val="587" w:hRule="atLeast"/>
        </w:trPr>
        <w:tc>
          <w:tcPr>
            <w:tcW w:w="13966" w:type="dxa"/>
            <w:gridSpan w:val="5"/>
            <w:tcBorders>
              <w:top w:val="single" w:sz="4" w:space="0" w:color="B66012"/>
              <w:bottom w:val="single" w:sz="4" w:space="0" w:color="B66012"/>
            </w:tcBorders>
          </w:tcPr>
          <w:p>
            <w:pPr>
              <w:pStyle w:val="TableParagraph"/>
              <w:spacing w:before="176"/>
              <w:ind w:left="115"/>
              <w:rPr>
                <w:b/>
                <w:i/>
                <w:sz w:val="22"/>
              </w:rPr>
            </w:pPr>
            <w:r>
              <w:rPr>
                <w:b/>
                <w:i/>
                <w:sz w:val="22"/>
              </w:rPr>
              <w:t>Recommendation 13: Clarifying item 14218 - infusion pump refilling</w:t>
            </w:r>
          </w:p>
        </w:tc>
      </w:tr>
      <w:tr>
        <w:trPr>
          <w:trHeight w:val="937" w:hRule="atLeast"/>
        </w:trPr>
        <w:tc>
          <w:tcPr>
            <w:tcW w:w="885" w:type="dxa"/>
            <w:tcBorders>
              <w:top w:val="single" w:sz="4" w:space="0" w:color="B66012"/>
              <w:bottom w:val="single" w:sz="4" w:space="0" w:color="B66012"/>
            </w:tcBorders>
            <w:shd w:val="clear" w:color="auto" w:fill="CC6600"/>
          </w:tcPr>
          <w:p>
            <w:pPr>
              <w:pStyle w:val="TableParagraph"/>
              <w:spacing w:before="179"/>
              <w:ind w:left="115"/>
              <w:rPr>
                <w:b/>
                <w:sz w:val="22"/>
              </w:rPr>
            </w:pPr>
            <w:r>
              <w:rPr>
                <w:b/>
                <w:sz w:val="22"/>
              </w:rPr>
              <w:t>Item</w:t>
            </w:r>
          </w:p>
        </w:tc>
        <w:tc>
          <w:tcPr>
            <w:tcW w:w="3734" w:type="dxa"/>
            <w:tcBorders>
              <w:top w:val="single" w:sz="4" w:space="0" w:color="B66012"/>
              <w:bottom w:val="single" w:sz="4" w:space="0" w:color="B66012"/>
            </w:tcBorders>
            <w:shd w:val="clear" w:color="auto" w:fill="CC6600"/>
          </w:tcPr>
          <w:p>
            <w:pPr>
              <w:pStyle w:val="TableParagraph"/>
              <w:spacing w:before="179"/>
              <w:ind w:left="154"/>
              <w:rPr>
                <w:b/>
                <w:sz w:val="22"/>
              </w:rPr>
            </w:pPr>
            <w:r>
              <w:rPr>
                <w:b/>
                <w:sz w:val="22"/>
              </w:rPr>
              <w:t>What it does</w:t>
            </w:r>
          </w:p>
        </w:tc>
        <w:tc>
          <w:tcPr>
            <w:tcW w:w="2731" w:type="dxa"/>
            <w:tcBorders>
              <w:top w:val="single" w:sz="4" w:space="0" w:color="B66012"/>
              <w:bottom w:val="single" w:sz="4" w:space="0" w:color="B66012"/>
            </w:tcBorders>
            <w:shd w:val="clear" w:color="auto" w:fill="CC6600"/>
          </w:tcPr>
          <w:p>
            <w:pPr>
              <w:pStyle w:val="TableParagraph"/>
              <w:spacing w:line="312" w:lineRule="auto" w:before="179"/>
              <w:ind w:left="124" w:right="1007"/>
              <w:rPr>
                <w:b/>
                <w:sz w:val="22"/>
              </w:rPr>
            </w:pPr>
            <w:r>
              <w:rPr>
                <w:b/>
                <w:sz w:val="22"/>
              </w:rPr>
              <w:t>Committee recommendation</w:t>
            </w:r>
          </w:p>
        </w:tc>
        <w:tc>
          <w:tcPr>
            <w:tcW w:w="2942" w:type="dxa"/>
            <w:tcBorders>
              <w:top w:val="single" w:sz="4" w:space="0" w:color="B66012"/>
              <w:bottom w:val="single" w:sz="4" w:space="0" w:color="B66012"/>
            </w:tcBorders>
            <w:shd w:val="clear" w:color="auto" w:fill="CC6600"/>
          </w:tcPr>
          <w:p>
            <w:pPr>
              <w:pStyle w:val="TableParagraph"/>
              <w:spacing w:before="179"/>
              <w:ind w:left="239"/>
              <w:rPr>
                <w:b/>
                <w:sz w:val="22"/>
              </w:rPr>
            </w:pPr>
            <w:r>
              <w:rPr>
                <w:b/>
                <w:sz w:val="22"/>
              </w:rPr>
              <w:t>What would be different</w:t>
            </w:r>
          </w:p>
        </w:tc>
        <w:tc>
          <w:tcPr>
            <w:tcW w:w="3674" w:type="dxa"/>
            <w:tcBorders>
              <w:top w:val="single" w:sz="4" w:space="0" w:color="B66012"/>
              <w:bottom w:val="single" w:sz="4" w:space="0" w:color="B66012"/>
            </w:tcBorders>
            <w:shd w:val="clear" w:color="auto" w:fill="CC6600"/>
          </w:tcPr>
          <w:p>
            <w:pPr>
              <w:pStyle w:val="TableParagraph"/>
              <w:spacing w:before="179"/>
              <w:ind w:left="161"/>
              <w:rPr>
                <w:b/>
                <w:sz w:val="22"/>
              </w:rPr>
            </w:pPr>
            <w:r>
              <w:rPr>
                <w:b/>
                <w:sz w:val="22"/>
              </w:rPr>
              <w:t>Why</w:t>
            </w:r>
          </w:p>
        </w:tc>
      </w:tr>
      <w:tr>
        <w:trPr>
          <w:trHeight w:val="3213" w:hRule="atLeast"/>
        </w:trPr>
        <w:tc>
          <w:tcPr>
            <w:tcW w:w="885" w:type="dxa"/>
            <w:tcBorders>
              <w:top w:val="single" w:sz="4" w:space="0" w:color="B66012"/>
              <w:bottom w:val="single" w:sz="4" w:space="0" w:color="B66012"/>
            </w:tcBorders>
          </w:tcPr>
          <w:p>
            <w:pPr>
              <w:pStyle w:val="TableParagraph"/>
              <w:spacing w:before="179"/>
              <w:ind w:left="115"/>
              <w:rPr>
                <w:b/>
                <w:sz w:val="22"/>
              </w:rPr>
            </w:pPr>
            <w:r>
              <w:rPr>
                <w:b/>
                <w:sz w:val="22"/>
              </w:rPr>
              <w:t>14218</w:t>
            </w:r>
          </w:p>
        </w:tc>
        <w:tc>
          <w:tcPr>
            <w:tcW w:w="3734" w:type="dxa"/>
            <w:tcBorders>
              <w:top w:val="single" w:sz="4" w:space="0" w:color="B66012"/>
              <w:bottom w:val="single" w:sz="4" w:space="0" w:color="B66012"/>
            </w:tcBorders>
          </w:tcPr>
          <w:p>
            <w:pPr>
              <w:pStyle w:val="TableParagraph"/>
              <w:spacing w:line="312" w:lineRule="auto" w:before="179"/>
              <w:ind w:left="154" w:right="103"/>
              <w:rPr>
                <w:sz w:val="22"/>
              </w:rPr>
            </w:pPr>
            <w:r>
              <w:rPr>
                <w:sz w:val="22"/>
              </w:rPr>
              <w:t>Refilling the (long term) pump that sits under the skin and delivers medicine to the spinal cord to control chronic or cancer pain</w:t>
            </w:r>
          </w:p>
        </w:tc>
        <w:tc>
          <w:tcPr>
            <w:tcW w:w="2731" w:type="dxa"/>
            <w:tcBorders>
              <w:top w:val="single" w:sz="4" w:space="0" w:color="B66012"/>
              <w:bottom w:val="single" w:sz="4" w:space="0" w:color="B66012"/>
            </w:tcBorders>
          </w:tcPr>
          <w:p>
            <w:pPr>
              <w:pStyle w:val="TableParagraph"/>
              <w:spacing w:line="312" w:lineRule="auto" w:before="179"/>
              <w:ind w:left="124" w:right="218"/>
              <w:rPr>
                <w:sz w:val="22"/>
              </w:rPr>
            </w:pPr>
            <w:r>
              <w:rPr>
                <w:sz w:val="22"/>
              </w:rPr>
              <w:t>Removing ‘epidural’ and including ‘including cancer related pain’</w:t>
            </w:r>
          </w:p>
          <w:p>
            <w:pPr>
              <w:pStyle w:val="TableParagraph"/>
              <w:spacing w:line="312" w:lineRule="auto" w:before="179"/>
              <w:ind w:left="124" w:right="222"/>
              <w:rPr>
                <w:sz w:val="22"/>
              </w:rPr>
            </w:pPr>
            <w:r>
              <w:rPr>
                <w:sz w:val="22"/>
              </w:rPr>
              <w:t>Inclusion of “accessing the side port”</w:t>
            </w:r>
          </w:p>
        </w:tc>
        <w:tc>
          <w:tcPr>
            <w:tcW w:w="2942" w:type="dxa"/>
            <w:tcBorders>
              <w:top w:val="single" w:sz="4" w:space="0" w:color="B66012"/>
              <w:bottom w:val="single" w:sz="4" w:space="0" w:color="B66012"/>
            </w:tcBorders>
          </w:tcPr>
          <w:p>
            <w:pPr>
              <w:pStyle w:val="TableParagraph"/>
              <w:spacing w:line="312" w:lineRule="auto" w:before="179"/>
              <w:ind w:left="239" w:right="140"/>
              <w:rPr>
                <w:sz w:val="22"/>
              </w:rPr>
            </w:pPr>
            <w:r>
              <w:rPr>
                <w:sz w:val="22"/>
              </w:rPr>
              <w:t>Accessing the side port can now be claimed under this item rather than item 14221</w:t>
            </w:r>
          </w:p>
        </w:tc>
        <w:tc>
          <w:tcPr>
            <w:tcW w:w="3674" w:type="dxa"/>
            <w:tcBorders>
              <w:top w:val="single" w:sz="4" w:space="0" w:color="B66012"/>
              <w:bottom w:val="single" w:sz="4" w:space="0" w:color="B66012"/>
            </w:tcBorders>
          </w:tcPr>
          <w:p>
            <w:pPr>
              <w:pStyle w:val="TableParagraph"/>
              <w:spacing w:line="312" w:lineRule="auto" w:before="179"/>
              <w:ind w:left="161" w:right="524"/>
              <w:rPr>
                <w:sz w:val="22"/>
              </w:rPr>
            </w:pPr>
            <w:r>
              <w:rPr>
                <w:sz w:val="22"/>
              </w:rPr>
              <w:t>The amended item is intended to provide clarity around claiming practices and appropriate use of items</w:t>
            </w:r>
          </w:p>
          <w:p>
            <w:pPr>
              <w:pStyle w:val="TableParagraph"/>
              <w:spacing w:line="312" w:lineRule="auto" w:before="181"/>
              <w:ind w:left="161" w:right="409"/>
              <w:rPr>
                <w:sz w:val="22"/>
              </w:rPr>
            </w:pPr>
            <w:r>
              <w:rPr>
                <w:sz w:val="22"/>
              </w:rPr>
              <w:t>Side-port access is considered equivalent difficulty to item 14218 therefore claiming will move from item 14221 to this item</w:t>
            </w:r>
          </w:p>
        </w:tc>
      </w:tr>
      <w:tr>
        <w:trPr>
          <w:trHeight w:val="590" w:hRule="atLeast"/>
        </w:trPr>
        <w:tc>
          <w:tcPr>
            <w:tcW w:w="13966" w:type="dxa"/>
            <w:gridSpan w:val="5"/>
            <w:tcBorders>
              <w:top w:val="single" w:sz="4" w:space="0" w:color="B66012"/>
              <w:bottom w:val="single" w:sz="4" w:space="0" w:color="B66012"/>
            </w:tcBorders>
          </w:tcPr>
          <w:p>
            <w:pPr>
              <w:pStyle w:val="TableParagraph"/>
              <w:spacing w:before="179"/>
              <w:ind w:left="115"/>
              <w:rPr>
                <w:b/>
                <w:i/>
                <w:sz w:val="22"/>
              </w:rPr>
            </w:pPr>
            <w:r>
              <w:rPr>
                <w:b/>
                <w:i/>
                <w:sz w:val="22"/>
              </w:rPr>
              <w:t>Recommendation 14: Clarifying items 39125 to 39128 and item 39323 - infusion pump</w:t>
            </w:r>
          </w:p>
        </w:tc>
      </w:tr>
      <w:tr>
        <w:trPr>
          <w:trHeight w:val="937" w:hRule="atLeast"/>
        </w:trPr>
        <w:tc>
          <w:tcPr>
            <w:tcW w:w="885" w:type="dxa"/>
            <w:tcBorders>
              <w:top w:val="single" w:sz="4" w:space="0" w:color="B66012"/>
              <w:bottom w:val="single" w:sz="4" w:space="0" w:color="B66012"/>
            </w:tcBorders>
            <w:shd w:val="clear" w:color="auto" w:fill="CC6600"/>
          </w:tcPr>
          <w:p>
            <w:pPr>
              <w:pStyle w:val="TableParagraph"/>
              <w:spacing w:before="176"/>
              <w:ind w:left="115"/>
              <w:rPr>
                <w:b/>
                <w:sz w:val="22"/>
              </w:rPr>
            </w:pPr>
            <w:r>
              <w:rPr>
                <w:b/>
                <w:sz w:val="22"/>
              </w:rPr>
              <w:t>Item</w:t>
            </w:r>
          </w:p>
        </w:tc>
        <w:tc>
          <w:tcPr>
            <w:tcW w:w="3734" w:type="dxa"/>
            <w:tcBorders>
              <w:top w:val="single" w:sz="4" w:space="0" w:color="B66012"/>
              <w:bottom w:val="single" w:sz="4" w:space="0" w:color="B66012"/>
            </w:tcBorders>
            <w:shd w:val="clear" w:color="auto" w:fill="CC6600"/>
          </w:tcPr>
          <w:p>
            <w:pPr>
              <w:pStyle w:val="TableParagraph"/>
              <w:spacing w:before="176"/>
              <w:ind w:left="154"/>
              <w:rPr>
                <w:b/>
                <w:sz w:val="22"/>
              </w:rPr>
            </w:pPr>
            <w:r>
              <w:rPr>
                <w:b/>
                <w:sz w:val="22"/>
              </w:rPr>
              <w:t>What it does</w:t>
            </w:r>
          </w:p>
        </w:tc>
        <w:tc>
          <w:tcPr>
            <w:tcW w:w="2731" w:type="dxa"/>
            <w:tcBorders>
              <w:top w:val="single" w:sz="4" w:space="0" w:color="B66012"/>
              <w:bottom w:val="single" w:sz="4" w:space="0" w:color="B66012"/>
            </w:tcBorders>
            <w:shd w:val="clear" w:color="auto" w:fill="CC6600"/>
          </w:tcPr>
          <w:p>
            <w:pPr>
              <w:pStyle w:val="TableParagraph"/>
              <w:spacing w:line="312" w:lineRule="auto" w:before="176"/>
              <w:ind w:left="124" w:right="1007"/>
              <w:rPr>
                <w:b/>
                <w:sz w:val="22"/>
              </w:rPr>
            </w:pPr>
            <w:r>
              <w:rPr>
                <w:b/>
                <w:sz w:val="22"/>
              </w:rPr>
              <w:t>Committee recommendation</w:t>
            </w:r>
          </w:p>
        </w:tc>
        <w:tc>
          <w:tcPr>
            <w:tcW w:w="2942" w:type="dxa"/>
            <w:tcBorders>
              <w:top w:val="single" w:sz="4" w:space="0" w:color="B66012"/>
              <w:bottom w:val="single" w:sz="4" w:space="0" w:color="B66012"/>
            </w:tcBorders>
            <w:shd w:val="clear" w:color="auto" w:fill="CC6600"/>
          </w:tcPr>
          <w:p>
            <w:pPr>
              <w:pStyle w:val="TableParagraph"/>
              <w:spacing w:before="176"/>
              <w:ind w:left="239"/>
              <w:rPr>
                <w:b/>
                <w:sz w:val="22"/>
              </w:rPr>
            </w:pPr>
            <w:r>
              <w:rPr>
                <w:b/>
                <w:sz w:val="22"/>
              </w:rPr>
              <w:t>What would be different</w:t>
            </w:r>
          </w:p>
        </w:tc>
        <w:tc>
          <w:tcPr>
            <w:tcW w:w="3674" w:type="dxa"/>
            <w:tcBorders>
              <w:top w:val="single" w:sz="4" w:space="0" w:color="B66012"/>
              <w:bottom w:val="single" w:sz="4" w:space="0" w:color="B66012"/>
            </w:tcBorders>
            <w:shd w:val="clear" w:color="auto" w:fill="CC6600"/>
          </w:tcPr>
          <w:p>
            <w:pPr>
              <w:pStyle w:val="TableParagraph"/>
              <w:spacing w:before="176"/>
              <w:ind w:left="161"/>
              <w:rPr>
                <w:b/>
                <w:sz w:val="22"/>
              </w:rPr>
            </w:pPr>
            <w:r>
              <w:rPr>
                <w:b/>
                <w:sz w:val="22"/>
              </w:rPr>
              <w:t>Why</w:t>
            </w:r>
          </w:p>
        </w:tc>
      </w:tr>
      <w:tr>
        <w:trPr>
          <w:trHeight w:val="1637" w:hRule="atLeast"/>
        </w:trPr>
        <w:tc>
          <w:tcPr>
            <w:tcW w:w="885" w:type="dxa"/>
            <w:tcBorders>
              <w:top w:val="single" w:sz="4" w:space="0" w:color="B66012"/>
              <w:bottom w:val="single" w:sz="4" w:space="0" w:color="B66012"/>
            </w:tcBorders>
          </w:tcPr>
          <w:p>
            <w:pPr>
              <w:pStyle w:val="TableParagraph"/>
              <w:spacing w:before="176"/>
              <w:ind w:left="115"/>
              <w:rPr>
                <w:b/>
                <w:sz w:val="22"/>
              </w:rPr>
            </w:pPr>
            <w:r>
              <w:rPr>
                <w:b/>
                <w:sz w:val="22"/>
              </w:rPr>
              <w:t>39125,</w:t>
            </w:r>
          </w:p>
          <w:p>
            <w:pPr>
              <w:pStyle w:val="TableParagraph"/>
              <w:spacing w:before="82"/>
              <w:ind w:left="115"/>
              <w:rPr>
                <w:b/>
                <w:sz w:val="22"/>
              </w:rPr>
            </w:pPr>
            <w:r>
              <w:rPr>
                <w:b/>
                <w:sz w:val="22"/>
              </w:rPr>
              <w:t>39126</w:t>
            </w:r>
          </w:p>
          <w:p>
            <w:pPr>
              <w:pStyle w:val="TableParagraph"/>
              <w:spacing w:before="80"/>
              <w:ind w:left="115"/>
              <w:rPr>
                <w:b/>
                <w:sz w:val="22"/>
              </w:rPr>
            </w:pPr>
            <w:r>
              <w:rPr>
                <w:b/>
                <w:sz w:val="22"/>
              </w:rPr>
              <w:t>39127,</w:t>
            </w:r>
          </w:p>
        </w:tc>
        <w:tc>
          <w:tcPr>
            <w:tcW w:w="3734" w:type="dxa"/>
            <w:tcBorders>
              <w:top w:val="single" w:sz="4" w:space="0" w:color="B66012"/>
              <w:bottom w:val="single" w:sz="4" w:space="0" w:color="B66012"/>
            </w:tcBorders>
          </w:tcPr>
          <w:p>
            <w:pPr>
              <w:pStyle w:val="TableParagraph"/>
              <w:spacing w:line="312" w:lineRule="auto" w:before="176"/>
              <w:ind w:left="154" w:right="164"/>
              <w:rPr>
                <w:sz w:val="22"/>
              </w:rPr>
            </w:pPr>
            <w:r>
              <w:rPr>
                <w:sz w:val="22"/>
              </w:rPr>
              <w:t>Placing a small, thin tube near the spinal cord that carries medicine from a pump under the skin to that area to control chronic and cancer pain.</w:t>
            </w:r>
          </w:p>
        </w:tc>
        <w:tc>
          <w:tcPr>
            <w:tcW w:w="2731" w:type="dxa"/>
            <w:tcBorders>
              <w:top w:val="single" w:sz="4" w:space="0" w:color="B66012"/>
              <w:bottom w:val="single" w:sz="4" w:space="0" w:color="B66012"/>
            </w:tcBorders>
          </w:tcPr>
          <w:p>
            <w:pPr>
              <w:pStyle w:val="TableParagraph"/>
              <w:spacing w:line="312" w:lineRule="auto" w:before="176"/>
              <w:ind w:left="124" w:right="298"/>
              <w:rPr>
                <w:sz w:val="22"/>
              </w:rPr>
            </w:pPr>
            <w:r>
              <w:rPr>
                <w:sz w:val="22"/>
              </w:rPr>
              <w:t>The items be amended to include ‘including cancer related pain’</w:t>
            </w:r>
          </w:p>
        </w:tc>
        <w:tc>
          <w:tcPr>
            <w:tcW w:w="2942" w:type="dxa"/>
            <w:tcBorders>
              <w:top w:val="single" w:sz="4" w:space="0" w:color="B66012"/>
              <w:bottom w:val="single" w:sz="4" w:space="0" w:color="B66012"/>
            </w:tcBorders>
          </w:tcPr>
          <w:p>
            <w:pPr>
              <w:pStyle w:val="TableParagraph"/>
              <w:spacing w:line="312" w:lineRule="auto" w:before="176"/>
              <w:ind w:left="239" w:right="158"/>
              <w:jc w:val="both"/>
              <w:rPr>
                <w:sz w:val="22"/>
              </w:rPr>
            </w:pPr>
            <w:r>
              <w:rPr>
                <w:sz w:val="22"/>
              </w:rPr>
              <w:t>Nothing, cancer related pain is not currently excluded by, although there is confusion</w:t>
            </w:r>
          </w:p>
        </w:tc>
        <w:tc>
          <w:tcPr>
            <w:tcW w:w="3674" w:type="dxa"/>
            <w:tcBorders>
              <w:top w:val="single" w:sz="4" w:space="0" w:color="B66012"/>
              <w:bottom w:val="single" w:sz="4" w:space="0" w:color="B66012"/>
            </w:tcBorders>
          </w:tcPr>
          <w:p>
            <w:pPr>
              <w:pStyle w:val="TableParagraph"/>
              <w:spacing w:line="312" w:lineRule="auto" w:before="176"/>
              <w:ind w:left="161" w:right="250"/>
              <w:rPr>
                <w:sz w:val="22"/>
              </w:rPr>
            </w:pPr>
            <w:r>
              <w:rPr>
                <w:sz w:val="22"/>
              </w:rPr>
              <w:t>The amended items are intended to provide clarity around claiming practices and appropriate use of the items</w:t>
            </w:r>
          </w:p>
        </w:tc>
      </w:tr>
    </w:tbl>
    <w:p>
      <w:pPr>
        <w:spacing w:after="0" w:line="312" w:lineRule="auto"/>
        <w:rPr>
          <w:sz w:val="22"/>
        </w:rPr>
        <w:sectPr>
          <w:pgSz w:w="16840" w:h="11910" w:orient="landscape"/>
          <w:pgMar w:header="0" w:footer="722" w:top="1180" w:bottom="920" w:left="1000" w:right="1640"/>
        </w:sectPr>
      </w:pPr>
    </w:p>
    <w:p>
      <w:pPr>
        <w:pStyle w:val="BodyText"/>
        <w:rPr>
          <w:b/>
          <w:i/>
          <w:sz w:val="20"/>
        </w:rPr>
      </w:pPr>
    </w:p>
    <w:p>
      <w:pPr>
        <w:pStyle w:val="BodyText"/>
        <w:rPr>
          <w:b/>
          <w:i/>
          <w:sz w:val="20"/>
        </w:rPr>
      </w:pPr>
    </w:p>
    <w:p>
      <w:pPr>
        <w:pStyle w:val="BodyText"/>
        <w:spacing w:before="7"/>
        <w:rPr>
          <w:b/>
          <w:i/>
          <w:sz w:val="10"/>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5"/>
        <w:gridCol w:w="3751"/>
        <w:gridCol w:w="2642"/>
        <w:gridCol w:w="2981"/>
        <w:gridCol w:w="3708"/>
      </w:tblGrid>
      <w:tr>
        <w:trPr>
          <w:trHeight w:val="4730" w:hRule="atLeast"/>
        </w:trPr>
        <w:tc>
          <w:tcPr>
            <w:tcW w:w="885" w:type="dxa"/>
            <w:tcBorders>
              <w:top w:val="single" w:sz="4" w:space="0" w:color="B66012"/>
              <w:bottom w:val="single" w:sz="4" w:space="0" w:color="B66012"/>
            </w:tcBorders>
          </w:tcPr>
          <w:p>
            <w:pPr>
              <w:pStyle w:val="TableParagraph"/>
              <w:spacing w:line="265" w:lineRule="exact"/>
              <w:ind w:left="115"/>
              <w:rPr>
                <w:b/>
                <w:sz w:val="22"/>
              </w:rPr>
            </w:pPr>
            <w:r>
              <w:rPr>
                <w:b/>
                <w:sz w:val="22"/>
              </w:rPr>
              <w:t>39128,</w:t>
            </w:r>
          </w:p>
          <w:p>
            <w:pPr>
              <w:pStyle w:val="TableParagraph"/>
              <w:spacing w:before="79"/>
              <w:ind w:left="115"/>
              <w:rPr>
                <w:b/>
                <w:sz w:val="22"/>
              </w:rPr>
            </w:pPr>
            <w:r>
              <w:rPr>
                <w:b/>
                <w:sz w:val="22"/>
              </w:rPr>
              <w:t>39133</w:t>
            </w:r>
          </w:p>
        </w:tc>
        <w:tc>
          <w:tcPr>
            <w:tcW w:w="3751" w:type="dxa"/>
            <w:tcBorders>
              <w:top w:val="single" w:sz="4" w:space="0" w:color="B66012"/>
              <w:bottom w:val="single" w:sz="4" w:space="0" w:color="B66012"/>
            </w:tcBorders>
          </w:tcPr>
          <w:p>
            <w:pPr>
              <w:pStyle w:val="TableParagraph"/>
              <w:spacing w:line="312" w:lineRule="auto" w:before="116"/>
              <w:ind w:left="154" w:right="90"/>
              <w:rPr>
                <w:sz w:val="22"/>
              </w:rPr>
            </w:pPr>
            <w:r>
              <w:rPr>
                <w:sz w:val="22"/>
              </w:rPr>
              <w:t>Placing the pump under the skin that can deliver the medicine AND placing a small, thin tube near the spinal cord that carries medicine from the pump AND filling the pump</w:t>
            </w:r>
          </w:p>
          <w:p>
            <w:pPr>
              <w:pStyle w:val="TableParagraph"/>
              <w:spacing w:line="312" w:lineRule="auto" w:before="180"/>
              <w:ind w:left="154" w:right="454"/>
              <w:rPr>
                <w:sz w:val="22"/>
              </w:rPr>
            </w:pPr>
            <w:r>
              <w:rPr>
                <w:sz w:val="22"/>
              </w:rPr>
              <w:t>Used to control chronic and cancer pain</w:t>
            </w:r>
          </w:p>
          <w:p>
            <w:pPr>
              <w:pStyle w:val="TableParagraph"/>
              <w:spacing w:line="312" w:lineRule="auto" w:before="180"/>
              <w:ind w:left="154" w:right="158"/>
              <w:rPr>
                <w:sz w:val="22"/>
              </w:rPr>
            </w:pPr>
            <w:r>
              <w:rPr>
                <w:sz w:val="22"/>
              </w:rPr>
              <w:t>Removal of a pump under the skin or the removal or repositioning of the connected small thin tube that delivers medicine to the spinal cord to treat pain</w:t>
            </w:r>
          </w:p>
        </w:tc>
        <w:tc>
          <w:tcPr>
            <w:tcW w:w="2642" w:type="dxa"/>
            <w:tcBorders>
              <w:top w:val="single" w:sz="4" w:space="0" w:color="B66012"/>
              <w:bottom w:val="single" w:sz="4" w:space="0" w:color="B66012"/>
            </w:tcBorders>
          </w:tcPr>
          <w:p>
            <w:pPr>
              <w:pStyle w:val="TableParagraph"/>
              <w:rPr>
                <w:rFonts w:ascii="Times New Roman"/>
                <w:sz w:val="20"/>
              </w:rPr>
            </w:pPr>
          </w:p>
        </w:tc>
        <w:tc>
          <w:tcPr>
            <w:tcW w:w="2981" w:type="dxa"/>
            <w:tcBorders>
              <w:top w:val="single" w:sz="4" w:space="0" w:color="B66012"/>
              <w:bottom w:val="single" w:sz="4" w:space="0" w:color="B66012"/>
            </w:tcBorders>
          </w:tcPr>
          <w:p>
            <w:pPr>
              <w:pStyle w:val="TableParagraph"/>
              <w:spacing w:line="312" w:lineRule="auto"/>
              <w:ind w:left="311" w:right="162"/>
              <w:rPr>
                <w:sz w:val="22"/>
              </w:rPr>
            </w:pPr>
            <w:r>
              <w:rPr>
                <w:sz w:val="22"/>
              </w:rPr>
              <w:t>in some minds about if they are applicable.</w:t>
            </w:r>
          </w:p>
        </w:tc>
        <w:tc>
          <w:tcPr>
            <w:tcW w:w="3708" w:type="dxa"/>
            <w:tcBorders>
              <w:top w:val="single" w:sz="4" w:space="0" w:color="B66012"/>
              <w:bottom w:val="single" w:sz="4" w:space="0" w:color="B66012"/>
            </w:tcBorders>
          </w:tcPr>
          <w:p>
            <w:pPr>
              <w:pStyle w:val="TableParagraph"/>
              <w:rPr>
                <w:rFonts w:ascii="Times New Roman"/>
                <w:sz w:val="20"/>
              </w:rPr>
            </w:pPr>
          </w:p>
        </w:tc>
      </w:tr>
      <w:tr>
        <w:trPr>
          <w:trHeight w:val="1118" w:hRule="atLeast"/>
        </w:trPr>
        <w:tc>
          <w:tcPr>
            <w:tcW w:w="13967" w:type="dxa"/>
            <w:gridSpan w:val="5"/>
            <w:tcBorders>
              <w:top w:val="single" w:sz="4" w:space="0" w:color="B66012"/>
              <w:bottom w:val="single" w:sz="4" w:space="0" w:color="B66012"/>
            </w:tcBorders>
          </w:tcPr>
          <w:p>
            <w:pPr>
              <w:pStyle w:val="TableParagraph"/>
              <w:rPr>
                <w:b/>
                <w:i/>
                <w:sz w:val="22"/>
              </w:rPr>
            </w:pPr>
          </w:p>
          <w:p>
            <w:pPr>
              <w:pStyle w:val="TableParagraph"/>
              <w:rPr>
                <w:b/>
                <w:i/>
                <w:sz w:val="22"/>
              </w:rPr>
            </w:pPr>
          </w:p>
          <w:p>
            <w:pPr>
              <w:pStyle w:val="TableParagraph"/>
              <w:tabs>
                <w:tab w:pos="2383" w:val="left" w:leader="none"/>
              </w:tabs>
              <w:spacing w:before="168"/>
              <w:ind w:left="115"/>
              <w:rPr>
                <w:b/>
                <w:i/>
                <w:sz w:val="22"/>
              </w:rPr>
            </w:pPr>
            <w:r>
              <w:rPr>
                <w:b/>
                <w:i/>
                <w:sz w:val="22"/>
              </w:rPr>
              <w:t>Recommendation</w:t>
            </w:r>
            <w:r>
              <w:rPr>
                <w:b/>
                <w:i/>
                <w:spacing w:val="-2"/>
                <w:sz w:val="22"/>
              </w:rPr>
              <w:t> </w:t>
            </w:r>
            <w:r>
              <w:rPr>
                <w:b/>
                <w:i/>
                <w:sz w:val="22"/>
              </w:rPr>
              <w:t>15:</w:t>
              <w:tab/>
              <w:t>Clarifying items 39131, 39134, 39135, 39136, 39137 and 39139 -</w:t>
            </w:r>
            <w:r>
              <w:rPr>
                <w:b/>
                <w:i/>
                <w:spacing w:val="-11"/>
                <w:sz w:val="22"/>
              </w:rPr>
              <w:t> </w:t>
            </w:r>
            <w:r>
              <w:rPr>
                <w:b/>
                <w:i/>
                <w:sz w:val="22"/>
              </w:rPr>
              <w:t>neurostimulator</w:t>
            </w:r>
          </w:p>
        </w:tc>
      </w:tr>
      <w:tr>
        <w:trPr>
          <w:trHeight w:val="938" w:hRule="atLeast"/>
        </w:trPr>
        <w:tc>
          <w:tcPr>
            <w:tcW w:w="885" w:type="dxa"/>
            <w:tcBorders>
              <w:top w:val="single" w:sz="4" w:space="0" w:color="B66012"/>
              <w:bottom w:val="single" w:sz="4" w:space="0" w:color="B66012"/>
            </w:tcBorders>
            <w:shd w:val="clear" w:color="auto" w:fill="CC6600"/>
          </w:tcPr>
          <w:p>
            <w:pPr>
              <w:pStyle w:val="TableParagraph"/>
              <w:spacing w:before="176"/>
              <w:ind w:left="115"/>
              <w:rPr>
                <w:b/>
                <w:sz w:val="22"/>
              </w:rPr>
            </w:pPr>
            <w:r>
              <w:rPr>
                <w:b/>
                <w:sz w:val="22"/>
              </w:rPr>
              <w:t>Item</w:t>
            </w:r>
          </w:p>
        </w:tc>
        <w:tc>
          <w:tcPr>
            <w:tcW w:w="3751" w:type="dxa"/>
            <w:tcBorders>
              <w:top w:val="single" w:sz="4" w:space="0" w:color="B66012"/>
              <w:bottom w:val="single" w:sz="4" w:space="0" w:color="B66012"/>
            </w:tcBorders>
            <w:shd w:val="clear" w:color="auto" w:fill="CC6600"/>
          </w:tcPr>
          <w:p>
            <w:pPr>
              <w:pStyle w:val="TableParagraph"/>
              <w:spacing w:before="176"/>
              <w:ind w:left="154"/>
              <w:rPr>
                <w:b/>
                <w:sz w:val="22"/>
              </w:rPr>
            </w:pPr>
            <w:r>
              <w:rPr>
                <w:b/>
                <w:sz w:val="22"/>
              </w:rPr>
              <w:t>What it does</w:t>
            </w:r>
          </w:p>
        </w:tc>
        <w:tc>
          <w:tcPr>
            <w:tcW w:w="2642" w:type="dxa"/>
            <w:tcBorders>
              <w:top w:val="single" w:sz="4" w:space="0" w:color="B66012"/>
              <w:bottom w:val="single" w:sz="4" w:space="0" w:color="B66012"/>
            </w:tcBorders>
            <w:shd w:val="clear" w:color="auto" w:fill="CC6600"/>
          </w:tcPr>
          <w:p>
            <w:pPr>
              <w:pStyle w:val="TableParagraph"/>
              <w:spacing w:line="312" w:lineRule="auto" w:before="176"/>
              <w:ind w:left="107" w:right="935"/>
              <w:rPr>
                <w:b/>
                <w:sz w:val="22"/>
              </w:rPr>
            </w:pPr>
            <w:r>
              <w:rPr>
                <w:b/>
                <w:sz w:val="22"/>
              </w:rPr>
              <w:t>Committee recommendation</w:t>
            </w:r>
          </w:p>
        </w:tc>
        <w:tc>
          <w:tcPr>
            <w:tcW w:w="2981" w:type="dxa"/>
            <w:tcBorders>
              <w:top w:val="single" w:sz="4" w:space="0" w:color="B66012"/>
              <w:bottom w:val="single" w:sz="4" w:space="0" w:color="B66012"/>
            </w:tcBorders>
            <w:shd w:val="clear" w:color="auto" w:fill="CC6600"/>
          </w:tcPr>
          <w:p>
            <w:pPr>
              <w:pStyle w:val="TableParagraph"/>
              <w:spacing w:before="176"/>
              <w:ind w:left="311"/>
              <w:rPr>
                <w:b/>
                <w:sz w:val="22"/>
              </w:rPr>
            </w:pPr>
            <w:r>
              <w:rPr>
                <w:b/>
                <w:sz w:val="22"/>
              </w:rPr>
              <w:t>What would be different</w:t>
            </w:r>
          </w:p>
        </w:tc>
        <w:tc>
          <w:tcPr>
            <w:tcW w:w="3708" w:type="dxa"/>
            <w:tcBorders>
              <w:top w:val="single" w:sz="4" w:space="0" w:color="B66012"/>
              <w:bottom w:val="single" w:sz="4" w:space="0" w:color="B66012"/>
            </w:tcBorders>
            <w:shd w:val="clear" w:color="auto" w:fill="CC6600"/>
          </w:tcPr>
          <w:p>
            <w:pPr>
              <w:pStyle w:val="TableParagraph"/>
              <w:spacing w:before="176"/>
              <w:ind w:left="194"/>
              <w:rPr>
                <w:b/>
                <w:sz w:val="22"/>
              </w:rPr>
            </w:pPr>
            <w:r>
              <w:rPr>
                <w:b/>
                <w:sz w:val="22"/>
              </w:rPr>
              <w:t>Why</w:t>
            </w:r>
          </w:p>
        </w:tc>
      </w:tr>
      <w:tr>
        <w:trPr>
          <w:trHeight w:val="240" w:hRule="atLeast"/>
        </w:trPr>
        <w:tc>
          <w:tcPr>
            <w:tcW w:w="885" w:type="dxa"/>
            <w:tcBorders>
              <w:top w:val="single" w:sz="4" w:space="0" w:color="B66012"/>
            </w:tcBorders>
          </w:tcPr>
          <w:p>
            <w:pPr>
              <w:pStyle w:val="TableParagraph"/>
              <w:spacing w:line="221" w:lineRule="exact"/>
              <w:ind w:left="115"/>
              <w:rPr>
                <w:b/>
                <w:sz w:val="22"/>
              </w:rPr>
            </w:pPr>
            <w:r>
              <w:rPr>
                <w:b/>
                <w:sz w:val="22"/>
              </w:rPr>
              <w:t>39131</w:t>
            </w:r>
          </w:p>
        </w:tc>
        <w:tc>
          <w:tcPr>
            <w:tcW w:w="3751" w:type="dxa"/>
            <w:tcBorders>
              <w:top w:val="single" w:sz="4" w:space="0" w:color="B66012"/>
            </w:tcBorders>
          </w:tcPr>
          <w:p>
            <w:pPr>
              <w:pStyle w:val="TableParagraph"/>
              <w:rPr>
                <w:rFonts w:ascii="Times New Roman"/>
                <w:sz w:val="16"/>
              </w:rPr>
            </w:pPr>
          </w:p>
        </w:tc>
        <w:tc>
          <w:tcPr>
            <w:tcW w:w="2642" w:type="dxa"/>
            <w:tcBorders>
              <w:top w:val="single" w:sz="4" w:space="0" w:color="B66012"/>
            </w:tcBorders>
          </w:tcPr>
          <w:p>
            <w:pPr>
              <w:pStyle w:val="TableParagraph"/>
              <w:rPr>
                <w:rFonts w:ascii="Times New Roman"/>
                <w:sz w:val="16"/>
              </w:rPr>
            </w:pPr>
          </w:p>
        </w:tc>
        <w:tc>
          <w:tcPr>
            <w:tcW w:w="2981" w:type="dxa"/>
            <w:tcBorders>
              <w:top w:val="single" w:sz="4" w:space="0" w:color="B66012"/>
            </w:tcBorders>
          </w:tcPr>
          <w:p>
            <w:pPr>
              <w:pStyle w:val="TableParagraph"/>
              <w:rPr>
                <w:rFonts w:ascii="Times New Roman"/>
                <w:sz w:val="16"/>
              </w:rPr>
            </w:pPr>
          </w:p>
        </w:tc>
        <w:tc>
          <w:tcPr>
            <w:tcW w:w="3708" w:type="dxa"/>
            <w:tcBorders>
              <w:top w:val="single" w:sz="4" w:space="0" w:color="B66012"/>
            </w:tcBorders>
          </w:tcPr>
          <w:p>
            <w:pPr>
              <w:pStyle w:val="TableParagraph"/>
              <w:rPr>
                <w:rFonts w:ascii="Times New Roman"/>
                <w:sz w:val="16"/>
              </w:rPr>
            </w:pPr>
          </w:p>
        </w:tc>
      </w:tr>
      <w:tr>
        <w:trPr>
          <w:trHeight w:val="1225" w:hRule="atLeast"/>
        </w:trPr>
        <w:tc>
          <w:tcPr>
            <w:tcW w:w="885" w:type="dxa"/>
            <w:tcBorders>
              <w:bottom w:val="single" w:sz="4" w:space="0" w:color="B66012"/>
            </w:tcBorders>
          </w:tcPr>
          <w:p>
            <w:pPr>
              <w:pStyle w:val="TableParagraph"/>
              <w:rPr>
                <w:rFonts w:ascii="Times New Roman"/>
                <w:sz w:val="20"/>
              </w:rPr>
            </w:pPr>
          </w:p>
        </w:tc>
        <w:tc>
          <w:tcPr>
            <w:tcW w:w="3751" w:type="dxa"/>
            <w:tcBorders>
              <w:bottom w:val="single" w:sz="4" w:space="0" w:color="B66012"/>
            </w:tcBorders>
          </w:tcPr>
          <w:p>
            <w:pPr>
              <w:pStyle w:val="TableParagraph"/>
              <w:spacing w:line="204" w:lineRule="exact"/>
              <w:ind w:left="154"/>
              <w:rPr>
                <w:sz w:val="22"/>
              </w:rPr>
            </w:pPr>
            <w:r>
              <w:rPr>
                <w:sz w:val="22"/>
              </w:rPr>
              <w:t>Adjustment or reprogramming of mild</w:t>
            </w:r>
          </w:p>
          <w:p>
            <w:pPr>
              <w:pStyle w:val="TableParagraph"/>
              <w:spacing w:line="312" w:lineRule="auto" w:before="80"/>
              <w:ind w:left="154" w:right="500"/>
              <w:rPr>
                <w:sz w:val="22"/>
              </w:rPr>
            </w:pPr>
            <w:r>
              <w:rPr>
                <w:sz w:val="22"/>
              </w:rPr>
              <w:t>electrical stimulator placed in the epidural or peripheral nerve space</w:t>
            </w:r>
          </w:p>
        </w:tc>
        <w:tc>
          <w:tcPr>
            <w:tcW w:w="2642" w:type="dxa"/>
            <w:tcBorders>
              <w:bottom w:val="single" w:sz="4" w:space="0" w:color="B66012"/>
            </w:tcBorders>
          </w:tcPr>
          <w:p>
            <w:pPr>
              <w:pStyle w:val="TableParagraph"/>
              <w:spacing w:line="204" w:lineRule="exact"/>
              <w:ind w:left="107"/>
              <w:rPr>
                <w:sz w:val="22"/>
              </w:rPr>
            </w:pPr>
            <w:r>
              <w:rPr>
                <w:sz w:val="22"/>
              </w:rPr>
              <w:t>Delete ‘neuropathic’ and</w:t>
            </w:r>
          </w:p>
          <w:p>
            <w:pPr>
              <w:pStyle w:val="TableParagraph"/>
              <w:spacing w:before="80"/>
              <w:ind w:left="107"/>
              <w:rPr>
                <w:sz w:val="22"/>
              </w:rPr>
            </w:pPr>
            <w:r>
              <w:rPr>
                <w:sz w:val="22"/>
              </w:rPr>
              <w:t>‘intractable’</w:t>
            </w:r>
          </w:p>
        </w:tc>
        <w:tc>
          <w:tcPr>
            <w:tcW w:w="2981" w:type="dxa"/>
            <w:tcBorders>
              <w:bottom w:val="single" w:sz="4" w:space="0" w:color="B66012"/>
            </w:tcBorders>
          </w:tcPr>
          <w:p>
            <w:pPr>
              <w:pStyle w:val="TableParagraph"/>
              <w:spacing w:line="204" w:lineRule="exact"/>
              <w:ind w:left="311"/>
              <w:rPr>
                <w:sz w:val="22"/>
              </w:rPr>
            </w:pPr>
            <w:r>
              <w:rPr>
                <w:sz w:val="22"/>
              </w:rPr>
              <w:t>Removes restriction of the</w:t>
            </w:r>
          </w:p>
          <w:p>
            <w:pPr>
              <w:pStyle w:val="TableParagraph"/>
              <w:spacing w:line="312" w:lineRule="auto" w:before="80"/>
              <w:ind w:left="311" w:right="175"/>
              <w:rPr>
                <w:sz w:val="22"/>
              </w:rPr>
            </w:pPr>
            <w:r>
              <w:rPr>
                <w:sz w:val="22"/>
              </w:rPr>
              <w:t>procedure to only the chest region</w:t>
            </w:r>
          </w:p>
        </w:tc>
        <w:tc>
          <w:tcPr>
            <w:tcW w:w="3708" w:type="dxa"/>
            <w:tcBorders>
              <w:bottom w:val="single" w:sz="4" w:space="0" w:color="B66012"/>
            </w:tcBorders>
          </w:tcPr>
          <w:p>
            <w:pPr>
              <w:pStyle w:val="TableParagraph"/>
              <w:spacing w:line="204" w:lineRule="exact"/>
              <w:ind w:left="194"/>
              <w:rPr>
                <w:sz w:val="22"/>
              </w:rPr>
            </w:pPr>
            <w:r>
              <w:rPr>
                <w:sz w:val="22"/>
              </w:rPr>
              <w:t>The amended items are intended to</w:t>
            </w:r>
          </w:p>
          <w:p>
            <w:pPr>
              <w:pStyle w:val="TableParagraph"/>
              <w:spacing w:before="80"/>
              <w:ind w:left="194"/>
              <w:rPr>
                <w:sz w:val="22"/>
              </w:rPr>
            </w:pPr>
            <w:r>
              <w:rPr>
                <w:sz w:val="22"/>
              </w:rPr>
              <w:t>provide clarity around claiming</w:t>
            </w:r>
          </w:p>
        </w:tc>
      </w:tr>
    </w:tbl>
    <w:p>
      <w:pPr>
        <w:spacing w:after="0"/>
        <w:rPr>
          <w:sz w:val="22"/>
        </w:rPr>
        <w:sectPr>
          <w:pgSz w:w="16840" w:h="11910" w:orient="landscape"/>
          <w:pgMar w:header="0" w:footer="722" w:top="1180" w:bottom="920" w:left="1000" w:right="1640"/>
        </w:sectPr>
      </w:pPr>
    </w:p>
    <w:p>
      <w:pPr>
        <w:pStyle w:val="BodyText"/>
        <w:rPr>
          <w:b/>
          <w:i/>
          <w:sz w:val="20"/>
        </w:rPr>
      </w:pPr>
    </w:p>
    <w:p>
      <w:pPr>
        <w:pStyle w:val="BodyText"/>
        <w:rPr>
          <w:b/>
          <w:i/>
          <w:sz w:val="20"/>
        </w:rPr>
      </w:pPr>
    </w:p>
    <w:p>
      <w:pPr>
        <w:pStyle w:val="BodyText"/>
        <w:spacing w:before="7"/>
        <w:rPr>
          <w:b/>
          <w:i/>
          <w:sz w:val="10"/>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22"/>
        <w:gridCol w:w="2789"/>
        <w:gridCol w:w="2921"/>
        <w:gridCol w:w="3635"/>
      </w:tblGrid>
      <w:tr>
        <w:trPr>
          <w:trHeight w:val="757" w:hRule="atLeast"/>
        </w:trPr>
        <w:tc>
          <w:tcPr>
            <w:tcW w:w="4622" w:type="dxa"/>
            <w:tcBorders>
              <w:top w:val="single" w:sz="4" w:space="0" w:color="B66012"/>
              <w:bottom w:val="single" w:sz="4" w:space="0" w:color="B66012"/>
            </w:tcBorders>
          </w:tcPr>
          <w:p>
            <w:pPr>
              <w:pStyle w:val="TableParagraph"/>
              <w:rPr>
                <w:rFonts w:ascii="Times New Roman"/>
                <w:sz w:val="20"/>
              </w:rPr>
            </w:pPr>
          </w:p>
        </w:tc>
        <w:tc>
          <w:tcPr>
            <w:tcW w:w="2789" w:type="dxa"/>
            <w:tcBorders>
              <w:top w:val="single" w:sz="4" w:space="0" w:color="B66012"/>
              <w:bottom w:val="single" w:sz="4" w:space="0" w:color="B66012"/>
            </w:tcBorders>
          </w:tcPr>
          <w:p>
            <w:pPr>
              <w:pStyle w:val="TableParagraph"/>
              <w:rPr>
                <w:rFonts w:ascii="Times New Roman"/>
                <w:sz w:val="20"/>
              </w:rPr>
            </w:pPr>
          </w:p>
        </w:tc>
        <w:tc>
          <w:tcPr>
            <w:tcW w:w="2921" w:type="dxa"/>
            <w:tcBorders>
              <w:top w:val="single" w:sz="4" w:space="0" w:color="B66012"/>
              <w:bottom w:val="single" w:sz="4" w:space="0" w:color="B66012"/>
            </w:tcBorders>
          </w:tcPr>
          <w:p>
            <w:pPr>
              <w:pStyle w:val="TableParagraph"/>
              <w:rPr>
                <w:rFonts w:ascii="Times New Roman"/>
                <w:sz w:val="20"/>
              </w:rPr>
            </w:pPr>
          </w:p>
        </w:tc>
        <w:tc>
          <w:tcPr>
            <w:tcW w:w="3635" w:type="dxa"/>
            <w:tcBorders>
              <w:top w:val="single" w:sz="4" w:space="0" w:color="B66012"/>
              <w:bottom w:val="single" w:sz="4" w:space="0" w:color="B66012"/>
            </w:tcBorders>
          </w:tcPr>
          <w:p>
            <w:pPr>
              <w:pStyle w:val="TableParagraph"/>
              <w:spacing w:line="312" w:lineRule="auto"/>
              <w:ind w:left="121" w:right="251"/>
              <w:rPr>
                <w:sz w:val="22"/>
              </w:rPr>
            </w:pPr>
            <w:r>
              <w:rPr>
                <w:sz w:val="22"/>
              </w:rPr>
              <w:t>practices and appropriate use of the item number.</w:t>
            </w:r>
          </w:p>
        </w:tc>
      </w:tr>
      <w:tr>
        <w:trPr>
          <w:trHeight w:val="241" w:hRule="atLeast"/>
        </w:trPr>
        <w:tc>
          <w:tcPr>
            <w:tcW w:w="4622" w:type="dxa"/>
            <w:tcBorders>
              <w:top w:val="single" w:sz="4" w:space="0" w:color="B66012"/>
            </w:tcBorders>
          </w:tcPr>
          <w:p>
            <w:pPr>
              <w:pStyle w:val="TableParagraph"/>
              <w:spacing w:line="221" w:lineRule="exact"/>
              <w:ind w:left="115"/>
              <w:rPr>
                <w:b/>
                <w:sz w:val="22"/>
              </w:rPr>
            </w:pPr>
            <w:r>
              <w:rPr>
                <w:b/>
                <w:sz w:val="22"/>
              </w:rPr>
              <w:t>39134</w:t>
            </w:r>
          </w:p>
        </w:tc>
        <w:tc>
          <w:tcPr>
            <w:tcW w:w="2789" w:type="dxa"/>
            <w:tcBorders>
              <w:top w:val="single" w:sz="4" w:space="0" w:color="B66012"/>
            </w:tcBorders>
          </w:tcPr>
          <w:p>
            <w:pPr>
              <w:pStyle w:val="TableParagraph"/>
              <w:rPr>
                <w:rFonts w:ascii="Times New Roman"/>
                <w:sz w:val="16"/>
              </w:rPr>
            </w:pPr>
          </w:p>
        </w:tc>
        <w:tc>
          <w:tcPr>
            <w:tcW w:w="2921" w:type="dxa"/>
            <w:tcBorders>
              <w:top w:val="single" w:sz="4" w:space="0" w:color="B66012"/>
            </w:tcBorders>
          </w:tcPr>
          <w:p>
            <w:pPr>
              <w:pStyle w:val="TableParagraph"/>
              <w:rPr>
                <w:rFonts w:ascii="Times New Roman"/>
                <w:sz w:val="16"/>
              </w:rPr>
            </w:pPr>
          </w:p>
        </w:tc>
        <w:tc>
          <w:tcPr>
            <w:tcW w:w="3635" w:type="dxa"/>
            <w:tcBorders>
              <w:top w:val="single" w:sz="4" w:space="0" w:color="B66012"/>
            </w:tcBorders>
          </w:tcPr>
          <w:p>
            <w:pPr>
              <w:pStyle w:val="TableParagraph"/>
              <w:rPr>
                <w:rFonts w:ascii="Times New Roman"/>
                <w:sz w:val="16"/>
              </w:rPr>
            </w:pPr>
          </w:p>
        </w:tc>
      </w:tr>
      <w:tr>
        <w:trPr>
          <w:trHeight w:val="1395" w:hRule="atLeast"/>
        </w:trPr>
        <w:tc>
          <w:tcPr>
            <w:tcW w:w="4622" w:type="dxa"/>
            <w:tcBorders>
              <w:bottom w:val="single" w:sz="4" w:space="0" w:color="B66012"/>
            </w:tcBorders>
          </w:tcPr>
          <w:p>
            <w:pPr>
              <w:pStyle w:val="TableParagraph"/>
              <w:spacing w:line="204" w:lineRule="exact"/>
              <w:ind w:left="1040"/>
              <w:rPr>
                <w:sz w:val="22"/>
              </w:rPr>
            </w:pPr>
            <w:r>
              <w:rPr>
                <w:sz w:val="22"/>
              </w:rPr>
              <w:t>Placement of mild electrical stimulator</w:t>
            </w:r>
          </w:p>
          <w:p>
            <w:pPr>
              <w:pStyle w:val="TableParagraph"/>
              <w:spacing w:before="79"/>
              <w:ind w:left="1040"/>
              <w:rPr>
                <w:sz w:val="22"/>
              </w:rPr>
            </w:pPr>
            <w:r>
              <w:rPr>
                <w:sz w:val="22"/>
              </w:rPr>
              <w:t>or receiver under the skin</w:t>
            </w:r>
          </w:p>
        </w:tc>
        <w:tc>
          <w:tcPr>
            <w:tcW w:w="2789" w:type="dxa"/>
            <w:tcBorders>
              <w:bottom w:val="single" w:sz="4" w:space="0" w:color="B66012"/>
            </w:tcBorders>
          </w:tcPr>
          <w:p>
            <w:pPr>
              <w:pStyle w:val="TableParagraph"/>
              <w:spacing w:line="204" w:lineRule="exact"/>
              <w:ind w:left="121"/>
              <w:rPr>
                <w:sz w:val="22"/>
              </w:rPr>
            </w:pPr>
            <w:r>
              <w:rPr>
                <w:sz w:val="22"/>
              </w:rPr>
              <w:t>Delete ‘neuropathic’ and</w:t>
            </w:r>
          </w:p>
          <w:p>
            <w:pPr>
              <w:pStyle w:val="TableParagraph"/>
              <w:spacing w:before="79"/>
              <w:ind w:left="121"/>
              <w:rPr>
                <w:sz w:val="22"/>
              </w:rPr>
            </w:pPr>
            <w:r>
              <w:rPr>
                <w:sz w:val="22"/>
              </w:rPr>
              <w:t>‘intractable’</w:t>
            </w:r>
          </w:p>
        </w:tc>
        <w:tc>
          <w:tcPr>
            <w:tcW w:w="2921" w:type="dxa"/>
            <w:tcBorders>
              <w:bottom w:val="single" w:sz="4" w:space="0" w:color="B66012"/>
            </w:tcBorders>
          </w:tcPr>
          <w:p>
            <w:pPr>
              <w:pStyle w:val="TableParagraph"/>
              <w:spacing w:line="204" w:lineRule="exact"/>
              <w:ind w:left="179"/>
              <w:rPr>
                <w:sz w:val="22"/>
              </w:rPr>
            </w:pPr>
            <w:r>
              <w:rPr>
                <w:sz w:val="22"/>
              </w:rPr>
              <w:t>Removes restriction of the</w:t>
            </w:r>
          </w:p>
          <w:p>
            <w:pPr>
              <w:pStyle w:val="TableParagraph"/>
              <w:spacing w:line="312" w:lineRule="auto" w:before="79"/>
              <w:ind w:left="179" w:right="247"/>
              <w:rPr>
                <w:sz w:val="22"/>
              </w:rPr>
            </w:pPr>
            <w:r>
              <w:rPr>
                <w:sz w:val="22"/>
              </w:rPr>
              <w:t>procedure to only the chest region</w:t>
            </w:r>
          </w:p>
        </w:tc>
        <w:tc>
          <w:tcPr>
            <w:tcW w:w="3635" w:type="dxa"/>
            <w:tcBorders>
              <w:bottom w:val="single" w:sz="4" w:space="0" w:color="B66012"/>
            </w:tcBorders>
          </w:tcPr>
          <w:p>
            <w:pPr>
              <w:pStyle w:val="TableParagraph"/>
              <w:spacing w:line="204" w:lineRule="exact"/>
              <w:ind w:left="121"/>
              <w:rPr>
                <w:sz w:val="22"/>
              </w:rPr>
            </w:pPr>
            <w:r>
              <w:rPr>
                <w:sz w:val="22"/>
              </w:rPr>
              <w:t>The amended items are intended to</w:t>
            </w:r>
          </w:p>
          <w:p>
            <w:pPr>
              <w:pStyle w:val="TableParagraph"/>
              <w:spacing w:line="312" w:lineRule="auto" w:before="79"/>
              <w:ind w:left="121" w:right="251"/>
              <w:rPr>
                <w:sz w:val="22"/>
              </w:rPr>
            </w:pPr>
            <w:r>
              <w:rPr>
                <w:sz w:val="22"/>
              </w:rPr>
              <w:t>provide clarity around claiming practices and appropriate use of the item numbers</w:t>
            </w:r>
          </w:p>
        </w:tc>
      </w:tr>
      <w:tr>
        <w:trPr>
          <w:trHeight w:val="241" w:hRule="atLeast"/>
        </w:trPr>
        <w:tc>
          <w:tcPr>
            <w:tcW w:w="4622" w:type="dxa"/>
            <w:tcBorders>
              <w:top w:val="single" w:sz="4" w:space="0" w:color="B66012"/>
            </w:tcBorders>
          </w:tcPr>
          <w:p>
            <w:pPr>
              <w:pStyle w:val="TableParagraph"/>
              <w:spacing w:line="221" w:lineRule="exact"/>
              <w:ind w:left="115"/>
              <w:rPr>
                <w:b/>
                <w:sz w:val="22"/>
              </w:rPr>
            </w:pPr>
            <w:r>
              <w:rPr>
                <w:b/>
                <w:sz w:val="22"/>
              </w:rPr>
              <w:t>39135</w:t>
            </w:r>
          </w:p>
        </w:tc>
        <w:tc>
          <w:tcPr>
            <w:tcW w:w="2789" w:type="dxa"/>
            <w:tcBorders>
              <w:top w:val="single" w:sz="4" w:space="0" w:color="B66012"/>
            </w:tcBorders>
          </w:tcPr>
          <w:p>
            <w:pPr>
              <w:pStyle w:val="TableParagraph"/>
              <w:rPr>
                <w:rFonts w:ascii="Times New Roman"/>
                <w:sz w:val="16"/>
              </w:rPr>
            </w:pPr>
          </w:p>
        </w:tc>
        <w:tc>
          <w:tcPr>
            <w:tcW w:w="2921" w:type="dxa"/>
            <w:tcBorders>
              <w:top w:val="single" w:sz="4" w:space="0" w:color="B66012"/>
            </w:tcBorders>
          </w:tcPr>
          <w:p>
            <w:pPr>
              <w:pStyle w:val="TableParagraph"/>
              <w:rPr>
                <w:rFonts w:ascii="Times New Roman"/>
                <w:sz w:val="16"/>
              </w:rPr>
            </w:pPr>
          </w:p>
        </w:tc>
        <w:tc>
          <w:tcPr>
            <w:tcW w:w="3635" w:type="dxa"/>
            <w:tcBorders>
              <w:top w:val="single" w:sz="4" w:space="0" w:color="B66012"/>
            </w:tcBorders>
          </w:tcPr>
          <w:p>
            <w:pPr>
              <w:pStyle w:val="TableParagraph"/>
              <w:rPr>
                <w:rFonts w:ascii="Times New Roman"/>
                <w:sz w:val="16"/>
              </w:rPr>
            </w:pPr>
          </w:p>
        </w:tc>
      </w:tr>
      <w:tr>
        <w:trPr>
          <w:trHeight w:val="2972" w:hRule="atLeast"/>
        </w:trPr>
        <w:tc>
          <w:tcPr>
            <w:tcW w:w="4622" w:type="dxa"/>
            <w:tcBorders>
              <w:bottom w:val="single" w:sz="4" w:space="0" w:color="B66012"/>
            </w:tcBorders>
          </w:tcPr>
          <w:p>
            <w:pPr>
              <w:pStyle w:val="TableParagraph"/>
              <w:spacing w:line="204" w:lineRule="exact"/>
              <w:ind w:left="1040"/>
              <w:rPr>
                <w:sz w:val="22"/>
              </w:rPr>
            </w:pPr>
            <w:r>
              <w:rPr>
                <w:sz w:val="22"/>
              </w:rPr>
              <w:t>Removing of mild electrical stimulator</w:t>
            </w:r>
          </w:p>
          <w:p>
            <w:pPr>
              <w:pStyle w:val="TableParagraph"/>
              <w:spacing w:before="82"/>
              <w:ind w:left="1040"/>
              <w:rPr>
                <w:sz w:val="22"/>
              </w:rPr>
            </w:pPr>
            <w:r>
              <w:rPr>
                <w:sz w:val="22"/>
              </w:rPr>
              <w:t>in operating theatres</w:t>
            </w:r>
          </w:p>
        </w:tc>
        <w:tc>
          <w:tcPr>
            <w:tcW w:w="2789" w:type="dxa"/>
            <w:tcBorders>
              <w:bottom w:val="single" w:sz="4" w:space="0" w:color="B66012"/>
            </w:tcBorders>
          </w:tcPr>
          <w:p>
            <w:pPr>
              <w:pStyle w:val="TableParagraph"/>
              <w:spacing w:line="204" w:lineRule="exact"/>
              <w:ind w:left="121"/>
              <w:rPr>
                <w:sz w:val="22"/>
              </w:rPr>
            </w:pPr>
            <w:r>
              <w:rPr>
                <w:sz w:val="22"/>
              </w:rPr>
              <w:t>Delete ‘neuropathic’ and</w:t>
            </w:r>
          </w:p>
          <w:p>
            <w:pPr>
              <w:pStyle w:val="TableParagraph"/>
              <w:spacing w:before="82"/>
              <w:ind w:left="121"/>
              <w:rPr>
                <w:sz w:val="22"/>
              </w:rPr>
            </w:pPr>
            <w:r>
              <w:rPr>
                <w:sz w:val="22"/>
              </w:rPr>
              <w:t>‘intractable’.</w:t>
            </w:r>
          </w:p>
          <w:p>
            <w:pPr>
              <w:pStyle w:val="TableParagraph"/>
              <w:spacing w:before="2"/>
              <w:rPr>
                <w:b/>
                <w:i/>
                <w:sz w:val="21"/>
              </w:rPr>
            </w:pPr>
          </w:p>
          <w:p>
            <w:pPr>
              <w:pStyle w:val="TableParagraph"/>
              <w:spacing w:before="1"/>
              <w:ind w:left="121"/>
              <w:rPr>
                <w:sz w:val="22"/>
              </w:rPr>
            </w:pPr>
            <w:r>
              <w:rPr>
                <w:sz w:val="22"/>
              </w:rPr>
              <w:t>Add ‘open surgical removal’</w:t>
            </w:r>
          </w:p>
        </w:tc>
        <w:tc>
          <w:tcPr>
            <w:tcW w:w="2921" w:type="dxa"/>
            <w:tcBorders>
              <w:bottom w:val="single" w:sz="4" w:space="0" w:color="B66012"/>
            </w:tcBorders>
          </w:tcPr>
          <w:p>
            <w:pPr>
              <w:pStyle w:val="TableParagraph"/>
              <w:spacing w:line="204" w:lineRule="exact"/>
              <w:ind w:left="179"/>
              <w:rPr>
                <w:sz w:val="22"/>
              </w:rPr>
            </w:pPr>
            <w:r>
              <w:rPr>
                <w:sz w:val="22"/>
              </w:rPr>
              <w:t>Removes restriction of the</w:t>
            </w:r>
          </w:p>
          <w:p>
            <w:pPr>
              <w:pStyle w:val="TableParagraph"/>
              <w:spacing w:line="312" w:lineRule="auto" w:before="82"/>
              <w:ind w:left="179" w:right="247"/>
              <w:rPr>
                <w:sz w:val="22"/>
              </w:rPr>
            </w:pPr>
            <w:r>
              <w:rPr>
                <w:sz w:val="22"/>
              </w:rPr>
              <w:t>procedure to only the chest region</w:t>
            </w:r>
          </w:p>
          <w:p>
            <w:pPr>
              <w:pStyle w:val="TableParagraph"/>
              <w:spacing w:line="312" w:lineRule="auto" w:before="177"/>
              <w:ind w:left="179" w:right="117"/>
              <w:rPr>
                <w:sz w:val="22"/>
              </w:rPr>
            </w:pPr>
            <w:r>
              <w:rPr>
                <w:sz w:val="22"/>
              </w:rPr>
              <w:t>Prevents the item from being inappropriately claimed when removing or repositioning leads percutaneously</w:t>
            </w:r>
          </w:p>
        </w:tc>
        <w:tc>
          <w:tcPr>
            <w:tcW w:w="3635" w:type="dxa"/>
            <w:tcBorders>
              <w:bottom w:val="single" w:sz="4" w:space="0" w:color="B66012"/>
            </w:tcBorders>
          </w:tcPr>
          <w:p>
            <w:pPr>
              <w:pStyle w:val="TableParagraph"/>
              <w:spacing w:line="204" w:lineRule="exact"/>
              <w:ind w:left="121"/>
              <w:rPr>
                <w:sz w:val="22"/>
              </w:rPr>
            </w:pPr>
            <w:r>
              <w:rPr>
                <w:sz w:val="22"/>
              </w:rPr>
              <w:t>Adding ‘open surgical removal’ or</w:t>
            </w:r>
          </w:p>
          <w:p>
            <w:pPr>
              <w:pStyle w:val="TableParagraph"/>
              <w:spacing w:line="312" w:lineRule="auto" w:before="82"/>
              <w:ind w:left="121" w:right="347"/>
              <w:rPr>
                <w:sz w:val="22"/>
              </w:rPr>
            </w:pPr>
            <w:r>
              <w:rPr>
                <w:sz w:val="22"/>
              </w:rPr>
              <w:t>‘open surgical repositioning’ is designed to prevent the item being inappropriately claimed when removing or repositioning leads percutaneously</w:t>
            </w:r>
          </w:p>
        </w:tc>
      </w:tr>
      <w:tr>
        <w:trPr>
          <w:trHeight w:val="236" w:hRule="atLeast"/>
        </w:trPr>
        <w:tc>
          <w:tcPr>
            <w:tcW w:w="4622" w:type="dxa"/>
            <w:tcBorders>
              <w:top w:val="single" w:sz="4" w:space="0" w:color="B66012"/>
            </w:tcBorders>
          </w:tcPr>
          <w:p>
            <w:pPr>
              <w:pStyle w:val="TableParagraph"/>
              <w:spacing w:line="216" w:lineRule="exact"/>
              <w:ind w:left="115"/>
              <w:rPr>
                <w:b/>
                <w:sz w:val="22"/>
              </w:rPr>
            </w:pPr>
            <w:r>
              <w:rPr>
                <w:b/>
                <w:sz w:val="22"/>
              </w:rPr>
              <w:t>39136</w:t>
            </w:r>
          </w:p>
        </w:tc>
        <w:tc>
          <w:tcPr>
            <w:tcW w:w="2789" w:type="dxa"/>
            <w:tcBorders>
              <w:top w:val="single" w:sz="4" w:space="0" w:color="B66012"/>
            </w:tcBorders>
          </w:tcPr>
          <w:p>
            <w:pPr>
              <w:pStyle w:val="TableParagraph"/>
              <w:rPr>
                <w:rFonts w:ascii="Times New Roman"/>
                <w:sz w:val="16"/>
              </w:rPr>
            </w:pPr>
          </w:p>
        </w:tc>
        <w:tc>
          <w:tcPr>
            <w:tcW w:w="2921" w:type="dxa"/>
            <w:vMerge w:val="restart"/>
            <w:tcBorders>
              <w:top w:val="single" w:sz="4" w:space="0" w:color="B66012"/>
              <w:bottom w:val="single" w:sz="4" w:space="0" w:color="B66012"/>
            </w:tcBorders>
          </w:tcPr>
          <w:p>
            <w:pPr>
              <w:pStyle w:val="TableParagraph"/>
              <w:spacing w:line="312" w:lineRule="auto"/>
              <w:ind w:left="179" w:right="247"/>
              <w:rPr>
                <w:sz w:val="22"/>
              </w:rPr>
            </w:pPr>
            <w:r>
              <w:rPr>
                <w:sz w:val="22"/>
              </w:rPr>
              <w:t>Removes restriction of the procedure to only the chest region</w:t>
            </w:r>
          </w:p>
          <w:p>
            <w:pPr>
              <w:pStyle w:val="TableParagraph"/>
              <w:spacing w:line="312" w:lineRule="auto"/>
              <w:ind w:left="179" w:right="117"/>
              <w:rPr>
                <w:sz w:val="22"/>
              </w:rPr>
            </w:pPr>
            <w:r>
              <w:rPr>
                <w:sz w:val="22"/>
              </w:rPr>
              <w:t>Prevents the item from being inappropriately claimed when removing or</w:t>
            </w:r>
          </w:p>
        </w:tc>
        <w:tc>
          <w:tcPr>
            <w:tcW w:w="3635" w:type="dxa"/>
            <w:tcBorders>
              <w:top w:val="single" w:sz="4" w:space="0" w:color="B66012"/>
            </w:tcBorders>
          </w:tcPr>
          <w:p>
            <w:pPr>
              <w:pStyle w:val="TableParagraph"/>
              <w:rPr>
                <w:rFonts w:ascii="Times New Roman"/>
                <w:sz w:val="16"/>
              </w:rPr>
            </w:pPr>
          </w:p>
        </w:tc>
      </w:tr>
      <w:tr>
        <w:trPr>
          <w:trHeight w:val="2099" w:hRule="atLeast"/>
        </w:trPr>
        <w:tc>
          <w:tcPr>
            <w:tcW w:w="4622" w:type="dxa"/>
            <w:tcBorders>
              <w:bottom w:val="single" w:sz="4" w:space="0" w:color="B66012"/>
            </w:tcBorders>
          </w:tcPr>
          <w:p>
            <w:pPr>
              <w:pStyle w:val="TableParagraph"/>
              <w:spacing w:line="199" w:lineRule="exact"/>
              <w:ind w:left="1040"/>
              <w:rPr>
                <w:sz w:val="22"/>
              </w:rPr>
            </w:pPr>
            <w:r>
              <w:rPr>
                <w:sz w:val="22"/>
              </w:rPr>
              <w:t>Removing of lead from the epidural or</w:t>
            </w:r>
          </w:p>
          <w:p>
            <w:pPr>
              <w:pStyle w:val="TableParagraph"/>
              <w:spacing w:line="312" w:lineRule="auto" w:before="79"/>
              <w:ind w:left="1040" w:right="114"/>
              <w:rPr>
                <w:sz w:val="22"/>
              </w:rPr>
            </w:pPr>
            <w:r>
              <w:rPr>
                <w:sz w:val="22"/>
              </w:rPr>
              <w:t>peripheral nerve space in an operating theatre</w:t>
            </w:r>
          </w:p>
        </w:tc>
        <w:tc>
          <w:tcPr>
            <w:tcW w:w="2789" w:type="dxa"/>
            <w:tcBorders>
              <w:bottom w:val="single" w:sz="4" w:space="0" w:color="B66012"/>
            </w:tcBorders>
          </w:tcPr>
          <w:p>
            <w:pPr>
              <w:pStyle w:val="TableParagraph"/>
              <w:spacing w:line="199" w:lineRule="exact"/>
              <w:ind w:left="121"/>
              <w:rPr>
                <w:sz w:val="22"/>
              </w:rPr>
            </w:pPr>
            <w:r>
              <w:rPr>
                <w:sz w:val="22"/>
              </w:rPr>
              <w:t>Delete ‘neuropathic’ and</w:t>
            </w:r>
          </w:p>
          <w:p>
            <w:pPr>
              <w:pStyle w:val="TableParagraph"/>
              <w:spacing w:before="79"/>
              <w:ind w:left="121"/>
              <w:rPr>
                <w:sz w:val="22"/>
              </w:rPr>
            </w:pPr>
            <w:r>
              <w:rPr>
                <w:sz w:val="22"/>
              </w:rPr>
              <w:t>‘intractable’</w:t>
            </w:r>
          </w:p>
          <w:p>
            <w:pPr>
              <w:pStyle w:val="TableParagraph"/>
              <w:spacing w:before="5"/>
              <w:rPr>
                <w:b/>
                <w:i/>
                <w:sz w:val="21"/>
              </w:rPr>
            </w:pPr>
          </w:p>
          <w:p>
            <w:pPr>
              <w:pStyle w:val="TableParagraph"/>
              <w:spacing w:before="1"/>
              <w:ind w:left="121"/>
              <w:rPr>
                <w:sz w:val="22"/>
              </w:rPr>
            </w:pPr>
            <w:r>
              <w:rPr>
                <w:sz w:val="22"/>
              </w:rPr>
              <w:t>Add ‘open surgical removal’</w:t>
            </w:r>
          </w:p>
          <w:p>
            <w:pPr>
              <w:pStyle w:val="TableParagraph"/>
              <w:spacing w:before="3"/>
              <w:rPr>
                <w:b/>
                <w:i/>
                <w:sz w:val="21"/>
              </w:rPr>
            </w:pPr>
          </w:p>
          <w:p>
            <w:pPr>
              <w:pStyle w:val="TableParagraph"/>
              <w:spacing w:line="314" w:lineRule="auto"/>
              <w:ind w:left="121" w:right="601"/>
              <w:rPr>
                <w:sz w:val="22"/>
              </w:rPr>
            </w:pPr>
            <w:r>
              <w:rPr>
                <w:sz w:val="22"/>
              </w:rPr>
              <w:t>Replace ‘inserted’ with ‘implanted’</w:t>
            </w:r>
          </w:p>
        </w:tc>
        <w:tc>
          <w:tcPr>
            <w:tcW w:w="2921" w:type="dxa"/>
            <w:vMerge/>
            <w:tcBorders>
              <w:top w:val="nil"/>
              <w:bottom w:val="single" w:sz="4" w:space="0" w:color="B66012"/>
            </w:tcBorders>
          </w:tcPr>
          <w:p>
            <w:pPr>
              <w:rPr>
                <w:sz w:val="2"/>
                <w:szCs w:val="2"/>
              </w:rPr>
            </w:pPr>
          </w:p>
        </w:tc>
        <w:tc>
          <w:tcPr>
            <w:tcW w:w="3635" w:type="dxa"/>
            <w:tcBorders>
              <w:bottom w:val="single" w:sz="4" w:space="0" w:color="B66012"/>
            </w:tcBorders>
          </w:tcPr>
          <w:p>
            <w:pPr>
              <w:pStyle w:val="TableParagraph"/>
              <w:spacing w:line="199" w:lineRule="exact"/>
              <w:ind w:left="121"/>
              <w:rPr>
                <w:sz w:val="22"/>
              </w:rPr>
            </w:pPr>
            <w:r>
              <w:rPr>
                <w:sz w:val="22"/>
              </w:rPr>
              <w:t>Adding ‘open surgical removal’ or</w:t>
            </w:r>
          </w:p>
          <w:p>
            <w:pPr>
              <w:pStyle w:val="TableParagraph"/>
              <w:spacing w:line="312" w:lineRule="auto" w:before="79"/>
              <w:ind w:left="121" w:right="347"/>
              <w:rPr>
                <w:sz w:val="22"/>
              </w:rPr>
            </w:pPr>
            <w:r>
              <w:rPr>
                <w:sz w:val="22"/>
              </w:rPr>
              <w:t>‘open surgical repositioning’ is designed to prevent the item being inappropriately claimed when removing or repositioning leads percutaneously</w:t>
            </w:r>
          </w:p>
        </w:tc>
      </w:tr>
    </w:tbl>
    <w:p>
      <w:pPr>
        <w:spacing w:after="0" w:line="312" w:lineRule="auto"/>
        <w:rPr>
          <w:sz w:val="22"/>
        </w:rPr>
        <w:sectPr>
          <w:pgSz w:w="16840" w:h="11910" w:orient="landscape"/>
          <w:pgMar w:header="0" w:footer="722" w:top="1180" w:bottom="920" w:left="1000" w:right="1640"/>
        </w:sectPr>
      </w:pPr>
    </w:p>
    <w:p>
      <w:pPr>
        <w:pStyle w:val="BodyText"/>
        <w:rPr>
          <w:b/>
          <w:i/>
          <w:sz w:val="20"/>
        </w:rPr>
      </w:pPr>
    </w:p>
    <w:p>
      <w:pPr>
        <w:pStyle w:val="BodyText"/>
        <w:rPr>
          <w:b/>
          <w:i/>
          <w:sz w:val="20"/>
        </w:rPr>
      </w:pPr>
    </w:p>
    <w:p>
      <w:pPr>
        <w:pStyle w:val="BodyText"/>
        <w:spacing w:before="7"/>
        <w:rPr>
          <w:b/>
          <w:i/>
          <w:sz w:val="10"/>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11"/>
        <w:gridCol w:w="2702"/>
        <w:gridCol w:w="3021"/>
        <w:gridCol w:w="3636"/>
      </w:tblGrid>
      <w:tr>
        <w:trPr>
          <w:trHeight w:val="697" w:hRule="atLeast"/>
        </w:trPr>
        <w:tc>
          <w:tcPr>
            <w:tcW w:w="4611" w:type="dxa"/>
            <w:tcBorders>
              <w:top w:val="single" w:sz="4" w:space="0" w:color="B66012"/>
              <w:bottom w:val="single" w:sz="4" w:space="0" w:color="B66012"/>
            </w:tcBorders>
          </w:tcPr>
          <w:p>
            <w:pPr>
              <w:pStyle w:val="TableParagraph"/>
              <w:rPr>
                <w:rFonts w:ascii="Times New Roman"/>
                <w:sz w:val="20"/>
              </w:rPr>
            </w:pPr>
          </w:p>
        </w:tc>
        <w:tc>
          <w:tcPr>
            <w:tcW w:w="2702" w:type="dxa"/>
            <w:tcBorders>
              <w:top w:val="single" w:sz="4" w:space="0" w:color="B66012"/>
              <w:bottom w:val="single" w:sz="4" w:space="0" w:color="B66012"/>
            </w:tcBorders>
          </w:tcPr>
          <w:p>
            <w:pPr>
              <w:pStyle w:val="TableParagraph"/>
              <w:rPr>
                <w:rFonts w:ascii="Times New Roman"/>
                <w:sz w:val="20"/>
              </w:rPr>
            </w:pPr>
          </w:p>
        </w:tc>
        <w:tc>
          <w:tcPr>
            <w:tcW w:w="3021" w:type="dxa"/>
            <w:tcBorders>
              <w:top w:val="single" w:sz="4" w:space="0" w:color="B66012"/>
              <w:bottom w:val="single" w:sz="4" w:space="0" w:color="B66012"/>
            </w:tcBorders>
          </w:tcPr>
          <w:p>
            <w:pPr>
              <w:pStyle w:val="TableParagraph"/>
              <w:spacing w:line="265" w:lineRule="exact"/>
              <w:ind w:left="277"/>
              <w:rPr>
                <w:sz w:val="22"/>
              </w:rPr>
            </w:pPr>
            <w:r>
              <w:rPr>
                <w:sz w:val="22"/>
              </w:rPr>
              <w:t>repositioning leads</w:t>
            </w:r>
          </w:p>
          <w:p>
            <w:pPr>
              <w:pStyle w:val="TableParagraph"/>
              <w:spacing w:before="79"/>
              <w:ind w:left="277"/>
              <w:rPr>
                <w:sz w:val="22"/>
              </w:rPr>
            </w:pPr>
            <w:r>
              <w:rPr>
                <w:sz w:val="22"/>
              </w:rPr>
              <w:t>percutaneously</w:t>
            </w:r>
          </w:p>
        </w:tc>
        <w:tc>
          <w:tcPr>
            <w:tcW w:w="3636" w:type="dxa"/>
            <w:tcBorders>
              <w:top w:val="single" w:sz="4" w:space="0" w:color="B66012"/>
              <w:bottom w:val="single" w:sz="4" w:space="0" w:color="B66012"/>
            </w:tcBorders>
          </w:tcPr>
          <w:p>
            <w:pPr>
              <w:pStyle w:val="TableParagraph"/>
              <w:rPr>
                <w:rFonts w:ascii="Times New Roman"/>
                <w:sz w:val="20"/>
              </w:rPr>
            </w:pPr>
          </w:p>
        </w:tc>
      </w:tr>
      <w:tr>
        <w:trPr>
          <w:trHeight w:val="236" w:hRule="atLeast"/>
        </w:trPr>
        <w:tc>
          <w:tcPr>
            <w:tcW w:w="4611" w:type="dxa"/>
            <w:tcBorders>
              <w:top w:val="single" w:sz="4" w:space="0" w:color="B66012"/>
            </w:tcBorders>
          </w:tcPr>
          <w:p>
            <w:pPr>
              <w:pStyle w:val="TableParagraph"/>
              <w:spacing w:line="216" w:lineRule="exact"/>
              <w:ind w:left="115"/>
              <w:rPr>
                <w:b/>
                <w:sz w:val="22"/>
              </w:rPr>
            </w:pPr>
            <w:r>
              <w:rPr>
                <w:b/>
                <w:sz w:val="22"/>
              </w:rPr>
              <w:t>39137</w:t>
            </w:r>
          </w:p>
        </w:tc>
        <w:tc>
          <w:tcPr>
            <w:tcW w:w="2702" w:type="dxa"/>
            <w:tcBorders>
              <w:top w:val="single" w:sz="4" w:space="0" w:color="B66012"/>
            </w:tcBorders>
          </w:tcPr>
          <w:p>
            <w:pPr>
              <w:pStyle w:val="TableParagraph"/>
              <w:rPr>
                <w:rFonts w:ascii="Times New Roman"/>
                <w:sz w:val="16"/>
              </w:rPr>
            </w:pPr>
          </w:p>
        </w:tc>
        <w:tc>
          <w:tcPr>
            <w:tcW w:w="3021" w:type="dxa"/>
            <w:vMerge w:val="restart"/>
            <w:tcBorders>
              <w:top w:val="single" w:sz="4" w:space="0" w:color="B66012"/>
              <w:bottom w:val="single" w:sz="4" w:space="0" w:color="B66012"/>
            </w:tcBorders>
          </w:tcPr>
          <w:p>
            <w:pPr>
              <w:pStyle w:val="TableParagraph"/>
              <w:spacing w:line="312" w:lineRule="auto"/>
              <w:ind w:left="277" w:right="249"/>
              <w:rPr>
                <w:sz w:val="22"/>
              </w:rPr>
            </w:pPr>
            <w:r>
              <w:rPr>
                <w:sz w:val="22"/>
              </w:rPr>
              <w:t>Removes restriction of the procedure to only the chest region</w:t>
            </w:r>
          </w:p>
          <w:p>
            <w:pPr>
              <w:pStyle w:val="TableParagraph"/>
              <w:spacing w:line="312" w:lineRule="auto"/>
              <w:ind w:left="277" w:right="119"/>
              <w:rPr>
                <w:sz w:val="22"/>
              </w:rPr>
            </w:pPr>
            <w:r>
              <w:rPr>
                <w:sz w:val="22"/>
              </w:rPr>
              <w:t>Prevents the item from being inappropriately claimed when removing or repositioning leads</w:t>
            </w:r>
          </w:p>
          <w:p>
            <w:pPr>
              <w:pStyle w:val="TableParagraph"/>
              <w:ind w:left="277"/>
              <w:rPr>
                <w:sz w:val="22"/>
              </w:rPr>
            </w:pPr>
            <w:r>
              <w:rPr>
                <w:sz w:val="22"/>
              </w:rPr>
              <w:t>percutaneously</w:t>
            </w:r>
          </w:p>
        </w:tc>
        <w:tc>
          <w:tcPr>
            <w:tcW w:w="3636" w:type="dxa"/>
            <w:tcBorders>
              <w:top w:val="single" w:sz="4" w:space="0" w:color="B66012"/>
            </w:tcBorders>
          </w:tcPr>
          <w:p>
            <w:pPr>
              <w:pStyle w:val="TableParagraph"/>
              <w:rPr>
                <w:rFonts w:ascii="Times New Roman"/>
                <w:sz w:val="16"/>
              </w:rPr>
            </w:pPr>
          </w:p>
        </w:tc>
      </w:tr>
      <w:tr>
        <w:trPr>
          <w:trHeight w:val="2547" w:hRule="atLeast"/>
        </w:trPr>
        <w:tc>
          <w:tcPr>
            <w:tcW w:w="4611" w:type="dxa"/>
            <w:tcBorders>
              <w:bottom w:val="single" w:sz="4" w:space="0" w:color="B66012"/>
            </w:tcBorders>
          </w:tcPr>
          <w:p>
            <w:pPr>
              <w:pStyle w:val="TableParagraph"/>
              <w:spacing w:line="199" w:lineRule="exact"/>
              <w:ind w:left="1040"/>
              <w:rPr>
                <w:sz w:val="22"/>
              </w:rPr>
            </w:pPr>
            <w:r>
              <w:rPr>
                <w:sz w:val="22"/>
              </w:rPr>
              <w:t>Repositioning of lead including</w:t>
            </w:r>
          </w:p>
          <w:p>
            <w:pPr>
              <w:pStyle w:val="TableParagraph"/>
              <w:spacing w:before="79"/>
              <w:ind w:left="1040"/>
              <w:rPr>
                <w:sz w:val="22"/>
              </w:rPr>
            </w:pPr>
            <w:r>
              <w:rPr>
                <w:sz w:val="22"/>
              </w:rPr>
              <w:t>intraoperative test stimulation.</w:t>
            </w:r>
          </w:p>
        </w:tc>
        <w:tc>
          <w:tcPr>
            <w:tcW w:w="2702" w:type="dxa"/>
            <w:tcBorders>
              <w:bottom w:val="single" w:sz="4" w:space="0" w:color="B66012"/>
            </w:tcBorders>
          </w:tcPr>
          <w:p>
            <w:pPr>
              <w:pStyle w:val="TableParagraph"/>
              <w:spacing w:line="199" w:lineRule="exact"/>
              <w:ind w:left="132"/>
              <w:rPr>
                <w:sz w:val="22"/>
              </w:rPr>
            </w:pPr>
            <w:r>
              <w:rPr>
                <w:sz w:val="22"/>
              </w:rPr>
              <w:t>Delete ‘neuropathic’ and</w:t>
            </w:r>
          </w:p>
          <w:p>
            <w:pPr>
              <w:pStyle w:val="TableParagraph"/>
              <w:spacing w:before="79"/>
              <w:ind w:left="132"/>
              <w:rPr>
                <w:sz w:val="22"/>
              </w:rPr>
            </w:pPr>
            <w:r>
              <w:rPr>
                <w:sz w:val="22"/>
              </w:rPr>
              <w:t>‘intractable’</w:t>
            </w:r>
          </w:p>
          <w:p>
            <w:pPr>
              <w:pStyle w:val="TableParagraph"/>
              <w:spacing w:before="5"/>
              <w:rPr>
                <w:b/>
                <w:i/>
                <w:sz w:val="21"/>
              </w:rPr>
            </w:pPr>
          </w:p>
          <w:p>
            <w:pPr>
              <w:pStyle w:val="TableParagraph"/>
              <w:spacing w:line="312" w:lineRule="auto" w:before="1"/>
              <w:ind w:left="132" w:right="503"/>
              <w:rPr>
                <w:sz w:val="22"/>
              </w:rPr>
            </w:pPr>
            <w:r>
              <w:rPr>
                <w:sz w:val="22"/>
              </w:rPr>
              <w:t>Replace ‘inserted’ with ‘implanted’</w:t>
            </w:r>
          </w:p>
          <w:p>
            <w:pPr>
              <w:pStyle w:val="TableParagraph"/>
              <w:spacing w:line="312" w:lineRule="auto" w:before="180"/>
              <w:ind w:left="132" w:right="405"/>
              <w:rPr>
                <w:sz w:val="22"/>
              </w:rPr>
            </w:pPr>
            <w:r>
              <w:rPr>
                <w:sz w:val="22"/>
              </w:rPr>
              <w:t>Amend to include ‘open surgical repositioning’</w:t>
            </w:r>
          </w:p>
        </w:tc>
        <w:tc>
          <w:tcPr>
            <w:tcW w:w="3021" w:type="dxa"/>
            <w:vMerge/>
            <w:tcBorders>
              <w:top w:val="nil"/>
              <w:bottom w:val="single" w:sz="4" w:space="0" w:color="B66012"/>
            </w:tcBorders>
          </w:tcPr>
          <w:p>
            <w:pPr>
              <w:rPr>
                <w:sz w:val="2"/>
                <w:szCs w:val="2"/>
              </w:rPr>
            </w:pPr>
          </w:p>
        </w:tc>
        <w:tc>
          <w:tcPr>
            <w:tcW w:w="3636" w:type="dxa"/>
            <w:tcBorders>
              <w:bottom w:val="single" w:sz="4" w:space="0" w:color="B66012"/>
            </w:tcBorders>
          </w:tcPr>
          <w:p>
            <w:pPr>
              <w:pStyle w:val="TableParagraph"/>
              <w:spacing w:line="199" w:lineRule="exact"/>
              <w:ind w:left="119"/>
              <w:rPr>
                <w:sz w:val="22"/>
              </w:rPr>
            </w:pPr>
            <w:r>
              <w:rPr>
                <w:sz w:val="22"/>
              </w:rPr>
              <w:t>Adding ‘open surgical removal’ or</w:t>
            </w:r>
          </w:p>
          <w:p>
            <w:pPr>
              <w:pStyle w:val="TableParagraph"/>
              <w:spacing w:line="312" w:lineRule="auto" w:before="79"/>
              <w:ind w:left="119" w:right="350"/>
              <w:rPr>
                <w:sz w:val="22"/>
              </w:rPr>
            </w:pPr>
            <w:r>
              <w:rPr>
                <w:sz w:val="22"/>
              </w:rPr>
              <w:t>‘open surgical repositioning’ is designed to prevent the item being inappropriately claimed when removing or repositioning leads percutaneously</w:t>
            </w:r>
          </w:p>
        </w:tc>
      </w:tr>
      <w:tr>
        <w:trPr>
          <w:trHeight w:val="240" w:hRule="atLeast"/>
        </w:trPr>
        <w:tc>
          <w:tcPr>
            <w:tcW w:w="4611" w:type="dxa"/>
            <w:tcBorders>
              <w:top w:val="single" w:sz="4" w:space="0" w:color="B66012"/>
            </w:tcBorders>
          </w:tcPr>
          <w:p>
            <w:pPr>
              <w:pStyle w:val="TableParagraph"/>
              <w:spacing w:line="221" w:lineRule="exact"/>
              <w:ind w:left="115"/>
              <w:rPr>
                <w:b/>
                <w:sz w:val="22"/>
              </w:rPr>
            </w:pPr>
            <w:r>
              <w:rPr>
                <w:b/>
                <w:sz w:val="22"/>
              </w:rPr>
              <w:t>39139</w:t>
            </w:r>
          </w:p>
        </w:tc>
        <w:tc>
          <w:tcPr>
            <w:tcW w:w="2702" w:type="dxa"/>
            <w:tcBorders>
              <w:top w:val="single" w:sz="4" w:space="0" w:color="B66012"/>
            </w:tcBorders>
          </w:tcPr>
          <w:p>
            <w:pPr>
              <w:pStyle w:val="TableParagraph"/>
              <w:rPr>
                <w:rFonts w:ascii="Times New Roman"/>
                <w:sz w:val="16"/>
              </w:rPr>
            </w:pPr>
          </w:p>
        </w:tc>
        <w:tc>
          <w:tcPr>
            <w:tcW w:w="3021" w:type="dxa"/>
            <w:tcBorders>
              <w:top w:val="single" w:sz="4" w:space="0" w:color="B66012"/>
            </w:tcBorders>
          </w:tcPr>
          <w:p>
            <w:pPr>
              <w:pStyle w:val="TableParagraph"/>
              <w:rPr>
                <w:rFonts w:ascii="Times New Roman"/>
                <w:sz w:val="16"/>
              </w:rPr>
            </w:pPr>
          </w:p>
        </w:tc>
        <w:tc>
          <w:tcPr>
            <w:tcW w:w="3636" w:type="dxa"/>
            <w:tcBorders>
              <w:top w:val="single" w:sz="4" w:space="0" w:color="B66012"/>
            </w:tcBorders>
          </w:tcPr>
          <w:p>
            <w:pPr>
              <w:pStyle w:val="TableParagraph"/>
              <w:rPr>
                <w:rFonts w:ascii="Times New Roman"/>
                <w:sz w:val="16"/>
              </w:rPr>
            </w:pPr>
          </w:p>
        </w:tc>
      </w:tr>
      <w:tr>
        <w:trPr>
          <w:trHeight w:val="2622" w:hRule="atLeast"/>
        </w:trPr>
        <w:tc>
          <w:tcPr>
            <w:tcW w:w="4611" w:type="dxa"/>
            <w:tcBorders>
              <w:bottom w:val="single" w:sz="4" w:space="0" w:color="B66012"/>
            </w:tcBorders>
          </w:tcPr>
          <w:p>
            <w:pPr>
              <w:pStyle w:val="TableParagraph"/>
              <w:spacing w:line="204" w:lineRule="exact"/>
              <w:ind w:left="1040"/>
              <w:rPr>
                <w:sz w:val="22"/>
              </w:rPr>
            </w:pPr>
            <w:r>
              <w:rPr>
                <w:sz w:val="22"/>
              </w:rPr>
              <w:t>Placement of an epidural lead through</w:t>
            </w:r>
          </w:p>
          <w:p>
            <w:pPr>
              <w:pStyle w:val="TableParagraph"/>
              <w:spacing w:line="312" w:lineRule="auto" w:before="79"/>
              <w:ind w:left="1040" w:right="366"/>
              <w:rPr>
                <w:sz w:val="22"/>
              </w:rPr>
            </w:pPr>
            <w:r>
              <w:rPr>
                <w:sz w:val="22"/>
              </w:rPr>
              <w:t>the back of the vertebrae, including test stimulation.</w:t>
            </w:r>
          </w:p>
        </w:tc>
        <w:tc>
          <w:tcPr>
            <w:tcW w:w="2702" w:type="dxa"/>
            <w:tcBorders>
              <w:bottom w:val="single" w:sz="4" w:space="0" w:color="B66012"/>
            </w:tcBorders>
          </w:tcPr>
          <w:p>
            <w:pPr>
              <w:pStyle w:val="TableParagraph"/>
              <w:spacing w:line="204" w:lineRule="exact"/>
              <w:ind w:left="132"/>
              <w:rPr>
                <w:sz w:val="22"/>
              </w:rPr>
            </w:pPr>
            <w:r>
              <w:rPr>
                <w:sz w:val="22"/>
              </w:rPr>
              <w:t>Delete ‘neuropathic’ and</w:t>
            </w:r>
          </w:p>
          <w:p>
            <w:pPr>
              <w:pStyle w:val="TableParagraph"/>
              <w:spacing w:before="79"/>
              <w:ind w:left="132"/>
              <w:rPr>
                <w:sz w:val="22"/>
              </w:rPr>
            </w:pPr>
            <w:r>
              <w:rPr>
                <w:sz w:val="22"/>
              </w:rPr>
              <w:t>‘intractable’</w:t>
            </w:r>
          </w:p>
          <w:p>
            <w:pPr>
              <w:pStyle w:val="TableParagraph"/>
              <w:spacing w:before="5"/>
              <w:rPr>
                <w:b/>
                <w:i/>
                <w:sz w:val="21"/>
              </w:rPr>
            </w:pPr>
          </w:p>
          <w:p>
            <w:pPr>
              <w:pStyle w:val="TableParagraph"/>
              <w:spacing w:line="312" w:lineRule="auto" w:before="1"/>
              <w:ind w:left="132" w:right="261"/>
              <w:rPr>
                <w:sz w:val="22"/>
              </w:rPr>
            </w:pPr>
            <w:r>
              <w:rPr>
                <w:sz w:val="22"/>
              </w:rPr>
              <w:t>Amend ‘refractory angina pectoris’ to ‘refractory ischaemic pain’</w:t>
            </w:r>
          </w:p>
        </w:tc>
        <w:tc>
          <w:tcPr>
            <w:tcW w:w="3021" w:type="dxa"/>
            <w:tcBorders>
              <w:bottom w:val="single" w:sz="4" w:space="0" w:color="B66012"/>
            </w:tcBorders>
          </w:tcPr>
          <w:p>
            <w:pPr>
              <w:pStyle w:val="TableParagraph"/>
              <w:spacing w:line="204" w:lineRule="exact"/>
              <w:ind w:left="277"/>
              <w:rPr>
                <w:sz w:val="22"/>
              </w:rPr>
            </w:pPr>
            <w:r>
              <w:rPr>
                <w:sz w:val="22"/>
              </w:rPr>
              <w:t>Removes restriction of the</w:t>
            </w:r>
          </w:p>
          <w:p>
            <w:pPr>
              <w:pStyle w:val="TableParagraph"/>
              <w:spacing w:line="312" w:lineRule="auto" w:before="79"/>
              <w:ind w:left="277" w:right="249"/>
              <w:rPr>
                <w:sz w:val="22"/>
              </w:rPr>
            </w:pPr>
            <w:r>
              <w:rPr>
                <w:sz w:val="22"/>
              </w:rPr>
              <w:t>procedure to only the chest region</w:t>
            </w:r>
          </w:p>
        </w:tc>
        <w:tc>
          <w:tcPr>
            <w:tcW w:w="3636" w:type="dxa"/>
            <w:tcBorders>
              <w:bottom w:val="single" w:sz="4" w:space="0" w:color="B66012"/>
            </w:tcBorders>
          </w:tcPr>
          <w:p>
            <w:pPr>
              <w:pStyle w:val="TableParagraph"/>
              <w:spacing w:line="204" w:lineRule="exact"/>
              <w:ind w:left="119"/>
              <w:rPr>
                <w:sz w:val="22"/>
              </w:rPr>
            </w:pPr>
            <w:r>
              <w:rPr>
                <w:sz w:val="22"/>
              </w:rPr>
              <w:t>Focuses on modernising the MBS and</w:t>
            </w:r>
          </w:p>
          <w:p>
            <w:pPr>
              <w:pStyle w:val="TableParagraph"/>
              <w:spacing w:line="312" w:lineRule="auto" w:before="79"/>
              <w:ind w:left="119" w:right="221"/>
              <w:rPr>
                <w:sz w:val="22"/>
              </w:rPr>
            </w:pPr>
            <w:r>
              <w:rPr>
                <w:sz w:val="22"/>
              </w:rPr>
              <w:t>ensuring that high-value services are rebated</w:t>
            </w:r>
          </w:p>
          <w:p>
            <w:pPr>
              <w:pStyle w:val="TableParagraph"/>
              <w:spacing w:line="312" w:lineRule="auto" w:before="181"/>
              <w:ind w:left="119" w:right="254"/>
              <w:rPr>
                <w:sz w:val="22"/>
              </w:rPr>
            </w:pPr>
            <w:r>
              <w:rPr>
                <w:sz w:val="22"/>
              </w:rPr>
              <w:t>The amended item is intended to provide clarity around claiming practices and appropriate use of the item numbers</w:t>
            </w:r>
          </w:p>
        </w:tc>
      </w:tr>
      <w:tr>
        <w:trPr>
          <w:trHeight w:val="1117" w:hRule="atLeast"/>
        </w:trPr>
        <w:tc>
          <w:tcPr>
            <w:tcW w:w="10334" w:type="dxa"/>
            <w:gridSpan w:val="3"/>
            <w:tcBorders>
              <w:top w:val="single" w:sz="4" w:space="0" w:color="B66012"/>
              <w:bottom w:val="single" w:sz="4" w:space="0" w:color="B66012"/>
            </w:tcBorders>
          </w:tcPr>
          <w:p>
            <w:pPr>
              <w:pStyle w:val="TableParagraph"/>
              <w:rPr>
                <w:b/>
                <w:i/>
                <w:sz w:val="22"/>
              </w:rPr>
            </w:pPr>
          </w:p>
          <w:p>
            <w:pPr>
              <w:pStyle w:val="TableParagraph"/>
              <w:rPr>
                <w:b/>
                <w:i/>
                <w:sz w:val="22"/>
              </w:rPr>
            </w:pPr>
          </w:p>
          <w:p>
            <w:pPr>
              <w:pStyle w:val="TableParagraph"/>
              <w:tabs>
                <w:tab w:pos="2434" w:val="left" w:leader="none"/>
              </w:tabs>
              <w:spacing w:before="170"/>
              <w:ind w:left="115"/>
              <w:rPr>
                <w:b/>
                <w:i/>
                <w:sz w:val="22"/>
              </w:rPr>
            </w:pPr>
            <w:r>
              <w:rPr>
                <w:b/>
                <w:i/>
                <w:sz w:val="22"/>
              </w:rPr>
              <w:t>Recommendation</w:t>
            </w:r>
            <w:r>
              <w:rPr>
                <w:b/>
                <w:i/>
                <w:spacing w:val="-2"/>
                <w:sz w:val="22"/>
              </w:rPr>
              <w:t> </w:t>
            </w:r>
            <w:r>
              <w:rPr>
                <w:b/>
                <w:i/>
                <w:sz w:val="22"/>
              </w:rPr>
              <w:t>16:</w:t>
              <w:tab/>
              <w:t>Clarifying items 39130 and 39138 – small electrical</w:t>
            </w:r>
            <w:r>
              <w:rPr>
                <w:b/>
                <w:i/>
                <w:spacing w:val="-5"/>
                <w:sz w:val="22"/>
              </w:rPr>
              <w:t> </w:t>
            </w:r>
            <w:r>
              <w:rPr>
                <w:b/>
                <w:i/>
                <w:sz w:val="22"/>
              </w:rPr>
              <w:t>stimulation</w:t>
            </w:r>
          </w:p>
        </w:tc>
        <w:tc>
          <w:tcPr>
            <w:tcW w:w="3636" w:type="dxa"/>
            <w:tcBorders>
              <w:top w:val="single" w:sz="4" w:space="0" w:color="B66012"/>
              <w:bottom w:val="single" w:sz="4" w:space="0" w:color="B66012"/>
            </w:tcBorders>
          </w:tcPr>
          <w:p>
            <w:pPr>
              <w:pStyle w:val="TableParagraph"/>
              <w:rPr>
                <w:rFonts w:ascii="Times New Roman"/>
                <w:sz w:val="20"/>
              </w:rPr>
            </w:pPr>
          </w:p>
        </w:tc>
      </w:tr>
    </w:tbl>
    <w:p>
      <w:pPr>
        <w:spacing w:after="0"/>
        <w:rPr>
          <w:rFonts w:ascii="Times New Roman"/>
          <w:sz w:val="20"/>
        </w:rPr>
        <w:sectPr>
          <w:pgSz w:w="16840" w:h="11910" w:orient="landscape"/>
          <w:pgMar w:header="0" w:footer="722" w:top="1180" w:bottom="920" w:left="1000" w:right="1640"/>
        </w:sectPr>
      </w:pPr>
    </w:p>
    <w:p>
      <w:pPr>
        <w:pStyle w:val="BodyText"/>
        <w:rPr>
          <w:b/>
          <w:i/>
          <w:sz w:val="20"/>
        </w:rPr>
      </w:pPr>
    </w:p>
    <w:p>
      <w:pPr>
        <w:pStyle w:val="BodyText"/>
        <w:rPr>
          <w:b/>
          <w:i/>
          <w:sz w:val="20"/>
        </w:rPr>
      </w:pPr>
    </w:p>
    <w:p>
      <w:pPr>
        <w:pStyle w:val="BodyText"/>
        <w:spacing w:before="7"/>
        <w:rPr>
          <w:b/>
          <w:i/>
          <w:sz w:val="10"/>
        </w:r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8"/>
        <w:gridCol w:w="3770"/>
        <w:gridCol w:w="2805"/>
        <w:gridCol w:w="2886"/>
        <w:gridCol w:w="3649"/>
      </w:tblGrid>
      <w:tr>
        <w:trPr>
          <w:trHeight w:val="937" w:hRule="atLeast"/>
        </w:trPr>
        <w:tc>
          <w:tcPr>
            <w:tcW w:w="858" w:type="dxa"/>
            <w:tcBorders>
              <w:top w:val="single" w:sz="4" w:space="0" w:color="B66012"/>
              <w:bottom w:val="single" w:sz="4" w:space="0" w:color="B66012"/>
            </w:tcBorders>
            <w:shd w:val="clear" w:color="auto" w:fill="CC6600"/>
          </w:tcPr>
          <w:p>
            <w:pPr>
              <w:pStyle w:val="TableParagraph"/>
              <w:spacing w:before="176"/>
              <w:ind w:left="116"/>
              <w:rPr>
                <w:b/>
                <w:sz w:val="22"/>
              </w:rPr>
            </w:pPr>
            <w:r>
              <w:rPr>
                <w:b/>
                <w:sz w:val="22"/>
              </w:rPr>
              <w:t>Item</w:t>
            </w:r>
          </w:p>
        </w:tc>
        <w:tc>
          <w:tcPr>
            <w:tcW w:w="3770" w:type="dxa"/>
            <w:tcBorders>
              <w:top w:val="single" w:sz="4" w:space="0" w:color="B66012"/>
              <w:bottom w:val="single" w:sz="4" w:space="0" w:color="B66012"/>
            </w:tcBorders>
            <w:shd w:val="clear" w:color="auto" w:fill="CC6600"/>
          </w:tcPr>
          <w:p>
            <w:pPr>
              <w:pStyle w:val="TableParagraph"/>
              <w:spacing w:before="176"/>
              <w:ind w:left="183"/>
              <w:rPr>
                <w:b/>
                <w:sz w:val="22"/>
              </w:rPr>
            </w:pPr>
            <w:r>
              <w:rPr>
                <w:b/>
                <w:sz w:val="22"/>
              </w:rPr>
              <w:t>What it does</w:t>
            </w:r>
          </w:p>
        </w:tc>
        <w:tc>
          <w:tcPr>
            <w:tcW w:w="2805" w:type="dxa"/>
            <w:tcBorders>
              <w:top w:val="single" w:sz="4" w:space="0" w:color="B66012"/>
              <w:bottom w:val="single" w:sz="4" w:space="0" w:color="B66012"/>
            </w:tcBorders>
            <w:shd w:val="clear" w:color="auto" w:fill="CC6600"/>
          </w:tcPr>
          <w:p>
            <w:pPr>
              <w:pStyle w:val="TableParagraph"/>
              <w:spacing w:line="312" w:lineRule="auto" w:before="176"/>
              <w:ind w:left="117" w:right="1088"/>
              <w:rPr>
                <w:b/>
                <w:sz w:val="22"/>
              </w:rPr>
            </w:pPr>
            <w:r>
              <w:rPr>
                <w:b/>
                <w:sz w:val="22"/>
              </w:rPr>
              <w:t>Committee recommendation</w:t>
            </w:r>
          </w:p>
        </w:tc>
        <w:tc>
          <w:tcPr>
            <w:tcW w:w="2886" w:type="dxa"/>
            <w:tcBorders>
              <w:top w:val="single" w:sz="4" w:space="0" w:color="B66012"/>
              <w:bottom w:val="single" w:sz="4" w:space="0" w:color="B66012"/>
            </w:tcBorders>
            <w:shd w:val="clear" w:color="auto" w:fill="CC6600"/>
          </w:tcPr>
          <w:p>
            <w:pPr>
              <w:pStyle w:val="TableParagraph"/>
              <w:spacing w:before="176"/>
              <w:ind w:left="158"/>
              <w:rPr>
                <w:b/>
                <w:sz w:val="22"/>
              </w:rPr>
            </w:pPr>
            <w:r>
              <w:rPr>
                <w:b/>
                <w:sz w:val="22"/>
              </w:rPr>
              <w:t>What would be different</w:t>
            </w:r>
          </w:p>
        </w:tc>
        <w:tc>
          <w:tcPr>
            <w:tcW w:w="3649" w:type="dxa"/>
            <w:tcBorders>
              <w:top w:val="single" w:sz="4" w:space="0" w:color="B66012"/>
              <w:bottom w:val="single" w:sz="4" w:space="0" w:color="B66012"/>
            </w:tcBorders>
            <w:shd w:val="clear" w:color="auto" w:fill="CC6600"/>
          </w:tcPr>
          <w:p>
            <w:pPr>
              <w:pStyle w:val="TableParagraph"/>
              <w:spacing w:before="176"/>
              <w:ind w:left="136"/>
              <w:rPr>
                <w:b/>
                <w:sz w:val="22"/>
              </w:rPr>
            </w:pPr>
            <w:r>
              <w:rPr>
                <w:b/>
                <w:sz w:val="22"/>
              </w:rPr>
              <w:t>Why</w:t>
            </w:r>
          </w:p>
        </w:tc>
      </w:tr>
      <w:tr>
        <w:trPr>
          <w:trHeight w:val="5837" w:hRule="atLeast"/>
        </w:trPr>
        <w:tc>
          <w:tcPr>
            <w:tcW w:w="858" w:type="dxa"/>
            <w:tcBorders>
              <w:top w:val="single" w:sz="4" w:space="0" w:color="B66012"/>
              <w:bottom w:val="single" w:sz="4" w:space="0" w:color="B66012"/>
            </w:tcBorders>
          </w:tcPr>
          <w:p>
            <w:pPr>
              <w:pStyle w:val="TableParagraph"/>
              <w:spacing w:before="176"/>
              <w:ind w:left="116"/>
              <w:rPr>
                <w:b/>
                <w:sz w:val="22"/>
              </w:rPr>
            </w:pPr>
            <w:r>
              <w:rPr>
                <w:b/>
                <w:sz w:val="22"/>
              </w:rPr>
              <w:t>39130</w:t>
            </w:r>
          </w:p>
          <w:p>
            <w:pPr>
              <w:pStyle w:val="TableParagraph"/>
              <w:spacing w:before="80"/>
              <w:ind w:left="116"/>
              <w:rPr>
                <w:b/>
                <w:sz w:val="22"/>
              </w:rPr>
            </w:pPr>
            <w:r>
              <w:rPr>
                <w:b/>
                <w:sz w:val="22"/>
              </w:rPr>
              <w:t>39138</w:t>
            </w:r>
          </w:p>
        </w:tc>
        <w:tc>
          <w:tcPr>
            <w:tcW w:w="3770" w:type="dxa"/>
            <w:tcBorders>
              <w:top w:val="single" w:sz="4" w:space="0" w:color="B66012"/>
              <w:bottom w:val="single" w:sz="4" w:space="0" w:color="B66012"/>
            </w:tcBorders>
          </w:tcPr>
          <w:p>
            <w:pPr>
              <w:pStyle w:val="TableParagraph"/>
              <w:spacing w:line="312" w:lineRule="auto" w:before="176"/>
              <w:ind w:left="183" w:right="461"/>
              <w:jc w:val="both"/>
              <w:rPr>
                <w:sz w:val="22"/>
              </w:rPr>
            </w:pPr>
            <w:r>
              <w:rPr>
                <w:sz w:val="22"/>
              </w:rPr>
              <w:t>These items refer to Percutaneous Electrical Nerve Stimulation (PENS) therapy</w:t>
            </w:r>
          </w:p>
          <w:p>
            <w:pPr>
              <w:pStyle w:val="TableParagraph"/>
              <w:spacing w:line="312" w:lineRule="auto" w:before="180"/>
              <w:ind w:left="183" w:right="99"/>
              <w:rPr>
                <w:sz w:val="22"/>
              </w:rPr>
            </w:pPr>
            <w:r>
              <w:rPr>
                <w:sz w:val="22"/>
              </w:rPr>
              <w:t>Through the skin, putting a small lead near the spine that can deliver a small electrical stimulation to the area. Used in ion the treatment of chronic pain.</w:t>
            </w:r>
          </w:p>
          <w:p>
            <w:pPr>
              <w:pStyle w:val="TableParagraph"/>
              <w:spacing w:line="312" w:lineRule="auto" w:before="180"/>
              <w:ind w:left="183" w:right="191"/>
              <w:rPr>
                <w:sz w:val="22"/>
              </w:rPr>
            </w:pPr>
            <w:r>
              <w:rPr>
                <w:sz w:val="22"/>
              </w:rPr>
              <w:t>Using a cut in the skin, putting a small lead near a nerve that can deliver a small electrical stimulation. Used in the treatment of chronic pain.</w:t>
            </w:r>
          </w:p>
        </w:tc>
        <w:tc>
          <w:tcPr>
            <w:tcW w:w="2805" w:type="dxa"/>
            <w:tcBorders>
              <w:top w:val="single" w:sz="4" w:space="0" w:color="B66012"/>
              <w:bottom w:val="single" w:sz="4" w:space="0" w:color="B66012"/>
            </w:tcBorders>
          </w:tcPr>
          <w:p>
            <w:pPr>
              <w:pStyle w:val="TableParagraph"/>
              <w:spacing w:before="176"/>
              <w:ind w:left="117"/>
              <w:rPr>
                <w:sz w:val="22"/>
              </w:rPr>
            </w:pPr>
            <w:r>
              <w:rPr>
                <w:sz w:val="22"/>
              </w:rPr>
              <w:t>Deleting ‘neuropathic’</w:t>
            </w:r>
          </w:p>
          <w:p>
            <w:pPr>
              <w:pStyle w:val="TableParagraph"/>
              <w:spacing w:before="3"/>
              <w:rPr>
                <w:b/>
                <w:i/>
                <w:sz w:val="21"/>
              </w:rPr>
            </w:pPr>
          </w:p>
          <w:p>
            <w:pPr>
              <w:pStyle w:val="TableParagraph"/>
              <w:spacing w:line="312" w:lineRule="auto" w:before="1"/>
              <w:ind w:left="117" w:right="379"/>
              <w:rPr>
                <w:sz w:val="22"/>
              </w:rPr>
            </w:pPr>
            <w:r>
              <w:rPr>
                <w:sz w:val="22"/>
              </w:rPr>
              <w:t>Amend ‘refractory angina pectoris’ to ‘refractory ischaemic pain’</w:t>
            </w:r>
          </w:p>
          <w:p>
            <w:pPr>
              <w:pStyle w:val="TableParagraph"/>
              <w:spacing w:line="312" w:lineRule="auto" w:before="182"/>
              <w:ind w:left="117" w:right="293"/>
              <w:rPr>
                <w:sz w:val="22"/>
              </w:rPr>
            </w:pPr>
            <w:r>
              <w:rPr>
                <w:sz w:val="22"/>
              </w:rPr>
              <w:t>Deleting ‘to a maximum of four leads’</w:t>
            </w:r>
          </w:p>
          <w:p>
            <w:pPr>
              <w:pStyle w:val="TableParagraph"/>
              <w:spacing w:line="312" w:lineRule="auto" w:before="180"/>
              <w:ind w:left="117" w:right="651"/>
              <w:rPr>
                <w:sz w:val="22"/>
              </w:rPr>
            </w:pPr>
            <w:r>
              <w:rPr>
                <w:sz w:val="22"/>
              </w:rPr>
              <w:t>For item 39138 adding ‘where the leads are</w:t>
            </w:r>
          </w:p>
          <w:p>
            <w:pPr>
              <w:pStyle w:val="TableParagraph"/>
              <w:spacing w:line="312" w:lineRule="auto"/>
              <w:ind w:left="117" w:right="348"/>
              <w:rPr>
                <w:sz w:val="22"/>
              </w:rPr>
            </w:pPr>
            <w:r>
              <w:rPr>
                <w:sz w:val="22"/>
              </w:rPr>
              <w:t>intended to remain in situ long term’</w:t>
            </w:r>
          </w:p>
          <w:p>
            <w:pPr>
              <w:pStyle w:val="TableParagraph"/>
              <w:spacing w:line="312" w:lineRule="auto" w:before="180"/>
              <w:ind w:left="117" w:right="155"/>
              <w:jc w:val="both"/>
              <w:rPr>
                <w:sz w:val="22"/>
              </w:rPr>
            </w:pPr>
            <w:r>
              <w:rPr>
                <w:sz w:val="22"/>
              </w:rPr>
              <w:t>Adding explanatory notes to restrict use to appropriately trained practitioners</w:t>
            </w:r>
          </w:p>
        </w:tc>
        <w:tc>
          <w:tcPr>
            <w:tcW w:w="2886" w:type="dxa"/>
            <w:tcBorders>
              <w:top w:val="single" w:sz="4" w:space="0" w:color="B66012"/>
              <w:bottom w:val="single" w:sz="4" w:space="0" w:color="B66012"/>
            </w:tcBorders>
          </w:tcPr>
          <w:p>
            <w:pPr>
              <w:pStyle w:val="TableParagraph"/>
              <w:spacing w:line="312" w:lineRule="auto" w:before="176"/>
              <w:ind w:left="158" w:right="269"/>
              <w:rPr>
                <w:sz w:val="22"/>
              </w:rPr>
            </w:pPr>
            <w:r>
              <w:rPr>
                <w:sz w:val="22"/>
              </w:rPr>
              <w:t>There would no longer be a 4-lead restriction on the items</w:t>
            </w:r>
          </w:p>
          <w:p>
            <w:pPr>
              <w:pStyle w:val="TableParagraph"/>
              <w:spacing w:line="312" w:lineRule="auto" w:before="180"/>
              <w:ind w:left="158" w:right="233"/>
              <w:rPr>
                <w:sz w:val="22"/>
              </w:rPr>
            </w:pPr>
            <w:r>
              <w:rPr>
                <w:sz w:val="22"/>
              </w:rPr>
              <w:t>Removes restriction of the procedure to only the chest region</w:t>
            </w:r>
          </w:p>
          <w:p>
            <w:pPr>
              <w:pStyle w:val="TableParagraph"/>
              <w:spacing w:line="312" w:lineRule="auto" w:before="182"/>
              <w:ind w:left="158" w:right="115"/>
              <w:rPr>
                <w:sz w:val="22"/>
              </w:rPr>
            </w:pPr>
            <w:r>
              <w:rPr>
                <w:sz w:val="22"/>
              </w:rPr>
              <w:t>Item 39138 restrict the item being inappropriately claimed, e.g. for Percutaneous Electrical Nerve Stimulation procedure (placement of an electrode for 20-30 mins with pulsed therapy delivered and then leads removed)</w:t>
            </w:r>
          </w:p>
        </w:tc>
        <w:tc>
          <w:tcPr>
            <w:tcW w:w="3649" w:type="dxa"/>
            <w:tcBorders>
              <w:top w:val="single" w:sz="4" w:space="0" w:color="B66012"/>
              <w:bottom w:val="single" w:sz="4" w:space="0" w:color="B66012"/>
            </w:tcBorders>
          </w:tcPr>
          <w:p>
            <w:pPr>
              <w:pStyle w:val="TableParagraph"/>
              <w:spacing w:line="312" w:lineRule="auto" w:before="176"/>
              <w:ind w:left="136" w:right="99"/>
              <w:rPr>
                <w:sz w:val="22"/>
              </w:rPr>
            </w:pPr>
            <w:r>
              <w:rPr>
                <w:sz w:val="22"/>
              </w:rPr>
              <w:t>The three item rule currently being considered at the Principles and Rules Committee will supersede the</w:t>
            </w:r>
          </w:p>
          <w:p>
            <w:pPr>
              <w:pStyle w:val="TableParagraph"/>
              <w:spacing w:line="268" w:lineRule="exact"/>
              <w:ind w:left="136"/>
              <w:rPr>
                <w:sz w:val="22"/>
              </w:rPr>
            </w:pPr>
            <w:r>
              <w:rPr>
                <w:sz w:val="22"/>
              </w:rPr>
              <w:t>‘maximum of 4 leads’ rule</w:t>
            </w:r>
          </w:p>
          <w:p>
            <w:pPr>
              <w:pStyle w:val="TableParagraph"/>
              <w:spacing w:before="6"/>
              <w:rPr>
                <w:b/>
                <w:i/>
                <w:sz w:val="21"/>
              </w:rPr>
            </w:pPr>
          </w:p>
          <w:p>
            <w:pPr>
              <w:pStyle w:val="TableParagraph"/>
              <w:spacing w:line="312" w:lineRule="auto"/>
              <w:ind w:left="136" w:right="1228"/>
              <w:rPr>
                <w:sz w:val="22"/>
              </w:rPr>
            </w:pPr>
            <w:r>
              <w:rPr>
                <w:sz w:val="22"/>
              </w:rPr>
              <w:t>To restrict the item being inappropriately claimed.</w:t>
            </w:r>
          </w:p>
        </w:tc>
      </w:tr>
    </w:tbl>
    <w:p>
      <w:pPr>
        <w:spacing w:after="0" w:line="312" w:lineRule="auto"/>
        <w:rPr>
          <w:sz w:val="22"/>
        </w:rPr>
        <w:sectPr>
          <w:pgSz w:w="16840" w:h="11910" w:orient="landscape"/>
          <w:pgMar w:header="0" w:footer="722" w:top="1180" w:bottom="920" w:left="1000" w:right="1640"/>
        </w:sectPr>
      </w:pPr>
    </w:p>
    <w:p>
      <w:pPr>
        <w:pStyle w:val="BodyText"/>
        <w:rPr>
          <w:b/>
          <w:i/>
          <w:sz w:val="20"/>
        </w:rPr>
      </w:pPr>
    </w:p>
    <w:p>
      <w:pPr>
        <w:pStyle w:val="BodyText"/>
        <w:rPr>
          <w:b/>
          <w:i/>
          <w:sz w:val="20"/>
        </w:rPr>
      </w:pPr>
    </w:p>
    <w:p>
      <w:pPr>
        <w:pStyle w:val="BodyText"/>
        <w:spacing w:before="7"/>
        <w:rPr>
          <w:b/>
          <w:i/>
          <w:sz w:val="19"/>
        </w:rPr>
      </w:pPr>
    </w:p>
    <w:p>
      <w:pPr>
        <w:pStyle w:val="BodyText"/>
        <w:spacing w:line="20" w:lineRule="exact"/>
        <w:ind w:left="120"/>
        <w:rPr>
          <w:sz w:val="2"/>
        </w:rPr>
      </w:pPr>
      <w:r>
        <w:rPr>
          <w:sz w:val="2"/>
        </w:rPr>
        <w:pict>
          <v:group style="width:698.05pt;height:.5pt;mso-position-horizontal-relative:char;mso-position-vertical-relative:line" coordorigin="0,0" coordsize="13961,10">
            <v:rect style="position:absolute;left:0;top:0;width:13961;height:10" filled="true" fillcolor="#b66012" stroked="false">
              <v:fill type="solid"/>
            </v:rect>
          </v:group>
        </w:pict>
      </w:r>
      <w:r>
        <w:rPr>
          <w:sz w:val="2"/>
        </w:rPr>
      </w:r>
    </w:p>
    <w:p>
      <w:pPr>
        <w:pStyle w:val="BodyText"/>
        <w:rPr>
          <w:b/>
          <w:i/>
          <w:sz w:val="20"/>
        </w:rPr>
      </w:pPr>
    </w:p>
    <w:p>
      <w:pPr>
        <w:pStyle w:val="BodyText"/>
        <w:rPr>
          <w:b/>
          <w:i/>
          <w:sz w:val="20"/>
        </w:rPr>
      </w:pPr>
    </w:p>
    <w:p>
      <w:pPr>
        <w:pStyle w:val="BodyText"/>
        <w:spacing w:before="8"/>
        <w:rPr>
          <w:b/>
          <w:i/>
          <w:sz w:val="20"/>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25"/>
        <w:gridCol w:w="2691"/>
        <w:gridCol w:w="4461"/>
        <w:gridCol w:w="2192"/>
        <w:gridCol w:w="3101"/>
      </w:tblGrid>
      <w:tr>
        <w:trPr>
          <w:trHeight w:val="366" w:hRule="atLeast"/>
        </w:trPr>
        <w:tc>
          <w:tcPr>
            <w:tcW w:w="13970" w:type="dxa"/>
            <w:gridSpan w:val="5"/>
            <w:tcBorders>
              <w:bottom w:val="single" w:sz="4" w:space="0" w:color="B66012"/>
            </w:tcBorders>
          </w:tcPr>
          <w:p>
            <w:pPr>
              <w:pStyle w:val="TableParagraph"/>
              <w:spacing w:line="225" w:lineRule="exact"/>
              <w:ind w:left="115"/>
              <w:rPr>
                <w:b/>
                <w:i/>
                <w:sz w:val="22"/>
              </w:rPr>
            </w:pPr>
            <w:r>
              <w:rPr>
                <w:b/>
                <w:i/>
                <w:sz w:val="22"/>
              </w:rPr>
              <w:t>Recommendation 17: Further review of item 14221 - devices infusing into the venous system</w:t>
            </w:r>
          </w:p>
        </w:tc>
      </w:tr>
      <w:tr>
        <w:trPr>
          <w:trHeight w:val="937" w:hRule="atLeast"/>
        </w:trPr>
        <w:tc>
          <w:tcPr>
            <w:tcW w:w="1525" w:type="dxa"/>
            <w:tcBorders>
              <w:top w:val="single" w:sz="4" w:space="0" w:color="B66012"/>
              <w:bottom w:val="single" w:sz="4" w:space="0" w:color="B66012"/>
            </w:tcBorders>
            <w:shd w:val="clear" w:color="auto" w:fill="CC6600"/>
          </w:tcPr>
          <w:p>
            <w:pPr>
              <w:pStyle w:val="TableParagraph"/>
              <w:spacing w:before="176"/>
              <w:ind w:left="115"/>
              <w:rPr>
                <w:b/>
                <w:sz w:val="22"/>
              </w:rPr>
            </w:pPr>
            <w:r>
              <w:rPr>
                <w:b/>
                <w:sz w:val="22"/>
              </w:rPr>
              <w:t>Item</w:t>
            </w:r>
          </w:p>
        </w:tc>
        <w:tc>
          <w:tcPr>
            <w:tcW w:w="2691" w:type="dxa"/>
            <w:tcBorders>
              <w:top w:val="single" w:sz="4" w:space="0" w:color="B66012"/>
              <w:bottom w:val="single" w:sz="4" w:space="0" w:color="B66012"/>
            </w:tcBorders>
            <w:shd w:val="clear" w:color="auto" w:fill="CC6600"/>
          </w:tcPr>
          <w:p>
            <w:pPr>
              <w:pStyle w:val="TableParagraph"/>
              <w:spacing w:before="176"/>
              <w:ind w:left="174"/>
              <w:rPr>
                <w:b/>
                <w:sz w:val="22"/>
              </w:rPr>
            </w:pPr>
            <w:r>
              <w:rPr>
                <w:b/>
                <w:sz w:val="22"/>
              </w:rPr>
              <w:t>What it does</w:t>
            </w:r>
          </w:p>
        </w:tc>
        <w:tc>
          <w:tcPr>
            <w:tcW w:w="4461" w:type="dxa"/>
            <w:tcBorders>
              <w:top w:val="single" w:sz="4" w:space="0" w:color="B66012"/>
              <w:bottom w:val="single" w:sz="4" w:space="0" w:color="B66012"/>
            </w:tcBorders>
            <w:shd w:val="clear" w:color="auto" w:fill="CC6600"/>
          </w:tcPr>
          <w:p>
            <w:pPr>
              <w:pStyle w:val="TableParagraph"/>
              <w:spacing w:before="176"/>
              <w:ind w:left="315"/>
              <w:rPr>
                <w:b/>
                <w:sz w:val="22"/>
              </w:rPr>
            </w:pPr>
            <w:r>
              <w:rPr>
                <w:b/>
                <w:sz w:val="22"/>
              </w:rPr>
              <w:t>Committee recommendation</w:t>
            </w:r>
          </w:p>
        </w:tc>
        <w:tc>
          <w:tcPr>
            <w:tcW w:w="2192" w:type="dxa"/>
            <w:tcBorders>
              <w:top w:val="single" w:sz="4" w:space="0" w:color="B66012"/>
              <w:bottom w:val="single" w:sz="4" w:space="0" w:color="B66012"/>
            </w:tcBorders>
            <w:shd w:val="clear" w:color="auto" w:fill="CC6600"/>
          </w:tcPr>
          <w:p>
            <w:pPr>
              <w:pStyle w:val="TableParagraph"/>
              <w:spacing w:line="312" w:lineRule="auto" w:before="176"/>
              <w:ind w:left="231" w:right="538"/>
              <w:rPr>
                <w:b/>
                <w:sz w:val="22"/>
              </w:rPr>
            </w:pPr>
            <w:r>
              <w:rPr>
                <w:b/>
                <w:sz w:val="22"/>
              </w:rPr>
              <w:t>What would be different</w:t>
            </w:r>
          </w:p>
        </w:tc>
        <w:tc>
          <w:tcPr>
            <w:tcW w:w="3101" w:type="dxa"/>
            <w:tcBorders>
              <w:top w:val="single" w:sz="4" w:space="0" w:color="B66012"/>
              <w:bottom w:val="single" w:sz="4" w:space="0" w:color="B66012"/>
            </w:tcBorders>
            <w:shd w:val="clear" w:color="auto" w:fill="CC6600"/>
          </w:tcPr>
          <w:p>
            <w:pPr>
              <w:pStyle w:val="TableParagraph"/>
              <w:spacing w:before="176"/>
              <w:ind w:left="136"/>
              <w:rPr>
                <w:b/>
                <w:sz w:val="22"/>
              </w:rPr>
            </w:pPr>
            <w:r>
              <w:rPr>
                <w:b/>
                <w:sz w:val="22"/>
              </w:rPr>
              <w:t>Why</w:t>
            </w:r>
          </w:p>
        </w:tc>
      </w:tr>
      <w:tr>
        <w:trPr>
          <w:trHeight w:val="1636" w:hRule="atLeast"/>
        </w:trPr>
        <w:tc>
          <w:tcPr>
            <w:tcW w:w="1525" w:type="dxa"/>
            <w:tcBorders>
              <w:top w:val="single" w:sz="4" w:space="0" w:color="B66012"/>
              <w:bottom w:val="single" w:sz="4" w:space="0" w:color="B66012"/>
            </w:tcBorders>
          </w:tcPr>
          <w:p>
            <w:pPr>
              <w:pStyle w:val="TableParagraph"/>
              <w:spacing w:before="177"/>
              <w:ind w:left="115"/>
              <w:rPr>
                <w:b/>
                <w:sz w:val="22"/>
              </w:rPr>
            </w:pPr>
            <w:r>
              <w:rPr>
                <w:b/>
                <w:sz w:val="22"/>
              </w:rPr>
              <w:t>14221</w:t>
            </w:r>
          </w:p>
        </w:tc>
        <w:tc>
          <w:tcPr>
            <w:tcW w:w="2691" w:type="dxa"/>
            <w:tcBorders>
              <w:top w:val="single" w:sz="4" w:space="0" w:color="B66012"/>
              <w:bottom w:val="single" w:sz="4" w:space="0" w:color="B66012"/>
            </w:tcBorders>
          </w:tcPr>
          <w:p>
            <w:pPr>
              <w:pStyle w:val="TableParagraph"/>
              <w:spacing w:line="312" w:lineRule="auto" w:before="177"/>
              <w:ind w:left="174" w:right="299"/>
              <w:rPr>
                <w:sz w:val="22"/>
              </w:rPr>
            </w:pPr>
            <w:r>
              <w:rPr>
                <w:sz w:val="22"/>
              </w:rPr>
              <w:t>Accessing of a long-term implanted device for the delivery of therapeutic agents</w:t>
            </w:r>
          </w:p>
        </w:tc>
        <w:tc>
          <w:tcPr>
            <w:tcW w:w="4461" w:type="dxa"/>
            <w:tcBorders>
              <w:top w:val="single" w:sz="4" w:space="0" w:color="B66012"/>
              <w:bottom w:val="single" w:sz="4" w:space="0" w:color="B66012"/>
            </w:tcBorders>
          </w:tcPr>
          <w:p>
            <w:pPr>
              <w:pStyle w:val="TableParagraph"/>
              <w:spacing w:before="177"/>
              <w:ind w:left="315"/>
              <w:rPr>
                <w:sz w:val="22"/>
              </w:rPr>
            </w:pPr>
            <w:r>
              <w:rPr>
                <w:sz w:val="22"/>
              </w:rPr>
              <w:t>Refer for review</w:t>
            </w:r>
          </w:p>
        </w:tc>
        <w:tc>
          <w:tcPr>
            <w:tcW w:w="2192" w:type="dxa"/>
            <w:tcBorders>
              <w:top w:val="single" w:sz="4" w:space="0" w:color="B66012"/>
              <w:bottom w:val="single" w:sz="4" w:space="0" w:color="B66012"/>
            </w:tcBorders>
          </w:tcPr>
          <w:p>
            <w:pPr>
              <w:pStyle w:val="TableParagraph"/>
              <w:spacing w:before="177"/>
              <w:ind w:left="231"/>
              <w:rPr>
                <w:sz w:val="22"/>
              </w:rPr>
            </w:pPr>
            <w:r>
              <w:rPr>
                <w:sz w:val="22"/>
              </w:rPr>
              <w:t>N/A</w:t>
            </w:r>
          </w:p>
        </w:tc>
        <w:tc>
          <w:tcPr>
            <w:tcW w:w="3101" w:type="dxa"/>
            <w:tcBorders>
              <w:top w:val="single" w:sz="4" w:space="0" w:color="B66012"/>
              <w:bottom w:val="single" w:sz="4" w:space="0" w:color="B66012"/>
            </w:tcBorders>
          </w:tcPr>
          <w:p>
            <w:pPr>
              <w:pStyle w:val="TableParagraph"/>
              <w:spacing w:line="312" w:lineRule="auto"/>
              <w:ind w:left="136" w:right="112"/>
              <w:rPr>
                <w:sz w:val="22"/>
              </w:rPr>
            </w:pPr>
            <w:r>
              <w:rPr>
                <w:sz w:val="22"/>
              </w:rPr>
              <w:t>Further evidence as to the use of this item is required to ensure it is being correctly used</w:t>
            </w:r>
          </w:p>
        </w:tc>
      </w:tr>
      <w:tr>
        <w:trPr>
          <w:trHeight w:val="590" w:hRule="atLeast"/>
        </w:trPr>
        <w:tc>
          <w:tcPr>
            <w:tcW w:w="13970" w:type="dxa"/>
            <w:gridSpan w:val="5"/>
            <w:tcBorders>
              <w:top w:val="single" w:sz="4" w:space="0" w:color="B66012"/>
              <w:bottom w:val="single" w:sz="4" w:space="0" w:color="B66012"/>
            </w:tcBorders>
          </w:tcPr>
          <w:p>
            <w:pPr>
              <w:pStyle w:val="TableParagraph"/>
              <w:tabs>
                <w:tab w:pos="2434" w:val="left" w:leader="none"/>
              </w:tabs>
              <w:spacing w:before="176"/>
              <w:ind w:left="115"/>
              <w:rPr>
                <w:b/>
                <w:i/>
                <w:sz w:val="22"/>
              </w:rPr>
            </w:pPr>
            <w:r>
              <w:rPr>
                <w:b/>
                <w:i/>
                <w:sz w:val="22"/>
              </w:rPr>
              <w:t>Recommendation</w:t>
            </w:r>
            <w:r>
              <w:rPr>
                <w:b/>
                <w:i/>
                <w:spacing w:val="-2"/>
                <w:sz w:val="22"/>
              </w:rPr>
              <w:t> </w:t>
            </w:r>
            <w:r>
              <w:rPr>
                <w:b/>
                <w:i/>
                <w:sz w:val="22"/>
              </w:rPr>
              <w:t>18:</w:t>
              <w:tab/>
              <w:t>Better explanation of the use of implanted device</w:t>
            </w:r>
            <w:r>
              <w:rPr>
                <w:b/>
                <w:i/>
                <w:spacing w:val="-15"/>
                <w:sz w:val="22"/>
              </w:rPr>
              <w:t> </w:t>
            </w:r>
            <w:r>
              <w:rPr>
                <w:b/>
                <w:i/>
                <w:sz w:val="22"/>
              </w:rPr>
              <w:t>items</w:t>
            </w:r>
          </w:p>
        </w:tc>
      </w:tr>
      <w:tr>
        <w:trPr>
          <w:trHeight w:val="938" w:hRule="atLeast"/>
        </w:trPr>
        <w:tc>
          <w:tcPr>
            <w:tcW w:w="1525" w:type="dxa"/>
            <w:tcBorders>
              <w:top w:val="single" w:sz="4" w:space="0" w:color="B66012"/>
              <w:bottom w:val="single" w:sz="4" w:space="0" w:color="B66012"/>
            </w:tcBorders>
            <w:shd w:val="clear" w:color="auto" w:fill="CC6600"/>
          </w:tcPr>
          <w:p>
            <w:pPr>
              <w:pStyle w:val="TableParagraph"/>
              <w:spacing w:before="176"/>
              <w:ind w:left="115"/>
              <w:rPr>
                <w:b/>
                <w:sz w:val="22"/>
              </w:rPr>
            </w:pPr>
            <w:r>
              <w:rPr>
                <w:b/>
                <w:sz w:val="22"/>
              </w:rPr>
              <w:t>Item</w:t>
            </w:r>
          </w:p>
        </w:tc>
        <w:tc>
          <w:tcPr>
            <w:tcW w:w="2691" w:type="dxa"/>
            <w:tcBorders>
              <w:top w:val="single" w:sz="4" w:space="0" w:color="B66012"/>
              <w:bottom w:val="single" w:sz="4" w:space="0" w:color="B66012"/>
            </w:tcBorders>
            <w:shd w:val="clear" w:color="auto" w:fill="CC6600"/>
          </w:tcPr>
          <w:p>
            <w:pPr>
              <w:pStyle w:val="TableParagraph"/>
              <w:spacing w:before="176"/>
              <w:ind w:left="174"/>
              <w:rPr>
                <w:b/>
                <w:sz w:val="22"/>
              </w:rPr>
            </w:pPr>
            <w:r>
              <w:rPr>
                <w:b/>
                <w:sz w:val="22"/>
              </w:rPr>
              <w:t>What it does</w:t>
            </w:r>
          </w:p>
        </w:tc>
        <w:tc>
          <w:tcPr>
            <w:tcW w:w="4461" w:type="dxa"/>
            <w:tcBorders>
              <w:top w:val="single" w:sz="4" w:space="0" w:color="B66012"/>
              <w:bottom w:val="single" w:sz="4" w:space="0" w:color="B66012"/>
            </w:tcBorders>
            <w:shd w:val="clear" w:color="auto" w:fill="CC6600"/>
          </w:tcPr>
          <w:p>
            <w:pPr>
              <w:pStyle w:val="TableParagraph"/>
              <w:spacing w:before="176"/>
              <w:ind w:left="315"/>
              <w:rPr>
                <w:b/>
                <w:sz w:val="22"/>
              </w:rPr>
            </w:pPr>
            <w:r>
              <w:rPr>
                <w:b/>
                <w:sz w:val="22"/>
              </w:rPr>
              <w:t>Committee recommendation</w:t>
            </w:r>
          </w:p>
        </w:tc>
        <w:tc>
          <w:tcPr>
            <w:tcW w:w="2192" w:type="dxa"/>
            <w:tcBorders>
              <w:top w:val="single" w:sz="4" w:space="0" w:color="B66012"/>
              <w:bottom w:val="single" w:sz="4" w:space="0" w:color="B66012"/>
            </w:tcBorders>
            <w:shd w:val="clear" w:color="auto" w:fill="CC6600"/>
          </w:tcPr>
          <w:p>
            <w:pPr>
              <w:pStyle w:val="TableParagraph"/>
              <w:spacing w:line="314" w:lineRule="auto" w:before="176"/>
              <w:ind w:left="231" w:right="538"/>
              <w:rPr>
                <w:b/>
                <w:sz w:val="22"/>
              </w:rPr>
            </w:pPr>
            <w:r>
              <w:rPr>
                <w:b/>
                <w:sz w:val="22"/>
              </w:rPr>
              <w:t>What would be different</w:t>
            </w:r>
          </w:p>
        </w:tc>
        <w:tc>
          <w:tcPr>
            <w:tcW w:w="3101" w:type="dxa"/>
            <w:tcBorders>
              <w:top w:val="single" w:sz="4" w:space="0" w:color="B66012"/>
              <w:bottom w:val="single" w:sz="4" w:space="0" w:color="B66012"/>
            </w:tcBorders>
            <w:shd w:val="clear" w:color="auto" w:fill="CC6600"/>
          </w:tcPr>
          <w:p>
            <w:pPr>
              <w:pStyle w:val="TableParagraph"/>
              <w:spacing w:before="176"/>
              <w:ind w:left="136"/>
              <w:rPr>
                <w:b/>
                <w:sz w:val="22"/>
              </w:rPr>
            </w:pPr>
            <w:r>
              <w:rPr>
                <w:b/>
                <w:sz w:val="22"/>
              </w:rPr>
              <w:t>Why</w:t>
            </w:r>
          </w:p>
        </w:tc>
      </w:tr>
      <w:tr>
        <w:trPr>
          <w:trHeight w:val="2335" w:hRule="atLeast"/>
        </w:trPr>
        <w:tc>
          <w:tcPr>
            <w:tcW w:w="1525" w:type="dxa"/>
            <w:tcBorders>
              <w:top w:val="single" w:sz="4" w:space="0" w:color="B66012"/>
              <w:bottom w:val="single" w:sz="4" w:space="0" w:color="B66012"/>
            </w:tcBorders>
          </w:tcPr>
          <w:p>
            <w:pPr>
              <w:pStyle w:val="TableParagraph"/>
              <w:spacing w:line="312" w:lineRule="auto" w:before="176"/>
              <w:ind w:left="115" w:right="157"/>
              <w:rPr>
                <w:b/>
                <w:sz w:val="22"/>
              </w:rPr>
            </w:pPr>
            <w:r>
              <w:rPr>
                <w:b/>
                <w:sz w:val="22"/>
              </w:rPr>
              <w:t>All Implanted Device items</w:t>
            </w:r>
          </w:p>
        </w:tc>
        <w:tc>
          <w:tcPr>
            <w:tcW w:w="2691" w:type="dxa"/>
            <w:tcBorders>
              <w:top w:val="single" w:sz="4" w:space="0" w:color="B66012"/>
              <w:bottom w:val="single" w:sz="4" w:space="0" w:color="B66012"/>
            </w:tcBorders>
          </w:tcPr>
          <w:p>
            <w:pPr>
              <w:pStyle w:val="TableParagraph"/>
              <w:spacing w:before="176"/>
              <w:ind w:left="174"/>
              <w:rPr>
                <w:sz w:val="22"/>
              </w:rPr>
            </w:pPr>
            <w:r>
              <w:rPr>
                <w:sz w:val="22"/>
              </w:rPr>
              <w:t>Various</w:t>
            </w:r>
          </w:p>
        </w:tc>
        <w:tc>
          <w:tcPr>
            <w:tcW w:w="4461" w:type="dxa"/>
            <w:tcBorders>
              <w:top w:val="single" w:sz="4" w:space="0" w:color="B66012"/>
              <w:bottom w:val="single" w:sz="4" w:space="0" w:color="B66012"/>
            </w:tcBorders>
          </w:tcPr>
          <w:p>
            <w:pPr>
              <w:pStyle w:val="TableParagraph"/>
              <w:spacing w:before="176"/>
              <w:ind w:left="315"/>
              <w:rPr>
                <w:sz w:val="22"/>
              </w:rPr>
            </w:pPr>
            <w:r>
              <w:rPr>
                <w:sz w:val="22"/>
              </w:rPr>
              <w:t>Better explanation to cover:</w:t>
            </w:r>
          </w:p>
          <w:p>
            <w:pPr>
              <w:pStyle w:val="TableParagraph"/>
              <w:spacing w:before="6"/>
              <w:rPr>
                <w:b/>
                <w:i/>
                <w:sz w:val="21"/>
              </w:rPr>
            </w:pPr>
          </w:p>
          <w:p>
            <w:pPr>
              <w:pStyle w:val="TableParagraph"/>
              <w:spacing w:line="312" w:lineRule="auto"/>
              <w:ind w:left="315" w:right="217"/>
              <w:rPr>
                <w:sz w:val="22"/>
              </w:rPr>
            </w:pPr>
            <w:r>
              <w:rPr>
                <w:sz w:val="22"/>
              </w:rPr>
              <w:t>Implant procedures should be performed in the context of clinical best practice. Current clinical best practice for use of these item numbers includes:</w:t>
            </w:r>
          </w:p>
        </w:tc>
        <w:tc>
          <w:tcPr>
            <w:tcW w:w="2192" w:type="dxa"/>
            <w:tcBorders>
              <w:top w:val="single" w:sz="4" w:space="0" w:color="B66012"/>
              <w:bottom w:val="single" w:sz="4" w:space="0" w:color="B66012"/>
            </w:tcBorders>
          </w:tcPr>
          <w:p>
            <w:pPr>
              <w:pStyle w:val="TableParagraph"/>
              <w:spacing w:line="312" w:lineRule="auto" w:before="176"/>
              <w:ind w:left="231" w:right="121"/>
              <w:rPr>
                <w:sz w:val="22"/>
              </w:rPr>
            </w:pPr>
            <w:r>
              <w:rPr>
                <w:sz w:val="22"/>
              </w:rPr>
              <w:t>Outlining high level best clinical practice in the notes would be helpful in guiding clinical practice and patient selection.</w:t>
            </w:r>
          </w:p>
        </w:tc>
        <w:tc>
          <w:tcPr>
            <w:tcW w:w="3101" w:type="dxa"/>
            <w:tcBorders>
              <w:top w:val="single" w:sz="4" w:space="0" w:color="B66012"/>
              <w:bottom w:val="single" w:sz="4" w:space="0" w:color="B66012"/>
            </w:tcBorders>
          </w:tcPr>
          <w:p>
            <w:pPr>
              <w:pStyle w:val="TableParagraph"/>
              <w:spacing w:line="312" w:lineRule="auto" w:before="176"/>
              <w:ind w:left="136" w:right="183"/>
              <w:rPr>
                <w:sz w:val="22"/>
              </w:rPr>
            </w:pPr>
            <w:r>
              <w:rPr>
                <w:sz w:val="22"/>
              </w:rPr>
              <w:t>Ensuring that high-value services are performed safely and adequately by appropriate professionals</w:t>
            </w:r>
          </w:p>
        </w:tc>
      </w:tr>
    </w:tbl>
    <w:p>
      <w:pPr>
        <w:spacing w:after="0" w:line="312" w:lineRule="auto"/>
        <w:rPr>
          <w:sz w:val="22"/>
        </w:rPr>
        <w:sectPr>
          <w:pgSz w:w="16840" w:h="11910" w:orient="landscape"/>
          <w:pgMar w:header="0" w:footer="722" w:top="1180" w:bottom="920" w:left="1000" w:right="1640"/>
        </w:sectPr>
      </w:pPr>
    </w:p>
    <w:p>
      <w:pPr>
        <w:pStyle w:val="BodyText"/>
        <w:rPr>
          <w:b/>
          <w:i/>
          <w:sz w:val="20"/>
        </w:rPr>
      </w:pPr>
    </w:p>
    <w:p>
      <w:pPr>
        <w:pStyle w:val="BodyText"/>
        <w:rPr>
          <w:b/>
          <w:i/>
          <w:sz w:val="20"/>
        </w:rPr>
      </w:pPr>
    </w:p>
    <w:p>
      <w:pPr>
        <w:pStyle w:val="BodyText"/>
        <w:spacing w:before="7"/>
        <w:rPr>
          <w:b/>
          <w:i/>
          <w:sz w:val="10"/>
        </w:rPr>
      </w:pPr>
    </w:p>
    <w:p>
      <w:pPr>
        <w:pStyle w:val="BodyText"/>
        <w:spacing w:line="20" w:lineRule="exact"/>
        <w:ind w:left="120"/>
        <w:rPr>
          <w:sz w:val="2"/>
        </w:rPr>
      </w:pPr>
      <w:r>
        <w:rPr>
          <w:sz w:val="2"/>
        </w:rPr>
        <w:pict>
          <v:group style="width:698.05pt;height:.5pt;mso-position-horizontal-relative:char;mso-position-vertical-relative:line" coordorigin="0,0" coordsize="13961,10">
            <v:shape style="position:absolute;left:0;top:0;width:13961;height:10" coordorigin="0,0" coordsize="13961,10" path="m1594,0l1584,0,1584,0,0,0,0,10,1584,10,1584,10,1594,10,1594,0xm4426,0l4416,0,1594,0,1594,10,4416,10,4426,10,4426,0xm8793,0l4426,0,4426,10,8793,10,8793,0xm10900,0l10890,0,8802,0,8793,0,8793,10,8802,10,10890,10,10900,10,10900,0xm13960,0l10900,0,10900,10,13960,10,13960,0xe" filled="true" fillcolor="#b66012" stroked="false">
              <v:path arrowok="t"/>
              <v:fill type="solid"/>
            </v:shape>
          </v:group>
        </w:pict>
      </w:r>
      <w:r>
        <w:rPr>
          <w:sz w:val="2"/>
        </w:rPr>
      </w:r>
    </w:p>
    <w:p>
      <w:pPr>
        <w:pStyle w:val="ListParagraph"/>
        <w:numPr>
          <w:ilvl w:val="1"/>
          <w:numId w:val="10"/>
        </w:numPr>
        <w:tabs>
          <w:tab w:pos="5365" w:val="left" w:leader="none"/>
          <w:tab w:pos="5366" w:val="left" w:leader="none"/>
        </w:tabs>
        <w:spacing w:line="309" w:lineRule="auto" w:before="107" w:after="0"/>
        <w:ind w:left="5365" w:right="5416" w:hanging="360"/>
        <w:jc w:val="left"/>
        <w:rPr>
          <w:sz w:val="22"/>
        </w:rPr>
      </w:pPr>
      <w:r>
        <w:rPr>
          <w:sz w:val="22"/>
        </w:rPr>
        <w:t>All procedures being performed in the context of a comprehensive pain management program with an appropriately qualified</w:t>
      </w:r>
      <w:r>
        <w:rPr>
          <w:spacing w:val="-2"/>
          <w:sz w:val="22"/>
        </w:rPr>
        <w:t> </w:t>
      </w:r>
      <w:r>
        <w:rPr>
          <w:sz w:val="22"/>
        </w:rPr>
        <w:t>team.</w:t>
      </w:r>
    </w:p>
    <w:p>
      <w:pPr>
        <w:pStyle w:val="ListParagraph"/>
        <w:numPr>
          <w:ilvl w:val="1"/>
          <w:numId w:val="10"/>
        </w:numPr>
        <w:tabs>
          <w:tab w:pos="5365" w:val="left" w:leader="none"/>
          <w:tab w:pos="5366" w:val="left" w:leader="none"/>
        </w:tabs>
        <w:spacing w:line="312" w:lineRule="auto" w:before="191" w:after="0"/>
        <w:ind w:left="5365" w:right="5537" w:hanging="360"/>
        <w:jc w:val="left"/>
        <w:rPr>
          <w:sz w:val="22"/>
        </w:rPr>
      </w:pPr>
      <w:r>
        <w:rPr>
          <w:sz w:val="22"/>
        </w:rPr>
        <w:t>Patients should be appropriately selected for the procedure, incorporating assessment of physical and psychological function prior to implantation with findings documented in medical</w:t>
      </w:r>
      <w:r>
        <w:rPr>
          <w:spacing w:val="-4"/>
          <w:sz w:val="22"/>
        </w:rPr>
        <w:t> </w:t>
      </w:r>
      <w:r>
        <w:rPr>
          <w:sz w:val="22"/>
        </w:rPr>
        <w:t>record.</w:t>
      </w:r>
    </w:p>
    <w:p>
      <w:pPr>
        <w:pStyle w:val="ListParagraph"/>
        <w:numPr>
          <w:ilvl w:val="1"/>
          <w:numId w:val="10"/>
        </w:numPr>
        <w:tabs>
          <w:tab w:pos="5365" w:val="left" w:leader="none"/>
          <w:tab w:pos="5366" w:val="left" w:leader="none"/>
        </w:tabs>
        <w:spacing w:line="309" w:lineRule="auto" w:before="178" w:after="0"/>
        <w:ind w:left="5365" w:right="5530" w:hanging="360"/>
        <w:jc w:val="left"/>
        <w:rPr>
          <w:sz w:val="22"/>
        </w:rPr>
      </w:pPr>
      <w:r>
        <w:rPr>
          <w:sz w:val="22"/>
        </w:rPr>
        <w:t>Outcome evaluation using validated measures pre and post</w:t>
      </w:r>
      <w:r>
        <w:rPr>
          <w:spacing w:val="-6"/>
          <w:sz w:val="22"/>
        </w:rPr>
        <w:t> </w:t>
      </w:r>
      <w:r>
        <w:rPr>
          <w:sz w:val="22"/>
        </w:rPr>
        <w:t>implantation.</w:t>
      </w:r>
    </w:p>
    <w:p>
      <w:pPr>
        <w:pStyle w:val="ListParagraph"/>
        <w:numPr>
          <w:ilvl w:val="1"/>
          <w:numId w:val="10"/>
        </w:numPr>
        <w:tabs>
          <w:tab w:pos="5366" w:val="left" w:leader="none"/>
        </w:tabs>
        <w:spacing w:line="309" w:lineRule="auto" w:before="186" w:after="0"/>
        <w:ind w:left="5365" w:right="5672" w:hanging="360"/>
        <w:jc w:val="both"/>
        <w:rPr>
          <w:sz w:val="22"/>
        </w:rPr>
      </w:pPr>
      <w:r>
        <w:rPr>
          <w:sz w:val="22"/>
        </w:rPr>
        <w:t>Ensuring appropriate follow up and ongoing management of implanted medical</w:t>
      </w:r>
      <w:r>
        <w:rPr>
          <w:spacing w:val="-3"/>
          <w:sz w:val="22"/>
        </w:rPr>
        <w:t> </w:t>
      </w:r>
      <w:r>
        <w:rPr>
          <w:sz w:val="22"/>
        </w:rPr>
        <w:t>devices.</w:t>
      </w:r>
    </w:p>
    <w:p>
      <w:pPr>
        <w:pStyle w:val="ListParagraph"/>
        <w:numPr>
          <w:ilvl w:val="1"/>
          <w:numId w:val="10"/>
        </w:numPr>
        <w:tabs>
          <w:tab w:pos="5365" w:val="left" w:leader="none"/>
          <w:tab w:pos="5366" w:val="left" w:leader="none"/>
        </w:tabs>
        <w:spacing w:line="312" w:lineRule="auto" w:before="187" w:after="4"/>
        <w:ind w:left="5365" w:right="5476" w:hanging="360"/>
        <w:jc w:val="left"/>
        <w:rPr>
          <w:sz w:val="22"/>
        </w:rPr>
      </w:pPr>
      <w:r>
        <w:rPr>
          <w:sz w:val="22"/>
        </w:rPr>
        <w:t>Implantable devices require ongoing monitoring and management. If the person providing the implantation service is not the ongoing physician manager of the device, they are responsible for ensuring that</w:t>
      </w:r>
      <w:r>
        <w:rPr>
          <w:spacing w:val="-10"/>
          <w:sz w:val="22"/>
        </w:rPr>
        <w:t> </w:t>
      </w:r>
      <w:r>
        <w:rPr>
          <w:sz w:val="22"/>
        </w:rPr>
        <w:t>ongoing</w:t>
      </w:r>
    </w:p>
    <w:p>
      <w:pPr>
        <w:pStyle w:val="BodyText"/>
        <w:spacing w:line="20" w:lineRule="exact"/>
        <w:ind w:left="106"/>
        <w:rPr>
          <w:sz w:val="2"/>
        </w:rPr>
      </w:pPr>
      <w:r>
        <w:rPr>
          <w:sz w:val="2"/>
        </w:rPr>
        <w:pict>
          <v:group style="width:698.75pt;height:.5pt;mso-position-horizontal-relative:char;mso-position-vertical-relative:line" coordorigin="0,0" coordsize="13975,10">
            <v:rect style="position:absolute;left:0;top:0;width:13975;height:10" filled="true" fillcolor="#b66012" stroked="false">
              <v:fill type="solid"/>
            </v:rect>
          </v:group>
        </w:pict>
      </w:r>
      <w:r>
        <w:rPr>
          <w:sz w:val="2"/>
        </w:rPr>
      </w:r>
    </w:p>
    <w:p>
      <w:pPr>
        <w:spacing w:after="0" w:line="20" w:lineRule="exact"/>
        <w:rPr>
          <w:sz w:val="2"/>
        </w:rPr>
        <w:sectPr>
          <w:pgSz w:w="16840" w:h="11910" w:orient="landscape"/>
          <w:pgMar w:header="0" w:footer="722" w:top="1180" w:bottom="920" w:left="1000" w:right="1640"/>
        </w:sectPr>
      </w:pPr>
    </w:p>
    <w:p>
      <w:pPr>
        <w:pStyle w:val="BodyText"/>
        <w:rPr>
          <w:sz w:val="20"/>
        </w:rPr>
      </w:pPr>
    </w:p>
    <w:p>
      <w:pPr>
        <w:pStyle w:val="BodyText"/>
        <w:rPr>
          <w:sz w:val="20"/>
        </w:rPr>
      </w:pPr>
    </w:p>
    <w:p>
      <w:pPr>
        <w:pStyle w:val="BodyText"/>
        <w:spacing w:before="7"/>
        <w:rPr>
          <w:sz w:val="10"/>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8"/>
        <w:gridCol w:w="2875"/>
        <w:gridCol w:w="4366"/>
        <w:gridCol w:w="2023"/>
        <w:gridCol w:w="3151"/>
      </w:tblGrid>
      <w:tr>
        <w:trPr>
          <w:trHeight w:val="2347" w:hRule="atLeast"/>
        </w:trPr>
        <w:tc>
          <w:tcPr>
            <w:tcW w:w="1548" w:type="dxa"/>
            <w:tcBorders>
              <w:top w:val="single" w:sz="4" w:space="0" w:color="B66012"/>
              <w:bottom w:val="single" w:sz="4" w:space="0" w:color="B66012"/>
            </w:tcBorders>
          </w:tcPr>
          <w:p>
            <w:pPr>
              <w:pStyle w:val="TableParagraph"/>
              <w:rPr>
                <w:rFonts w:ascii="Times New Roman"/>
                <w:sz w:val="20"/>
              </w:rPr>
            </w:pPr>
          </w:p>
        </w:tc>
        <w:tc>
          <w:tcPr>
            <w:tcW w:w="2875" w:type="dxa"/>
            <w:tcBorders>
              <w:top w:val="single" w:sz="4" w:space="0" w:color="B66012"/>
              <w:bottom w:val="single" w:sz="4" w:space="0" w:color="B66012"/>
            </w:tcBorders>
          </w:tcPr>
          <w:p>
            <w:pPr>
              <w:pStyle w:val="TableParagraph"/>
              <w:rPr>
                <w:rFonts w:ascii="Times New Roman"/>
                <w:sz w:val="20"/>
              </w:rPr>
            </w:pPr>
          </w:p>
        </w:tc>
        <w:tc>
          <w:tcPr>
            <w:tcW w:w="4366" w:type="dxa"/>
            <w:tcBorders>
              <w:top w:val="single" w:sz="4" w:space="0" w:color="B66012"/>
              <w:bottom w:val="single" w:sz="4" w:space="0" w:color="B66012"/>
            </w:tcBorders>
          </w:tcPr>
          <w:p>
            <w:pPr>
              <w:pStyle w:val="TableParagraph"/>
              <w:spacing w:line="312" w:lineRule="auto"/>
              <w:ind w:left="829" w:right="347"/>
              <w:rPr>
                <w:sz w:val="22"/>
              </w:rPr>
            </w:pPr>
            <w:r>
              <w:rPr>
                <w:sz w:val="22"/>
              </w:rPr>
              <w:t>management has been arranged by an adequately trained professional.</w:t>
            </w:r>
          </w:p>
          <w:p>
            <w:pPr>
              <w:pStyle w:val="TableParagraph"/>
              <w:numPr>
                <w:ilvl w:val="0"/>
                <w:numId w:val="29"/>
              </w:numPr>
              <w:tabs>
                <w:tab w:pos="829" w:val="left" w:leader="none"/>
                <w:tab w:pos="830" w:val="left" w:leader="none"/>
              </w:tabs>
              <w:spacing w:line="309" w:lineRule="auto" w:before="177" w:after="0"/>
              <w:ind w:left="829" w:right="94" w:hanging="360"/>
              <w:jc w:val="left"/>
              <w:rPr>
                <w:sz w:val="22"/>
              </w:rPr>
            </w:pPr>
            <w:r>
              <w:rPr>
                <w:sz w:val="22"/>
              </w:rPr>
              <w:t>The Committee also recommends adding reference to the Faculty of Pain Medicine guidelines (currently starting development) when</w:t>
            </w:r>
            <w:r>
              <w:rPr>
                <w:spacing w:val="-12"/>
                <w:sz w:val="22"/>
              </w:rPr>
              <w:t> </w:t>
            </w:r>
            <w:r>
              <w:rPr>
                <w:sz w:val="22"/>
              </w:rPr>
              <w:t>available.</w:t>
            </w:r>
          </w:p>
        </w:tc>
        <w:tc>
          <w:tcPr>
            <w:tcW w:w="2023" w:type="dxa"/>
            <w:tcBorders>
              <w:top w:val="single" w:sz="4" w:space="0" w:color="B66012"/>
              <w:bottom w:val="single" w:sz="4" w:space="0" w:color="B66012"/>
            </w:tcBorders>
          </w:tcPr>
          <w:p>
            <w:pPr>
              <w:pStyle w:val="TableParagraph"/>
              <w:rPr>
                <w:rFonts w:ascii="Times New Roman"/>
                <w:sz w:val="20"/>
              </w:rPr>
            </w:pPr>
          </w:p>
        </w:tc>
        <w:tc>
          <w:tcPr>
            <w:tcW w:w="3151" w:type="dxa"/>
            <w:tcBorders>
              <w:top w:val="single" w:sz="4" w:space="0" w:color="B66012"/>
              <w:bottom w:val="single" w:sz="4" w:space="0" w:color="B66012"/>
            </w:tcBorders>
          </w:tcPr>
          <w:p>
            <w:pPr>
              <w:pStyle w:val="TableParagraph"/>
              <w:rPr>
                <w:rFonts w:ascii="Times New Roman"/>
                <w:sz w:val="20"/>
              </w:rPr>
            </w:pPr>
          </w:p>
        </w:tc>
      </w:tr>
      <w:tr>
        <w:trPr>
          <w:trHeight w:val="587" w:hRule="atLeast"/>
        </w:trPr>
        <w:tc>
          <w:tcPr>
            <w:tcW w:w="13963" w:type="dxa"/>
            <w:gridSpan w:val="5"/>
            <w:tcBorders>
              <w:top w:val="single" w:sz="4" w:space="0" w:color="B66012"/>
              <w:bottom w:val="single" w:sz="4" w:space="0" w:color="B66012"/>
            </w:tcBorders>
          </w:tcPr>
          <w:p>
            <w:pPr>
              <w:pStyle w:val="TableParagraph"/>
              <w:spacing w:before="176"/>
              <w:ind w:left="115"/>
              <w:rPr>
                <w:b/>
                <w:i/>
                <w:sz w:val="22"/>
              </w:rPr>
            </w:pPr>
            <w:r>
              <w:rPr>
                <w:b/>
                <w:i/>
                <w:sz w:val="22"/>
              </w:rPr>
              <w:t>Recommendation 19 – Reflecting best practice in items 39130, 39134, 39135, 39136 and 39137 – use of assistants</w:t>
            </w:r>
          </w:p>
        </w:tc>
      </w:tr>
      <w:tr>
        <w:trPr>
          <w:trHeight w:val="937" w:hRule="atLeast"/>
        </w:trPr>
        <w:tc>
          <w:tcPr>
            <w:tcW w:w="1548" w:type="dxa"/>
            <w:tcBorders>
              <w:top w:val="single" w:sz="4" w:space="0" w:color="B66012"/>
              <w:bottom w:val="single" w:sz="4" w:space="0" w:color="B66012"/>
            </w:tcBorders>
            <w:shd w:val="clear" w:color="auto" w:fill="CC6600"/>
          </w:tcPr>
          <w:p>
            <w:pPr>
              <w:pStyle w:val="TableParagraph"/>
              <w:spacing w:before="176"/>
              <w:ind w:left="115"/>
              <w:rPr>
                <w:b/>
                <w:sz w:val="22"/>
              </w:rPr>
            </w:pPr>
            <w:r>
              <w:rPr>
                <w:b/>
                <w:sz w:val="22"/>
              </w:rPr>
              <w:t>Item</w:t>
            </w:r>
          </w:p>
        </w:tc>
        <w:tc>
          <w:tcPr>
            <w:tcW w:w="2875" w:type="dxa"/>
            <w:tcBorders>
              <w:top w:val="single" w:sz="4" w:space="0" w:color="B66012"/>
              <w:bottom w:val="single" w:sz="4" w:space="0" w:color="B66012"/>
            </w:tcBorders>
            <w:shd w:val="clear" w:color="auto" w:fill="CC6600"/>
          </w:tcPr>
          <w:p>
            <w:pPr>
              <w:pStyle w:val="TableParagraph"/>
              <w:spacing w:before="176"/>
              <w:ind w:left="152"/>
              <w:rPr>
                <w:b/>
                <w:sz w:val="22"/>
              </w:rPr>
            </w:pPr>
            <w:r>
              <w:rPr>
                <w:b/>
                <w:sz w:val="22"/>
              </w:rPr>
              <w:t>What it does</w:t>
            </w:r>
          </w:p>
        </w:tc>
        <w:tc>
          <w:tcPr>
            <w:tcW w:w="4366" w:type="dxa"/>
            <w:tcBorders>
              <w:top w:val="single" w:sz="4" w:space="0" w:color="B66012"/>
              <w:bottom w:val="single" w:sz="4" w:space="0" w:color="B66012"/>
            </w:tcBorders>
            <w:shd w:val="clear" w:color="auto" w:fill="CC6600"/>
          </w:tcPr>
          <w:p>
            <w:pPr>
              <w:pStyle w:val="TableParagraph"/>
              <w:spacing w:before="176"/>
              <w:ind w:left="109"/>
              <w:rPr>
                <w:b/>
                <w:sz w:val="22"/>
              </w:rPr>
            </w:pPr>
            <w:r>
              <w:rPr>
                <w:b/>
                <w:sz w:val="22"/>
              </w:rPr>
              <w:t>Committee recommendation</w:t>
            </w:r>
          </w:p>
        </w:tc>
        <w:tc>
          <w:tcPr>
            <w:tcW w:w="2023" w:type="dxa"/>
            <w:tcBorders>
              <w:top w:val="single" w:sz="4" w:space="0" w:color="B66012"/>
              <w:bottom w:val="single" w:sz="4" w:space="0" w:color="B66012"/>
            </w:tcBorders>
            <w:shd w:val="clear" w:color="auto" w:fill="CC6600"/>
          </w:tcPr>
          <w:p>
            <w:pPr>
              <w:pStyle w:val="TableParagraph"/>
              <w:spacing w:line="312" w:lineRule="auto" w:before="176"/>
              <w:ind w:left="119" w:right="481"/>
              <w:rPr>
                <w:b/>
                <w:sz w:val="22"/>
              </w:rPr>
            </w:pPr>
            <w:r>
              <w:rPr>
                <w:b/>
                <w:sz w:val="22"/>
              </w:rPr>
              <w:t>What would be different</w:t>
            </w:r>
          </w:p>
        </w:tc>
        <w:tc>
          <w:tcPr>
            <w:tcW w:w="3151" w:type="dxa"/>
            <w:tcBorders>
              <w:top w:val="single" w:sz="4" w:space="0" w:color="B66012"/>
              <w:bottom w:val="single" w:sz="4" w:space="0" w:color="B66012"/>
            </w:tcBorders>
            <w:shd w:val="clear" w:color="auto" w:fill="CC6600"/>
          </w:tcPr>
          <w:p>
            <w:pPr>
              <w:pStyle w:val="TableParagraph"/>
              <w:spacing w:before="176"/>
              <w:ind w:left="193"/>
              <w:rPr>
                <w:b/>
                <w:sz w:val="22"/>
              </w:rPr>
            </w:pPr>
            <w:r>
              <w:rPr>
                <w:b/>
                <w:sz w:val="22"/>
              </w:rPr>
              <w:t>Why</w:t>
            </w:r>
          </w:p>
        </w:tc>
      </w:tr>
      <w:tr>
        <w:trPr>
          <w:trHeight w:val="3564" w:hRule="atLeast"/>
        </w:trPr>
        <w:tc>
          <w:tcPr>
            <w:tcW w:w="1548" w:type="dxa"/>
            <w:tcBorders>
              <w:top w:val="single" w:sz="4" w:space="0" w:color="B66012"/>
              <w:bottom w:val="single" w:sz="4" w:space="0" w:color="B66012"/>
            </w:tcBorders>
          </w:tcPr>
          <w:p>
            <w:pPr>
              <w:pStyle w:val="TableParagraph"/>
              <w:spacing w:before="179"/>
              <w:ind w:left="115"/>
              <w:rPr>
                <w:b/>
                <w:sz w:val="22"/>
              </w:rPr>
            </w:pPr>
            <w:r>
              <w:rPr>
                <w:b/>
                <w:sz w:val="22"/>
              </w:rPr>
              <w:t>39130,</w:t>
            </w:r>
            <w:r>
              <w:rPr>
                <w:b/>
                <w:spacing w:val="-4"/>
                <w:sz w:val="22"/>
              </w:rPr>
              <w:t> </w:t>
            </w:r>
            <w:r>
              <w:rPr>
                <w:b/>
                <w:sz w:val="22"/>
              </w:rPr>
              <w:t>39134,</w:t>
            </w:r>
          </w:p>
          <w:p>
            <w:pPr>
              <w:pStyle w:val="TableParagraph"/>
              <w:spacing w:before="3"/>
              <w:rPr>
                <w:sz w:val="21"/>
              </w:rPr>
            </w:pPr>
          </w:p>
          <w:p>
            <w:pPr>
              <w:pStyle w:val="TableParagraph"/>
              <w:ind w:left="115"/>
              <w:rPr>
                <w:b/>
                <w:sz w:val="22"/>
              </w:rPr>
            </w:pPr>
            <w:r>
              <w:rPr>
                <w:b/>
                <w:sz w:val="22"/>
              </w:rPr>
              <w:t>39135,</w:t>
            </w:r>
            <w:r>
              <w:rPr>
                <w:b/>
                <w:spacing w:val="-6"/>
                <w:sz w:val="22"/>
              </w:rPr>
              <w:t> </w:t>
            </w:r>
            <w:r>
              <w:rPr>
                <w:b/>
                <w:sz w:val="22"/>
              </w:rPr>
              <w:t>39136,</w:t>
            </w:r>
          </w:p>
          <w:p>
            <w:pPr>
              <w:pStyle w:val="TableParagraph"/>
              <w:spacing w:before="80"/>
              <w:ind w:left="115"/>
              <w:rPr>
                <w:b/>
                <w:sz w:val="22"/>
              </w:rPr>
            </w:pPr>
            <w:r>
              <w:rPr>
                <w:b/>
                <w:sz w:val="22"/>
              </w:rPr>
              <w:t>39137</w:t>
            </w:r>
          </w:p>
        </w:tc>
        <w:tc>
          <w:tcPr>
            <w:tcW w:w="2875" w:type="dxa"/>
            <w:tcBorders>
              <w:top w:val="single" w:sz="4" w:space="0" w:color="B66012"/>
              <w:bottom w:val="single" w:sz="4" w:space="0" w:color="B66012"/>
            </w:tcBorders>
          </w:tcPr>
          <w:p>
            <w:pPr>
              <w:pStyle w:val="TableParagraph"/>
              <w:spacing w:line="312" w:lineRule="auto" w:before="179"/>
              <w:ind w:left="152" w:right="89"/>
              <w:rPr>
                <w:sz w:val="22"/>
              </w:rPr>
            </w:pPr>
            <w:r>
              <w:rPr>
                <w:sz w:val="22"/>
              </w:rPr>
              <w:t>Placement, repositioning or removal of neurostimulators, leads or receivers that were inserted for pain treatment.</w:t>
            </w:r>
          </w:p>
        </w:tc>
        <w:tc>
          <w:tcPr>
            <w:tcW w:w="4366" w:type="dxa"/>
            <w:tcBorders>
              <w:top w:val="single" w:sz="4" w:space="0" w:color="B66012"/>
              <w:bottom w:val="single" w:sz="4" w:space="0" w:color="B66012"/>
            </w:tcBorders>
          </w:tcPr>
          <w:p>
            <w:pPr>
              <w:pStyle w:val="TableParagraph"/>
              <w:spacing w:line="312" w:lineRule="auto" w:before="179"/>
              <w:ind w:left="109" w:right="113"/>
              <w:rPr>
                <w:sz w:val="22"/>
              </w:rPr>
            </w:pPr>
            <w:r>
              <w:rPr>
                <w:sz w:val="22"/>
              </w:rPr>
              <w:t>The items be considered for use of an assistant fee, noting that the assistant fee is currently being discussed by the Principles and Rules Committee for restructuring around the mechanisms of</w:t>
            </w:r>
            <w:r>
              <w:rPr>
                <w:spacing w:val="-5"/>
                <w:sz w:val="22"/>
              </w:rPr>
              <w:t> </w:t>
            </w:r>
            <w:r>
              <w:rPr>
                <w:sz w:val="22"/>
              </w:rPr>
              <w:t>claiming</w:t>
            </w:r>
          </w:p>
        </w:tc>
        <w:tc>
          <w:tcPr>
            <w:tcW w:w="2023" w:type="dxa"/>
            <w:tcBorders>
              <w:top w:val="single" w:sz="4" w:space="0" w:color="B66012"/>
              <w:bottom w:val="single" w:sz="4" w:space="0" w:color="B66012"/>
            </w:tcBorders>
          </w:tcPr>
          <w:p>
            <w:pPr>
              <w:pStyle w:val="TableParagraph"/>
              <w:spacing w:line="312" w:lineRule="auto" w:before="179"/>
              <w:ind w:left="119" w:right="170"/>
              <w:rPr>
                <w:sz w:val="22"/>
              </w:rPr>
            </w:pPr>
            <w:r>
              <w:rPr>
                <w:sz w:val="22"/>
              </w:rPr>
              <w:t>An assistant would be claimable under the MBS for these procedures.</w:t>
            </w:r>
          </w:p>
        </w:tc>
        <w:tc>
          <w:tcPr>
            <w:tcW w:w="3151" w:type="dxa"/>
            <w:tcBorders>
              <w:top w:val="single" w:sz="4" w:space="0" w:color="B66012"/>
              <w:bottom w:val="single" w:sz="4" w:space="0" w:color="B66012"/>
            </w:tcBorders>
          </w:tcPr>
          <w:p>
            <w:pPr>
              <w:pStyle w:val="TableParagraph"/>
              <w:spacing w:line="312" w:lineRule="auto" w:before="179"/>
              <w:ind w:left="193" w:right="369"/>
              <w:rPr>
                <w:sz w:val="22"/>
              </w:rPr>
            </w:pPr>
            <w:r>
              <w:rPr>
                <w:sz w:val="22"/>
              </w:rPr>
              <w:t>These procedures are considered to be two person procedures and there is a higher rate of complications when insertion is performed alone.</w:t>
            </w:r>
          </w:p>
          <w:p>
            <w:pPr>
              <w:pStyle w:val="TableParagraph"/>
              <w:spacing w:line="312" w:lineRule="auto" w:before="178"/>
              <w:ind w:left="193" w:right="133"/>
              <w:rPr>
                <w:sz w:val="22"/>
              </w:rPr>
            </w:pPr>
            <w:r>
              <w:rPr>
                <w:sz w:val="22"/>
              </w:rPr>
              <w:t>Therefore for safety reasons an assistant support item is recommended</w:t>
            </w:r>
          </w:p>
        </w:tc>
      </w:tr>
    </w:tbl>
    <w:p>
      <w:pPr>
        <w:spacing w:after="0" w:line="312" w:lineRule="auto"/>
        <w:rPr>
          <w:sz w:val="22"/>
        </w:rPr>
        <w:sectPr>
          <w:pgSz w:w="16840" w:h="11910" w:orient="landscape"/>
          <w:pgMar w:header="0" w:footer="722" w:top="1180" w:bottom="920" w:left="1000" w:right="1640"/>
        </w:sectPr>
      </w:pPr>
    </w:p>
    <w:p>
      <w:pPr>
        <w:pStyle w:val="BodyText"/>
        <w:rPr>
          <w:sz w:val="20"/>
        </w:rPr>
      </w:pPr>
    </w:p>
    <w:p>
      <w:pPr>
        <w:pStyle w:val="BodyText"/>
        <w:rPr>
          <w:sz w:val="20"/>
        </w:rPr>
      </w:pPr>
    </w:p>
    <w:p>
      <w:pPr>
        <w:pStyle w:val="BodyText"/>
        <w:spacing w:before="11" w:after="1"/>
        <w:rPr>
          <w:sz w:val="10"/>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8"/>
        <w:gridCol w:w="2152"/>
        <w:gridCol w:w="5012"/>
        <w:gridCol w:w="2137"/>
        <w:gridCol w:w="3117"/>
      </w:tblGrid>
      <w:tr>
        <w:trPr>
          <w:trHeight w:val="937" w:hRule="atLeast"/>
        </w:trPr>
        <w:tc>
          <w:tcPr>
            <w:tcW w:w="13966" w:type="dxa"/>
            <w:gridSpan w:val="5"/>
            <w:tcBorders>
              <w:top w:val="single" w:sz="4" w:space="0" w:color="B66012"/>
              <w:bottom w:val="single" w:sz="4" w:space="0" w:color="B66012"/>
            </w:tcBorders>
          </w:tcPr>
          <w:p>
            <w:pPr>
              <w:pStyle w:val="TableParagraph"/>
              <w:spacing w:line="312" w:lineRule="auto" w:before="176"/>
              <w:ind w:left="116"/>
              <w:rPr>
                <w:b/>
                <w:i/>
                <w:sz w:val="22"/>
              </w:rPr>
            </w:pPr>
            <w:r>
              <w:rPr>
                <w:b/>
                <w:i/>
                <w:sz w:val="22"/>
              </w:rPr>
              <w:t>Recommendation 20: Restriction of items 18228, 18232, 18238, 18244, 18252, 18254, 18262, 18264, 18266, 18280 and 18288 - diagnosis and </w:t>
            </w:r>
            <w:r>
              <w:rPr>
                <w:b/>
                <w:i/>
                <w:sz w:val="22"/>
              </w:rPr>
              <w:t>management of chronic pain</w:t>
            </w:r>
          </w:p>
        </w:tc>
      </w:tr>
      <w:tr>
        <w:trPr>
          <w:trHeight w:val="937" w:hRule="atLeast"/>
        </w:trPr>
        <w:tc>
          <w:tcPr>
            <w:tcW w:w="1548" w:type="dxa"/>
            <w:tcBorders>
              <w:top w:val="single" w:sz="4" w:space="0" w:color="B66012"/>
              <w:bottom w:val="single" w:sz="4" w:space="0" w:color="B66012"/>
            </w:tcBorders>
            <w:shd w:val="clear" w:color="auto" w:fill="CC6600"/>
          </w:tcPr>
          <w:p>
            <w:pPr>
              <w:pStyle w:val="TableParagraph"/>
              <w:spacing w:before="176"/>
              <w:ind w:left="116"/>
              <w:rPr>
                <w:b/>
                <w:sz w:val="22"/>
              </w:rPr>
            </w:pPr>
            <w:r>
              <w:rPr>
                <w:b/>
                <w:sz w:val="22"/>
              </w:rPr>
              <w:t>Item</w:t>
            </w:r>
          </w:p>
        </w:tc>
        <w:tc>
          <w:tcPr>
            <w:tcW w:w="2152" w:type="dxa"/>
            <w:tcBorders>
              <w:top w:val="single" w:sz="4" w:space="0" w:color="B66012"/>
              <w:bottom w:val="single" w:sz="4" w:space="0" w:color="B66012"/>
            </w:tcBorders>
            <w:shd w:val="clear" w:color="auto" w:fill="CC6600"/>
          </w:tcPr>
          <w:p>
            <w:pPr>
              <w:pStyle w:val="TableParagraph"/>
              <w:spacing w:before="176"/>
              <w:ind w:left="152"/>
              <w:rPr>
                <w:b/>
                <w:sz w:val="22"/>
              </w:rPr>
            </w:pPr>
            <w:r>
              <w:rPr>
                <w:b/>
                <w:sz w:val="22"/>
              </w:rPr>
              <w:t>What it does</w:t>
            </w:r>
          </w:p>
        </w:tc>
        <w:tc>
          <w:tcPr>
            <w:tcW w:w="5012" w:type="dxa"/>
            <w:tcBorders>
              <w:top w:val="single" w:sz="4" w:space="0" w:color="B66012"/>
              <w:bottom w:val="single" w:sz="4" w:space="0" w:color="B66012"/>
            </w:tcBorders>
            <w:shd w:val="clear" w:color="auto" w:fill="CC6600"/>
          </w:tcPr>
          <w:p>
            <w:pPr>
              <w:pStyle w:val="TableParagraph"/>
              <w:spacing w:before="176"/>
              <w:ind w:left="832"/>
              <w:rPr>
                <w:b/>
                <w:sz w:val="22"/>
              </w:rPr>
            </w:pPr>
            <w:r>
              <w:rPr>
                <w:b/>
                <w:sz w:val="22"/>
              </w:rPr>
              <w:t>Committee recommendation</w:t>
            </w:r>
          </w:p>
        </w:tc>
        <w:tc>
          <w:tcPr>
            <w:tcW w:w="2137" w:type="dxa"/>
            <w:tcBorders>
              <w:top w:val="single" w:sz="4" w:space="0" w:color="B66012"/>
              <w:bottom w:val="single" w:sz="4" w:space="0" w:color="B66012"/>
            </w:tcBorders>
            <w:shd w:val="clear" w:color="auto" w:fill="CC6600"/>
          </w:tcPr>
          <w:p>
            <w:pPr>
              <w:pStyle w:val="TableParagraph"/>
              <w:spacing w:line="312" w:lineRule="auto" w:before="176"/>
              <w:ind w:left="196" w:right="518"/>
              <w:rPr>
                <w:b/>
                <w:sz w:val="22"/>
              </w:rPr>
            </w:pPr>
            <w:r>
              <w:rPr>
                <w:b/>
                <w:sz w:val="22"/>
              </w:rPr>
              <w:t>What would be different</w:t>
            </w:r>
          </w:p>
        </w:tc>
        <w:tc>
          <w:tcPr>
            <w:tcW w:w="3117" w:type="dxa"/>
            <w:tcBorders>
              <w:top w:val="single" w:sz="4" w:space="0" w:color="B66012"/>
              <w:bottom w:val="single" w:sz="4" w:space="0" w:color="B66012"/>
            </w:tcBorders>
            <w:shd w:val="clear" w:color="auto" w:fill="CC6600"/>
          </w:tcPr>
          <w:p>
            <w:pPr>
              <w:pStyle w:val="TableParagraph"/>
              <w:spacing w:before="176"/>
              <w:ind w:left="157"/>
              <w:rPr>
                <w:b/>
                <w:sz w:val="22"/>
              </w:rPr>
            </w:pPr>
            <w:r>
              <w:rPr>
                <w:b/>
                <w:sz w:val="22"/>
              </w:rPr>
              <w:t>Why</w:t>
            </w:r>
          </w:p>
        </w:tc>
      </w:tr>
      <w:tr>
        <w:trPr>
          <w:trHeight w:val="241" w:hRule="atLeast"/>
        </w:trPr>
        <w:tc>
          <w:tcPr>
            <w:tcW w:w="1548" w:type="dxa"/>
            <w:vMerge w:val="restart"/>
            <w:tcBorders>
              <w:top w:val="single" w:sz="4" w:space="0" w:color="B66012"/>
            </w:tcBorders>
          </w:tcPr>
          <w:p>
            <w:pPr>
              <w:pStyle w:val="TableParagraph"/>
              <w:spacing w:line="265" w:lineRule="exact"/>
              <w:ind w:left="116"/>
              <w:rPr>
                <w:b/>
                <w:sz w:val="22"/>
              </w:rPr>
            </w:pPr>
            <w:r>
              <w:rPr>
                <w:b/>
                <w:sz w:val="22"/>
              </w:rPr>
              <w:t>18228,</w:t>
            </w:r>
            <w:r>
              <w:rPr>
                <w:b/>
                <w:spacing w:val="-6"/>
                <w:sz w:val="22"/>
              </w:rPr>
              <w:t> </w:t>
            </w:r>
            <w:r>
              <w:rPr>
                <w:b/>
                <w:sz w:val="22"/>
              </w:rPr>
              <w:t>18232,</w:t>
            </w:r>
          </w:p>
          <w:p>
            <w:pPr>
              <w:pStyle w:val="TableParagraph"/>
              <w:spacing w:before="82"/>
              <w:ind w:left="116"/>
              <w:rPr>
                <w:b/>
                <w:sz w:val="22"/>
              </w:rPr>
            </w:pPr>
            <w:r>
              <w:rPr>
                <w:b/>
                <w:sz w:val="22"/>
              </w:rPr>
              <w:t>18238,</w:t>
            </w:r>
            <w:r>
              <w:rPr>
                <w:b/>
                <w:spacing w:val="-6"/>
                <w:sz w:val="22"/>
              </w:rPr>
              <w:t> </w:t>
            </w:r>
            <w:r>
              <w:rPr>
                <w:b/>
                <w:sz w:val="22"/>
              </w:rPr>
              <w:t>18244,</w:t>
            </w:r>
          </w:p>
          <w:p>
            <w:pPr>
              <w:pStyle w:val="TableParagraph"/>
              <w:spacing w:before="80"/>
              <w:ind w:left="116"/>
              <w:rPr>
                <w:b/>
                <w:sz w:val="22"/>
              </w:rPr>
            </w:pPr>
            <w:r>
              <w:rPr>
                <w:b/>
                <w:sz w:val="22"/>
              </w:rPr>
              <w:t>18252,</w:t>
            </w:r>
            <w:r>
              <w:rPr>
                <w:b/>
                <w:spacing w:val="-6"/>
                <w:sz w:val="22"/>
              </w:rPr>
              <w:t> </w:t>
            </w:r>
            <w:r>
              <w:rPr>
                <w:b/>
                <w:sz w:val="22"/>
              </w:rPr>
              <w:t>18256,</w:t>
            </w:r>
          </w:p>
          <w:p>
            <w:pPr>
              <w:pStyle w:val="TableParagraph"/>
              <w:spacing w:before="81"/>
              <w:ind w:left="116"/>
              <w:rPr>
                <w:b/>
                <w:sz w:val="22"/>
              </w:rPr>
            </w:pPr>
            <w:r>
              <w:rPr>
                <w:b/>
                <w:sz w:val="22"/>
              </w:rPr>
              <w:t>18262,</w:t>
            </w:r>
            <w:r>
              <w:rPr>
                <w:b/>
                <w:spacing w:val="-6"/>
                <w:sz w:val="22"/>
              </w:rPr>
              <w:t> </w:t>
            </w:r>
            <w:r>
              <w:rPr>
                <w:b/>
                <w:sz w:val="22"/>
              </w:rPr>
              <w:t>18264,</w:t>
            </w:r>
          </w:p>
          <w:p>
            <w:pPr>
              <w:pStyle w:val="TableParagraph"/>
              <w:spacing w:before="80"/>
              <w:ind w:left="116"/>
              <w:rPr>
                <w:b/>
                <w:sz w:val="22"/>
              </w:rPr>
            </w:pPr>
            <w:r>
              <w:rPr>
                <w:b/>
                <w:sz w:val="22"/>
              </w:rPr>
              <w:t>18266,</w:t>
            </w:r>
          </w:p>
          <w:p>
            <w:pPr>
              <w:pStyle w:val="TableParagraph"/>
              <w:spacing w:before="139"/>
              <w:ind w:left="116"/>
              <w:rPr>
                <w:b/>
                <w:sz w:val="22"/>
              </w:rPr>
            </w:pPr>
            <w:r>
              <w:rPr>
                <w:b/>
                <w:sz w:val="22"/>
              </w:rPr>
              <w:t>18280, 18288.</w:t>
            </w:r>
          </w:p>
        </w:tc>
        <w:tc>
          <w:tcPr>
            <w:tcW w:w="2152" w:type="dxa"/>
            <w:tcBorders>
              <w:top w:val="single" w:sz="4" w:space="0" w:color="B66012"/>
            </w:tcBorders>
          </w:tcPr>
          <w:p>
            <w:pPr>
              <w:pStyle w:val="TableParagraph"/>
              <w:spacing w:line="221" w:lineRule="exact"/>
              <w:ind w:left="152"/>
              <w:rPr>
                <w:sz w:val="22"/>
              </w:rPr>
            </w:pPr>
            <w:r>
              <w:rPr>
                <w:sz w:val="22"/>
              </w:rPr>
              <w:t>Various</w:t>
            </w:r>
          </w:p>
        </w:tc>
        <w:tc>
          <w:tcPr>
            <w:tcW w:w="5012" w:type="dxa"/>
            <w:tcBorders>
              <w:top w:val="single" w:sz="4" w:space="0" w:color="B66012"/>
            </w:tcBorders>
          </w:tcPr>
          <w:p>
            <w:pPr>
              <w:pStyle w:val="TableParagraph"/>
              <w:rPr>
                <w:rFonts w:ascii="Times New Roman"/>
                <w:sz w:val="16"/>
              </w:rPr>
            </w:pPr>
          </w:p>
        </w:tc>
        <w:tc>
          <w:tcPr>
            <w:tcW w:w="2137" w:type="dxa"/>
            <w:tcBorders>
              <w:top w:val="single" w:sz="4" w:space="0" w:color="B66012"/>
            </w:tcBorders>
          </w:tcPr>
          <w:p>
            <w:pPr>
              <w:pStyle w:val="TableParagraph"/>
              <w:rPr>
                <w:rFonts w:ascii="Times New Roman"/>
                <w:sz w:val="16"/>
              </w:rPr>
            </w:pPr>
          </w:p>
        </w:tc>
        <w:tc>
          <w:tcPr>
            <w:tcW w:w="3117" w:type="dxa"/>
            <w:tcBorders>
              <w:top w:val="single" w:sz="4" w:space="0" w:color="B66012"/>
            </w:tcBorders>
          </w:tcPr>
          <w:p>
            <w:pPr>
              <w:pStyle w:val="TableParagraph"/>
              <w:rPr>
                <w:rFonts w:ascii="Times New Roman"/>
                <w:sz w:val="16"/>
              </w:rPr>
            </w:pPr>
          </w:p>
        </w:tc>
      </w:tr>
      <w:tr>
        <w:trPr>
          <w:trHeight w:val="1860" w:hRule="atLeast"/>
        </w:trPr>
        <w:tc>
          <w:tcPr>
            <w:tcW w:w="1548" w:type="dxa"/>
            <w:vMerge/>
            <w:tcBorders>
              <w:top w:val="nil"/>
            </w:tcBorders>
          </w:tcPr>
          <w:p>
            <w:pPr>
              <w:rPr>
                <w:sz w:val="2"/>
                <w:szCs w:val="2"/>
              </w:rPr>
            </w:pPr>
          </w:p>
        </w:tc>
        <w:tc>
          <w:tcPr>
            <w:tcW w:w="2152" w:type="dxa"/>
            <w:vMerge w:val="restart"/>
            <w:tcBorders>
              <w:bottom w:val="single" w:sz="4" w:space="0" w:color="B66012"/>
            </w:tcBorders>
          </w:tcPr>
          <w:p>
            <w:pPr>
              <w:pStyle w:val="TableParagraph"/>
              <w:rPr>
                <w:rFonts w:ascii="Times New Roman"/>
                <w:sz w:val="20"/>
              </w:rPr>
            </w:pPr>
          </w:p>
        </w:tc>
        <w:tc>
          <w:tcPr>
            <w:tcW w:w="5012" w:type="dxa"/>
          </w:tcPr>
          <w:p>
            <w:pPr>
              <w:pStyle w:val="TableParagraph"/>
              <w:spacing w:line="205" w:lineRule="exact"/>
              <w:ind w:left="832"/>
              <w:rPr>
                <w:sz w:val="22"/>
              </w:rPr>
            </w:pPr>
            <w:r>
              <w:rPr>
                <w:sz w:val="22"/>
              </w:rPr>
              <w:t>These items should not be co-claimed with a</w:t>
            </w:r>
          </w:p>
          <w:p>
            <w:pPr>
              <w:pStyle w:val="TableParagraph"/>
              <w:spacing w:line="312" w:lineRule="auto" w:before="82"/>
              <w:ind w:left="832" w:right="313"/>
              <w:rPr>
                <w:sz w:val="22"/>
              </w:rPr>
            </w:pPr>
            <w:r>
              <w:rPr>
                <w:sz w:val="22"/>
              </w:rPr>
              <w:t>surgical procedure and restricted for use in the diagnosis and management of chronic pain</w:t>
            </w:r>
          </w:p>
          <w:p>
            <w:pPr>
              <w:pStyle w:val="TableParagraph"/>
              <w:spacing w:before="179"/>
              <w:ind w:left="832"/>
              <w:rPr>
                <w:sz w:val="22"/>
              </w:rPr>
            </w:pPr>
            <w:r>
              <w:rPr>
                <w:sz w:val="22"/>
              </w:rPr>
              <w:t>Amended to add ‘for the diagnosis or</w:t>
            </w:r>
          </w:p>
        </w:tc>
        <w:tc>
          <w:tcPr>
            <w:tcW w:w="2137" w:type="dxa"/>
          </w:tcPr>
          <w:p>
            <w:pPr>
              <w:pStyle w:val="TableParagraph"/>
              <w:spacing w:line="205" w:lineRule="exact"/>
              <w:ind w:left="196"/>
              <w:rPr>
                <w:sz w:val="22"/>
              </w:rPr>
            </w:pPr>
            <w:r>
              <w:rPr>
                <w:sz w:val="22"/>
              </w:rPr>
              <w:t>These items will not</w:t>
            </w:r>
          </w:p>
          <w:p>
            <w:pPr>
              <w:pStyle w:val="TableParagraph"/>
              <w:spacing w:line="312" w:lineRule="auto" w:before="82"/>
              <w:ind w:left="196" w:right="261"/>
              <w:rPr>
                <w:sz w:val="22"/>
              </w:rPr>
            </w:pPr>
            <w:r>
              <w:rPr>
                <w:sz w:val="22"/>
              </w:rPr>
              <w:t>be able to be co- claimed with a surgical procedure</w:t>
            </w:r>
          </w:p>
        </w:tc>
        <w:tc>
          <w:tcPr>
            <w:tcW w:w="3117" w:type="dxa"/>
          </w:tcPr>
          <w:p>
            <w:pPr>
              <w:pStyle w:val="TableParagraph"/>
              <w:spacing w:line="205" w:lineRule="exact"/>
              <w:ind w:left="157"/>
              <w:rPr>
                <w:sz w:val="22"/>
              </w:rPr>
            </w:pPr>
            <w:r>
              <w:rPr>
                <w:sz w:val="22"/>
              </w:rPr>
              <w:t>Many of the pain management</w:t>
            </w:r>
          </w:p>
          <w:p>
            <w:pPr>
              <w:pStyle w:val="TableParagraph"/>
              <w:spacing w:line="312" w:lineRule="auto" w:before="82"/>
              <w:ind w:left="157" w:right="246"/>
              <w:rPr>
                <w:sz w:val="22"/>
              </w:rPr>
            </w:pPr>
            <w:r>
              <w:rPr>
                <w:sz w:val="22"/>
              </w:rPr>
              <w:t>items under consideration are being inappropriately co- claimed with a surgical procedure.</w:t>
            </w:r>
          </w:p>
        </w:tc>
      </w:tr>
      <w:tr>
        <w:trPr>
          <w:trHeight w:val="315" w:hRule="atLeast"/>
        </w:trPr>
        <w:tc>
          <w:tcPr>
            <w:tcW w:w="1548" w:type="dxa"/>
          </w:tcPr>
          <w:p>
            <w:pPr>
              <w:pStyle w:val="TableParagraph"/>
              <w:rPr>
                <w:rFonts w:ascii="Times New Roman"/>
                <w:sz w:val="20"/>
              </w:rPr>
            </w:pPr>
          </w:p>
        </w:tc>
        <w:tc>
          <w:tcPr>
            <w:tcW w:w="2152" w:type="dxa"/>
            <w:vMerge/>
            <w:tcBorders>
              <w:top w:val="nil"/>
              <w:bottom w:val="single" w:sz="4" w:space="0" w:color="B66012"/>
            </w:tcBorders>
          </w:tcPr>
          <w:p>
            <w:pPr>
              <w:rPr>
                <w:sz w:val="2"/>
                <w:szCs w:val="2"/>
              </w:rPr>
            </w:pPr>
          </w:p>
        </w:tc>
        <w:tc>
          <w:tcPr>
            <w:tcW w:w="5012" w:type="dxa"/>
          </w:tcPr>
          <w:p>
            <w:pPr>
              <w:pStyle w:val="TableParagraph"/>
              <w:spacing w:line="259" w:lineRule="exact"/>
              <w:ind w:left="832"/>
              <w:rPr>
                <w:sz w:val="22"/>
              </w:rPr>
            </w:pPr>
            <w:r>
              <w:rPr>
                <w:sz w:val="22"/>
              </w:rPr>
              <w:t>treatment of chronic pain or cancer pain’</w:t>
            </w:r>
          </w:p>
        </w:tc>
        <w:tc>
          <w:tcPr>
            <w:tcW w:w="2137" w:type="dxa"/>
          </w:tcPr>
          <w:p>
            <w:pPr>
              <w:pStyle w:val="TableParagraph"/>
              <w:rPr>
                <w:rFonts w:ascii="Times New Roman"/>
                <w:sz w:val="20"/>
              </w:rPr>
            </w:pPr>
          </w:p>
        </w:tc>
        <w:tc>
          <w:tcPr>
            <w:tcW w:w="3117" w:type="dxa"/>
          </w:tcPr>
          <w:p>
            <w:pPr>
              <w:pStyle w:val="TableParagraph"/>
              <w:spacing w:line="259" w:lineRule="exact"/>
              <w:ind w:left="157"/>
              <w:rPr>
                <w:sz w:val="22"/>
              </w:rPr>
            </w:pPr>
            <w:r>
              <w:rPr>
                <w:sz w:val="22"/>
              </w:rPr>
              <w:t>The Committee believes that</w:t>
            </w:r>
          </w:p>
        </w:tc>
      </w:tr>
      <w:tr>
        <w:trPr>
          <w:trHeight w:val="1387" w:hRule="atLeast"/>
        </w:trPr>
        <w:tc>
          <w:tcPr>
            <w:tcW w:w="1548" w:type="dxa"/>
          </w:tcPr>
          <w:p>
            <w:pPr>
              <w:pStyle w:val="TableParagraph"/>
              <w:rPr>
                <w:rFonts w:ascii="Times New Roman"/>
                <w:sz w:val="20"/>
              </w:rPr>
            </w:pPr>
          </w:p>
        </w:tc>
        <w:tc>
          <w:tcPr>
            <w:tcW w:w="2152" w:type="dxa"/>
            <w:vMerge/>
            <w:tcBorders>
              <w:top w:val="nil"/>
              <w:bottom w:val="single" w:sz="4" w:space="0" w:color="B66012"/>
            </w:tcBorders>
          </w:tcPr>
          <w:p>
            <w:pPr>
              <w:rPr>
                <w:sz w:val="2"/>
                <w:szCs w:val="2"/>
              </w:rPr>
            </w:pPr>
          </w:p>
        </w:tc>
        <w:tc>
          <w:tcPr>
            <w:tcW w:w="5012" w:type="dxa"/>
          </w:tcPr>
          <w:p>
            <w:pPr>
              <w:pStyle w:val="TableParagraph"/>
              <w:spacing w:line="312" w:lineRule="auto" w:before="196"/>
              <w:ind w:left="832" w:right="261"/>
              <w:jc w:val="both"/>
              <w:rPr>
                <w:sz w:val="22"/>
              </w:rPr>
            </w:pPr>
            <w:r>
              <w:rPr>
                <w:sz w:val="22"/>
              </w:rPr>
              <w:t>For item 18228, this should also include the management of acute chest wall injury (e.g. rib fractures)</w:t>
            </w:r>
          </w:p>
        </w:tc>
        <w:tc>
          <w:tcPr>
            <w:tcW w:w="2137" w:type="dxa"/>
          </w:tcPr>
          <w:p>
            <w:pPr>
              <w:pStyle w:val="TableParagraph"/>
              <w:rPr>
                <w:rFonts w:ascii="Times New Roman"/>
                <w:sz w:val="20"/>
              </w:rPr>
            </w:pPr>
          </w:p>
        </w:tc>
        <w:tc>
          <w:tcPr>
            <w:tcW w:w="3117" w:type="dxa"/>
          </w:tcPr>
          <w:p>
            <w:pPr>
              <w:pStyle w:val="TableParagraph"/>
              <w:spacing w:line="312" w:lineRule="auto" w:before="16"/>
              <w:ind w:left="157" w:right="181"/>
              <w:rPr>
                <w:sz w:val="22"/>
              </w:rPr>
            </w:pPr>
            <w:r>
              <w:rPr>
                <w:sz w:val="22"/>
              </w:rPr>
              <w:t>this is an unethical practice which goes against the spirit </w:t>
            </w:r>
            <w:r>
              <w:rPr>
                <w:spacing w:val="-6"/>
                <w:sz w:val="22"/>
              </w:rPr>
              <w:t>of </w:t>
            </w:r>
            <w:r>
              <w:rPr>
                <w:sz w:val="22"/>
              </w:rPr>
              <w:t>the MBS and that the</w:t>
            </w:r>
            <w:r>
              <w:rPr>
                <w:spacing w:val="-5"/>
                <w:sz w:val="22"/>
              </w:rPr>
              <w:t> </w:t>
            </w:r>
            <w:r>
              <w:rPr>
                <w:sz w:val="22"/>
              </w:rPr>
              <w:t>principle</w:t>
            </w:r>
          </w:p>
          <w:p>
            <w:pPr>
              <w:pStyle w:val="TableParagraph"/>
              <w:spacing w:line="268" w:lineRule="exact"/>
              <w:ind w:left="157"/>
              <w:rPr>
                <w:sz w:val="22"/>
              </w:rPr>
            </w:pPr>
            <w:r>
              <w:rPr>
                <w:sz w:val="22"/>
              </w:rPr>
              <w:t>of providing ‘complete</w:t>
            </w:r>
            <w:r>
              <w:rPr>
                <w:spacing w:val="-8"/>
                <w:sz w:val="22"/>
              </w:rPr>
              <w:t> </w:t>
            </w:r>
            <w:r>
              <w:rPr>
                <w:sz w:val="22"/>
              </w:rPr>
              <w:t>medical</w:t>
            </w:r>
          </w:p>
        </w:tc>
      </w:tr>
      <w:tr>
        <w:trPr>
          <w:trHeight w:val="343" w:hRule="atLeast"/>
        </w:trPr>
        <w:tc>
          <w:tcPr>
            <w:tcW w:w="1548" w:type="dxa"/>
          </w:tcPr>
          <w:p>
            <w:pPr>
              <w:pStyle w:val="TableParagraph"/>
              <w:rPr>
                <w:rFonts w:ascii="Times New Roman"/>
                <w:sz w:val="20"/>
              </w:rPr>
            </w:pPr>
          </w:p>
        </w:tc>
        <w:tc>
          <w:tcPr>
            <w:tcW w:w="2152" w:type="dxa"/>
            <w:vMerge/>
            <w:tcBorders>
              <w:top w:val="nil"/>
              <w:bottom w:val="single" w:sz="4" w:space="0" w:color="B66012"/>
            </w:tcBorders>
          </w:tcPr>
          <w:p>
            <w:pPr>
              <w:rPr>
                <w:sz w:val="2"/>
                <w:szCs w:val="2"/>
              </w:rPr>
            </w:pPr>
          </w:p>
        </w:tc>
        <w:tc>
          <w:tcPr>
            <w:tcW w:w="5012" w:type="dxa"/>
          </w:tcPr>
          <w:p>
            <w:pPr>
              <w:pStyle w:val="TableParagraph"/>
              <w:spacing w:before="25"/>
              <w:ind w:left="832"/>
              <w:rPr>
                <w:sz w:val="22"/>
              </w:rPr>
            </w:pPr>
            <w:r>
              <w:rPr>
                <w:sz w:val="22"/>
              </w:rPr>
              <w:t>For item 18264, this should also include the</w:t>
            </w:r>
          </w:p>
        </w:tc>
        <w:tc>
          <w:tcPr>
            <w:tcW w:w="2137" w:type="dxa"/>
          </w:tcPr>
          <w:p>
            <w:pPr>
              <w:pStyle w:val="TableParagraph"/>
              <w:rPr>
                <w:rFonts w:ascii="Times New Roman"/>
                <w:sz w:val="20"/>
              </w:rPr>
            </w:pPr>
          </w:p>
        </w:tc>
        <w:tc>
          <w:tcPr>
            <w:tcW w:w="3117" w:type="dxa"/>
          </w:tcPr>
          <w:p>
            <w:pPr>
              <w:pStyle w:val="TableParagraph"/>
              <w:spacing w:before="16"/>
              <w:ind w:left="157"/>
              <w:rPr>
                <w:sz w:val="22"/>
              </w:rPr>
            </w:pPr>
            <w:r>
              <w:rPr>
                <w:sz w:val="22"/>
              </w:rPr>
              <w:t>services’ should be encouraged</w:t>
            </w:r>
          </w:p>
        </w:tc>
      </w:tr>
      <w:tr>
        <w:trPr>
          <w:trHeight w:val="345" w:hRule="atLeast"/>
        </w:trPr>
        <w:tc>
          <w:tcPr>
            <w:tcW w:w="1548" w:type="dxa"/>
          </w:tcPr>
          <w:p>
            <w:pPr>
              <w:pStyle w:val="TableParagraph"/>
              <w:rPr>
                <w:rFonts w:ascii="Times New Roman"/>
                <w:sz w:val="20"/>
              </w:rPr>
            </w:pPr>
          </w:p>
        </w:tc>
        <w:tc>
          <w:tcPr>
            <w:tcW w:w="2152" w:type="dxa"/>
            <w:vMerge/>
            <w:tcBorders>
              <w:top w:val="nil"/>
              <w:bottom w:val="single" w:sz="4" w:space="0" w:color="B66012"/>
            </w:tcBorders>
          </w:tcPr>
          <w:p>
            <w:pPr>
              <w:rPr>
                <w:sz w:val="2"/>
                <w:szCs w:val="2"/>
              </w:rPr>
            </w:pPr>
          </w:p>
        </w:tc>
        <w:tc>
          <w:tcPr>
            <w:tcW w:w="5012" w:type="dxa"/>
          </w:tcPr>
          <w:p>
            <w:pPr>
              <w:pStyle w:val="TableParagraph"/>
              <w:spacing w:before="22"/>
              <w:ind w:left="832"/>
              <w:rPr>
                <w:sz w:val="22"/>
              </w:rPr>
            </w:pPr>
            <w:r>
              <w:rPr>
                <w:sz w:val="22"/>
              </w:rPr>
              <w:t>management of acute pain related to</w:t>
            </w:r>
          </w:p>
        </w:tc>
        <w:tc>
          <w:tcPr>
            <w:tcW w:w="2137" w:type="dxa"/>
          </w:tcPr>
          <w:p>
            <w:pPr>
              <w:pStyle w:val="TableParagraph"/>
              <w:rPr>
                <w:rFonts w:ascii="Times New Roman"/>
                <w:sz w:val="20"/>
              </w:rPr>
            </w:pPr>
          </w:p>
        </w:tc>
        <w:tc>
          <w:tcPr>
            <w:tcW w:w="3117" w:type="dxa"/>
          </w:tcPr>
          <w:p>
            <w:pPr>
              <w:pStyle w:val="TableParagraph"/>
              <w:spacing w:before="10"/>
              <w:ind w:left="157"/>
              <w:rPr>
                <w:sz w:val="22"/>
              </w:rPr>
            </w:pPr>
            <w:r>
              <w:rPr>
                <w:sz w:val="22"/>
              </w:rPr>
              <w:t>where possible</w:t>
            </w:r>
          </w:p>
        </w:tc>
      </w:tr>
      <w:tr>
        <w:trPr>
          <w:trHeight w:val="508" w:hRule="atLeast"/>
        </w:trPr>
        <w:tc>
          <w:tcPr>
            <w:tcW w:w="1548" w:type="dxa"/>
          </w:tcPr>
          <w:p>
            <w:pPr>
              <w:pStyle w:val="TableParagraph"/>
              <w:rPr>
                <w:rFonts w:ascii="Times New Roman"/>
                <w:sz w:val="20"/>
              </w:rPr>
            </w:pPr>
          </w:p>
        </w:tc>
        <w:tc>
          <w:tcPr>
            <w:tcW w:w="2152" w:type="dxa"/>
            <w:vMerge/>
            <w:tcBorders>
              <w:top w:val="nil"/>
              <w:bottom w:val="single" w:sz="4" w:space="0" w:color="B66012"/>
            </w:tcBorders>
          </w:tcPr>
          <w:p>
            <w:pPr>
              <w:rPr>
                <w:sz w:val="2"/>
                <w:szCs w:val="2"/>
              </w:rPr>
            </w:pPr>
          </w:p>
        </w:tc>
        <w:tc>
          <w:tcPr>
            <w:tcW w:w="5012" w:type="dxa"/>
          </w:tcPr>
          <w:p>
            <w:pPr>
              <w:pStyle w:val="TableParagraph"/>
              <w:spacing w:before="14"/>
              <w:ind w:left="832"/>
              <w:rPr>
                <w:sz w:val="22"/>
              </w:rPr>
            </w:pPr>
            <w:r>
              <w:rPr>
                <w:sz w:val="22"/>
              </w:rPr>
              <w:t>labour/delivery</w:t>
            </w:r>
          </w:p>
        </w:tc>
        <w:tc>
          <w:tcPr>
            <w:tcW w:w="2137" w:type="dxa"/>
          </w:tcPr>
          <w:p>
            <w:pPr>
              <w:pStyle w:val="TableParagraph"/>
              <w:rPr>
                <w:rFonts w:ascii="Times New Roman"/>
                <w:sz w:val="20"/>
              </w:rPr>
            </w:pPr>
          </w:p>
        </w:tc>
        <w:tc>
          <w:tcPr>
            <w:tcW w:w="3117" w:type="dxa"/>
          </w:tcPr>
          <w:p>
            <w:pPr>
              <w:pStyle w:val="TableParagraph"/>
              <w:spacing w:before="185"/>
              <w:ind w:left="157"/>
              <w:rPr>
                <w:sz w:val="22"/>
              </w:rPr>
            </w:pPr>
            <w:r>
              <w:rPr>
                <w:sz w:val="22"/>
              </w:rPr>
              <w:t>The pain management items</w:t>
            </w:r>
          </w:p>
        </w:tc>
      </w:tr>
      <w:tr>
        <w:trPr>
          <w:trHeight w:val="339" w:hRule="atLeast"/>
        </w:trPr>
        <w:tc>
          <w:tcPr>
            <w:tcW w:w="1548" w:type="dxa"/>
          </w:tcPr>
          <w:p>
            <w:pPr>
              <w:pStyle w:val="TableParagraph"/>
              <w:rPr>
                <w:rFonts w:ascii="Times New Roman"/>
                <w:sz w:val="20"/>
              </w:rPr>
            </w:pPr>
          </w:p>
        </w:tc>
        <w:tc>
          <w:tcPr>
            <w:tcW w:w="2152" w:type="dxa"/>
            <w:vMerge/>
            <w:tcBorders>
              <w:top w:val="nil"/>
              <w:bottom w:val="single" w:sz="4" w:space="0" w:color="B66012"/>
            </w:tcBorders>
          </w:tcPr>
          <w:p>
            <w:pPr>
              <w:rPr>
                <w:sz w:val="2"/>
                <w:szCs w:val="2"/>
              </w:rPr>
            </w:pPr>
          </w:p>
        </w:tc>
        <w:tc>
          <w:tcPr>
            <w:tcW w:w="5012" w:type="dxa"/>
          </w:tcPr>
          <w:p>
            <w:pPr>
              <w:pStyle w:val="TableParagraph"/>
              <w:rPr>
                <w:rFonts w:ascii="Times New Roman"/>
                <w:sz w:val="20"/>
              </w:rPr>
            </w:pPr>
          </w:p>
        </w:tc>
        <w:tc>
          <w:tcPr>
            <w:tcW w:w="2137" w:type="dxa"/>
          </w:tcPr>
          <w:p>
            <w:pPr>
              <w:pStyle w:val="TableParagraph"/>
              <w:rPr>
                <w:rFonts w:ascii="Times New Roman"/>
                <w:sz w:val="20"/>
              </w:rPr>
            </w:pPr>
          </w:p>
        </w:tc>
        <w:tc>
          <w:tcPr>
            <w:tcW w:w="3117" w:type="dxa"/>
          </w:tcPr>
          <w:p>
            <w:pPr>
              <w:pStyle w:val="TableParagraph"/>
              <w:spacing w:before="14"/>
              <w:ind w:left="157"/>
              <w:rPr>
                <w:sz w:val="22"/>
              </w:rPr>
            </w:pPr>
            <w:r>
              <w:rPr>
                <w:sz w:val="22"/>
              </w:rPr>
              <w:t>should not be co-claimed with</w:t>
            </w:r>
          </w:p>
        </w:tc>
      </w:tr>
      <w:tr>
        <w:trPr>
          <w:trHeight w:val="339" w:hRule="atLeast"/>
        </w:trPr>
        <w:tc>
          <w:tcPr>
            <w:tcW w:w="1548" w:type="dxa"/>
          </w:tcPr>
          <w:p>
            <w:pPr>
              <w:pStyle w:val="TableParagraph"/>
              <w:rPr>
                <w:rFonts w:ascii="Times New Roman"/>
                <w:sz w:val="20"/>
              </w:rPr>
            </w:pPr>
          </w:p>
        </w:tc>
        <w:tc>
          <w:tcPr>
            <w:tcW w:w="2152" w:type="dxa"/>
            <w:vMerge/>
            <w:tcBorders>
              <w:top w:val="nil"/>
              <w:bottom w:val="single" w:sz="4" w:space="0" w:color="B66012"/>
            </w:tcBorders>
          </w:tcPr>
          <w:p>
            <w:pPr>
              <w:rPr>
                <w:sz w:val="2"/>
                <w:szCs w:val="2"/>
              </w:rPr>
            </w:pPr>
          </w:p>
        </w:tc>
        <w:tc>
          <w:tcPr>
            <w:tcW w:w="5012" w:type="dxa"/>
          </w:tcPr>
          <w:p>
            <w:pPr>
              <w:pStyle w:val="TableParagraph"/>
              <w:rPr>
                <w:rFonts w:ascii="Times New Roman"/>
                <w:sz w:val="20"/>
              </w:rPr>
            </w:pPr>
          </w:p>
        </w:tc>
        <w:tc>
          <w:tcPr>
            <w:tcW w:w="2137" w:type="dxa"/>
          </w:tcPr>
          <w:p>
            <w:pPr>
              <w:pStyle w:val="TableParagraph"/>
              <w:rPr>
                <w:rFonts w:ascii="Times New Roman"/>
                <w:sz w:val="20"/>
              </w:rPr>
            </w:pPr>
          </w:p>
        </w:tc>
        <w:tc>
          <w:tcPr>
            <w:tcW w:w="3117" w:type="dxa"/>
          </w:tcPr>
          <w:p>
            <w:pPr>
              <w:pStyle w:val="TableParagraph"/>
              <w:spacing w:before="16"/>
              <w:ind w:left="157"/>
              <w:rPr>
                <w:sz w:val="22"/>
              </w:rPr>
            </w:pPr>
            <w:r>
              <w:rPr>
                <w:sz w:val="22"/>
              </w:rPr>
              <w:t>a surgical procedure when</w:t>
            </w:r>
          </w:p>
        </w:tc>
      </w:tr>
      <w:tr>
        <w:trPr>
          <w:trHeight w:val="368" w:hRule="atLeast"/>
        </w:trPr>
        <w:tc>
          <w:tcPr>
            <w:tcW w:w="1548" w:type="dxa"/>
            <w:tcBorders>
              <w:bottom w:val="single" w:sz="4" w:space="0" w:color="B66012"/>
            </w:tcBorders>
          </w:tcPr>
          <w:p>
            <w:pPr>
              <w:pStyle w:val="TableParagraph"/>
              <w:rPr>
                <w:rFonts w:ascii="Times New Roman"/>
                <w:sz w:val="20"/>
              </w:rPr>
            </w:pPr>
          </w:p>
        </w:tc>
        <w:tc>
          <w:tcPr>
            <w:tcW w:w="2152" w:type="dxa"/>
            <w:vMerge/>
            <w:tcBorders>
              <w:top w:val="nil"/>
              <w:bottom w:val="single" w:sz="4" w:space="0" w:color="B66012"/>
            </w:tcBorders>
          </w:tcPr>
          <w:p>
            <w:pPr>
              <w:rPr>
                <w:sz w:val="2"/>
                <w:szCs w:val="2"/>
              </w:rPr>
            </w:pPr>
          </w:p>
        </w:tc>
        <w:tc>
          <w:tcPr>
            <w:tcW w:w="5012" w:type="dxa"/>
            <w:tcBorders>
              <w:bottom w:val="single" w:sz="4" w:space="0" w:color="B66012"/>
            </w:tcBorders>
          </w:tcPr>
          <w:p>
            <w:pPr>
              <w:pStyle w:val="TableParagraph"/>
              <w:rPr>
                <w:rFonts w:ascii="Times New Roman"/>
                <w:sz w:val="20"/>
              </w:rPr>
            </w:pPr>
          </w:p>
        </w:tc>
        <w:tc>
          <w:tcPr>
            <w:tcW w:w="2137" w:type="dxa"/>
            <w:tcBorders>
              <w:bottom w:val="single" w:sz="4" w:space="0" w:color="B66012"/>
            </w:tcBorders>
          </w:tcPr>
          <w:p>
            <w:pPr>
              <w:pStyle w:val="TableParagraph"/>
              <w:rPr>
                <w:rFonts w:ascii="Times New Roman"/>
                <w:sz w:val="20"/>
              </w:rPr>
            </w:pPr>
          </w:p>
        </w:tc>
        <w:tc>
          <w:tcPr>
            <w:tcW w:w="3117" w:type="dxa"/>
            <w:tcBorders>
              <w:bottom w:val="single" w:sz="4" w:space="0" w:color="B66012"/>
            </w:tcBorders>
          </w:tcPr>
          <w:p>
            <w:pPr>
              <w:pStyle w:val="TableParagraph"/>
              <w:spacing w:before="15"/>
              <w:ind w:left="157"/>
              <w:rPr>
                <w:sz w:val="22"/>
              </w:rPr>
            </w:pPr>
            <w:r>
              <w:rPr>
                <w:sz w:val="22"/>
              </w:rPr>
              <w:t>intraoperative analgesia should</w:t>
            </w:r>
          </w:p>
        </w:tc>
      </w:tr>
    </w:tbl>
    <w:p>
      <w:pPr>
        <w:spacing w:after="0"/>
        <w:rPr>
          <w:sz w:val="22"/>
        </w:rPr>
        <w:sectPr>
          <w:pgSz w:w="16840" w:h="11910" w:orient="landscape"/>
          <w:pgMar w:header="0" w:footer="722" w:top="1180" w:bottom="920" w:left="1000" w:right="1640"/>
        </w:sectPr>
      </w:pPr>
    </w:p>
    <w:p>
      <w:pPr>
        <w:pStyle w:val="BodyText"/>
        <w:rPr>
          <w:sz w:val="20"/>
        </w:rPr>
      </w:pPr>
    </w:p>
    <w:p>
      <w:pPr>
        <w:pStyle w:val="BodyText"/>
        <w:rPr>
          <w:sz w:val="20"/>
        </w:rPr>
      </w:pPr>
    </w:p>
    <w:p>
      <w:pPr>
        <w:pStyle w:val="BodyText"/>
        <w:spacing w:before="7"/>
        <w:rPr>
          <w:sz w:val="10"/>
        </w:rPr>
      </w:pPr>
    </w:p>
    <w:tbl>
      <w:tblPr>
        <w:tblW w:w="0" w:type="auto"/>
        <w:jc w:val="left"/>
        <w:tblInd w:w="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9"/>
        <w:gridCol w:w="3183"/>
        <w:gridCol w:w="4295"/>
        <w:gridCol w:w="2230"/>
        <w:gridCol w:w="3071"/>
      </w:tblGrid>
      <w:tr>
        <w:trPr>
          <w:trHeight w:val="817" w:hRule="atLeast"/>
        </w:trPr>
        <w:tc>
          <w:tcPr>
            <w:tcW w:w="1179" w:type="dxa"/>
            <w:tcBorders>
              <w:top w:val="single" w:sz="4" w:space="0" w:color="B66012"/>
              <w:bottom w:val="single" w:sz="4" w:space="0" w:color="B66012"/>
            </w:tcBorders>
          </w:tcPr>
          <w:p>
            <w:pPr>
              <w:pStyle w:val="TableParagraph"/>
              <w:rPr>
                <w:rFonts w:ascii="Times New Roman"/>
                <w:sz w:val="20"/>
              </w:rPr>
            </w:pPr>
          </w:p>
        </w:tc>
        <w:tc>
          <w:tcPr>
            <w:tcW w:w="3183" w:type="dxa"/>
            <w:tcBorders>
              <w:top w:val="single" w:sz="4" w:space="0" w:color="B66012"/>
              <w:bottom w:val="single" w:sz="4" w:space="0" w:color="B66012"/>
            </w:tcBorders>
          </w:tcPr>
          <w:p>
            <w:pPr>
              <w:pStyle w:val="TableParagraph"/>
              <w:rPr>
                <w:rFonts w:ascii="Times New Roman"/>
                <w:sz w:val="20"/>
              </w:rPr>
            </w:pPr>
          </w:p>
        </w:tc>
        <w:tc>
          <w:tcPr>
            <w:tcW w:w="4295" w:type="dxa"/>
            <w:tcBorders>
              <w:top w:val="single" w:sz="4" w:space="0" w:color="B66012"/>
              <w:bottom w:val="single" w:sz="4" w:space="0" w:color="B66012"/>
            </w:tcBorders>
          </w:tcPr>
          <w:p>
            <w:pPr>
              <w:pStyle w:val="TableParagraph"/>
              <w:rPr>
                <w:rFonts w:ascii="Times New Roman"/>
                <w:sz w:val="20"/>
              </w:rPr>
            </w:pPr>
          </w:p>
        </w:tc>
        <w:tc>
          <w:tcPr>
            <w:tcW w:w="2230" w:type="dxa"/>
            <w:tcBorders>
              <w:top w:val="single" w:sz="4" w:space="0" w:color="B66012"/>
              <w:bottom w:val="single" w:sz="4" w:space="0" w:color="B66012"/>
            </w:tcBorders>
          </w:tcPr>
          <w:p>
            <w:pPr>
              <w:pStyle w:val="TableParagraph"/>
              <w:rPr>
                <w:rFonts w:ascii="Times New Roman"/>
                <w:sz w:val="20"/>
              </w:rPr>
            </w:pPr>
          </w:p>
        </w:tc>
        <w:tc>
          <w:tcPr>
            <w:tcW w:w="3071" w:type="dxa"/>
            <w:tcBorders>
              <w:top w:val="single" w:sz="4" w:space="0" w:color="B66012"/>
              <w:bottom w:val="single" w:sz="4" w:space="0" w:color="B66012"/>
            </w:tcBorders>
          </w:tcPr>
          <w:p>
            <w:pPr>
              <w:pStyle w:val="TableParagraph"/>
              <w:spacing w:line="312" w:lineRule="auto"/>
              <w:ind w:left="111" w:right="706"/>
              <w:rPr>
                <w:sz w:val="22"/>
              </w:rPr>
            </w:pPr>
            <w:r>
              <w:rPr>
                <w:sz w:val="22"/>
              </w:rPr>
              <w:t>be an integral part of the surgical procedure</w:t>
            </w:r>
          </w:p>
        </w:tc>
      </w:tr>
      <w:tr>
        <w:trPr>
          <w:trHeight w:val="1117" w:hRule="atLeast"/>
        </w:trPr>
        <w:tc>
          <w:tcPr>
            <w:tcW w:w="13958" w:type="dxa"/>
            <w:gridSpan w:val="5"/>
            <w:tcBorders>
              <w:top w:val="single" w:sz="4" w:space="0" w:color="B66012"/>
              <w:bottom w:val="single" w:sz="4" w:space="0" w:color="B66012"/>
            </w:tcBorders>
          </w:tcPr>
          <w:p>
            <w:pPr>
              <w:pStyle w:val="TableParagraph"/>
              <w:rPr>
                <w:sz w:val="22"/>
              </w:rPr>
            </w:pPr>
          </w:p>
          <w:p>
            <w:pPr>
              <w:pStyle w:val="TableParagraph"/>
              <w:rPr>
                <w:sz w:val="22"/>
              </w:rPr>
            </w:pPr>
          </w:p>
          <w:p>
            <w:pPr>
              <w:pStyle w:val="TableParagraph"/>
              <w:tabs>
                <w:tab w:pos="2376" w:val="left" w:leader="none"/>
              </w:tabs>
              <w:spacing w:before="167"/>
              <w:ind w:left="107"/>
              <w:rPr>
                <w:b/>
                <w:i/>
                <w:sz w:val="22"/>
              </w:rPr>
            </w:pPr>
            <w:r>
              <w:rPr>
                <w:b/>
                <w:i/>
                <w:sz w:val="22"/>
              </w:rPr>
              <w:t>Recommendation</w:t>
            </w:r>
            <w:r>
              <w:rPr>
                <w:b/>
                <w:i/>
                <w:spacing w:val="-2"/>
                <w:sz w:val="22"/>
              </w:rPr>
              <w:t> </w:t>
            </w:r>
            <w:r>
              <w:rPr>
                <w:b/>
                <w:i/>
                <w:sz w:val="22"/>
              </w:rPr>
              <w:t>21:</w:t>
              <w:tab/>
              <w:t>Clarifying items 18234 and 18236 - trigeminal</w:t>
            </w:r>
            <w:r>
              <w:rPr>
                <w:b/>
                <w:i/>
                <w:spacing w:val="-6"/>
                <w:sz w:val="22"/>
              </w:rPr>
              <w:t> </w:t>
            </w:r>
            <w:r>
              <w:rPr>
                <w:b/>
                <w:i/>
                <w:sz w:val="22"/>
              </w:rPr>
              <w:t>nerve</w:t>
            </w:r>
          </w:p>
        </w:tc>
      </w:tr>
      <w:tr>
        <w:trPr>
          <w:trHeight w:val="938" w:hRule="atLeast"/>
        </w:trPr>
        <w:tc>
          <w:tcPr>
            <w:tcW w:w="1179" w:type="dxa"/>
            <w:tcBorders>
              <w:top w:val="single" w:sz="4" w:space="0" w:color="B66012"/>
              <w:bottom w:val="single" w:sz="4" w:space="0" w:color="B66012"/>
            </w:tcBorders>
            <w:shd w:val="clear" w:color="auto" w:fill="CC6600"/>
          </w:tcPr>
          <w:p>
            <w:pPr>
              <w:pStyle w:val="TableParagraph"/>
              <w:spacing w:before="177"/>
              <w:ind w:left="107"/>
              <w:rPr>
                <w:b/>
                <w:sz w:val="22"/>
              </w:rPr>
            </w:pPr>
            <w:r>
              <w:rPr>
                <w:b/>
                <w:sz w:val="22"/>
              </w:rPr>
              <w:t>Item</w:t>
            </w:r>
          </w:p>
        </w:tc>
        <w:tc>
          <w:tcPr>
            <w:tcW w:w="3183" w:type="dxa"/>
            <w:tcBorders>
              <w:top w:val="single" w:sz="4" w:space="0" w:color="B66012"/>
              <w:bottom w:val="single" w:sz="4" w:space="0" w:color="B66012"/>
            </w:tcBorders>
            <w:shd w:val="clear" w:color="auto" w:fill="CC6600"/>
          </w:tcPr>
          <w:p>
            <w:pPr>
              <w:pStyle w:val="TableParagraph"/>
              <w:spacing w:before="177"/>
              <w:ind w:left="513"/>
              <w:rPr>
                <w:b/>
                <w:sz w:val="22"/>
              </w:rPr>
            </w:pPr>
            <w:r>
              <w:rPr>
                <w:b/>
                <w:sz w:val="22"/>
              </w:rPr>
              <w:t>What it does</w:t>
            </w:r>
          </w:p>
        </w:tc>
        <w:tc>
          <w:tcPr>
            <w:tcW w:w="4295" w:type="dxa"/>
            <w:tcBorders>
              <w:top w:val="single" w:sz="4" w:space="0" w:color="B66012"/>
              <w:bottom w:val="single" w:sz="4" w:space="0" w:color="B66012"/>
            </w:tcBorders>
            <w:shd w:val="clear" w:color="auto" w:fill="CC6600"/>
          </w:tcPr>
          <w:p>
            <w:pPr>
              <w:pStyle w:val="TableParagraph"/>
              <w:spacing w:before="177"/>
              <w:ind w:left="162"/>
              <w:rPr>
                <w:b/>
                <w:sz w:val="22"/>
              </w:rPr>
            </w:pPr>
            <w:r>
              <w:rPr>
                <w:b/>
                <w:sz w:val="22"/>
              </w:rPr>
              <w:t>Committee recommendation</w:t>
            </w:r>
          </w:p>
        </w:tc>
        <w:tc>
          <w:tcPr>
            <w:tcW w:w="2230" w:type="dxa"/>
            <w:tcBorders>
              <w:top w:val="single" w:sz="4" w:space="0" w:color="B66012"/>
              <w:bottom w:val="single" w:sz="4" w:space="0" w:color="B66012"/>
            </w:tcBorders>
            <w:shd w:val="clear" w:color="auto" w:fill="CC6600"/>
          </w:tcPr>
          <w:p>
            <w:pPr>
              <w:pStyle w:val="TableParagraph"/>
              <w:spacing w:line="312" w:lineRule="auto" w:before="177"/>
              <w:ind w:left="243" w:right="564"/>
              <w:rPr>
                <w:b/>
                <w:sz w:val="22"/>
              </w:rPr>
            </w:pPr>
            <w:r>
              <w:rPr>
                <w:b/>
                <w:sz w:val="22"/>
              </w:rPr>
              <w:t>What would be different</w:t>
            </w:r>
          </w:p>
        </w:tc>
        <w:tc>
          <w:tcPr>
            <w:tcW w:w="3071" w:type="dxa"/>
            <w:tcBorders>
              <w:top w:val="single" w:sz="4" w:space="0" w:color="B66012"/>
              <w:bottom w:val="single" w:sz="4" w:space="0" w:color="B66012"/>
            </w:tcBorders>
            <w:shd w:val="clear" w:color="auto" w:fill="CC6600"/>
          </w:tcPr>
          <w:p>
            <w:pPr>
              <w:pStyle w:val="TableParagraph"/>
              <w:spacing w:before="177"/>
              <w:ind w:left="111"/>
              <w:rPr>
                <w:b/>
                <w:sz w:val="22"/>
              </w:rPr>
            </w:pPr>
            <w:r>
              <w:rPr>
                <w:b/>
                <w:sz w:val="22"/>
              </w:rPr>
              <w:t>Why</w:t>
            </w:r>
          </w:p>
        </w:tc>
      </w:tr>
      <w:tr>
        <w:trPr>
          <w:trHeight w:val="3033" w:hRule="atLeast"/>
        </w:trPr>
        <w:tc>
          <w:tcPr>
            <w:tcW w:w="1179" w:type="dxa"/>
            <w:tcBorders>
              <w:top w:val="single" w:sz="4" w:space="0" w:color="B66012"/>
              <w:bottom w:val="single" w:sz="4" w:space="0" w:color="B66012"/>
            </w:tcBorders>
          </w:tcPr>
          <w:p>
            <w:pPr>
              <w:pStyle w:val="TableParagraph"/>
              <w:spacing w:before="176"/>
              <w:ind w:left="107"/>
              <w:rPr>
                <w:b/>
                <w:sz w:val="22"/>
              </w:rPr>
            </w:pPr>
            <w:r>
              <w:rPr>
                <w:b/>
                <w:sz w:val="22"/>
              </w:rPr>
              <w:t>18234</w:t>
            </w:r>
          </w:p>
          <w:p>
            <w:pPr>
              <w:pStyle w:val="TableParagraph"/>
              <w:spacing w:before="6"/>
              <w:rPr>
                <w:sz w:val="21"/>
              </w:rPr>
            </w:pPr>
          </w:p>
          <w:p>
            <w:pPr>
              <w:pStyle w:val="TableParagraph"/>
              <w:ind w:left="107"/>
              <w:rPr>
                <w:b/>
                <w:sz w:val="22"/>
              </w:rPr>
            </w:pPr>
            <w:r>
              <w:rPr>
                <w:b/>
                <w:sz w:val="22"/>
              </w:rPr>
              <w:t>18236</w:t>
            </w:r>
          </w:p>
        </w:tc>
        <w:tc>
          <w:tcPr>
            <w:tcW w:w="3183" w:type="dxa"/>
            <w:tcBorders>
              <w:top w:val="single" w:sz="4" w:space="0" w:color="B66012"/>
              <w:bottom w:val="single" w:sz="4" w:space="0" w:color="B66012"/>
            </w:tcBorders>
          </w:tcPr>
          <w:p>
            <w:pPr>
              <w:pStyle w:val="TableParagraph"/>
              <w:spacing w:line="312" w:lineRule="auto" w:before="176"/>
              <w:ind w:left="513" w:right="142"/>
              <w:rPr>
                <w:sz w:val="22"/>
              </w:rPr>
            </w:pPr>
            <w:r>
              <w:rPr>
                <w:sz w:val="22"/>
              </w:rPr>
              <w:t>Injection of anaesthetic into primary and peripheral branches of the trigeminal nerve.</w:t>
            </w:r>
          </w:p>
        </w:tc>
        <w:tc>
          <w:tcPr>
            <w:tcW w:w="4295" w:type="dxa"/>
            <w:tcBorders>
              <w:top w:val="single" w:sz="4" w:space="0" w:color="B66012"/>
              <w:bottom w:val="single" w:sz="4" w:space="0" w:color="B66012"/>
            </w:tcBorders>
          </w:tcPr>
          <w:p>
            <w:pPr>
              <w:pStyle w:val="TableParagraph"/>
              <w:spacing w:line="312" w:lineRule="auto" w:before="176"/>
              <w:ind w:left="162" w:right="226"/>
              <w:rPr>
                <w:sz w:val="22"/>
              </w:rPr>
            </w:pPr>
            <w:r>
              <w:rPr>
                <w:sz w:val="22"/>
              </w:rPr>
              <w:t>These two items cannot be co-claimed with each other</w:t>
            </w:r>
          </w:p>
          <w:p>
            <w:pPr>
              <w:pStyle w:val="TableParagraph"/>
              <w:spacing w:line="312" w:lineRule="auto" w:before="181"/>
              <w:ind w:left="162" w:right="252"/>
              <w:rPr>
                <w:sz w:val="22"/>
              </w:rPr>
            </w:pPr>
            <w:r>
              <w:rPr>
                <w:sz w:val="22"/>
              </w:rPr>
              <w:t>These items cannot be co-claimed with any surgical procedure.</w:t>
            </w:r>
          </w:p>
        </w:tc>
        <w:tc>
          <w:tcPr>
            <w:tcW w:w="2230" w:type="dxa"/>
            <w:tcBorders>
              <w:top w:val="single" w:sz="4" w:space="0" w:color="B66012"/>
              <w:bottom w:val="single" w:sz="4" w:space="0" w:color="B66012"/>
            </w:tcBorders>
          </w:tcPr>
          <w:p>
            <w:pPr>
              <w:pStyle w:val="TableParagraph"/>
              <w:spacing w:line="312" w:lineRule="auto" w:before="176"/>
              <w:ind w:left="243" w:right="89"/>
              <w:rPr>
                <w:sz w:val="22"/>
              </w:rPr>
            </w:pPr>
            <w:r>
              <w:rPr>
                <w:sz w:val="22"/>
              </w:rPr>
              <w:t>These two items can no longer be claimed together or with a surgical procedure</w:t>
            </w:r>
          </w:p>
        </w:tc>
        <w:tc>
          <w:tcPr>
            <w:tcW w:w="3071" w:type="dxa"/>
            <w:tcBorders>
              <w:top w:val="single" w:sz="4" w:space="0" w:color="B66012"/>
              <w:bottom w:val="single" w:sz="4" w:space="0" w:color="B66012"/>
            </w:tcBorders>
          </w:tcPr>
          <w:p>
            <w:pPr>
              <w:pStyle w:val="TableParagraph"/>
              <w:spacing w:line="312" w:lineRule="auto" w:before="176"/>
              <w:ind w:left="111" w:right="108"/>
              <w:rPr>
                <w:sz w:val="22"/>
              </w:rPr>
            </w:pPr>
            <w:r>
              <w:rPr>
                <w:sz w:val="22"/>
              </w:rPr>
              <w:t>In nearly all identified situations, it is only appropriate to claim one of the item numbers, and generally these items should be claimed as part of the surgical procedure. (see complete medical service definition)</w:t>
            </w:r>
          </w:p>
        </w:tc>
      </w:tr>
      <w:tr>
        <w:trPr>
          <w:trHeight w:val="1117" w:hRule="atLeast"/>
        </w:trPr>
        <w:tc>
          <w:tcPr>
            <w:tcW w:w="13958" w:type="dxa"/>
            <w:gridSpan w:val="5"/>
            <w:tcBorders>
              <w:top w:val="single" w:sz="4" w:space="0" w:color="B66012"/>
              <w:bottom w:val="single" w:sz="4" w:space="0" w:color="B66012"/>
            </w:tcBorders>
          </w:tcPr>
          <w:p>
            <w:pPr>
              <w:pStyle w:val="TableParagraph"/>
              <w:rPr>
                <w:sz w:val="22"/>
              </w:rPr>
            </w:pPr>
          </w:p>
          <w:p>
            <w:pPr>
              <w:pStyle w:val="TableParagraph"/>
              <w:rPr>
                <w:sz w:val="22"/>
              </w:rPr>
            </w:pPr>
          </w:p>
          <w:p>
            <w:pPr>
              <w:pStyle w:val="TableParagraph"/>
              <w:spacing w:before="170"/>
              <w:ind w:left="107"/>
              <w:rPr>
                <w:b/>
                <w:i/>
                <w:sz w:val="22"/>
              </w:rPr>
            </w:pPr>
            <w:r>
              <w:rPr>
                <w:b/>
                <w:i/>
                <w:sz w:val="22"/>
              </w:rPr>
              <w:t>Recommendation 22: Future review item 18278 – sciatic nerve co-claiming</w:t>
            </w:r>
          </w:p>
        </w:tc>
      </w:tr>
      <w:tr>
        <w:trPr>
          <w:trHeight w:val="938" w:hRule="atLeast"/>
        </w:trPr>
        <w:tc>
          <w:tcPr>
            <w:tcW w:w="1179" w:type="dxa"/>
            <w:tcBorders>
              <w:top w:val="single" w:sz="4" w:space="0" w:color="B66012"/>
              <w:bottom w:val="single" w:sz="4" w:space="0" w:color="00643E"/>
            </w:tcBorders>
            <w:shd w:val="clear" w:color="auto" w:fill="E26C09"/>
          </w:tcPr>
          <w:p>
            <w:pPr>
              <w:pStyle w:val="TableParagraph"/>
              <w:spacing w:before="176"/>
              <w:ind w:left="107"/>
              <w:rPr>
                <w:b/>
                <w:sz w:val="22"/>
              </w:rPr>
            </w:pPr>
            <w:r>
              <w:rPr>
                <w:b/>
                <w:sz w:val="22"/>
              </w:rPr>
              <w:t>Item</w:t>
            </w:r>
          </w:p>
        </w:tc>
        <w:tc>
          <w:tcPr>
            <w:tcW w:w="3183" w:type="dxa"/>
            <w:tcBorders>
              <w:top w:val="single" w:sz="4" w:space="0" w:color="B66012"/>
              <w:bottom w:val="single" w:sz="4" w:space="0" w:color="00643E"/>
            </w:tcBorders>
            <w:shd w:val="clear" w:color="auto" w:fill="E26C09"/>
          </w:tcPr>
          <w:p>
            <w:pPr>
              <w:pStyle w:val="TableParagraph"/>
              <w:spacing w:before="176"/>
              <w:ind w:left="513"/>
              <w:rPr>
                <w:b/>
                <w:sz w:val="22"/>
              </w:rPr>
            </w:pPr>
            <w:r>
              <w:rPr>
                <w:b/>
                <w:sz w:val="22"/>
              </w:rPr>
              <w:t>What it does</w:t>
            </w:r>
          </w:p>
        </w:tc>
        <w:tc>
          <w:tcPr>
            <w:tcW w:w="4295" w:type="dxa"/>
            <w:tcBorders>
              <w:top w:val="single" w:sz="4" w:space="0" w:color="B66012"/>
              <w:bottom w:val="single" w:sz="4" w:space="0" w:color="00643E"/>
            </w:tcBorders>
            <w:shd w:val="clear" w:color="auto" w:fill="E26C09"/>
          </w:tcPr>
          <w:p>
            <w:pPr>
              <w:pStyle w:val="TableParagraph"/>
              <w:spacing w:before="176"/>
              <w:ind w:left="162"/>
              <w:rPr>
                <w:b/>
                <w:sz w:val="22"/>
              </w:rPr>
            </w:pPr>
            <w:r>
              <w:rPr>
                <w:b/>
                <w:sz w:val="22"/>
              </w:rPr>
              <w:t>Committee recommendation</w:t>
            </w:r>
          </w:p>
        </w:tc>
        <w:tc>
          <w:tcPr>
            <w:tcW w:w="2230" w:type="dxa"/>
            <w:tcBorders>
              <w:top w:val="single" w:sz="4" w:space="0" w:color="B66012"/>
              <w:bottom w:val="single" w:sz="4" w:space="0" w:color="00643E"/>
            </w:tcBorders>
            <w:shd w:val="clear" w:color="auto" w:fill="E26C09"/>
          </w:tcPr>
          <w:p>
            <w:pPr>
              <w:pStyle w:val="TableParagraph"/>
              <w:spacing w:line="314" w:lineRule="auto" w:before="176"/>
              <w:ind w:left="243" w:right="564"/>
              <w:rPr>
                <w:b/>
                <w:sz w:val="22"/>
              </w:rPr>
            </w:pPr>
            <w:r>
              <w:rPr>
                <w:b/>
                <w:sz w:val="22"/>
              </w:rPr>
              <w:t>What would be different</w:t>
            </w:r>
          </w:p>
        </w:tc>
        <w:tc>
          <w:tcPr>
            <w:tcW w:w="3071" w:type="dxa"/>
            <w:tcBorders>
              <w:top w:val="single" w:sz="4" w:space="0" w:color="B66012"/>
              <w:bottom w:val="single" w:sz="4" w:space="0" w:color="00643E"/>
            </w:tcBorders>
            <w:shd w:val="clear" w:color="auto" w:fill="E26C09"/>
          </w:tcPr>
          <w:p>
            <w:pPr>
              <w:pStyle w:val="TableParagraph"/>
              <w:spacing w:before="176"/>
              <w:ind w:left="111"/>
              <w:rPr>
                <w:b/>
                <w:sz w:val="22"/>
              </w:rPr>
            </w:pPr>
            <w:r>
              <w:rPr>
                <w:b/>
                <w:sz w:val="22"/>
              </w:rPr>
              <w:t>Why</w:t>
            </w:r>
          </w:p>
        </w:tc>
      </w:tr>
    </w:tbl>
    <w:p>
      <w:pPr>
        <w:spacing w:after="0"/>
        <w:rPr>
          <w:sz w:val="22"/>
        </w:rPr>
        <w:sectPr>
          <w:pgSz w:w="16840" w:h="11910" w:orient="landscape"/>
          <w:pgMar w:header="0" w:footer="722" w:top="1180" w:bottom="920" w:left="1000" w:right="1640"/>
        </w:sectPr>
      </w:pPr>
    </w:p>
    <w:p>
      <w:pPr>
        <w:pStyle w:val="BodyText"/>
        <w:rPr>
          <w:sz w:val="20"/>
        </w:rPr>
      </w:pPr>
    </w:p>
    <w:p>
      <w:pPr>
        <w:pStyle w:val="BodyText"/>
        <w:rPr>
          <w:sz w:val="20"/>
        </w:rPr>
      </w:pPr>
    </w:p>
    <w:p>
      <w:pPr>
        <w:pStyle w:val="BodyText"/>
        <w:spacing w:before="7"/>
        <w:rPr>
          <w:sz w:val="10"/>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7"/>
        <w:gridCol w:w="3201"/>
        <w:gridCol w:w="4405"/>
        <w:gridCol w:w="2064"/>
        <w:gridCol w:w="3115"/>
      </w:tblGrid>
      <w:tr>
        <w:trPr>
          <w:trHeight w:val="241" w:hRule="atLeast"/>
        </w:trPr>
        <w:tc>
          <w:tcPr>
            <w:tcW w:w="1187" w:type="dxa"/>
            <w:tcBorders>
              <w:top w:val="single" w:sz="4" w:space="0" w:color="00643E"/>
            </w:tcBorders>
          </w:tcPr>
          <w:p>
            <w:pPr>
              <w:pStyle w:val="TableParagraph"/>
              <w:spacing w:line="221" w:lineRule="exact"/>
              <w:ind w:left="115"/>
              <w:rPr>
                <w:b/>
                <w:sz w:val="22"/>
              </w:rPr>
            </w:pPr>
            <w:r>
              <w:rPr>
                <w:b/>
                <w:sz w:val="22"/>
              </w:rPr>
              <w:t>18278</w:t>
            </w:r>
          </w:p>
        </w:tc>
        <w:tc>
          <w:tcPr>
            <w:tcW w:w="3201" w:type="dxa"/>
            <w:tcBorders>
              <w:top w:val="single" w:sz="4" w:space="0" w:color="00643E"/>
            </w:tcBorders>
          </w:tcPr>
          <w:p>
            <w:pPr>
              <w:pStyle w:val="TableParagraph"/>
              <w:rPr>
                <w:rFonts w:ascii="Times New Roman"/>
                <w:sz w:val="16"/>
              </w:rPr>
            </w:pPr>
          </w:p>
        </w:tc>
        <w:tc>
          <w:tcPr>
            <w:tcW w:w="4405" w:type="dxa"/>
            <w:tcBorders>
              <w:top w:val="single" w:sz="4" w:space="0" w:color="00643E"/>
            </w:tcBorders>
          </w:tcPr>
          <w:p>
            <w:pPr>
              <w:pStyle w:val="TableParagraph"/>
              <w:rPr>
                <w:rFonts w:ascii="Times New Roman"/>
                <w:sz w:val="16"/>
              </w:rPr>
            </w:pPr>
          </w:p>
        </w:tc>
        <w:tc>
          <w:tcPr>
            <w:tcW w:w="2064" w:type="dxa"/>
            <w:tcBorders>
              <w:top w:val="single" w:sz="4" w:space="0" w:color="00643E"/>
            </w:tcBorders>
          </w:tcPr>
          <w:p>
            <w:pPr>
              <w:pStyle w:val="TableParagraph"/>
              <w:rPr>
                <w:rFonts w:ascii="Times New Roman"/>
                <w:sz w:val="16"/>
              </w:rPr>
            </w:pPr>
          </w:p>
        </w:tc>
        <w:tc>
          <w:tcPr>
            <w:tcW w:w="3115" w:type="dxa"/>
            <w:tcBorders>
              <w:top w:val="single" w:sz="4" w:space="0" w:color="00643E"/>
            </w:tcBorders>
          </w:tcPr>
          <w:p>
            <w:pPr>
              <w:pStyle w:val="TableParagraph"/>
              <w:rPr>
                <w:rFonts w:ascii="Times New Roman"/>
                <w:sz w:val="16"/>
              </w:rPr>
            </w:pPr>
          </w:p>
        </w:tc>
      </w:tr>
      <w:tr>
        <w:trPr>
          <w:trHeight w:val="1044" w:hRule="atLeast"/>
        </w:trPr>
        <w:tc>
          <w:tcPr>
            <w:tcW w:w="1187" w:type="dxa"/>
            <w:tcBorders>
              <w:bottom w:val="single" w:sz="4" w:space="0" w:color="00643E"/>
            </w:tcBorders>
          </w:tcPr>
          <w:p>
            <w:pPr>
              <w:pStyle w:val="TableParagraph"/>
              <w:rPr>
                <w:rFonts w:ascii="Times New Roman"/>
                <w:sz w:val="20"/>
              </w:rPr>
            </w:pPr>
          </w:p>
        </w:tc>
        <w:tc>
          <w:tcPr>
            <w:tcW w:w="3201" w:type="dxa"/>
            <w:tcBorders>
              <w:bottom w:val="single" w:sz="4" w:space="0" w:color="00643E"/>
            </w:tcBorders>
          </w:tcPr>
          <w:p>
            <w:pPr>
              <w:pStyle w:val="TableParagraph"/>
              <w:spacing w:line="204" w:lineRule="exact"/>
              <w:ind w:left="512"/>
              <w:rPr>
                <w:sz w:val="22"/>
              </w:rPr>
            </w:pPr>
            <w:r>
              <w:rPr>
                <w:sz w:val="22"/>
              </w:rPr>
              <w:t>Treatment of the sciatic</w:t>
            </w:r>
          </w:p>
          <w:p>
            <w:pPr>
              <w:pStyle w:val="TableParagraph"/>
              <w:spacing w:line="312" w:lineRule="auto" w:before="79"/>
              <w:ind w:left="512" w:right="833"/>
              <w:rPr>
                <w:sz w:val="22"/>
              </w:rPr>
            </w:pPr>
            <w:r>
              <w:rPr>
                <w:sz w:val="22"/>
              </w:rPr>
              <w:t>nerve by injection of anaesthetic agent</w:t>
            </w:r>
          </w:p>
        </w:tc>
        <w:tc>
          <w:tcPr>
            <w:tcW w:w="4405" w:type="dxa"/>
            <w:tcBorders>
              <w:bottom w:val="single" w:sz="4" w:space="0" w:color="00643E"/>
            </w:tcBorders>
          </w:tcPr>
          <w:p>
            <w:pPr>
              <w:pStyle w:val="TableParagraph"/>
              <w:spacing w:line="204" w:lineRule="exact"/>
              <w:ind w:left="143"/>
              <w:rPr>
                <w:sz w:val="22"/>
              </w:rPr>
            </w:pPr>
            <w:r>
              <w:rPr>
                <w:sz w:val="22"/>
              </w:rPr>
              <w:t>Identified as requiring further future review</w:t>
            </w:r>
          </w:p>
        </w:tc>
        <w:tc>
          <w:tcPr>
            <w:tcW w:w="2064" w:type="dxa"/>
            <w:tcBorders>
              <w:bottom w:val="single" w:sz="4" w:space="0" w:color="00643E"/>
            </w:tcBorders>
          </w:tcPr>
          <w:p>
            <w:pPr>
              <w:pStyle w:val="TableParagraph"/>
              <w:spacing w:line="204" w:lineRule="exact"/>
              <w:ind w:left="115"/>
              <w:rPr>
                <w:sz w:val="22"/>
              </w:rPr>
            </w:pPr>
            <w:r>
              <w:rPr>
                <w:sz w:val="22"/>
              </w:rPr>
              <w:t>N/A</w:t>
            </w:r>
          </w:p>
        </w:tc>
        <w:tc>
          <w:tcPr>
            <w:tcW w:w="3115" w:type="dxa"/>
            <w:tcBorders>
              <w:bottom w:val="single" w:sz="4" w:space="0" w:color="00643E"/>
            </w:tcBorders>
          </w:tcPr>
          <w:p>
            <w:pPr>
              <w:pStyle w:val="TableParagraph"/>
              <w:spacing w:line="204" w:lineRule="exact"/>
              <w:ind w:left="148"/>
              <w:rPr>
                <w:sz w:val="22"/>
              </w:rPr>
            </w:pPr>
            <w:r>
              <w:rPr>
                <w:sz w:val="22"/>
              </w:rPr>
              <w:t>Further investigation is</w:t>
            </w:r>
          </w:p>
          <w:p>
            <w:pPr>
              <w:pStyle w:val="TableParagraph"/>
              <w:spacing w:line="312" w:lineRule="auto" w:before="79"/>
              <w:ind w:left="148" w:right="587"/>
              <w:rPr>
                <w:sz w:val="22"/>
              </w:rPr>
            </w:pPr>
            <w:r>
              <w:rPr>
                <w:sz w:val="22"/>
              </w:rPr>
              <w:t>required to ensure correct claiming</w:t>
            </w:r>
          </w:p>
        </w:tc>
      </w:tr>
      <w:tr>
        <w:trPr>
          <w:trHeight w:val="1118" w:hRule="atLeast"/>
        </w:trPr>
        <w:tc>
          <w:tcPr>
            <w:tcW w:w="13972" w:type="dxa"/>
            <w:gridSpan w:val="5"/>
            <w:tcBorders>
              <w:top w:val="single" w:sz="4" w:space="0" w:color="00643E"/>
              <w:bottom w:val="single" w:sz="4" w:space="0" w:color="B66012"/>
            </w:tcBorders>
          </w:tcPr>
          <w:p>
            <w:pPr>
              <w:pStyle w:val="TableParagraph"/>
              <w:rPr>
                <w:sz w:val="22"/>
              </w:rPr>
            </w:pPr>
          </w:p>
          <w:p>
            <w:pPr>
              <w:pStyle w:val="TableParagraph"/>
              <w:rPr>
                <w:sz w:val="22"/>
              </w:rPr>
            </w:pPr>
          </w:p>
          <w:p>
            <w:pPr>
              <w:pStyle w:val="TableParagraph"/>
              <w:tabs>
                <w:tab w:pos="2434" w:val="left" w:leader="none"/>
              </w:tabs>
              <w:spacing w:before="170"/>
              <w:ind w:left="115"/>
              <w:rPr>
                <w:b/>
                <w:i/>
                <w:sz w:val="22"/>
              </w:rPr>
            </w:pPr>
            <w:r>
              <w:rPr>
                <w:b/>
                <w:i/>
                <w:sz w:val="22"/>
              </w:rPr>
              <w:t>Recommendation</w:t>
            </w:r>
            <w:r>
              <w:rPr>
                <w:b/>
                <w:i/>
                <w:spacing w:val="-2"/>
                <w:sz w:val="22"/>
              </w:rPr>
              <w:t> </w:t>
            </w:r>
            <w:r>
              <w:rPr>
                <w:b/>
                <w:i/>
                <w:sz w:val="22"/>
              </w:rPr>
              <w:t>23:</w:t>
              <w:tab/>
              <w:t>Deletion of items 18274, 18276 and 39115 - outdated and not best</w:t>
            </w:r>
            <w:r>
              <w:rPr>
                <w:b/>
                <w:i/>
                <w:spacing w:val="-11"/>
                <w:sz w:val="22"/>
              </w:rPr>
              <w:t> </w:t>
            </w:r>
            <w:r>
              <w:rPr>
                <w:b/>
                <w:i/>
                <w:sz w:val="22"/>
              </w:rPr>
              <w:t>practice</w:t>
            </w:r>
          </w:p>
        </w:tc>
      </w:tr>
      <w:tr>
        <w:trPr>
          <w:trHeight w:val="940" w:hRule="atLeast"/>
        </w:trPr>
        <w:tc>
          <w:tcPr>
            <w:tcW w:w="1187" w:type="dxa"/>
            <w:tcBorders>
              <w:top w:val="single" w:sz="4" w:space="0" w:color="B66012"/>
              <w:bottom w:val="single" w:sz="4" w:space="0" w:color="B66012"/>
            </w:tcBorders>
            <w:shd w:val="clear" w:color="auto" w:fill="CC6600"/>
          </w:tcPr>
          <w:p>
            <w:pPr>
              <w:pStyle w:val="TableParagraph"/>
              <w:spacing w:before="179"/>
              <w:ind w:left="115"/>
              <w:rPr>
                <w:b/>
                <w:sz w:val="22"/>
              </w:rPr>
            </w:pPr>
            <w:r>
              <w:rPr>
                <w:b/>
                <w:sz w:val="22"/>
              </w:rPr>
              <w:t>Item</w:t>
            </w:r>
          </w:p>
        </w:tc>
        <w:tc>
          <w:tcPr>
            <w:tcW w:w="3201" w:type="dxa"/>
            <w:tcBorders>
              <w:top w:val="single" w:sz="4" w:space="0" w:color="B66012"/>
              <w:bottom w:val="single" w:sz="4" w:space="0" w:color="B66012"/>
            </w:tcBorders>
            <w:shd w:val="clear" w:color="auto" w:fill="CC6600"/>
          </w:tcPr>
          <w:p>
            <w:pPr>
              <w:pStyle w:val="TableParagraph"/>
              <w:spacing w:before="179"/>
              <w:ind w:left="512"/>
              <w:rPr>
                <w:b/>
                <w:sz w:val="22"/>
              </w:rPr>
            </w:pPr>
            <w:r>
              <w:rPr>
                <w:b/>
                <w:sz w:val="22"/>
              </w:rPr>
              <w:t>What it does</w:t>
            </w:r>
          </w:p>
        </w:tc>
        <w:tc>
          <w:tcPr>
            <w:tcW w:w="4405" w:type="dxa"/>
            <w:tcBorders>
              <w:top w:val="single" w:sz="4" w:space="0" w:color="B66012"/>
              <w:bottom w:val="single" w:sz="4" w:space="0" w:color="B66012"/>
            </w:tcBorders>
            <w:shd w:val="clear" w:color="auto" w:fill="CC6600"/>
          </w:tcPr>
          <w:p>
            <w:pPr>
              <w:pStyle w:val="TableParagraph"/>
              <w:spacing w:before="179"/>
              <w:ind w:left="143"/>
              <w:rPr>
                <w:b/>
                <w:sz w:val="22"/>
              </w:rPr>
            </w:pPr>
            <w:r>
              <w:rPr>
                <w:b/>
                <w:sz w:val="22"/>
              </w:rPr>
              <w:t>Committee recommendation</w:t>
            </w:r>
          </w:p>
        </w:tc>
        <w:tc>
          <w:tcPr>
            <w:tcW w:w="2064" w:type="dxa"/>
            <w:tcBorders>
              <w:top w:val="single" w:sz="4" w:space="0" w:color="B66012"/>
              <w:bottom w:val="single" w:sz="4" w:space="0" w:color="B66012"/>
            </w:tcBorders>
            <w:shd w:val="clear" w:color="auto" w:fill="CC6600"/>
          </w:tcPr>
          <w:p>
            <w:pPr>
              <w:pStyle w:val="TableParagraph"/>
              <w:spacing w:line="312" w:lineRule="auto" w:before="179"/>
              <w:ind w:left="115" w:right="526"/>
              <w:rPr>
                <w:b/>
                <w:sz w:val="22"/>
              </w:rPr>
            </w:pPr>
            <w:r>
              <w:rPr>
                <w:b/>
                <w:sz w:val="22"/>
              </w:rPr>
              <w:t>What would be different</w:t>
            </w:r>
          </w:p>
        </w:tc>
        <w:tc>
          <w:tcPr>
            <w:tcW w:w="3115" w:type="dxa"/>
            <w:tcBorders>
              <w:top w:val="single" w:sz="4" w:space="0" w:color="B66012"/>
              <w:bottom w:val="single" w:sz="4" w:space="0" w:color="B66012"/>
            </w:tcBorders>
            <w:shd w:val="clear" w:color="auto" w:fill="CC6600"/>
          </w:tcPr>
          <w:p>
            <w:pPr>
              <w:pStyle w:val="TableParagraph"/>
              <w:spacing w:before="179"/>
              <w:ind w:left="148"/>
              <w:rPr>
                <w:b/>
                <w:sz w:val="22"/>
              </w:rPr>
            </w:pPr>
            <w:r>
              <w:rPr>
                <w:b/>
                <w:sz w:val="22"/>
              </w:rPr>
              <w:t>Why</w:t>
            </w:r>
          </w:p>
        </w:tc>
      </w:tr>
      <w:tr>
        <w:trPr>
          <w:trHeight w:val="1636" w:hRule="atLeast"/>
        </w:trPr>
        <w:tc>
          <w:tcPr>
            <w:tcW w:w="1187" w:type="dxa"/>
            <w:tcBorders>
              <w:top w:val="single" w:sz="4" w:space="0" w:color="B66012"/>
              <w:bottom w:val="single" w:sz="4" w:space="0" w:color="B66012"/>
            </w:tcBorders>
          </w:tcPr>
          <w:p>
            <w:pPr>
              <w:pStyle w:val="TableParagraph"/>
              <w:spacing w:before="176"/>
              <w:ind w:left="115"/>
              <w:rPr>
                <w:b/>
                <w:sz w:val="22"/>
              </w:rPr>
            </w:pPr>
            <w:r>
              <w:rPr>
                <w:b/>
                <w:sz w:val="22"/>
              </w:rPr>
              <w:t>18274</w:t>
            </w:r>
          </w:p>
        </w:tc>
        <w:tc>
          <w:tcPr>
            <w:tcW w:w="3201" w:type="dxa"/>
            <w:tcBorders>
              <w:top w:val="single" w:sz="4" w:space="0" w:color="B66012"/>
              <w:bottom w:val="single" w:sz="4" w:space="0" w:color="B66012"/>
            </w:tcBorders>
          </w:tcPr>
          <w:p>
            <w:pPr>
              <w:pStyle w:val="TableParagraph"/>
              <w:spacing w:line="312" w:lineRule="auto" w:before="176"/>
              <w:ind w:left="512" w:right="160"/>
              <w:rPr>
                <w:sz w:val="22"/>
              </w:rPr>
            </w:pPr>
            <w:r>
              <w:rPr>
                <w:sz w:val="22"/>
              </w:rPr>
              <w:t>Injection of a single nerve that comes out of the spinal cord to make it go numb.</w:t>
            </w:r>
          </w:p>
        </w:tc>
        <w:tc>
          <w:tcPr>
            <w:tcW w:w="4405" w:type="dxa"/>
            <w:tcBorders>
              <w:top w:val="single" w:sz="4" w:space="0" w:color="B66012"/>
              <w:bottom w:val="single" w:sz="4" w:space="0" w:color="B66012"/>
            </w:tcBorders>
          </w:tcPr>
          <w:p>
            <w:pPr>
              <w:pStyle w:val="TableParagraph"/>
              <w:spacing w:line="312" w:lineRule="auto" w:before="176"/>
              <w:ind w:left="143" w:right="99"/>
              <w:rPr>
                <w:sz w:val="22"/>
              </w:rPr>
            </w:pPr>
            <w:r>
              <w:rPr>
                <w:sz w:val="22"/>
              </w:rPr>
              <w:t>Delete as it refers to outdated procedures and is no longer used for pain management</w:t>
            </w:r>
          </w:p>
        </w:tc>
        <w:tc>
          <w:tcPr>
            <w:tcW w:w="2064" w:type="dxa"/>
            <w:tcBorders>
              <w:top w:val="single" w:sz="4" w:space="0" w:color="B66012"/>
              <w:bottom w:val="single" w:sz="4" w:space="0" w:color="B66012"/>
            </w:tcBorders>
          </w:tcPr>
          <w:p>
            <w:pPr>
              <w:pStyle w:val="TableParagraph"/>
              <w:spacing w:line="312" w:lineRule="auto" w:before="176"/>
              <w:ind w:left="115" w:right="137"/>
              <w:rPr>
                <w:sz w:val="22"/>
              </w:rPr>
            </w:pPr>
            <w:r>
              <w:rPr>
                <w:sz w:val="22"/>
              </w:rPr>
              <w:t>This item will no longer be able to be used</w:t>
            </w:r>
          </w:p>
        </w:tc>
        <w:tc>
          <w:tcPr>
            <w:tcW w:w="3115" w:type="dxa"/>
            <w:tcBorders>
              <w:top w:val="single" w:sz="4" w:space="0" w:color="B66012"/>
              <w:bottom w:val="single" w:sz="4" w:space="0" w:color="B66012"/>
            </w:tcBorders>
          </w:tcPr>
          <w:p>
            <w:pPr>
              <w:pStyle w:val="TableParagraph"/>
              <w:spacing w:line="312" w:lineRule="auto" w:before="176"/>
              <w:ind w:left="148" w:right="176"/>
              <w:rPr>
                <w:sz w:val="22"/>
              </w:rPr>
            </w:pPr>
            <w:r>
              <w:rPr>
                <w:sz w:val="22"/>
              </w:rPr>
              <w:t>This is not necessary because a multi-level injection is required to block even a single facet joint</w:t>
            </w:r>
          </w:p>
        </w:tc>
      </w:tr>
      <w:tr>
        <w:trPr>
          <w:trHeight w:val="3213" w:hRule="atLeast"/>
        </w:trPr>
        <w:tc>
          <w:tcPr>
            <w:tcW w:w="1187" w:type="dxa"/>
            <w:tcBorders>
              <w:top w:val="single" w:sz="4" w:space="0" w:color="B66012"/>
              <w:bottom w:val="single" w:sz="4" w:space="0" w:color="B66012"/>
            </w:tcBorders>
          </w:tcPr>
          <w:p>
            <w:pPr>
              <w:pStyle w:val="TableParagraph"/>
              <w:spacing w:before="176"/>
              <w:ind w:left="115"/>
              <w:rPr>
                <w:b/>
                <w:sz w:val="22"/>
              </w:rPr>
            </w:pPr>
            <w:r>
              <w:rPr>
                <w:b/>
                <w:sz w:val="22"/>
              </w:rPr>
              <w:t>39115</w:t>
            </w:r>
          </w:p>
        </w:tc>
        <w:tc>
          <w:tcPr>
            <w:tcW w:w="3201" w:type="dxa"/>
            <w:tcBorders>
              <w:top w:val="single" w:sz="4" w:space="0" w:color="B66012"/>
              <w:bottom w:val="single" w:sz="4" w:space="0" w:color="B66012"/>
            </w:tcBorders>
          </w:tcPr>
          <w:p>
            <w:pPr>
              <w:pStyle w:val="TableParagraph"/>
              <w:spacing w:line="312" w:lineRule="auto" w:before="176"/>
              <w:ind w:left="512" w:right="126"/>
              <w:rPr>
                <w:sz w:val="22"/>
              </w:rPr>
            </w:pPr>
            <w:r>
              <w:rPr>
                <w:sz w:val="22"/>
              </w:rPr>
              <w:t>Temporarily blocking/interrupting by any method the nerves that come out of the spinal cord</w:t>
            </w:r>
          </w:p>
        </w:tc>
        <w:tc>
          <w:tcPr>
            <w:tcW w:w="4405" w:type="dxa"/>
            <w:tcBorders>
              <w:top w:val="single" w:sz="4" w:space="0" w:color="B66012"/>
              <w:bottom w:val="single" w:sz="4" w:space="0" w:color="B66012"/>
            </w:tcBorders>
          </w:tcPr>
          <w:p>
            <w:pPr>
              <w:pStyle w:val="TableParagraph"/>
              <w:spacing w:line="312" w:lineRule="auto" w:before="176"/>
              <w:ind w:left="143" w:right="99"/>
              <w:rPr>
                <w:sz w:val="22"/>
              </w:rPr>
            </w:pPr>
            <w:r>
              <w:rPr>
                <w:sz w:val="22"/>
              </w:rPr>
              <w:t>Delete as it refers to outdated procedures and is no longer used for pain management</w:t>
            </w:r>
          </w:p>
        </w:tc>
        <w:tc>
          <w:tcPr>
            <w:tcW w:w="2064" w:type="dxa"/>
            <w:tcBorders>
              <w:top w:val="single" w:sz="4" w:space="0" w:color="B66012"/>
              <w:bottom w:val="single" w:sz="4" w:space="0" w:color="B66012"/>
            </w:tcBorders>
          </w:tcPr>
          <w:p>
            <w:pPr>
              <w:pStyle w:val="TableParagraph"/>
              <w:spacing w:line="312" w:lineRule="auto" w:before="176"/>
              <w:ind w:left="115" w:right="137"/>
              <w:rPr>
                <w:sz w:val="22"/>
              </w:rPr>
            </w:pPr>
            <w:r>
              <w:rPr>
                <w:sz w:val="22"/>
              </w:rPr>
              <w:t>This item will no longer be able to be used</w:t>
            </w:r>
          </w:p>
        </w:tc>
        <w:tc>
          <w:tcPr>
            <w:tcW w:w="3115" w:type="dxa"/>
            <w:tcBorders>
              <w:top w:val="single" w:sz="4" w:space="0" w:color="B66012"/>
              <w:bottom w:val="single" w:sz="4" w:space="0" w:color="B66012"/>
            </w:tcBorders>
          </w:tcPr>
          <w:p>
            <w:pPr>
              <w:pStyle w:val="TableParagraph"/>
              <w:spacing w:line="312" w:lineRule="auto" w:before="176"/>
              <w:ind w:left="148" w:right="126"/>
              <w:rPr>
                <w:sz w:val="22"/>
              </w:rPr>
            </w:pPr>
            <w:r>
              <w:rPr>
                <w:sz w:val="22"/>
              </w:rPr>
              <w:t>This item is very rarely used, with a decrease of 42% between 2016/2017 and 2017- 2018</w:t>
            </w:r>
          </w:p>
          <w:p>
            <w:pPr>
              <w:pStyle w:val="TableParagraph"/>
              <w:spacing w:line="312" w:lineRule="auto" w:before="181"/>
              <w:ind w:left="148" w:right="161"/>
              <w:rPr>
                <w:sz w:val="22"/>
              </w:rPr>
            </w:pPr>
            <w:r>
              <w:rPr>
                <w:sz w:val="22"/>
              </w:rPr>
              <w:t>This item is a historical number used for an outdated procedure and should be deleted to modernise the MBS</w:t>
            </w:r>
          </w:p>
        </w:tc>
      </w:tr>
    </w:tbl>
    <w:p>
      <w:pPr>
        <w:spacing w:after="0" w:line="312" w:lineRule="auto"/>
        <w:rPr>
          <w:sz w:val="22"/>
        </w:rPr>
        <w:sectPr>
          <w:pgSz w:w="16840" w:h="11910" w:orient="landscape"/>
          <w:pgMar w:header="0" w:footer="722" w:top="1180" w:bottom="920" w:left="1000" w:right="1640"/>
        </w:sectPr>
      </w:pPr>
    </w:p>
    <w:p>
      <w:pPr>
        <w:pStyle w:val="BodyText"/>
        <w:rPr>
          <w:sz w:val="20"/>
        </w:rPr>
      </w:pPr>
    </w:p>
    <w:p>
      <w:pPr>
        <w:pStyle w:val="BodyText"/>
        <w:rPr>
          <w:sz w:val="20"/>
        </w:rPr>
      </w:pPr>
    </w:p>
    <w:p>
      <w:pPr>
        <w:pStyle w:val="BodyText"/>
        <w:spacing w:before="7"/>
        <w:rPr>
          <w:sz w:val="10"/>
        </w:rPr>
      </w:pPr>
    </w:p>
    <w:p>
      <w:pPr>
        <w:pStyle w:val="BodyText"/>
        <w:spacing w:line="20" w:lineRule="exact"/>
        <w:ind w:left="120"/>
        <w:rPr>
          <w:sz w:val="2"/>
        </w:rPr>
      </w:pPr>
      <w:r>
        <w:rPr>
          <w:sz w:val="2"/>
        </w:rPr>
        <w:pict>
          <v:group style="width:698.05pt;height:.5pt;mso-position-horizontal-relative:char;mso-position-vertical-relative:line" coordorigin="0,0" coordsize="13961,10">
            <v:shape style="position:absolute;left:0;top:0;width:13961;height:10" coordorigin="0,0" coordsize="13961,10" path="m1594,0l1584,0,1584,0,0,0,0,10,1584,10,1584,10,1594,10,1594,0xm4426,0l4416,0,1594,0,1594,10,4416,10,4426,10,4426,0xm8793,0l4426,0,4426,10,8793,10,8793,0xm10900,0l10890,0,8802,0,8793,0,8793,10,8802,10,10890,10,10900,10,10900,0xm13960,0l10900,0,10900,10,13960,10,13960,0xe" filled="true" fillcolor="#b66012" stroked="false">
              <v:path arrowok="t"/>
              <v:fill type="solid"/>
            </v:shape>
          </v:group>
        </w:pict>
      </w:r>
      <w:r>
        <w:rPr>
          <w:sz w:val="2"/>
        </w:rPr>
      </w:r>
    </w:p>
    <w:p>
      <w:pPr>
        <w:pStyle w:val="BodyText"/>
        <w:rPr>
          <w:sz w:val="20"/>
        </w:rPr>
      </w:pPr>
    </w:p>
    <w:p>
      <w:pPr>
        <w:pStyle w:val="BodyText"/>
        <w:spacing w:before="2"/>
        <w:rPr>
          <w:sz w:val="19"/>
        </w:rPr>
      </w:pPr>
      <w:r>
        <w:rPr/>
        <w:pict>
          <v:shape style="position:absolute;margin-left:56.040001pt;margin-top:13.672946pt;width:698.05pt;height:.5pt;mso-position-horizontal-relative:page;mso-position-vertical-relative:paragraph;z-index:-15548416;mso-wrap-distance-left:0;mso-wrap-distance-right:0" coordorigin="1121,273" coordsize="13961,10" path="m2715,273l2705,273,2705,273,1121,273,1121,283,2705,283,2705,283,2715,283,2715,273xm5547,273l5537,273,2715,273,2715,283,5537,283,5547,283,5547,273xm9913,273l5547,273,5547,283,9913,283,9913,273xm12021,273l12011,273,9923,273,9913,273,9913,283,9923,283,12011,283,12021,283,12021,273xm15081,273l12021,273,12021,283,15081,283,15081,273xe" filled="true" fillcolor="#b66012" stroked="false">
            <v:path arrowok="t"/>
            <v:fill type="solid"/>
            <w10:wrap type="topAndBottom"/>
          </v:shape>
        </w:pict>
      </w:r>
    </w:p>
    <w:p>
      <w:pPr>
        <w:pStyle w:val="BodyText"/>
        <w:rPr>
          <w:sz w:val="20"/>
        </w:rPr>
      </w:pPr>
    </w:p>
    <w:p>
      <w:pPr>
        <w:pStyle w:val="BodyText"/>
        <w:rPr>
          <w:sz w:val="20"/>
        </w:rPr>
      </w:pPr>
    </w:p>
    <w:p>
      <w:pPr>
        <w:pStyle w:val="BodyText"/>
        <w:spacing w:before="1" w:after="1"/>
        <w:rPr>
          <w:sz w:val="19"/>
        </w:r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9"/>
        <w:gridCol w:w="2152"/>
        <w:gridCol w:w="4682"/>
        <w:gridCol w:w="2277"/>
        <w:gridCol w:w="3308"/>
      </w:tblGrid>
      <w:tr>
        <w:trPr>
          <w:trHeight w:val="366" w:hRule="atLeast"/>
        </w:trPr>
        <w:tc>
          <w:tcPr>
            <w:tcW w:w="13968" w:type="dxa"/>
            <w:gridSpan w:val="5"/>
            <w:tcBorders>
              <w:bottom w:val="single" w:sz="4" w:space="0" w:color="B66012"/>
            </w:tcBorders>
          </w:tcPr>
          <w:p>
            <w:pPr>
              <w:pStyle w:val="TableParagraph"/>
              <w:spacing w:line="225" w:lineRule="exact"/>
              <w:ind w:left="116"/>
              <w:rPr>
                <w:b/>
                <w:i/>
                <w:sz w:val="22"/>
              </w:rPr>
            </w:pPr>
            <w:r>
              <w:rPr>
                <w:b/>
                <w:i/>
                <w:sz w:val="22"/>
              </w:rPr>
              <w:t>Recommendation 24: Referrals of items 18258, 18260, 18270, 18272 and 18282</w:t>
            </w:r>
          </w:p>
        </w:tc>
      </w:tr>
      <w:tr>
        <w:trPr>
          <w:trHeight w:val="940" w:hRule="atLeast"/>
        </w:trPr>
        <w:tc>
          <w:tcPr>
            <w:tcW w:w="1549" w:type="dxa"/>
            <w:tcBorders>
              <w:top w:val="single" w:sz="4" w:space="0" w:color="B66012"/>
              <w:bottom w:val="single" w:sz="4" w:space="0" w:color="B66012"/>
            </w:tcBorders>
            <w:shd w:val="clear" w:color="auto" w:fill="D55600"/>
          </w:tcPr>
          <w:p>
            <w:pPr>
              <w:pStyle w:val="TableParagraph"/>
              <w:spacing w:before="179"/>
              <w:ind w:left="116"/>
              <w:rPr>
                <w:b/>
                <w:sz w:val="22"/>
              </w:rPr>
            </w:pPr>
            <w:r>
              <w:rPr>
                <w:b/>
                <w:sz w:val="22"/>
              </w:rPr>
              <w:t>Item</w:t>
            </w:r>
          </w:p>
        </w:tc>
        <w:tc>
          <w:tcPr>
            <w:tcW w:w="2152" w:type="dxa"/>
            <w:tcBorders>
              <w:top w:val="single" w:sz="4" w:space="0" w:color="B66012"/>
              <w:bottom w:val="single" w:sz="4" w:space="0" w:color="B66012"/>
            </w:tcBorders>
            <w:shd w:val="clear" w:color="auto" w:fill="D55600"/>
          </w:tcPr>
          <w:p>
            <w:pPr>
              <w:pStyle w:val="TableParagraph"/>
              <w:spacing w:before="179"/>
              <w:ind w:left="152"/>
              <w:rPr>
                <w:b/>
                <w:sz w:val="22"/>
              </w:rPr>
            </w:pPr>
            <w:r>
              <w:rPr>
                <w:b/>
                <w:sz w:val="22"/>
              </w:rPr>
              <w:t>What it does</w:t>
            </w:r>
          </w:p>
        </w:tc>
        <w:tc>
          <w:tcPr>
            <w:tcW w:w="4682" w:type="dxa"/>
            <w:tcBorders>
              <w:top w:val="single" w:sz="4" w:space="0" w:color="B66012"/>
              <w:bottom w:val="single" w:sz="4" w:space="0" w:color="B66012"/>
            </w:tcBorders>
            <w:shd w:val="clear" w:color="auto" w:fill="D55600"/>
          </w:tcPr>
          <w:p>
            <w:pPr>
              <w:pStyle w:val="TableParagraph"/>
              <w:spacing w:before="179"/>
              <w:ind w:left="832"/>
              <w:rPr>
                <w:b/>
                <w:sz w:val="22"/>
              </w:rPr>
            </w:pPr>
            <w:r>
              <w:rPr>
                <w:b/>
                <w:sz w:val="22"/>
              </w:rPr>
              <w:t>Committee recommendation</w:t>
            </w:r>
          </w:p>
        </w:tc>
        <w:tc>
          <w:tcPr>
            <w:tcW w:w="2277" w:type="dxa"/>
            <w:tcBorders>
              <w:top w:val="single" w:sz="4" w:space="0" w:color="B66012"/>
              <w:bottom w:val="single" w:sz="4" w:space="0" w:color="B66012"/>
            </w:tcBorders>
            <w:shd w:val="clear" w:color="auto" w:fill="D55600"/>
          </w:tcPr>
          <w:p>
            <w:pPr>
              <w:pStyle w:val="TableParagraph"/>
              <w:spacing w:line="312" w:lineRule="auto" w:before="179"/>
              <w:ind w:left="526" w:right="328"/>
              <w:rPr>
                <w:b/>
                <w:sz w:val="22"/>
              </w:rPr>
            </w:pPr>
            <w:r>
              <w:rPr>
                <w:b/>
                <w:sz w:val="22"/>
              </w:rPr>
              <w:t>What would be different</w:t>
            </w:r>
          </w:p>
        </w:tc>
        <w:tc>
          <w:tcPr>
            <w:tcW w:w="3308" w:type="dxa"/>
            <w:tcBorders>
              <w:top w:val="single" w:sz="4" w:space="0" w:color="B66012"/>
              <w:bottom w:val="single" w:sz="4" w:space="0" w:color="B66012"/>
            </w:tcBorders>
            <w:shd w:val="clear" w:color="auto" w:fill="D55600"/>
          </w:tcPr>
          <w:p>
            <w:pPr>
              <w:pStyle w:val="TableParagraph"/>
              <w:spacing w:before="179"/>
              <w:ind w:left="347"/>
              <w:rPr>
                <w:b/>
                <w:sz w:val="22"/>
              </w:rPr>
            </w:pPr>
            <w:r>
              <w:rPr>
                <w:b/>
                <w:sz w:val="22"/>
              </w:rPr>
              <w:t>Why</w:t>
            </w:r>
          </w:p>
        </w:tc>
      </w:tr>
      <w:tr>
        <w:trPr>
          <w:trHeight w:val="236" w:hRule="atLeast"/>
        </w:trPr>
        <w:tc>
          <w:tcPr>
            <w:tcW w:w="1549" w:type="dxa"/>
            <w:vMerge w:val="restart"/>
            <w:tcBorders>
              <w:top w:val="single" w:sz="4" w:space="0" w:color="B66012"/>
              <w:bottom w:val="single" w:sz="4" w:space="0" w:color="B66012"/>
            </w:tcBorders>
          </w:tcPr>
          <w:p>
            <w:pPr>
              <w:pStyle w:val="TableParagraph"/>
              <w:spacing w:line="265" w:lineRule="exact"/>
              <w:ind w:left="116"/>
              <w:rPr>
                <w:b/>
                <w:sz w:val="22"/>
              </w:rPr>
            </w:pPr>
            <w:r>
              <w:rPr>
                <w:b/>
                <w:sz w:val="22"/>
              </w:rPr>
              <w:t>18258, 18260,</w:t>
            </w:r>
          </w:p>
          <w:p>
            <w:pPr>
              <w:pStyle w:val="TableParagraph"/>
              <w:spacing w:before="139"/>
              <w:ind w:left="116"/>
              <w:rPr>
                <w:b/>
                <w:sz w:val="22"/>
              </w:rPr>
            </w:pPr>
            <w:r>
              <w:rPr>
                <w:b/>
                <w:sz w:val="22"/>
              </w:rPr>
              <w:t>18270,</w:t>
            </w:r>
          </w:p>
          <w:p>
            <w:pPr>
              <w:pStyle w:val="TableParagraph"/>
              <w:spacing w:before="142"/>
              <w:ind w:left="116"/>
              <w:rPr>
                <w:b/>
                <w:sz w:val="22"/>
              </w:rPr>
            </w:pPr>
            <w:r>
              <w:rPr>
                <w:b/>
                <w:sz w:val="22"/>
              </w:rPr>
              <w:t>18272, 18282</w:t>
            </w:r>
          </w:p>
        </w:tc>
        <w:tc>
          <w:tcPr>
            <w:tcW w:w="2152" w:type="dxa"/>
            <w:tcBorders>
              <w:top w:val="single" w:sz="4" w:space="0" w:color="B66012"/>
            </w:tcBorders>
          </w:tcPr>
          <w:p>
            <w:pPr>
              <w:pStyle w:val="TableParagraph"/>
              <w:rPr>
                <w:rFonts w:ascii="Times New Roman"/>
                <w:sz w:val="16"/>
              </w:rPr>
            </w:pPr>
          </w:p>
        </w:tc>
        <w:tc>
          <w:tcPr>
            <w:tcW w:w="4682" w:type="dxa"/>
            <w:tcBorders>
              <w:top w:val="single" w:sz="4" w:space="0" w:color="B66012"/>
            </w:tcBorders>
          </w:tcPr>
          <w:p>
            <w:pPr>
              <w:pStyle w:val="TableParagraph"/>
              <w:rPr>
                <w:rFonts w:ascii="Times New Roman"/>
                <w:sz w:val="16"/>
              </w:rPr>
            </w:pPr>
          </w:p>
        </w:tc>
        <w:tc>
          <w:tcPr>
            <w:tcW w:w="2277" w:type="dxa"/>
            <w:tcBorders>
              <w:top w:val="single" w:sz="4" w:space="0" w:color="B66012"/>
            </w:tcBorders>
          </w:tcPr>
          <w:p>
            <w:pPr>
              <w:pStyle w:val="TableParagraph"/>
              <w:spacing w:line="216" w:lineRule="exact"/>
              <w:ind w:left="526"/>
              <w:rPr>
                <w:sz w:val="22"/>
              </w:rPr>
            </w:pPr>
            <w:r>
              <w:rPr>
                <w:sz w:val="22"/>
              </w:rPr>
              <w:t>N/A</w:t>
            </w:r>
          </w:p>
        </w:tc>
        <w:tc>
          <w:tcPr>
            <w:tcW w:w="3308" w:type="dxa"/>
            <w:tcBorders>
              <w:top w:val="single" w:sz="4" w:space="0" w:color="B66012"/>
            </w:tcBorders>
          </w:tcPr>
          <w:p>
            <w:pPr>
              <w:pStyle w:val="TableParagraph"/>
              <w:rPr>
                <w:rFonts w:ascii="Times New Roman"/>
                <w:sz w:val="16"/>
              </w:rPr>
            </w:pPr>
          </w:p>
        </w:tc>
      </w:tr>
      <w:tr>
        <w:trPr>
          <w:trHeight w:val="2437" w:hRule="atLeast"/>
        </w:trPr>
        <w:tc>
          <w:tcPr>
            <w:tcW w:w="1549" w:type="dxa"/>
            <w:vMerge/>
            <w:tcBorders>
              <w:top w:val="nil"/>
              <w:bottom w:val="single" w:sz="4" w:space="0" w:color="B66012"/>
            </w:tcBorders>
          </w:tcPr>
          <w:p>
            <w:pPr>
              <w:rPr>
                <w:sz w:val="2"/>
                <w:szCs w:val="2"/>
              </w:rPr>
            </w:pPr>
          </w:p>
        </w:tc>
        <w:tc>
          <w:tcPr>
            <w:tcW w:w="2152" w:type="dxa"/>
            <w:tcBorders>
              <w:bottom w:val="single" w:sz="4" w:space="0" w:color="B66012"/>
            </w:tcBorders>
          </w:tcPr>
          <w:p>
            <w:pPr>
              <w:pStyle w:val="TableParagraph"/>
              <w:spacing w:line="199" w:lineRule="exact"/>
              <w:ind w:left="152"/>
              <w:rPr>
                <w:sz w:val="22"/>
              </w:rPr>
            </w:pPr>
            <w:r>
              <w:rPr>
                <w:sz w:val="22"/>
              </w:rPr>
              <w:t>Various</w:t>
            </w:r>
          </w:p>
        </w:tc>
        <w:tc>
          <w:tcPr>
            <w:tcW w:w="4682" w:type="dxa"/>
            <w:tcBorders>
              <w:bottom w:val="single" w:sz="4" w:space="0" w:color="B66012"/>
            </w:tcBorders>
          </w:tcPr>
          <w:p>
            <w:pPr>
              <w:pStyle w:val="TableParagraph"/>
              <w:spacing w:line="199" w:lineRule="exact"/>
              <w:ind w:left="832"/>
              <w:rPr>
                <w:sz w:val="22"/>
              </w:rPr>
            </w:pPr>
            <w:r>
              <w:rPr>
                <w:sz w:val="22"/>
              </w:rPr>
              <w:t>Referral to other clinical committees.</w:t>
            </w:r>
          </w:p>
        </w:tc>
        <w:tc>
          <w:tcPr>
            <w:tcW w:w="2277" w:type="dxa"/>
            <w:tcBorders>
              <w:bottom w:val="single" w:sz="4" w:space="0" w:color="B66012"/>
            </w:tcBorders>
          </w:tcPr>
          <w:p>
            <w:pPr>
              <w:pStyle w:val="TableParagraph"/>
              <w:rPr>
                <w:rFonts w:ascii="Times New Roman"/>
                <w:sz w:val="20"/>
              </w:rPr>
            </w:pPr>
          </w:p>
        </w:tc>
        <w:tc>
          <w:tcPr>
            <w:tcW w:w="3308" w:type="dxa"/>
            <w:tcBorders>
              <w:bottom w:val="single" w:sz="4" w:space="0" w:color="B66012"/>
            </w:tcBorders>
          </w:tcPr>
          <w:p>
            <w:pPr>
              <w:pStyle w:val="TableParagraph"/>
              <w:spacing w:line="199" w:lineRule="exact"/>
              <w:ind w:left="347"/>
              <w:rPr>
                <w:sz w:val="22"/>
              </w:rPr>
            </w:pPr>
            <w:r>
              <w:rPr>
                <w:sz w:val="22"/>
              </w:rPr>
              <w:t>These items are not used in</w:t>
            </w:r>
          </w:p>
          <w:p>
            <w:pPr>
              <w:pStyle w:val="TableParagraph"/>
              <w:spacing w:line="312" w:lineRule="auto" w:before="79"/>
              <w:ind w:left="347" w:right="272"/>
              <w:rPr>
                <w:sz w:val="22"/>
              </w:rPr>
            </w:pPr>
            <w:r>
              <w:rPr>
                <w:sz w:val="22"/>
              </w:rPr>
              <w:t>volume by Pain Medicine Specialists, therefore the committee has referred these items to the Vascular Clinical Committee and the Thoracic Surgery Clinical Committees.</w:t>
            </w:r>
          </w:p>
        </w:tc>
      </w:tr>
    </w:tbl>
    <w:sectPr>
      <w:pgSz w:w="16840" w:h="11910" w:orient="landscape"/>
      <w:pgMar w:header="0" w:footer="722" w:top="1180" w:bottom="920" w:left="1000" w:right="16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463997pt;margin-top:779.015991pt;width:418.51pt;height:1.44pt;mso-position-horizontal-relative:page;mso-position-vertical-relative:page;z-index:-19720704" filled="true" fillcolor="#bebebe" stroked="false">
          <v:fill type="solid"/>
          <w10:wrap type="none"/>
        </v:rect>
      </w:pict>
    </w:r>
    <w:r>
      <w:rPr/>
      <w:pict>
        <v:shapetype id="_x0000_t202" o:spt="202" coordsize="21600,21600" path="m,l,21600r21600,l21600,xe">
          <v:stroke joinstyle="miter"/>
          <v:path gradientshapeok="t" o:connecttype="rect"/>
        </v:shapetype>
        <v:shape style="position:absolute;margin-left:88.903999pt;margin-top:790.226013pt;width:234.5pt;height:10.55pt;mso-position-horizontal-relative:page;mso-position-vertical-relative:page;z-index:-19720192" type="#_x0000_t202" filled="false" stroked="false">
          <v:textbox inset="0,0,0,0">
            <w:txbxContent>
              <w:p>
                <w:pPr>
                  <w:spacing w:line="193" w:lineRule="exact" w:before="0"/>
                  <w:ind w:left="20" w:right="0" w:firstLine="0"/>
                  <w:jc w:val="left"/>
                  <w:rPr>
                    <w:b/>
                    <w:sz w:val="17"/>
                  </w:rPr>
                </w:pPr>
                <w:r>
                  <w:rPr>
                    <w:b/>
                    <w:color w:val="00643E"/>
                    <w:sz w:val="17"/>
                  </w:rPr>
                  <w:t>Final Report on the Review of Pain Management MBS Items, 2019</w:t>
                </w:r>
              </w:p>
            </w:txbxContent>
          </v:textbox>
          <w10:wrap type="none"/>
        </v:shape>
      </w:pict>
    </w:r>
    <w:r>
      <w:rPr/>
      <w:pict>
        <v:shape style="position:absolute;margin-left:479.339996pt;margin-top:790.226013pt;width:29.2pt;height:10.55pt;mso-position-horizontal-relative:page;mso-position-vertical-relative:page;z-index:-19719680" type="#_x0000_t202" filled="false" stroked="false">
          <v:textbox inset="0,0,0,0">
            <w:txbxContent>
              <w:p>
                <w:pPr>
                  <w:spacing w:line="193" w:lineRule="exact" w:before="0"/>
                  <w:ind w:left="20" w:right="0" w:firstLine="0"/>
                  <w:jc w:val="left"/>
                  <w:rPr>
                    <w:b/>
                    <w:sz w:val="17"/>
                  </w:rPr>
                </w:pPr>
                <w:r>
                  <w:rPr>
                    <w:b/>
                    <w:color w:val="00643E"/>
                    <w:sz w:val="17"/>
                  </w:rPr>
                  <w:t>Page </w:t>
                </w:r>
                <w:r>
                  <w:rPr/>
                  <w:fldChar w:fldCharType="begin"/>
                </w:r>
                <w:r>
                  <w:rPr>
                    <w:b/>
                    <w:color w:val="00643E"/>
                    <w:sz w:val="17"/>
                  </w:rPr>
                  <w:instrText> PAGE  \* roman </w:instrText>
                </w:r>
                <w:r>
                  <w:rPr/>
                  <w:fldChar w:fldCharType="separate"/>
                </w:r>
                <w:r>
                  <w:rPr/>
                  <w:t>iii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463997pt;margin-top:779.015991pt;width:418.51pt;height:1.44pt;mso-position-horizontal-relative:page;mso-position-vertical-relative:page;z-index:-19697152" filled="true" fillcolor="#bebebe" stroked="false">
          <v:fill type="solid"/>
          <w10:wrap type="none"/>
        </v:rect>
      </w:pict>
    </w:r>
    <w:r>
      <w:rPr/>
      <w:pict>
        <v:shape style="position:absolute;margin-left:88.903999pt;margin-top:790.226013pt;width:156.75pt;height:10.55pt;mso-position-horizontal-relative:page;mso-position-vertical-relative:page;z-index:-19696640" type="#_x0000_t202" filled="false" stroked="false">
          <v:textbox inset="0,0,0,0">
            <w:txbxContent>
              <w:p>
                <w:pPr>
                  <w:spacing w:line="193" w:lineRule="exact" w:before="0"/>
                  <w:ind w:left="20" w:right="0" w:firstLine="0"/>
                  <w:jc w:val="left"/>
                  <w:rPr>
                    <w:b/>
                    <w:sz w:val="17"/>
                  </w:rPr>
                </w:pPr>
                <w:r>
                  <w:rPr>
                    <w:b/>
                    <w:color w:val="00643E"/>
                    <w:sz w:val="17"/>
                  </w:rPr>
                  <w:t>Pain Management Clinical Committee, 2019</w:t>
                </w:r>
              </w:p>
            </w:txbxContent>
          </v:textbox>
          <w10:wrap type="none"/>
        </v:shape>
      </w:pict>
    </w:r>
    <w:r>
      <w:rPr/>
      <w:pict>
        <v:shape style="position:absolute;margin-left:476.940002pt;margin-top:790.226013pt;width:31.75pt;height:10.55pt;mso-position-horizontal-relative:page;mso-position-vertical-relative:page;z-index:-19696128" type="#_x0000_t202" filled="false" stroked="false">
          <v:textbox inset="0,0,0,0">
            <w:txbxContent>
              <w:p>
                <w:pPr>
                  <w:spacing w:line="193" w:lineRule="exact" w:before="0"/>
                  <w:ind w:left="20" w:right="0" w:firstLine="0"/>
                  <w:jc w:val="left"/>
                  <w:rPr>
                    <w:b/>
                    <w:sz w:val="17"/>
                  </w:rPr>
                </w:pPr>
                <w:r>
                  <w:rPr>
                    <w:b/>
                    <w:color w:val="00643E"/>
                    <w:sz w:val="17"/>
                  </w:rPr>
                  <w:t>Page </w:t>
                </w:r>
                <w:r>
                  <w:rPr/>
                  <w:fldChar w:fldCharType="begin"/>
                </w:r>
                <w:r>
                  <w:rPr>
                    <w:b/>
                    <w:color w:val="00643E"/>
                    <w:sz w:val="17"/>
                  </w:rPr>
                  <w:instrText> PAGE </w:instrText>
                </w:r>
                <w:r>
                  <w:rPr/>
                  <w:fldChar w:fldCharType="separate"/>
                </w:r>
                <w:r>
                  <w:rPr/>
                  <w:t>16</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9"/>
      </w:rPr>
    </w:pPr>
    <w:r>
      <w:rPr/>
      <w:pict>
        <v:rect style="position:absolute;margin-left:88.463997pt;margin-top:779.015991pt;width:418.51pt;height:1.44pt;mso-position-horizontal-relative:page;mso-position-vertical-relative:page;z-index:-19695104" filled="true" fillcolor="#bebebe" stroked="false">
          <v:fill type="solid"/>
          <w10:wrap type="none"/>
        </v:rect>
      </w:pict>
    </w:r>
    <w:r>
      <w:rPr/>
      <w:pict>
        <v:shape style="position:absolute;margin-left:88.903999pt;margin-top:790.226013pt;width:156.75pt;height:10.55pt;mso-position-horizontal-relative:page;mso-position-vertical-relative:page;z-index:-19694592" type="#_x0000_t202" filled="false" stroked="false">
          <v:textbox inset="0,0,0,0">
            <w:txbxContent>
              <w:p>
                <w:pPr>
                  <w:spacing w:line="193" w:lineRule="exact" w:before="0"/>
                  <w:ind w:left="20" w:right="0" w:firstLine="0"/>
                  <w:jc w:val="left"/>
                  <w:rPr>
                    <w:b/>
                    <w:sz w:val="17"/>
                  </w:rPr>
                </w:pPr>
                <w:r>
                  <w:rPr>
                    <w:b/>
                    <w:color w:val="00643E"/>
                    <w:sz w:val="17"/>
                  </w:rPr>
                  <w:t>Pain Management Clinical Committee, 2019</w:t>
                </w:r>
              </w:p>
            </w:txbxContent>
          </v:textbox>
          <w10:wrap type="none"/>
        </v:shape>
      </w:pict>
    </w:r>
    <w:r>
      <w:rPr/>
      <w:pict>
        <v:shape style="position:absolute;margin-left:476.940002pt;margin-top:790.226013pt;width:31.75pt;height:10.55pt;mso-position-horizontal-relative:page;mso-position-vertical-relative:page;z-index:-19694080" type="#_x0000_t202" filled="false" stroked="false">
          <v:textbox inset="0,0,0,0">
            <w:txbxContent>
              <w:p>
                <w:pPr>
                  <w:spacing w:line="193" w:lineRule="exact" w:before="0"/>
                  <w:ind w:left="20" w:right="0" w:firstLine="0"/>
                  <w:jc w:val="left"/>
                  <w:rPr>
                    <w:b/>
                    <w:sz w:val="17"/>
                  </w:rPr>
                </w:pPr>
                <w:r>
                  <w:rPr>
                    <w:b/>
                    <w:color w:val="00643E"/>
                    <w:sz w:val="17"/>
                  </w:rPr>
                  <w:t>Page </w:t>
                </w:r>
                <w:r>
                  <w:rPr/>
                  <w:fldChar w:fldCharType="begin"/>
                </w:r>
                <w:r>
                  <w:rPr>
                    <w:b/>
                    <w:color w:val="00643E"/>
                    <w:sz w:val="17"/>
                  </w:rPr>
                  <w:instrText> PAGE </w:instrText>
                </w:r>
                <w:r>
                  <w:rPr/>
                  <w:fldChar w:fldCharType="separate"/>
                </w:r>
                <w:r>
                  <w:rPr/>
                  <w:t>18</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3.664001pt;margin-top:779.015991pt;width:423.31pt;height:1.44pt;mso-position-horizontal-relative:page;mso-position-vertical-relative:page;z-index:-19692544" filled="true" fillcolor="#bebebe" stroked="false">
          <v:fill type="solid"/>
          <w10:wrap type="none"/>
        </v:rect>
      </w:pict>
    </w:r>
    <w:r>
      <w:rPr/>
      <w:pict>
        <v:shape style="position:absolute;margin-left:84.103996pt;margin-top:790.226013pt;width:156.75pt;height:10.55pt;mso-position-horizontal-relative:page;mso-position-vertical-relative:page;z-index:-19692032" type="#_x0000_t202" filled="false" stroked="false">
          <v:textbox inset="0,0,0,0">
            <w:txbxContent>
              <w:p>
                <w:pPr>
                  <w:spacing w:line="193" w:lineRule="exact" w:before="0"/>
                  <w:ind w:left="20" w:right="0" w:firstLine="0"/>
                  <w:jc w:val="left"/>
                  <w:rPr>
                    <w:b/>
                    <w:sz w:val="17"/>
                  </w:rPr>
                </w:pPr>
                <w:r>
                  <w:rPr>
                    <w:b/>
                    <w:color w:val="00643E"/>
                    <w:sz w:val="17"/>
                  </w:rPr>
                  <w:t>Pain Management Clinical Committee, 2019</w:t>
                </w:r>
              </w:p>
            </w:txbxContent>
          </v:textbox>
          <w10:wrap type="none"/>
        </v:shape>
      </w:pict>
    </w:r>
    <w:r>
      <w:rPr/>
      <w:pict>
        <v:shape style="position:absolute;margin-left:476.940002pt;margin-top:790.226013pt;width:31.75pt;height:10.55pt;mso-position-horizontal-relative:page;mso-position-vertical-relative:page;z-index:-19691520" type="#_x0000_t202" filled="false" stroked="false">
          <v:textbox inset="0,0,0,0">
            <w:txbxContent>
              <w:p>
                <w:pPr>
                  <w:spacing w:line="193" w:lineRule="exact" w:before="0"/>
                  <w:ind w:left="20" w:right="0" w:firstLine="0"/>
                  <w:jc w:val="left"/>
                  <w:rPr>
                    <w:b/>
                    <w:sz w:val="17"/>
                  </w:rPr>
                </w:pPr>
                <w:r>
                  <w:rPr>
                    <w:b/>
                    <w:color w:val="00643E"/>
                    <w:sz w:val="17"/>
                  </w:rPr>
                  <w:t>Page </w:t>
                </w:r>
                <w:r>
                  <w:rPr/>
                  <w:fldChar w:fldCharType="begin"/>
                </w:r>
                <w:r>
                  <w:rPr>
                    <w:b/>
                    <w:color w:val="00643E"/>
                    <w:sz w:val="17"/>
                  </w:rPr>
                  <w:instrText> PAGE </w:instrText>
                </w:r>
                <w:r>
                  <w:rPr/>
                  <w:fldChar w:fldCharType="separate"/>
                </w:r>
                <w:r>
                  <w:rPr/>
                  <w:t>28</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3.664001pt;margin-top:779.015991pt;width:423.31pt;height:1.44pt;mso-position-horizontal-relative:page;mso-position-vertical-relative:page;z-index:-19690496" filled="true" fillcolor="#bebebe" stroked="false">
          <v:fill type="solid"/>
          <w10:wrap type="none"/>
        </v:rect>
      </w:pict>
    </w:r>
    <w:r>
      <w:rPr/>
      <w:pict>
        <v:shape style="position:absolute;margin-left:84.103996pt;margin-top:790.226013pt;width:156.75pt;height:10.55pt;mso-position-horizontal-relative:page;mso-position-vertical-relative:page;z-index:-19689984" type="#_x0000_t202" filled="false" stroked="false">
          <v:textbox inset="0,0,0,0">
            <w:txbxContent>
              <w:p>
                <w:pPr>
                  <w:spacing w:line="193" w:lineRule="exact" w:before="0"/>
                  <w:ind w:left="20" w:right="0" w:firstLine="0"/>
                  <w:jc w:val="left"/>
                  <w:rPr>
                    <w:b/>
                    <w:sz w:val="17"/>
                  </w:rPr>
                </w:pPr>
                <w:r>
                  <w:rPr>
                    <w:b/>
                    <w:color w:val="00643E"/>
                    <w:sz w:val="17"/>
                  </w:rPr>
                  <w:t>Pain Management Clinical Committee, 2019</w:t>
                </w:r>
              </w:p>
            </w:txbxContent>
          </v:textbox>
          <w10:wrap type="none"/>
        </v:shape>
      </w:pict>
    </w:r>
    <w:r>
      <w:rPr/>
      <w:pict>
        <v:shape style="position:absolute;margin-left:476.940002pt;margin-top:790.226013pt;width:31.75pt;height:10.55pt;mso-position-horizontal-relative:page;mso-position-vertical-relative:page;z-index:-19689472" type="#_x0000_t202" filled="false" stroked="false">
          <v:textbox inset="0,0,0,0">
            <w:txbxContent>
              <w:p>
                <w:pPr>
                  <w:spacing w:line="193" w:lineRule="exact" w:before="0"/>
                  <w:ind w:left="20" w:right="0" w:firstLine="0"/>
                  <w:jc w:val="left"/>
                  <w:rPr>
                    <w:b/>
                    <w:sz w:val="17"/>
                  </w:rPr>
                </w:pPr>
                <w:r>
                  <w:rPr>
                    <w:b/>
                    <w:color w:val="00643E"/>
                    <w:sz w:val="17"/>
                  </w:rPr>
                  <w:t>Page </w:t>
                </w:r>
                <w:r>
                  <w:rPr/>
                  <w:fldChar w:fldCharType="begin"/>
                </w:r>
                <w:r>
                  <w:rPr>
                    <w:b/>
                    <w:color w:val="00643E"/>
                    <w:sz w:val="17"/>
                  </w:rPr>
                  <w:instrText> PAGE </w:instrText>
                </w:r>
                <w:r>
                  <w:rPr/>
                  <w:fldChar w:fldCharType="separate"/>
                </w:r>
                <w:r>
                  <w:rPr/>
                  <w:t>30</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3.664001pt;margin-top:779.015991pt;width:423.31pt;height:1.44pt;mso-position-horizontal-relative:page;mso-position-vertical-relative:page;z-index:-19686400" filled="true" fillcolor="#bebebe" stroked="false">
          <v:fill type="solid"/>
          <w10:wrap type="none"/>
        </v:rect>
      </w:pict>
    </w:r>
    <w:r>
      <w:rPr/>
      <w:pict>
        <v:shape style="position:absolute;margin-left:84.103996pt;margin-top:790.226013pt;width:156.75pt;height:10.55pt;mso-position-horizontal-relative:page;mso-position-vertical-relative:page;z-index:-19685888" type="#_x0000_t202" filled="false" stroked="false">
          <v:textbox inset="0,0,0,0">
            <w:txbxContent>
              <w:p>
                <w:pPr>
                  <w:spacing w:line="193" w:lineRule="exact" w:before="0"/>
                  <w:ind w:left="20" w:right="0" w:firstLine="0"/>
                  <w:jc w:val="left"/>
                  <w:rPr>
                    <w:b/>
                    <w:sz w:val="17"/>
                  </w:rPr>
                </w:pPr>
                <w:r>
                  <w:rPr>
                    <w:b/>
                    <w:color w:val="00643E"/>
                    <w:sz w:val="17"/>
                  </w:rPr>
                  <w:t>Pain Management Clinical Committee, 2019</w:t>
                </w:r>
              </w:p>
            </w:txbxContent>
          </v:textbox>
          <w10:wrap type="none"/>
        </v:shape>
      </w:pict>
    </w:r>
    <w:r>
      <w:rPr/>
      <w:pict>
        <v:shape style="position:absolute;margin-left:476.940002pt;margin-top:790.226013pt;width:31.75pt;height:10.55pt;mso-position-horizontal-relative:page;mso-position-vertical-relative:page;z-index:-19685376" type="#_x0000_t202" filled="false" stroked="false">
          <v:textbox inset="0,0,0,0">
            <w:txbxContent>
              <w:p>
                <w:pPr>
                  <w:spacing w:line="193" w:lineRule="exact" w:before="0"/>
                  <w:ind w:left="20" w:right="0" w:firstLine="0"/>
                  <w:jc w:val="left"/>
                  <w:rPr>
                    <w:b/>
                    <w:sz w:val="17"/>
                  </w:rPr>
                </w:pPr>
                <w:r>
                  <w:rPr>
                    <w:b/>
                    <w:color w:val="00643E"/>
                    <w:sz w:val="17"/>
                  </w:rPr>
                  <w:t>Page </w:t>
                </w:r>
                <w:r>
                  <w:rPr/>
                  <w:fldChar w:fldCharType="begin"/>
                </w:r>
                <w:r>
                  <w:rPr>
                    <w:b/>
                    <w:color w:val="00643E"/>
                    <w:sz w:val="17"/>
                  </w:rPr>
                  <w:instrText> PAGE </w:instrText>
                </w:r>
                <w:r>
                  <w:rPr/>
                  <w:fldChar w:fldCharType="separate"/>
                </w:r>
                <w:r>
                  <w:rPr/>
                  <w:t>32</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3.664001pt;margin-top:779.015991pt;width:423.31pt;height:1.44pt;mso-position-horizontal-relative:page;mso-position-vertical-relative:page;z-index:-19683840" filled="true" fillcolor="#bebebe" stroked="false">
          <v:fill type="solid"/>
          <w10:wrap type="none"/>
        </v:rect>
      </w:pict>
    </w:r>
    <w:r>
      <w:rPr/>
      <w:pict>
        <v:shape style="position:absolute;margin-left:84.103996pt;margin-top:790.226013pt;width:156.75pt;height:10.55pt;mso-position-horizontal-relative:page;mso-position-vertical-relative:page;z-index:-19683328" type="#_x0000_t202" filled="false" stroked="false">
          <v:textbox inset="0,0,0,0">
            <w:txbxContent>
              <w:p>
                <w:pPr>
                  <w:spacing w:line="193" w:lineRule="exact" w:before="0"/>
                  <w:ind w:left="20" w:right="0" w:firstLine="0"/>
                  <w:jc w:val="left"/>
                  <w:rPr>
                    <w:b/>
                    <w:sz w:val="17"/>
                  </w:rPr>
                </w:pPr>
                <w:r>
                  <w:rPr>
                    <w:b/>
                    <w:color w:val="00643E"/>
                    <w:sz w:val="17"/>
                  </w:rPr>
                  <w:t>Pain Management Clinical Committee, 2019</w:t>
                </w:r>
              </w:p>
            </w:txbxContent>
          </v:textbox>
          <w10:wrap type="none"/>
        </v:shape>
      </w:pict>
    </w:r>
    <w:r>
      <w:rPr/>
      <w:pict>
        <v:shape style="position:absolute;margin-left:476.940002pt;margin-top:790.226013pt;width:31.75pt;height:10.55pt;mso-position-horizontal-relative:page;mso-position-vertical-relative:page;z-index:-19682816" type="#_x0000_t202" filled="false" stroked="false">
          <v:textbox inset="0,0,0,0">
            <w:txbxContent>
              <w:p>
                <w:pPr>
                  <w:spacing w:line="193" w:lineRule="exact" w:before="0"/>
                  <w:ind w:left="20" w:right="0" w:firstLine="0"/>
                  <w:jc w:val="left"/>
                  <w:rPr>
                    <w:b/>
                    <w:sz w:val="17"/>
                  </w:rPr>
                </w:pPr>
                <w:r>
                  <w:rPr>
                    <w:b/>
                    <w:color w:val="00643E"/>
                    <w:sz w:val="17"/>
                  </w:rPr>
                  <w:t>Page </w:t>
                </w:r>
                <w:r>
                  <w:rPr/>
                  <w:fldChar w:fldCharType="begin"/>
                </w:r>
                <w:r>
                  <w:rPr>
                    <w:b/>
                    <w:color w:val="00643E"/>
                    <w:sz w:val="17"/>
                  </w:rPr>
                  <w:instrText> PAGE </w:instrText>
                </w:r>
                <w:r>
                  <w:rPr/>
                  <w:fldChar w:fldCharType="separate"/>
                </w:r>
                <w:r>
                  <w:rPr/>
                  <w:t>33</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3.664001pt;margin-top:779.015991pt;width:423.31pt;height:1.44pt;mso-position-horizontal-relative:page;mso-position-vertical-relative:page;z-index:-19681792" filled="true" fillcolor="#bebebe" stroked="false">
          <v:fill type="solid"/>
          <w10:wrap type="none"/>
        </v:rect>
      </w:pict>
    </w:r>
    <w:r>
      <w:rPr/>
      <w:pict>
        <v:shape style="position:absolute;margin-left:84.103996pt;margin-top:790.226013pt;width:156.75pt;height:10.55pt;mso-position-horizontal-relative:page;mso-position-vertical-relative:page;z-index:-19681280" type="#_x0000_t202" filled="false" stroked="false">
          <v:textbox inset="0,0,0,0">
            <w:txbxContent>
              <w:p>
                <w:pPr>
                  <w:spacing w:line="193" w:lineRule="exact" w:before="0"/>
                  <w:ind w:left="20" w:right="0" w:firstLine="0"/>
                  <w:jc w:val="left"/>
                  <w:rPr>
                    <w:b/>
                    <w:sz w:val="17"/>
                  </w:rPr>
                </w:pPr>
                <w:r>
                  <w:rPr>
                    <w:b/>
                    <w:color w:val="00643E"/>
                    <w:sz w:val="17"/>
                  </w:rPr>
                  <w:t>Pain Management Clinical Committee, 2019</w:t>
                </w:r>
              </w:p>
            </w:txbxContent>
          </v:textbox>
          <w10:wrap type="none"/>
        </v:shape>
      </w:pict>
    </w:r>
    <w:r>
      <w:rPr/>
      <w:pict>
        <v:shape style="position:absolute;margin-left:476.940002pt;margin-top:790.226013pt;width:31.75pt;height:10.55pt;mso-position-horizontal-relative:page;mso-position-vertical-relative:page;z-index:-19680768" type="#_x0000_t202" filled="false" stroked="false">
          <v:textbox inset="0,0,0,0">
            <w:txbxContent>
              <w:p>
                <w:pPr>
                  <w:spacing w:line="193" w:lineRule="exact" w:before="0"/>
                  <w:ind w:left="20" w:right="0" w:firstLine="0"/>
                  <w:jc w:val="left"/>
                  <w:rPr>
                    <w:b/>
                    <w:sz w:val="17"/>
                  </w:rPr>
                </w:pPr>
                <w:r>
                  <w:rPr>
                    <w:b/>
                    <w:color w:val="00643E"/>
                    <w:sz w:val="17"/>
                  </w:rPr>
                  <w:t>Page </w:t>
                </w:r>
                <w:r>
                  <w:rPr/>
                  <w:fldChar w:fldCharType="begin"/>
                </w:r>
                <w:r>
                  <w:rPr>
                    <w:b/>
                    <w:color w:val="00643E"/>
                    <w:sz w:val="17"/>
                  </w:rPr>
                  <w:instrText> PAGE </w:instrText>
                </w:r>
                <w:r>
                  <w:rPr/>
                  <w:fldChar w:fldCharType="separate"/>
                </w:r>
                <w:r>
                  <w:rPr/>
                  <w:t>34</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3.664001pt;margin-top:779.015991pt;width:423.31pt;height:1.44pt;mso-position-horizontal-relative:page;mso-position-vertical-relative:page;z-index:-19678720" filled="true" fillcolor="#bebebe" stroked="false">
          <v:fill type="solid"/>
          <w10:wrap type="none"/>
        </v:rect>
      </w:pict>
    </w:r>
    <w:r>
      <w:rPr/>
      <w:pict>
        <v:shape style="position:absolute;margin-left:84.103996pt;margin-top:790.226013pt;width:156.75pt;height:10.55pt;mso-position-horizontal-relative:page;mso-position-vertical-relative:page;z-index:-19678208" type="#_x0000_t202" filled="false" stroked="false">
          <v:textbox inset="0,0,0,0">
            <w:txbxContent>
              <w:p>
                <w:pPr>
                  <w:spacing w:line="193" w:lineRule="exact" w:before="0"/>
                  <w:ind w:left="20" w:right="0" w:firstLine="0"/>
                  <w:jc w:val="left"/>
                  <w:rPr>
                    <w:b/>
                    <w:sz w:val="17"/>
                  </w:rPr>
                </w:pPr>
                <w:r>
                  <w:rPr>
                    <w:b/>
                    <w:color w:val="00643E"/>
                    <w:sz w:val="17"/>
                  </w:rPr>
                  <w:t>Pain Management Clinical Committee, 2019</w:t>
                </w:r>
              </w:p>
            </w:txbxContent>
          </v:textbox>
          <w10:wrap type="none"/>
        </v:shape>
      </w:pict>
    </w:r>
    <w:r>
      <w:rPr/>
      <w:pict>
        <v:shape style="position:absolute;margin-left:476.940002pt;margin-top:790.226013pt;width:31.75pt;height:10.55pt;mso-position-horizontal-relative:page;mso-position-vertical-relative:page;z-index:-19677696" type="#_x0000_t202" filled="false" stroked="false">
          <v:textbox inset="0,0,0,0">
            <w:txbxContent>
              <w:p>
                <w:pPr>
                  <w:spacing w:line="193" w:lineRule="exact" w:before="0"/>
                  <w:ind w:left="20" w:right="0" w:firstLine="0"/>
                  <w:jc w:val="left"/>
                  <w:rPr>
                    <w:b/>
                    <w:sz w:val="17"/>
                  </w:rPr>
                </w:pPr>
                <w:r>
                  <w:rPr>
                    <w:b/>
                    <w:color w:val="00643E"/>
                    <w:sz w:val="17"/>
                  </w:rPr>
                  <w:t>Page </w:t>
                </w:r>
                <w:r>
                  <w:rPr/>
                  <w:fldChar w:fldCharType="begin"/>
                </w:r>
                <w:r>
                  <w:rPr>
                    <w:b/>
                    <w:color w:val="00643E"/>
                    <w:sz w:val="17"/>
                  </w:rPr>
                  <w:instrText> PAGE </w:instrText>
                </w:r>
                <w:r>
                  <w:rPr/>
                  <w:fldChar w:fldCharType="separate"/>
                </w:r>
                <w:r>
                  <w:rPr/>
                  <w:t>38</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9"/>
      </w:rPr>
    </w:pPr>
    <w:r>
      <w:rPr/>
      <w:pict>
        <v:rect style="position:absolute;margin-left:83.664001pt;margin-top:779.015991pt;width:423.31pt;height:1.44pt;mso-position-horizontal-relative:page;mso-position-vertical-relative:page;z-index:-19676672" filled="true" fillcolor="#bebebe" stroked="false">
          <v:fill type="solid"/>
          <w10:wrap type="none"/>
        </v:rect>
      </w:pict>
    </w:r>
    <w:r>
      <w:rPr/>
      <w:pict>
        <v:shape style="position:absolute;margin-left:84.103996pt;margin-top:790.226013pt;width:156.75pt;height:10.55pt;mso-position-horizontal-relative:page;mso-position-vertical-relative:page;z-index:-19676160" type="#_x0000_t202" filled="false" stroked="false">
          <v:textbox inset="0,0,0,0">
            <w:txbxContent>
              <w:p>
                <w:pPr>
                  <w:spacing w:line="193" w:lineRule="exact" w:before="0"/>
                  <w:ind w:left="20" w:right="0" w:firstLine="0"/>
                  <w:jc w:val="left"/>
                  <w:rPr>
                    <w:b/>
                    <w:sz w:val="17"/>
                  </w:rPr>
                </w:pPr>
                <w:r>
                  <w:rPr>
                    <w:b/>
                    <w:color w:val="00643E"/>
                    <w:sz w:val="17"/>
                  </w:rPr>
                  <w:t>Pain Management Clinical Committee, 2019</w:t>
                </w:r>
              </w:p>
            </w:txbxContent>
          </v:textbox>
          <w10:wrap type="none"/>
        </v:shape>
      </w:pict>
    </w:r>
    <w:r>
      <w:rPr/>
      <w:pict>
        <v:shape style="position:absolute;margin-left:476.940002pt;margin-top:790.226013pt;width:31.75pt;height:10.55pt;mso-position-horizontal-relative:page;mso-position-vertical-relative:page;z-index:-19675648" type="#_x0000_t202" filled="false" stroked="false">
          <v:textbox inset="0,0,0,0">
            <w:txbxContent>
              <w:p>
                <w:pPr>
                  <w:spacing w:line="193" w:lineRule="exact" w:before="0"/>
                  <w:ind w:left="20" w:right="0" w:firstLine="0"/>
                  <w:jc w:val="left"/>
                  <w:rPr>
                    <w:b/>
                    <w:sz w:val="17"/>
                  </w:rPr>
                </w:pPr>
                <w:r>
                  <w:rPr>
                    <w:b/>
                    <w:color w:val="00643E"/>
                    <w:sz w:val="17"/>
                  </w:rPr>
                  <w:t>Page </w:t>
                </w:r>
                <w:r>
                  <w:rPr/>
                  <w:fldChar w:fldCharType="begin"/>
                </w:r>
                <w:r>
                  <w:rPr>
                    <w:b/>
                    <w:color w:val="00643E"/>
                    <w:sz w:val="17"/>
                  </w:rPr>
                  <w:instrText> PAGE </w:instrText>
                </w:r>
                <w:r>
                  <w:rPr/>
                  <w:fldChar w:fldCharType="separate"/>
                </w:r>
                <w:r>
                  <w:rPr/>
                  <w:t>41</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3.664001pt;margin-top:779.015991pt;width:423.31pt;height:1.44pt;mso-position-horizontal-relative:page;mso-position-vertical-relative:page;z-index:-19673600" filled="true" fillcolor="#bebebe" stroked="false">
          <v:fill type="solid"/>
          <w10:wrap type="none"/>
        </v:rect>
      </w:pict>
    </w:r>
    <w:r>
      <w:rPr/>
      <w:pict>
        <v:shape style="position:absolute;margin-left:84.103996pt;margin-top:790.226013pt;width:156.75pt;height:10.55pt;mso-position-horizontal-relative:page;mso-position-vertical-relative:page;z-index:-19673088" type="#_x0000_t202" filled="false" stroked="false">
          <v:textbox inset="0,0,0,0">
            <w:txbxContent>
              <w:p>
                <w:pPr>
                  <w:spacing w:line="193" w:lineRule="exact" w:before="0"/>
                  <w:ind w:left="20" w:right="0" w:firstLine="0"/>
                  <w:jc w:val="left"/>
                  <w:rPr>
                    <w:b/>
                    <w:sz w:val="17"/>
                  </w:rPr>
                </w:pPr>
                <w:r>
                  <w:rPr>
                    <w:b/>
                    <w:color w:val="00643E"/>
                    <w:sz w:val="17"/>
                  </w:rPr>
                  <w:t>Pain Management Clinical Committee, 2019</w:t>
                </w:r>
              </w:p>
            </w:txbxContent>
          </v:textbox>
          <w10:wrap type="none"/>
        </v:shape>
      </w:pict>
    </w:r>
    <w:r>
      <w:rPr/>
      <w:pict>
        <v:shape style="position:absolute;margin-left:476.940002pt;margin-top:790.226013pt;width:31.75pt;height:10.55pt;mso-position-horizontal-relative:page;mso-position-vertical-relative:page;z-index:-19672576" type="#_x0000_t202" filled="false" stroked="false">
          <v:textbox inset="0,0,0,0">
            <w:txbxContent>
              <w:p>
                <w:pPr>
                  <w:spacing w:line="193" w:lineRule="exact" w:before="0"/>
                  <w:ind w:left="20" w:right="0" w:firstLine="0"/>
                  <w:jc w:val="left"/>
                  <w:rPr>
                    <w:b/>
                    <w:sz w:val="17"/>
                  </w:rPr>
                </w:pPr>
                <w:r>
                  <w:rPr>
                    <w:b/>
                    <w:color w:val="00643E"/>
                    <w:sz w:val="17"/>
                  </w:rPr>
                  <w:t>Page </w:t>
                </w:r>
                <w:r>
                  <w:rPr/>
                  <w:fldChar w:fldCharType="begin"/>
                </w:r>
                <w:r>
                  <w:rPr>
                    <w:b/>
                    <w:color w:val="00643E"/>
                    <w:sz w:val="17"/>
                  </w:rPr>
                  <w:instrText> PAGE </w:instrText>
                </w:r>
                <w:r>
                  <w:rPr/>
                  <w:fldChar w:fldCharType="separate"/>
                </w:r>
                <w:r>
                  <w:rPr/>
                  <w:t>43</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8.903999pt;margin-top:790.226013pt;width:156.75pt;height:10.55pt;mso-position-horizontal-relative:page;mso-position-vertical-relative:page;z-index:-19718656" type="#_x0000_t202" filled="false" stroked="false">
          <v:textbox inset="0,0,0,0">
            <w:txbxContent>
              <w:p>
                <w:pPr>
                  <w:spacing w:line="193" w:lineRule="exact" w:before="0"/>
                  <w:ind w:left="20" w:right="0" w:firstLine="0"/>
                  <w:jc w:val="left"/>
                  <w:rPr>
                    <w:b/>
                    <w:sz w:val="17"/>
                  </w:rPr>
                </w:pPr>
                <w:r>
                  <w:rPr>
                    <w:b/>
                    <w:color w:val="00643E"/>
                    <w:sz w:val="17"/>
                  </w:rPr>
                  <w:t>Pain Management Clinical Committee, 2019</w:t>
                </w:r>
              </w:p>
            </w:txbxContent>
          </v:textbox>
          <w10:wrap type="none"/>
        </v:shape>
      </w:pict>
    </w:r>
    <w:r>
      <w:rPr/>
      <w:pict>
        <v:shape style="position:absolute;margin-left:481.26001pt;margin-top:790.226013pt;width:25.4pt;height:10.55pt;mso-position-horizontal-relative:page;mso-position-vertical-relative:page;z-index:-19718144" type="#_x0000_t202" filled="false" stroked="false">
          <v:textbox inset="0,0,0,0">
            <w:txbxContent>
              <w:p>
                <w:pPr>
                  <w:spacing w:line="193" w:lineRule="exact" w:before="0"/>
                  <w:ind w:left="20" w:right="0" w:firstLine="0"/>
                  <w:jc w:val="left"/>
                  <w:rPr>
                    <w:b/>
                    <w:sz w:val="17"/>
                  </w:rPr>
                </w:pPr>
                <w:r>
                  <w:rPr>
                    <w:b/>
                    <w:color w:val="00643E"/>
                    <w:sz w:val="17"/>
                  </w:rPr>
                  <w:t>Page 4</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3.664001pt;margin-top:779.015991pt;width:423.31pt;height:1.44pt;mso-position-horizontal-relative:page;mso-position-vertical-relative:page;z-index:-19671552" filled="true" fillcolor="#bebebe" stroked="false">
          <v:fill type="solid"/>
          <w10:wrap type="none"/>
        </v:rect>
      </w:pict>
    </w:r>
    <w:r>
      <w:rPr/>
      <w:pict>
        <v:shape style="position:absolute;margin-left:84.103996pt;margin-top:790.226013pt;width:156.75pt;height:10.55pt;mso-position-horizontal-relative:page;mso-position-vertical-relative:page;z-index:-19671040" type="#_x0000_t202" filled="false" stroked="false">
          <v:textbox inset="0,0,0,0">
            <w:txbxContent>
              <w:p>
                <w:pPr>
                  <w:spacing w:line="193" w:lineRule="exact" w:before="0"/>
                  <w:ind w:left="20" w:right="0" w:firstLine="0"/>
                  <w:jc w:val="left"/>
                  <w:rPr>
                    <w:b/>
                    <w:sz w:val="17"/>
                  </w:rPr>
                </w:pPr>
                <w:r>
                  <w:rPr>
                    <w:b/>
                    <w:color w:val="00643E"/>
                    <w:sz w:val="17"/>
                  </w:rPr>
                  <w:t>Pain Management Clinical Committee, 2019</w:t>
                </w:r>
              </w:p>
            </w:txbxContent>
          </v:textbox>
          <w10:wrap type="none"/>
        </v:shape>
      </w:pict>
    </w:r>
    <w:r>
      <w:rPr/>
      <w:pict>
        <v:shape style="position:absolute;margin-left:476.940002pt;margin-top:790.226013pt;width:31.75pt;height:10.55pt;mso-position-horizontal-relative:page;mso-position-vertical-relative:page;z-index:-19670528" type="#_x0000_t202" filled="false" stroked="false">
          <v:textbox inset="0,0,0,0">
            <w:txbxContent>
              <w:p>
                <w:pPr>
                  <w:spacing w:line="193" w:lineRule="exact" w:before="0"/>
                  <w:ind w:left="20" w:right="0" w:firstLine="0"/>
                  <w:jc w:val="left"/>
                  <w:rPr>
                    <w:b/>
                    <w:sz w:val="17"/>
                  </w:rPr>
                </w:pPr>
                <w:r>
                  <w:rPr>
                    <w:b/>
                    <w:color w:val="00643E"/>
                    <w:sz w:val="17"/>
                  </w:rPr>
                  <w:t>Page </w:t>
                </w:r>
                <w:r>
                  <w:rPr/>
                  <w:fldChar w:fldCharType="begin"/>
                </w:r>
                <w:r>
                  <w:rPr>
                    <w:b/>
                    <w:color w:val="00643E"/>
                    <w:sz w:val="17"/>
                  </w:rPr>
                  <w:instrText> PAGE </w:instrText>
                </w:r>
                <w:r>
                  <w:rPr/>
                  <w:fldChar w:fldCharType="separate"/>
                </w:r>
                <w:r>
                  <w:rPr/>
                  <w:t>44</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3.664001pt;margin-top:779.015991pt;width:423.31pt;height:1.44pt;mso-position-horizontal-relative:page;mso-position-vertical-relative:page;z-index:-19668992" filled="true" fillcolor="#bebebe" stroked="false">
          <v:fill type="solid"/>
          <w10:wrap type="none"/>
        </v:rect>
      </w:pict>
    </w:r>
    <w:r>
      <w:rPr/>
      <w:pict>
        <v:shape style="position:absolute;margin-left:84.103996pt;margin-top:790.226013pt;width:156.75pt;height:10.55pt;mso-position-horizontal-relative:page;mso-position-vertical-relative:page;z-index:-19668480" type="#_x0000_t202" filled="false" stroked="false">
          <v:textbox inset="0,0,0,0">
            <w:txbxContent>
              <w:p>
                <w:pPr>
                  <w:spacing w:line="193" w:lineRule="exact" w:before="0"/>
                  <w:ind w:left="20" w:right="0" w:firstLine="0"/>
                  <w:jc w:val="left"/>
                  <w:rPr>
                    <w:b/>
                    <w:sz w:val="17"/>
                  </w:rPr>
                </w:pPr>
                <w:r>
                  <w:rPr>
                    <w:b/>
                    <w:color w:val="00643E"/>
                    <w:sz w:val="17"/>
                  </w:rPr>
                  <w:t>Pain Management Clinical Committee, 2019</w:t>
                </w:r>
              </w:p>
            </w:txbxContent>
          </v:textbox>
          <w10:wrap type="none"/>
        </v:shape>
      </w:pict>
    </w:r>
    <w:r>
      <w:rPr/>
      <w:pict>
        <v:shape style="position:absolute;margin-left:476.940002pt;margin-top:790.226013pt;width:31.75pt;height:10.55pt;mso-position-horizontal-relative:page;mso-position-vertical-relative:page;z-index:-19667968" type="#_x0000_t202" filled="false" stroked="false">
          <v:textbox inset="0,0,0,0">
            <w:txbxContent>
              <w:p>
                <w:pPr>
                  <w:spacing w:line="193" w:lineRule="exact" w:before="0"/>
                  <w:ind w:left="20" w:right="0" w:firstLine="0"/>
                  <w:jc w:val="left"/>
                  <w:rPr>
                    <w:b/>
                    <w:sz w:val="17"/>
                  </w:rPr>
                </w:pPr>
                <w:r>
                  <w:rPr>
                    <w:b/>
                    <w:color w:val="00643E"/>
                    <w:sz w:val="17"/>
                  </w:rPr>
                  <w:t>Page </w:t>
                </w:r>
                <w:r>
                  <w:rPr/>
                  <w:fldChar w:fldCharType="begin"/>
                </w:r>
                <w:r>
                  <w:rPr>
                    <w:b/>
                    <w:color w:val="00643E"/>
                    <w:sz w:val="17"/>
                  </w:rPr>
                  <w:instrText> PAGE </w:instrText>
                </w:r>
                <w:r>
                  <w:rPr/>
                  <w:fldChar w:fldCharType="separate"/>
                </w:r>
                <w:r>
                  <w:rPr/>
                  <w:t>45</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3.664001pt;margin-top:779.015991pt;width:423.31pt;height:1.44pt;mso-position-horizontal-relative:page;mso-position-vertical-relative:page;z-index:-19666944" filled="true" fillcolor="#bebebe" stroked="false">
          <v:fill type="solid"/>
          <w10:wrap type="none"/>
        </v:rect>
      </w:pict>
    </w:r>
    <w:r>
      <w:rPr/>
      <w:pict>
        <v:shape style="position:absolute;margin-left:84.103996pt;margin-top:790.226013pt;width:156.75pt;height:10.55pt;mso-position-horizontal-relative:page;mso-position-vertical-relative:page;z-index:-19666432" type="#_x0000_t202" filled="false" stroked="false">
          <v:textbox inset="0,0,0,0">
            <w:txbxContent>
              <w:p>
                <w:pPr>
                  <w:spacing w:line="193" w:lineRule="exact" w:before="0"/>
                  <w:ind w:left="20" w:right="0" w:firstLine="0"/>
                  <w:jc w:val="left"/>
                  <w:rPr>
                    <w:b/>
                    <w:sz w:val="17"/>
                  </w:rPr>
                </w:pPr>
                <w:r>
                  <w:rPr>
                    <w:b/>
                    <w:color w:val="00643E"/>
                    <w:sz w:val="17"/>
                  </w:rPr>
                  <w:t>Pain Management Clinical Committee, 2019</w:t>
                </w:r>
              </w:p>
            </w:txbxContent>
          </v:textbox>
          <w10:wrap type="none"/>
        </v:shape>
      </w:pict>
    </w:r>
    <w:r>
      <w:rPr/>
      <w:pict>
        <v:shape style="position:absolute;margin-left:476.940002pt;margin-top:790.226013pt;width:31.75pt;height:10.55pt;mso-position-horizontal-relative:page;mso-position-vertical-relative:page;z-index:-19665920" type="#_x0000_t202" filled="false" stroked="false">
          <v:textbox inset="0,0,0,0">
            <w:txbxContent>
              <w:p>
                <w:pPr>
                  <w:spacing w:line="193" w:lineRule="exact" w:before="0"/>
                  <w:ind w:left="20" w:right="0" w:firstLine="0"/>
                  <w:jc w:val="left"/>
                  <w:rPr>
                    <w:b/>
                    <w:sz w:val="17"/>
                  </w:rPr>
                </w:pPr>
                <w:r>
                  <w:rPr>
                    <w:b/>
                    <w:color w:val="00643E"/>
                    <w:sz w:val="17"/>
                  </w:rPr>
                  <w:t>Page </w:t>
                </w:r>
                <w:r>
                  <w:rPr/>
                  <w:fldChar w:fldCharType="begin"/>
                </w:r>
                <w:r>
                  <w:rPr>
                    <w:b/>
                    <w:color w:val="00643E"/>
                    <w:sz w:val="17"/>
                  </w:rPr>
                  <w:instrText> PAGE </w:instrText>
                </w:r>
                <w:r>
                  <w:rPr/>
                  <w:fldChar w:fldCharType="separate"/>
                </w:r>
                <w:r>
                  <w:rPr/>
                  <w:t>46</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3.664001pt;margin-top:779.015991pt;width:423.31pt;height:1.44pt;mso-position-horizontal-relative:page;mso-position-vertical-relative:page;z-index:-19664384" filled="true" fillcolor="#bebebe" stroked="false">
          <v:fill type="solid"/>
          <w10:wrap type="none"/>
        </v:rect>
      </w:pict>
    </w:r>
    <w:r>
      <w:rPr/>
      <w:pict>
        <v:shape style="position:absolute;margin-left:84.103996pt;margin-top:790.226013pt;width:156.75pt;height:10.55pt;mso-position-horizontal-relative:page;mso-position-vertical-relative:page;z-index:-19663872" type="#_x0000_t202" filled="false" stroked="false">
          <v:textbox inset="0,0,0,0">
            <w:txbxContent>
              <w:p>
                <w:pPr>
                  <w:spacing w:line="193" w:lineRule="exact" w:before="0"/>
                  <w:ind w:left="20" w:right="0" w:firstLine="0"/>
                  <w:jc w:val="left"/>
                  <w:rPr>
                    <w:b/>
                    <w:sz w:val="17"/>
                  </w:rPr>
                </w:pPr>
                <w:r>
                  <w:rPr>
                    <w:b/>
                    <w:color w:val="00643E"/>
                    <w:sz w:val="17"/>
                  </w:rPr>
                  <w:t>Pain Management Clinical Committee, 2019</w:t>
                </w:r>
              </w:p>
            </w:txbxContent>
          </v:textbox>
          <w10:wrap type="none"/>
        </v:shape>
      </w:pict>
    </w:r>
    <w:r>
      <w:rPr/>
      <w:pict>
        <v:shape style="position:absolute;margin-left:476.940002pt;margin-top:790.226013pt;width:31.75pt;height:10.55pt;mso-position-horizontal-relative:page;mso-position-vertical-relative:page;z-index:-19663360" type="#_x0000_t202" filled="false" stroked="false">
          <v:textbox inset="0,0,0,0">
            <w:txbxContent>
              <w:p>
                <w:pPr>
                  <w:spacing w:line="193" w:lineRule="exact" w:before="0"/>
                  <w:ind w:left="20" w:right="0" w:firstLine="0"/>
                  <w:jc w:val="left"/>
                  <w:rPr>
                    <w:b/>
                    <w:sz w:val="17"/>
                  </w:rPr>
                </w:pPr>
                <w:r>
                  <w:rPr>
                    <w:b/>
                    <w:color w:val="00643E"/>
                    <w:sz w:val="17"/>
                  </w:rPr>
                  <w:t>Page </w:t>
                </w:r>
                <w:r>
                  <w:rPr/>
                  <w:fldChar w:fldCharType="begin"/>
                </w:r>
                <w:r>
                  <w:rPr>
                    <w:b/>
                    <w:color w:val="00643E"/>
                    <w:sz w:val="17"/>
                  </w:rPr>
                  <w:instrText> PAGE </w:instrText>
                </w:r>
                <w:r>
                  <w:rPr/>
                  <w:fldChar w:fldCharType="separate"/>
                </w:r>
                <w:r>
                  <w:rPr/>
                  <w:t>48</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3.664001pt;margin-top:779.015991pt;width:423.31pt;height:1.44pt;mso-position-horizontal-relative:page;mso-position-vertical-relative:page;z-index:-19662336" filled="true" fillcolor="#bebebe" stroked="false">
          <v:fill type="solid"/>
          <w10:wrap type="none"/>
        </v:rect>
      </w:pict>
    </w:r>
    <w:r>
      <w:rPr/>
      <w:pict>
        <v:shape style="position:absolute;margin-left:84.103996pt;margin-top:790.226013pt;width:156.75pt;height:10.55pt;mso-position-horizontal-relative:page;mso-position-vertical-relative:page;z-index:-19661824" type="#_x0000_t202" filled="false" stroked="false">
          <v:textbox inset="0,0,0,0">
            <w:txbxContent>
              <w:p>
                <w:pPr>
                  <w:spacing w:line="193" w:lineRule="exact" w:before="0"/>
                  <w:ind w:left="20" w:right="0" w:firstLine="0"/>
                  <w:jc w:val="left"/>
                  <w:rPr>
                    <w:b/>
                    <w:sz w:val="17"/>
                  </w:rPr>
                </w:pPr>
                <w:r>
                  <w:rPr>
                    <w:b/>
                    <w:color w:val="00643E"/>
                    <w:sz w:val="17"/>
                  </w:rPr>
                  <w:t>Pain Management Clinical Committee, 2019</w:t>
                </w:r>
              </w:p>
            </w:txbxContent>
          </v:textbox>
          <w10:wrap type="none"/>
        </v:shape>
      </w:pict>
    </w:r>
    <w:r>
      <w:rPr/>
      <w:pict>
        <v:shape style="position:absolute;margin-left:476.940002pt;margin-top:790.226013pt;width:31.75pt;height:10.55pt;mso-position-horizontal-relative:page;mso-position-vertical-relative:page;z-index:-19661312" type="#_x0000_t202" filled="false" stroked="false">
          <v:textbox inset="0,0,0,0">
            <w:txbxContent>
              <w:p>
                <w:pPr>
                  <w:spacing w:line="193" w:lineRule="exact" w:before="0"/>
                  <w:ind w:left="20" w:right="0" w:firstLine="0"/>
                  <w:jc w:val="left"/>
                  <w:rPr>
                    <w:b/>
                    <w:sz w:val="17"/>
                  </w:rPr>
                </w:pPr>
                <w:r>
                  <w:rPr>
                    <w:b/>
                    <w:color w:val="00643E"/>
                    <w:sz w:val="17"/>
                  </w:rPr>
                  <w:t>Page </w:t>
                </w:r>
                <w:r>
                  <w:rPr/>
                  <w:fldChar w:fldCharType="begin"/>
                </w:r>
                <w:r>
                  <w:rPr>
                    <w:b/>
                    <w:color w:val="00643E"/>
                    <w:sz w:val="17"/>
                  </w:rPr>
                  <w:instrText> PAGE </w:instrText>
                </w:r>
                <w:r>
                  <w:rPr/>
                  <w:fldChar w:fldCharType="separate"/>
                </w:r>
                <w:r>
                  <w:rPr/>
                  <w:t>50</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3.664001pt;margin-top:779.015991pt;width:423.31pt;height:1.44pt;mso-position-horizontal-relative:page;mso-position-vertical-relative:page;z-index:-19658752" filled="true" fillcolor="#bebebe" stroked="false">
          <v:fill type="solid"/>
          <w10:wrap type="none"/>
        </v:rect>
      </w:pict>
    </w:r>
    <w:r>
      <w:rPr/>
      <w:pict>
        <v:shape style="position:absolute;margin-left:84.103996pt;margin-top:790.226013pt;width:156.75pt;height:10.55pt;mso-position-horizontal-relative:page;mso-position-vertical-relative:page;z-index:-19658240" type="#_x0000_t202" filled="false" stroked="false">
          <v:textbox inset="0,0,0,0">
            <w:txbxContent>
              <w:p>
                <w:pPr>
                  <w:spacing w:line="193" w:lineRule="exact" w:before="0"/>
                  <w:ind w:left="20" w:right="0" w:firstLine="0"/>
                  <w:jc w:val="left"/>
                  <w:rPr>
                    <w:b/>
                    <w:sz w:val="17"/>
                  </w:rPr>
                </w:pPr>
                <w:r>
                  <w:rPr>
                    <w:b/>
                    <w:color w:val="00643E"/>
                    <w:sz w:val="17"/>
                  </w:rPr>
                  <w:t>Pain Management Clinical Committee, 2019</w:t>
                </w:r>
              </w:p>
            </w:txbxContent>
          </v:textbox>
          <w10:wrap type="none"/>
        </v:shape>
      </w:pict>
    </w:r>
    <w:r>
      <w:rPr/>
      <w:pict>
        <v:shape style="position:absolute;margin-left:476.940002pt;margin-top:790.226013pt;width:31.75pt;height:10.55pt;mso-position-horizontal-relative:page;mso-position-vertical-relative:page;z-index:-19657728" type="#_x0000_t202" filled="false" stroked="false">
          <v:textbox inset="0,0,0,0">
            <w:txbxContent>
              <w:p>
                <w:pPr>
                  <w:spacing w:line="193" w:lineRule="exact" w:before="0"/>
                  <w:ind w:left="20" w:right="0" w:firstLine="0"/>
                  <w:jc w:val="left"/>
                  <w:rPr>
                    <w:b/>
                    <w:sz w:val="17"/>
                  </w:rPr>
                </w:pPr>
                <w:r>
                  <w:rPr>
                    <w:b/>
                    <w:color w:val="00643E"/>
                    <w:sz w:val="17"/>
                  </w:rPr>
                  <w:t>Page </w:t>
                </w:r>
                <w:r>
                  <w:rPr/>
                  <w:fldChar w:fldCharType="begin"/>
                </w:r>
                <w:r>
                  <w:rPr>
                    <w:b/>
                    <w:color w:val="00643E"/>
                    <w:sz w:val="17"/>
                  </w:rPr>
                  <w:instrText> PAGE </w:instrText>
                </w:r>
                <w:r>
                  <w:rPr/>
                  <w:fldChar w:fldCharType="separate"/>
                </w:r>
                <w:r>
                  <w:rPr/>
                  <w:t>51</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3.664001pt;margin-top:779.015991pt;width:423.31pt;height:1.44pt;mso-position-horizontal-relative:page;mso-position-vertical-relative:page;z-index:-19656704" filled="true" fillcolor="#bebebe" stroked="false">
          <v:fill type="solid"/>
          <w10:wrap type="none"/>
        </v:rect>
      </w:pict>
    </w:r>
    <w:r>
      <w:rPr/>
      <w:pict>
        <v:shape style="position:absolute;margin-left:84.103996pt;margin-top:790.226013pt;width:156.75pt;height:10.55pt;mso-position-horizontal-relative:page;mso-position-vertical-relative:page;z-index:-19656192" type="#_x0000_t202" filled="false" stroked="false">
          <v:textbox inset="0,0,0,0">
            <w:txbxContent>
              <w:p>
                <w:pPr>
                  <w:spacing w:line="193" w:lineRule="exact" w:before="0"/>
                  <w:ind w:left="20" w:right="0" w:firstLine="0"/>
                  <w:jc w:val="left"/>
                  <w:rPr>
                    <w:b/>
                    <w:sz w:val="17"/>
                  </w:rPr>
                </w:pPr>
                <w:r>
                  <w:rPr>
                    <w:b/>
                    <w:color w:val="00643E"/>
                    <w:sz w:val="17"/>
                  </w:rPr>
                  <w:t>Pain Management Clinical Committee, 2019</w:t>
                </w:r>
              </w:p>
            </w:txbxContent>
          </v:textbox>
          <w10:wrap type="none"/>
        </v:shape>
      </w:pict>
    </w:r>
    <w:r>
      <w:rPr/>
      <w:pict>
        <v:shape style="position:absolute;margin-left:476.940002pt;margin-top:790.226013pt;width:31.75pt;height:10.55pt;mso-position-horizontal-relative:page;mso-position-vertical-relative:page;z-index:-19655680" type="#_x0000_t202" filled="false" stroked="false">
          <v:textbox inset="0,0,0,0">
            <w:txbxContent>
              <w:p>
                <w:pPr>
                  <w:spacing w:line="193" w:lineRule="exact" w:before="0"/>
                  <w:ind w:left="20" w:right="0" w:firstLine="0"/>
                  <w:jc w:val="left"/>
                  <w:rPr>
                    <w:b/>
                    <w:sz w:val="17"/>
                  </w:rPr>
                </w:pPr>
                <w:r>
                  <w:rPr>
                    <w:b/>
                    <w:color w:val="00643E"/>
                    <w:sz w:val="17"/>
                  </w:rPr>
                  <w:t>Page </w:t>
                </w:r>
                <w:r>
                  <w:rPr/>
                  <w:fldChar w:fldCharType="begin"/>
                </w:r>
                <w:r>
                  <w:rPr>
                    <w:b/>
                    <w:color w:val="00643E"/>
                    <w:sz w:val="17"/>
                  </w:rPr>
                  <w:instrText> PAGE </w:instrText>
                </w:r>
                <w:r>
                  <w:rPr/>
                  <w:fldChar w:fldCharType="separate"/>
                </w:r>
                <w:r>
                  <w:rPr/>
                  <w:t>52</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3.664001pt;margin-top:779.015991pt;width:423.31pt;height:1.44pt;mso-position-horizontal-relative:page;mso-position-vertical-relative:page;z-index:-19654144" filled="true" fillcolor="#bebebe" stroked="false">
          <v:fill type="solid"/>
          <w10:wrap type="none"/>
        </v:rect>
      </w:pict>
    </w:r>
    <w:r>
      <w:rPr/>
      <w:pict>
        <v:shape style="position:absolute;margin-left:84.103996pt;margin-top:790.226013pt;width:156.75pt;height:10.55pt;mso-position-horizontal-relative:page;mso-position-vertical-relative:page;z-index:-19653632" type="#_x0000_t202" filled="false" stroked="false">
          <v:textbox inset="0,0,0,0">
            <w:txbxContent>
              <w:p>
                <w:pPr>
                  <w:spacing w:line="193" w:lineRule="exact" w:before="0"/>
                  <w:ind w:left="20" w:right="0" w:firstLine="0"/>
                  <w:jc w:val="left"/>
                  <w:rPr>
                    <w:b/>
                    <w:sz w:val="17"/>
                  </w:rPr>
                </w:pPr>
                <w:r>
                  <w:rPr>
                    <w:b/>
                    <w:color w:val="00643E"/>
                    <w:sz w:val="17"/>
                  </w:rPr>
                  <w:t>Pain Management Clinical Committee, 2019</w:t>
                </w:r>
              </w:p>
            </w:txbxContent>
          </v:textbox>
          <w10:wrap type="none"/>
        </v:shape>
      </w:pict>
    </w:r>
    <w:r>
      <w:rPr/>
      <w:pict>
        <v:shape style="position:absolute;margin-left:476.940002pt;margin-top:790.226013pt;width:31.75pt;height:10.55pt;mso-position-horizontal-relative:page;mso-position-vertical-relative:page;z-index:-19653120" type="#_x0000_t202" filled="false" stroked="false">
          <v:textbox inset="0,0,0,0">
            <w:txbxContent>
              <w:p>
                <w:pPr>
                  <w:spacing w:line="193" w:lineRule="exact" w:before="0"/>
                  <w:ind w:left="20" w:right="0" w:firstLine="0"/>
                  <w:jc w:val="left"/>
                  <w:rPr>
                    <w:b/>
                    <w:sz w:val="17"/>
                  </w:rPr>
                </w:pPr>
                <w:r>
                  <w:rPr>
                    <w:b/>
                    <w:color w:val="00643E"/>
                    <w:sz w:val="17"/>
                  </w:rPr>
                  <w:t>Page </w:t>
                </w:r>
                <w:r>
                  <w:rPr/>
                  <w:fldChar w:fldCharType="begin"/>
                </w:r>
                <w:r>
                  <w:rPr>
                    <w:b/>
                    <w:color w:val="00643E"/>
                    <w:sz w:val="17"/>
                  </w:rPr>
                  <w:instrText> PAGE </w:instrText>
                </w:r>
                <w:r>
                  <w:rPr/>
                  <w:fldChar w:fldCharType="separate"/>
                </w:r>
                <w:r>
                  <w:rPr/>
                  <w:t>54</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3.664001pt;margin-top:779.015991pt;width:423.31pt;height:1.44pt;mso-position-horizontal-relative:page;mso-position-vertical-relative:page;z-index:-19652096" filled="true" fillcolor="#bebebe" stroked="false">
          <v:fill type="solid"/>
          <w10:wrap type="none"/>
        </v:rect>
      </w:pict>
    </w:r>
    <w:r>
      <w:rPr/>
      <w:pict>
        <v:shape style="position:absolute;margin-left:84.103996pt;margin-top:790.226013pt;width:156.75pt;height:10.55pt;mso-position-horizontal-relative:page;mso-position-vertical-relative:page;z-index:-19651584" type="#_x0000_t202" filled="false" stroked="false">
          <v:textbox inset="0,0,0,0">
            <w:txbxContent>
              <w:p>
                <w:pPr>
                  <w:spacing w:line="193" w:lineRule="exact" w:before="0"/>
                  <w:ind w:left="20" w:right="0" w:firstLine="0"/>
                  <w:jc w:val="left"/>
                  <w:rPr>
                    <w:b/>
                    <w:sz w:val="17"/>
                  </w:rPr>
                </w:pPr>
                <w:r>
                  <w:rPr>
                    <w:b/>
                    <w:color w:val="00643E"/>
                    <w:sz w:val="17"/>
                  </w:rPr>
                  <w:t>Pain Management Clinical Committee, 2019</w:t>
                </w:r>
              </w:p>
            </w:txbxContent>
          </v:textbox>
          <w10:wrap type="none"/>
        </v:shape>
      </w:pict>
    </w:r>
    <w:r>
      <w:rPr/>
      <w:pict>
        <v:shape style="position:absolute;margin-left:476.940002pt;margin-top:790.226013pt;width:31.75pt;height:10.55pt;mso-position-horizontal-relative:page;mso-position-vertical-relative:page;z-index:-19651072" type="#_x0000_t202" filled="false" stroked="false">
          <v:textbox inset="0,0,0,0">
            <w:txbxContent>
              <w:p>
                <w:pPr>
                  <w:spacing w:line="193" w:lineRule="exact" w:before="0"/>
                  <w:ind w:left="20" w:right="0" w:firstLine="0"/>
                  <w:jc w:val="left"/>
                  <w:rPr>
                    <w:b/>
                    <w:sz w:val="17"/>
                  </w:rPr>
                </w:pPr>
                <w:r>
                  <w:rPr>
                    <w:b/>
                    <w:color w:val="00643E"/>
                    <w:sz w:val="17"/>
                  </w:rPr>
                  <w:t>Page </w:t>
                </w:r>
                <w:r>
                  <w:rPr/>
                  <w:fldChar w:fldCharType="begin"/>
                </w:r>
                <w:r>
                  <w:rPr>
                    <w:b/>
                    <w:color w:val="00643E"/>
                    <w:sz w:val="17"/>
                  </w:rPr>
                  <w:instrText> PAGE </w:instrText>
                </w:r>
                <w:r>
                  <w:rPr/>
                  <w:fldChar w:fldCharType="separate"/>
                </w:r>
                <w:r>
                  <w:rPr/>
                  <w:t>55</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3.664001pt;margin-top:779.015991pt;width:423.31pt;height:1.44pt;mso-position-horizontal-relative:page;mso-position-vertical-relative:page;z-index:-19649536" filled="true" fillcolor="#bebebe" stroked="false">
          <v:fill type="solid"/>
          <w10:wrap type="none"/>
        </v:rect>
      </w:pict>
    </w:r>
    <w:r>
      <w:rPr/>
      <w:pict>
        <v:shape style="position:absolute;margin-left:84.103996pt;margin-top:790.226013pt;width:156.75pt;height:10.55pt;mso-position-horizontal-relative:page;mso-position-vertical-relative:page;z-index:-19649024" type="#_x0000_t202" filled="false" stroked="false">
          <v:textbox inset="0,0,0,0">
            <w:txbxContent>
              <w:p>
                <w:pPr>
                  <w:spacing w:line="193" w:lineRule="exact" w:before="0"/>
                  <w:ind w:left="20" w:right="0" w:firstLine="0"/>
                  <w:jc w:val="left"/>
                  <w:rPr>
                    <w:b/>
                    <w:sz w:val="17"/>
                  </w:rPr>
                </w:pPr>
                <w:r>
                  <w:rPr>
                    <w:b/>
                    <w:color w:val="00643E"/>
                    <w:sz w:val="17"/>
                  </w:rPr>
                  <w:t>Pain Management Clinical Committee, 2019</w:t>
                </w:r>
              </w:p>
            </w:txbxContent>
          </v:textbox>
          <w10:wrap type="none"/>
        </v:shape>
      </w:pict>
    </w:r>
    <w:r>
      <w:rPr/>
      <w:pict>
        <v:shape style="position:absolute;margin-left:476.940002pt;margin-top:790.226013pt;width:31.75pt;height:10.55pt;mso-position-horizontal-relative:page;mso-position-vertical-relative:page;z-index:-19648512" type="#_x0000_t202" filled="false" stroked="false">
          <v:textbox inset="0,0,0,0">
            <w:txbxContent>
              <w:p>
                <w:pPr>
                  <w:spacing w:line="193" w:lineRule="exact" w:before="0"/>
                  <w:ind w:left="20" w:right="0" w:firstLine="0"/>
                  <w:jc w:val="left"/>
                  <w:rPr>
                    <w:b/>
                    <w:sz w:val="17"/>
                  </w:rPr>
                </w:pPr>
                <w:r>
                  <w:rPr>
                    <w:b/>
                    <w:color w:val="00643E"/>
                    <w:sz w:val="17"/>
                  </w:rPr>
                  <w:t>Page </w:t>
                </w:r>
                <w:r>
                  <w:rPr/>
                  <w:fldChar w:fldCharType="begin"/>
                </w:r>
                <w:r>
                  <w:rPr>
                    <w:b/>
                    <w:color w:val="00643E"/>
                    <w:sz w:val="17"/>
                  </w:rPr>
                  <w:instrText> PAGE </w:instrText>
                </w:r>
                <w:r>
                  <w:rPr/>
                  <w:fldChar w:fldCharType="separate"/>
                </w:r>
                <w:r>
                  <w:rPr/>
                  <w:t>56</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463997pt;margin-top:779.015991pt;width:418.51pt;height:1.44pt;mso-position-horizontal-relative:page;mso-position-vertical-relative:page;z-index:-19717120" filled="true" fillcolor="#bebebe" stroked="false">
          <v:fill type="solid"/>
          <w10:wrap type="none"/>
        </v:rect>
      </w:pict>
    </w:r>
    <w:r>
      <w:rPr/>
      <w:pict>
        <v:shape style="position:absolute;margin-left:88.903999pt;margin-top:790.226013pt;width:156.75pt;height:10.55pt;mso-position-horizontal-relative:page;mso-position-vertical-relative:page;z-index:-19716608" type="#_x0000_t202" filled="false" stroked="false">
          <v:textbox inset="0,0,0,0">
            <w:txbxContent>
              <w:p>
                <w:pPr>
                  <w:spacing w:line="193" w:lineRule="exact" w:before="0"/>
                  <w:ind w:left="20" w:right="0" w:firstLine="0"/>
                  <w:jc w:val="left"/>
                  <w:rPr>
                    <w:b/>
                    <w:sz w:val="17"/>
                  </w:rPr>
                </w:pPr>
                <w:r>
                  <w:rPr>
                    <w:b/>
                    <w:color w:val="00643E"/>
                    <w:sz w:val="17"/>
                  </w:rPr>
                  <w:t>Pain Management Clinical Committee, 2019</w:t>
                </w:r>
              </w:p>
            </w:txbxContent>
          </v:textbox>
          <w10:wrap type="none"/>
        </v:shape>
      </w:pict>
    </w:r>
    <w:r>
      <w:rPr/>
      <w:pict>
        <v:shape style="position:absolute;margin-left:481.26001pt;margin-top:790.226013pt;width:27.4pt;height:10.55pt;mso-position-horizontal-relative:page;mso-position-vertical-relative:page;z-index:-19716096" type="#_x0000_t202" filled="false" stroked="false">
          <v:textbox inset="0,0,0,0">
            <w:txbxContent>
              <w:p>
                <w:pPr>
                  <w:spacing w:line="193" w:lineRule="exact" w:before="0"/>
                  <w:ind w:left="20" w:right="0" w:firstLine="0"/>
                  <w:jc w:val="left"/>
                  <w:rPr>
                    <w:b/>
                    <w:sz w:val="17"/>
                  </w:rPr>
                </w:pPr>
                <w:r>
                  <w:rPr>
                    <w:b/>
                    <w:color w:val="00643E"/>
                    <w:sz w:val="17"/>
                  </w:rPr>
                  <w:t>Page </w:t>
                </w:r>
                <w:r>
                  <w:rPr/>
                  <w:fldChar w:fldCharType="begin"/>
                </w:r>
                <w:r>
                  <w:rPr>
                    <w:b/>
                    <w:color w:val="00643E"/>
                    <w:sz w:val="17"/>
                  </w:rPr>
                  <w:instrText> PAGE </w:instrText>
                </w:r>
                <w:r>
                  <w:rPr/>
                  <w:fldChar w:fldCharType="separate"/>
                </w:r>
                <w:r>
                  <w:rPr/>
                  <w:t>5</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3.664001pt;margin-top:779.015991pt;width:423.31pt;height:1.44pt;mso-position-horizontal-relative:page;mso-position-vertical-relative:page;z-index:-19647488" filled="true" fillcolor="#bebebe" stroked="false">
          <v:fill type="solid"/>
          <w10:wrap type="none"/>
        </v:rect>
      </w:pict>
    </w:r>
    <w:r>
      <w:rPr/>
      <w:pict>
        <v:shape style="position:absolute;margin-left:84.103996pt;margin-top:790.226013pt;width:156.75pt;height:10.55pt;mso-position-horizontal-relative:page;mso-position-vertical-relative:page;z-index:-19646976" type="#_x0000_t202" filled="false" stroked="false">
          <v:textbox inset="0,0,0,0">
            <w:txbxContent>
              <w:p>
                <w:pPr>
                  <w:spacing w:line="193" w:lineRule="exact" w:before="0"/>
                  <w:ind w:left="20" w:right="0" w:firstLine="0"/>
                  <w:jc w:val="left"/>
                  <w:rPr>
                    <w:b/>
                    <w:sz w:val="17"/>
                  </w:rPr>
                </w:pPr>
                <w:r>
                  <w:rPr>
                    <w:b/>
                    <w:color w:val="00643E"/>
                    <w:sz w:val="17"/>
                  </w:rPr>
                  <w:t>Pain Management Clinical Committee, 2019</w:t>
                </w:r>
              </w:p>
            </w:txbxContent>
          </v:textbox>
          <w10:wrap type="none"/>
        </v:shape>
      </w:pict>
    </w:r>
    <w:r>
      <w:rPr/>
      <w:pict>
        <v:shape style="position:absolute;margin-left:476.940002pt;margin-top:790.226013pt;width:31.75pt;height:10.55pt;mso-position-horizontal-relative:page;mso-position-vertical-relative:page;z-index:-19646464" type="#_x0000_t202" filled="false" stroked="false">
          <v:textbox inset="0,0,0,0">
            <w:txbxContent>
              <w:p>
                <w:pPr>
                  <w:spacing w:line="193" w:lineRule="exact" w:before="0"/>
                  <w:ind w:left="20" w:right="0" w:firstLine="0"/>
                  <w:jc w:val="left"/>
                  <w:rPr>
                    <w:b/>
                    <w:sz w:val="17"/>
                  </w:rPr>
                </w:pPr>
                <w:r>
                  <w:rPr>
                    <w:b/>
                    <w:color w:val="00643E"/>
                    <w:sz w:val="17"/>
                  </w:rPr>
                  <w:t>Page </w:t>
                </w:r>
                <w:r>
                  <w:rPr/>
                  <w:fldChar w:fldCharType="begin"/>
                </w:r>
                <w:r>
                  <w:rPr>
                    <w:b/>
                    <w:color w:val="00643E"/>
                    <w:sz w:val="17"/>
                  </w:rPr>
                  <w:instrText> PAGE </w:instrText>
                </w:r>
                <w:r>
                  <w:rPr/>
                  <w:fldChar w:fldCharType="separate"/>
                </w:r>
                <w:r>
                  <w:rPr/>
                  <w:t>57</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3.664001pt;margin-top:779.015991pt;width:423.31pt;height:1.44pt;mso-position-horizontal-relative:page;mso-position-vertical-relative:page;z-index:-19644928" filled="true" fillcolor="#bebebe" stroked="false">
          <v:fill type="solid"/>
          <w10:wrap type="none"/>
        </v:rect>
      </w:pict>
    </w:r>
    <w:r>
      <w:rPr/>
      <w:pict>
        <v:shape style="position:absolute;margin-left:84.103996pt;margin-top:790.226013pt;width:156.75pt;height:10.55pt;mso-position-horizontal-relative:page;mso-position-vertical-relative:page;z-index:-19644416" type="#_x0000_t202" filled="false" stroked="false">
          <v:textbox inset="0,0,0,0">
            <w:txbxContent>
              <w:p>
                <w:pPr>
                  <w:spacing w:line="193" w:lineRule="exact" w:before="0"/>
                  <w:ind w:left="20" w:right="0" w:firstLine="0"/>
                  <w:jc w:val="left"/>
                  <w:rPr>
                    <w:b/>
                    <w:sz w:val="17"/>
                  </w:rPr>
                </w:pPr>
                <w:r>
                  <w:rPr>
                    <w:b/>
                    <w:color w:val="00643E"/>
                    <w:sz w:val="17"/>
                  </w:rPr>
                  <w:t>Pain Management Clinical Committee, 2019</w:t>
                </w:r>
              </w:p>
            </w:txbxContent>
          </v:textbox>
          <w10:wrap type="none"/>
        </v:shape>
      </w:pict>
    </w:r>
    <w:r>
      <w:rPr/>
      <w:pict>
        <v:shape style="position:absolute;margin-left:476.940002pt;margin-top:790.226013pt;width:31.75pt;height:10.55pt;mso-position-horizontal-relative:page;mso-position-vertical-relative:page;z-index:-19643904" type="#_x0000_t202" filled="false" stroked="false">
          <v:textbox inset="0,0,0,0">
            <w:txbxContent>
              <w:p>
                <w:pPr>
                  <w:spacing w:line="193" w:lineRule="exact" w:before="0"/>
                  <w:ind w:left="20" w:right="0" w:firstLine="0"/>
                  <w:jc w:val="left"/>
                  <w:rPr>
                    <w:b/>
                    <w:sz w:val="17"/>
                  </w:rPr>
                </w:pPr>
                <w:r>
                  <w:rPr>
                    <w:b/>
                    <w:color w:val="00643E"/>
                    <w:sz w:val="17"/>
                  </w:rPr>
                  <w:t>Page </w:t>
                </w:r>
                <w:r>
                  <w:rPr/>
                  <w:fldChar w:fldCharType="begin"/>
                </w:r>
                <w:r>
                  <w:rPr>
                    <w:b/>
                    <w:color w:val="00643E"/>
                    <w:sz w:val="17"/>
                  </w:rPr>
                  <w:instrText> PAGE </w:instrText>
                </w:r>
                <w:r>
                  <w:rPr/>
                  <w:fldChar w:fldCharType="separate"/>
                </w:r>
                <w:r>
                  <w:rPr/>
                  <w:t>58</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3.664001pt;margin-top:779.015991pt;width:423.31pt;height:1.44pt;mso-position-horizontal-relative:page;mso-position-vertical-relative:page;z-index:-19641856" filled="true" fillcolor="#bebebe" stroked="false">
          <v:fill type="solid"/>
          <w10:wrap type="none"/>
        </v:rect>
      </w:pict>
    </w:r>
    <w:r>
      <w:rPr/>
      <w:pict>
        <v:shape style="position:absolute;margin-left:84.103996pt;margin-top:790.226013pt;width:156.75pt;height:10.55pt;mso-position-horizontal-relative:page;mso-position-vertical-relative:page;z-index:-19641344" type="#_x0000_t202" filled="false" stroked="false">
          <v:textbox inset="0,0,0,0">
            <w:txbxContent>
              <w:p>
                <w:pPr>
                  <w:spacing w:line="193" w:lineRule="exact" w:before="0"/>
                  <w:ind w:left="20" w:right="0" w:firstLine="0"/>
                  <w:jc w:val="left"/>
                  <w:rPr>
                    <w:b/>
                    <w:sz w:val="17"/>
                  </w:rPr>
                </w:pPr>
                <w:r>
                  <w:rPr>
                    <w:b/>
                    <w:color w:val="00643E"/>
                    <w:sz w:val="17"/>
                  </w:rPr>
                  <w:t>Pain Management Clinical Committee, 2019</w:t>
                </w:r>
              </w:p>
            </w:txbxContent>
          </v:textbox>
          <w10:wrap type="none"/>
        </v:shape>
      </w:pict>
    </w:r>
    <w:r>
      <w:rPr/>
      <w:pict>
        <v:shape style="position:absolute;margin-left:476.940002pt;margin-top:790.226013pt;width:31.75pt;height:10.55pt;mso-position-horizontal-relative:page;mso-position-vertical-relative:page;z-index:-19640832" type="#_x0000_t202" filled="false" stroked="false">
          <v:textbox inset="0,0,0,0">
            <w:txbxContent>
              <w:p>
                <w:pPr>
                  <w:spacing w:line="193" w:lineRule="exact" w:before="0"/>
                  <w:ind w:left="20" w:right="0" w:firstLine="0"/>
                  <w:jc w:val="left"/>
                  <w:rPr>
                    <w:b/>
                    <w:sz w:val="17"/>
                  </w:rPr>
                </w:pPr>
                <w:r>
                  <w:rPr>
                    <w:b/>
                    <w:color w:val="00643E"/>
                    <w:sz w:val="17"/>
                  </w:rPr>
                  <w:t>Page </w:t>
                </w:r>
                <w:r>
                  <w:rPr/>
                  <w:fldChar w:fldCharType="begin"/>
                </w:r>
                <w:r>
                  <w:rPr>
                    <w:b/>
                    <w:color w:val="00643E"/>
                    <w:sz w:val="17"/>
                  </w:rPr>
                  <w:instrText> PAGE </w:instrText>
                </w:r>
                <w:r>
                  <w:rPr/>
                  <w:fldChar w:fldCharType="separate"/>
                </w:r>
                <w:r>
                  <w:rPr/>
                  <w:t>59</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3.664001pt;margin-top:779.015991pt;width:423.31pt;height:1.44pt;mso-position-horizontal-relative:page;mso-position-vertical-relative:page;z-index:-19639808" filled="true" fillcolor="#bebebe" stroked="false">
          <v:fill type="solid"/>
          <w10:wrap type="none"/>
        </v:rect>
      </w:pict>
    </w:r>
    <w:r>
      <w:rPr/>
      <w:pict>
        <v:shape style="position:absolute;margin-left:84.103996pt;margin-top:790.226013pt;width:156.75pt;height:10.55pt;mso-position-horizontal-relative:page;mso-position-vertical-relative:page;z-index:-19639296" type="#_x0000_t202" filled="false" stroked="false">
          <v:textbox inset="0,0,0,0">
            <w:txbxContent>
              <w:p>
                <w:pPr>
                  <w:spacing w:line="193" w:lineRule="exact" w:before="0"/>
                  <w:ind w:left="20" w:right="0" w:firstLine="0"/>
                  <w:jc w:val="left"/>
                  <w:rPr>
                    <w:b/>
                    <w:sz w:val="17"/>
                  </w:rPr>
                </w:pPr>
                <w:r>
                  <w:rPr>
                    <w:b/>
                    <w:color w:val="00643E"/>
                    <w:sz w:val="17"/>
                  </w:rPr>
                  <w:t>Pain Management Clinical Committee, 2019</w:t>
                </w:r>
              </w:p>
            </w:txbxContent>
          </v:textbox>
          <w10:wrap type="none"/>
        </v:shape>
      </w:pict>
    </w:r>
    <w:r>
      <w:rPr/>
      <w:pict>
        <v:shape style="position:absolute;margin-left:476.940002pt;margin-top:790.226013pt;width:31.75pt;height:10.55pt;mso-position-horizontal-relative:page;mso-position-vertical-relative:page;z-index:-19638784" type="#_x0000_t202" filled="false" stroked="false">
          <v:textbox inset="0,0,0,0">
            <w:txbxContent>
              <w:p>
                <w:pPr>
                  <w:spacing w:line="193" w:lineRule="exact" w:before="0"/>
                  <w:ind w:left="20" w:right="0" w:firstLine="0"/>
                  <w:jc w:val="left"/>
                  <w:rPr>
                    <w:b/>
                    <w:sz w:val="17"/>
                  </w:rPr>
                </w:pPr>
                <w:r>
                  <w:rPr>
                    <w:b/>
                    <w:color w:val="00643E"/>
                    <w:sz w:val="17"/>
                  </w:rPr>
                  <w:t>Page </w:t>
                </w:r>
                <w:r>
                  <w:rPr/>
                  <w:fldChar w:fldCharType="begin"/>
                </w:r>
                <w:r>
                  <w:rPr>
                    <w:b/>
                    <w:color w:val="00643E"/>
                    <w:sz w:val="17"/>
                  </w:rPr>
                  <w:instrText> PAGE </w:instrText>
                </w:r>
                <w:r>
                  <w:rPr/>
                  <w:fldChar w:fldCharType="separate"/>
                </w:r>
                <w:r>
                  <w:rPr/>
                  <w:t>60</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3.664001pt;margin-top:779.015991pt;width:423.31pt;height:1.44pt;mso-position-horizontal-relative:page;mso-position-vertical-relative:page;z-index:-19637248" filled="true" fillcolor="#bebebe" stroked="false">
          <v:fill type="solid"/>
          <w10:wrap type="none"/>
        </v:rect>
      </w:pict>
    </w:r>
    <w:r>
      <w:rPr/>
      <w:pict>
        <v:shape style="position:absolute;margin-left:84.103996pt;margin-top:790.226013pt;width:156.75pt;height:10.55pt;mso-position-horizontal-relative:page;mso-position-vertical-relative:page;z-index:-19636736" type="#_x0000_t202" filled="false" stroked="false">
          <v:textbox inset="0,0,0,0">
            <w:txbxContent>
              <w:p>
                <w:pPr>
                  <w:spacing w:line="193" w:lineRule="exact" w:before="0"/>
                  <w:ind w:left="20" w:right="0" w:firstLine="0"/>
                  <w:jc w:val="left"/>
                  <w:rPr>
                    <w:b/>
                    <w:sz w:val="17"/>
                  </w:rPr>
                </w:pPr>
                <w:r>
                  <w:rPr>
                    <w:b/>
                    <w:color w:val="00643E"/>
                    <w:sz w:val="17"/>
                  </w:rPr>
                  <w:t>Pain Management Clinical Committee, 2019</w:t>
                </w:r>
              </w:p>
            </w:txbxContent>
          </v:textbox>
          <w10:wrap type="none"/>
        </v:shape>
      </w:pict>
    </w:r>
    <w:r>
      <w:rPr/>
      <w:pict>
        <v:shape style="position:absolute;margin-left:476.940002pt;margin-top:790.226013pt;width:31.75pt;height:10.55pt;mso-position-horizontal-relative:page;mso-position-vertical-relative:page;z-index:-19636224" type="#_x0000_t202" filled="false" stroked="false">
          <v:textbox inset="0,0,0,0">
            <w:txbxContent>
              <w:p>
                <w:pPr>
                  <w:spacing w:line="193" w:lineRule="exact" w:before="0"/>
                  <w:ind w:left="20" w:right="0" w:firstLine="0"/>
                  <w:jc w:val="left"/>
                  <w:rPr>
                    <w:b/>
                    <w:sz w:val="17"/>
                  </w:rPr>
                </w:pPr>
                <w:r>
                  <w:rPr>
                    <w:b/>
                    <w:color w:val="00643E"/>
                    <w:sz w:val="17"/>
                  </w:rPr>
                  <w:t>Page </w:t>
                </w:r>
                <w:r>
                  <w:rPr/>
                  <w:fldChar w:fldCharType="begin"/>
                </w:r>
                <w:r>
                  <w:rPr>
                    <w:b/>
                    <w:color w:val="00643E"/>
                    <w:sz w:val="17"/>
                  </w:rPr>
                  <w:instrText> PAGE </w:instrText>
                </w:r>
                <w:r>
                  <w:rPr/>
                  <w:fldChar w:fldCharType="separate"/>
                </w:r>
                <w:r>
                  <w:rPr/>
                  <w:t>61</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3.664001pt;margin-top:779.015991pt;width:423.31pt;height:1.44pt;mso-position-horizontal-relative:page;mso-position-vertical-relative:page;z-index:-19635200" filled="true" fillcolor="#bebebe" stroked="false">
          <v:fill type="solid"/>
          <w10:wrap type="none"/>
        </v:rect>
      </w:pict>
    </w:r>
    <w:r>
      <w:rPr/>
      <w:pict>
        <v:shape style="position:absolute;margin-left:84.103996pt;margin-top:790.226013pt;width:156.75pt;height:10.55pt;mso-position-horizontal-relative:page;mso-position-vertical-relative:page;z-index:-19634688" type="#_x0000_t202" filled="false" stroked="false">
          <v:textbox inset="0,0,0,0">
            <w:txbxContent>
              <w:p>
                <w:pPr>
                  <w:spacing w:line="193" w:lineRule="exact" w:before="0"/>
                  <w:ind w:left="20" w:right="0" w:firstLine="0"/>
                  <w:jc w:val="left"/>
                  <w:rPr>
                    <w:b/>
                    <w:sz w:val="17"/>
                  </w:rPr>
                </w:pPr>
                <w:r>
                  <w:rPr>
                    <w:b/>
                    <w:color w:val="00643E"/>
                    <w:sz w:val="17"/>
                  </w:rPr>
                  <w:t>Pain Management Clinical Committee, 2019</w:t>
                </w:r>
              </w:p>
            </w:txbxContent>
          </v:textbox>
          <w10:wrap type="none"/>
        </v:shape>
      </w:pict>
    </w:r>
    <w:r>
      <w:rPr/>
      <w:pict>
        <v:shape style="position:absolute;margin-left:476.940002pt;margin-top:790.226013pt;width:31.75pt;height:10.55pt;mso-position-horizontal-relative:page;mso-position-vertical-relative:page;z-index:-19634176" type="#_x0000_t202" filled="false" stroked="false">
          <v:textbox inset="0,0,0,0">
            <w:txbxContent>
              <w:p>
                <w:pPr>
                  <w:spacing w:line="193" w:lineRule="exact" w:before="0"/>
                  <w:ind w:left="20" w:right="0" w:firstLine="0"/>
                  <w:jc w:val="left"/>
                  <w:rPr>
                    <w:b/>
                    <w:sz w:val="17"/>
                  </w:rPr>
                </w:pPr>
                <w:r>
                  <w:rPr>
                    <w:b/>
                    <w:color w:val="00643E"/>
                    <w:sz w:val="17"/>
                  </w:rPr>
                  <w:t>Page </w:t>
                </w:r>
                <w:r>
                  <w:rPr/>
                  <w:fldChar w:fldCharType="begin"/>
                </w:r>
                <w:r>
                  <w:rPr>
                    <w:b/>
                    <w:color w:val="00643E"/>
                    <w:sz w:val="17"/>
                  </w:rPr>
                  <w:instrText> PAGE </w:instrText>
                </w:r>
                <w:r>
                  <w:rPr/>
                  <w:fldChar w:fldCharType="separate"/>
                </w:r>
                <w:r>
                  <w:rPr/>
                  <w:t>62</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3.664001pt;margin-top:779.015991pt;width:423.31pt;height:1.44pt;mso-position-horizontal-relative:page;mso-position-vertical-relative:page;z-index:-19632640" filled="true" fillcolor="#bebebe" stroked="false">
          <v:fill type="solid"/>
          <w10:wrap type="none"/>
        </v:rect>
      </w:pict>
    </w:r>
    <w:r>
      <w:rPr/>
      <w:pict>
        <v:shape style="position:absolute;margin-left:84.103996pt;margin-top:790.226013pt;width:156.75pt;height:10.55pt;mso-position-horizontal-relative:page;mso-position-vertical-relative:page;z-index:-19632128" type="#_x0000_t202" filled="false" stroked="false">
          <v:textbox inset="0,0,0,0">
            <w:txbxContent>
              <w:p>
                <w:pPr>
                  <w:spacing w:line="193" w:lineRule="exact" w:before="0"/>
                  <w:ind w:left="20" w:right="0" w:firstLine="0"/>
                  <w:jc w:val="left"/>
                  <w:rPr>
                    <w:b/>
                    <w:sz w:val="17"/>
                  </w:rPr>
                </w:pPr>
                <w:r>
                  <w:rPr>
                    <w:b/>
                    <w:color w:val="00643E"/>
                    <w:sz w:val="17"/>
                  </w:rPr>
                  <w:t>Pain Management Clinical Committee, 2019</w:t>
                </w:r>
              </w:p>
            </w:txbxContent>
          </v:textbox>
          <w10:wrap type="none"/>
        </v:shape>
      </w:pict>
    </w:r>
    <w:r>
      <w:rPr/>
      <w:pict>
        <v:shape style="position:absolute;margin-left:476.940002pt;margin-top:790.226013pt;width:31.75pt;height:10.55pt;mso-position-horizontal-relative:page;mso-position-vertical-relative:page;z-index:-19631616" type="#_x0000_t202" filled="false" stroked="false">
          <v:textbox inset="0,0,0,0">
            <w:txbxContent>
              <w:p>
                <w:pPr>
                  <w:spacing w:line="193" w:lineRule="exact" w:before="0"/>
                  <w:ind w:left="20" w:right="0" w:firstLine="0"/>
                  <w:jc w:val="left"/>
                  <w:rPr>
                    <w:b/>
                    <w:sz w:val="17"/>
                  </w:rPr>
                </w:pPr>
                <w:r>
                  <w:rPr>
                    <w:b/>
                    <w:color w:val="00643E"/>
                    <w:sz w:val="17"/>
                  </w:rPr>
                  <w:t>Page </w:t>
                </w:r>
                <w:r>
                  <w:rPr/>
                  <w:fldChar w:fldCharType="begin"/>
                </w:r>
                <w:r>
                  <w:rPr>
                    <w:b/>
                    <w:color w:val="00643E"/>
                    <w:sz w:val="17"/>
                  </w:rPr>
                  <w:instrText> PAGE </w:instrText>
                </w:r>
                <w:r>
                  <w:rPr/>
                  <w:fldChar w:fldCharType="separate"/>
                </w:r>
                <w:r>
                  <w:rPr/>
                  <w:t>65</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3.664001pt;margin-top:779.015991pt;width:423.31pt;height:1.44pt;mso-position-horizontal-relative:page;mso-position-vertical-relative:page;z-index:-19630592" filled="true" fillcolor="#bebebe" stroked="false">
          <v:fill type="solid"/>
          <w10:wrap type="none"/>
        </v:rect>
      </w:pict>
    </w:r>
    <w:r>
      <w:rPr/>
      <w:pict>
        <v:shape style="position:absolute;margin-left:84.103996pt;margin-top:790.226013pt;width:156.75pt;height:10.55pt;mso-position-horizontal-relative:page;mso-position-vertical-relative:page;z-index:-19630080" type="#_x0000_t202" filled="false" stroked="false">
          <v:textbox inset="0,0,0,0">
            <w:txbxContent>
              <w:p>
                <w:pPr>
                  <w:spacing w:line="193" w:lineRule="exact" w:before="0"/>
                  <w:ind w:left="20" w:right="0" w:firstLine="0"/>
                  <w:jc w:val="left"/>
                  <w:rPr>
                    <w:b/>
                    <w:sz w:val="17"/>
                  </w:rPr>
                </w:pPr>
                <w:r>
                  <w:rPr>
                    <w:b/>
                    <w:color w:val="00643E"/>
                    <w:sz w:val="17"/>
                  </w:rPr>
                  <w:t>Pain Management Clinical Committee, 2019</w:t>
                </w:r>
              </w:p>
            </w:txbxContent>
          </v:textbox>
          <w10:wrap type="none"/>
        </v:shape>
      </w:pict>
    </w:r>
    <w:r>
      <w:rPr/>
      <w:pict>
        <v:shape style="position:absolute;margin-left:476.940002pt;margin-top:790.226013pt;width:31.75pt;height:10.55pt;mso-position-horizontal-relative:page;mso-position-vertical-relative:page;z-index:-19629568" type="#_x0000_t202" filled="false" stroked="false">
          <v:textbox inset="0,0,0,0">
            <w:txbxContent>
              <w:p>
                <w:pPr>
                  <w:spacing w:line="193" w:lineRule="exact" w:before="0"/>
                  <w:ind w:left="20" w:right="0" w:firstLine="0"/>
                  <w:jc w:val="left"/>
                  <w:rPr>
                    <w:b/>
                    <w:sz w:val="17"/>
                  </w:rPr>
                </w:pPr>
                <w:r>
                  <w:rPr>
                    <w:b/>
                    <w:color w:val="00643E"/>
                    <w:sz w:val="17"/>
                  </w:rPr>
                  <w:t>Page </w:t>
                </w:r>
                <w:r>
                  <w:rPr/>
                  <w:fldChar w:fldCharType="begin"/>
                </w:r>
                <w:r>
                  <w:rPr>
                    <w:b/>
                    <w:color w:val="00643E"/>
                    <w:sz w:val="17"/>
                  </w:rPr>
                  <w:instrText> PAGE </w:instrText>
                </w:r>
                <w:r>
                  <w:rPr/>
                  <w:fldChar w:fldCharType="separate"/>
                </w:r>
                <w:r>
                  <w:rPr/>
                  <w:t>68</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3.664001pt;margin-top:779.015991pt;width:423.31pt;height:1.44pt;mso-position-horizontal-relative:page;mso-position-vertical-relative:page;z-index:-19627520" filled="true" fillcolor="#bebebe" stroked="false">
          <v:fill type="solid"/>
          <w10:wrap type="none"/>
        </v:rect>
      </w:pict>
    </w:r>
    <w:r>
      <w:rPr/>
      <w:pict>
        <v:shape style="position:absolute;margin-left:84.103996pt;margin-top:790.226013pt;width:156.75pt;height:10.55pt;mso-position-horizontal-relative:page;mso-position-vertical-relative:page;z-index:-19627008" type="#_x0000_t202" filled="false" stroked="false">
          <v:textbox inset="0,0,0,0">
            <w:txbxContent>
              <w:p>
                <w:pPr>
                  <w:spacing w:line="193" w:lineRule="exact" w:before="0"/>
                  <w:ind w:left="20" w:right="0" w:firstLine="0"/>
                  <w:jc w:val="left"/>
                  <w:rPr>
                    <w:b/>
                    <w:sz w:val="17"/>
                  </w:rPr>
                </w:pPr>
                <w:r>
                  <w:rPr>
                    <w:b/>
                    <w:color w:val="00643E"/>
                    <w:sz w:val="17"/>
                  </w:rPr>
                  <w:t>Pain Management Clinical Committee, 2019</w:t>
                </w:r>
              </w:p>
            </w:txbxContent>
          </v:textbox>
          <w10:wrap type="none"/>
        </v:shape>
      </w:pict>
    </w:r>
    <w:r>
      <w:rPr/>
      <w:pict>
        <v:shape style="position:absolute;margin-left:476.940002pt;margin-top:790.226013pt;width:31.75pt;height:10.55pt;mso-position-horizontal-relative:page;mso-position-vertical-relative:page;z-index:-19626496" type="#_x0000_t202" filled="false" stroked="false">
          <v:textbox inset="0,0,0,0">
            <w:txbxContent>
              <w:p>
                <w:pPr>
                  <w:spacing w:line="193" w:lineRule="exact" w:before="0"/>
                  <w:ind w:left="20" w:right="0" w:firstLine="0"/>
                  <w:jc w:val="left"/>
                  <w:rPr>
                    <w:b/>
                    <w:sz w:val="17"/>
                  </w:rPr>
                </w:pPr>
                <w:r>
                  <w:rPr>
                    <w:b/>
                    <w:color w:val="00643E"/>
                    <w:sz w:val="17"/>
                  </w:rPr>
                  <w:t>Page </w:t>
                </w:r>
                <w:r>
                  <w:rPr/>
                  <w:fldChar w:fldCharType="begin"/>
                </w:r>
                <w:r>
                  <w:rPr>
                    <w:b/>
                    <w:color w:val="00643E"/>
                    <w:sz w:val="17"/>
                  </w:rPr>
                  <w:instrText> PAGE </w:instrText>
                </w:r>
                <w:r>
                  <w:rPr/>
                  <w:fldChar w:fldCharType="separate"/>
                </w:r>
                <w:r>
                  <w:rPr/>
                  <w:t>70</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463997pt;margin-top:779.015991pt;width:418.51pt;height:1.44pt;mso-position-horizontal-relative:page;mso-position-vertical-relative:page;z-index:-19625472" filled="true" fillcolor="#bebebe" stroked="false">
          <v:fill type="solid"/>
          <w10:wrap type="none"/>
        </v:rect>
      </w:pict>
    </w:r>
    <w:r>
      <w:rPr/>
      <w:pict>
        <v:shape style="position:absolute;margin-left:88.903999pt;margin-top:790.226013pt;width:156.75pt;height:10.55pt;mso-position-horizontal-relative:page;mso-position-vertical-relative:page;z-index:-19624960" type="#_x0000_t202" filled="false" stroked="false">
          <v:textbox inset="0,0,0,0">
            <w:txbxContent>
              <w:p>
                <w:pPr>
                  <w:spacing w:line="193" w:lineRule="exact" w:before="0"/>
                  <w:ind w:left="20" w:right="0" w:firstLine="0"/>
                  <w:jc w:val="left"/>
                  <w:rPr>
                    <w:b/>
                    <w:sz w:val="17"/>
                  </w:rPr>
                </w:pPr>
                <w:r>
                  <w:rPr>
                    <w:b/>
                    <w:color w:val="00643E"/>
                    <w:sz w:val="17"/>
                  </w:rPr>
                  <w:t>Pain Management Clinical Committee, 2019</w:t>
                </w:r>
              </w:p>
            </w:txbxContent>
          </v:textbox>
          <w10:wrap type="none"/>
        </v:shape>
      </w:pict>
    </w:r>
    <w:r>
      <w:rPr/>
      <w:pict>
        <v:shape style="position:absolute;margin-left:476.940002pt;margin-top:790.226013pt;width:31.75pt;height:10.55pt;mso-position-horizontal-relative:page;mso-position-vertical-relative:page;z-index:-19624448" type="#_x0000_t202" filled="false" stroked="false">
          <v:textbox inset="0,0,0,0">
            <w:txbxContent>
              <w:p>
                <w:pPr>
                  <w:spacing w:line="193" w:lineRule="exact" w:before="0"/>
                  <w:ind w:left="20" w:right="0" w:firstLine="0"/>
                  <w:jc w:val="left"/>
                  <w:rPr>
                    <w:b/>
                    <w:sz w:val="17"/>
                  </w:rPr>
                </w:pPr>
                <w:r>
                  <w:rPr>
                    <w:b/>
                    <w:color w:val="00643E"/>
                    <w:sz w:val="17"/>
                  </w:rPr>
                  <w:t>Page </w:t>
                </w:r>
                <w:r>
                  <w:rPr/>
                  <w:fldChar w:fldCharType="begin"/>
                </w:r>
                <w:r>
                  <w:rPr>
                    <w:b/>
                    <w:color w:val="00643E"/>
                    <w:sz w:val="17"/>
                  </w:rPr>
                  <w:instrText> PAGE </w:instrText>
                </w:r>
                <w:r>
                  <w:rPr/>
                  <w:fldChar w:fldCharType="separate"/>
                </w:r>
                <w:r>
                  <w:rPr/>
                  <w:t>71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463997pt;margin-top:779.015991pt;width:418.51pt;height:1.44pt;mso-position-horizontal-relative:page;mso-position-vertical-relative:page;z-index:-19712000" filled="true" fillcolor="#bebebe" stroked="false">
          <v:fill type="solid"/>
          <w10:wrap type="none"/>
        </v:rect>
      </w:pict>
    </w:r>
    <w:r>
      <w:rPr/>
      <w:pict>
        <v:shape style="position:absolute;margin-left:88.903999pt;margin-top:790.226013pt;width:156.75pt;height:10.55pt;mso-position-horizontal-relative:page;mso-position-vertical-relative:page;z-index:-19711488" type="#_x0000_t202" filled="false" stroked="false">
          <v:textbox inset="0,0,0,0">
            <w:txbxContent>
              <w:p>
                <w:pPr>
                  <w:spacing w:line="193" w:lineRule="exact" w:before="0"/>
                  <w:ind w:left="20" w:right="0" w:firstLine="0"/>
                  <w:jc w:val="left"/>
                  <w:rPr>
                    <w:b/>
                    <w:sz w:val="17"/>
                  </w:rPr>
                </w:pPr>
                <w:r>
                  <w:rPr>
                    <w:b/>
                    <w:color w:val="00643E"/>
                    <w:sz w:val="17"/>
                  </w:rPr>
                  <w:t>Pain Management Clinical Committee, 2019</w:t>
                </w:r>
              </w:p>
            </w:txbxContent>
          </v:textbox>
          <w10:wrap type="none"/>
        </v:shape>
      </w:pict>
    </w:r>
    <w:r>
      <w:rPr/>
      <w:pict>
        <v:shape style="position:absolute;margin-left:481.26001pt;margin-top:790.226013pt;width:27.4pt;height:10.55pt;mso-position-horizontal-relative:page;mso-position-vertical-relative:page;z-index:-19710976" type="#_x0000_t202" filled="false" stroked="false">
          <v:textbox inset="0,0,0,0">
            <w:txbxContent>
              <w:p>
                <w:pPr>
                  <w:spacing w:line="193" w:lineRule="exact" w:before="0"/>
                  <w:ind w:left="20" w:right="0" w:firstLine="0"/>
                  <w:jc w:val="left"/>
                  <w:rPr>
                    <w:b/>
                    <w:sz w:val="17"/>
                  </w:rPr>
                </w:pPr>
                <w:r>
                  <w:rPr>
                    <w:b/>
                    <w:color w:val="00643E"/>
                    <w:sz w:val="17"/>
                  </w:rPr>
                  <w:t>Page </w:t>
                </w:r>
                <w:r>
                  <w:rPr/>
                  <w:fldChar w:fldCharType="begin"/>
                </w:r>
                <w:r>
                  <w:rPr>
                    <w:b/>
                    <w:color w:val="00643E"/>
                    <w:sz w:val="17"/>
                  </w:rPr>
                  <w:instrText> PAGE </w:instrText>
                </w:r>
                <w:r>
                  <w:rPr/>
                  <w:fldChar w:fldCharType="separate"/>
                </w:r>
                <w:r>
                  <w:rPr/>
                  <w:t>6</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463997pt;margin-top:779.015991pt;width:418.51pt;height:1.44pt;mso-position-horizontal-relative:page;mso-position-vertical-relative:page;z-index:-19621888" filled="true" fillcolor="#bebebe" stroked="false">
          <v:fill type="solid"/>
          <w10:wrap type="none"/>
        </v:rect>
      </w:pict>
    </w:r>
    <w:r>
      <w:rPr/>
      <w:pict>
        <v:shape style="position:absolute;margin-left:88.903999pt;margin-top:790.226013pt;width:156.75pt;height:10.55pt;mso-position-horizontal-relative:page;mso-position-vertical-relative:page;z-index:-19621376" type="#_x0000_t202" filled="false" stroked="false">
          <v:textbox inset="0,0,0,0">
            <w:txbxContent>
              <w:p>
                <w:pPr>
                  <w:spacing w:line="193" w:lineRule="exact" w:before="0"/>
                  <w:ind w:left="20" w:right="0" w:firstLine="0"/>
                  <w:jc w:val="left"/>
                  <w:rPr>
                    <w:b/>
                    <w:sz w:val="17"/>
                  </w:rPr>
                </w:pPr>
                <w:r>
                  <w:rPr>
                    <w:b/>
                    <w:color w:val="00643E"/>
                    <w:sz w:val="17"/>
                  </w:rPr>
                  <w:t>Pain Management Clinical Committee, 2019</w:t>
                </w:r>
              </w:p>
            </w:txbxContent>
          </v:textbox>
          <w10:wrap type="none"/>
        </v:shape>
      </w:pict>
    </w:r>
    <w:r>
      <w:rPr/>
      <w:pict>
        <v:shape style="position:absolute;margin-left:476.940002pt;margin-top:790.226013pt;width:31.75pt;height:10.55pt;mso-position-horizontal-relative:page;mso-position-vertical-relative:page;z-index:-19620864" type="#_x0000_t202" filled="false" stroked="false">
          <v:textbox inset="0,0,0,0">
            <w:txbxContent>
              <w:p>
                <w:pPr>
                  <w:spacing w:line="193" w:lineRule="exact" w:before="0"/>
                  <w:ind w:left="20" w:right="0" w:firstLine="0"/>
                  <w:jc w:val="left"/>
                  <w:rPr>
                    <w:b/>
                    <w:sz w:val="17"/>
                  </w:rPr>
                </w:pPr>
                <w:r>
                  <w:rPr>
                    <w:b/>
                    <w:color w:val="00643E"/>
                    <w:sz w:val="17"/>
                  </w:rPr>
                  <w:t>Page </w:t>
                </w:r>
                <w:r>
                  <w:rPr/>
                  <w:fldChar w:fldCharType="begin"/>
                </w:r>
                <w:r>
                  <w:rPr>
                    <w:b/>
                    <w:color w:val="00643E"/>
                    <w:sz w:val="17"/>
                  </w:rPr>
                  <w:instrText> PAGE </w:instrText>
                </w:r>
                <w:r>
                  <w:rPr/>
                  <w:fldChar w:fldCharType="separate"/>
                </w:r>
                <w:r>
                  <w:rPr/>
                  <w:t>77</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463997pt;margin-top:779.015991pt;width:418.51pt;height:1.44pt;mso-position-horizontal-relative:page;mso-position-vertical-relative:page;z-index:-19619840" filled="true" fillcolor="#bebebe" stroked="false">
          <v:fill type="solid"/>
          <w10:wrap type="none"/>
        </v:rect>
      </w:pict>
    </w:r>
    <w:r>
      <w:rPr/>
      <w:pict>
        <v:shape style="position:absolute;margin-left:88.903999pt;margin-top:790.226013pt;width:156.75pt;height:10.55pt;mso-position-horizontal-relative:page;mso-position-vertical-relative:page;z-index:-19619328" type="#_x0000_t202" filled="false" stroked="false">
          <v:textbox inset="0,0,0,0">
            <w:txbxContent>
              <w:p>
                <w:pPr>
                  <w:spacing w:line="193" w:lineRule="exact" w:before="0"/>
                  <w:ind w:left="20" w:right="0" w:firstLine="0"/>
                  <w:jc w:val="left"/>
                  <w:rPr>
                    <w:b/>
                    <w:sz w:val="17"/>
                  </w:rPr>
                </w:pPr>
                <w:r>
                  <w:rPr>
                    <w:b/>
                    <w:color w:val="00643E"/>
                    <w:sz w:val="17"/>
                  </w:rPr>
                  <w:t>Pain Management Clinical Committee, 2019</w:t>
                </w:r>
              </w:p>
            </w:txbxContent>
          </v:textbox>
          <w10:wrap type="none"/>
        </v:shape>
      </w:pict>
    </w:r>
    <w:r>
      <w:rPr/>
      <w:pict>
        <v:shape style="position:absolute;margin-left:476.940002pt;margin-top:790.226013pt;width:31.75pt;height:10.55pt;mso-position-horizontal-relative:page;mso-position-vertical-relative:page;z-index:-19618816" type="#_x0000_t202" filled="false" stroked="false">
          <v:textbox inset="0,0,0,0">
            <w:txbxContent>
              <w:p>
                <w:pPr>
                  <w:spacing w:line="193" w:lineRule="exact" w:before="0"/>
                  <w:ind w:left="20" w:right="0" w:firstLine="0"/>
                  <w:jc w:val="left"/>
                  <w:rPr>
                    <w:b/>
                    <w:sz w:val="17"/>
                  </w:rPr>
                </w:pPr>
                <w:r>
                  <w:rPr>
                    <w:b/>
                    <w:color w:val="00643E"/>
                    <w:sz w:val="17"/>
                  </w:rPr>
                  <w:t>Page </w:t>
                </w:r>
                <w:r>
                  <w:rPr/>
                  <w:fldChar w:fldCharType="begin"/>
                </w:r>
                <w:r>
                  <w:rPr>
                    <w:b/>
                    <w:color w:val="00643E"/>
                    <w:sz w:val="17"/>
                  </w:rPr>
                  <w:instrText> PAGE </w:instrText>
                </w:r>
                <w:r>
                  <w:rPr/>
                  <w:fldChar w:fldCharType="separate"/>
                </w:r>
                <w:r>
                  <w:rPr/>
                  <w:t>79</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544.226013pt;width:156.7pt;height:10.55pt;mso-position-horizontal-relative:page;mso-position-vertical-relative:page;z-index:-19617792" type="#_x0000_t202" filled="false" stroked="false">
          <v:textbox inset="0,0,0,0">
            <w:txbxContent>
              <w:p>
                <w:pPr>
                  <w:spacing w:line="193" w:lineRule="exact" w:before="0"/>
                  <w:ind w:left="20" w:right="0" w:firstLine="0"/>
                  <w:jc w:val="left"/>
                  <w:rPr>
                    <w:b/>
                    <w:sz w:val="17"/>
                  </w:rPr>
                </w:pPr>
                <w:r>
                  <w:rPr>
                    <w:b/>
                    <w:color w:val="00643E"/>
                    <w:sz w:val="17"/>
                  </w:rPr>
                  <w:t>Pain Management Clinical Committee, 2019</w:t>
                </w:r>
              </w:p>
            </w:txbxContent>
          </v:textbox>
          <w10:wrap type="none"/>
        </v:shape>
      </w:pict>
    </w:r>
    <w:r>
      <w:rPr/>
      <w:pict>
        <v:shape style="position:absolute;margin-left:741.419983pt;margin-top:544.226013pt;width:29.75pt;height:10.55pt;mso-position-horizontal-relative:page;mso-position-vertical-relative:page;z-index:-19617280" type="#_x0000_t202" filled="false" stroked="false">
          <v:textbox inset="0,0,0,0">
            <w:txbxContent>
              <w:p>
                <w:pPr>
                  <w:spacing w:line="193" w:lineRule="exact" w:before="0"/>
                  <w:ind w:left="20" w:right="0" w:firstLine="0"/>
                  <w:jc w:val="left"/>
                  <w:rPr>
                    <w:b/>
                    <w:sz w:val="17"/>
                  </w:rPr>
                </w:pPr>
                <w:r>
                  <w:rPr>
                    <w:b/>
                    <w:color w:val="00643E"/>
                    <w:sz w:val="17"/>
                  </w:rPr>
                  <w:t>Page 80</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559998pt;margin-top:533.015991pt;width:700.9pt;height:1.44pt;mso-position-horizontal-relative:page;mso-position-vertical-relative:page;z-index:-19616256" filled="true" fillcolor="#bebebe" stroked="false">
          <v:fill type="solid"/>
          <w10:wrap type="none"/>
        </v:rect>
      </w:pict>
    </w:r>
    <w:r>
      <w:rPr/>
      <w:pict>
        <v:shape style="position:absolute;margin-left:71pt;margin-top:544.226013pt;width:156.7pt;height:10.55pt;mso-position-horizontal-relative:page;mso-position-vertical-relative:page;z-index:-19615744" type="#_x0000_t202" filled="false" stroked="false">
          <v:textbox inset="0,0,0,0">
            <w:txbxContent>
              <w:p>
                <w:pPr>
                  <w:spacing w:line="193" w:lineRule="exact" w:before="0"/>
                  <w:ind w:left="20" w:right="0" w:firstLine="0"/>
                  <w:jc w:val="left"/>
                  <w:rPr>
                    <w:b/>
                    <w:sz w:val="17"/>
                  </w:rPr>
                </w:pPr>
                <w:r>
                  <w:rPr>
                    <w:b/>
                    <w:color w:val="00643E"/>
                    <w:sz w:val="17"/>
                  </w:rPr>
                  <w:t>Pain Management Clinical Committee, 2019</w:t>
                </w:r>
              </w:p>
            </w:txbxContent>
          </v:textbox>
          <w10:wrap type="none"/>
        </v:shape>
      </w:pict>
    </w:r>
    <w:r>
      <w:rPr/>
      <w:pict>
        <v:shape style="position:absolute;margin-left:737.099976pt;margin-top:544.226013pt;width:36.050pt;height:10.55pt;mso-position-horizontal-relative:page;mso-position-vertical-relative:page;z-index:-19615232" type="#_x0000_t202" filled="false" stroked="false">
          <v:textbox inset="0,0,0,0">
            <w:txbxContent>
              <w:p>
                <w:pPr>
                  <w:spacing w:line="193" w:lineRule="exact" w:before="0"/>
                  <w:ind w:left="20" w:right="0" w:firstLine="0"/>
                  <w:jc w:val="left"/>
                  <w:rPr>
                    <w:b/>
                    <w:sz w:val="17"/>
                  </w:rPr>
                </w:pPr>
                <w:r>
                  <w:rPr>
                    <w:b/>
                    <w:color w:val="00643E"/>
                    <w:sz w:val="17"/>
                  </w:rPr>
                  <w:t>Page </w:t>
                </w:r>
                <w:r>
                  <w:rPr/>
                  <w:fldChar w:fldCharType="begin"/>
                </w:r>
                <w:r>
                  <w:rPr>
                    <w:b/>
                    <w:color w:val="00643E"/>
                    <w:sz w:val="17"/>
                  </w:rPr>
                  <w:instrText> PAGE </w:instrText>
                </w:r>
                <w:r>
                  <w:rPr/>
                  <w:fldChar w:fldCharType="separate"/>
                </w:r>
                <w:r>
                  <w:rPr/>
                  <w:t>100</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463997pt;margin-top:779.015991pt;width:418.51pt;height:1.44pt;mso-position-horizontal-relative:page;mso-position-vertical-relative:page;z-index:-19709952" filled="true" fillcolor="#bebebe" stroked="false">
          <v:fill type="solid"/>
          <w10:wrap type="none"/>
        </v:rect>
      </w:pict>
    </w:r>
    <w:r>
      <w:rPr/>
      <w:pict>
        <v:shape style="position:absolute;margin-left:88.903999pt;margin-top:790.226013pt;width:156.75pt;height:10.55pt;mso-position-horizontal-relative:page;mso-position-vertical-relative:page;z-index:-19709440" type="#_x0000_t202" filled="false" stroked="false">
          <v:textbox inset="0,0,0,0">
            <w:txbxContent>
              <w:p>
                <w:pPr>
                  <w:spacing w:line="193" w:lineRule="exact" w:before="0"/>
                  <w:ind w:left="20" w:right="0" w:firstLine="0"/>
                  <w:jc w:val="left"/>
                  <w:rPr>
                    <w:b/>
                    <w:sz w:val="17"/>
                  </w:rPr>
                </w:pPr>
                <w:r>
                  <w:rPr>
                    <w:b/>
                    <w:color w:val="00643E"/>
                    <w:sz w:val="17"/>
                  </w:rPr>
                  <w:t>Pain Management Clinical Committee, 2019</w:t>
                </w:r>
              </w:p>
            </w:txbxContent>
          </v:textbox>
          <w10:wrap type="none"/>
        </v:shape>
      </w:pict>
    </w:r>
    <w:r>
      <w:rPr/>
      <w:pict>
        <v:shape style="position:absolute;margin-left:476.940002pt;margin-top:790.226013pt;width:31.75pt;height:10.55pt;mso-position-horizontal-relative:page;mso-position-vertical-relative:page;z-index:-19708928" type="#_x0000_t202" filled="false" stroked="false">
          <v:textbox inset="0,0,0,0">
            <w:txbxContent>
              <w:p>
                <w:pPr>
                  <w:spacing w:line="193" w:lineRule="exact" w:before="0"/>
                  <w:ind w:left="20" w:right="0" w:firstLine="0"/>
                  <w:jc w:val="left"/>
                  <w:rPr>
                    <w:b/>
                    <w:sz w:val="17"/>
                  </w:rPr>
                </w:pPr>
                <w:r>
                  <w:rPr>
                    <w:b/>
                    <w:color w:val="00643E"/>
                    <w:sz w:val="17"/>
                  </w:rPr>
                  <w:t>Page </w:t>
                </w:r>
                <w:r>
                  <w:rPr/>
                  <w:fldChar w:fldCharType="begin"/>
                </w:r>
                <w:r>
                  <w:rPr>
                    <w:b/>
                    <w:color w:val="00643E"/>
                    <w:sz w:val="17"/>
                  </w:rPr>
                  <w:instrText> PAGE </w:instrText>
                </w:r>
                <w:r>
                  <w:rPr/>
                  <w:fldChar w:fldCharType="separate"/>
                </w:r>
                <w:r>
                  <w:rPr/>
                  <w:t>10</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463997pt;margin-top:779.015991pt;width:418.51pt;height:1.44pt;mso-position-horizontal-relative:page;mso-position-vertical-relative:page;z-index:-19706880" filled="true" fillcolor="#bebebe" stroked="false">
          <v:fill type="solid"/>
          <w10:wrap type="none"/>
        </v:rect>
      </w:pict>
    </w:r>
    <w:r>
      <w:rPr/>
      <w:pict>
        <v:shape style="position:absolute;margin-left:88.903999pt;margin-top:790.226013pt;width:156.75pt;height:10.55pt;mso-position-horizontal-relative:page;mso-position-vertical-relative:page;z-index:-19706368" type="#_x0000_t202" filled="false" stroked="false">
          <v:textbox inset="0,0,0,0">
            <w:txbxContent>
              <w:p>
                <w:pPr>
                  <w:spacing w:line="193" w:lineRule="exact" w:before="0"/>
                  <w:ind w:left="20" w:right="0" w:firstLine="0"/>
                  <w:jc w:val="left"/>
                  <w:rPr>
                    <w:b/>
                    <w:sz w:val="17"/>
                  </w:rPr>
                </w:pPr>
                <w:r>
                  <w:rPr>
                    <w:b/>
                    <w:color w:val="00643E"/>
                    <w:sz w:val="17"/>
                  </w:rPr>
                  <w:t>Pain Management Clinical Committee, 2019</w:t>
                </w:r>
              </w:p>
            </w:txbxContent>
          </v:textbox>
          <w10:wrap type="none"/>
        </v:shape>
      </w:pict>
    </w:r>
    <w:r>
      <w:rPr/>
      <w:pict>
        <v:shape style="position:absolute;margin-left:476.940002pt;margin-top:790.226013pt;width:31.75pt;height:10.55pt;mso-position-horizontal-relative:page;mso-position-vertical-relative:page;z-index:-19705856" type="#_x0000_t202" filled="false" stroked="false">
          <v:textbox inset="0,0,0,0">
            <w:txbxContent>
              <w:p>
                <w:pPr>
                  <w:spacing w:line="193" w:lineRule="exact" w:before="0"/>
                  <w:ind w:left="20" w:right="0" w:firstLine="0"/>
                  <w:jc w:val="left"/>
                  <w:rPr>
                    <w:b/>
                    <w:sz w:val="17"/>
                  </w:rPr>
                </w:pPr>
                <w:r>
                  <w:rPr>
                    <w:b/>
                    <w:color w:val="00643E"/>
                    <w:sz w:val="17"/>
                  </w:rPr>
                  <w:t>Page </w:t>
                </w:r>
                <w:r>
                  <w:rPr/>
                  <w:fldChar w:fldCharType="begin"/>
                </w:r>
                <w:r>
                  <w:rPr>
                    <w:b/>
                    <w:color w:val="00643E"/>
                    <w:sz w:val="17"/>
                  </w:rPr>
                  <w:instrText> PAGE </w:instrText>
                </w:r>
                <w:r>
                  <w:rPr/>
                  <w:fldChar w:fldCharType="separate"/>
                </w:r>
                <w:r>
                  <w:rPr/>
                  <w:t>11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463997pt;margin-top:779.015991pt;width:418.51pt;height:1.44pt;mso-position-horizontal-relative:page;mso-position-vertical-relative:page;z-index:-19704832" filled="true" fillcolor="#bebebe" stroked="false">
          <v:fill type="solid"/>
          <w10:wrap type="none"/>
        </v:rect>
      </w:pict>
    </w:r>
    <w:r>
      <w:rPr/>
      <w:pict>
        <v:shape style="position:absolute;margin-left:88.903999pt;margin-top:790.226013pt;width:156.75pt;height:10.55pt;mso-position-horizontal-relative:page;mso-position-vertical-relative:page;z-index:-19704320" type="#_x0000_t202" filled="false" stroked="false">
          <v:textbox inset="0,0,0,0">
            <w:txbxContent>
              <w:p>
                <w:pPr>
                  <w:spacing w:line="193" w:lineRule="exact" w:before="0"/>
                  <w:ind w:left="20" w:right="0" w:firstLine="0"/>
                  <w:jc w:val="left"/>
                  <w:rPr>
                    <w:b/>
                    <w:sz w:val="17"/>
                  </w:rPr>
                </w:pPr>
                <w:r>
                  <w:rPr>
                    <w:b/>
                    <w:color w:val="00643E"/>
                    <w:sz w:val="17"/>
                  </w:rPr>
                  <w:t>Pain Management Clinical Committee, 2019</w:t>
                </w:r>
              </w:p>
            </w:txbxContent>
          </v:textbox>
          <w10:wrap type="none"/>
        </v:shape>
      </w:pict>
    </w:r>
    <w:r>
      <w:rPr/>
      <w:pict>
        <v:shape style="position:absolute;margin-left:476.940002pt;margin-top:790.226013pt;width:31.75pt;height:10.55pt;mso-position-horizontal-relative:page;mso-position-vertical-relative:page;z-index:-19703808" type="#_x0000_t202" filled="false" stroked="false">
          <v:textbox inset="0,0,0,0">
            <w:txbxContent>
              <w:p>
                <w:pPr>
                  <w:spacing w:line="193" w:lineRule="exact" w:before="0"/>
                  <w:ind w:left="20" w:right="0" w:firstLine="0"/>
                  <w:jc w:val="left"/>
                  <w:rPr>
                    <w:b/>
                    <w:sz w:val="17"/>
                  </w:rPr>
                </w:pPr>
                <w:r>
                  <w:rPr>
                    <w:b/>
                    <w:color w:val="00643E"/>
                    <w:sz w:val="17"/>
                  </w:rPr>
                  <w:t>Page </w:t>
                </w:r>
                <w:r>
                  <w:rPr/>
                  <w:fldChar w:fldCharType="begin"/>
                </w:r>
                <w:r>
                  <w:rPr>
                    <w:b/>
                    <w:color w:val="00643E"/>
                    <w:sz w:val="17"/>
                  </w:rPr>
                  <w:instrText> PAGE </w:instrText>
                </w:r>
                <w:r>
                  <w:rPr/>
                  <w:fldChar w:fldCharType="separate"/>
                </w:r>
                <w:r>
                  <w:rPr/>
                  <w:t>12</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463997pt;margin-top:779.015991pt;width:418.51pt;height:1.44pt;mso-position-horizontal-relative:page;mso-position-vertical-relative:page;z-index:-19702272" filled="true" fillcolor="#bebebe" stroked="false">
          <v:fill type="solid"/>
          <w10:wrap type="none"/>
        </v:rect>
      </w:pict>
    </w:r>
    <w:r>
      <w:rPr/>
      <w:pict>
        <v:shape style="position:absolute;margin-left:88.903999pt;margin-top:790.226013pt;width:156.75pt;height:10.55pt;mso-position-horizontal-relative:page;mso-position-vertical-relative:page;z-index:-19701760" type="#_x0000_t202" filled="false" stroked="false">
          <v:textbox inset="0,0,0,0">
            <w:txbxContent>
              <w:p>
                <w:pPr>
                  <w:spacing w:line="193" w:lineRule="exact" w:before="0"/>
                  <w:ind w:left="20" w:right="0" w:firstLine="0"/>
                  <w:jc w:val="left"/>
                  <w:rPr>
                    <w:b/>
                    <w:sz w:val="17"/>
                  </w:rPr>
                </w:pPr>
                <w:r>
                  <w:rPr>
                    <w:b/>
                    <w:color w:val="00643E"/>
                    <w:sz w:val="17"/>
                  </w:rPr>
                  <w:t>Pain Management Clinical Committee, 2019</w:t>
                </w:r>
              </w:p>
            </w:txbxContent>
          </v:textbox>
          <w10:wrap type="none"/>
        </v:shape>
      </w:pict>
    </w:r>
    <w:r>
      <w:rPr/>
      <w:pict>
        <v:shape style="position:absolute;margin-left:476.940002pt;margin-top:790.226013pt;width:31.75pt;height:10.55pt;mso-position-horizontal-relative:page;mso-position-vertical-relative:page;z-index:-19701248" type="#_x0000_t202" filled="false" stroked="false">
          <v:textbox inset="0,0,0,0">
            <w:txbxContent>
              <w:p>
                <w:pPr>
                  <w:spacing w:line="193" w:lineRule="exact" w:before="0"/>
                  <w:ind w:left="20" w:right="0" w:firstLine="0"/>
                  <w:jc w:val="left"/>
                  <w:rPr>
                    <w:b/>
                    <w:sz w:val="17"/>
                  </w:rPr>
                </w:pPr>
                <w:r>
                  <w:rPr>
                    <w:b/>
                    <w:color w:val="00643E"/>
                    <w:sz w:val="17"/>
                  </w:rPr>
                  <w:t>Page </w:t>
                </w:r>
                <w:r>
                  <w:rPr/>
                  <w:fldChar w:fldCharType="begin"/>
                </w:r>
                <w:r>
                  <w:rPr>
                    <w:b/>
                    <w:color w:val="00643E"/>
                    <w:sz w:val="17"/>
                  </w:rPr>
                  <w:instrText> PAGE </w:instrText>
                </w:r>
                <w:r>
                  <w:rPr/>
                  <w:fldChar w:fldCharType="separate"/>
                </w:r>
                <w:r>
                  <w:rPr/>
                  <w:t>14</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88.463997pt;margin-top:779.015991pt;width:418.51pt;height:1.44pt;mso-position-horizontal-relative:page;mso-position-vertical-relative:page;z-index:-19700224" filled="true" fillcolor="#bebebe" stroked="false">
          <v:fill type="solid"/>
          <w10:wrap type="none"/>
        </v:rect>
      </w:pict>
    </w:r>
    <w:r>
      <w:rPr/>
      <w:pict>
        <v:shape style="position:absolute;margin-left:88.903999pt;margin-top:790.226013pt;width:156.75pt;height:10.55pt;mso-position-horizontal-relative:page;mso-position-vertical-relative:page;z-index:-19699712" type="#_x0000_t202" filled="false" stroked="false">
          <v:textbox inset="0,0,0,0">
            <w:txbxContent>
              <w:p>
                <w:pPr>
                  <w:spacing w:line="193" w:lineRule="exact" w:before="0"/>
                  <w:ind w:left="20" w:right="0" w:firstLine="0"/>
                  <w:jc w:val="left"/>
                  <w:rPr>
                    <w:b/>
                    <w:sz w:val="17"/>
                  </w:rPr>
                </w:pPr>
                <w:r>
                  <w:rPr>
                    <w:b/>
                    <w:color w:val="00643E"/>
                    <w:sz w:val="17"/>
                  </w:rPr>
                  <w:t>Pain Management Clinical Committee, 2019</w:t>
                </w:r>
              </w:p>
            </w:txbxContent>
          </v:textbox>
          <w10:wrap type="none"/>
        </v:shape>
      </w:pict>
    </w:r>
    <w:r>
      <w:rPr/>
      <w:pict>
        <v:shape style="position:absolute;margin-left:476.940002pt;margin-top:790.226013pt;width:31.75pt;height:10.55pt;mso-position-horizontal-relative:page;mso-position-vertical-relative:page;z-index:-19699200" type="#_x0000_t202" filled="false" stroked="false">
          <v:textbox inset="0,0,0,0">
            <w:txbxContent>
              <w:p>
                <w:pPr>
                  <w:spacing w:line="193" w:lineRule="exact" w:before="0"/>
                  <w:ind w:left="20" w:right="0" w:firstLine="0"/>
                  <w:jc w:val="left"/>
                  <w:rPr>
                    <w:b/>
                    <w:sz w:val="17"/>
                  </w:rPr>
                </w:pPr>
                <w:r>
                  <w:rPr>
                    <w:b/>
                    <w:color w:val="00643E"/>
                    <w:sz w:val="17"/>
                  </w:rPr>
                  <w:t>Page </w:t>
                </w:r>
                <w:r>
                  <w:rPr/>
                  <w:fldChar w:fldCharType="begin"/>
                </w:r>
                <w:r>
                  <w:rPr>
                    <w:b/>
                    <w:color w:val="00643E"/>
                    <w:sz w:val="17"/>
                  </w:rPr>
                  <w:instrText> PAGE </w:instrText>
                </w:r>
                <w:r>
                  <w:rPr/>
                  <w:fldChar w:fldCharType="separate"/>
                </w:r>
                <w:r>
                  <w:rPr/>
                  <w:t>15</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595264">
          <wp:simplePos x="0" y="0"/>
          <wp:positionH relativeFrom="page">
            <wp:posOffset>3878619</wp:posOffset>
          </wp:positionH>
          <wp:positionV relativeFrom="page">
            <wp:posOffset>426565</wp:posOffset>
          </wp:positionV>
          <wp:extent cx="2634534" cy="407188"/>
          <wp:effectExtent l="0" t="0" r="0" b="0"/>
          <wp:wrapNone/>
          <wp:docPr id="1" name="image2.jpeg"/>
          <wp:cNvGraphicFramePr>
            <a:graphicFrameLocks noChangeAspect="1"/>
          </wp:cNvGraphicFramePr>
          <a:graphic>
            <a:graphicData uri="http://schemas.openxmlformats.org/drawingml/2006/picture">
              <pic:pic>
                <pic:nvPicPr>
                  <pic:cNvPr id="2" name="image2.jpeg"/>
                  <pic:cNvPicPr/>
                </pic:nvPicPr>
                <pic:blipFill>
                  <a:blip r:embed="rId1" cstate="print"/>
                  <a:stretch>
                    <a:fillRect/>
                  </a:stretch>
                </pic:blipFill>
                <pic:spPr>
                  <a:xfrm>
                    <a:off x="0" y="0"/>
                    <a:ext cx="2634534" cy="407188"/>
                  </a:xfrm>
                  <a:prstGeom prst="rect">
                    <a:avLst/>
                  </a:prstGeom>
                </pic:spPr>
              </pic:pic>
            </a:graphicData>
          </a:graphic>
        </wp:anchor>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617792">
          <wp:simplePos x="0" y="0"/>
          <wp:positionH relativeFrom="page">
            <wp:posOffset>3878619</wp:posOffset>
          </wp:positionH>
          <wp:positionV relativeFrom="page">
            <wp:posOffset>426565</wp:posOffset>
          </wp:positionV>
          <wp:extent cx="2634534" cy="407188"/>
          <wp:effectExtent l="0" t="0" r="0" b="0"/>
          <wp:wrapNone/>
          <wp:docPr id="405" name="image2.jpeg"/>
          <wp:cNvGraphicFramePr>
            <a:graphicFrameLocks noChangeAspect="1"/>
          </wp:cNvGraphicFramePr>
          <a:graphic>
            <a:graphicData uri="http://schemas.openxmlformats.org/drawingml/2006/picture">
              <pic:pic>
                <pic:nvPicPr>
                  <pic:cNvPr id="406" name="image2.jpeg"/>
                  <pic:cNvPicPr/>
                </pic:nvPicPr>
                <pic:blipFill>
                  <a:blip r:embed="rId1" cstate="print"/>
                  <a:stretch>
                    <a:fillRect/>
                  </a:stretch>
                </pic:blipFill>
                <pic:spPr>
                  <a:xfrm>
                    <a:off x="0" y="0"/>
                    <a:ext cx="2634534" cy="407188"/>
                  </a:xfrm>
                  <a:prstGeom prst="rect">
                    <a:avLst/>
                  </a:prstGeom>
                </pic:spPr>
              </pic:pic>
            </a:graphicData>
          </a:graphic>
        </wp:anchor>
      </w:drawing>
    </w:r>
    <w:r>
      <w:rPr/>
      <w:drawing>
        <wp:anchor distT="0" distB="0" distL="0" distR="0" allowOverlap="1" layoutInCell="1" locked="0" behindDoc="1" simplePos="0" relativeHeight="483618304">
          <wp:simplePos x="0" y="0"/>
          <wp:positionH relativeFrom="page">
            <wp:posOffset>1423606</wp:posOffset>
          </wp:positionH>
          <wp:positionV relativeFrom="page">
            <wp:posOffset>1289494</wp:posOffset>
          </wp:positionV>
          <wp:extent cx="52387" cy="52387"/>
          <wp:effectExtent l="0" t="0" r="0" b="0"/>
          <wp:wrapNone/>
          <wp:docPr id="407" name="image176.png"/>
          <wp:cNvGraphicFramePr>
            <a:graphicFrameLocks noChangeAspect="1"/>
          </wp:cNvGraphicFramePr>
          <a:graphic>
            <a:graphicData uri="http://schemas.openxmlformats.org/drawingml/2006/picture">
              <pic:pic>
                <pic:nvPicPr>
                  <pic:cNvPr id="408" name="image176.png"/>
                  <pic:cNvPicPr/>
                </pic:nvPicPr>
                <pic:blipFill>
                  <a:blip r:embed="rId2" cstate="print"/>
                  <a:stretch>
                    <a:fillRect/>
                  </a:stretch>
                </pic:blipFill>
                <pic:spPr>
                  <a:xfrm>
                    <a:off x="0" y="0"/>
                    <a:ext cx="52387" cy="52387"/>
                  </a:xfrm>
                  <a:prstGeom prst="rect">
                    <a:avLst/>
                  </a:prstGeom>
                </pic:spPr>
              </pic:pic>
            </a:graphicData>
          </a:graphic>
        </wp:anchor>
      </w:drawing>
    </w:r>
    <w:r>
      <w:rPr/>
      <w:drawing>
        <wp:anchor distT="0" distB="0" distL="0" distR="0" allowOverlap="1" layoutInCell="1" locked="0" behindDoc="1" simplePos="0" relativeHeight="483618816">
          <wp:simplePos x="0" y="0"/>
          <wp:positionH relativeFrom="page">
            <wp:posOffset>1423606</wp:posOffset>
          </wp:positionH>
          <wp:positionV relativeFrom="page">
            <wp:posOffset>1594294</wp:posOffset>
          </wp:positionV>
          <wp:extent cx="52387" cy="52387"/>
          <wp:effectExtent l="0" t="0" r="0" b="0"/>
          <wp:wrapNone/>
          <wp:docPr id="409" name="image176.png"/>
          <wp:cNvGraphicFramePr>
            <a:graphicFrameLocks noChangeAspect="1"/>
          </wp:cNvGraphicFramePr>
          <a:graphic>
            <a:graphicData uri="http://schemas.openxmlformats.org/drawingml/2006/picture">
              <pic:pic>
                <pic:nvPicPr>
                  <pic:cNvPr id="410" name="image176.png"/>
                  <pic:cNvPicPr/>
                </pic:nvPicPr>
                <pic:blipFill>
                  <a:blip r:embed="rId2" cstate="print"/>
                  <a:stretch>
                    <a:fillRect/>
                  </a:stretch>
                </pic:blipFill>
                <pic:spPr>
                  <a:xfrm>
                    <a:off x="0" y="0"/>
                    <a:ext cx="52387" cy="52387"/>
                  </a:xfrm>
                  <a:prstGeom prst="rect">
                    <a:avLst/>
                  </a:prstGeom>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620864">
          <wp:simplePos x="0" y="0"/>
          <wp:positionH relativeFrom="page">
            <wp:posOffset>3878619</wp:posOffset>
          </wp:positionH>
          <wp:positionV relativeFrom="page">
            <wp:posOffset>426565</wp:posOffset>
          </wp:positionV>
          <wp:extent cx="2634534" cy="407188"/>
          <wp:effectExtent l="0" t="0" r="0" b="0"/>
          <wp:wrapNone/>
          <wp:docPr id="411" name="image2.jpeg"/>
          <wp:cNvGraphicFramePr>
            <a:graphicFrameLocks noChangeAspect="1"/>
          </wp:cNvGraphicFramePr>
          <a:graphic>
            <a:graphicData uri="http://schemas.openxmlformats.org/drawingml/2006/picture">
              <pic:pic>
                <pic:nvPicPr>
                  <pic:cNvPr id="412" name="image2.jpeg"/>
                  <pic:cNvPicPr/>
                </pic:nvPicPr>
                <pic:blipFill>
                  <a:blip r:embed="rId1" cstate="print"/>
                  <a:stretch>
                    <a:fillRect/>
                  </a:stretch>
                </pic:blipFill>
                <pic:spPr>
                  <a:xfrm>
                    <a:off x="0" y="0"/>
                    <a:ext cx="2634534" cy="407188"/>
                  </a:xfrm>
                  <a:prstGeom prst="rect">
                    <a:avLst/>
                  </a:prstGeom>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622912">
          <wp:simplePos x="0" y="0"/>
          <wp:positionH relativeFrom="page">
            <wp:posOffset>3878619</wp:posOffset>
          </wp:positionH>
          <wp:positionV relativeFrom="page">
            <wp:posOffset>426565</wp:posOffset>
          </wp:positionV>
          <wp:extent cx="2634534" cy="407188"/>
          <wp:effectExtent l="0" t="0" r="0" b="0"/>
          <wp:wrapNone/>
          <wp:docPr id="429" name="image2.jpeg"/>
          <wp:cNvGraphicFramePr>
            <a:graphicFrameLocks noChangeAspect="1"/>
          </wp:cNvGraphicFramePr>
          <a:graphic>
            <a:graphicData uri="http://schemas.openxmlformats.org/drawingml/2006/picture">
              <pic:pic>
                <pic:nvPicPr>
                  <pic:cNvPr id="430" name="image2.jpeg"/>
                  <pic:cNvPicPr/>
                </pic:nvPicPr>
                <pic:blipFill>
                  <a:blip r:embed="rId1" cstate="print"/>
                  <a:stretch>
                    <a:fillRect/>
                  </a:stretch>
                </pic:blipFill>
                <pic:spPr>
                  <a:xfrm>
                    <a:off x="0" y="0"/>
                    <a:ext cx="2634534" cy="407188"/>
                  </a:xfrm>
                  <a:prstGeom prst="rect">
                    <a:avLst/>
                  </a:prstGeom>
                </pic:spPr>
              </pic:pic>
            </a:graphicData>
          </a:graphic>
        </wp:anchor>
      </w:drawing>
    </w:r>
    <w:r>
      <w:rPr/>
      <w:drawing>
        <wp:anchor distT="0" distB="0" distL="0" distR="0" allowOverlap="1" layoutInCell="1" locked="0" behindDoc="1" simplePos="0" relativeHeight="483623424">
          <wp:simplePos x="0" y="0"/>
          <wp:positionH relativeFrom="page">
            <wp:posOffset>1362646</wp:posOffset>
          </wp:positionH>
          <wp:positionV relativeFrom="page">
            <wp:posOffset>1809178</wp:posOffset>
          </wp:positionV>
          <wp:extent cx="52387" cy="52387"/>
          <wp:effectExtent l="0" t="0" r="0" b="0"/>
          <wp:wrapNone/>
          <wp:docPr id="431" name="image176.png"/>
          <wp:cNvGraphicFramePr>
            <a:graphicFrameLocks noChangeAspect="1"/>
          </wp:cNvGraphicFramePr>
          <a:graphic>
            <a:graphicData uri="http://schemas.openxmlformats.org/drawingml/2006/picture">
              <pic:pic>
                <pic:nvPicPr>
                  <pic:cNvPr id="432" name="image176.png"/>
                  <pic:cNvPicPr/>
                </pic:nvPicPr>
                <pic:blipFill>
                  <a:blip r:embed="rId2" cstate="print"/>
                  <a:stretch>
                    <a:fillRect/>
                  </a:stretch>
                </pic:blipFill>
                <pic:spPr>
                  <a:xfrm>
                    <a:off x="0" y="0"/>
                    <a:ext cx="52387" cy="52387"/>
                  </a:xfrm>
                  <a:prstGeom prst="rect">
                    <a:avLst/>
                  </a:prstGeom>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625472">
          <wp:simplePos x="0" y="0"/>
          <wp:positionH relativeFrom="page">
            <wp:posOffset>3878619</wp:posOffset>
          </wp:positionH>
          <wp:positionV relativeFrom="page">
            <wp:posOffset>426565</wp:posOffset>
          </wp:positionV>
          <wp:extent cx="2634534" cy="407188"/>
          <wp:effectExtent l="0" t="0" r="0" b="0"/>
          <wp:wrapNone/>
          <wp:docPr id="445" name="image2.jpeg"/>
          <wp:cNvGraphicFramePr>
            <a:graphicFrameLocks noChangeAspect="1"/>
          </wp:cNvGraphicFramePr>
          <a:graphic>
            <a:graphicData uri="http://schemas.openxmlformats.org/drawingml/2006/picture">
              <pic:pic>
                <pic:nvPicPr>
                  <pic:cNvPr id="446" name="image2.jpeg"/>
                  <pic:cNvPicPr/>
                </pic:nvPicPr>
                <pic:blipFill>
                  <a:blip r:embed="rId1" cstate="print"/>
                  <a:stretch>
                    <a:fillRect/>
                  </a:stretch>
                </pic:blipFill>
                <pic:spPr>
                  <a:xfrm>
                    <a:off x="0" y="0"/>
                    <a:ext cx="2634534" cy="407188"/>
                  </a:xfrm>
                  <a:prstGeom prst="rect">
                    <a:avLst/>
                  </a:prstGeom>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627520">
          <wp:simplePos x="0" y="0"/>
          <wp:positionH relativeFrom="page">
            <wp:posOffset>3878619</wp:posOffset>
          </wp:positionH>
          <wp:positionV relativeFrom="page">
            <wp:posOffset>426565</wp:posOffset>
          </wp:positionV>
          <wp:extent cx="2634534" cy="407188"/>
          <wp:effectExtent l="0" t="0" r="0" b="0"/>
          <wp:wrapNone/>
          <wp:docPr id="459" name="image2.jpeg"/>
          <wp:cNvGraphicFramePr>
            <a:graphicFrameLocks noChangeAspect="1"/>
          </wp:cNvGraphicFramePr>
          <a:graphic>
            <a:graphicData uri="http://schemas.openxmlformats.org/drawingml/2006/picture">
              <pic:pic>
                <pic:nvPicPr>
                  <pic:cNvPr id="460" name="image2.jpeg"/>
                  <pic:cNvPicPr/>
                </pic:nvPicPr>
                <pic:blipFill>
                  <a:blip r:embed="rId1" cstate="print"/>
                  <a:stretch>
                    <a:fillRect/>
                  </a:stretch>
                </pic:blipFill>
                <pic:spPr>
                  <a:xfrm>
                    <a:off x="0" y="0"/>
                    <a:ext cx="2634534" cy="407188"/>
                  </a:xfrm>
                  <a:prstGeom prst="rect">
                    <a:avLst/>
                  </a:prstGeom>
                </pic:spPr>
              </pic:pic>
            </a:graphicData>
          </a:graphic>
        </wp:anchor>
      </w:drawing>
    </w:r>
    <w:r>
      <w:rPr/>
      <w:drawing>
        <wp:anchor distT="0" distB="0" distL="0" distR="0" allowOverlap="1" layoutInCell="1" locked="0" behindDoc="1" simplePos="0" relativeHeight="483628032">
          <wp:simplePos x="0" y="0"/>
          <wp:positionH relativeFrom="page">
            <wp:posOffset>1362646</wp:posOffset>
          </wp:positionH>
          <wp:positionV relativeFrom="page">
            <wp:posOffset>1289494</wp:posOffset>
          </wp:positionV>
          <wp:extent cx="52387" cy="52387"/>
          <wp:effectExtent l="0" t="0" r="0" b="0"/>
          <wp:wrapNone/>
          <wp:docPr id="461" name="image176.png"/>
          <wp:cNvGraphicFramePr>
            <a:graphicFrameLocks noChangeAspect="1"/>
          </wp:cNvGraphicFramePr>
          <a:graphic>
            <a:graphicData uri="http://schemas.openxmlformats.org/drawingml/2006/picture">
              <pic:pic>
                <pic:nvPicPr>
                  <pic:cNvPr id="462" name="image176.png"/>
                  <pic:cNvPicPr/>
                </pic:nvPicPr>
                <pic:blipFill>
                  <a:blip r:embed="rId2" cstate="print"/>
                  <a:stretch>
                    <a:fillRect/>
                  </a:stretch>
                </pic:blipFill>
                <pic:spPr>
                  <a:xfrm>
                    <a:off x="0" y="0"/>
                    <a:ext cx="52387" cy="52387"/>
                  </a:xfrm>
                  <a:prstGeom prst="rect">
                    <a:avLst/>
                  </a:prstGeom>
                </pic:spPr>
              </pic:pic>
            </a:graphicData>
          </a:graphic>
        </wp:anchor>
      </w:drawing>
    </w:r>
    <w:r>
      <w:rPr/>
      <w:drawing>
        <wp:anchor distT="0" distB="0" distL="0" distR="0" allowOverlap="1" layoutInCell="1" locked="0" behindDoc="1" simplePos="0" relativeHeight="483628544">
          <wp:simplePos x="0" y="0"/>
          <wp:positionH relativeFrom="page">
            <wp:posOffset>1362646</wp:posOffset>
          </wp:positionH>
          <wp:positionV relativeFrom="page">
            <wp:posOffset>1816798</wp:posOffset>
          </wp:positionV>
          <wp:extent cx="52387" cy="52387"/>
          <wp:effectExtent l="0" t="0" r="0" b="0"/>
          <wp:wrapNone/>
          <wp:docPr id="463" name="image176.png"/>
          <wp:cNvGraphicFramePr>
            <a:graphicFrameLocks noChangeAspect="1"/>
          </wp:cNvGraphicFramePr>
          <a:graphic>
            <a:graphicData uri="http://schemas.openxmlformats.org/drawingml/2006/picture">
              <pic:pic>
                <pic:nvPicPr>
                  <pic:cNvPr id="464" name="image176.png"/>
                  <pic:cNvPicPr/>
                </pic:nvPicPr>
                <pic:blipFill>
                  <a:blip r:embed="rId2" cstate="print"/>
                  <a:stretch>
                    <a:fillRect/>
                  </a:stretch>
                </pic:blipFill>
                <pic:spPr>
                  <a:xfrm>
                    <a:off x="0" y="0"/>
                    <a:ext cx="52387" cy="52387"/>
                  </a:xfrm>
                  <a:prstGeom prst="rect">
                    <a:avLst/>
                  </a:prstGeom>
                </pic:spPr>
              </pic:pic>
            </a:graphicData>
          </a:graphic>
        </wp:anchor>
      </w:drawing>
    </w:r>
    <w:r>
      <w:rPr/>
      <w:drawing>
        <wp:anchor distT="0" distB="0" distL="0" distR="0" allowOverlap="1" layoutInCell="1" locked="0" behindDoc="1" simplePos="0" relativeHeight="483629056">
          <wp:simplePos x="0" y="0"/>
          <wp:positionH relativeFrom="page">
            <wp:posOffset>1362646</wp:posOffset>
          </wp:positionH>
          <wp:positionV relativeFrom="page">
            <wp:posOffset>2342578</wp:posOffset>
          </wp:positionV>
          <wp:extent cx="52387" cy="52387"/>
          <wp:effectExtent l="0" t="0" r="0" b="0"/>
          <wp:wrapNone/>
          <wp:docPr id="465" name="image176.png"/>
          <wp:cNvGraphicFramePr>
            <a:graphicFrameLocks noChangeAspect="1"/>
          </wp:cNvGraphicFramePr>
          <a:graphic>
            <a:graphicData uri="http://schemas.openxmlformats.org/drawingml/2006/picture">
              <pic:pic>
                <pic:nvPicPr>
                  <pic:cNvPr id="466" name="image176.png"/>
                  <pic:cNvPicPr/>
                </pic:nvPicPr>
                <pic:blipFill>
                  <a:blip r:embed="rId2" cstate="print"/>
                  <a:stretch>
                    <a:fillRect/>
                  </a:stretch>
                </pic:blipFill>
                <pic:spPr>
                  <a:xfrm>
                    <a:off x="0" y="0"/>
                    <a:ext cx="52387" cy="52387"/>
                  </a:xfrm>
                  <a:prstGeom prst="rect">
                    <a:avLst/>
                  </a:prstGeom>
                </pic:spPr>
              </pic:pic>
            </a:graphicData>
          </a:graphic>
        </wp:anchor>
      </w:drawing>
    </w:r>
    <w:r>
      <w:rPr/>
      <w:drawing>
        <wp:anchor distT="0" distB="0" distL="0" distR="0" allowOverlap="1" layoutInCell="1" locked="0" behindDoc="1" simplePos="0" relativeHeight="483629568">
          <wp:simplePos x="0" y="0"/>
          <wp:positionH relativeFrom="page">
            <wp:posOffset>1362646</wp:posOffset>
          </wp:positionH>
          <wp:positionV relativeFrom="page">
            <wp:posOffset>2869882</wp:posOffset>
          </wp:positionV>
          <wp:extent cx="52387" cy="52387"/>
          <wp:effectExtent l="0" t="0" r="0" b="0"/>
          <wp:wrapNone/>
          <wp:docPr id="467" name="image176.png"/>
          <wp:cNvGraphicFramePr>
            <a:graphicFrameLocks noChangeAspect="1"/>
          </wp:cNvGraphicFramePr>
          <a:graphic>
            <a:graphicData uri="http://schemas.openxmlformats.org/drawingml/2006/picture">
              <pic:pic>
                <pic:nvPicPr>
                  <pic:cNvPr id="468" name="image176.png"/>
                  <pic:cNvPicPr/>
                </pic:nvPicPr>
                <pic:blipFill>
                  <a:blip r:embed="rId2" cstate="print"/>
                  <a:stretch>
                    <a:fillRect/>
                  </a:stretch>
                </pic:blipFill>
                <pic:spPr>
                  <a:xfrm>
                    <a:off x="0" y="0"/>
                    <a:ext cx="52387" cy="52387"/>
                  </a:xfrm>
                  <a:prstGeom prst="rect">
                    <a:avLst/>
                  </a:prstGeom>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631616">
          <wp:simplePos x="0" y="0"/>
          <wp:positionH relativeFrom="page">
            <wp:posOffset>3878619</wp:posOffset>
          </wp:positionH>
          <wp:positionV relativeFrom="page">
            <wp:posOffset>426565</wp:posOffset>
          </wp:positionV>
          <wp:extent cx="2634534" cy="407188"/>
          <wp:effectExtent l="0" t="0" r="0" b="0"/>
          <wp:wrapNone/>
          <wp:docPr id="469" name="image2.jpeg"/>
          <wp:cNvGraphicFramePr>
            <a:graphicFrameLocks noChangeAspect="1"/>
          </wp:cNvGraphicFramePr>
          <a:graphic>
            <a:graphicData uri="http://schemas.openxmlformats.org/drawingml/2006/picture">
              <pic:pic>
                <pic:nvPicPr>
                  <pic:cNvPr id="470" name="image2.jpeg"/>
                  <pic:cNvPicPr/>
                </pic:nvPicPr>
                <pic:blipFill>
                  <a:blip r:embed="rId1" cstate="print"/>
                  <a:stretch>
                    <a:fillRect/>
                  </a:stretch>
                </pic:blipFill>
                <pic:spPr>
                  <a:xfrm>
                    <a:off x="0" y="0"/>
                    <a:ext cx="2634534" cy="407188"/>
                  </a:xfrm>
                  <a:prstGeom prst="rect">
                    <a:avLst/>
                  </a:prstGeom>
                </pic:spPr>
              </pic:pic>
            </a:graphicData>
          </a:graphic>
        </wp:anchor>
      </w:drawing>
    </w:r>
    <w:r>
      <w:rPr/>
      <w:drawing>
        <wp:anchor distT="0" distB="0" distL="0" distR="0" allowOverlap="1" layoutInCell="1" locked="0" behindDoc="1" simplePos="0" relativeHeight="483632128">
          <wp:simplePos x="0" y="0"/>
          <wp:positionH relativeFrom="page">
            <wp:posOffset>1362646</wp:posOffset>
          </wp:positionH>
          <wp:positionV relativeFrom="page">
            <wp:posOffset>2126170</wp:posOffset>
          </wp:positionV>
          <wp:extent cx="52387" cy="52387"/>
          <wp:effectExtent l="0" t="0" r="0" b="0"/>
          <wp:wrapNone/>
          <wp:docPr id="471" name="image176.png"/>
          <wp:cNvGraphicFramePr>
            <a:graphicFrameLocks noChangeAspect="1"/>
          </wp:cNvGraphicFramePr>
          <a:graphic>
            <a:graphicData uri="http://schemas.openxmlformats.org/drawingml/2006/picture">
              <pic:pic>
                <pic:nvPicPr>
                  <pic:cNvPr id="472" name="image176.png"/>
                  <pic:cNvPicPr/>
                </pic:nvPicPr>
                <pic:blipFill>
                  <a:blip r:embed="rId2" cstate="print"/>
                  <a:stretch>
                    <a:fillRect/>
                  </a:stretch>
                </pic:blipFill>
                <pic:spPr>
                  <a:xfrm>
                    <a:off x="0" y="0"/>
                    <a:ext cx="52387" cy="52387"/>
                  </a:xfrm>
                  <a:prstGeom prst="rect">
                    <a:avLst/>
                  </a:prstGeom>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634176">
          <wp:simplePos x="0" y="0"/>
          <wp:positionH relativeFrom="page">
            <wp:posOffset>3878619</wp:posOffset>
          </wp:positionH>
          <wp:positionV relativeFrom="page">
            <wp:posOffset>426565</wp:posOffset>
          </wp:positionV>
          <wp:extent cx="2634534" cy="407188"/>
          <wp:effectExtent l="0" t="0" r="0" b="0"/>
          <wp:wrapNone/>
          <wp:docPr id="479" name="image2.jpeg"/>
          <wp:cNvGraphicFramePr>
            <a:graphicFrameLocks noChangeAspect="1"/>
          </wp:cNvGraphicFramePr>
          <a:graphic>
            <a:graphicData uri="http://schemas.openxmlformats.org/drawingml/2006/picture">
              <pic:pic>
                <pic:nvPicPr>
                  <pic:cNvPr id="480" name="image2.jpeg"/>
                  <pic:cNvPicPr/>
                </pic:nvPicPr>
                <pic:blipFill>
                  <a:blip r:embed="rId1" cstate="print"/>
                  <a:stretch>
                    <a:fillRect/>
                  </a:stretch>
                </pic:blipFill>
                <pic:spPr>
                  <a:xfrm>
                    <a:off x="0" y="0"/>
                    <a:ext cx="2634534" cy="407188"/>
                  </a:xfrm>
                  <a:prstGeom prst="rect">
                    <a:avLst/>
                  </a:prstGeom>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636224">
          <wp:simplePos x="0" y="0"/>
          <wp:positionH relativeFrom="page">
            <wp:posOffset>3878619</wp:posOffset>
          </wp:positionH>
          <wp:positionV relativeFrom="page">
            <wp:posOffset>426565</wp:posOffset>
          </wp:positionV>
          <wp:extent cx="2634534" cy="407188"/>
          <wp:effectExtent l="0" t="0" r="0" b="0"/>
          <wp:wrapNone/>
          <wp:docPr id="497" name="image2.jpeg"/>
          <wp:cNvGraphicFramePr>
            <a:graphicFrameLocks noChangeAspect="1"/>
          </wp:cNvGraphicFramePr>
          <a:graphic>
            <a:graphicData uri="http://schemas.openxmlformats.org/drawingml/2006/picture">
              <pic:pic>
                <pic:nvPicPr>
                  <pic:cNvPr id="498" name="image2.jpeg"/>
                  <pic:cNvPicPr/>
                </pic:nvPicPr>
                <pic:blipFill>
                  <a:blip r:embed="rId1" cstate="print"/>
                  <a:stretch>
                    <a:fillRect/>
                  </a:stretch>
                </pic:blipFill>
                <pic:spPr>
                  <a:xfrm>
                    <a:off x="0" y="0"/>
                    <a:ext cx="2634534" cy="407188"/>
                  </a:xfrm>
                  <a:prstGeom prst="rect">
                    <a:avLst/>
                  </a:prstGeom>
                </pic:spPr>
              </pic:pic>
            </a:graphicData>
          </a:graphic>
        </wp:anchor>
      </w:drawing>
    </w:r>
    <w:r>
      <w:rPr/>
      <w:drawing>
        <wp:anchor distT="0" distB="0" distL="0" distR="0" allowOverlap="1" layoutInCell="1" locked="0" behindDoc="1" simplePos="0" relativeHeight="483636736">
          <wp:simplePos x="0" y="0"/>
          <wp:positionH relativeFrom="page">
            <wp:posOffset>1362646</wp:posOffset>
          </wp:positionH>
          <wp:positionV relativeFrom="page">
            <wp:posOffset>2126170</wp:posOffset>
          </wp:positionV>
          <wp:extent cx="52387" cy="52387"/>
          <wp:effectExtent l="0" t="0" r="0" b="0"/>
          <wp:wrapNone/>
          <wp:docPr id="499" name="image176.png"/>
          <wp:cNvGraphicFramePr>
            <a:graphicFrameLocks noChangeAspect="1"/>
          </wp:cNvGraphicFramePr>
          <a:graphic>
            <a:graphicData uri="http://schemas.openxmlformats.org/drawingml/2006/picture">
              <pic:pic>
                <pic:nvPicPr>
                  <pic:cNvPr id="500" name="image176.png"/>
                  <pic:cNvPicPr/>
                </pic:nvPicPr>
                <pic:blipFill>
                  <a:blip r:embed="rId2" cstate="print"/>
                  <a:stretch>
                    <a:fillRect/>
                  </a:stretch>
                </pic:blipFill>
                <pic:spPr>
                  <a:xfrm>
                    <a:off x="0" y="0"/>
                    <a:ext cx="52387" cy="52387"/>
                  </a:xfrm>
                  <a:prstGeom prst="rect">
                    <a:avLst/>
                  </a:prstGeom>
                </pic:spPr>
              </pic:pic>
            </a:graphicData>
          </a:graphic>
        </wp:anchor>
      </w:drawing>
    </w:r>
    <w:r>
      <w:rPr/>
      <w:drawing>
        <wp:anchor distT="0" distB="0" distL="0" distR="0" allowOverlap="1" layoutInCell="1" locked="0" behindDoc="1" simplePos="0" relativeHeight="483637248">
          <wp:simplePos x="0" y="0"/>
          <wp:positionH relativeFrom="page">
            <wp:posOffset>1362646</wp:posOffset>
          </wp:positionH>
          <wp:positionV relativeFrom="page">
            <wp:posOffset>2653474</wp:posOffset>
          </wp:positionV>
          <wp:extent cx="52387" cy="52387"/>
          <wp:effectExtent l="0" t="0" r="0" b="0"/>
          <wp:wrapNone/>
          <wp:docPr id="501" name="image176.png"/>
          <wp:cNvGraphicFramePr>
            <a:graphicFrameLocks noChangeAspect="1"/>
          </wp:cNvGraphicFramePr>
          <a:graphic>
            <a:graphicData uri="http://schemas.openxmlformats.org/drawingml/2006/picture">
              <pic:pic>
                <pic:nvPicPr>
                  <pic:cNvPr id="502" name="image176.png"/>
                  <pic:cNvPicPr/>
                </pic:nvPicPr>
                <pic:blipFill>
                  <a:blip r:embed="rId2" cstate="print"/>
                  <a:stretch>
                    <a:fillRect/>
                  </a:stretch>
                </pic:blipFill>
                <pic:spPr>
                  <a:xfrm>
                    <a:off x="0" y="0"/>
                    <a:ext cx="52387" cy="52387"/>
                  </a:xfrm>
                  <a:prstGeom prst="rect">
                    <a:avLst/>
                  </a:prstGeom>
                </pic:spPr>
              </pic:pic>
            </a:graphicData>
          </a:graphic>
        </wp:anchor>
      </w:drawing>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639296">
          <wp:simplePos x="0" y="0"/>
          <wp:positionH relativeFrom="page">
            <wp:posOffset>3878619</wp:posOffset>
          </wp:positionH>
          <wp:positionV relativeFrom="page">
            <wp:posOffset>426565</wp:posOffset>
          </wp:positionV>
          <wp:extent cx="2634534" cy="407188"/>
          <wp:effectExtent l="0" t="0" r="0" b="0"/>
          <wp:wrapNone/>
          <wp:docPr id="511" name="image2.jpeg"/>
          <wp:cNvGraphicFramePr>
            <a:graphicFrameLocks noChangeAspect="1"/>
          </wp:cNvGraphicFramePr>
          <a:graphic>
            <a:graphicData uri="http://schemas.openxmlformats.org/drawingml/2006/picture">
              <pic:pic>
                <pic:nvPicPr>
                  <pic:cNvPr id="512" name="image2.jpeg"/>
                  <pic:cNvPicPr/>
                </pic:nvPicPr>
                <pic:blipFill>
                  <a:blip r:embed="rId1" cstate="print"/>
                  <a:stretch>
                    <a:fillRect/>
                  </a:stretch>
                </pic:blipFill>
                <pic:spPr>
                  <a:xfrm>
                    <a:off x="0" y="0"/>
                    <a:ext cx="2634534" cy="407188"/>
                  </a:xfrm>
                  <a:prstGeom prst="rect">
                    <a:avLst/>
                  </a:prstGeom>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641344">
          <wp:simplePos x="0" y="0"/>
          <wp:positionH relativeFrom="page">
            <wp:posOffset>3878619</wp:posOffset>
          </wp:positionH>
          <wp:positionV relativeFrom="page">
            <wp:posOffset>426565</wp:posOffset>
          </wp:positionV>
          <wp:extent cx="2634534" cy="407188"/>
          <wp:effectExtent l="0" t="0" r="0" b="0"/>
          <wp:wrapNone/>
          <wp:docPr id="523" name="image2.jpeg"/>
          <wp:cNvGraphicFramePr>
            <a:graphicFrameLocks noChangeAspect="1"/>
          </wp:cNvGraphicFramePr>
          <a:graphic>
            <a:graphicData uri="http://schemas.openxmlformats.org/drawingml/2006/picture">
              <pic:pic>
                <pic:nvPicPr>
                  <pic:cNvPr id="524" name="image2.jpeg"/>
                  <pic:cNvPicPr/>
                </pic:nvPicPr>
                <pic:blipFill>
                  <a:blip r:embed="rId1" cstate="print"/>
                  <a:stretch>
                    <a:fillRect/>
                  </a:stretch>
                </pic:blipFill>
                <pic:spPr>
                  <a:xfrm>
                    <a:off x="0" y="0"/>
                    <a:ext cx="2634534" cy="407188"/>
                  </a:xfrm>
                  <a:prstGeom prst="rect">
                    <a:avLst/>
                  </a:prstGeom>
                </pic:spPr>
              </pic:pic>
            </a:graphicData>
          </a:graphic>
        </wp:anchor>
      </w:drawing>
    </w:r>
    <w:r>
      <w:rPr/>
      <w:drawing>
        <wp:anchor distT="0" distB="0" distL="0" distR="0" allowOverlap="1" layoutInCell="1" locked="0" behindDoc="1" simplePos="0" relativeHeight="483641856">
          <wp:simplePos x="0" y="0"/>
          <wp:positionH relativeFrom="page">
            <wp:posOffset>1362646</wp:posOffset>
          </wp:positionH>
          <wp:positionV relativeFrom="page">
            <wp:posOffset>2126170</wp:posOffset>
          </wp:positionV>
          <wp:extent cx="52387" cy="52387"/>
          <wp:effectExtent l="0" t="0" r="0" b="0"/>
          <wp:wrapNone/>
          <wp:docPr id="525" name="image176.png"/>
          <wp:cNvGraphicFramePr>
            <a:graphicFrameLocks noChangeAspect="1"/>
          </wp:cNvGraphicFramePr>
          <a:graphic>
            <a:graphicData uri="http://schemas.openxmlformats.org/drawingml/2006/picture">
              <pic:pic>
                <pic:nvPicPr>
                  <pic:cNvPr id="526" name="image176.png"/>
                  <pic:cNvPicPr/>
                </pic:nvPicPr>
                <pic:blipFill>
                  <a:blip r:embed="rId2" cstate="print"/>
                  <a:stretch>
                    <a:fillRect/>
                  </a:stretch>
                </pic:blipFill>
                <pic:spPr>
                  <a:xfrm>
                    <a:off x="0" y="0"/>
                    <a:ext cx="52387" cy="52387"/>
                  </a:xfrm>
                  <a:prstGeom prst="rect">
                    <a:avLst/>
                  </a:prstGeom>
                </pic:spPr>
              </pic:pic>
            </a:graphicData>
          </a:graphic>
        </wp:anchor>
      </w:drawing>
    </w:r>
    <w:r>
      <w:rPr/>
      <w:drawing>
        <wp:anchor distT="0" distB="0" distL="0" distR="0" allowOverlap="1" layoutInCell="1" locked="0" behindDoc="1" simplePos="0" relativeHeight="483642368">
          <wp:simplePos x="0" y="0"/>
          <wp:positionH relativeFrom="page">
            <wp:posOffset>1362646</wp:posOffset>
          </wp:positionH>
          <wp:positionV relativeFrom="page">
            <wp:posOffset>2653474</wp:posOffset>
          </wp:positionV>
          <wp:extent cx="52387" cy="52387"/>
          <wp:effectExtent l="0" t="0" r="0" b="0"/>
          <wp:wrapNone/>
          <wp:docPr id="527" name="image176.png"/>
          <wp:cNvGraphicFramePr>
            <a:graphicFrameLocks noChangeAspect="1"/>
          </wp:cNvGraphicFramePr>
          <a:graphic>
            <a:graphicData uri="http://schemas.openxmlformats.org/drawingml/2006/picture">
              <pic:pic>
                <pic:nvPicPr>
                  <pic:cNvPr id="528" name="image176.png"/>
                  <pic:cNvPicPr/>
                </pic:nvPicPr>
                <pic:blipFill>
                  <a:blip r:embed="rId2" cstate="print"/>
                  <a:stretch>
                    <a:fillRect/>
                  </a:stretch>
                </pic:blipFill>
                <pic:spPr>
                  <a:xfrm>
                    <a:off x="0" y="0"/>
                    <a:ext cx="52387" cy="52387"/>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597312">
          <wp:simplePos x="0" y="0"/>
          <wp:positionH relativeFrom="page">
            <wp:posOffset>3878619</wp:posOffset>
          </wp:positionH>
          <wp:positionV relativeFrom="page">
            <wp:posOffset>426565</wp:posOffset>
          </wp:positionV>
          <wp:extent cx="2634534" cy="407188"/>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1" cstate="print"/>
                  <a:stretch>
                    <a:fillRect/>
                  </a:stretch>
                </pic:blipFill>
                <pic:spPr>
                  <a:xfrm>
                    <a:off x="0" y="0"/>
                    <a:ext cx="2634534" cy="407188"/>
                  </a:xfrm>
                  <a:prstGeom prst="rect">
                    <a:avLst/>
                  </a:prstGeom>
                </pic:spPr>
              </pic:pic>
            </a:graphicData>
          </a:graphic>
        </wp:anchor>
      </w:drawing>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644416">
          <wp:simplePos x="0" y="0"/>
          <wp:positionH relativeFrom="page">
            <wp:posOffset>3878619</wp:posOffset>
          </wp:positionH>
          <wp:positionV relativeFrom="page">
            <wp:posOffset>426565</wp:posOffset>
          </wp:positionV>
          <wp:extent cx="2634534" cy="407188"/>
          <wp:effectExtent l="0" t="0" r="0" b="0"/>
          <wp:wrapNone/>
          <wp:docPr id="533" name="image2.jpeg"/>
          <wp:cNvGraphicFramePr>
            <a:graphicFrameLocks noChangeAspect="1"/>
          </wp:cNvGraphicFramePr>
          <a:graphic>
            <a:graphicData uri="http://schemas.openxmlformats.org/drawingml/2006/picture">
              <pic:pic>
                <pic:nvPicPr>
                  <pic:cNvPr id="534" name="image2.jpeg"/>
                  <pic:cNvPicPr/>
                </pic:nvPicPr>
                <pic:blipFill>
                  <a:blip r:embed="rId1" cstate="print"/>
                  <a:stretch>
                    <a:fillRect/>
                  </a:stretch>
                </pic:blipFill>
                <pic:spPr>
                  <a:xfrm>
                    <a:off x="0" y="0"/>
                    <a:ext cx="2634534" cy="407188"/>
                  </a:xfrm>
                  <a:prstGeom prst="rect">
                    <a:avLst/>
                  </a:prstGeom>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646464">
          <wp:simplePos x="0" y="0"/>
          <wp:positionH relativeFrom="page">
            <wp:posOffset>3878619</wp:posOffset>
          </wp:positionH>
          <wp:positionV relativeFrom="page">
            <wp:posOffset>426565</wp:posOffset>
          </wp:positionV>
          <wp:extent cx="2634534" cy="407188"/>
          <wp:effectExtent l="0" t="0" r="0" b="0"/>
          <wp:wrapNone/>
          <wp:docPr id="537" name="image2.jpeg"/>
          <wp:cNvGraphicFramePr>
            <a:graphicFrameLocks noChangeAspect="1"/>
          </wp:cNvGraphicFramePr>
          <a:graphic>
            <a:graphicData uri="http://schemas.openxmlformats.org/drawingml/2006/picture">
              <pic:pic>
                <pic:nvPicPr>
                  <pic:cNvPr id="538" name="image2.jpeg"/>
                  <pic:cNvPicPr/>
                </pic:nvPicPr>
                <pic:blipFill>
                  <a:blip r:embed="rId1" cstate="print"/>
                  <a:stretch>
                    <a:fillRect/>
                  </a:stretch>
                </pic:blipFill>
                <pic:spPr>
                  <a:xfrm>
                    <a:off x="0" y="0"/>
                    <a:ext cx="2634534" cy="407188"/>
                  </a:xfrm>
                  <a:prstGeom prst="rect">
                    <a:avLst/>
                  </a:prstGeom>
                </pic:spPr>
              </pic:pic>
            </a:graphicData>
          </a:graphic>
        </wp:anchor>
      </w:drawing>
    </w:r>
    <w:r>
      <w:rPr/>
      <w:drawing>
        <wp:anchor distT="0" distB="0" distL="0" distR="0" allowOverlap="1" layoutInCell="1" locked="0" behindDoc="1" simplePos="0" relativeHeight="483646976">
          <wp:simplePos x="0" y="0"/>
          <wp:positionH relativeFrom="page">
            <wp:posOffset>1362646</wp:posOffset>
          </wp:positionH>
          <wp:positionV relativeFrom="page">
            <wp:posOffset>2030158</wp:posOffset>
          </wp:positionV>
          <wp:extent cx="52387" cy="52387"/>
          <wp:effectExtent l="0" t="0" r="0" b="0"/>
          <wp:wrapNone/>
          <wp:docPr id="539" name="image176.png"/>
          <wp:cNvGraphicFramePr>
            <a:graphicFrameLocks noChangeAspect="1"/>
          </wp:cNvGraphicFramePr>
          <a:graphic>
            <a:graphicData uri="http://schemas.openxmlformats.org/drawingml/2006/picture">
              <pic:pic>
                <pic:nvPicPr>
                  <pic:cNvPr id="540" name="image176.png"/>
                  <pic:cNvPicPr/>
                </pic:nvPicPr>
                <pic:blipFill>
                  <a:blip r:embed="rId2" cstate="print"/>
                  <a:stretch>
                    <a:fillRect/>
                  </a:stretch>
                </pic:blipFill>
                <pic:spPr>
                  <a:xfrm>
                    <a:off x="0" y="0"/>
                    <a:ext cx="52387" cy="52387"/>
                  </a:xfrm>
                  <a:prstGeom prst="rect">
                    <a:avLst/>
                  </a:prstGeom>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649024">
          <wp:simplePos x="0" y="0"/>
          <wp:positionH relativeFrom="page">
            <wp:posOffset>3878619</wp:posOffset>
          </wp:positionH>
          <wp:positionV relativeFrom="page">
            <wp:posOffset>426565</wp:posOffset>
          </wp:positionV>
          <wp:extent cx="2634534" cy="407188"/>
          <wp:effectExtent l="0" t="0" r="0" b="0"/>
          <wp:wrapNone/>
          <wp:docPr id="541" name="image2.jpeg"/>
          <wp:cNvGraphicFramePr>
            <a:graphicFrameLocks noChangeAspect="1"/>
          </wp:cNvGraphicFramePr>
          <a:graphic>
            <a:graphicData uri="http://schemas.openxmlformats.org/drawingml/2006/picture">
              <pic:pic>
                <pic:nvPicPr>
                  <pic:cNvPr id="542" name="image2.jpeg"/>
                  <pic:cNvPicPr/>
                </pic:nvPicPr>
                <pic:blipFill>
                  <a:blip r:embed="rId1" cstate="print"/>
                  <a:stretch>
                    <a:fillRect/>
                  </a:stretch>
                </pic:blipFill>
                <pic:spPr>
                  <a:xfrm>
                    <a:off x="0" y="0"/>
                    <a:ext cx="2634534" cy="407188"/>
                  </a:xfrm>
                  <a:prstGeom prst="rect">
                    <a:avLst/>
                  </a:prstGeom>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651072">
          <wp:simplePos x="0" y="0"/>
          <wp:positionH relativeFrom="page">
            <wp:posOffset>3878619</wp:posOffset>
          </wp:positionH>
          <wp:positionV relativeFrom="page">
            <wp:posOffset>426565</wp:posOffset>
          </wp:positionV>
          <wp:extent cx="2634534" cy="407188"/>
          <wp:effectExtent l="0" t="0" r="0" b="0"/>
          <wp:wrapNone/>
          <wp:docPr id="557" name="image2.jpeg"/>
          <wp:cNvGraphicFramePr>
            <a:graphicFrameLocks noChangeAspect="1"/>
          </wp:cNvGraphicFramePr>
          <a:graphic>
            <a:graphicData uri="http://schemas.openxmlformats.org/drawingml/2006/picture">
              <pic:pic>
                <pic:nvPicPr>
                  <pic:cNvPr id="558" name="image2.jpeg"/>
                  <pic:cNvPicPr/>
                </pic:nvPicPr>
                <pic:blipFill>
                  <a:blip r:embed="rId1" cstate="print"/>
                  <a:stretch>
                    <a:fillRect/>
                  </a:stretch>
                </pic:blipFill>
                <pic:spPr>
                  <a:xfrm>
                    <a:off x="0" y="0"/>
                    <a:ext cx="2634534" cy="407188"/>
                  </a:xfrm>
                  <a:prstGeom prst="rect">
                    <a:avLst/>
                  </a:prstGeom>
                </pic:spPr>
              </pic:pic>
            </a:graphicData>
          </a:graphic>
        </wp:anchor>
      </w:drawing>
    </w:r>
    <w:r>
      <w:rPr/>
      <w:drawing>
        <wp:anchor distT="0" distB="0" distL="0" distR="0" allowOverlap="1" layoutInCell="1" locked="0" behindDoc="1" simplePos="0" relativeHeight="483651584">
          <wp:simplePos x="0" y="0"/>
          <wp:positionH relativeFrom="page">
            <wp:posOffset>1362646</wp:posOffset>
          </wp:positionH>
          <wp:positionV relativeFrom="page">
            <wp:posOffset>2030158</wp:posOffset>
          </wp:positionV>
          <wp:extent cx="52387" cy="52387"/>
          <wp:effectExtent l="0" t="0" r="0" b="0"/>
          <wp:wrapNone/>
          <wp:docPr id="559" name="image176.png"/>
          <wp:cNvGraphicFramePr>
            <a:graphicFrameLocks noChangeAspect="1"/>
          </wp:cNvGraphicFramePr>
          <a:graphic>
            <a:graphicData uri="http://schemas.openxmlformats.org/drawingml/2006/picture">
              <pic:pic>
                <pic:nvPicPr>
                  <pic:cNvPr id="560" name="image176.png"/>
                  <pic:cNvPicPr/>
                </pic:nvPicPr>
                <pic:blipFill>
                  <a:blip r:embed="rId2" cstate="print"/>
                  <a:stretch>
                    <a:fillRect/>
                  </a:stretch>
                </pic:blipFill>
                <pic:spPr>
                  <a:xfrm>
                    <a:off x="0" y="0"/>
                    <a:ext cx="52387" cy="52387"/>
                  </a:xfrm>
                  <a:prstGeom prst="rect">
                    <a:avLst/>
                  </a:prstGeom>
                </pic:spPr>
              </pic:pic>
            </a:graphicData>
          </a:graphic>
        </wp:anchor>
      </w:drawing>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653632">
          <wp:simplePos x="0" y="0"/>
          <wp:positionH relativeFrom="page">
            <wp:posOffset>3878619</wp:posOffset>
          </wp:positionH>
          <wp:positionV relativeFrom="page">
            <wp:posOffset>426565</wp:posOffset>
          </wp:positionV>
          <wp:extent cx="2634534" cy="407188"/>
          <wp:effectExtent l="0" t="0" r="0" b="0"/>
          <wp:wrapNone/>
          <wp:docPr id="573" name="image2.jpeg"/>
          <wp:cNvGraphicFramePr>
            <a:graphicFrameLocks noChangeAspect="1"/>
          </wp:cNvGraphicFramePr>
          <a:graphic>
            <a:graphicData uri="http://schemas.openxmlformats.org/drawingml/2006/picture">
              <pic:pic>
                <pic:nvPicPr>
                  <pic:cNvPr id="574" name="image2.jpeg"/>
                  <pic:cNvPicPr/>
                </pic:nvPicPr>
                <pic:blipFill>
                  <a:blip r:embed="rId1" cstate="print"/>
                  <a:stretch>
                    <a:fillRect/>
                  </a:stretch>
                </pic:blipFill>
                <pic:spPr>
                  <a:xfrm>
                    <a:off x="0" y="0"/>
                    <a:ext cx="2634534" cy="407188"/>
                  </a:xfrm>
                  <a:prstGeom prst="rect">
                    <a:avLst/>
                  </a:prstGeom>
                </pic:spPr>
              </pic:pic>
            </a:graphicData>
          </a:graphic>
        </wp:anchor>
      </w:drawing>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655680">
          <wp:simplePos x="0" y="0"/>
          <wp:positionH relativeFrom="page">
            <wp:posOffset>3878619</wp:posOffset>
          </wp:positionH>
          <wp:positionV relativeFrom="page">
            <wp:posOffset>426565</wp:posOffset>
          </wp:positionV>
          <wp:extent cx="2634534" cy="407188"/>
          <wp:effectExtent l="0" t="0" r="0" b="0"/>
          <wp:wrapNone/>
          <wp:docPr id="585" name="image2.jpeg"/>
          <wp:cNvGraphicFramePr>
            <a:graphicFrameLocks noChangeAspect="1"/>
          </wp:cNvGraphicFramePr>
          <a:graphic>
            <a:graphicData uri="http://schemas.openxmlformats.org/drawingml/2006/picture">
              <pic:pic>
                <pic:nvPicPr>
                  <pic:cNvPr id="586" name="image2.jpeg"/>
                  <pic:cNvPicPr/>
                </pic:nvPicPr>
                <pic:blipFill>
                  <a:blip r:embed="rId1" cstate="print"/>
                  <a:stretch>
                    <a:fillRect/>
                  </a:stretch>
                </pic:blipFill>
                <pic:spPr>
                  <a:xfrm>
                    <a:off x="0" y="0"/>
                    <a:ext cx="2634534" cy="407188"/>
                  </a:xfrm>
                  <a:prstGeom prst="rect">
                    <a:avLst/>
                  </a:prstGeom>
                </pic:spPr>
              </pic:pic>
            </a:graphicData>
          </a:graphic>
        </wp:anchor>
      </w:drawing>
    </w:r>
    <w:r>
      <w:rPr/>
      <w:drawing>
        <wp:anchor distT="0" distB="0" distL="0" distR="0" allowOverlap="1" layoutInCell="1" locked="0" behindDoc="1" simplePos="0" relativeHeight="483656192">
          <wp:simplePos x="0" y="0"/>
          <wp:positionH relativeFrom="page">
            <wp:posOffset>1362646</wp:posOffset>
          </wp:positionH>
          <wp:positionV relativeFrom="page">
            <wp:posOffset>1289494</wp:posOffset>
          </wp:positionV>
          <wp:extent cx="52387" cy="52387"/>
          <wp:effectExtent l="0" t="0" r="0" b="0"/>
          <wp:wrapNone/>
          <wp:docPr id="587" name="image176.png"/>
          <wp:cNvGraphicFramePr>
            <a:graphicFrameLocks noChangeAspect="1"/>
          </wp:cNvGraphicFramePr>
          <a:graphic>
            <a:graphicData uri="http://schemas.openxmlformats.org/drawingml/2006/picture">
              <pic:pic>
                <pic:nvPicPr>
                  <pic:cNvPr id="588" name="image176.png"/>
                  <pic:cNvPicPr/>
                </pic:nvPicPr>
                <pic:blipFill>
                  <a:blip r:embed="rId2" cstate="print"/>
                  <a:stretch>
                    <a:fillRect/>
                  </a:stretch>
                </pic:blipFill>
                <pic:spPr>
                  <a:xfrm>
                    <a:off x="0" y="0"/>
                    <a:ext cx="52387" cy="52387"/>
                  </a:xfrm>
                  <a:prstGeom prst="rect">
                    <a:avLst/>
                  </a:prstGeom>
                </pic:spPr>
              </pic:pic>
            </a:graphicData>
          </a:graphic>
        </wp:anchor>
      </w:drawing>
    </w:r>
    <w:r>
      <w:rPr/>
      <w:drawing>
        <wp:anchor distT="0" distB="0" distL="0" distR="0" allowOverlap="1" layoutInCell="1" locked="0" behindDoc="1" simplePos="0" relativeHeight="483656704">
          <wp:simplePos x="0" y="0"/>
          <wp:positionH relativeFrom="page">
            <wp:posOffset>1362646</wp:posOffset>
          </wp:positionH>
          <wp:positionV relativeFrom="page">
            <wp:posOffset>2037778</wp:posOffset>
          </wp:positionV>
          <wp:extent cx="52387" cy="52387"/>
          <wp:effectExtent l="0" t="0" r="0" b="0"/>
          <wp:wrapNone/>
          <wp:docPr id="589" name="image176.png"/>
          <wp:cNvGraphicFramePr>
            <a:graphicFrameLocks noChangeAspect="1"/>
          </wp:cNvGraphicFramePr>
          <a:graphic>
            <a:graphicData uri="http://schemas.openxmlformats.org/drawingml/2006/picture">
              <pic:pic>
                <pic:nvPicPr>
                  <pic:cNvPr id="590" name="image176.png"/>
                  <pic:cNvPicPr/>
                </pic:nvPicPr>
                <pic:blipFill>
                  <a:blip r:embed="rId2" cstate="print"/>
                  <a:stretch>
                    <a:fillRect/>
                  </a:stretch>
                </pic:blipFill>
                <pic:spPr>
                  <a:xfrm>
                    <a:off x="0" y="0"/>
                    <a:ext cx="52387" cy="52387"/>
                  </a:xfrm>
                  <a:prstGeom prst="rect">
                    <a:avLst/>
                  </a:prstGeom>
                </pic:spPr>
              </pic:pic>
            </a:graphicData>
          </a:graphic>
        </wp:anchor>
      </w:drawing>
    </w:r>
    <w:r>
      <w:rPr/>
      <w:drawing>
        <wp:anchor distT="0" distB="0" distL="0" distR="0" allowOverlap="1" layoutInCell="1" locked="0" behindDoc="1" simplePos="0" relativeHeight="483657216">
          <wp:simplePos x="0" y="0"/>
          <wp:positionH relativeFrom="page">
            <wp:posOffset>1362646</wp:posOffset>
          </wp:positionH>
          <wp:positionV relativeFrom="page">
            <wp:posOffset>2565082</wp:posOffset>
          </wp:positionV>
          <wp:extent cx="52387" cy="52387"/>
          <wp:effectExtent l="0" t="0" r="0" b="0"/>
          <wp:wrapNone/>
          <wp:docPr id="591" name="image176.png"/>
          <wp:cNvGraphicFramePr>
            <a:graphicFrameLocks noChangeAspect="1"/>
          </wp:cNvGraphicFramePr>
          <a:graphic>
            <a:graphicData uri="http://schemas.openxmlformats.org/drawingml/2006/picture">
              <pic:pic>
                <pic:nvPicPr>
                  <pic:cNvPr id="592" name="image176.png"/>
                  <pic:cNvPicPr/>
                </pic:nvPicPr>
                <pic:blipFill>
                  <a:blip r:embed="rId2" cstate="print"/>
                  <a:stretch>
                    <a:fillRect/>
                  </a:stretch>
                </pic:blipFill>
                <pic:spPr>
                  <a:xfrm>
                    <a:off x="0" y="0"/>
                    <a:ext cx="52387" cy="52387"/>
                  </a:xfrm>
                  <a:prstGeom prst="rect">
                    <a:avLst/>
                  </a:prstGeom>
                </pic:spPr>
              </pic:pic>
            </a:graphicData>
          </a:graphic>
        </wp:anchor>
      </w:drawing>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659264">
          <wp:simplePos x="0" y="0"/>
          <wp:positionH relativeFrom="page">
            <wp:posOffset>3878619</wp:posOffset>
          </wp:positionH>
          <wp:positionV relativeFrom="page">
            <wp:posOffset>426565</wp:posOffset>
          </wp:positionV>
          <wp:extent cx="2634534" cy="407188"/>
          <wp:effectExtent l="0" t="0" r="0" b="0"/>
          <wp:wrapNone/>
          <wp:docPr id="593" name="image2.jpeg"/>
          <wp:cNvGraphicFramePr>
            <a:graphicFrameLocks noChangeAspect="1"/>
          </wp:cNvGraphicFramePr>
          <a:graphic>
            <a:graphicData uri="http://schemas.openxmlformats.org/drawingml/2006/picture">
              <pic:pic>
                <pic:nvPicPr>
                  <pic:cNvPr id="594" name="image2.jpeg"/>
                  <pic:cNvPicPr/>
                </pic:nvPicPr>
                <pic:blipFill>
                  <a:blip r:embed="rId1" cstate="print"/>
                  <a:stretch>
                    <a:fillRect/>
                  </a:stretch>
                </pic:blipFill>
                <pic:spPr>
                  <a:xfrm>
                    <a:off x="0" y="0"/>
                    <a:ext cx="2634534" cy="407188"/>
                  </a:xfrm>
                  <a:prstGeom prst="rect">
                    <a:avLst/>
                  </a:prstGeom>
                </pic:spPr>
              </pic:pic>
            </a:graphicData>
          </a:graphic>
        </wp:anchor>
      </w:drawing>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661312">
          <wp:simplePos x="0" y="0"/>
          <wp:positionH relativeFrom="page">
            <wp:posOffset>3878619</wp:posOffset>
          </wp:positionH>
          <wp:positionV relativeFrom="page">
            <wp:posOffset>426565</wp:posOffset>
          </wp:positionV>
          <wp:extent cx="2634534" cy="407188"/>
          <wp:effectExtent l="0" t="0" r="0" b="0"/>
          <wp:wrapNone/>
          <wp:docPr id="597" name="image2.jpeg"/>
          <wp:cNvGraphicFramePr>
            <a:graphicFrameLocks noChangeAspect="1"/>
          </wp:cNvGraphicFramePr>
          <a:graphic>
            <a:graphicData uri="http://schemas.openxmlformats.org/drawingml/2006/picture">
              <pic:pic>
                <pic:nvPicPr>
                  <pic:cNvPr id="598" name="image2.jpeg"/>
                  <pic:cNvPicPr/>
                </pic:nvPicPr>
                <pic:blipFill>
                  <a:blip r:embed="rId1" cstate="print"/>
                  <a:stretch>
                    <a:fillRect/>
                  </a:stretch>
                </pic:blipFill>
                <pic:spPr>
                  <a:xfrm>
                    <a:off x="0" y="0"/>
                    <a:ext cx="2634534" cy="407188"/>
                  </a:xfrm>
                  <a:prstGeom prst="rect">
                    <a:avLst/>
                  </a:prstGeom>
                </pic:spPr>
              </pic:pic>
            </a:graphicData>
          </a:graphic>
        </wp:anchor>
      </w:drawing>
    </w:r>
    <w:r>
      <w:rPr/>
      <w:drawing>
        <wp:anchor distT="0" distB="0" distL="0" distR="0" allowOverlap="1" layoutInCell="1" locked="0" behindDoc="1" simplePos="0" relativeHeight="483661824">
          <wp:simplePos x="0" y="0"/>
          <wp:positionH relativeFrom="page">
            <wp:posOffset>1362646</wp:posOffset>
          </wp:positionH>
          <wp:positionV relativeFrom="page">
            <wp:posOffset>2645854</wp:posOffset>
          </wp:positionV>
          <wp:extent cx="52387" cy="52387"/>
          <wp:effectExtent l="0" t="0" r="0" b="0"/>
          <wp:wrapNone/>
          <wp:docPr id="599" name="image176.png"/>
          <wp:cNvGraphicFramePr>
            <a:graphicFrameLocks noChangeAspect="1"/>
          </wp:cNvGraphicFramePr>
          <a:graphic>
            <a:graphicData uri="http://schemas.openxmlformats.org/drawingml/2006/picture">
              <pic:pic>
                <pic:nvPicPr>
                  <pic:cNvPr id="600" name="image176.png"/>
                  <pic:cNvPicPr/>
                </pic:nvPicPr>
                <pic:blipFill>
                  <a:blip r:embed="rId2" cstate="print"/>
                  <a:stretch>
                    <a:fillRect/>
                  </a:stretch>
                </pic:blipFill>
                <pic:spPr>
                  <a:xfrm>
                    <a:off x="0" y="0"/>
                    <a:ext cx="52387" cy="52387"/>
                  </a:xfrm>
                  <a:prstGeom prst="rect">
                    <a:avLst/>
                  </a:prstGeom>
                </pic:spPr>
              </pic:pic>
            </a:graphicData>
          </a:graphic>
        </wp:anchor>
      </w:drawing>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663872">
          <wp:simplePos x="0" y="0"/>
          <wp:positionH relativeFrom="page">
            <wp:posOffset>3878619</wp:posOffset>
          </wp:positionH>
          <wp:positionV relativeFrom="page">
            <wp:posOffset>426565</wp:posOffset>
          </wp:positionV>
          <wp:extent cx="2634534" cy="407188"/>
          <wp:effectExtent l="0" t="0" r="0" b="0"/>
          <wp:wrapNone/>
          <wp:docPr id="607" name="image2.jpeg"/>
          <wp:cNvGraphicFramePr>
            <a:graphicFrameLocks noChangeAspect="1"/>
          </wp:cNvGraphicFramePr>
          <a:graphic>
            <a:graphicData uri="http://schemas.openxmlformats.org/drawingml/2006/picture">
              <pic:pic>
                <pic:nvPicPr>
                  <pic:cNvPr id="608" name="image2.jpeg"/>
                  <pic:cNvPicPr/>
                </pic:nvPicPr>
                <pic:blipFill>
                  <a:blip r:embed="rId1" cstate="print"/>
                  <a:stretch>
                    <a:fillRect/>
                  </a:stretch>
                </pic:blipFill>
                <pic:spPr>
                  <a:xfrm>
                    <a:off x="0" y="0"/>
                    <a:ext cx="2634534" cy="407188"/>
                  </a:xfrm>
                  <a:prstGeom prst="rect">
                    <a:avLst/>
                  </a:prstGeom>
                </pic:spPr>
              </pic:pic>
            </a:graphicData>
          </a:graphic>
        </wp:anchor>
      </w:drawing>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665920">
          <wp:simplePos x="0" y="0"/>
          <wp:positionH relativeFrom="page">
            <wp:posOffset>3878619</wp:posOffset>
          </wp:positionH>
          <wp:positionV relativeFrom="page">
            <wp:posOffset>426565</wp:posOffset>
          </wp:positionV>
          <wp:extent cx="2634534" cy="407188"/>
          <wp:effectExtent l="0" t="0" r="0" b="0"/>
          <wp:wrapNone/>
          <wp:docPr id="617" name="image2.jpeg"/>
          <wp:cNvGraphicFramePr>
            <a:graphicFrameLocks noChangeAspect="1"/>
          </wp:cNvGraphicFramePr>
          <a:graphic>
            <a:graphicData uri="http://schemas.openxmlformats.org/drawingml/2006/picture">
              <pic:pic>
                <pic:nvPicPr>
                  <pic:cNvPr id="618" name="image2.jpeg"/>
                  <pic:cNvPicPr/>
                </pic:nvPicPr>
                <pic:blipFill>
                  <a:blip r:embed="rId1" cstate="print"/>
                  <a:stretch>
                    <a:fillRect/>
                  </a:stretch>
                </pic:blipFill>
                <pic:spPr>
                  <a:xfrm>
                    <a:off x="0" y="0"/>
                    <a:ext cx="2634534" cy="407188"/>
                  </a:xfrm>
                  <a:prstGeom prst="rect">
                    <a:avLst/>
                  </a:prstGeom>
                </pic:spPr>
              </pic:pic>
            </a:graphicData>
          </a:graphic>
        </wp:anchor>
      </w:drawing>
    </w:r>
    <w:r>
      <w:rPr/>
      <w:drawing>
        <wp:anchor distT="0" distB="0" distL="0" distR="0" allowOverlap="1" layoutInCell="1" locked="0" behindDoc="1" simplePos="0" relativeHeight="483666432">
          <wp:simplePos x="0" y="0"/>
          <wp:positionH relativeFrom="page">
            <wp:posOffset>1362646</wp:posOffset>
          </wp:positionH>
          <wp:positionV relativeFrom="page">
            <wp:posOffset>2424874</wp:posOffset>
          </wp:positionV>
          <wp:extent cx="52387" cy="52387"/>
          <wp:effectExtent l="0" t="0" r="0" b="0"/>
          <wp:wrapNone/>
          <wp:docPr id="619" name="image176.png"/>
          <wp:cNvGraphicFramePr>
            <a:graphicFrameLocks noChangeAspect="1"/>
          </wp:cNvGraphicFramePr>
          <a:graphic>
            <a:graphicData uri="http://schemas.openxmlformats.org/drawingml/2006/picture">
              <pic:pic>
                <pic:nvPicPr>
                  <pic:cNvPr id="620" name="image176.png"/>
                  <pic:cNvPicPr/>
                </pic:nvPicPr>
                <pic:blipFill>
                  <a:blip r:embed="rId2" cstate="print"/>
                  <a:stretch>
                    <a:fillRect/>
                  </a:stretch>
                </pic:blipFill>
                <pic:spPr>
                  <a:xfrm>
                    <a:off x="0" y="0"/>
                    <a:ext cx="52387" cy="52387"/>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598848">
          <wp:simplePos x="0" y="0"/>
          <wp:positionH relativeFrom="page">
            <wp:posOffset>3878619</wp:posOffset>
          </wp:positionH>
          <wp:positionV relativeFrom="page">
            <wp:posOffset>426565</wp:posOffset>
          </wp:positionV>
          <wp:extent cx="2634534" cy="407188"/>
          <wp:effectExtent l="0" t="0" r="0" b="0"/>
          <wp:wrapNone/>
          <wp:docPr id="123" name="image2.jpeg"/>
          <wp:cNvGraphicFramePr>
            <a:graphicFrameLocks noChangeAspect="1"/>
          </wp:cNvGraphicFramePr>
          <a:graphic>
            <a:graphicData uri="http://schemas.openxmlformats.org/drawingml/2006/picture">
              <pic:pic>
                <pic:nvPicPr>
                  <pic:cNvPr id="124" name="image2.jpeg"/>
                  <pic:cNvPicPr/>
                </pic:nvPicPr>
                <pic:blipFill>
                  <a:blip r:embed="rId1" cstate="print"/>
                  <a:stretch>
                    <a:fillRect/>
                  </a:stretch>
                </pic:blipFill>
                <pic:spPr>
                  <a:xfrm>
                    <a:off x="0" y="0"/>
                    <a:ext cx="2634534" cy="407188"/>
                  </a:xfrm>
                  <a:prstGeom prst="rect">
                    <a:avLst/>
                  </a:prstGeom>
                </pic:spPr>
              </pic:pic>
            </a:graphicData>
          </a:graphic>
        </wp:anchor>
      </w:drawing>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668480">
          <wp:simplePos x="0" y="0"/>
          <wp:positionH relativeFrom="page">
            <wp:posOffset>3878619</wp:posOffset>
          </wp:positionH>
          <wp:positionV relativeFrom="page">
            <wp:posOffset>426565</wp:posOffset>
          </wp:positionV>
          <wp:extent cx="2634534" cy="407188"/>
          <wp:effectExtent l="0" t="0" r="0" b="0"/>
          <wp:wrapNone/>
          <wp:docPr id="625" name="image2.jpeg"/>
          <wp:cNvGraphicFramePr>
            <a:graphicFrameLocks noChangeAspect="1"/>
          </wp:cNvGraphicFramePr>
          <a:graphic>
            <a:graphicData uri="http://schemas.openxmlformats.org/drawingml/2006/picture">
              <pic:pic>
                <pic:nvPicPr>
                  <pic:cNvPr id="626" name="image2.jpeg"/>
                  <pic:cNvPicPr/>
                </pic:nvPicPr>
                <pic:blipFill>
                  <a:blip r:embed="rId1" cstate="print"/>
                  <a:stretch>
                    <a:fillRect/>
                  </a:stretch>
                </pic:blipFill>
                <pic:spPr>
                  <a:xfrm>
                    <a:off x="0" y="0"/>
                    <a:ext cx="2634534" cy="407188"/>
                  </a:xfrm>
                  <a:prstGeom prst="rect">
                    <a:avLst/>
                  </a:prstGeom>
                </pic:spPr>
              </pic:pic>
            </a:graphicData>
          </a:graphic>
        </wp:anchor>
      </w:drawing>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670528">
          <wp:simplePos x="0" y="0"/>
          <wp:positionH relativeFrom="page">
            <wp:posOffset>3878619</wp:posOffset>
          </wp:positionH>
          <wp:positionV relativeFrom="page">
            <wp:posOffset>426565</wp:posOffset>
          </wp:positionV>
          <wp:extent cx="2634534" cy="407188"/>
          <wp:effectExtent l="0" t="0" r="0" b="0"/>
          <wp:wrapNone/>
          <wp:docPr id="633" name="image2.jpeg"/>
          <wp:cNvGraphicFramePr>
            <a:graphicFrameLocks noChangeAspect="1"/>
          </wp:cNvGraphicFramePr>
          <a:graphic>
            <a:graphicData uri="http://schemas.openxmlformats.org/drawingml/2006/picture">
              <pic:pic>
                <pic:nvPicPr>
                  <pic:cNvPr id="634" name="image2.jpeg"/>
                  <pic:cNvPicPr/>
                </pic:nvPicPr>
                <pic:blipFill>
                  <a:blip r:embed="rId1" cstate="print"/>
                  <a:stretch>
                    <a:fillRect/>
                  </a:stretch>
                </pic:blipFill>
                <pic:spPr>
                  <a:xfrm>
                    <a:off x="0" y="0"/>
                    <a:ext cx="2634534" cy="407188"/>
                  </a:xfrm>
                  <a:prstGeom prst="rect">
                    <a:avLst/>
                  </a:prstGeom>
                </pic:spPr>
              </pic:pic>
            </a:graphicData>
          </a:graphic>
        </wp:anchor>
      </w:drawing>
    </w:r>
    <w:r>
      <w:rPr/>
      <w:drawing>
        <wp:anchor distT="0" distB="0" distL="0" distR="0" allowOverlap="1" layoutInCell="1" locked="0" behindDoc="1" simplePos="0" relativeHeight="483671040">
          <wp:simplePos x="0" y="0"/>
          <wp:positionH relativeFrom="page">
            <wp:posOffset>1362646</wp:posOffset>
          </wp:positionH>
          <wp:positionV relativeFrom="page">
            <wp:posOffset>1809178</wp:posOffset>
          </wp:positionV>
          <wp:extent cx="52387" cy="52387"/>
          <wp:effectExtent l="0" t="0" r="0" b="0"/>
          <wp:wrapNone/>
          <wp:docPr id="635" name="image176.png"/>
          <wp:cNvGraphicFramePr>
            <a:graphicFrameLocks noChangeAspect="1"/>
          </wp:cNvGraphicFramePr>
          <a:graphic>
            <a:graphicData uri="http://schemas.openxmlformats.org/drawingml/2006/picture">
              <pic:pic>
                <pic:nvPicPr>
                  <pic:cNvPr id="636" name="image176.png"/>
                  <pic:cNvPicPr/>
                </pic:nvPicPr>
                <pic:blipFill>
                  <a:blip r:embed="rId2" cstate="print"/>
                  <a:stretch>
                    <a:fillRect/>
                  </a:stretch>
                </pic:blipFill>
                <pic:spPr>
                  <a:xfrm>
                    <a:off x="0" y="0"/>
                    <a:ext cx="52387" cy="52387"/>
                  </a:xfrm>
                  <a:prstGeom prst="rect">
                    <a:avLst/>
                  </a:prstGeom>
                </pic:spPr>
              </pic:pic>
            </a:graphicData>
          </a:graphic>
        </wp:anchor>
      </w:drawing>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673088">
          <wp:simplePos x="0" y="0"/>
          <wp:positionH relativeFrom="page">
            <wp:posOffset>3878619</wp:posOffset>
          </wp:positionH>
          <wp:positionV relativeFrom="page">
            <wp:posOffset>426565</wp:posOffset>
          </wp:positionV>
          <wp:extent cx="2634534" cy="407188"/>
          <wp:effectExtent l="0" t="0" r="0" b="0"/>
          <wp:wrapNone/>
          <wp:docPr id="639" name="image2.jpeg"/>
          <wp:cNvGraphicFramePr>
            <a:graphicFrameLocks noChangeAspect="1"/>
          </wp:cNvGraphicFramePr>
          <a:graphic>
            <a:graphicData uri="http://schemas.openxmlformats.org/drawingml/2006/picture">
              <pic:pic>
                <pic:nvPicPr>
                  <pic:cNvPr id="640" name="image2.jpeg"/>
                  <pic:cNvPicPr/>
                </pic:nvPicPr>
                <pic:blipFill>
                  <a:blip r:embed="rId1" cstate="print"/>
                  <a:stretch>
                    <a:fillRect/>
                  </a:stretch>
                </pic:blipFill>
                <pic:spPr>
                  <a:xfrm>
                    <a:off x="0" y="0"/>
                    <a:ext cx="2634534" cy="407188"/>
                  </a:xfrm>
                  <a:prstGeom prst="rect">
                    <a:avLst/>
                  </a:prstGeom>
                </pic:spPr>
              </pic:pic>
            </a:graphicData>
          </a:graphic>
        </wp:anchor>
      </w:drawing>
    </w:r>
    <w:r>
      <w:rPr/>
      <w:drawing>
        <wp:anchor distT="0" distB="0" distL="0" distR="0" allowOverlap="1" layoutInCell="1" locked="0" behindDoc="1" simplePos="0" relativeHeight="483673600">
          <wp:simplePos x="0" y="0"/>
          <wp:positionH relativeFrom="page">
            <wp:posOffset>1362646</wp:posOffset>
          </wp:positionH>
          <wp:positionV relativeFrom="page">
            <wp:posOffset>2126170</wp:posOffset>
          </wp:positionV>
          <wp:extent cx="52387" cy="52387"/>
          <wp:effectExtent l="0" t="0" r="0" b="0"/>
          <wp:wrapNone/>
          <wp:docPr id="641" name="image176.png"/>
          <wp:cNvGraphicFramePr>
            <a:graphicFrameLocks noChangeAspect="1"/>
          </wp:cNvGraphicFramePr>
          <a:graphic>
            <a:graphicData uri="http://schemas.openxmlformats.org/drawingml/2006/picture">
              <pic:pic>
                <pic:nvPicPr>
                  <pic:cNvPr id="642" name="image176.png"/>
                  <pic:cNvPicPr/>
                </pic:nvPicPr>
                <pic:blipFill>
                  <a:blip r:embed="rId2" cstate="print"/>
                  <a:stretch>
                    <a:fillRect/>
                  </a:stretch>
                </pic:blipFill>
                <pic:spPr>
                  <a:xfrm>
                    <a:off x="0" y="0"/>
                    <a:ext cx="52387" cy="52387"/>
                  </a:xfrm>
                  <a:prstGeom prst="rect">
                    <a:avLst/>
                  </a:prstGeom>
                </pic:spPr>
              </pic:pic>
            </a:graphicData>
          </a:graphic>
        </wp:anchor>
      </w:drawing>
    </w:r>
    <w:r>
      <w:rPr/>
      <w:drawing>
        <wp:anchor distT="0" distB="0" distL="0" distR="0" allowOverlap="1" layoutInCell="1" locked="0" behindDoc="1" simplePos="0" relativeHeight="483674112">
          <wp:simplePos x="0" y="0"/>
          <wp:positionH relativeFrom="page">
            <wp:posOffset>1362646</wp:posOffset>
          </wp:positionH>
          <wp:positionV relativeFrom="page">
            <wp:posOffset>2653474</wp:posOffset>
          </wp:positionV>
          <wp:extent cx="52387" cy="52387"/>
          <wp:effectExtent l="0" t="0" r="0" b="0"/>
          <wp:wrapNone/>
          <wp:docPr id="643" name="image176.png"/>
          <wp:cNvGraphicFramePr>
            <a:graphicFrameLocks noChangeAspect="1"/>
          </wp:cNvGraphicFramePr>
          <a:graphic>
            <a:graphicData uri="http://schemas.openxmlformats.org/drawingml/2006/picture">
              <pic:pic>
                <pic:nvPicPr>
                  <pic:cNvPr id="644" name="image176.png"/>
                  <pic:cNvPicPr/>
                </pic:nvPicPr>
                <pic:blipFill>
                  <a:blip r:embed="rId2" cstate="print"/>
                  <a:stretch>
                    <a:fillRect/>
                  </a:stretch>
                </pic:blipFill>
                <pic:spPr>
                  <a:xfrm>
                    <a:off x="0" y="0"/>
                    <a:ext cx="52387" cy="52387"/>
                  </a:xfrm>
                  <a:prstGeom prst="rect">
                    <a:avLst/>
                  </a:prstGeom>
                </pic:spPr>
              </pic:pic>
            </a:graphicData>
          </a:graphic>
        </wp:anchor>
      </w:drawing>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676160">
          <wp:simplePos x="0" y="0"/>
          <wp:positionH relativeFrom="page">
            <wp:posOffset>3878619</wp:posOffset>
          </wp:positionH>
          <wp:positionV relativeFrom="page">
            <wp:posOffset>426565</wp:posOffset>
          </wp:positionV>
          <wp:extent cx="2634534" cy="407188"/>
          <wp:effectExtent l="0" t="0" r="0" b="0"/>
          <wp:wrapNone/>
          <wp:docPr id="651" name="image2.jpeg"/>
          <wp:cNvGraphicFramePr>
            <a:graphicFrameLocks noChangeAspect="1"/>
          </wp:cNvGraphicFramePr>
          <a:graphic>
            <a:graphicData uri="http://schemas.openxmlformats.org/drawingml/2006/picture">
              <pic:pic>
                <pic:nvPicPr>
                  <pic:cNvPr id="652" name="image2.jpeg"/>
                  <pic:cNvPicPr/>
                </pic:nvPicPr>
                <pic:blipFill>
                  <a:blip r:embed="rId1" cstate="print"/>
                  <a:stretch>
                    <a:fillRect/>
                  </a:stretch>
                </pic:blipFill>
                <pic:spPr>
                  <a:xfrm>
                    <a:off x="0" y="0"/>
                    <a:ext cx="2634534" cy="407188"/>
                  </a:xfrm>
                  <a:prstGeom prst="rect">
                    <a:avLst/>
                  </a:prstGeom>
                </pic:spPr>
              </pic:pic>
            </a:graphicData>
          </a:graphic>
        </wp:anchor>
      </w:drawing>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678208">
          <wp:simplePos x="0" y="0"/>
          <wp:positionH relativeFrom="page">
            <wp:posOffset>3878619</wp:posOffset>
          </wp:positionH>
          <wp:positionV relativeFrom="page">
            <wp:posOffset>426565</wp:posOffset>
          </wp:positionV>
          <wp:extent cx="2634534" cy="407188"/>
          <wp:effectExtent l="0" t="0" r="0" b="0"/>
          <wp:wrapNone/>
          <wp:docPr id="657" name="image2.jpeg"/>
          <wp:cNvGraphicFramePr>
            <a:graphicFrameLocks noChangeAspect="1"/>
          </wp:cNvGraphicFramePr>
          <a:graphic>
            <a:graphicData uri="http://schemas.openxmlformats.org/drawingml/2006/picture">
              <pic:pic>
                <pic:nvPicPr>
                  <pic:cNvPr id="658" name="image2.jpeg"/>
                  <pic:cNvPicPr/>
                </pic:nvPicPr>
                <pic:blipFill>
                  <a:blip r:embed="rId1" cstate="print"/>
                  <a:stretch>
                    <a:fillRect/>
                  </a:stretch>
                </pic:blipFill>
                <pic:spPr>
                  <a:xfrm>
                    <a:off x="0" y="0"/>
                    <a:ext cx="2634534" cy="407188"/>
                  </a:xfrm>
                  <a:prstGeom prst="rect">
                    <a:avLst/>
                  </a:prstGeom>
                </pic:spPr>
              </pic:pic>
            </a:graphicData>
          </a:graphic>
        </wp:anchor>
      </w:drawing>
    </w:r>
    <w:r>
      <w:rPr/>
      <w:drawing>
        <wp:anchor distT="0" distB="0" distL="0" distR="0" allowOverlap="1" layoutInCell="1" locked="0" behindDoc="1" simplePos="0" relativeHeight="483678720">
          <wp:simplePos x="0" y="0"/>
          <wp:positionH relativeFrom="page">
            <wp:posOffset>1362646</wp:posOffset>
          </wp:positionH>
          <wp:positionV relativeFrom="page">
            <wp:posOffset>2252662</wp:posOffset>
          </wp:positionV>
          <wp:extent cx="52387" cy="52387"/>
          <wp:effectExtent l="0" t="0" r="0" b="0"/>
          <wp:wrapNone/>
          <wp:docPr id="659" name="image176.png"/>
          <wp:cNvGraphicFramePr>
            <a:graphicFrameLocks noChangeAspect="1"/>
          </wp:cNvGraphicFramePr>
          <a:graphic>
            <a:graphicData uri="http://schemas.openxmlformats.org/drawingml/2006/picture">
              <pic:pic>
                <pic:nvPicPr>
                  <pic:cNvPr id="660" name="image176.png"/>
                  <pic:cNvPicPr/>
                </pic:nvPicPr>
                <pic:blipFill>
                  <a:blip r:embed="rId2" cstate="print"/>
                  <a:stretch>
                    <a:fillRect/>
                  </a:stretch>
                </pic:blipFill>
                <pic:spPr>
                  <a:xfrm>
                    <a:off x="0" y="0"/>
                    <a:ext cx="52387" cy="52387"/>
                  </a:xfrm>
                  <a:prstGeom prst="rect">
                    <a:avLst/>
                  </a:prstGeom>
                </pic:spPr>
              </pic:pic>
            </a:graphicData>
          </a:graphic>
        </wp:anchor>
      </w:drawing>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680768">
          <wp:simplePos x="0" y="0"/>
          <wp:positionH relativeFrom="page">
            <wp:posOffset>3878619</wp:posOffset>
          </wp:positionH>
          <wp:positionV relativeFrom="page">
            <wp:posOffset>426565</wp:posOffset>
          </wp:positionV>
          <wp:extent cx="2634534" cy="407188"/>
          <wp:effectExtent l="0" t="0" r="0" b="0"/>
          <wp:wrapNone/>
          <wp:docPr id="669" name="image2.jpeg"/>
          <wp:cNvGraphicFramePr>
            <a:graphicFrameLocks noChangeAspect="1"/>
          </wp:cNvGraphicFramePr>
          <a:graphic>
            <a:graphicData uri="http://schemas.openxmlformats.org/drawingml/2006/picture">
              <pic:pic>
                <pic:nvPicPr>
                  <pic:cNvPr id="670" name="image2.jpeg"/>
                  <pic:cNvPicPr/>
                </pic:nvPicPr>
                <pic:blipFill>
                  <a:blip r:embed="rId1" cstate="print"/>
                  <a:stretch>
                    <a:fillRect/>
                  </a:stretch>
                </pic:blipFill>
                <pic:spPr>
                  <a:xfrm>
                    <a:off x="0" y="0"/>
                    <a:ext cx="2634534" cy="407188"/>
                  </a:xfrm>
                  <a:prstGeom prst="rect">
                    <a:avLst/>
                  </a:prstGeom>
                </pic:spPr>
              </pic:pic>
            </a:graphicData>
          </a:graphic>
        </wp:anchor>
      </w:drawing>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682816">
          <wp:simplePos x="0" y="0"/>
          <wp:positionH relativeFrom="page">
            <wp:posOffset>3878619</wp:posOffset>
          </wp:positionH>
          <wp:positionV relativeFrom="page">
            <wp:posOffset>426565</wp:posOffset>
          </wp:positionV>
          <wp:extent cx="2634534" cy="407188"/>
          <wp:effectExtent l="0" t="0" r="0" b="0"/>
          <wp:wrapNone/>
          <wp:docPr id="677" name="image2.jpeg"/>
          <wp:cNvGraphicFramePr>
            <a:graphicFrameLocks noChangeAspect="1"/>
          </wp:cNvGraphicFramePr>
          <a:graphic>
            <a:graphicData uri="http://schemas.openxmlformats.org/drawingml/2006/picture">
              <pic:pic>
                <pic:nvPicPr>
                  <pic:cNvPr id="678" name="image2.jpeg"/>
                  <pic:cNvPicPr/>
                </pic:nvPicPr>
                <pic:blipFill>
                  <a:blip r:embed="rId1" cstate="print"/>
                  <a:stretch>
                    <a:fillRect/>
                  </a:stretch>
                </pic:blipFill>
                <pic:spPr>
                  <a:xfrm>
                    <a:off x="0" y="0"/>
                    <a:ext cx="2634534" cy="407188"/>
                  </a:xfrm>
                  <a:prstGeom prst="rect">
                    <a:avLst/>
                  </a:prstGeom>
                </pic:spPr>
              </pic:pic>
            </a:graphicData>
          </a:graphic>
        </wp:anchor>
      </w:drawing>
    </w:r>
    <w:r>
      <w:rPr/>
      <w:drawing>
        <wp:anchor distT="0" distB="0" distL="0" distR="0" allowOverlap="1" layoutInCell="1" locked="0" behindDoc="1" simplePos="0" relativeHeight="483683328">
          <wp:simplePos x="0" y="0"/>
          <wp:positionH relativeFrom="page">
            <wp:posOffset>1362646</wp:posOffset>
          </wp:positionH>
          <wp:positionV relativeFrom="page">
            <wp:posOffset>2348674</wp:posOffset>
          </wp:positionV>
          <wp:extent cx="52387" cy="52387"/>
          <wp:effectExtent l="0" t="0" r="0" b="0"/>
          <wp:wrapNone/>
          <wp:docPr id="679" name="image176.png"/>
          <wp:cNvGraphicFramePr>
            <a:graphicFrameLocks noChangeAspect="1"/>
          </wp:cNvGraphicFramePr>
          <a:graphic>
            <a:graphicData uri="http://schemas.openxmlformats.org/drawingml/2006/picture">
              <pic:pic>
                <pic:nvPicPr>
                  <pic:cNvPr id="680" name="image176.png"/>
                  <pic:cNvPicPr/>
                </pic:nvPicPr>
                <pic:blipFill>
                  <a:blip r:embed="rId2" cstate="print"/>
                  <a:stretch>
                    <a:fillRect/>
                  </a:stretch>
                </pic:blipFill>
                <pic:spPr>
                  <a:xfrm>
                    <a:off x="0" y="0"/>
                    <a:ext cx="52387" cy="52387"/>
                  </a:xfrm>
                  <a:prstGeom prst="rect">
                    <a:avLst/>
                  </a:prstGeom>
                </pic:spPr>
              </pic:pic>
            </a:graphicData>
          </a:graphic>
        </wp:anchor>
      </w:drawing>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685376">
          <wp:simplePos x="0" y="0"/>
          <wp:positionH relativeFrom="page">
            <wp:posOffset>3878619</wp:posOffset>
          </wp:positionH>
          <wp:positionV relativeFrom="page">
            <wp:posOffset>426565</wp:posOffset>
          </wp:positionV>
          <wp:extent cx="2634534" cy="407188"/>
          <wp:effectExtent l="0" t="0" r="0" b="0"/>
          <wp:wrapNone/>
          <wp:docPr id="697" name="image2.jpeg"/>
          <wp:cNvGraphicFramePr>
            <a:graphicFrameLocks noChangeAspect="1"/>
          </wp:cNvGraphicFramePr>
          <a:graphic>
            <a:graphicData uri="http://schemas.openxmlformats.org/drawingml/2006/picture">
              <pic:pic>
                <pic:nvPicPr>
                  <pic:cNvPr id="698" name="image2.jpeg"/>
                  <pic:cNvPicPr/>
                </pic:nvPicPr>
                <pic:blipFill>
                  <a:blip r:embed="rId1" cstate="print"/>
                  <a:stretch>
                    <a:fillRect/>
                  </a:stretch>
                </pic:blipFill>
                <pic:spPr>
                  <a:xfrm>
                    <a:off x="0" y="0"/>
                    <a:ext cx="2634534" cy="407188"/>
                  </a:xfrm>
                  <a:prstGeom prst="rect">
                    <a:avLst/>
                  </a:prstGeom>
                </pic:spPr>
              </pic:pic>
            </a:graphicData>
          </a:graphic>
        </wp:anchor>
      </w:drawing>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687424">
          <wp:simplePos x="0" y="0"/>
          <wp:positionH relativeFrom="page">
            <wp:posOffset>3878619</wp:posOffset>
          </wp:positionH>
          <wp:positionV relativeFrom="page">
            <wp:posOffset>426565</wp:posOffset>
          </wp:positionV>
          <wp:extent cx="2634534" cy="407188"/>
          <wp:effectExtent l="0" t="0" r="0" b="0"/>
          <wp:wrapNone/>
          <wp:docPr id="703" name="image2.jpeg"/>
          <wp:cNvGraphicFramePr>
            <a:graphicFrameLocks noChangeAspect="1"/>
          </wp:cNvGraphicFramePr>
          <a:graphic>
            <a:graphicData uri="http://schemas.openxmlformats.org/drawingml/2006/picture">
              <pic:pic>
                <pic:nvPicPr>
                  <pic:cNvPr id="704" name="image2.jpeg"/>
                  <pic:cNvPicPr/>
                </pic:nvPicPr>
                <pic:blipFill>
                  <a:blip r:embed="rId1" cstate="print"/>
                  <a:stretch>
                    <a:fillRect/>
                  </a:stretch>
                </pic:blipFill>
                <pic:spPr>
                  <a:xfrm>
                    <a:off x="0" y="0"/>
                    <a:ext cx="2634534" cy="407188"/>
                  </a:xfrm>
                  <a:prstGeom prst="rect">
                    <a:avLst/>
                  </a:prstGeom>
                </pic:spPr>
              </pic:pic>
            </a:graphicData>
          </a:graphic>
        </wp:anchor>
      </w:drawing>
    </w:r>
    <w:r>
      <w:rPr/>
      <w:drawing>
        <wp:anchor distT="0" distB="0" distL="0" distR="0" allowOverlap="1" layoutInCell="1" locked="0" behindDoc="1" simplePos="0" relativeHeight="483687936">
          <wp:simplePos x="0" y="0"/>
          <wp:positionH relativeFrom="page">
            <wp:posOffset>1362646</wp:posOffset>
          </wp:positionH>
          <wp:positionV relativeFrom="page">
            <wp:posOffset>1809178</wp:posOffset>
          </wp:positionV>
          <wp:extent cx="52387" cy="52387"/>
          <wp:effectExtent l="0" t="0" r="0" b="0"/>
          <wp:wrapNone/>
          <wp:docPr id="705" name="image176.png"/>
          <wp:cNvGraphicFramePr>
            <a:graphicFrameLocks noChangeAspect="1"/>
          </wp:cNvGraphicFramePr>
          <a:graphic>
            <a:graphicData uri="http://schemas.openxmlformats.org/drawingml/2006/picture">
              <pic:pic>
                <pic:nvPicPr>
                  <pic:cNvPr id="706" name="image176.png"/>
                  <pic:cNvPicPr/>
                </pic:nvPicPr>
                <pic:blipFill>
                  <a:blip r:embed="rId2" cstate="print"/>
                  <a:stretch>
                    <a:fillRect/>
                  </a:stretch>
                </pic:blipFill>
                <pic:spPr>
                  <a:xfrm>
                    <a:off x="0" y="0"/>
                    <a:ext cx="52387" cy="52387"/>
                  </a:xfrm>
                  <a:prstGeom prst="rect">
                    <a:avLst/>
                  </a:prstGeom>
                </pic:spPr>
              </pic:pic>
            </a:graphicData>
          </a:graphic>
        </wp:anchor>
      </w:drawing>
    </w:r>
    <w:r>
      <w:rPr/>
      <w:drawing>
        <wp:anchor distT="0" distB="0" distL="0" distR="0" allowOverlap="1" layoutInCell="1" locked="0" behindDoc="1" simplePos="0" relativeHeight="483688448">
          <wp:simplePos x="0" y="0"/>
          <wp:positionH relativeFrom="page">
            <wp:posOffset>1362646</wp:posOffset>
          </wp:positionH>
          <wp:positionV relativeFrom="page">
            <wp:posOffset>2557462</wp:posOffset>
          </wp:positionV>
          <wp:extent cx="52387" cy="52387"/>
          <wp:effectExtent l="0" t="0" r="0" b="0"/>
          <wp:wrapNone/>
          <wp:docPr id="707" name="image176.png"/>
          <wp:cNvGraphicFramePr>
            <a:graphicFrameLocks noChangeAspect="1"/>
          </wp:cNvGraphicFramePr>
          <a:graphic>
            <a:graphicData uri="http://schemas.openxmlformats.org/drawingml/2006/picture">
              <pic:pic>
                <pic:nvPicPr>
                  <pic:cNvPr id="708" name="image176.png"/>
                  <pic:cNvPicPr/>
                </pic:nvPicPr>
                <pic:blipFill>
                  <a:blip r:embed="rId2" cstate="print"/>
                  <a:stretch>
                    <a:fillRect/>
                  </a:stretch>
                </pic:blipFill>
                <pic:spPr>
                  <a:xfrm>
                    <a:off x="0" y="0"/>
                    <a:ext cx="52387" cy="52387"/>
                  </a:xfrm>
                  <a:prstGeom prst="rect">
                    <a:avLst/>
                  </a:prstGeom>
                </pic:spPr>
              </pic:pic>
            </a:graphicData>
          </a:graphic>
        </wp:anchor>
      </w:drawing>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690496">
          <wp:simplePos x="0" y="0"/>
          <wp:positionH relativeFrom="page">
            <wp:posOffset>3878619</wp:posOffset>
          </wp:positionH>
          <wp:positionV relativeFrom="page">
            <wp:posOffset>426565</wp:posOffset>
          </wp:positionV>
          <wp:extent cx="2634534" cy="407188"/>
          <wp:effectExtent l="0" t="0" r="0" b="0"/>
          <wp:wrapNone/>
          <wp:docPr id="713" name="image2.jpeg"/>
          <wp:cNvGraphicFramePr>
            <a:graphicFrameLocks noChangeAspect="1"/>
          </wp:cNvGraphicFramePr>
          <a:graphic>
            <a:graphicData uri="http://schemas.openxmlformats.org/drawingml/2006/picture">
              <pic:pic>
                <pic:nvPicPr>
                  <pic:cNvPr id="714" name="image2.jpeg"/>
                  <pic:cNvPicPr/>
                </pic:nvPicPr>
                <pic:blipFill>
                  <a:blip r:embed="rId1" cstate="print"/>
                  <a:stretch>
                    <a:fillRect/>
                  </a:stretch>
                </pic:blipFill>
                <pic:spPr>
                  <a:xfrm>
                    <a:off x="0" y="0"/>
                    <a:ext cx="2634534" cy="407188"/>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600896">
          <wp:simplePos x="0" y="0"/>
          <wp:positionH relativeFrom="page">
            <wp:posOffset>3878619</wp:posOffset>
          </wp:positionH>
          <wp:positionV relativeFrom="page">
            <wp:posOffset>426565</wp:posOffset>
          </wp:positionV>
          <wp:extent cx="2634534" cy="407188"/>
          <wp:effectExtent l="0" t="0" r="0" b="0"/>
          <wp:wrapNone/>
          <wp:docPr id="221" name="image2.jpeg"/>
          <wp:cNvGraphicFramePr>
            <a:graphicFrameLocks noChangeAspect="1"/>
          </wp:cNvGraphicFramePr>
          <a:graphic>
            <a:graphicData uri="http://schemas.openxmlformats.org/drawingml/2006/picture">
              <pic:pic>
                <pic:nvPicPr>
                  <pic:cNvPr id="222" name="image2.jpeg"/>
                  <pic:cNvPicPr/>
                </pic:nvPicPr>
                <pic:blipFill>
                  <a:blip r:embed="rId1" cstate="print"/>
                  <a:stretch>
                    <a:fillRect/>
                  </a:stretch>
                </pic:blipFill>
                <pic:spPr>
                  <a:xfrm>
                    <a:off x="0" y="0"/>
                    <a:ext cx="2634534" cy="407188"/>
                  </a:xfrm>
                  <a:prstGeom prst="rect">
                    <a:avLst/>
                  </a:prstGeom>
                </pic:spPr>
              </pic:pic>
            </a:graphicData>
          </a:graphic>
        </wp:anchor>
      </w:drawing>
    </w:r>
    <w:r>
      <w:rPr/>
      <w:drawing>
        <wp:anchor distT="0" distB="0" distL="0" distR="0" allowOverlap="1" layoutInCell="1" locked="0" behindDoc="1" simplePos="0" relativeHeight="483601408">
          <wp:simplePos x="0" y="0"/>
          <wp:positionH relativeFrom="page">
            <wp:posOffset>1645920</wp:posOffset>
          </wp:positionH>
          <wp:positionV relativeFrom="page">
            <wp:posOffset>1246631</wp:posOffset>
          </wp:positionV>
          <wp:extent cx="4674870" cy="127253"/>
          <wp:effectExtent l="0" t="0" r="0" b="0"/>
          <wp:wrapNone/>
          <wp:docPr id="223" name="image115.png"/>
          <wp:cNvGraphicFramePr>
            <a:graphicFrameLocks noChangeAspect="1"/>
          </wp:cNvGraphicFramePr>
          <a:graphic>
            <a:graphicData uri="http://schemas.openxmlformats.org/drawingml/2006/picture">
              <pic:pic>
                <pic:nvPicPr>
                  <pic:cNvPr id="224" name="image115.png"/>
                  <pic:cNvPicPr/>
                </pic:nvPicPr>
                <pic:blipFill>
                  <a:blip r:embed="rId2" cstate="print"/>
                  <a:stretch>
                    <a:fillRect/>
                  </a:stretch>
                </pic:blipFill>
                <pic:spPr>
                  <a:xfrm>
                    <a:off x="0" y="0"/>
                    <a:ext cx="4674870" cy="127253"/>
                  </a:xfrm>
                  <a:prstGeom prst="rect">
                    <a:avLst/>
                  </a:prstGeom>
                </pic:spPr>
              </pic:pic>
            </a:graphicData>
          </a:graphic>
        </wp:anchor>
      </w:drawing>
    </w:r>
    <w:r>
      <w:rPr/>
      <w:drawing>
        <wp:anchor distT="0" distB="0" distL="0" distR="0" allowOverlap="1" layoutInCell="1" locked="0" behindDoc="1" simplePos="0" relativeHeight="483601920">
          <wp:simplePos x="0" y="0"/>
          <wp:positionH relativeFrom="page">
            <wp:posOffset>2075688</wp:posOffset>
          </wp:positionH>
          <wp:positionV relativeFrom="page">
            <wp:posOffset>1467611</wp:posOffset>
          </wp:positionV>
          <wp:extent cx="4156710" cy="127253"/>
          <wp:effectExtent l="0" t="0" r="0" b="0"/>
          <wp:wrapNone/>
          <wp:docPr id="225" name="image116.png"/>
          <wp:cNvGraphicFramePr>
            <a:graphicFrameLocks noChangeAspect="1"/>
          </wp:cNvGraphicFramePr>
          <a:graphic>
            <a:graphicData uri="http://schemas.openxmlformats.org/drawingml/2006/picture">
              <pic:pic>
                <pic:nvPicPr>
                  <pic:cNvPr id="226" name="image116.png"/>
                  <pic:cNvPicPr/>
                </pic:nvPicPr>
                <pic:blipFill>
                  <a:blip r:embed="rId3" cstate="print"/>
                  <a:stretch>
                    <a:fillRect/>
                  </a:stretch>
                </pic:blipFill>
                <pic:spPr>
                  <a:xfrm>
                    <a:off x="0" y="0"/>
                    <a:ext cx="4156710" cy="127253"/>
                  </a:xfrm>
                  <a:prstGeom prst="rect">
                    <a:avLst/>
                  </a:prstGeom>
                </pic:spPr>
              </pic:pic>
            </a:graphicData>
          </a:graphic>
        </wp:anchor>
      </w:drawing>
    </w:r>
    <w:r>
      <w:rPr/>
      <w:drawing>
        <wp:anchor distT="0" distB="0" distL="0" distR="0" allowOverlap="1" layoutInCell="1" locked="0" behindDoc="1" simplePos="0" relativeHeight="483602432">
          <wp:simplePos x="0" y="0"/>
          <wp:positionH relativeFrom="page">
            <wp:posOffset>6275908</wp:posOffset>
          </wp:positionH>
          <wp:positionV relativeFrom="page">
            <wp:posOffset>1478316</wp:posOffset>
          </wp:positionV>
          <wp:extent cx="134797" cy="92165"/>
          <wp:effectExtent l="0" t="0" r="0" b="0"/>
          <wp:wrapNone/>
          <wp:docPr id="227" name="image117.png"/>
          <wp:cNvGraphicFramePr>
            <a:graphicFrameLocks noChangeAspect="1"/>
          </wp:cNvGraphicFramePr>
          <a:graphic>
            <a:graphicData uri="http://schemas.openxmlformats.org/drawingml/2006/picture">
              <pic:pic>
                <pic:nvPicPr>
                  <pic:cNvPr id="228" name="image117.png"/>
                  <pic:cNvPicPr/>
                </pic:nvPicPr>
                <pic:blipFill>
                  <a:blip r:embed="rId4" cstate="print"/>
                  <a:stretch>
                    <a:fillRect/>
                  </a:stretch>
                </pic:blipFill>
                <pic:spPr>
                  <a:xfrm>
                    <a:off x="0" y="0"/>
                    <a:ext cx="134797" cy="92165"/>
                  </a:xfrm>
                  <a:prstGeom prst="rect">
                    <a:avLst/>
                  </a:prstGeom>
                </pic:spPr>
              </pic:pic>
            </a:graphicData>
          </a:graphic>
        </wp:anchor>
      </w:drawing>
    </w:r>
    <w:r>
      <w:rPr/>
      <w:drawing>
        <wp:anchor distT="0" distB="0" distL="0" distR="0" allowOverlap="1" layoutInCell="1" locked="0" behindDoc="1" simplePos="0" relativeHeight="483602944">
          <wp:simplePos x="0" y="0"/>
          <wp:positionH relativeFrom="page">
            <wp:posOffset>1645920</wp:posOffset>
          </wp:positionH>
          <wp:positionV relativeFrom="page">
            <wp:posOffset>1690115</wp:posOffset>
          </wp:positionV>
          <wp:extent cx="4586478" cy="102870"/>
          <wp:effectExtent l="0" t="0" r="0" b="0"/>
          <wp:wrapNone/>
          <wp:docPr id="229" name="image118.png"/>
          <wp:cNvGraphicFramePr>
            <a:graphicFrameLocks noChangeAspect="1"/>
          </wp:cNvGraphicFramePr>
          <a:graphic>
            <a:graphicData uri="http://schemas.openxmlformats.org/drawingml/2006/picture">
              <pic:pic>
                <pic:nvPicPr>
                  <pic:cNvPr id="230" name="image118.png"/>
                  <pic:cNvPicPr/>
                </pic:nvPicPr>
                <pic:blipFill>
                  <a:blip r:embed="rId5" cstate="print"/>
                  <a:stretch>
                    <a:fillRect/>
                  </a:stretch>
                </pic:blipFill>
                <pic:spPr>
                  <a:xfrm>
                    <a:off x="0" y="0"/>
                    <a:ext cx="4586478" cy="102870"/>
                  </a:xfrm>
                  <a:prstGeom prst="rect">
                    <a:avLst/>
                  </a:prstGeom>
                </pic:spPr>
              </pic:pic>
            </a:graphicData>
          </a:graphic>
        </wp:anchor>
      </w:drawing>
    </w:r>
    <w:r>
      <w:rPr/>
      <w:drawing>
        <wp:anchor distT="0" distB="0" distL="0" distR="0" allowOverlap="1" layoutInCell="1" locked="0" behindDoc="1" simplePos="0" relativeHeight="483603456">
          <wp:simplePos x="0" y="0"/>
          <wp:positionH relativeFrom="page">
            <wp:posOffset>6275908</wp:posOffset>
          </wp:positionH>
          <wp:positionV relativeFrom="page">
            <wp:posOffset>1700820</wp:posOffset>
          </wp:positionV>
          <wp:extent cx="134797" cy="92165"/>
          <wp:effectExtent l="0" t="0" r="0" b="0"/>
          <wp:wrapNone/>
          <wp:docPr id="231" name="image119.png"/>
          <wp:cNvGraphicFramePr>
            <a:graphicFrameLocks noChangeAspect="1"/>
          </wp:cNvGraphicFramePr>
          <a:graphic>
            <a:graphicData uri="http://schemas.openxmlformats.org/drawingml/2006/picture">
              <pic:pic>
                <pic:nvPicPr>
                  <pic:cNvPr id="232" name="image119.png"/>
                  <pic:cNvPicPr/>
                </pic:nvPicPr>
                <pic:blipFill>
                  <a:blip r:embed="rId6" cstate="print"/>
                  <a:stretch>
                    <a:fillRect/>
                  </a:stretch>
                </pic:blipFill>
                <pic:spPr>
                  <a:xfrm>
                    <a:off x="0" y="0"/>
                    <a:ext cx="134797" cy="92165"/>
                  </a:xfrm>
                  <a:prstGeom prst="rect">
                    <a:avLst/>
                  </a:prstGeom>
                </pic:spPr>
              </pic:pic>
            </a:graphicData>
          </a:graphic>
        </wp:anchor>
      </w:drawing>
    </w:r>
    <w:r>
      <w:rPr/>
      <w:drawing>
        <wp:anchor distT="0" distB="0" distL="0" distR="0" allowOverlap="1" layoutInCell="1" locked="0" behindDoc="1" simplePos="0" relativeHeight="483603968">
          <wp:simplePos x="0" y="0"/>
          <wp:positionH relativeFrom="page">
            <wp:posOffset>1645920</wp:posOffset>
          </wp:positionH>
          <wp:positionV relativeFrom="page">
            <wp:posOffset>1911095</wp:posOffset>
          </wp:positionV>
          <wp:extent cx="4615433" cy="127253"/>
          <wp:effectExtent l="0" t="0" r="0" b="0"/>
          <wp:wrapNone/>
          <wp:docPr id="233" name="image120.png"/>
          <wp:cNvGraphicFramePr>
            <a:graphicFrameLocks noChangeAspect="1"/>
          </wp:cNvGraphicFramePr>
          <a:graphic>
            <a:graphicData uri="http://schemas.openxmlformats.org/drawingml/2006/picture">
              <pic:pic>
                <pic:nvPicPr>
                  <pic:cNvPr id="234" name="image120.png"/>
                  <pic:cNvPicPr/>
                </pic:nvPicPr>
                <pic:blipFill>
                  <a:blip r:embed="rId7" cstate="print"/>
                  <a:stretch>
                    <a:fillRect/>
                  </a:stretch>
                </pic:blipFill>
                <pic:spPr>
                  <a:xfrm>
                    <a:off x="0" y="0"/>
                    <a:ext cx="4615433" cy="127253"/>
                  </a:xfrm>
                  <a:prstGeom prst="rect">
                    <a:avLst/>
                  </a:prstGeom>
                </pic:spPr>
              </pic:pic>
            </a:graphicData>
          </a:graphic>
        </wp:anchor>
      </w:drawing>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692544">
          <wp:simplePos x="0" y="0"/>
          <wp:positionH relativeFrom="page">
            <wp:posOffset>3878619</wp:posOffset>
          </wp:positionH>
          <wp:positionV relativeFrom="page">
            <wp:posOffset>426565</wp:posOffset>
          </wp:positionV>
          <wp:extent cx="2634534" cy="407188"/>
          <wp:effectExtent l="0" t="0" r="0" b="0"/>
          <wp:wrapNone/>
          <wp:docPr id="725" name="image2.jpeg"/>
          <wp:cNvGraphicFramePr>
            <a:graphicFrameLocks noChangeAspect="1"/>
          </wp:cNvGraphicFramePr>
          <a:graphic>
            <a:graphicData uri="http://schemas.openxmlformats.org/drawingml/2006/picture">
              <pic:pic>
                <pic:nvPicPr>
                  <pic:cNvPr id="726" name="image2.jpeg"/>
                  <pic:cNvPicPr/>
                </pic:nvPicPr>
                <pic:blipFill>
                  <a:blip r:embed="rId1" cstate="print"/>
                  <a:stretch>
                    <a:fillRect/>
                  </a:stretch>
                </pic:blipFill>
                <pic:spPr>
                  <a:xfrm>
                    <a:off x="0" y="0"/>
                    <a:ext cx="2634534" cy="407188"/>
                  </a:xfrm>
                  <a:prstGeom prst="rect">
                    <a:avLst/>
                  </a:prstGeom>
                </pic:spPr>
              </pic:pic>
            </a:graphicData>
          </a:graphic>
        </wp:anchor>
      </w:drawing>
    </w:r>
    <w:r>
      <w:rPr/>
      <w:pict>
        <v:rect style="position:absolute;margin-left:89.903999pt;margin-top:95.659981pt;width:.96pt;height:1.44pt;mso-position-horizontal-relative:page;mso-position-vertical-relative:page;z-index:-19623424" filled="true" fillcolor="#bebebe" stroked="false">
          <v:fill type="solid"/>
          <w10:wrap type="none"/>
        </v:rect>
      </w:pict>
    </w:r>
    <w:r>
      <w:rPr/>
      <w:pict>
        <v:rect style="position:absolute;margin-left:195.979996pt;margin-top:95.659981pt;width:.95999pt;height:1.44pt;mso-position-horizontal-relative:page;mso-position-vertical-relative:page;z-index:-19622912" filled="true" fillcolor="#bebebe" stroked="false">
          <v:fill type="solid"/>
          <w10:wrap type="none"/>
        </v:rect>
      </w:pict>
    </w:r>
    <w:r>
      <w:rPr/>
      <w:pict>
        <v:rect style="position:absolute;margin-left:504.579987pt;margin-top:95.659981pt;width:.95999pt;height:1.44pt;mso-position-horizontal-relative:page;mso-position-vertical-relative:page;z-index:-19622400" filled="true" fillcolor="#bebebe" stroked="false">
          <v:fill type="solid"/>
          <w10:wrap type="none"/>
        </v:rect>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696128">
          <wp:simplePos x="0" y="0"/>
          <wp:positionH relativeFrom="page">
            <wp:posOffset>3878619</wp:posOffset>
          </wp:positionH>
          <wp:positionV relativeFrom="page">
            <wp:posOffset>426565</wp:posOffset>
          </wp:positionV>
          <wp:extent cx="2634534" cy="407188"/>
          <wp:effectExtent l="0" t="0" r="0" b="0"/>
          <wp:wrapNone/>
          <wp:docPr id="727" name="image2.jpeg"/>
          <wp:cNvGraphicFramePr>
            <a:graphicFrameLocks noChangeAspect="1"/>
          </wp:cNvGraphicFramePr>
          <a:graphic>
            <a:graphicData uri="http://schemas.openxmlformats.org/drawingml/2006/picture">
              <pic:pic>
                <pic:nvPicPr>
                  <pic:cNvPr id="728" name="image2.jpeg"/>
                  <pic:cNvPicPr/>
                </pic:nvPicPr>
                <pic:blipFill>
                  <a:blip r:embed="rId1" cstate="print"/>
                  <a:stretch>
                    <a:fillRect/>
                  </a:stretch>
                </pic:blipFill>
                <pic:spPr>
                  <a:xfrm>
                    <a:off x="0" y="0"/>
                    <a:ext cx="2634534" cy="407188"/>
                  </a:xfrm>
                  <a:prstGeom prst="rect">
                    <a:avLst/>
                  </a:prstGeom>
                </pic:spPr>
              </pic:pic>
            </a:graphicData>
          </a:graphic>
        </wp:anchor>
      </w:drawing>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698176">
          <wp:simplePos x="0" y="0"/>
          <wp:positionH relativeFrom="page">
            <wp:posOffset>3075431</wp:posOffset>
          </wp:positionH>
          <wp:positionV relativeFrom="page">
            <wp:posOffset>0</wp:posOffset>
          </wp:positionV>
          <wp:extent cx="7607046" cy="721618"/>
          <wp:effectExtent l="0" t="0" r="0" b="0"/>
          <wp:wrapNone/>
          <wp:docPr id="729" name="image202.png"/>
          <wp:cNvGraphicFramePr>
            <a:graphicFrameLocks noChangeAspect="1"/>
          </wp:cNvGraphicFramePr>
          <a:graphic>
            <a:graphicData uri="http://schemas.openxmlformats.org/drawingml/2006/picture">
              <pic:pic>
                <pic:nvPicPr>
                  <pic:cNvPr id="730" name="image202.png"/>
                  <pic:cNvPicPr/>
                </pic:nvPicPr>
                <pic:blipFill>
                  <a:blip r:embed="rId1" cstate="print"/>
                  <a:stretch>
                    <a:fillRect/>
                  </a:stretch>
                </pic:blipFill>
                <pic:spPr>
                  <a:xfrm>
                    <a:off x="0" y="0"/>
                    <a:ext cx="7607046" cy="721618"/>
                  </a:xfrm>
                  <a:prstGeom prst="rect">
                    <a:avLst/>
                  </a:prstGeom>
                </pic:spPr>
              </pic:pic>
            </a:graphicData>
          </a:graphic>
        </wp:anchor>
      </w:drawing>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699712">
          <wp:simplePos x="0" y="0"/>
          <wp:positionH relativeFrom="page">
            <wp:posOffset>3075431</wp:posOffset>
          </wp:positionH>
          <wp:positionV relativeFrom="page">
            <wp:posOffset>0</wp:posOffset>
          </wp:positionV>
          <wp:extent cx="7607046" cy="721618"/>
          <wp:effectExtent l="0" t="0" r="0" b="0"/>
          <wp:wrapNone/>
          <wp:docPr id="733" name="image202.png"/>
          <wp:cNvGraphicFramePr>
            <a:graphicFrameLocks noChangeAspect="1"/>
          </wp:cNvGraphicFramePr>
          <a:graphic>
            <a:graphicData uri="http://schemas.openxmlformats.org/drawingml/2006/picture">
              <pic:pic>
                <pic:nvPicPr>
                  <pic:cNvPr id="734" name="image202.png"/>
                  <pic:cNvPicPr/>
                </pic:nvPicPr>
                <pic:blipFill>
                  <a:blip r:embed="rId1" cstate="print"/>
                  <a:stretch>
                    <a:fillRect/>
                  </a:stretch>
                </pic:blipFill>
                <pic:spPr>
                  <a:xfrm>
                    <a:off x="0" y="0"/>
                    <a:ext cx="7607046" cy="721618"/>
                  </a:xfrm>
                  <a:prstGeom prst="rect">
                    <a:avLst/>
                  </a:prstGeom>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606016">
          <wp:simplePos x="0" y="0"/>
          <wp:positionH relativeFrom="page">
            <wp:posOffset>3878619</wp:posOffset>
          </wp:positionH>
          <wp:positionV relativeFrom="page">
            <wp:posOffset>426565</wp:posOffset>
          </wp:positionV>
          <wp:extent cx="2634534" cy="407188"/>
          <wp:effectExtent l="0" t="0" r="0" b="0"/>
          <wp:wrapNone/>
          <wp:docPr id="343" name="image2.jpeg"/>
          <wp:cNvGraphicFramePr>
            <a:graphicFrameLocks noChangeAspect="1"/>
          </wp:cNvGraphicFramePr>
          <a:graphic>
            <a:graphicData uri="http://schemas.openxmlformats.org/drawingml/2006/picture">
              <pic:pic>
                <pic:nvPicPr>
                  <pic:cNvPr id="344" name="image2.jpeg"/>
                  <pic:cNvPicPr/>
                </pic:nvPicPr>
                <pic:blipFill>
                  <a:blip r:embed="rId1" cstate="print"/>
                  <a:stretch>
                    <a:fillRect/>
                  </a:stretch>
                </pic:blipFill>
                <pic:spPr>
                  <a:xfrm>
                    <a:off x="0" y="0"/>
                    <a:ext cx="2634534" cy="407188"/>
                  </a:xfrm>
                  <a:prstGeom prst="rect">
                    <a:avLst/>
                  </a:prstGeom>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608064">
          <wp:simplePos x="0" y="0"/>
          <wp:positionH relativeFrom="page">
            <wp:posOffset>3878619</wp:posOffset>
          </wp:positionH>
          <wp:positionV relativeFrom="page">
            <wp:posOffset>426565</wp:posOffset>
          </wp:positionV>
          <wp:extent cx="2634534" cy="407188"/>
          <wp:effectExtent l="0" t="0" r="0" b="0"/>
          <wp:wrapNone/>
          <wp:docPr id="363" name="image2.jpeg"/>
          <wp:cNvGraphicFramePr>
            <a:graphicFrameLocks noChangeAspect="1"/>
          </wp:cNvGraphicFramePr>
          <a:graphic>
            <a:graphicData uri="http://schemas.openxmlformats.org/drawingml/2006/picture">
              <pic:pic>
                <pic:nvPicPr>
                  <pic:cNvPr id="364" name="image2.jpeg"/>
                  <pic:cNvPicPr/>
                </pic:nvPicPr>
                <pic:blipFill>
                  <a:blip r:embed="rId1" cstate="print"/>
                  <a:stretch>
                    <a:fillRect/>
                  </a:stretch>
                </pic:blipFill>
                <pic:spPr>
                  <a:xfrm>
                    <a:off x="0" y="0"/>
                    <a:ext cx="2634534" cy="407188"/>
                  </a:xfrm>
                  <a:prstGeom prst="rect">
                    <a:avLst/>
                  </a:prstGeom>
                </pic:spPr>
              </pic:pic>
            </a:graphicData>
          </a:graphic>
        </wp:anchor>
      </w:drawing>
    </w:r>
    <w:r>
      <w:rPr/>
      <w:drawing>
        <wp:anchor distT="0" distB="0" distL="0" distR="0" allowOverlap="1" layoutInCell="1" locked="0" behindDoc="1" simplePos="0" relativeHeight="483608576">
          <wp:simplePos x="0" y="0"/>
          <wp:positionH relativeFrom="page">
            <wp:posOffset>1423606</wp:posOffset>
          </wp:positionH>
          <wp:positionV relativeFrom="page">
            <wp:posOffset>1289494</wp:posOffset>
          </wp:positionV>
          <wp:extent cx="52387" cy="52387"/>
          <wp:effectExtent l="0" t="0" r="0" b="0"/>
          <wp:wrapNone/>
          <wp:docPr id="365" name="image176.png"/>
          <wp:cNvGraphicFramePr>
            <a:graphicFrameLocks noChangeAspect="1"/>
          </wp:cNvGraphicFramePr>
          <a:graphic>
            <a:graphicData uri="http://schemas.openxmlformats.org/drawingml/2006/picture">
              <pic:pic>
                <pic:nvPicPr>
                  <pic:cNvPr id="366" name="image176.png"/>
                  <pic:cNvPicPr/>
                </pic:nvPicPr>
                <pic:blipFill>
                  <a:blip r:embed="rId2" cstate="print"/>
                  <a:stretch>
                    <a:fillRect/>
                  </a:stretch>
                </pic:blipFill>
                <pic:spPr>
                  <a:xfrm>
                    <a:off x="0" y="0"/>
                    <a:ext cx="52387" cy="52387"/>
                  </a:xfrm>
                  <a:prstGeom prst="rect">
                    <a:avLst/>
                  </a:prstGeom>
                </pic:spPr>
              </pic:pic>
            </a:graphicData>
          </a:graphic>
        </wp:anchor>
      </w:drawing>
    </w:r>
    <w:r>
      <w:rPr/>
      <w:drawing>
        <wp:anchor distT="0" distB="0" distL="0" distR="0" allowOverlap="1" layoutInCell="1" locked="0" behindDoc="1" simplePos="0" relativeHeight="483609088">
          <wp:simplePos x="0" y="0"/>
          <wp:positionH relativeFrom="page">
            <wp:posOffset>1423606</wp:posOffset>
          </wp:positionH>
          <wp:positionV relativeFrom="page">
            <wp:posOffset>2037778</wp:posOffset>
          </wp:positionV>
          <wp:extent cx="52387" cy="52387"/>
          <wp:effectExtent l="0" t="0" r="0" b="0"/>
          <wp:wrapNone/>
          <wp:docPr id="367" name="image176.png"/>
          <wp:cNvGraphicFramePr>
            <a:graphicFrameLocks noChangeAspect="1"/>
          </wp:cNvGraphicFramePr>
          <a:graphic>
            <a:graphicData uri="http://schemas.openxmlformats.org/drawingml/2006/picture">
              <pic:pic>
                <pic:nvPicPr>
                  <pic:cNvPr id="368" name="image176.png"/>
                  <pic:cNvPicPr/>
                </pic:nvPicPr>
                <pic:blipFill>
                  <a:blip r:embed="rId2" cstate="print"/>
                  <a:stretch>
                    <a:fillRect/>
                  </a:stretch>
                </pic:blipFill>
                <pic:spPr>
                  <a:xfrm>
                    <a:off x="0" y="0"/>
                    <a:ext cx="52387" cy="52387"/>
                  </a:xfrm>
                  <a:prstGeom prst="rect">
                    <a:avLst/>
                  </a:prstGeom>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611136">
          <wp:simplePos x="0" y="0"/>
          <wp:positionH relativeFrom="page">
            <wp:posOffset>3878619</wp:posOffset>
          </wp:positionH>
          <wp:positionV relativeFrom="page">
            <wp:posOffset>426565</wp:posOffset>
          </wp:positionV>
          <wp:extent cx="2634534" cy="407188"/>
          <wp:effectExtent l="0" t="0" r="0" b="0"/>
          <wp:wrapNone/>
          <wp:docPr id="373" name="image2.jpeg"/>
          <wp:cNvGraphicFramePr>
            <a:graphicFrameLocks noChangeAspect="1"/>
          </wp:cNvGraphicFramePr>
          <a:graphic>
            <a:graphicData uri="http://schemas.openxmlformats.org/drawingml/2006/picture">
              <pic:pic>
                <pic:nvPicPr>
                  <pic:cNvPr id="374" name="image2.jpeg"/>
                  <pic:cNvPicPr/>
                </pic:nvPicPr>
                <pic:blipFill>
                  <a:blip r:embed="rId1" cstate="print"/>
                  <a:stretch>
                    <a:fillRect/>
                  </a:stretch>
                </pic:blipFill>
                <pic:spPr>
                  <a:xfrm>
                    <a:off x="0" y="0"/>
                    <a:ext cx="2634534" cy="407188"/>
                  </a:xfrm>
                  <a:prstGeom prst="rect">
                    <a:avLst/>
                  </a:prstGeom>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613184">
          <wp:simplePos x="0" y="0"/>
          <wp:positionH relativeFrom="page">
            <wp:posOffset>3878619</wp:posOffset>
          </wp:positionH>
          <wp:positionV relativeFrom="page">
            <wp:posOffset>426565</wp:posOffset>
          </wp:positionV>
          <wp:extent cx="2634534" cy="407188"/>
          <wp:effectExtent l="0" t="0" r="0" b="0"/>
          <wp:wrapNone/>
          <wp:docPr id="393" name="image2.jpeg"/>
          <wp:cNvGraphicFramePr>
            <a:graphicFrameLocks noChangeAspect="1"/>
          </wp:cNvGraphicFramePr>
          <a:graphic>
            <a:graphicData uri="http://schemas.openxmlformats.org/drawingml/2006/picture">
              <pic:pic>
                <pic:nvPicPr>
                  <pic:cNvPr id="394" name="image2.jpeg"/>
                  <pic:cNvPicPr/>
                </pic:nvPicPr>
                <pic:blipFill>
                  <a:blip r:embed="rId1" cstate="print"/>
                  <a:stretch>
                    <a:fillRect/>
                  </a:stretch>
                </pic:blipFill>
                <pic:spPr>
                  <a:xfrm>
                    <a:off x="0" y="0"/>
                    <a:ext cx="2634534" cy="407188"/>
                  </a:xfrm>
                  <a:prstGeom prst="rect">
                    <a:avLst/>
                  </a:prstGeom>
                </pic:spPr>
              </pic:pic>
            </a:graphicData>
          </a:graphic>
        </wp:anchor>
      </w:drawing>
    </w:r>
    <w:r>
      <w:rPr/>
      <w:drawing>
        <wp:anchor distT="0" distB="0" distL="0" distR="0" allowOverlap="1" layoutInCell="1" locked="0" behindDoc="1" simplePos="0" relativeHeight="483613696">
          <wp:simplePos x="0" y="0"/>
          <wp:positionH relativeFrom="page">
            <wp:posOffset>1423606</wp:posOffset>
          </wp:positionH>
          <wp:positionV relativeFrom="page">
            <wp:posOffset>1809178</wp:posOffset>
          </wp:positionV>
          <wp:extent cx="52387" cy="52387"/>
          <wp:effectExtent l="0" t="0" r="0" b="0"/>
          <wp:wrapNone/>
          <wp:docPr id="395" name="image176.png"/>
          <wp:cNvGraphicFramePr>
            <a:graphicFrameLocks noChangeAspect="1"/>
          </wp:cNvGraphicFramePr>
          <a:graphic>
            <a:graphicData uri="http://schemas.openxmlformats.org/drawingml/2006/picture">
              <pic:pic>
                <pic:nvPicPr>
                  <pic:cNvPr id="396" name="image176.png"/>
                  <pic:cNvPicPr/>
                </pic:nvPicPr>
                <pic:blipFill>
                  <a:blip r:embed="rId2" cstate="print"/>
                  <a:stretch>
                    <a:fillRect/>
                  </a:stretch>
                </pic:blipFill>
                <pic:spPr>
                  <a:xfrm>
                    <a:off x="0" y="0"/>
                    <a:ext cx="52387" cy="52387"/>
                  </a:xfrm>
                  <a:prstGeom prst="rect">
                    <a:avLst/>
                  </a:prstGeom>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3615744">
          <wp:simplePos x="0" y="0"/>
          <wp:positionH relativeFrom="page">
            <wp:posOffset>3878619</wp:posOffset>
          </wp:positionH>
          <wp:positionV relativeFrom="page">
            <wp:posOffset>426565</wp:posOffset>
          </wp:positionV>
          <wp:extent cx="2634534" cy="407188"/>
          <wp:effectExtent l="0" t="0" r="0" b="0"/>
          <wp:wrapNone/>
          <wp:docPr id="403" name="image2.jpeg"/>
          <wp:cNvGraphicFramePr>
            <a:graphicFrameLocks noChangeAspect="1"/>
          </wp:cNvGraphicFramePr>
          <a:graphic>
            <a:graphicData uri="http://schemas.openxmlformats.org/drawingml/2006/picture">
              <pic:pic>
                <pic:nvPicPr>
                  <pic:cNvPr id="404" name="image2.jpeg"/>
                  <pic:cNvPicPr/>
                </pic:nvPicPr>
                <pic:blipFill>
                  <a:blip r:embed="rId1" cstate="print"/>
                  <a:stretch>
                    <a:fillRect/>
                  </a:stretch>
                </pic:blipFill>
                <pic:spPr>
                  <a:xfrm>
                    <a:off x="0" y="0"/>
                    <a:ext cx="2634534" cy="407188"/>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8">
    <w:multiLevelType w:val="hybridMultilevel"/>
    <w:lvl w:ilvl="0">
      <w:start w:val="0"/>
      <w:numFmt w:val="bullet"/>
      <w:lvlText w:val=""/>
      <w:lvlJc w:val="left"/>
      <w:pPr>
        <w:ind w:left="829" w:hanging="360"/>
      </w:pPr>
      <w:rPr>
        <w:rFonts w:hint="default" w:ascii="Symbol" w:hAnsi="Symbol" w:eastAsia="Symbol" w:cs="Symbol"/>
        <w:w w:val="100"/>
        <w:sz w:val="22"/>
        <w:szCs w:val="22"/>
        <w:lang w:val="en-au" w:eastAsia="en-US" w:bidi="ar-SA"/>
      </w:rPr>
    </w:lvl>
    <w:lvl w:ilvl="1">
      <w:start w:val="0"/>
      <w:numFmt w:val="bullet"/>
      <w:lvlText w:val="•"/>
      <w:lvlJc w:val="left"/>
      <w:pPr>
        <w:ind w:left="1174" w:hanging="360"/>
      </w:pPr>
      <w:rPr>
        <w:rFonts w:hint="default"/>
        <w:lang w:val="en-au" w:eastAsia="en-US" w:bidi="ar-SA"/>
      </w:rPr>
    </w:lvl>
    <w:lvl w:ilvl="2">
      <w:start w:val="0"/>
      <w:numFmt w:val="bullet"/>
      <w:lvlText w:val="•"/>
      <w:lvlJc w:val="left"/>
      <w:pPr>
        <w:ind w:left="1529" w:hanging="360"/>
      </w:pPr>
      <w:rPr>
        <w:rFonts w:hint="default"/>
        <w:lang w:val="en-au" w:eastAsia="en-US" w:bidi="ar-SA"/>
      </w:rPr>
    </w:lvl>
    <w:lvl w:ilvl="3">
      <w:start w:val="0"/>
      <w:numFmt w:val="bullet"/>
      <w:lvlText w:val="•"/>
      <w:lvlJc w:val="left"/>
      <w:pPr>
        <w:ind w:left="1883" w:hanging="360"/>
      </w:pPr>
      <w:rPr>
        <w:rFonts w:hint="default"/>
        <w:lang w:val="en-au" w:eastAsia="en-US" w:bidi="ar-SA"/>
      </w:rPr>
    </w:lvl>
    <w:lvl w:ilvl="4">
      <w:start w:val="0"/>
      <w:numFmt w:val="bullet"/>
      <w:lvlText w:val="•"/>
      <w:lvlJc w:val="left"/>
      <w:pPr>
        <w:ind w:left="2238" w:hanging="360"/>
      </w:pPr>
      <w:rPr>
        <w:rFonts w:hint="default"/>
        <w:lang w:val="en-au" w:eastAsia="en-US" w:bidi="ar-SA"/>
      </w:rPr>
    </w:lvl>
    <w:lvl w:ilvl="5">
      <w:start w:val="0"/>
      <w:numFmt w:val="bullet"/>
      <w:lvlText w:val="•"/>
      <w:lvlJc w:val="left"/>
      <w:pPr>
        <w:ind w:left="2593" w:hanging="360"/>
      </w:pPr>
      <w:rPr>
        <w:rFonts w:hint="default"/>
        <w:lang w:val="en-au" w:eastAsia="en-US" w:bidi="ar-SA"/>
      </w:rPr>
    </w:lvl>
    <w:lvl w:ilvl="6">
      <w:start w:val="0"/>
      <w:numFmt w:val="bullet"/>
      <w:lvlText w:val="•"/>
      <w:lvlJc w:val="left"/>
      <w:pPr>
        <w:ind w:left="2947" w:hanging="360"/>
      </w:pPr>
      <w:rPr>
        <w:rFonts w:hint="default"/>
        <w:lang w:val="en-au" w:eastAsia="en-US" w:bidi="ar-SA"/>
      </w:rPr>
    </w:lvl>
    <w:lvl w:ilvl="7">
      <w:start w:val="0"/>
      <w:numFmt w:val="bullet"/>
      <w:lvlText w:val="•"/>
      <w:lvlJc w:val="left"/>
      <w:pPr>
        <w:ind w:left="3302" w:hanging="360"/>
      </w:pPr>
      <w:rPr>
        <w:rFonts w:hint="default"/>
        <w:lang w:val="en-au" w:eastAsia="en-US" w:bidi="ar-SA"/>
      </w:rPr>
    </w:lvl>
    <w:lvl w:ilvl="8">
      <w:start w:val="0"/>
      <w:numFmt w:val="bullet"/>
      <w:lvlText w:val="•"/>
      <w:lvlJc w:val="left"/>
      <w:pPr>
        <w:ind w:left="3656" w:hanging="360"/>
      </w:pPr>
      <w:rPr>
        <w:rFonts w:hint="default"/>
        <w:lang w:val="en-au" w:eastAsia="en-US" w:bidi="ar-SA"/>
      </w:rPr>
    </w:lvl>
  </w:abstractNum>
  <w:abstractNum w:abstractNumId="27">
    <w:multiLevelType w:val="hybridMultilevel"/>
    <w:lvl w:ilvl="0">
      <w:start w:val="2"/>
      <w:numFmt w:val="decimal"/>
      <w:lvlText w:val="%1."/>
      <w:lvlJc w:val="left"/>
      <w:pPr>
        <w:ind w:left="384" w:hanging="356"/>
        <w:jc w:val="left"/>
      </w:pPr>
      <w:rPr>
        <w:rFonts w:hint="default" w:ascii="Calibri" w:hAnsi="Calibri" w:eastAsia="Calibri" w:cs="Calibri"/>
        <w:color w:val="212121"/>
        <w:w w:val="100"/>
        <w:sz w:val="22"/>
        <w:szCs w:val="22"/>
        <w:lang w:val="en-au" w:eastAsia="en-US" w:bidi="ar-SA"/>
      </w:rPr>
    </w:lvl>
    <w:lvl w:ilvl="1">
      <w:start w:val="0"/>
      <w:numFmt w:val="bullet"/>
      <w:lvlText w:val="•"/>
      <w:lvlJc w:val="left"/>
      <w:pPr>
        <w:ind w:left="1152" w:hanging="356"/>
      </w:pPr>
      <w:rPr>
        <w:rFonts w:hint="default"/>
        <w:lang w:val="en-au" w:eastAsia="en-US" w:bidi="ar-SA"/>
      </w:rPr>
    </w:lvl>
    <w:lvl w:ilvl="2">
      <w:start w:val="0"/>
      <w:numFmt w:val="bullet"/>
      <w:lvlText w:val="•"/>
      <w:lvlJc w:val="left"/>
      <w:pPr>
        <w:ind w:left="1925" w:hanging="356"/>
      </w:pPr>
      <w:rPr>
        <w:rFonts w:hint="default"/>
        <w:lang w:val="en-au" w:eastAsia="en-US" w:bidi="ar-SA"/>
      </w:rPr>
    </w:lvl>
    <w:lvl w:ilvl="3">
      <w:start w:val="0"/>
      <w:numFmt w:val="bullet"/>
      <w:lvlText w:val="•"/>
      <w:lvlJc w:val="left"/>
      <w:pPr>
        <w:ind w:left="2698" w:hanging="356"/>
      </w:pPr>
      <w:rPr>
        <w:rFonts w:hint="default"/>
        <w:lang w:val="en-au" w:eastAsia="en-US" w:bidi="ar-SA"/>
      </w:rPr>
    </w:lvl>
    <w:lvl w:ilvl="4">
      <w:start w:val="0"/>
      <w:numFmt w:val="bullet"/>
      <w:lvlText w:val="•"/>
      <w:lvlJc w:val="left"/>
      <w:pPr>
        <w:ind w:left="3471" w:hanging="356"/>
      </w:pPr>
      <w:rPr>
        <w:rFonts w:hint="default"/>
        <w:lang w:val="en-au" w:eastAsia="en-US" w:bidi="ar-SA"/>
      </w:rPr>
    </w:lvl>
    <w:lvl w:ilvl="5">
      <w:start w:val="0"/>
      <w:numFmt w:val="bullet"/>
      <w:lvlText w:val="•"/>
      <w:lvlJc w:val="left"/>
      <w:pPr>
        <w:ind w:left="4244" w:hanging="356"/>
      </w:pPr>
      <w:rPr>
        <w:rFonts w:hint="default"/>
        <w:lang w:val="en-au" w:eastAsia="en-US" w:bidi="ar-SA"/>
      </w:rPr>
    </w:lvl>
    <w:lvl w:ilvl="6">
      <w:start w:val="0"/>
      <w:numFmt w:val="bullet"/>
      <w:lvlText w:val="•"/>
      <w:lvlJc w:val="left"/>
      <w:pPr>
        <w:ind w:left="5017" w:hanging="356"/>
      </w:pPr>
      <w:rPr>
        <w:rFonts w:hint="default"/>
        <w:lang w:val="en-au" w:eastAsia="en-US" w:bidi="ar-SA"/>
      </w:rPr>
    </w:lvl>
    <w:lvl w:ilvl="7">
      <w:start w:val="0"/>
      <w:numFmt w:val="bullet"/>
      <w:lvlText w:val="•"/>
      <w:lvlJc w:val="left"/>
      <w:pPr>
        <w:ind w:left="5790" w:hanging="356"/>
      </w:pPr>
      <w:rPr>
        <w:rFonts w:hint="default"/>
        <w:lang w:val="en-au" w:eastAsia="en-US" w:bidi="ar-SA"/>
      </w:rPr>
    </w:lvl>
    <w:lvl w:ilvl="8">
      <w:start w:val="0"/>
      <w:numFmt w:val="bullet"/>
      <w:lvlText w:val="•"/>
      <w:lvlJc w:val="left"/>
      <w:pPr>
        <w:ind w:left="6562" w:hanging="356"/>
      </w:pPr>
      <w:rPr>
        <w:rFonts w:hint="default"/>
        <w:lang w:val="en-au" w:eastAsia="en-US" w:bidi="ar-SA"/>
      </w:rPr>
    </w:lvl>
  </w:abstractNum>
  <w:abstractNum w:abstractNumId="26">
    <w:multiLevelType w:val="hybridMultilevel"/>
    <w:lvl w:ilvl="0">
      <w:start w:val="0"/>
      <w:numFmt w:val="bullet"/>
      <w:lvlText w:val="-"/>
      <w:lvlJc w:val="left"/>
      <w:pPr>
        <w:ind w:left="3494" w:hanging="720"/>
      </w:pPr>
      <w:rPr>
        <w:rFonts w:hint="default" w:ascii="Calibri" w:hAnsi="Calibri" w:eastAsia="Calibri" w:cs="Calibri"/>
        <w:w w:val="100"/>
        <w:sz w:val="22"/>
        <w:szCs w:val="22"/>
        <w:lang w:val="en-au" w:eastAsia="en-US" w:bidi="ar-SA"/>
      </w:rPr>
    </w:lvl>
    <w:lvl w:ilvl="1">
      <w:start w:val="0"/>
      <w:numFmt w:val="bullet"/>
      <w:lvlText w:val="•"/>
      <w:lvlJc w:val="left"/>
      <w:pPr>
        <w:ind w:left="4282" w:hanging="720"/>
      </w:pPr>
      <w:rPr>
        <w:rFonts w:hint="default"/>
        <w:lang w:val="en-au" w:eastAsia="en-US" w:bidi="ar-SA"/>
      </w:rPr>
    </w:lvl>
    <w:lvl w:ilvl="2">
      <w:start w:val="0"/>
      <w:numFmt w:val="bullet"/>
      <w:lvlText w:val="•"/>
      <w:lvlJc w:val="left"/>
      <w:pPr>
        <w:ind w:left="5065" w:hanging="720"/>
      </w:pPr>
      <w:rPr>
        <w:rFonts w:hint="default"/>
        <w:lang w:val="en-au" w:eastAsia="en-US" w:bidi="ar-SA"/>
      </w:rPr>
    </w:lvl>
    <w:lvl w:ilvl="3">
      <w:start w:val="0"/>
      <w:numFmt w:val="bullet"/>
      <w:lvlText w:val="•"/>
      <w:lvlJc w:val="left"/>
      <w:pPr>
        <w:ind w:left="5847" w:hanging="720"/>
      </w:pPr>
      <w:rPr>
        <w:rFonts w:hint="default"/>
        <w:lang w:val="en-au" w:eastAsia="en-US" w:bidi="ar-SA"/>
      </w:rPr>
    </w:lvl>
    <w:lvl w:ilvl="4">
      <w:start w:val="0"/>
      <w:numFmt w:val="bullet"/>
      <w:lvlText w:val="•"/>
      <w:lvlJc w:val="left"/>
      <w:pPr>
        <w:ind w:left="6630" w:hanging="720"/>
      </w:pPr>
      <w:rPr>
        <w:rFonts w:hint="default"/>
        <w:lang w:val="en-au" w:eastAsia="en-US" w:bidi="ar-SA"/>
      </w:rPr>
    </w:lvl>
    <w:lvl w:ilvl="5">
      <w:start w:val="0"/>
      <w:numFmt w:val="bullet"/>
      <w:lvlText w:val="•"/>
      <w:lvlJc w:val="left"/>
      <w:pPr>
        <w:ind w:left="7413" w:hanging="720"/>
      </w:pPr>
      <w:rPr>
        <w:rFonts w:hint="default"/>
        <w:lang w:val="en-au" w:eastAsia="en-US" w:bidi="ar-SA"/>
      </w:rPr>
    </w:lvl>
    <w:lvl w:ilvl="6">
      <w:start w:val="0"/>
      <w:numFmt w:val="bullet"/>
      <w:lvlText w:val="•"/>
      <w:lvlJc w:val="left"/>
      <w:pPr>
        <w:ind w:left="8195" w:hanging="720"/>
      </w:pPr>
      <w:rPr>
        <w:rFonts w:hint="default"/>
        <w:lang w:val="en-au" w:eastAsia="en-US" w:bidi="ar-SA"/>
      </w:rPr>
    </w:lvl>
    <w:lvl w:ilvl="7">
      <w:start w:val="0"/>
      <w:numFmt w:val="bullet"/>
      <w:lvlText w:val="•"/>
      <w:lvlJc w:val="left"/>
      <w:pPr>
        <w:ind w:left="8978" w:hanging="720"/>
      </w:pPr>
      <w:rPr>
        <w:rFonts w:hint="default"/>
        <w:lang w:val="en-au" w:eastAsia="en-US" w:bidi="ar-SA"/>
      </w:rPr>
    </w:lvl>
    <w:lvl w:ilvl="8">
      <w:start w:val="0"/>
      <w:numFmt w:val="bullet"/>
      <w:lvlText w:val="•"/>
      <w:lvlJc w:val="left"/>
      <w:pPr>
        <w:ind w:left="9761" w:hanging="720"/>
      </w:pPr>
      <w:rPr>
        <w:rFonts w:hint="default"/>
        <w:lang w:val="en-au" w:eastAsia="en-US" w:bidi="ar-SA"/>
      </w:rPr>
    </w:lvl>
  </w:abstractNum>
  <w:abstractNum w:abstractNumId="25">
    <w:multiLevelType w:val="hybridMultilevel"/>
    <w:lvl w:ilvl="0">
      <w:start w:val="1"/>
      <w:numFmt w:val="lowerLetter"/>
      <w:lvlText w:val="%1."/>
      <w:lvlJc w:val="left"/>
      <w:pPr>
        <w:ind w:left="1982" w:hanging="360"/>
        <w:jc w:val="left"/>
      </w:pPr>
      <w:rPr>
        <w:rFonts w:hint="default" w:ascii="Calibri" w:hAnsi="Calibri" w:eastAsia="Calibri" w:cs="Calibri"/>
        <w:spacing w:val="-1"/>
        <w:w w:val="100"/>
        <w:sz w:val="22"/>
        <w:szCs w:val="22"/>
        <w:lang w:val="en-au" w:eastAsia="en-US" w:bidi="ar-SA"/>
      </w:rPr>
    </w:lvl>
    <w:lvl w:ilvl="1">
      <w:start w:val="0"/>
      <w:numFmt w:val="bullet"/>
      <w:lvlText w:val="•"/>
      <w:lvlJc w:val="left"/>
      <w:pPr>
        <w:ind w:left="2914" w:hanging="360"/>
      </w:pPr>
      <w:rPr>
        <w:rFonts w:hint="default"/>
        <w:lang w:val="en-au" w:eastAsia="en-US" w:bidi="ar-SA"/>
      </w:rPr>
    </w:lvl>
    <w:lvl w:ilvl="2">
      <w:start w:val="0"/>
      <w:numFmt w:val="bullet"/>
      <w:lvlText w:val="•"/>
      <w:lvlJc w:val="left"/>
      <w:pPr>
        <w:ind w:left="3849" w:hanging="360"/>
      </w:pPr>
      <w:rPr>
        <w:rFonts w:hint="default"/>
        <w:lang w:val="en-au" w:eastAsia="en-US" w:bidi="ar-SA"/>
      </w:rPr>
    </w:lvl>
    <w:lvl w:ilvl="3">
      <w:start w:val="0"/>
      <w:numFmt w:val="bullet"/>
      <w:lvlText w:val="•"/>
      <w:lvlJc w:val="left"/>
      <w:pPr>
        <w:ind w:left="4783" w:hanging="360"/>
      </w:pPr>
      <w:rPr>
        <w:rFonts w:hint="default"/>
        <w:lang w:val="en-au" w:eastAsia="en-US" w:bidi="ar-SA"/>
      </w:rPr>
    </w:lvl>
    <w:lvl w:ilvl="4">
      <w:start w:val="0"/>
      <w:numFmt w:val="bullet"/>
      <w:lvlText w:val="•"/>
      <w:lvlJc w:val="left"/>
      <w:pPr>
        <w:ind w:left="5718" w:hanging="360"/>
      </w:pPr>
      <w:rPr>
        <w:rFonts w:hint="default"/>
        <w:lang w:val="en-au" w:eastAsia="en-US" w:bidi="ar-SA"/>
      </w:rPr>
    </w:lvl>
    <w:lvl w:ilvl="5">
      <w:start w:val="0"/>
      <w:numFmt w:val="bullet"/>
      <w:lvlText w:val="•"/>
      <w:lvlJc w:val="left"/>
      <w:pPr>
        <w:ind w:left="6653" w:hanging="360"/>
      </w:pPr>
      <w:rPr>
        <w:rFonts w:hint="default"/>
        <w:lang w:val="en-au" w:eastAsia="en-US" w:bidi="ar-SA"/>
      </w:rPr>
    </w:lvl>
    <w:lvl w:ilvl="6">
      <w:start w:val="0"/>
      <w:numFmt w:val="bullet"/>
      <w:lvlText w:val="•"/>
      <w:lvlJc w:val="left"/>
      <w:pPr>
        <w:ind w:left="7587" w:hanging="360"/>
      </w:pPr>
      <w:rPr>
        <w:rFonts w:hint="default"/>
        <w:lang w:val="en-au" w:eastAsia="en-US" w:bidi="ar-SA"/>
      </w:rPr>
    </w:lvl>
    <w:lvl w:ilvl="7">
      <w:start w:val="0"/>
      <w:numFmt w:val="bullet"/>
      <w:lvlText w:val="•"/>
      <w:lvlJc w:val="left"/>
      <w:pPr>
        <w:ind w:left="8522" w:hanging="360"/>
      </w:pPr>
      <w:rPr>
        <w:rFonts w:hint="default"/>
        <w:lang w:val="en-au" w:eastAsia="en-US" w:bidi="ar-SA"/>
      </w:rPr>
    </w:lvl>
    <w:lvl w:ilvl="8">
      <w:start w:val="0"/>
      <w:numFmt w:val="bullet"/>
      <w:lvlText w:val="•"/>
      <w:lvlJc w:val="left"/>
      <w:pPr>
        <w:ind w:left="9457" w:hanging="360"/>
      </w:pPr>
      <w:rPr>
        <w:rFonts w:hint="default"/>
        <w:lang w:val="en-au" w:eastAsia="en-US" w:bidi="ar-SA"/>
      </w:rPr>
    </w:lvl>
  </w:abstractNum>
  <w:abstractNum w:abstractNumId="24">
    <w:multiLevelType w:val="hybridMultilevel"/>
    <w:lvl w:ilvl="0">
      <w:start w:val="1"/>
      <w:numFmt w:val="lowerLetter"/>
      <w:lvlText w:val="%1."/>
      <w:lvlJc w:val="left"/>
      <w:pPr>
        <w:ind w:left="2190" w:hanging="360"/>
        <w:jc w:val="left"/>
      </w:pPr>
      <w:rPr>
        <w:rFonts w:hint="default" w:ascii="Calibri" w:hAnsi="Calibri" w:eastAsia="Calibri" w:cs="Calibri"/>
        <w:w w:val="100"/>
        <w:sz w:val="24"/>
        <w:szCs w:val="24"/>
        <w:lang w:val="en-au" w:eastAsia="en-US" w:bidi="ar-SA"/>
      </w:rPr>
    </w:lvl>
    <w:lvl w:ilvl="1">
      <w:start w:val="0"/>
      <w:numFmt w:val="bullet"/>
      <w:lvlText w:val=""/>
      <w:lvlJc w:val="left"/>
      <w:pPr>
        <w:ind w:left="2462" w:hanging="360"/>
      </w:pPr>
      <w:rPr>
        <w:rFonts w:hint="default" w:ascii="Symbol" w:hAnsi="Symbol" w:eastAsia="Symbol" w:cs="Symbol"/>
        <w:w w:val="100"/>
        <w:sz w:val="22"/>
        <w:szCs w:val="22"/>
        <w:lang w:val="en-au" w:eastAsia="en-US" w:bidi="ar-SA"/>
      </w:rPr>
    </w:lvl>
    <w:lvl w:ilvl="2">
      <w:start w:val="0"/>
      <w:numFmt w:val="bullet"/>
      <w:lvlText w:val="•"/>
      <w:lvlJc w:val="left"/>
      <w:pPr>
        <w:ind w:left="3445" w:hanging="360"/>
      </w:pPr>
      <w:rPr>
        <w:rFonts w:hint="default"/>
        <w:lang w:val="en-au" w:eastAsia="en-US" w:bidi="ar-SA"/>
      </w:rPr>
    </w:lvl>
    <w:lvl w:ilvl="3">
      <w:start w:val="0"/>
      <w:numFmt w:val="bullet"/>
      <w:lvlText w:val="•"/>
      <w:lvlJc w:val="left"/>
      <w:pPr>
        <w:ind w:left="4430" w:hanging="360"/>
      </w:pPr>
      <w:rPr>
        <w:rFonts w:hint="default"/>
        <w:lang w:val="en-au" w:eastAsia="en-US" w:bidi="ar-SA"/>
      </w:rPr>
    </w:lvl>
    <w:lvl w:ilvl="4">
      <w:start w:val="0"/>
      <w:numFmt w:val="bullet"/>
      <w:lvlText w:val="•"/>
      <w:lvlJc w:val="left"/>
      <w:pPr>
        <w:ind w:left="5415" w:hanging="360"/>
      </w:pPr>
      <w:rPr>
        <w:rFonts w:hint="default"/>
        <w:lang w:val="en-au" w:eastAsia="en-US" w:bidi="ar-SA"/>
      </w:rPr>
    </w:lvl>
    <w:lvl w:ilvl="5">
      <w:start w:val="0"/>
      <w:numFmt w:val="bullet"/>
      <w:lvlText w:val="•"/>
      <w:lvlJc w:val="left"/>
      <w:pPr>
        <w:ind w:left="6400" w:hanging="360"/>
      </w:pPr>
      <w:rPr>
        <w:rFonts w:hint="default"/>
        <w:lang w:val="en-au" w:eastAsia="en-US" w:bidi="ar-SA"/>
      </w:rPr>
    </w:lvl>
    <w:lvl w:ilvl="6">
      <w:start w:val="0"/>
      <w:numFmt w:val="bullet"/>
      <w:lvlText w:val="•"/>
      <w:lvlJc w:val="left"/>
      <w:pPr>
        <w:ind w:left="7385" w:hanging="360"/>
      </w:pPr>
      <w:rPr>
        <w:rFonts w:hint="default"/>
        <w:lang w:val="en-au" w:eastAsia="en-US" w:bidi="ar-SA"/>
      </w:rPr>
    </w:lvl>
    <w:lvl w:ilvl="7">
      <w:start w:val="0"/>
      <w:numFmt w:val="bullet"/>
      <w:lvlText w:val="•"/>
      <w:lvlJc w:val="left"/>
      <w:pPr>
        <w:ind w:left="8370" w:hanging="360"/>
      </w:pPr>
      <w:rPr>
        <w:rFonts w:hint="default"/>
        <w:lang w:val="en-au" w:eastAsia="en-US" w:bidi="ar-SA"/>
      </w:rPr>
    </w:lvl>
    <w:lvl w:ilvl="8">
      <w:start w:val="0"/>
      <w:numFmt w:val="bullet"/>
      <w:lvlText w:val="•"/>
      <w:lvlJc w:val="left"/>
      <w:pPr>
        <w:ind w:left="9356" w:hanging="360"/>
      </w:pPr>
      <w:rPr>
        <w:rFonts w:hint="default"/>
        <w:lang w:val="en-au" w:eastAsia="en-US" w:bidi="ar-SA"/>
      </w:rPr>
    </w:lvl>
  </w:abstractNum>
  <w:abstractNum w:abstractNumId="23">
    <w:multiLevelType w:val="hybridMultilevel"/>
    <w:lvl w:ilvl="0">
      <w:start w:val="7"/>
      <w:numFmt w:val="decimal"/>
      <w:lvlText w:val="%1"/>
      <w:lvlJc w:val="left"/>
      <w:pPr>
        <w:ind w:left="1982" w:hanging="720"/>
        <w:jc w:val="left"/>
      </w:pPr>
      <w:rPr>
        <w:rFonts w:hint="default"/>
        <w:lang w:val="en-au" w:eastAsia="en-US" w:bidi="ar-SA"/>
      </w:rPr>
    </w:lvl>
    <w:lvl w:ilvl="1">
      <w:start w:val="1"/>
      <w:numFmt w:val="decimal"/>
      <w:lvlText w:val="%1.%2"/>
      <w:lvlJc w:val="left"/>
      <w:pPr>
        <w:ind w:left="1982" w:hanging="720"/>
        <w:jc w:val="left"/>
      </w:pPr>
      <w:rPr>
        <w:rFonts w:hint="default"/>
        <w:lang w:val="en-au" w:eastAsia="en-US" w:bidi="ar-SA"/>
      </w:rPr>
    </w:lvl>
    <w:lvl w:ilvl="2">
      <w:start w:val="1"/>
      <w:numFmt w:val="decimal"/>
      <w:lvlText w:val="%1.%2.%3"/>
      <w:lvlJc w:val="left"/>
      <w:pPr>
        <w:ind w:left="1982" w:hanging="720"/>
        <w:jc w:val="left"/>
      </w:pPr>
      <w:rPr>
        <w:rFonts w:hint="default" w:ascii="Calibri" w:hAnsi="Calibri" w:eastAsia="Calibri" w:cs="Calibri"/>
        <w:b/>
        <w:bCs/>
        <w:spacing w:val="-1"/>
        <w:w w:val="100"/>
        <w:sz w:val="24"/>
        <w:szCs w:val="24"/>
        <w:lang w:val="en-au" w:eastAsia="en-US" w:bidi="ar-SA"/>
      </w:rPr>
    </w:lvl>
    <w:lvl w:ilvl="3">
      <w:start w:val="1"/>
      <w:numFmt w:val="lowerLetter"/>
      <w:lvlText w:val="%4."/>
      <w:lvlJc w:val="left"/>
      <w:pPr>
        <w:ind w:left="1982" w:hanging="360"/>
        <w:jc w:val="left"/>
      </w:pPr>
      <w:rPr>
        <w:rFonts w:hint="default" w:ascii="Calibri" w:hAnsi="Calibri" w:eastAsia="Calibri" w:cs="Calibri"/>
        <w:spacing w:val="-1"/>
        <w:w w:val="100"/>
        <w:sz w:val="22"/>
        <w:szCs w:val="22"/>
        <w:lang w:val="en-au" w:eastAsia="en-US" w:bidi="ar-SA"/>
      </w:rPr>
    </w:lvl>
    <w:lvl w:ilvl="4">
      <w:start w:val="0"/>
      <w:numFmt w:val="bullet"/>
      <w:lvlText w:val=""/>
      <w:lvlJc w:val="left"/>
      <w:pPr>
        <w:ind w:left="2462" w:hanging="360"/>
      </w:pPr>
      <w:rPr>
        <w:rFonts w:hint="default" w:ascii="Symbol" w:hAnsi="Symbol" w:eastAsia="Symbol" w:cs="Symbol"/>
        <w:w w:val="100"/>
        <w:sz w:val="22"/>
        <w:szCs w:val="22"/>
        <w:lang w:val="en-au" w:eastAsia="en-US" w:bidi="ar-SA"/>
      </w:rPr>
    </w:lvl>
    <w:lvl w:ilvl="5">
      <w:start w:val="0"/>
      <w:numFmt w:val="bullet"/>
      <w:lvlText w:val="•"/>
      <w:lvlJc w:val="left"/>
      <w:pPr>
        <w:ind w:left="6400" w:hanging="360"/>
      </w:pPr>
      <w:rPr>
        <w:rFonts w:hint="default"/>
        <w:lang w:val="en-au" w:eastAsia="en-US" w:bidi="ar-SA"/>
      </w:rPr>
    </w:lvl>
    <w:lvl w:ilvl="6">
      <w:start w:val="0"/>
      <w:numFmt w:val="bullet"/>
      <w:lvlText w:val="•"/>
      <w:lvlJc w:val="left"/>
      <w:pPr>
        <w:ind w:left="7385" w:hanging="360"/>
      </w:pPr>
      <w:rPr>
        <w:rFonts w:hint="default"/>
        <w:lang w:val="en-au" w:eastAsia="en-US" w:bidi="ar-SA"/>
      </w:rPr>
    </w:lvl>
    <w:lvl w:ilvl="7">
      <w:start w:val="0"/>
      <w:numFmt w:val="bullet"/>
      <w:lvlText w:val="•"/>
      <w:lvlJc w:val="left"/>
      <w:pPr>
        <w:ind w:left="8370" w:hanging="360"/>
      </w:pPr>
      <w:rPr>
        <w:rFonts w:hint="default"/>
        <w:lang w:val="en-au" w:eastAsia="en-US" w:bidi="ar-SA"/>
      </w:rPr>
    </w:lvl>
    <w:lvl w:ilvl="8">
      <w:start w:val="0"/>
      <w:numFmt w:val="bullet"/>
      <w:lvlText w:val="•"/>
      <w:lvlJc w:val="left"/>
      <w:pPr>
        <w:ind w:left="9356" w:hanging="360"/>
      </w:pPr>
      <w:rPr>
        <w:rFonts w:hint="default"/>
        <w:lang w:val="en-au" w:eastAsia="en-US" w:bidi="ar-SA"/>
      </w:rPr>
    </w:lvl>
  </w:abstractNum>
  <w:abstractNum w:abstractNumId="22">
    <w:multiLevelType w:val="hybridMultilevel"/>
    <w:lvl w:ilvl="0">
      <w:start w:val="0"/>
      <w:numFmt w:val="bullet"/>
      <w:lvlText w:val=""/>
      <w:lvlJc w:val="left"/>
      <w:pPr>
        <w:ind w:left="1982" w:hanging="360"/>
      </w:pPr>
      <w:rPr>
        <w:rFonts w:hint="default" w:ascii="Symbol" w:hAnsi="Symbol" w:eastAsia="Symbol" w:cs="Symbol"/>
        <w:w w:val="100"/>
        <w:sz w:val="22"/>
        <w:szCs w:val="22"/>
        <w:lang w:val="en-au" w:eastAsia="en-US" w:bidi="ar-SA"/>
      </w:rPr>
    </w:lvl>
    <w:lvl w:ilvl="1">
      <w:start w:val="0"/>
      <w:numFmt w:val="bullet"/>
      <w:lvlText w:val="•"/>
      <w:lvlJc w:val="left"/>
      <w:pPr>
        <w:ind w:left="2914" w:hanging="360"/>
      </w:pPr>
      <w:rPr>
        <w:rFonts w:hint="default"/>
        <w:lang w:val="en-au" w:eastAsia="en-US" w:bidi="ar-SA"/>
      </w:rPr>
    </w:lvl>
    <w:lvl w:ilvl="2">
      <w:start w:val="0"/>
      <w:numFmt w:val="bullet"/>
      <w:lvlText w:val="•"/>
      <w:lvlJc w:val="left"/>
      <w:pPr>
        <w:ind w:left="3849" w:hanging="360"/>
      </w:pPr>
      <w:rPr>
        <w:rFonts w:hint="default"/>
        <w:lang w:val="en-au" w:eastAsia="en-US" w:bidi="ar-SA"/>
      </w:rPr>
    </w:lvl>
    <w:lvl w:ilvl="3">
      <w:start w:val="0"/>
      <w:numFmt w:val="bullet"/>
      <w:lvlText w:val="•"/>
      <w:lvlJc w:val="left"/>
      <w:pPr>
        <w:ind w:left="4783" w:hanging="360"/>
      </w:pPr>
      <w:rPr>
        <w:rFonts w:hint="default"/>
        <w:lang w:val="en-au" w:eastAsia="en-US" w:bidi="ar-SA"/>
      </w:rPr>
    </w:lvl>
    <w:lvl w:ilvl="4">
      <w:start w:val="0"/>
      <w:numFmt w:val="bullet"/>
      <w:lvlText w:val="•"/>
      <w:lvlJc w:val="left"/>
      <w:pPr>
        <w:ind w:left="5718" w:hanging="360"/>
      </w:pPr>
      <w:rPr>
        <w:rFonts w:hint="default"/>
        <w:lang w:val="en-au" w:eastAsia="en-US" w:bidi="ar-SA"/>
      </w:rPr>
    </w:lvl>
    <w:lvl w:ilvl="5">
      <w:start w:val="0"/>
      <w:numFmt w:val="bullet"/>
      <w:lvlText w:val="•"/>
      <w:lvlJc w:val="left"/>
      <w:pPr>
        <w:ind w:left="6653" w:hanging="360"/>
      </w:pPr>
      <w:rPr>
        <w:rFonts w:hint="default"/>
        <w:lang w:val="en-au" w:eastAsia="en-US" w:bidi="ar-SA"/>
      </w:rPr>
    </w:lvl>
    <w:lvl w:ilvl="6">
      <w:start w:val="0"/>
      <w:numFmt w:val="bullet"/>
      <w:lvlText w:val="•"/>
      <w:lvlJc w:val="left"/>
      <w:pPr>
        <w:ind w:left="7587" w:hanging="360"/>
      </w:pPr>
      <w:rPr>
        <w:rFonts w:hint="default"/>
        <w:lang w:val="en-au" w:eastAsia="en-US" w:bidi="ar-SA"/>
      </w:rPr>
    </w:lvl>
    <w:lvl w:ilvl="7">
      <w:start w:val="0"/>
      <w:numFmt w:val="bullet"/>
      <w:lvlText w:val="•"/>
      <w:lvlJc w:val="left"/>
      <w:pPr>
        <w:ind w:left="8522" w:hanging="360"/>
      </w:pPr>
      <w:rPr>
        <w:rFonts w:hint="default"/>
        <w:lang w:val="en-au" w:eastAsia="en-US" w:bidi="ar-SA"/>
      </w:rPr>
    </w:lvl>
    <w:lvl w:ilvl="8">
      <w:start w:val="0"/>
      <w:numFmt w:val="bullet"/>
      <w:lvlText w:val="•"/>
      <w:lvlJc w:val="left"/>
      <w:pPr>
        <w:ind w:left="9457" w:hanging="360"/>
      </w:pPr>
      <w:rPr>
        <w:rFonts w:hint="default"/>
        <w:lang w:val="en-au" w:eastAsia="en-US" w:bidi="ar-SA"/>
      </w:rPr>
    </w:lvl>
  </w:abstractNum>
  <w:abstractNum w:abstractNumId="21">
    <w:multiLevelType w:val="hybridMultilevel"/>
    <w:lvl w:ilvl="0">
      <w:start w:val="0"/>
      <w:numFmt w:val="bullet"/>
      <w:lvlText w:val=""/>
      <w:lvlJc w:val="left"/>
      <w:pPr>
        <w:ind w:left="504" w:hanging="360"/>
      </w:pPr>
      <w:rPr>
        <w:rFonts w:hint="default" w:ascii="Symbol" w:hAnsi="Symbol" w:eastAsia="Symbol" w:cs="Symbol"/>
        <w:color w:val="B66012"/>
        <w:w w:val="100"/>
        <w:sz w:val="22"/>
        <w:szCs w:val="22"/>
        <w:lang w:val="en-au" w:eastAsia="en-US" w:bidi="ar-SA"/>
      </w:rPr>
    </w:lvl>
    <w:lvl w:ilvl="1">
      <w:start w:val="1"/>
      <w:numFmt w:val="lowerLetter"/>
      <w:lvlText w:val="%2."/>
      <w:lvlJc w:val="left"/>
      <w:pPr>
        <w:ind w:left="1224" w:hanging="360"/>
        <w:jc w:val="left"/>
      </w:pPr>
      <w:rPr>
        <w:rFonts w:hint="default" w:ascii="Calibri" w:hAnsi="Calibri" w:eastAsia="Calibri" w:cs="Calibri"/>
        <w:spacing w:val="-1"/>
        <w:w w:val="100"/>
        <w:sz w:val="22"/>
        <w:szCs w:val="22"/>
        <w:lang w:val="en-au" w:eastAsia="en-US" w:bidi="ar-SA"/>
      </w:rPr>
    </w:lvl>
    <w:lvl w:ilvl="2">
      <w:start w:val="0"/>
      <w:numFmt w:val="bullet"/>
      <w:lvlText w:val="•"/>
      <w:lvlJc w:val="left"/>
      <w:pPr>
        <w:ind w:left="2000" w:hanging="360"/>
      </w:pPr>
      <w:rPr>
        <w:rFonts w:hint="default"/>
        <w:lang w:val="en-au" w:eastAsia="en-US" w:bidi="ar-SA"/>
      </w:rPr>
    </w:lvl>
    <w:lvl w:ilvl="3">
      <w:start w:val="0"/>
      <w:numFmt w:val="bullet"/>
      <w:lvlText w:val="•"/>
      <w:lvlJc w:val="left"/>
      <w:pPr>
        <w:ind w:left="2781" w:hanging="360"/>
      </w:pPr>
      <w:rPr>
        <w:rFonts w:hint="default"/>
        <w:lang w:val="en-au" w:eastAsia="en-US" w:bidi="ar-SA"/>
      </w:rPr>
    </w:lvl>
    <w:lvl w:ilvl="4">
      <w:start w:val="0"/>
      <w:numFmt w:val="bullet"/>
      <w:lvlText w:val="•"/>
      <w:lvlJc w:val="left"/>
      <w:pPr>
        <w:ind w:left="3562" w:hanging="360"/>
      </w:pPr>
      <w:rPr>
        <w:rFonts w:hint="default"/>
        <w:lang w:val="en-au" w:eastAsia="en-US" w:bidi="ar-SA"/>
      </w:rPr>
    </w:lvl>
    <w:lvl w:ilvl="5">
      <w:start w:val="0"/>
      <w:numFmt w:val="bullet"/>
      <w:lvlText w:val="•"/>
      <w:lvlJc w:val="left"/>
      <w:pPr>
        <w:ind w:left="4342" w:hanging="360"/>
      </w:pPr>
      <w:rPr>
        <w:rFonts w:hint="default"/>
        <w:lang w:val="en-au" w:eastAsia="en-US" w:bidi="ar-SA"/>
      </w:rPr>
    </w:lvl>
    <w:lvl w:ilvl="6">
      <w:start w:val="0"/>
      <w:numFmt w:val="bullet"/>
      <w:lvlText w:val="•"/>
      <w:lvlJc w:val="left"/>
      <w:pPr>
        <w:ind w:left="5123" w:hanging="360"/>
      </w:pPr>
      <w:rPr>
        <w:rFonts w:hint="default"/>
        <w:lang w:val="en-au" w:eastAsia="en-US" w:bidi="ar-SA"/>
      </w:rPr>
    </w:lvl>
    <w:lvl w:ilvl="7">
      <w:start w:val="0"/>
      <w:numFmt w:val="bullet"/>
      <w:lvlText w:val="•"/>
      <w:lvlJc w:val="left"/>
      <w:pPr>
        <w:ind w:left="5904" w:hanging="360"/>
      </w:pPr>
      <w:rPr>
        <w:rFonts w:hint="default"/>
        <w:lang w:val="en-au" w:eastAsia="en-US" w:bidi="ar-SA"/>
      </w:rPr>
    </w:lvl>
    <w:lvl w:ilvl="8">
      <w:start w:val="0"/>
      <w:numFmt w:val="bullet"/>
      <w:lvlText w:val="•"/>
      <w:lvlJc w:val="left"/>
      <w:pPr>
        <w:ind w:left="6684" w:hanging="360"/>
      </w:pPr>
      <w:rPr>
        <w:rFonts w:hint="default"/>
        <w:lang w:val="en-au" w:eastAsia="en-US" w:bidi="ar-SA"/>
      </w:rPr>
    </w:lvl>
  </w:abstractNum>
  <w:abstractNum w:abstractNumId="20">
    <w:multiLevelType w:val="hybridMultilevel"/>
    <w:lvl w:ilvl="0">
      <w:start w:val="6"/>
      <w:numFmt w:val="decimal"/>
      <w:lvlText w:val="%1"/>
      <w:lvlJc w:val="left"/>
      <w:pPr>
        <w:ind w:left="1982" w:hanging="720"/>
        <w:jc w:val="left"/>
      </w:pPr>
      <w:rPr>
        <w:rFonts w:hint="default"/>
        <w:lang w:val="en-au" w:eastAsia="en-US" w:bidi="ar-SA"/>
      </w:rPr>
    </w:lvl>
    <w:lvl w:ilvl="1">
      <w:start w:val="1"/>
      <w:numFmt w:val="decimal"/>
      <w:lvlText w:val="%1.%2"/>
      <w:lvlJc w:val="left"/>
      <w:pPr>
        <w:ind w:left="1982" w:hanging="720"/>
        <w:jc w:val="left"/>
      </w:pPr>
      <w:rPr>
        <w:rFonts w:hint="default"/>
        <w:lang w:val="en-au" w:eastAsia="en-US" w:bidi="ar-SA"/>
      </w:rPr>
    </w:lvl>
    <w:lvl w:ilvl="2">
      <w:start w:val="1"/>
      <w:numFmt w:val="decimal"/>
      <w:lvlText w:val="%1.%2.%3"/>
      <w:lvlJc w:val="left"/>
      <w:pPr>
        <w:ind w:left="1982" w:hanging="720"/>
        <w:jc w:val="left"/>
      </w:pPr>
      <w:rPr>
        <w:rFonts w:hint="default" w:ascii="Calibri" w:hAnsi="Calibri" w:eastAsia="Calibri" w:cs="Calibri"/>
        <w:b/>
        <w:bCs/>
        <w:spacing w:val="-1"/>
        <w:w w:val="100"/>
        <w:sz w:val="24"/>
        <w:szCs w:val="24"/>
        <w:lang w:val="en-au" w:eastAsia="en-US" w:bidi="ar-SA"/>
      </w:rPr>
    </w:lvl>
    <w:lvl w:ilvl="3">
      <w:start w:val="1"/>
      <w:numFmt w:val="lowerLetter"/>
      <w:lvlText w:val="%4."/>
      <w:lvlJc w:val="left"/>
      <w:pPr>
        <w:ind w:left="2034" w:hanging="360"/>
        <w:jc w:val="left"/>
      </w:pPr>
      <w:rPr>
        <w:rFonts w:hint="default" w:ascii="Calibri" w:hAnsi="Calibri" w:eastAsia="Calibri" w:cs="Calibri"/>
        <w:spacing w:val="-1"/>
        <w:w w:val="100"/>
        <w:sz w:val="22"/>
        <w:szCs w:val="22"/>
        <w:lang w:val="en-au" w:eastAsia="en-US" w:bidi="ar-SA"/>
      </w:rPr>
    </w:lvl>
    <w:lvl w:ilvl="4">
      <w:start w:val="0"/>
      <w:numFmt w:val="bullet"/>
      <w:lvlText w:val="•"/>
      <w:lvlJc w:val="left"/>
      <w:pPr>
        <w:ind w:left="5135" w:hanging="360"/>
      </w:pPr>
      <w:rPr>
        <w:rFonts w:hint="default"/>
        <w:lang w:val="en-au" w:eastAsia="en-US" w:bidi="ar-SA"/>
      </w:rPr>
    </w:lvl>
    <w:lvl w:ilvl="5">
      <w:start w:val="0"/>
      <w:numFmt w:val="bullet"/>
      <w:lvlText w:val="•"/>
      <w:lvlJc w:val="left"/>
      <w:pPr>
        <w:ind w:left="6167" w:hanging="360"/>
      </w:pPr>
      <w:rPr>
        <w:rFonts w:hint="default"/>
        <w:lang w:val="en-au" w:eastAsia="en-US" w:bidi="ar-SA"/>
      </w:rPr>
    </w:lvl>
    <w:lvl w:ilvl="6">
      <w:start w:val="0"/>
      <w:numFmt w:val="bullet"/>
      <w:lvlText w:val="•"/>
      <w:lvlJc w:val="left"/>
      <w:pPr>
        <w:ind w:left="7199" w:hanging="360"/>
      </w:pPr>
      <w:rPr>
        <w:rFonts w:hint="default"/>
        <w:lang w:val="en-au" w:eastAsia="en-US" w:bidi="ar-SA"/>
      </w:rPr>
    </w:lvl>
    <w:lvl w:ilvl="7">
      <w:start w:val="0"/>
      <w:numFmt w:val="bullet"/>
      <w:lvlText w:val="•"/>
      <w:lvlJc w:val="left"/>
      <w:pPr>
        <w:ind w:left="8230" w:hanging="360"/>
      </w:pPr>
      <w:rPr>
        <w:rFonts w:hint="default"/>
        <w:lang w:val="en-au" w:eastAsia="en-US" w:bidi="ar-SA"/>
      </w:rPr>
    </w:lvl>
    <w:lvl w:ilvl="8">
      <w:start w:val="0"/>
      <w:numFmt w:val="bullet"/>
      <w:lvlText w:val="•"/>
      <w:lvlJc w:val="left"/>
      <w:pPr>
        <w:ind w:left="9262" w:hanging="360"/>
      </w:pPr>
      <w:rPr>
        <w:rFonts w:hint="default"/>
        <w:lang w:val="en-au" w:eastAsia="en-US" w:bidi="ar-SA"/>
      </w:rPr>
    </w:lvl>
  </w:abstractNum>
  <w:abstractNum w:abstractNumId="19">
    <w:multiLevelType w:val="hybridMultilevel"/>
    <w:lvl w:ilvl="0">
      <w:start w:val="5"/>
      <w:numFmt w:val="decimal"/>
      <w:lvlText w:val="%1"/>
      <w:lvlJc w:val="left"/>
      <w:pPr>
        <w:ind w:left="1982" w:hanging="720"/>
        <w:jc w:val="left"/>
      </w:pPr>
      <w:rPr>
        <w:rFonts w:hint="default"/>
        <w:lang w:val="en-au" w:eastAsia="en-US" w:bidi="ar-SA"/>
      </w:rPr>
    </w:lvl>
    <w:lvl w:ilvl="1">
      <w:start w:val="2"/>
      <w:numFmt w:val="decimal"/>
      <w:lvlText w:val="%1.%2"/>
      <w:lvlJc w:val="left"/>
      <w:pPr>
        <w:ind w:left="1982" w:hanging="720"/>
        <w:jc w:val="left"/>
      </w:pPr>
      <w:rPr>
        <w:rFonts w:hint="default"/>
        <w:lang w:val="en-au" w:eastAsia="en-US" w:bidi="ar-SA"/>
      </w:rPr>
    </w:lvl>
    <w:lvl w:ilvl="2">
      <w:start w:val="1"/>
      <w:numFmt w:val="decimal"/>
      <w:lvlText w:val="%1.%2.%3"/>
      <w:lvlJc w:val="left"/>
      <w:pPr>
        <w:ind w:left="1982" w:hanging="720"/>
        <w:jc w:val="left"/>
      </w:pPr>
      <w:rPr>
        <w:rFonts w:hint="default" w:ascii="Calibri" w:hAnsi="Calibri" w:eastAsia="Calibri" w:cs="Calibri"/>
        <w:b/>
        <w:bCs/>
        <w:spacing w:val="-1"/>
        <w:w w:val="100"/>
        <w:sz w:val="24"/>
        <w:szCs w:val="24"/>
        <w:lang w:val="en-au" w:eastAsia="en-US" w:bidi="ar-SA"/>
      </w:rPr>
    </w:lvl>
    <w:lvl w:ilvl="3">
      <w:start w:val="1"/>
      <w:numFmt w:val="lowerLetter"/>
      <w:lvlText w:val="%4."/>
      <w:lvlJc w:val="left"/>
      <w:pPr>
        <w:ind w:left="2034" w:hanging="360"/>
        <w:jc w:val="left"/>
      </w:pPr>
      <w:rPr>
        <w:rFonts w:hint="default" w:ascii="Calibri" w:hAnsi="Calibri" w:eastAsia="Calibri" w:cs="Calibri"/>
        <w:spacing w:val="-1"/>
        <w:w w:val="100"/>
        <w:sz w:val="22"/>
        <w:szCs w:val="22"/>
        <w:lang w:val="en-au" w:eastAsia="en-US" w:bidi="ar-SA"/>
      </w:rPr>
    </w:lvl>
    <w:lvl w:ilvl="4">
      <w:start w:val="0"/>
      <w:numFmt w:val="bullet"/>
      <w:lvlText w:val="•"/>
      <w:lvlJc w:val="left"/>
      <w:pPr>
        <w:ind w:left="5135" w:hanging="360"/>
      </w:pPr>
      <w:rPr>
        <w:rFonts w:hint="default"/>
        <w:lang w:val="en-au" w:eastAsia="en-US" w:bidi="ar-SA"/>
      </w:rPr>
    </w:lvl>
    <w:lvl w:ilvl="5">
      <w:start w:val="0"/>
      <w:numFmt w:val="bullet"/>
      <w:lvlText w:val="•"/>
      <w:lvlJc w:val="left"/>
      <w:pPr>
        <w:ind w:left="6167" w:hanging="360"/>
      </w:pPr>
      <w:rPr>
        <w:rFonts w:hint="default"/>
        <w:lang w:val="en-au" w:eastAsia="en-US" w:bidi="ar-SA"/>
      </w:rPr>
    </w:lvl>
    <w:lvl w:ilvl="6">
      <w:start w:val="0"/>
      <w:numFmt w:val="bullet"/>
      <w:lvlText w:val="•"/>
      <w:lvlJc w:val="left"/>
      <w:pPr>
        <w:ind w:left="7199" w:hanging="360"/>
      </w:pPr>
      <w:rPr>
        <w:rFonts w:hint="default"/>
        <w:lang w:val="en-au" w:eastAsia="en-US" w:bidi="ar-SA"/>
      </w:rPr>
    </w:lvl>
    <w:lvl w:ilvl="7">
      <w:start w:val="0"/>
      <w:numFmt w:val="bullet"/>
      <w:lvlText w:val="•"/>
      <w:lvlJc w:val="left"/>
      <w:pPr>
        <w:ind w:left="8230" w:hanging="360"/>
      </w:pPr>
      <w:rPr>
        <w:rFonts w:hint="default"/>
        <w:lang w:val="en-au" w:eastAsia="en-US" w:bidi="ar-SA"/>
      </w:rPr>
    </w:lvl>
    <w:lvl w:ilvl="8">
      <w:start w:val="0"/>
      <w:numFmt w:val="bullet"/>
      <w:lvlText w:val="•"/>
      <w:lvlJc w:val="left"/>
      <w:pPr>
        <w:ind w:left="9262" w:hanging="360"/>
      </w:pPr>
      <w:rPr>
        <w:rFonts w:hint="default"/>
        <w:lang w:val="en-au" w:eastAsia="en-US" w:bidi="ar-SA"/>
      </w:rPr>
    </w:lvl>
  </w:abstractNum>
  <w:abstractNum w:abstractNumId="18">
    <w:multiLevelType w:val="hybridMultilevel"/>
    <w:lvl w:ilvl="0">
      <w:start w:val="5"/>
      <w:numFmt w:val="decimal"/>
      <w:lvlText w:val="%1"/>
      <w:lvlJc w:val="left"/>
      <w:pPr>
        <w:ind w:left="1982" w:hanging="720"/>
        <w:jc w:val="left"/>
      </w:pPr>
      <w:rPr>
        <w:rFonts w:hint="default"/>
        <w:lang w:val="en-au" w:eastAsia="en-US" w:bidi="ar-SA"/>
      </w:rPr>
    </w:lvl>
    <w:lvl w:ilvl="1">
      <w:start w:val="1"/>
      <w:numFmt w:val="decimal"/>
      <w:lvlText w:val="%1.%2"/>
      <w:lvlJc w:val="left"/>
      <w:pPr>
        <w:ind w:left="1982" w:hanging="720"/>
        <w:jc w:val="left"/>
      </w:pPr>
      <w:rPr>
        <w:rFonts w:hint="default"/>
        <w:lang w:val="en-au" w:eastAsia="en-US" w:bidi="ar-SA"/>
      </w:rPr>
    </w:lvl>
    <w:lvl w:ilvl="2">
      <w:start w:val="1"/>
      <w:numFmt w:val="decimal"/>
      <w:lvlText w:val="%1.%2.%3"/>
      <w:lvlJc w:val="left"/>
      <w:pPr>
        <w:ind w:left="1982" w:hanging="720"/>
        <w:jc w:val="left"/>
      </w:pPr>
      <w:rPr>
        <w:rFonts w:hint="default" w:ascii="Calibri" w:hAnsi="Calibri" w:eastAsia="Calibri" w:cs="Calibri"/>
        <w:b/>
        <w:bCs/>
        <w:spacing w:val="-1"/>
        <w:w w:val="100"/>
        <w:sz w:val="24"/>
        <w:szCs w:val="24"/>
        <w:lang w:val="en-au" w:eastAsia="en-US" w:bidi="ar-SA"/>
      </w:rPr>
    </w:lvl>
    <w:lvl w:ilvl="3">
      <w:start w:val="1"/>
      <w:numFmt w:val="decimal"/>
      <w:lvlText w:val="%1.%2.%3.%4"/>
      <w:lvlJc w:val="left"/>
      <w:pPr>
        <w:ind w:left="2397" w:hanging="1136"/>
        <w:jc w:val="left"/>
      </w:pPr>
      <w:rPr>
        <w:rFonts w:hint="default" w:ascii="Calibri" w:hAnsi="Calibri" w:eastAsia="Calibri" w:cs="Calibri"/>
        <w:b/>
        <w:bCs/>
        <w:spacing w:val="-1"/>
        <w:w w:val="100"/>
        <w:sz w:val="24"/>
        <w:szCs w:val="24"/>
        <w:lang w:val="en-au" w:eastAsia="en-US" w:bidi="ar-SA"/>
      </w:rPr>
    </w:lvl>
    <w:lvl w:ilvl="4">
      <w:start w:val="0"/>
      <w:numFmt w:val="bullet"/>
      <w:lvlText w:val="•"/>
      <w:lvlJc w:val="left"/>
      <w:pPr>
        <w:ind w:left="5375" w:hanging="1136"/>
      </w:pPr>
      <w:rPr>
        <w:rFonts w:hint="default"/>
        <w:lang w:val="en-au" w:eastAsia="en-US" w:bidi="ar-SA"/>
      </w:rPr>
    </w:lvl>
    <w:lvl w:ilvl="5">
      <w:start w:val="0"/>
      <w:numFmt w:val="bullet"/>
      <w:lvlText w:val="•"/>
      <w:lvlJc w:val="left"/>
      <w:pPr>
        <w:ind w:left="6367" w:hanging="1136"/>
      </w:pPr>
      <w:rPr>
        <w:rFonts w:hint="default"/>
        <w:lang w:val="en-au" w:eastAsia="en-US" w:bidi="ar-SA"/>
      </w:rPr>
    </w:lvl>
    <w:lvl w:ilvl="6">
      <w:start w:val="0"/>
      <w:numFmt w:val="bullet"/>
      <w:lvlText w:val="•"/>
      <w:lvlJc w:val="left"/>
      <w:pPr>
        <w:ind w:left="7359" w:hanging="1136"/>
      </w:pPr>
      <w:rPr>
        <w:rFonts w:hint="default"/>
        <w:lang w:val="en-au" w:eastAsia="en-US" w:bidi="ar-SA"/>
      </w:rPr>
    </w:lvl>
    <w:lvl w:ilvl="7">
      <w:start w:val="0"/>
      <w:numFmt w:val="bullet"/>
      <w:lvlText w:val="•"/>
      <w:lvlJc w:val="left"/>
      <w:pPr>
        <w:ind w:left="8350" w:hanging="1136"/>
      </w:pPr>
      <w:rPr>
        <w:rFonts w:hint="default"/>
        <w:lang w:val="en-au" w:eastAsia="en-US" w:bidi="ar-SA"/>
      </w:rPr>
    </w:lvl>
    <w:lvl w:ilvl="8">
      <w:start w:val="0"/>
      <w:numFmt w:val="bullet"/>
      <w:lvlText w:val="•"/>
      <w:lvlJc w:val="left"/>
      <w:pPr>
        <w:ind w:left="9342" w:hanging="1136"/>
      </w:pPr>
      <w:rPr>
        <w:rFonts w:hint="default"/>
        <w:lang w:val="en-au" w:eastAsia="en-US" w:bidi="ar-SA"/>
      </w:rPr>
    </w:lvl>
  </w:abstractNum>
  <w:abstractNum w:abstractNumId="17">
    <w:multiLevelType w:val="hybridMultilevel"/>
    <w:lvl w:ilvl="0">
      <w:start w:val="0"/>
      <w:numFmt w:val="bullet"/>
      <w:lvlText w:val="-"/>
      <w:lvlJc w:val="left"/>
      <w:pPr>
        <w:ind w:left="3494" w:hanging="720"/>
      </w:pPr>
      <w:rPr>
        <w:rFonts w:hint="default" w:ascii="Calibri" w:hAnsi="Calibri" w:eastAsia="Calibri" w:cs="Calibri"/>
        <w:w w:val="100"/>
        <w:sz w:val="22"/>
        <w:szCs w:val="22"/>
        <w:lang w:val="en-au" w:eastAsia="en-US" w:bidi="ar-SA"/>
      </w:rPr>
    </w:lvl>
    <w:lvl w:ilvl="1">
      <w:start w:val="0"/>
      <w:numFmt w:val="bullet"/>
      <w:lvlText w:val="•"/>
      <w:lvlJc w:val="left"/>
      <w:pPr>
        <w:ind w:left="4282" w:hanging="720"/>
      </w:pPr>
      <w:rPr>
        <w:rFonts w:hint="default"/>
        <w:lang w:val="en-au" w:eastAsia="en-US" w:bidi="ar-SA"/>
      </w:rPr>
    </w:lvl>
    <w:lvl w:ilvl="2">
      <w:start w:val="0"/>
      <w:numFmt w:val="bullet"/>
      <w:lvlText w:val="•"/>
      <w:lvlJc w:val="left"/>
      <w:pPr>
        <w:ind w:left="5065" w:hanging="720"/>
      </w:pPr>
      <w:rPr>
        <w:rFonts w:hint="default"/>
        <w:lang w:val="en-au" w:eastAsia="en-US" w:bidi="ar-SA"/>
      </w:rPr>
    </w:lvl>
    <w:lvl w:ilvl="3">
      <w:start w:val="0"/>
      <w:numFmt w:val="bullet"/>
      <w:lvlText w:val="•"/>
      <w:lvlJc w:val="left"/>
      <w:pPr>
        <w:ind w:left="5847" w:hanging="720"/>
      </w:pPr>
      <w:rPr>
        <w:rFonts w:hint="default"/>
        <w:lang w:val="en-au" w:eastAsia="en-US" w:bidi="ar-SA"/>
      </w:rPr>
    </w:lvl>
    <w:lvl w:ilvl="4">
      <w:start w:val="0"/>
      <w:numFmt w:val="bullet"/>
      <w:lvlText w:val="•"/>
      <w:lvlJc w:val="left"/>
      <w:pPr>
        <w:ind w:left="6630" w:hanging="720"/>
      </w:pPr>
      <w:rPr>
        <w:rFonts w:hint="default"/>
        <w:lang w:val="en-au" w:eastAsia="en-US" w:bidi="ar-SA"/>
      </w:rPr>
    </w:lvl>
    <w:lvl w:ilvl="5">
      <w:start w:val="0"/>
      <w:numFmt w:val="bullet"/>
      <w:lvlText w:val="•"/>
      <w:lvlJc w:val="left"/>
      <w:pPr>
        <w:ind w:left="7413" w:hanging="720"/>
      </w:pPr>
      <w:rPr>
        <w:rFonts w:hint="default"/>
        <w:lang w:val="en-au" w:eastAsia="en-US" w:bidi="ar-SA"/>
      </w:rPr>
    </w:lvl>
    <w:lvl w:ilvl="6">
      <w:start w:val="0"/>
      <w:numFmt w:val="bullet"/>
      <w:lvlText w:val="•"/>
      <w:lvlJc w:val="left"/>
      <w:pPr>
        <w:ind w:left="8195" w:hanging="720"/>
      </w:pPr>
      <w:rPr>
        <w:rFonts w:hint="default"/>
        <w:lang w:val="en-au" w:eastAsia="en-US" w:bidi="ar-SA"/>
      </w:rPr>
    </w:lvl>
    <w:lvl w:ilvl="7">
      <w:start w:val="0"/>
      <w:numFmt w:val="bullet"/>
      <w:lvlText w:val="•"/>
      <w:lvlJc w:val="left"/>
      <w:pPr>
        <w:ind w:left="8978" w:hanging="720"/>
      </w:pPr>
      <w:rPr>
        <w:rFonts w:hint="default"/>
        <w:lang w:val="en-au" w:eastAsia="en-US" w:bidi="ar-SA"/>
      </w:rPr>
    </w:lvl>
    <w:lvl w:ilvl="8">
      <w:start w:val="0"/>
      <w:numFmt w:val="bullet"/>
      <w:lvlText w:val="•"/>
      <w:lvlJc w:val="left"/>
      <w:pPr>
        <w:ind w:left="9761" w:hanging="720"/>
      </w:pPr>
      <w:rPr>
        <w:rFonts w:hint="default"/>
        <w:lang w:val="en-au" w:eastAsia="en-US" w:bidi="ar-SA"/>
      </w:rPr>
    </w:lvl>
  </w:abstractNum>
  <w:abstractNum w:abstractNumId="16">
    <w:multiLevelType w:val="hybridMultilevel"/>
    <w:lvl w:ilvl="0">
      <w:start w:val="4"/>
      <w:numFmt w:val="decimal"/>
      <w:lvlText w:val="%1"/>
      <w:lvlJc w:val="left"/>
      <w:pPr>
        <w:ind w:left="1982" w:hanging="720"/>
        <w:jc w:val="left"/>
      </w:pPr>
      <w:rPr>
        <w:rFonts w:hint="default"/>
        <w:lang w:val="en-au" w:eastAsia="en-US" w:bidi="ar-SA"/>
      </w:rPr>
    </w:lvl>
    <w:lvl w:ilvl="1">
      <w:start w:val="3"/>
      <w:numFmt w:val="decimal"/>
      <w:lvlText w:val="%1.%2"/>
      <w:lvlJc w:val="left"/>
      <w:pPr>
        <w:ind w:left="1982" w:hanging="720"/>
        <w:jc w:val="left"/>
      </w:pPr>
      <w:rPr>
        <w:rFonts w:hint="default"/>
        <w:lang w:val="en-au" w:eastAsia="en-US" w:bidi="ar-SA"/>
      </w:rPr>
    </w:lvl>
    <w:lvl w:ilvl="2">
      <w:start w:val="1"/>
      <w:numFmt w:val="decimal"/>
      <w:lvlText w:val="%1.%2.%3"/>
      <w:lvlJc w:val="left"/>
      <w:pPr>
        <w:ind w:left="1982" w:hanging="720"/>
        <w:jc w:val="left"/>
      </w:pPr>
      <w:rPr>
        <w:rFonts w:hint="default" w:ascii="Calibri" w:hAnsi="Calibri" w:eastAsia="Calibri" w:cs="Calibri"/>
        <w:b/>
        <w:bCs/>
        <w:spacing w:val="-1"/>
        <w:w w:val="100"/>
        <w:sz w:val="24"/>
        <w:szCs w:val="24"/>
        <w:lang w:val="en-au" w:eastAsia="en-US" w:bidi="ar-SA"/>
      </w:rPr>
    </w:lvl>
    <w:lvl w:ilvl="3">
      <w:start w:val="1"/>
      <w:numFmt w:val="lowerLetter"/>
      <w:lvlText w:val="%4."/>
      <w:lvlJc w:val="left"/>
      <w:pPr>
        <w:ind w:left="2034" w:hanging="360"/>
        <w:jc w:val="left"/>
      </w:pPr>
      <w:rPr>
        <w:rFonts w:hint="default" w:ascii="Calibri" w:hAnsi="Calibri" w:eastAsia="Calibri" w:cs="Calibri"/>
        <w:spacing w:val="-1"/>
        <w:w w:val="100"/>
        <w:sz w:val="22"/>
        <w:szCs w:val="22"/>
        <w:lang w:val="en-au" w:eastAsia="en-US" w:bidi="ar-SA"/>
      </w:rPr>
    </w:lvl>
    <w:lvl w:ilvl="4">
      <w:start w:val="0"/>
      <w:numFmt w:val="bullet"/>
      <w:lvlText w:val="•"/>
      <w:lvlJc w:val="left"/>
      <w:pPr>
        <w:ind w:left="5135" w:hanging="360"/>
      </w:pPr>
      <w:rPr>
        <w:rFonts w:hint="default"/>
        <w:lang w:val="en-au" w:eastAsia="en-US" w:bidi="ar-SA"/>
      </w:rPr>
    </w:lvl>
    <w:lvl w:ilvl="5">
      <w:start w:val="0"/>
      <w:numFmt w:val="bullet"/>
      <w:lvlText w:val="•"/>
      <w:lvlJc w:val="left"/>
      <w:pPr>
        <w:ind w:left="6167" w:hanging="360"/>
      </w:pPr>
      <w:rPr>
        <w:rFonts w:hint="default"/>
        <w:lang w:val="en-au" w:eastAsia="en-US" w:bidi="ar-SA"/>
      </w:rPr>
    </w:lvl>
    <w:lvl w:ilvl="6">
      <w:start w:val="0"/>
      <w:numFmt w:val="bullet"/>
      <w:lvlText w:val="•"/>
      <w:lvlJc w:val="left"/>
      <w:pPr>
        <w:ind w:left="7199" w:hanging="360"/>
      </w:pPr>
      <w:rPr>
        <w:rFonts w:hint="default"/>
        <w:lang w:val="en-au" w:eastAsia="en-US" w:bidi="ar-SA"/>
      </w:rPr>
    </w:lvl>
    <w:lvl w:ilvl="7">
      <w:start w:val="0"/>
      <w:numFmt w:val="bullet"/>
      <w:lvlText w:val="•"/>
      <w:lvlJc w:val="left"/>
      <w:pPr>
        <w:ind w:left="8230" w:hanging="360"/>
      </w:pPr>
      <w:rPr>
        <w:rFonts w:hint="default"/>
        <w:lang w:val="en-au" w:eastAsia="en-US" w:bidi="ar-SA"/>
      </w:rPr>
    </w:lvl>
    <w:lvl w:ilvl="8">
      <w:start w:val="0"/>
      <w:numFmt w:val="bullet"/>
      <w:lvlText w:val="•"/>
      <w:lvlJc w:val="left"/>
      <w:pPr>
        <w:ind w:left="9262" w:hanging="360"/>
      </w:pPr>
      <w:rPr>
        <w:rFonts w:hint="default"/>
        <w:lang w:val="en-au" w:eastAsia="en-US" w:bidi="ar-SA"/>
      </w:rPr>
    </w:lvl>
  </w:abstractNum>
  <w:abstractNum w:abstractNumId="15">
    <w:multiLevelType w:val="hybridMultilevel"/>
    <w:lvl w:ilvl="0">
      <w:start w:val="4"/>
      <w:numFmt w:val="decimal"/>
      <w:lvlText w:val="%1"/>
      <w:lvlJc w:val="left"/>
      <w:pPr>
        <w:ind w:left="1982" w:hanging="720"/>
        <w:jc w:val="left"/>
      </w:pPr>
      <w:rPr>
        <w:rFonts w:hint="default"/>
        <w:lang w:val="en-au" w:eastAsia="en-US" w:bidi="ar-SA"/>
      </w:rPr>
    </w:lvl>
    <w:lvl w:ilvl="1">
      <w:start w:val="2"/>
      <w:numFmt w:val="decimal"/>
      <w:lvlText w:val="%1.%2"/>
      <w:lvlJc w:val="left"/>
      <w:pPr>
        <w:ind w:left="1982" w:hanging="720"/>
        <w:jc w:val="left"/>
      </w:pPr>
      <w:rPr>
        <w:rFonts w:hint="default"/>
        <w:lang w:val="en-au" w:eastAsia="en-US" w:bidi="ar-SA"/>
      </w:rPr>
    </w:lvl>
    <w:lvl w:ilvl="2">
      <w:start w:val="4"/>
      <w:numFmt w:val="decimal"/>
      <w:lvlText w:val="%1.%2.%3"/>
      <w:lvlJc w:val="left"/>
      <w:pPr>
        <w:ind w:left="1982" w:hanging="720"/>
        <w:jc w:val="left"/>
      </w:pPr>
      <w:rPr>
        <w:rFonts w:hint="default" w:ascii="Calibri" w:hAnsi="Calibri" w:eastAsia="Calibri" w:cs="Calibri"/>
        <w:b/>
        <w:bCs/>
        <w:spacing w:val="-1"/>
        <w:w w:val="100"/>
        <w:sz w:val="24"/>
        <w:szCs w:val="24"/>
        <w:lang w:val="en-au" w:eastAsia="en-US" w:bidi="ar-SA"/>
      </w:rPr>
    </w:lvl>
    <w:lvl w:ilvl="3">
      <w:start w:val="1"/>
      <w:numFmt w:val="lowerLetter"/>
      <w:lvlText w:val="%4."/>
      <w:lvlJc w:val="left"/>
      <w:pPr>
        <w:ind w:left="2034" w:hanging="360"/>
        <w:jc w:val="left"/>
      </w:pPr>
      <w:rPr>
        <w:rFonts w:hint="default" w:ascii="Calibri" w:hAnsi="Calibri" w:eastAsia="Calibri" w:cs="Calibri"/>
        <w:spacing w:val="-1"/>
        <w:w w:val="100"/>
        <w:sz w:val="22"/>
        <w:szCs w:val="22"/>
        <w:lang w:val="en-au" w:eastAsia="en-US" w:bidi="ar-SA"/>
      </w:rPr>
    </w:lvl>
    <w:lvl w:ilvl="4">
      <w:start w:val="0"/>
      <w:numFmt w:val="bullet"/>
      <w:lvlText w:val="•"/>
      <w:lvlJc w:val="left"/>
      <w:pPr>
        <w:ind w:left="5135" w:hanging="360"/>
      </w:pPr>
      <w:rPr>
        <w:rFonts w:hint="default"/>
        <w:lang w:val="en-au" w:eastAsia="en-US" w:bidi="ar-SA"/>
      </w:rPr>
    </w:lvl>
    <w:lvl w:ilvl="5">
      <w:start w:val="0"/>
      <w:numFmt w:val="bullet"/>
      <w:lvlText w:val="•"/>
      <w:lvlJc w:val="left"/>
      <w:pPr>
        <w:ind w:left="6167" w:hanging="360"/>
      </w:pPr>
      <w:rPr>
        <w:rFonts w:hint="default"/>
        <w:lang w:val="en-au" w:eastAsia="en-US" w:bidi="ar-SA"/>
      </w:rPr>
    </w:lvl>
    <w:lvl w:ilvl="6">
      <w:start w:val="0"/>
      <w:numFmt w:val="bullet"/>
      <w:lvlText w:val="•"/>
      <w:lvlJc w:val="left"/>
      <w:pPr>
        <w:ind w:left="7199" w:hanging="360"/>
      </w:pPr>
      <w:rPr>
        <w:rFonts w:hint="default"/>
        <w:lang w:val="en-au" w:eastAsia="en-US" w:bidi="ar-SA"/>
      </w:rPr>
    </w:lvl>
    <w:lvl w:ilvl="7">
      <w:start w:val="0"/>
      <w:numFmt w:val="bullet"/>
      <w:lvlText w:val="•"/>
      <w:lvlJc w:val="left"/>
      <w:pPr>
        <w:ind w:left="8230" w:hanging="360"/>
      </w:pPr>
      <w:rPr>
        <w:rFonts w:hint="default"/>
        <w:lang w:val="en-au" w:eastAsia="en-US" w:bidi="ar-SA"/>
      </w:rPr>
    </w:lvl>
    <w:lvl w:ilvl="8">
      <w:start w:val="0"/>
      <w:numFmt w:val="bullet"/>
      <w:lvlText w:val="•"/>
      <w:lvlJc w:val="left"/>
      <w:pPr>
        <w:ind w:left="9262" w:hanging="360"/>
      </w:pPr>
      <w:rPr>
        <w:rFonts w:hint="default"/>
        <w:lang w:val="en-au" w:eastAsia="en-US" w:bidi="ar-SA"/>
      </w:rPr>
    </w:lvl>
  </w:abstractNum>
  <w:abstractNum w:abstractNumId="14">
    <w:multiLevelType w:val="hybridMultilevel"/>
    <w:lvl w:ilvl="0">
      <w:start w:val="1"/>
      <w:numFmt w:val="lowerLetter"/>
      <w:lvlText w:val="%1."/>
      <w:lvlJc w:val="left"/>
      <w:pPr>
        <w:ind w:left="2034" w:hanging="360"/>
        <w:jc w:val="left"/>
      </w:pPr>
      <w:rPr>
        <w:rFonts w:hint="default" w:ascii="Calibri" w:hAnsi="Calibri" w:eastAsia="Calibri" w:cs="Calibri"/>
        <w:spacing w:val="-1"/>
        <w:w w:val="100"/>
        <w:sz w:val="22"/>
        <w:szCs w:val="22"/>
        <w:lang w:val="en-au" w:eastAsia="en-US" w:bidi="ar-SA"/>
      </w:rPr>
    </w:lvl>
    <w:lvl w:ilvl="1">
      <w:start w:val="0"/>
      <w:numFmt w:val="bullet"/>
      <w:lvlText w:val="•"/>
      <w:lvlJc w:val="left"/>
      <w:pPr>
        <w:ind w:left="2968" w:hanging="360"/>
      </w:pPr>
      <w:rPr>
        <w:rFonts w:hint="default"/>
        <w:lang w:val="en-au" w:eastAsia="en-US" w:bidi="ar-SA"/>
      </w:rPr>
    </w:lvl>
    <w:lvl w:ilvl="2">
      <w:start w:val="0"/>
      <w:numFmt w:val="bullet"/>
      <w:lvlText w:val="•"/>
      <w:lvlJc w:val="left"/>
      <w:pPr>
        <w:ind w:left="3897" w:hanging="360"/>
      </w:pPr>
      <w:rPr>
        <w:rFonts w:hint="default"/>
        <w:lang w:val="en-au" w:eastAsia="en-US" w:bidi="ar-SA"/>
      </w:rPr>
    </w:lvl>
    <w:lvl w:ilvl="3">
      <w:start w:val="0"/>
      <w:numFmt w:val="bullet"/>
      <w:lvlText w:val="•"/>
      <w:lvlJc w:val="left"/>
      <w:pPr>
        <w:ind w:left="4825" w:hanging="360"/>
      </w:pPr>
      <w:rPr>
        <w:rFonts w:hint="default"/>
        <w:lang w:val="en-au" w:eastAsia="en-US" w:bidi="ar-SA"/>
      </w:rPr>
    </w:lvl>
    <w:lvl w:ilvl="4">
      <w:start w:val="0"/>
      <w:numFmt w:val="bullet"/>
      <w:lvlText w:val="•"/>
      <w:lvlJc w:val="left"/>
      <w:pPr>
        <w:ind w:left="5754" w:hanging="360"/>
      </w:pPr>
      <w:rPr>
        <w:rFonts w:hint="default"/>
        <w:lang w:val="en-au" w:eastAsia="en-US" w:bidi="ar-SA"/>
      </w:rPr>
    </w:lvl>
    <w:lvl w:ilvl="5">
      <w:start w:val="0"/>
      <w:numFmt w:val="bullet"/>
      <w:lvlText w:val="•"/>
      <w:lvlJc w:val="left"/>
      <w:pPr>
        <w:ind w:left="6683" w:hanging="360"/>
      </w:pPr>
      <w:rPr>
        <w:rFonts w:hint="default"/>
        <w:lang w:val="en-au" w:eastAsia="en-US" w:bidi="ar-SA"/>
      </w:rPr>
    </w:lvl>
    <w:lvl w:ilvl="6">
      <w:start w:val="0"/>
      <w:numFmt w:val="bullet"/>
      <w:lvlText w:val="•"/>
      <w:lvlJc w:val="left"/>
      <w:pPr>
        <w:ind w:left="7611" w:hanging="360"/>
      </w:pPr>
      <w:rPr>
        <w:rFonts w:hint="default"/>
        <w:lang w:val="en-au" w:eastAsia="en-US" w:bidi="ar-SA"/>
      </w:rPr>
    </w:lvl>
    <w:lvl w:ilvl="7">
      <w:start w:val="0"/>
      <w:numFmt w:val="bullet"/>
      <w:lvlText w:val="•"/>
      <w:lvlJc w:val="left"/>
      <w:pPr>
        <w:ind w:left="8540" w:hanging="360"/>
      </w:pPr>
      <w:rPr>
        <w:rFonts w:hint="default"/>
        <w:lang w:val="en-au" w:eastAsia="en-US" w:bidi="ar-SA"/>
      </w:rPr>
    </w:lvl>
    <w:lvl w:ilvl="8">
      <w:start w:val="0"/>
      <w:numFmt w:val="bullet"/>
      <w:lvlText w:val="•"/>
      <w:lvlJc w:val="left"/>
      <w:pPr>
        <w:ind w:left="9469" w:hanging="360"/>
      </w:pPr>
      <w:rPr>
        <w:rFonts w:hint="default"/>
        <w:lang w:val="en-au" w:eastAsia="en-US" w:bidi="ar-SA"/>
      </w:rPr>
    </w:lvl>
  </w:abstractNum>
  <w:abstractNum w:abstractNumId="13">
    <w:multiLevelType w:val="hybridMultilevel"/>
    <w:lvl w:ilvl="0">
      <w:start w:val="4"/>
      <w:numFmt w:val="decimal"/>
      <w:lvlText w:val="%1"/>
      <w:lvlJc w:val="left"/>
      <w:pPr>
        <w:ind w:left="1982" w:hanging="720"/>
        <w:jc w:val="left"/>
      </w:pPr>
      <w:rPr>
        <w:rFonts w:hint="default"/>
        <w:lang w:val="en-au" w:eastAsia="en-US" w:bidi="ar-SA"/>
      </w:rPr>
    </w:lvl>
    <w:lvl w:ilvl="1">
      <w:start w:val="2"/>
      <w:numFmt w:val="decimal"/>
      <w:lvlText w:val="%1.%2"/>
      <w:lvlJc w:val="left"/>
      <w:pPr>
        <w:ind w:left="1982" w:hanging="720"/>
        <w:jc w:val="left"/>
      </w:pPr>
      <w:rPr>
        <w:rFonts w:hint="default"/>
        <w:lang w:val="en-au" w:eastAsia="en-US" w:bidi="ar-SA"/>
      </w:rPr>
    </w:lvl>
    <w:lvl w:ilvl="2">
      <w:start w:val="1"/>
      <w:numFmt w:val="decimal"/>
      <w:lvlText w:val="%1.%2.%3"/>
      <w:lvlJc w:val="left"/>
      <w:pPr>
        <w:ind w:left="1982" w:hanging="720"/>
        <w:jc w:val="left"/>
      </w:pPr>
      <w:rPr>
        <w:rFonts w:hint="default" w:ascii="Calibri" w:hAnsi="Calibri" w:eastAsia="Calibri" w:cs="Calibri"/>
        <w:b/>
        <w:bCs/>
        <w:spacing w:val="-1"/>
        <w:w w:val="100"/>
        <w:sz w:val="24"/>
        <w:szCs w:val="24"/>
        <w:lang w:val="en-au" w:eastAsia="en-US" w:bidi="ar-SA"/>
      </w:rPr>
    </w:lvl>
    <w:lvl w:ilvl="3">
      <w:start w:val="1"/>
      <w:numFmt w:val="decimal"/>
      <w:lvlText w:val="%1.%2.%3.%4"/>
      <w:lvlJc w:val="left"/>
      <w:pPr>
        <w:ind w:left="2397" w:hanging="1136"/>
        <w:jc w:val="left"/>
      </w:pPr>
      <w:rPr>
        <w:rFonts w:hint="default" w:ascii="Calibri" w:hAnsi="Calibri" w:eastAsia="Calibri" w:cs="Calibri"/>
        <w:b/>
        <w:bCs/>
        <w:spacing w:val="-1"/>
        <w:w w:val="100"/>
        <w:sz w:val="24"/>
        <w:szCs w:val="24"/>
        <w:lang w:val="en-au" w:eastAsia="en-US" w:bidi="ar-SA"/>
      </w:rPr>
    </w:lvl>
    <w:lvl w:ilvl="4">
      <w:start w:val="0"/>
      <w:numFmt w:val="bullet"/>
      <w:lvlText w:val="•"/>
      <w:lvlJc w:val="left"/>
      <w:pPr>
        <w:ind w:left="5375" w:hanging="1136"/>
      </w:pPr>
      <w:rPr>
        <w:rFonts w:hint="default"/>
        <w:lang w:val="en-au" w:eastAsia="en-US" w:bidi="ar-SA"/>
      </w:rPr>
    </w:lvl>
    <w:lvl w:ilvl="5">
      <w:start w:val="0"/>
      <w:numFmt w:val="bullet"/>
      <w:lvlText w:val="•"/>
      <w:lvlJc w:val="left"/>
      <w:pPr>
        <w:ind w:left="6367" w:hanging="1136"/>
      </w:pPr>
      <w:rPr>
        <w:rFonts w:hint="default"/>
        <w:lang w:val="en-au" w:eastAsia="en-US" w:bidi="ar-SA"/>
      </w:rPr>
    </w:lvl>
    <w:lvl w:ilvl="6">
      <w:start w:val="0"/>
      <w:numFmt w:val="bullet"/>
      <w:lvlText w:val="•"/>
      <w:lvlJc w:val="left"/>
      <w:pPr>
        <w:ind w:left="7359" w:hanging="1136"/>
      </w:pPr>
      <w:rPr>
        <w:rFonts w:hint="default"/>
        <w:lang w:val="en-au" w:eastAsia="en-US" w:bidi="ar-SA"/>
      </w:rPr>
    </w:lvl>
    <w:lvl w:ilvl="7">
      <w:start w:val="0"/>
      <w:numFmt w:val="bullet"/>
      <w:lvlText w:val="•"/>
      <w:lvlJc w:val="left"/>
      <w:pPr>
        <w:ind w:left="8350" w:hanging="1136"/>
      </w:pPr>
      <w:rPr>
        <w:rFonts w:hint="default"/>
        <w:lang w:val="en-au" w:eastAsia="en-US" w:bidi="ar-SA"/>
      </w:rPr>
    </w:lvl>
    <w:lvl w:ilvl="8">
      <w:start w:val="0"/>
      <w:numFmt w:val="bullet"/>
      <w:lvlText w:val="•"/>
      <w:lvlJc w:val="left"/>
      <w:pPr>
        <w:ind w:left="9342" w:hanging="1136"/>
      </w:pPr>
      <w:rPr>
        <w:rFonts w:hint="default"/>
        <w:lang w:val="en-au" w:eastAsia="en-US" w:bidi="ar-SA"/>
      </w:rPr>
    </w:lvl>
  </w:abstractNum>
  <w:abstractNum w:abstractNumId="12">
    <w:multiLevelType w:val="hybridMultilevel"/>
    <w:lvl w:ilvl="0">
      <w:start w:val="1"/>
      <w:numFmt w:val="decimal"/>
      <w:lvlText w:val="(%1)"/>
      <w:lvlJc w:val="left"/>
      <w:pPr>
        <w:ind w:left="2332" w:hanging="295"/>
        <w:jc w:val="left"/>
      </w:pPr>
      <w:rPr>
        <w:rFonts w:hint="default" w:ascii="Calibri" w:hAnsi="Calibri" w:eastAsia="Calibri" w:cs="Calibri"/>
        <w:spacing w:val="-1"/>
        <w:w w:val="100"/>
        <w:sz w:val="22"/>
        <w:szCs w:val="22"/>
        <w:lang w:val="en-au" w:eastAsia="en-US" w:bidi="ar-SA"/>
      </w:rPr>
    </w:lvl>
    <w:lvl w:ilvl="1">
      <w:start w:val="0"/>
      <w:numFmt w:val="bullet"/>
      <w:lvlText w:val="•"/>
      <w:lvlJc w:val="left"/>
      <w:pPr>
        <w:ind w:left="3238" w:hanging="295"/>
      </w:pPr>
      <w:rPr>
        <w:rFonts w:hint="default"/>
        <w:lang w:val="en-au" w:eastAsia="en-US" w:bidi="ar-SA"/>
      </w:rPr>
    </w:lvl>
    <w:lvl w:ilvl="2">
      <w:start w:val="0"/>
      <w:numFmt w:val="bullet"/>
      <w:lvlText w:val="•"/>
      <w:lvlJc w:val="left"/>
      <w:pPr>
        <w:ind w:left="4137" w:hanging="295"/>
      </w:pPr>
      <w:rPr>
        <w:rFonts w:hint="default"/>
        <w:lang w:val="en-au" w:eastAsia="en-US" w:bidi="ar-SA"/>
      </w:rPr>
    </w:lvl>
    <w:lvl w:ilvl="3">
      <w:start w:val="0"/>
      <w:numFmt w:val="bullet"/>
      <w:lvlText w:val="•"/>
      <w:lvlJc w:val="left"/>
      <w:pPr>
        <w:ind w:left="5035" w:hanging="295"/>
      </w:pPr>
      <w:rPr>
        <w:rFonts w:hint="default"/>
        <w:lang w:val="en-au" w:eastAsia="en-US" w:bidi="ar-SA"/>
      </w:rPr>
    </w:lvl>
    <w:lvl w:ilvl="4">
      <w:start w:val="0"/>
      <w:numFmt w:val="bullet"/>
      <w:lvlText w:val="•"/>
      <w:lvlJc w:val="left"/>
      <w:pPr>
        <w:ind w:left="5934" w:hanging="295"/>
      </w:pPr>
      <w:rPr>
        <w:rFonts w:hint="default"/>
        <w:lang w:val="en-au" w:eastAsia="en-US" w:bidi="ar-SA"/>
      </w:rPr>
    </w:lvl>
    <w:lvl w:ilvl="5">
      <w:start w:val="0"/>
      <w:numFmt w:val="bullet"/>
      <w:lvlText w:val="•"/>
      <w:lvlJc w:val="left"/>
      <w:pPr>
        <w:ind w:left="6833" w:hanging="295"/>
      </w:pPr>
      <w:rPr>
        <w:rFonts w:hint="default"/>
        <w:lang w:val="en-au" w:eastAsia="en-US" w:bidi="ar-SA"/>
      </w:rPr>
    </w:lvl>
    <w:lvl w:ilvl="6">
      <w:start w:val="0"/>
      <w:numFmt w:val="bullet"/>
      <w:lvlText w:val="•"/>
      <w:lvlJc w:val="left"/>
      <w:pPr>
        <w:ind w:left="7731" w:hanging="295"/>
      </w:pPr>
      <w:rPr>
        <w:rFonts w:hint="default"/>
        <w:lang w:val="en-au" w:eastAsia="en-US" w:bidi="ar-SA"/>
      </w:rPr>
    </w:lvl>
    <w:lvl w:ilvl="7">
      <w:start w:val="0"/>
      <w:numFmt w:val="bullet"/>
      <w:lvlText w:val="•"/>
      <w:lvlJc w:val="left"/>
      <w:pPr>
        <w:ind w:left="8630" w:hanging="295"/>
      </w:pPr>
      <w:rPr>
        <w:rFonts w:hint="default"/>
        <w:lang w:val="en-au" w:eastAsia="en-US" w:bidi="ar-SA"/>
      </w:rPr>
    </w:lvl>
    <w:lvl w:ilvl="8">
      <w:start w:val="0"/>
      <w:numFmt w:val="bullet"/>
      <w:lvlText w:val="•"/>
      <w:lvlJc w:val="left"/>
      <w:pPr>
        <w:ind w:left="9529" w:hanging="295"/>
      </w:pPr>
      <w:rPr>
        <w:rFonts w:hint="default"/>
        <w:lang w:val="en-au" w:eastAsia="en-US" w:bidi="ar-SA"/>
      </w:rPr>
    </w:lvl>
  </w:abstractNum>
  <w:abstractNum w:abstractNumId="11">
    <w:multiLevelType w:val="hybridMultilevel"/>
    <w:lvl w:ilvl="0">
      <w:start w:val="4"/>
      <w:numFmt w:val="decimal"/>
      <w:lvlText w:val="%1"/>
      <w:lvlJc w:val="left"/>
      <w:pPr>
        <w:ind w:left="1982" w:hanging="720"/>
        <w:jc w:val="left"/>
      </w:pPr>
      <w:rPr>
        <w:rFonts w:hint="default"/>
        <w:lang w:val="en-au" w:eastAsia="en-US" w:bidi="ar-SA"/>
      </w:rPr>
    </w:lvl>
    <w:lvl w:ilvl="1">
      <w:start w:val="1"/>
      <w:numFmt w:val="decimal"/>
      <w:lvlText w:val="%1.%2"/>
      <w:lvlJc w:val="left"/>
      <w:pPr>
        <w:ind w:left="1982" w:hanging="720"/>
        <w:jc w:val="left"/>
      </w:pPr>
      <w:rPr>
        <w:rFonts w:hint="default"/>
        <w:lang w:val="en-au" w:eastAsia="en-US" w:bidi="ar-SA"/>
      </w:rPr>
    </w:lvl>
    <w:lvl w:ilvl="2">
      <w:start w:val="1"/>
      <w:numFmt w:val="decimal"/>
      <w:lvlText w:val="%1.%2.%3"/>
      <w:lvlJc w:val="left"/>
      <w:pPr>
        <w:ind w:left="1982" w:hanging="720"/>
        <w:jc w:val="left"/>
      </w:pPr>
      <w:rPr>
        <w:rFonts w:hint="default" w:ascii="Calibri" w:hAnsi="Calibri" w:eastAsia="Calibri" w:cs="Calibri"/>
        <w:b/>
        <w:bCs/>
        <w:spacing w:val="-1"/>
        <w:w w:val="100"/>
        <w:sz w:val="24"/>
        <w:szCs w:val="24"/>
        <w:lang w:val="en-au" w:eastAsia="en-US" w:bidi="ar-SA"/>
      </w:rPr>
    </w:lvl>
    <w:lvl w:ilvl="3">
      <w:start w:val="1"/>
      <w:numFmt w:val="lowerLetter"/>
      <w:lvlText w:val="%4."/>
      <w:lvlJc w:val="left"/>
      <w:pPr>
        <w:ind w:left="2034" w:hanging="360"/>
        <w:jc w:val="left"/>
      </w:pPr>
      <w:rPr>
        <w:rFonts w:hint="default" w:ascii="Calibri" w:hAnsi="Calibri" w:eastAsia="Calibri" w:cs="Calibri"/>
        <w:spacing w:val="-1"/>
        <w:w w:val="100"/>
        <w:sz w:val="22"/>
        <w:szCs w:val="22"/>
        <w:lang w:val="en-au" w:eastAsia="en-US" w:bidi="ar-SA"/>
      </w:rPr>
    </w:lvl>
    <w:lvl w:ilvl="4">
      <w:start w:val="0"/>
      <w:numFmt w:val="bullet"/>
      <w:lvlText w:val="-"/>
      <w:lvlJc w:val="left"/>
      <w:pPr>
        <w:ind w:left="3494" w:hanging="720"/>
      </w:pPr>
      <w:rPr>
        <w:rFonts w:hint="default" w:ascii="Calibri" w:hAnsi="Calibri" w:eastAsia="Calibri" w:cs="Calibri"/>
        <w:w w:val="100"/>
        <w:sz w:val="22"/>
        <w:szCs w:val="22"/>
        <w:lang w:val="en-au" w:eastAsia="en-US" w:bidi="ar-SA"/>
      </w:rPr>
    </w:lvl>
    <w:lvl w:ilvl="5">
      <w:start w:val="0"/>
      <w:numFmt w:val="bullet"/>
      <w:lvlText w:val="•"/>
      <w:lvlJc w:val="left"/>
      <w:pPr>
        <w:ind w:left="5736" w:hanging="720"/>
      </w:pPr>
      <w:rPr>
        <w:rFonts w:hint="default"/>
        <w:lang w:val="en-au" w:eastAsia="en-US" w:bidi="ar-SA"/>
      </w:rPr>
    </w:lvl>
    <w:lvl w:ilvl="6">
      <w:start w:val="0"/>
      <w:numFmt w:val="bullet"/>
      <w:lvlText w:val="•"/>
      <w:lvlJc w:val="left"/>
      <w:pPr>
        <w:ind w:left="6854" w:hanging="720"/>
      </w:pPr>
      <w:rPr>
        <w:rFonts w:hint="default"/>
        <w:lang w:val="en-au" w:eastAsia="en-US" w:bidi="ar-SA"/>
      </w:rPr>
    </w:lvl>
    <w:lvl w:ilvl="7">
      <w:start w:val="0"/>
      <w:numFmt w:val="bullet"/>
      <w:lvlText w:val="•"/>
      <w:lvlJc w:val="left"/>
      <w:pPr>
        <w:ind w:left="7972" w:hanging="720"/>
      </w:pPr>
      <w:rPr>
        <w:rFonts w:hint="default"/>
        <w:lang w:val="en-au" w:eastAsia="en-US" w:bidi="ar-SA"/>
      </w:rPr>
    </w:lvl>
    <w:lvl w:ilvl="8">
      <w:start w:val="0"/>
      <w:numFmt w:val="bullet"/>
      <w:lvlText w:val="•"/>
      <w:lvlJc w:val="left"/>
      <w:pPr>
        <w:ind w:left="9090" w:hanging="720"/>
      </w:pPr>
      <w:rPr>
        <w:rFonts w:hint="default"/>
        <w:lang w:val="en-au" w:eastAsia="en-US" w:bidi="ar-SA"/>
      </w:rPr>
    </w:lvl>
  </w:abstractNum>
  <w:abstractNum w:abstractNumId="10">
    <w:multiLevelType w:val="hybridMultilevel"/>
    <w:lvl w:ilvl="0">
      <w:start w:val="0"/>
      <w:numFmt w:val="bullet"/>
      <w:lvlText w:val=""/>
      <w:lvlJc w:val="left"/>
      <w:pPr>
        <w:ind w:left="2130" w:hanging="360"/>
      </w:pPr>
      <w:rPr>
        <w:rFonts w:hint="default" w:ascii="Symbol" w:hAnsi="Symbol" w:eastAsia="Symbol" w:cs="Symbol"/>
        <w:w w:val="100"/>
        <w:sz w:val="22"/>
        <w:szCs w:val="22"/>
        <w:lang w:val="en-au" w:eastAsia="en-US" w:bidi="ar-SA"/>
      </w:rPr>
    </w:lvl>
    <w:lvl w:ilvl="1">
      <w:start w:val="0"/>
      <w:numFmt w:val="bullet"/>
      <w:lvlText w:val="•"/>
      <w:lvlJc w:val="left"/>
      <w:pPr>
        <w:ind w:left="3058" w:hanging="360"/>
      </w:pPr>
      <w:rPr>
        <w:rFonts w:hint="default"/>
        <w:lang w:val="en-au" w:eastAsia="en-US" w:bidi="ar-SA"/>
      </w:rPr>
    </w:lvl>
    <w:lvl w:ilvl="2">
      <w:start w:val="0"/>
      <w:numFmt w:val="bullet"/>
      <w:lvlText w:val="•"/>
      <w:lvlJc w:val="left"/>
      <w:pPr>
        <w:ind w:left="3977" w:hanging="360"/>
      </w:pPr>
      <w:rPr>
        <w:rFonts w:hint="default"/>
        <w:lang w:val="en-au" w:eastAsia="en-US" w:bidi="ar-SA"/>
      </w:rPr>
    </w:lvl>
    <w:lvl w:ilvl="3">
      <w:start w:val="0"/>
      <w:numFmt w:val="bullet"/>
      <w:lvlText w:val="•"/>
      <w:lvlJc w:val="left"/>
      <w:pPr>
        <w:ind w:left="4895" w:hanging="360"/>
      </w:pPr>
      <w:rPr>
        <w:rFonts w:hint="default"/>
        <w:lang w:val="en-au" w:eastAsia="en-US" w:bidi="ar-SA"/>
      </w:rPr>
    </w:lvl>
    <w:lvl w:ilvl="4">
      <w:start w:val="0"/>
      <w:numFmt w:val="bullet"/>
      <w:lvlText w:val="•"/>
      <w:lvlJc w:val="left"/>
      <w:pPr>
        <w:ind w:left="5814" w:hanging="360"/>
      </w:pPr>
      <w:rPr>
        <w:rFonts w:hint="default"/>
        <w:lang w:val="en-au" w:eastAsia="en-US" w:bidi="ar-SA"/>
      </w:rPr>
    </w:lvl>
    <w:lvl w:ilvl="5">
      <w:start w:val="0"/>
      <w:numFmt w:val="bullet"/>
      <w:lvlText w:val="•"/>
      <w:lvlJc w:val="left"/>
      <w:pPr>
        <w:ind w:left="6733" w:hanging="360"/>
      </w:pPr>
      <w:rPr>
        <w:rFonts w:hint="default"/>
        <w:lang w:val="en-au" w:eastAsia="en-US" w:bidi="ar-SA"/>
      </w:rPr>
    </w:lvl>
    <w:lvl w:ilvl="6">
      <w:start w:val="0"/>
      <w:numFmt w:val="bullet"/>
      <w:lvlText w:val="•"/>
      <w:lvlJc w:val="left"/>
      <w:pPr>
        <w:ind w:left="7651" w:hanging="360"/>
      </w:pPr>
      <w:rPr>
        <w:rFonts w:hint="default"/>
        <w:lang w:val="en-au" w:eastAsia="en-US" w:bidi="ar-SA"/>
      </w:rPr>
    </w:lvl>
    <w:lvl w:ilvl="7">
      <w:start w:val="0"/>
      <w:numFmt w:val="bullet"/>
      <w:lvlText w:val="•"/>
      <w:lvlJc w:val="left"/>
      <w:pPr>
        <w:ind w:left="8570" w:hanging="360"/>
      </w:pPr>
      <w:rPr>
        <w:rFonts w:hint="default"/>
        <w:lang w:val="en-au" w:eastAsia="en-US" w:bidi="ar-SA"/>
      </w:rPr>
    </w:lvl>
    <w:lvl w:ilvl="8">
      <w:start w:val="0"/>
      <w:numFmt w:val="bullet"/>
      <w:lvlText w:val="•"/>
      <w:lvlJc w:val="left"/>
      <w:pPr>
        <w:ind w:left="9489" w:hanging="360"/>
      </w:pPr>
      <w:rPr>
        <w:rFonts w:hint="default"/>
        <w:lang w:val="en-au" w:eastAsia="en-US" w:bidi="ar-SA"/>
      </w:rPr>
    </w:lvl>
  </w:abstractNum>
  <w:abstractNum w:abstractNumId="9">
    <w:multiLevelType w:val="hybridMultilevel"/>
    <w:lvl w:ilvl="0">
      <w:start w:val="3"/>
      <w:numFmt w:val="decimal"/>
      <w:lvlText w:val="%1."/>
      <w:lvlJc w:val="left"/>
      <w:pPr>
        <w:ind w:left="1790" w:hanging="432"/>
        <w:jc w:val="right"/>
      </w:pPr>
      <w:rPr>
        <w:rFonts w:hint="default" w:ascii="Calibri" w:hAnsi="Calibri" w:eastAsia="Calibri" w:cs="Calibri"/>
        <w:b/>
        <w:bCs/>
        <w:color w:val="00643E"/>
        <w:w w:val="100"/>
        <w:sz w:val="40"/>
        <w:szCs w:val="40"/>
        <w:lang w:val="en-au" w:eastAsia="en-US" w:bidi="ar-SA"/>
      </w:rPr>
    </w:lvl>
    <w:lvl w:ilvl="1">
      <w:start w:val="0"/>
      <w:numFmt w:val="bullet"/>
      <w:lvlText w:val=""/>
      <w:lvlJc w:val="left"/>
      <w:pPr>
        <w:ind w:left="5365" w:hanging="360"/>
      </w:pPr>
      <w:rPr>
        <w:rFonts w:hint="default" w:ascii="Symbol" w:hAnsi="Symbol" w:eastAsia="Symbol" w:cs="Symbol"/>
        <w:w w:val="100"/>
        <w:sz w:val="22"/>
        <w:szCs w:val="22"/>
        <w:lang w:val="en-au" w:eastAsia="en-US" w:bidi="ar-SA"/>
      </w:rPr>
    </w:lvl>
    <w:lvl w:ilvl="2">
      <w:start w:val="0"/>
      <w:numFmt w:val="bullet"/>
      <w:lvlText w:val="•"/>
      <w:lvlJc w:val="left"/>
      <w:pPr>
        <w:ind w:left="5960" w:hanging="360"/>
      </w:pPr>
      <w:rPr>
        <w:rFonts w:hint="default"/>
        <w:lang w:val="en-au" w:eastAsia="en-US" w:bidi="ar-SA"/>
      </w:rPr>
    </w:lvl>
    <w:lvl w:ilvl="3">
      <w:start w:val="0"/>
      <w:numFmt w:val="bullet"/>
      <w:lvlText w:val="•"/>
      <w:lvlJc w:val="left"/>
      <w:pPr>
        <w:ind w:left="6561" w:hanging="360"/>
      </w:pPr>
      <w:rPr>
        <w:rFonts w:hint="default"/>
        <w:lang w:val="en-au" w:eastAsia="en-US" w:bidi="ar-SA"/>
      </w:rPr>
    </w:lvl>
    <w:lvl w:ilvl="4">
      <w:start w:val="0"/>
      <w:numFmt w:val="bullet"/>
      <w:lvlText w:val="•"/>
      <w:lvlJc w:val="left"/>
      <w:pPr>
        <w:ind w:left="7162" w:hanging="360"/>
      </w:pPr>
      <w:rPr>
        <w:rFonts w:hint="default"/>
        <w:lang w:val="en-au" w:eastAsia="en-US" w:bidi="ar-SA"/>
      </w:rPr>
    </w:lvl>
    <w:lvl w:ilvl="5">
      <w:start w:val="0"/>
      <w:numFmt w:val="bullet"/>
      <w:lvlText w:val="•"/>
      <w:lvlJc w:val="left"/>
      <w:pPr>
        <w:ind w:left="7762" w:hanging="360"/>
      </w:pPr>
      <w:rPr>
        <w:rFonts w:hint="default"/>
        <w:lang w:val="en-au" w:eastAsia="en-US" w:bidi="ar-SA"/>
      </w:rPr>
    </w:lvl>
    <w:lvl w:ilvl="6">
      <w:start w:val="0"/>
      <w:numFmt w:val="bullet"/>
      <w:lvlText w:val="•"/>
      <w:lvlJc w:val="left"/>
      <w:pPr>
        <w:ind w:left="8363" w:hanging="360"/>
      </w:pPr>
      <w:rPr>
        <w:rFonts w:hint="default"/>
        <w:lang w:val="en-au" w:eastAsia="en-US" w:bidi="ar-SA"/>
      </w:rPr>
    </w:lvl>
    <w:lvl w:ilvl="7">
      <w:start w:val="0"/>
      <w:numFmt w:val="bullet"/>
      <w:lvlText w:val="•"/>
      <w:lvlJc w:val="left"/>
      <w:pPr>
        <w:ind w:left="8964" w:hanging="360"/>
      </w:pPr>
      <w:rPr>
        <w:rFonts w:hint="default"/>
        <w:lang w:val="en-au" w:eastAsia="en-US" w:bidi="ar-SA"/>
      </w:rPr>
    </w:lvl>
    <w:lvl w:ilvl="8">
      <w:start w:val="0"/>
      <w:numFmt w:val="bullet"/>
      <w:lvlText w:val="•"/>
      <w:lvlJc w:val="left"/>
      <w:pPr>
        <w:ind w:left="9564" w:hanging="360"/>
      </w:pPr>
      <w:rPr>
        <w:rFonts w:hint="default"/>
        <w:lang w:val="en-au" w:eastAsia="en-US" w:bidi="ar-SA"/>
      </w:rPr>
    </w:lvl>
  </w:abstractNum>
  <w:abstractNum w:abstractNumId="8">
    <w:multiLevelType w:val="hybridMultilevel"/>
    <w:lvl w:ilvl="0">
      <w:start w:val="1"/>
      <w:numFmt w:val="decimal"/>
      <w:lvlText w:val="%1."/>
      <w:lvlJc w:val="left"/>
      <w:pPr>
        <w:ind w:left="1718" w:hanging="360"/>
        <w:jc w:val="left"/>
      </w:pPr>
      <w:rPr>
        <w:rFonts w:hint="default" w:ascii="Calibri" w:hAnsi="Calibri" w:eastAsia="Calibri" w:cs="Calibri"/>
        <w:b/>
        <w:bCs/>
        <w:color w:val="00643E"/>
        <w:w w:val="100"/>
        <w:sz w:val="22"/>
        <w:szCs w:val="22"/>
        <w:lang w:val="en-au" w:eastAsia="en-US" w:bidi="ar-SA"/>
      </w:rPr>
    </w:lvl>
    <w:lvl w:ilvl="1">
      <w:start w:val="0"/>
      <w:numFmt w:val="bullet"/>
      <w:lvlText w:val="•"/>
      <w:lvlJc w:val="left"/>
      <w:pPr>
        <w:ind w:left="2680" w:hanging="360"/>
      </w:pPr>
      <w:rPr>
        <w:rFonts w:hint="default"/>
        <w:lang w:val="en-au" w:eastAsia="en-US" w:bidi="ar-SA"/>
      </w:rPr>
    </w:lvl>
    <w:lvl w:ilvl="2">
      <w:start w:val="0"/>
      <w:numFmt w:val="bullet"/>
      <w:lvlText w:val="•"/>
      <w:lvlJc w:val="left"/>
      <w:pPr>
        <w:ind w:left="3641" w:hanging="360"/>
      </w:pPr>
      <w:rPr>
        <w:rFonts w:hint="default"/>
        <w:lang w:val="en-au" w:eastAsia="en-US" w:bidi="ar-SA"/>
      </w:rPr>
    </w:lvl>
    <w:lvl w:ilvl="3">
      <w:start w:val="0"/>
      <w:numFmt w:val="bullet"/>
      <w:lvlText w:val="•"/>
      <w:lvlJc w:val="left"/>
      <w:pPr>
        <w:ind w:left="4601" w:hanging="360"/>
      </w:pPr>
      <w:rPr>
        <w:rFonts w:hint="default"/>
        <w:lang w:val="en-au" w:eastAsia="en-US" w:bidi="ar-SA"/>
      </w:rPr>
    </w:lvl>
    <w:lvl w:ilvl="4">
      <w:start w:val="0"/>
      <w:numFmt w:val="bullet"/>
      <w:lvlText w:val="•"/>
      <w:lvlJc w:val="left"/>
      <w:pPr>
        <w:ind w:left="5562" w:hanging="360"/>
      </w:pPr>
      <w:rPr>
        <w:rFonts w:hint="default"/>
        <w:lang w:val="en-au" w:eastAsia="en-US" w:bidi="ar-SA"/>
      </w:rPr>
    </w:lvl>
    <w:lvl w:ilvl="5">
      <w:start w:val="0"/>
      <w:numFmt w:val="bullet"/>
      <w:lvlText w:val="•"/>
      <w:lvlJc w:val="left"/>
      <w:pPr>
        <w:ind w:left="6523" w:hanging="360"/>
      </w:pPr>
      <w:rPr>
        <w:rFonts w:hint="default"/>
        <w:lang w:val="en-au" w:eastAsia="en-US" w:bidi="ar-SA"/>
      </w:rPr>
    </w:lvl>
    <w:lvl w:ilvl="6">
      <w:start w:val="0"/>
      <w:numFmt w:val="bullet"/>
      <w:lvlText w:val="•"/>
      <w:lvlJc w:val="left"/>
      <w:pPr>
        <w:ind w:left="7483" w:hanging="360"/>
      </w:pPr>
      <w:rPr>
        <w:rFonts w:hint="default"/>
        <w:lang w:val="en-au" w:eastAsia="en-US" w:bidi="ar-SA"/>
      </w:rPr>
    </w:lvl>
    <w:lvl w:ilvl="7">
      <w:start w:val="0"/>
      <w:numFmt w:val="bullet"/>
      <w:lvlText w:val="•"/>
      <w:lvlJc w:val="left"/>
      <w:pPr>
        <w:ind w:left="8444" w:hanging="360"/>
      </w:pPr>
      <w:rPr>
        <w:rFonts w:hint="default"/>
        <w:lang w:val="en-au" w:eastAsia="en-US" w:bidi="ar-SA"/>
      </w:rPr>
    </w:lvl>
    <w:lvl w:ilvl="8">
      <w:start w:val="0"/>
      <w:numFmt w:val="bullet"/>
      <w:lvlText w:val="•"/>
      <w:lvlJc w:val="left"/>
      <w:pPr>
        <w:ind w:left="9405" w:hanging="360"/>
      </w:pPr>
      <w:rPr>
        <w:rFonts w:hint="default"/>
        <w:lang w:val="en-au" w:eastAsia="en-US" w:bidi="ar-SA"/>
      </w:rPr>
    </w:lvl>
  </w:abstractNum>
  <w:abstractNum w:abstractNumId="7">
    <w:multiLevelType w:val="hybridMultilevel"/>
    <w:lvl w:ilvl="0">
      <w:start w:val="0"/>
      <w:numFmt w:val="bullet"/>
      <w:lvlText w:val=""/>
      <w:lvlJc w:val="left"/>
      <w:pPr>
        <w:ind w:left="2078" w:hanging="360"/>
      </w:pPr>
      <w:rPr>
        <w:rFonts w:hint="default" w:ascii="Symbol" w:hAnsi="Symbol" w:eastAsia="Symbol" w:cs="Symbol"/>
        <w:w w:val="100"/>
        <w:sz w:val="22"/>
        <w:szCs w:val="22"/>
        <w:lang w:val="en-au" w:eastAsia="en-US" w:bidi="ar-SA"/>
      </w:rPr>
    </w:lvl>
    <w:lvl w:ilvl="1">
      <w:start w:val="0"/>
      <w:numFmt w:val="bullet"/>
      <w:lvlText w:val="•"/>
      <w:lvlJc w:val="left"/>
      <w:pPr>
        <w:ind w:left="3004" w:hanging="360"/>
      </w:pPr>
      <w:rPr>
        <w:rFonts w:hint="default"/>
        <w:lang w:val="en-au" w:eastAsia="en-US" w:bidi="ar-SA"/>
      </w:rPr>
    </w:lvl>
    <w:lvl w:ilvl="2">
      <w:start w:val="0"/>
      <w:numFmt w:val="bullet"/>
      <w:lvlText w:val="•"/>
      <w:lvlJc w:val="left"/>
      <w:pPr>
        <w:ind w:left="3929" w:hanging="360"/>
      </w:pPr>
      <w:rPr>
        <w:rFonts w:hint="default"/>
        <w:lang w:val="en-au" w:eastAsia="en-US" w:bidi="ar-SA"/>
      </w:rPr>
    </w:lvl>
    <w:lvl w:ilvl="3">
      <w:start w:val="0"/>
      <w:numFmt w:val="bullet"/>
      <w:lvlText w:val="•"/>
      <w:lvlJc w:val="left"/>
      <w:pPr>
        <w:ind w:left="4853" w:hanging="360"/>
      </w:pPr>
      <w:rPr>
        <w:rFonts w:hint="default"/>
        <w:lang w:val="en-au" w:eastAsia="en-US" w:bidi="ar-SA"/>
      </w:rPr>
    </w:lvl>
    <w:lvl w:ilvl="4">
      <w:start w:val="0"/>
      <w:numFmt w:val="bullet"/>
      <w:lvlText w:val="•"/>
      <w:lvlJc w:val="left"/>
      <w:pPr>
        <w:ind w:left="5778" w:hanging="360"/>
      </w:pPr>
      <w:rPr>
        <w:rFonts w:hint="default"/>
        <w:lang w:val="en-au" w:eastAsia="en-US" w:bidi="ar-SA"/>
      </w:rPr>
    </w:lvl>
    <w:lvl w:ilvl="5">
      <w:start w:val="0"/>
      <w:numFmt w:val="bullet"/>
      <w:lvlText w:val="•"/>
      <w:lvlJc w:val="left"/>
      <w:pPr>
        <w:ind w:left="6703" w:hanging="360"/>
      </w:pPr>
      <w:rPr>
        <w:rFonts w:hint="default"/>
        <w:lang w:val="en-au" w:eastAsia="en-US" w:bidi="ar-SA"/>
      </w:rPr>
    </w:lvl>
    <w:lvl w:ilvl="6">
      <w:start w:val="0"/>
      <w:numFmt w:val="bullet"/>
      <w:lvlText w:val="•"/>
      <w:lvlJc w:val="left"/>
      <w:pPr>
        <w:ind w:left="7627" w:hanging="360"/>
      </w:pPr>
      <w:rPr>
        <w:rFonts w:hint="default"/>
        <w:lang w:val="en-au" w:eastAsia="en-US" w:bidi="ar-SA"/>
      </w:rPr>
    </w:lvl>
    <w:lvl w:ilvl="7">
      <w:start w:val="0"/>
      <w:numFmt w:val="bullet"/>
      <w:lvlText w:val="•"/>
      <w:lvlJc w:val="left"/>
      <w:pPr>
        <w:ind w:left="8552" w:hanging="360"/>
      </w:pPr>
      <w:rPr>
        <w:rFonts w:hint="default"/>
        <w:lang w:val="en-au" w:eastAsia="en-US" w:bidi="ar-SA"/>
      </w:rPr>
    </w:lvl>
    <w:lvl w:ilvl="8">
      <w:start w:val="0"/>
      <w:numFmt w:val="bullet"/>
      <w:lvlText w:val="•"/>
      <w:lvlJc w:val="left"/>
      <w:pPr>
        <w:ind w:left="9477" w:hanging="360"/>
      </w:pPr>
      <w:rPr>
        <w:rFonts w:hint="default"/>
        <w:lang w:val="en-au" w:eastAsia="en-US" w:bidi="ar-SA"/>
      </w:rPr>
    </w:lvl>
  </w:abstractNum>
  <w:abstractNum w:abstractNumId="6">
    <w:multiLevelType w:val="hybridMultilevel"/>
    <w:lvl w:ilvl="0">
      <w:start w:val="1"/>
      <w:numFmt w:val="decimal"/>
      <w:lvlText w:val="%1"/>
      <w:lvlJc w:val="left"/>
      <w:pPr>
        <w:ind w:left="2078" w:hanging="720"/>
        <w:jc w:val="left"/>
      </w:pPr>
      <w:rPr>
        <w:rFonts w:hint="default"/>
        <w:lang w:val="en-au" w:eastAsia="en-US" w:bidi="ar-SA"/>
      </w:rPr>
    </w:lvl>
    <w:lvl w:ilvl="1">
      <w:start w:val="4"/>
      <w:numFmt w:val="decimal"/>
      <w:lvlText w:val="%1.%2"/>
      <w:lvlJc w:val="left"/>
      <w:pPr>
        <w:ind w:left="2078" w:hanging="720"/>
        <w:jc w:val="left"/>
      </w:pPr>
      <w:rPr>
        <w:rFonts w:hint="default"/>
        <w:lang w:val="en-au" w:eastAsia="en-US" w:bidi="ar-SA"/>
      </w:rPr>
    </w:lvl>
    <w:lvl w:ilvl="2">
      <w:start w:val="1"/>
      <w:numFmt w:val="decimal"/>
      <w:lvlText w:val="%1.%2.%3"/>
      <w:lvlJc w:val="left"/>
      <w:pPr>
        <w:ind w:left="2078" w:hanging="720"/>
        <w:jc w:val="left"/>
      </w:pPr>
      <w:rPr>
        <w:rFonts w:hint="default" w:ascii="Calibri" w:hAnsi="Calibri" w:eastAsia="Calibri" w:cs="Calibri"/>
        <w:b/>
        <w:bCs/>
        <w:spacing w:val="-1"/>
        <w:w w:val="100"/>
        <w:sz w:val="24"/>
        <w:szCs w:val="24"/>
        <w:lang w:val="en-au" w:eastAsia="en-US" w:bidi="ar-SA"/>
      </w:rPr>
    </w:lvl>
    <w:lvl w:ilvl="3">
      <w:start w:val="0"/>
      <w:numFmt w:val="bullet"/>
      <w:lvlText w:val="-"/>
      <w:lvlJc w:val="left"/>
      <w:pPr>
        <w:ind w:left="3590" w:hanging="771"/>
      </w:pPr>
      <w:rPr>
        <w:rFonts w:hint="default" w:ascii="Calibri" w:hAnsi="Calibri" w:eastAsia="Calibri" w:cs="Calibri"/>
        <w:w w:val="100"/>
        <w:sz w:val="22"/>
        <w:szCs w:val="22"/>
        <w:lang w:val="en-au" w:eastAsia="en-US" w:bidi="ar-SA"/>
      </w:rPr>
    </w:lvl>
    <w:lvl w:ilvl="4">
      <w:start w:val="0"/>
      <w:numFmt w:val="bullet"/>
      <w:lvlText w:val="•"/>
      <w:lvlJc w:val="left"/>
      <w:pPr>
        <w:ind w:left="6175" w:hanging="771"/>
      </w:pPr>
      <w:rPr>
        <w:rFonts w:hint="default"/>
        <w:lang w:val="en-au" w:eastAsia="en-US" w:bidi="ar-SA"/>
      </w:rPr>
    </w:lvl>
    <w:lvl w:ilvl="5">
      <w:start w:val="0"/>
      <w:numFmt w:val="bullet"/>
      <w:lvlText w:val="•"/>
      <w:lvlJc w:val="left"/>
      <w:pPr>
        <w:ind w:left="7033" w:hanging="771"/>
      </w:pPr>
      <w:rPr>
        <w:rFonts w:hint="default"/>
        <w:lang w:val="en-au" w:eastAsia="en-US" w:bidi="ar-SA"/>
      </w:rPr>
    </w:lvl>
    <w:lvl w:ilvl="6">
      <w:start w:val="0"/>
      <w:numFmt w:val="bullet"/>
      <w:lvlText w:val="•"/>
      <w:lvlJc w:val="left"/>
      <w:pPr>
        <w:ind w:left="7892" w:hanging="771"/>
      </w:pPr>
      <w:rPr>
        <w:rFonts w:hint="default"/>
        <w:lang w:val="en-au" w:eastAsia="en-US" w:bidi="ar-SA"/>
      </w:rPr>
    </w:lvl>
    <w:lvl w:ilvl="7">
      <w:start w:val="0"/>
      <w:numFmt w:val="bullet"/>
      <w:lvlText w:val="•"/>
      <w:lvlJc w:val="left"/>
      <w:pPr>
        <w:ind w:left="8750" w:hanging="771"/>
      </w:pPr>
      <w:rPr>
        <w:rFonts w:hint="default"/>
        <w:lang w:val="en-au" w:eastAsia="en-US" w:bidi="ar-SA"/>
      </w:rPr>
    </w:lvl>
    <w:lvl w:ilvl="8">
      <w:start w:val="0"/>
      <w:numFmt w:val="bullet"/>
      <w:lvlText w:val="•"/>
      <w:lvlJc w:val="left"/>
      <w:pPr>
        <w:ind w:left="9609" w:hanging="771"/>
      </w:pPr>
      <w:rPr>
        <w:rFonts w:hint="default"/>
        <w:lang w:val="en-au" w:eastAsia="en-US" w:bidi="ar-SA"/>
      </w:rPr>
    </w:lvl>
  </w:abstractNum>
  <w:abstractNum w:abstractNumId="5">
    <w:multiLevelType w:val="hybridMultilevel"/>
    <w:lvl w:ilvl="0">
      <w:start w:val="0"/>
      <w:numFmt w:val="bullet"/>
      <w:lvlText w:val=""/>
      <w:lvlJc w:val="left"/>
      <w:pPr>
        <w:ind w:left="2130" w:hanging="360"/>
      </w:pPr>
      <w:rPr>
        <w:rFonts w:hint="default" w:ascii="Symbol" w:hAnsi="Symbol" w:eastAsia="Symbol" w:cs="Symbol"/>
        <w:w w:val="100"/>
        <w:sz w:val="22"/>
        <w:szCs w:val="22"/>
        <w:lang w:val="en-au" w:eastAsia="en-US" w:bidi="ar-SA"/>
      </w:rPr>
    </w:lvl>
    <w:lvl w:ilvl="1">
      <w:start w:val="0"/>
      <w:numFmt w:val="bullet"/>
      <w:lvlText w:val="•"/>
      <w:lvlJc w:val="left"/>
      <w:pPr>
        <w:ind w:left="3058" w:hanging="360"/>
      </w:pPr>
      <w:rPr>
        <w:rFonts w:hint="default"/>
        <w:lang w:val="en-au" w:eastAsia="en-US" w:bidi="ar-SA"/>
      </w:rPr>
    </w:lvl>
    <w:lvl w:ilvl="2">
      <w:start w:val="0"/>
      <w:numFmt w:val="bullet"/>
      <w:lvlText w:val="•"/>
      <w:lvlJc w:val="left"/>
      <w:pPr>
        <w:ind w:left="3977" w:hanging="360"/>
      </w:pPr>
      <w:rPr>
        <w:rFonts w:hint="default"/>
        <w:lang w:val="en-au" w:eastAsia="en-US" w:bidi="ar-SA"/>
      </w:rPr>
    </w:lvl>
    <w:lvl w:ilvl="3">
      <w:start w:val="0"/>
      <w:numFmt w:val="bullet"/>
      <w:lvlText w:val="•"/>
      <w:lvlJc w:val="left"/>
      <w:pPr>
        <w:ind w:left="4895" w:hanging="360"/>
      </w:pPr>
      <w:rPr>
        <w:rFonts w:hint="default"/>
        <w:lang w:val="en-au" w:eastAsia="en-US" w:bidi="ar-SA"/>
      </w:rPr>
    </w:lvl>
    <w:lvl w:ilvl="4">
      <w:start w:val="0"/>
      <w:numFmt w:val="bullet"/>
      <w:lvlText w:val="•"/>
      <w:lvlJc w:val="left"/>
      <w:pPr>
        <w:ind w:left="5814" w:hanging="360"/>
      </w:pPr>
      <w:rPr>
        <w:rFonts w:hint="default"/>
        <w:lang w:val="en-au" w:eastAsia="en-US" w:bidi="ar-SA"/>
      </w:rPr>
    </w:lvl>
    <w:lvl w:ilvl="5">
      <w:start w:val="0"/>
      <w:numFmt w:val="bullet"/>
      <w:lvlText w:val="•"/>
      <w:lvlJc w:val="left"/>
      <w:pPr>
        <w:ind w:left="6733" w:hanging="360"/>
      </w:pPr>
      <w:rPr>
        <w:rFonts w:hint="default"/>
        <w:lang w:val="en-au" w:eastAsia="en-US" w:bidi="ar-SA"/>
      </w:rPr>
    </w:lvl>
    <w:lvl w:ilvl="6">
      <w:start w:val="0"/>
      <w:numFmt w:val="bullet"/>
      <w:lvlText w:val="•"/>
      <w:lvlJc w:val="left"/>
      <w:pPr>
        <w:ind w:left="7651" w:hanging="360"/>
      </w:pPr>
      <w:rPr>
        <w:rFonts w:hint="default"/>
        <w:lang w:val="en-au" w:eastAsia="en-US" w:bidi="ar-SA"/>
      </w:rPr>
    </w:lvl>
    <w:lvl w:ilvl="7">
      <w:start w:val="0"/>
      <w:numFmt w:val="bullet"/>
      <w:lvlText w:val="•"/>
      <w:lvlJc w:val="left"/>
      <w:pPr>
        <w:ind w:left="8570" w:hanging="360"/>
      </w:pPr>
      <w:rPr>
        <w:rFonts w:hint="default"/>
        <w:lang w:val="en-au" w:eastAsia="en-US" w:bidi="ar-SA"/>
      </w:rPr>
    </w:lvl>
    <w:lvl w:ilvl="8">
      <w:start w:val="0"/>
      <w:numFmt w:val="bullet"/>
      <w:lvlText w:val="•"/>
      <w:lvlJc w:val="left"/>
      <w:pPr>
        <w:ind w:left="9489" w:hanging="360"/>
      </w:pPr>
      <w:rPr>
        <w:rFonts w:hint="default"/>
        <w:lang w:val="en-au" w:eastAsia="en-US" w:bidi="ar-SA"/>
      </w:rPr>
    </w:lvl>
  </w:abstractNum>
  <w:abstractNum w:abstractNumId="4">
    <w:multiLevelType w:val="hybridMultilevel"/>
    <w:lvl w:ilvl="0">
      <w:start w:val="1"/>
      <w:numFmt w:val="decimal"/>
      <w:lvlText w:val="%1."/>
      <w:lvlJc w:val="left"/>
      <w:pPr>
        <w:ind w:left="1790" w:hanging="432"/>
        <w:jc w:val="left"/>
      </w:pPr>
      <w:rPr>
        <w:rFonts w:hint="default" w:ascii="Calibri" w:hAnsi="Calibri" w:eastAsia="Calibri" w:cs="Calibri"/>
        <w:b/>
        <w:bCs/>
        <w:color w:val="00643E"/>
        <w:w w:val="100"/>
        <w:sz w:val="40"/>
        <w:szCs w:val="40"/>
        <w:lang w:val="en-au" w:eastAsia="en-US" w:bidi="ar-SA"/>
      </w:rPr>
    </w:lvl>
    <w:lvl w:ilvl="1">
      <w:start w:val="0"/>
      <w:numFmt w:val="bullet"/>
      <w:lvlText w:val="•"/>
      <w:lvlJc w:val="left"/>
      <w:pPr>
        <w:ind w:left="2752" w:hanging="432"/>
      </w:pPr>
      <w:rPr>
        <w:rFonts w:hint="default"/>
        <w:lang w:val="en-au" w:eastAsia="en-US" w:bidi="ar-SA"/>
      </w:rPr>
    </w:lvl>
    <w:lvl w:ilvl="2">
      <w:start w:val="0"/>
      <w:numFmt w:val="bullet"/>
      <w:lvlText w:val="•"/>
      <w:lvlJc w:val="left"/>
      <w:pPr>
        <w:ind w:left="3705" w:hanging="432"/>
      </w:pPr>
      <w:rPr>
        <w:rFonts w:hint="default"/>
        <w:lang w:val="en-au" w:eastAsia="en-US" w:bidi="ar-SA"/>
      </w:rPr>
    </w:lvl>
    <w:lvl w:ilvl="3">
      <w:start w:val="0"/>
      <w:numFmt w:val="bullet"/>
      <w:lvlText w:val="•"/>
      <w:lvlJc w:val="left"/>
      <w:pPr>
        <w:ind w:left="4657" w:hanging="432"/>
      </w:pPr>
      <w:rPr>
        <w:rFonts w:hint="default"/>
        <w:lang w:val="en-au" w:eastAsia="en-US" w:bidi="ar-SA"/>
      </w:rPr>
    </w:lvl>
    <w:lvl w:ilvl="4">
      <w:start w:val="0"/>
      <w:numFmt w:val="bullet"/>
      <w:lvlText w:val="•"/>
      <w:lvlJc w:val="left"/>
      <w:pPr>
        <w:ind w:left="5610" w:hanging="432"/>
      </w:pPr>
      <w:rPr>
        <w:rFonts w:hint="default"/>
        <w:lang w:val="en-au" w:eastAsia="en-US" w:bidi="ar-SA"/>
      </w:rPr>
    </w:lvl>
    <w:lvl w:ilvl="5">
      <w:start w:val="0"/>
      <w:numFmt w:val="bullet"/>
      <w:lvlText w:val="•"/>
      <w:lvlJc w:val="left"/>
      <w:pPr>
        <w:ind w:left="6563" w:hanging="432"/>
      </w:pPr>
      <w:rPr>
        <w:rFonts w:hint="default"/>
        <w:lang w:val="en-au" w:eastAsia="en-US" w:bidi="ar-SA"/>
      </w:rPr>
    </w:lvl>
    <w:lvl w:ilvl="6">
      <w:start w:val="0"/>
      <w:numFmt w:val="bullet"/>
      <w:lvlText w:val="•"/>
      <w:lvlJc w:val="left"/>
      <w:pPr>
        <w:ind w:left="7515" w:hanging="432"/>
      </w:pPr>
      <w:rPr>
        <w:rFonts w:hint="default"/>
        <w:lang w:val="en-au" w:eastAsia="en-US" w:bidi="ar-SA"/>
      </w:rPr>
    </w:lvl>
    <w:lvl w:ilvl="7">
      <w:start w:val="0"/>
      <w:numFmt w:val="bullet"/>
      <w:lvlText w:val="•"/>
      <w:lvlJc w:val="left"/>
      <w:pPr>
        <w:ind w:left="8468" w:hanging="432"/>
      </w:pPr>
      <w:rPr>
        <w:rFonts w:hint="default"/>
        <w:lang w:val="en-au" w:eastAsia="en-US" w:bidi="ar-SA"/>
      </w:rPr>
    </w:lvl>
    <w:lvl w:ilvl="8">
      <w:start w:val="0"/>
      <w:numFmt w:val="bullet"/>
      <w:lvlText w:val="•"/>
      <w:lvlJc w:val="left"/>
      <w:pPr>
        <w:ind w:left="9421" w:hanging="432"/>
      </w:pPr>
      <w:rPr>
        <w:rFonts w:hint="default"/>
        <w:lang w:val="en-au" w:eastAsia="en-US" w:bidi="ar-SA"/>
      </w:rPr>
    </w:lvl>
  </w:abstractNum>
  <w:abstractNum w:abstractNumId="3">
    <w:multiLevelType w:val="hybridMultilevel"/>
    <w:lvl w:ilvl="0">
      <w:start w:val="1"/>
      <w:numFmt w:val="decimal"/>
      <w:lvlText w:val="%1."/>
      <w:lvlJc w:val="left"/>
      <w:pPr>
        <w:ind w:left="1698" w:hanging="341"/>
        <w:jc w:val="left"/>
      </w:pPr>
      <w:rPr>
        <w:rFonts w:hint="default" w:ascii="Calibri" w:hAnsi="Calibri" w:eastAsia="Calibri" w:cs="Calibri"/>
        <w:b/>
        <w:bCs/>
        <w:w w:val="100"/>
        <w:sz w:val="22"/>
        <w:szCs w:val="22"/>
        <w:lang w:val="en-au" w:eastAsia="en-US" w:bidi="ar-SA"/>
      </w:rPr>
    </w:lvl>
    <w:lvl w:ilvl="1">
      <w:start w:val="0"/>
      <w:numFmt w:val="bullet"/>
      <w:lvlText w:val="•"/>
      <w:lvlJc w:val="left"/>
      <w:pPr>
        <w:ind w:left="2662" w:hanging="341"/>
      </w:pPr>
      <w:rPr>
        <w:rFonts w:hint="default"/>
        <w:lang w:val="en-au" w:eastAsia="en-US" w:bidi="ar-SA"/>
      </w:rPr>
    </w:lvl>
    <w:lvl w:ilvl="2">
      <w:start w:val="0"/>
      <w:numFmt w:val="bullet"/>
      <w:lvlText w:val="•"/>
      <w:lvlJc w:val="left"/>
      <w:pPr>
        <w:ind w:left="3625" w:hanging="341"/>
      </w:pPr>
      <w:rPr>
        <w:rFonts w:hint="default"/>
        <w:lang w:val="en-au" w:eastAsia="en-US" w:bidi="ar-SA"/>
      </w:rPr>
    </w:lvl>
    <w:lvl w:ilvl="3">
      <w:start w:val="0"/>
      <w:numFmt w:val="bullet"/>
      <w:lvlText w:val="•"/>
      <w:lvlJc w:val="left"/>
      <w:pPr>
        <w:ind w:left="4587" w:hanging="341"/>
      </w:pPr>
      <w:rPr>
        <w:rFonts w:hint="default"/>
        <w:lang w:val="en-au" w:eastAsia="en-US" w:bidi="ar-SA"/>
      </w:rPr>
    </w:lvl>
    <w:lvl w:ilvl="4">
      <w:start w:val="0"/>
      <w:numFmt w:val="bullet"/>
      <w:lvlText w:val="•"/>
      <w:lvlJc w:val="left"/>
      <w:pPr>
        <w:ind w:left="5550" w:hanging="341"/>
      </w:pPr>
      <w:rPr>
        <w:rFonts w:hint="default"/>
        <w:lang w:val="en-au" w:eastAsia="en-US" w:bidi="ar-SA"/>
      </w:rPr>
    </w:lvl>
    <w:lvl w:ilvl="5">
      <w:start w:val="0"/>
      <w:numFmt w:val="bullet"/>
      <w:lvlText w:val="•"/>
      <w:lvlJc w:val="left"/>
      <w:pPr>
        <w:ind w:left="6513" w:hanging="341"/>
      </w:pPr>
      <w:rPr>
        <w:rFonts w:hint="default"/>
        <w:lang w:val="en-au" w:eastAsia="en-US" w:bidi="ar-SA"/>
      </w:rPr>
    </w:lvl>
    <w:lvl w:ilvl="6">
      <w:start w:val="0"/>
      <w:numFmt w:val="bullet"/>
      <w:lvlText w:val="•"/>
      <w:lvlJc w:val="left"/>
      <w:pPr>
        <w:ind w:left="7475" w:hanging="341"/>
      </w:pPr>
      <w:rPr>
        <w:rFonts w:hint="default"/>
        <w:lang w:val="en-au" w:eastAsia="en-US" w:bidi="ar-SA"/>
      </w:rPr>
    </w:lvl>
    <w:lvl w:ilvl="7">
      <w:start w:val="0"/>
      <w:numFmt w:val="bullet"/>
      <w:lvlText w:val="•"/>
      <w:lvlJc w:val="left"/>
      <w:pPr>
        <w:ind w:left="8438" w:hanging="341"/>
      </w:pPr>
      <w:rPr>
        <w:rFonts w:hint="default"/>
        <w:lang w:val="en-au" w:eastAsia="en-US" w:bidi="ar-SA"/>
      </w:rPr>
    </w:lvl>
    <w:lvl w:ilvl="8">
      <w:start w:val="0"/>
      <w:numFmt w:val="bullet"/>
      <w:lvlText w:val="•"/>
      <w:lvlJc w:val="left"/>
      <w:pPr>
        <w:ind w:left="9401" w:hanging="341"/>
      </w:pPr>
      <w:rPr>
        <w:rFonts w:hint="default"/>
        <w:lang w:val="en-au" w:eastAsia="en-US" w:bidi="ar-SA"/>
      </w:rPr>
    </w:lvl>
  </w:abstractNum>
  <w:abstractNum w:abstractNumId="2">
    <w:multiLevelType w:val="hybridMultilevel"/>
    <w:lvl w:ilvl="0">
      <w:start w:val="4"/>
      <w:numFmt w:val="decimal"/>
      <w:lvlText w:val="%1."/>
      <w:lvlJc w:val="left"/>
      <w:pPr>
        <w:ind w:left="525" w:hanging="420"/>
        <w:jc w:val="left"/>
      </w:pPr>
      <w:rPr>
        <w:rFonts w:hint="default" w:ascii="Calibri" w:hAnsi="Calibri" w:eastAsia="Calibri" w:cs="Calibri"/>
        <w:w w:val="100"/>
        <w:sz w:val="22"/>
        <w:szCs w:val="22"/>
        <w:lang w:val="en-au" w:eastAsia="en-US" w:bidi="ar-SA"/>
      </w:rPr>
    </w:lvl>
    <w:lvl w:ilvl="1">
      <w:start w:val="0"/>
      <w:numFmt w:val="bullet"/>
      <w:lvlText w:val="•"/>
      <w:lvlJc w:val="left"/>
      <w:pPr>
        <w:ind w:left="879" w:hanging="420"/>
      </w:pPr>
      <w:rPr>
        <w:rFonts w:hint="default"/>
        <w:lang w:val="en-au" w:eastAsia="en-US" w:bidi="ar-SA"/>
      </w:rPr>
    </w:lvl>
    <w:lvl w:ilvl="2">
      <w:start w:val="0"/>
      <w:numFmt w:val="bullet"/>
      <w:lvlText w:val="•"/>
      <w:lvlJc w:val="left"/>
      <w:pPr>
        <w:ind w:left="1239" w:hanging="420"/>
      </w:pPr>
      <w:rPr>
        <w:rFonts w:hint="default"/>
        <w:lang w:val="en-au" w:eastAsia="en-US" w:bidi="ar-SA"/>
      </w:rPr>
    </w:lvl>
    <w:lvl w:ilvl="3">
      <w:start w:val="0"/>
      <w:numFmt w:val="bullet"/>
      <w:lvlText w:val="•"/>
      <w:lvlJc w:val="left"/>
      <w:pPr>
        <w:ind w:left="1599" w:hanging="420"/>
      </w:pPr>
      <w:rPr>
        <w:rFonts w:hint="default"/>
        <w:lang w:val="en-au" w:eastAsia="en-US" w:bidi="ar-SA"/>
      </w:rPr>
    </w:lvl>
    <w:lvl w:ilvl="4">
      <w:start w:val="0"/>
      <w:numFmt w:val="bullet"/>
      <w:lvlText w:val="•"/>
      <w:lvlJc w:val="left"/>
      <w:pPr>
        <w:ind w:left="1959" w:hanging="420"/>
      </w:pPr>
      <w:rPr>
        <w:rFonts w:hint="default"/>
        <w:lang w:val="en-au" w:eastAsia="en-US" w:bidi="ar-SA"/>
      </w:rPr>
    </w:lvl>
    <w:lvl w:ilvl="5">
      <w:start w:val="0"/>
      <w:numFmt w:val="bullet"/>
      <w:lvlText w:val="•"/>
      <w:lvlJc w:val="left"/>
      <w:pPr>
        <w:ind w:left="2319" w:hanging="420"/>
      </w:pPr>
      <w:rPr>
        <w:rFonts w:hint="default"/>
        <w:lang w:val="en-au" w:eastAsia="en-US" w:bidi="ar-SA"/>
      </w:rPr>
    </w:lvl>
    <w:lvl w:ilvl="6">
      <w:start w:val="0"/>
      <w:numFmt w:val="bullet"/>
      <w:lvlText w:val="•"/>
      <w:lvlJc w:val="left"/>
      <w:pPr>
        <w:ind w:left="2678" w:hanging="420"/>
      </w:pPr>
      <w:rPr>
        <w:rFonts w:hint="default"/>
        <w:lang w:val="en-au" w:eastAsia="en-US" w:bidi="ar-SA"/>
      </w:rPr>
    </w:lvl>
    <w:lvl w:ilvl="7">
      <w:start w:val="0"/>
      <w:numFmt w:val="bullet"/>
      <w:lvlText w:val="•"/>
      <w:lvlJc w:val="left"/>
      <w:pPr>
        <w:ind w:left="3038" w:hanging="420"/>
      </w:pPr>
      <w:rPr>
        <w:rFonts w:hint="default"/>
        <w:lang w:val="en-au" w:eastAsia="en-US" w:bidi="ar-SA"/>
      </w:rPr>
    </w:lvl>
    <w:lvl w:ilvl="8">
      <w:start w:val="0"/>
      <w:numFmt w:val="bullet"/>
      <w:lvlText w:val="•"/>
      <w:lvlJc w:val="left"/>
      <w:pPr>
        <w:ind w:left="3398" w:hanging="420"/>
      </w:pPr>
      <w:rPr>
        <w:rFonts w:hint="default"/>
        <w:lang w:val="en-au" w:eastAsia="en-US" w:bidi="ar-SA"/>
      </w:rPr>
    </w:lvl>
  </w:abstractNum>
  <w:abstractNum w:abstractNumId="1">
    <w:multiLevelType w:val="hybridMultilevel"/>
    <w:lvl w:ilvl="0">
      <w:start w:val="1"/>
      <w:numFmt w:val="decimal"/>
      <w:lvlText w:val="%1."/>
      <w:lvlJc w:val="left"/>
      <w:pPr>
        <w:ind w:left="525" w:hanging="420"/>
        <w:jc w:val="left"/>
      </w:pPr>
      <w:rPr>
        <w:rFonts w:hint="default" w:ascii="Calibri" w:hAnsi="Calibri" w:eastAsia="Calibri" w:cs="Calibri"/>
        <w:w w:val="100"/>
        <w:sz w:val="22"/>
        <w:szCs w:val="22"/>
        <w:lang w:val="en-au" w:eastAsia="en-US" w:bidi="ar-SA"/>
      </w:rPr>
    </w:lvl>
    <w:lvl w:ilvl="1">
      <w:start w:val="0"/>
      <w:numFmt w:val="bullet"/>
      <w:lvlText w:val="•"/>
      <w:lvlJc w:val="left"/>
      <w:pPr>
        <w:ind w:left="879" w:hanging="420"/>
      </w:pPr>
      <w:rPr>
        <w:rFonts w:hint="default"/>
        <w:lang w:val="en-au" w:eastAsia="en-US" w:bidi="ar-SA"/>
      </w:rPr>
    </w:lvl>
    <w:lvl w:ilvl="2">
      <w:start w:val="0"/>
      <w:numFmt w:val="bullet"/>
      <w:lvlText w:val="•"/>
      <w:lvlJc w:val="left"/>
      <w:pPr>
        <w:ind w:left="1239" w:hanging="420"/>
      </w:pPr>
      <w:rPr>
        <w:rFonts w:hint="default"/>
        <w:lang w:val="en-au" w:eastAsia="en-US" w:bidi="ar-SA"/>
      </w:rPr>
    </w:lvl>
    <w:lvl w:ilvl="3">
      <w:start w:val="0"/>
      <w:numFmt w:val="bullet"/>
      <w:lvlText w:val="•"/>
      <w:lvlJc w:val="left"/>
      <w:pPr>
        <w:ind w:left="1599" w:hanging="420"/>
      </w:pPr>
      <w:rPr>
        <w:rFonts w:hint="default"/>
        <w:lang w:val="en-au" w:eastAsia="en-US" w:bidi="ar-SA"/>
      </w:rPr>
    </w:lvl>
    <w:lvl w:ilvl="4">
      <w:start w:val="0"/>
      <w:numFmt w:val="bullet"/>
      <w:lvlText w:val="•"/>
      <w:lvlJc w:val="left"/>
      <w:pPr>
        <w:ind w:left="1959" w:hanging="420"/>
      </w:pPr>
      <w:rPr>
        <w:rFonts w:hint="default"/>
        <w:lang w:val="en-au" w:eastAsia="en-US" w:bidi="ar-SA"/>
      </w:rPr>
    </w:lvl>
    <w:lvl w:ilvl="5">
      <w:start w:val="0"/>
      <w:numFmt w:val="bullet"/>
      <w:lvlText w:val="•"/>
      <w:lvlJc w:val="left"/>
      <w:pPr>
        <w:ind w:left="2319" w:hanging="420"/>
      </w:pPr>
      <w:rPr>
        <w:rFonts w:hint="default"/>
        <w:lang w:val="en-au" w:eastAsia="en-US" w:bidi="ar-SA"/>
      </w:rPr>
    </w:lvl>
    <w:lvl w:ilvl="6">
      <w:start w:val="0"/>
      <w:numFmt w:val="bullet"/>
      <w:lvlText w:val="•"/>
      <w:lvlJc w:val="left"/>
      <w:pPr>
        <w:ind w:left="2678" w:hanging="420"/>
      </w:pPr>
      <w:rPr>
        <w:rFonts w:hint="default"/>
        <w:lang w:val="en-au" w:eastAsia="en-US" w:bidi="ar-SA"/>
      </w:rPr>
    </w:lvl>
    <w:lvl w:ilvl="7">
      <w:start w:val="0"/>
      <w:numFmt w:val="bullet"/>
      <w:lvlText w:val="•"/>
      <w:lvlJc w:val="left"/>
      <w:pPr>
        <w:ind w:left="3038" w:hanging="420"/>
      </w:pPr>
      <w:rPr>
        <w:rFonts w:hint="default"/>
        <w:lang w:val="en-au" w:eastAsia="en-US" w:bidi="ar-SA"/>
      </w:rPr>
    </w:lvl>
    <w:lvl w:ilvl="8">
      <w:start w:val="0"/>
      <w:numFmt w:val="bullet"/>
      <w:lvlText w:val="•"/>
      <w:lvlJc w:val="left"/>
      <w:pPr>
        <w:ind w:left="3398" w:hanging="420"/>
      </w:pPr>
      <w:rPr>
        <w:rFonts w:hint="default"/>
        <w:lang w:val="en-au" w:eastAsia="en-US" w:bidi="ar-SA"/>
      </w:rPr>
    </w:lvl>
  </w:abstractNum>
  <w:abstractNum w:abstractNumId="0">
    <w:multiLevelType w:val="hybridMultilevel"/>
    <w:lvl w:ilvl="0">
      <w:start w:val="1"/>
      <w:numFmt w:val="lowerLetter"/>
      <w:lvlText w:val="%1."/>
      <w:lvlJc w:val="left"/>
      <w:pPr>
        <w:ind w:left="553" w:hanging="360"/>
        <w:jc w:val="left"/>
      </w:pPr>
      <w:rPr>
        <w:rFonts w:hint="default" w:ascii="Calibri" w:hAnsi="Calibri" w:eastAsia="Calibri" w:cs="Calibri"/>
        <w:spacing w:val="-1"/>
        <w:w w:val="100"/>
        <w:sz w:val="22"/>
        <w:szCs w:val="22"/>
        <w:lang w:val="en-au" w:eastAsia="en-US" w:bidi="ar-SA"/>
      </w:rPr>
    </w:lvl>
    <w:lvl w:ilvl="1">
      <w:start w:val="0"/>
      <w:numFmt w:val="bullet"/>
      <w:lvlText w:val="•"/>
      <w:lvlJc w:val="left"/>
      <w:pPr>
        <w:ind w:left="917" w:hanging="360"/>
      </w:pPr>
      <w:rPr>
        <w:rFonts w:hint="default"/>
        <w:lang w:val="en-au" w:eastAsia="en-US" w:bidi="ar-SA"/>
      </w:rPr>
    </w:lvl>
    <w:lvl w:ilvl="2">
      <w:start w:val="0"/>
      <w:numFmt w:val="bullet"/>
      <w:lvlText w:val="•"/>
      <w:lvlJc w:val="left"/>
      <w:pPr>
        <w:ind w:left="1274" w:hanging="360"/>
      </w:pPr>
      <w:rPr>
        <w:rFonts w:hint="default"/>
        <w:lang w:val="en-au" w:eastAsia="en-US" w:bidi="ar-SA"/>
      </w:rPr>
    </w:lvl>
    <w:lvl w:ilvl="3">
      <w:start w:val="0"/>
      <w:numFmt w:val="bullet"/>
      <w:lvlText w:val="•"/>
      <w:lvlJc w:val="left"/>
      <w:pPr>
        <w:ind w:left="1631" w:hanging="360"/>
      </w:pPr>
      <w:rPr>
        <w:rFonts w:hint="default"/>
        <w:lang w:val="en-au" w:eastAsia="en-US" w:bidi="ar-SA"/>
      </w:rPr>
    </w:lvl>
    <w:lvl w:ilvl="4">
      <w:start w:val="0"/>
      <w:numFmt w:val="bullet"/>
      <w:lvlText w:val="•"/>
      <w:lvlJc w:val="left"/>
      <w:pPr>
        <w:ind w:left="1988" w:hanging="360"/>
      </w:pPr>
      <w:rPr>
        <w:rFonts w:hint="default"/>
        <w:lang w:val="en-au" w:eastAsia="en-US" w:bidi="ar-SA"/>
      </w:rPr>
    </w:lvl>
    <w:lvl w:ilvl="5">
      <w:start w:val="0"/>
      <w:numFmt w:val="bullet"/>
      <w:lvlText w:val="•"/>
      <w:lvlJc w:val="left"/>
      <w:pPr>
        <w:ind w:left="2345" w:hanging="360"/>
      </w:pPr>
      <w:rPr>
        <w:rFonts w:hint="default"/>
        <w:lang w:val="en-au" w:eastAsia="en-US" w:bidi="ar-SA"/>
      </w:rPr>
    </w:lvl>
    <w:lvl w:ilvl="6">
      <w:start w:val="0"/>
      <w:numFmt w:val="bullet"/>
      <w:lvlText w:val="•"/>
      <w:lvlJc w:val="left"/>
      <w:pPr>
        <w:ind w:left="2702" w:hanging="360"/>
      </w:pPr>
      <w:rPr>
        <w:rFonts w:hint="default"/>
        <w:lang w:val="en-au" w:eastAsia="en-US" w:bidi="ar-SA"/>
      </w:rPr>
    </w:lvl>
    <w:lvl w:ilvl="7">
      <w:start w:val="0"/>
      <w:numFmt w:val="bullet"/>
      <w:lvlText w:val="•"/>
      <w:lvlJc w:val="left"/>
      <w:pPr>
        <w:ind w:left="3059" w:hanging="360"/>
      </w:pPr>
      <w:rPr>
        <w:rFonts w:hint="default"/>
        <w:lang w:val="en-au" w:eastAsia="en-US" w:bidi="ar-SA"/>
      </w:rPr>
    </w:lvl>
    <w:lvl w:ilvl="8">
      <w:start w:val="0"/>
      <w:numFmt w:val="bullet"/>
      <w:lvlText w:val="•"/>
      <w:lvlJc w:val="left"/>
      <w:pPr>
        <w:ind w:left="3416" w:hanging="360"/>
      </w:pPr>
      <w:rPr>
        <w:rFonts w:hint="default"/>
        <w:lang w:val="en-au" w:eastAsia="en-US" w:bidi="ar-SA"/>
      </w:rPr>
    </w:lvl>
  </w:abstract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au" w:eastAsia="en-US" w:bidi="ar-SA"/>
    </w:rPr>
  </w:style>
  <w:style w:styleId="TOC1" w:type="paragraph">
    <w:name w:val="TOC 1"/>
    <w:basedOn w:val="Normal"/>
    <w:uiPriority w:val="1"/>
    <w:qFormat/>
    <w:pPr>
      <w:spacing w:before="57"/>
      <w:ind w:left="1698" w:hanging="341"/>
    </w:pPr>
    <w:rPr>
      <w:rFonts w:ascii="Calibri" w:hAnsi="Calibri" w:eastAsia="Calibri" w:cs="Calibri"/>
      <w:b/>
      <w:bCs/>
      <w:sz w:val="22"/>
      <w:szCs w:val="22"/>
      <w:lang w:val="en-au" w:eastAsia="en-US" w:bidi="ar-SA"/>
    </w:rPr>
  </w:style>
  <w:style w:styleId="TOC2" w:type="paragraph">
    <w:name w:val="TOC 2"/>
    <w:basedOn w:val="Normal"/>
    <w:uiPriority w:val="1"/>
    <w:qFormat/>
    <w:pPr>
      <w:spacing w:before="202"/>
      <w:ind w:left="1355"/>
    </w:pPr>
    <w:rPr>
      <w:rFonts w:ascii="Calibri" w:hAnsi="Calibri" w:eastAsia="Calibri" w:cs="Calibri"/>
      <w:b/>
      <w:bCs/>
      <w:i/>
      <w:lang w:val="en-au" w:eastAsia="en-US" w:bidi="ar-SA"/>
    </w:rPr>
  </w:style>
  <w:style w:styleId="BodyText" w:type="paragraph">
    <w:name w:val="Body Text"/>
    <w:basedOn w:val="Normal"/>
    <w:uiPriority w:val="1"/>
    <w:qFormat/>
    <w:pPr/>
    <w:rPr>
      <w:rFonts w:ascii="Calibri" w:hAnsi="Calibri" w:eastAsia="Calibri" w:cs="Calibri"/>
      <w:sz w:val="22"/>
      <w:szCs w:val="22"/>
      <w:lang w:val="en-au" w:eastAsia="en-US" w:bidi="ar-SA"/>
    </w:rPr>
  </w:style>
  <w:style w:styleId="Heading1" w:type="paragraph">
    <w:name w:val="Heading 1"/>
    <w:basedOn w:val="Normal"/>
    <w:uiPriority w:val="1"/>
    <w:qFormat/>
    <w:pPr>
      <w:spacing w:before="20"/>
      <w:ind w:left="1790" w:hanging="432"/>
      <w:outlineLvl w:val="1"/>
    </w:pPr>
    <w:rPr>
      <w:rFonts w:ascii="Calibri" w:hAnsi="Calibri" w:eastAsia="Calibri" w:cs="Calibri"/>
      <w:b/>
      <w:bCs/>
      <w:sz w:val="40"/>
      <w:szCs w:val="40"/>
      <w:lang w:val="en-au" w:eastAsia="en-US" w:bidi="ar-SA"/>
    </w:rPr>
  </w:style>
  <w:style w:styleId="Heading2" w:type="paragraph">
    <w:name w:val="Heading 2"/>
    <w:basedOn w:val="Normal"/>
    <w:uiPriority w:val="1"/>
    <w:qFormat/>
    <w:pPr>
      <w:ind w:left="1358"/>
      <w:outlineLvl w:val="2"/>
    </w:pPr>
    <w:rPr>
      <w:rFonts w:ascii="Calibri" w:hAnsi="Calibri" w:eastAsia="Calibri" w:cs="Calibri"/>
      <w:b/>
      <w:bCs/>
      <w:sz w:val="32"/>
      <w:szCs w:val="32"/>
      <w:lang w:val="en-au" w:eastAsia="en-US" w:bidi="ar-SA"/>
    </w:rPr>
  </w:style>
  <w:style w:styleId="Heading3" w:type="paragraph">
    <w:name w:val="Heading 3"/>
    <w:basedOn w:val="Normal"/>
    <w:uiPriority w:val="1"/>
    <w:qFormat/>
    <w:pPr>
      <w:spacing w:before="47"/>
      <w:ind w:left="1924"/>
      <w:outlineLvl w:val="3"/>
    </w:pPr>
    <w:rPr>
      <w:rFonts w:ascii="Calibri" w:hAnsi="Calibri" w:eastAsia="Calibri" w:cs="Calibri"/>
      <w:b/>
      <w:bCs/>
      <w:sz w:val="26"/>
      <w:szCs w:val="26"/>
      <w:lang w:val="en-au" w:eastAsia="en-US" w:bidi="ar-SA"/>
    </w:rPr>
  </w:style>
  <w:style w:styleId="Heading4" w:type="paragraph">
    <w:name w:val="Heading 4"/>
    <w:basedOn w:val="Normal"/>
    <w:uiPriority w:val="1"/>
    <w:qFormat/>
    <w:pPr>
      <w:spacing w:before="51"/>
      <w:ind w:left="1982" w:hanging="720"/>
      <w:outlineLvl w:val="4"/>
    </w:pPr>
    <w:rPr>
      <w:rFonts w:ascii="Calibri" w:hAnsi="Calibri" w:eastAsia="Calibri" w:cs="Calibri"/>
      <w:b/>
      <w:bCs/>
      <w:sz w:val="24"/>
      <w:szCs w:val="24"/>
      <w:lang w:val="en-au" w:eastAsia="en-US" w:bidi="ar-SA"/>
    </w:rPr>
  </w:style>
  <w:style w:styleId="Heading5" w:type="paragraph">
    <w:name w:val="Heading 5"/>
    <w:basedOn w:val="Normal"/>
    <w:uiPriority w:val="1"/>
    <w:qFormat/>
    <w:pPr>
      <w:spacing w:before="125"/>
      <w:ind w:left="144"/>
      <w:outlineLvl w:val="5"/>
    </w:pPr>
    <w:rPr>
      <w:rFonts w:ascii="Calibri" w:hAnsi="Calibri" w:eastAsia="Calibri" w:cs="Calibri"/>
      <w:sz w:val="24"/>
      <w:szCs w:val="24"/>
      <w:lang w:val="en-au" w:eastAsia="en-US" w:bidi="ar-SA"/>
    </w:rPr>
  </w:style>
  <w:style w:styleId="Heading6" w:type="paragraph">
    <w:name w:val="Heading 6"/>
    <w:basedOn w:val="Normal"/>
    <w:uiPriority w:val="1"/>
    <w:qFormat/>
    <w:pPr>
      <w:ind w:left="1262"/>
      <w:outlineLvl w:val="6"/>
    </w:pPr>
    <w:rPr>
      <w:rFonts w:ascii="Calibri" w:hAnsi="Calibri" w:eastAsia="Calibri" w:cs="Calibri"/>
      <w:i/>
      <w:sz w:val="24"/>
      <w:szCs w:val="24"/>
      <w:lang w:val="en-au" w:eastAsia="en-US" w:bidi="ar-SA"/>
    </w:rPr>
  </w:style>
  <w:style w:styleId="Heading7" w:type="paragraph">
    <w:name w:val="Heading 7"/>
    <w:basedOn w:val="Normal"/>
    <w:uiPriority w:val="1"/>
    <w:qFormat/>
    <w:pPr>
      <w:spacing w:before="69"/>
      <w:ind w:left="144"/>
      <w:outlineLvl w:val="7"/>
    </w:pPr>
    <w:rPr>
      <w:rFonts w:ascii="Calibri" w:hAnsi="Calibri" w:eastAsia="Calibri" w:cs="Calibri"/>
      <w:b/>
      <w:bCs/>
      <w:sz w:val="22"/>
      <w:szCs w:val="22"/>
      <w:lang w:val="en-au" w:eastAsia="en-US" w:bidi="ar-SA"/>
    </w:rPr>
  </w:style>
  <w:style w:styleId="Heading8" w:type="paragraph">
    <w:name w:val="Heading 8"/>
    <w:basedOn w:val="Normal"/>
    <w:uiPriority w:val="1"/>
    <w:qFormat/>
    <w:pPr>
      <w:spacing w:before="57"/>
      <w:ind w:left="440"/>
      <w:outlineLvl w:val="8"/>
    </w:pPr>
    <w:rPr>
      <w:rFonts w:ascii="Calibri" w:hAnsi="Calibri" w:eastAsia="Calibri" w:cs="Calibri"/>
      <w:b/>
      <w:bCs/>
      <w:i/>
      <w:sz w:val="22"/>
      <w:szCs w:val="22"/>
      <w:lang w:val="en-au" w:eastAsia="en-US" w:bidi="ar-SA"/>
    </w:rPr>
  </w:style>
  <w:style w:styleId="ListParagraph" w:type="paragraph">
    <w:name w:val="List Paragraph"/>
    <w:basedOn w:val="Normal"/>
    <w:uiPriority w:val="1"/>
    <w:qFormat/>
    <w:pPr>
      <w:ind w:left="1982" w:hanging="360"/>
    </w:pPr>
    <w:rPr>
      <w:rFonts w:ascii="Calibri" w:hAnsi="Calibri" w:eastAsia="Calibri" w:cs="Calibri"/>
      <w:lang w:val="en-au" w:eastAsia="en-US" w:bidi="ar-SA"/>
    </w:rPr>
  </w:style>
  <w:style w:styleId="TableParagraph" w:type="paragraph">
    <w:name w:val="Table Paragraph"/>
    <w:basedOn w:val="Normal"/>
    <w:uiPriority w:val="1"/>
    <w:qFormat/>
    <w:pPr/>
    <w:rPr>
      <w:rFonts w:ascii="Calibri" w:hAnsi="Calibri" w:eastAsia="Calibri" w:cs="Calibri"/>
      <w:lang w:val="en-a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mailto:mbsreviews@health.gov.au" TargetMode="External"/><Relationship Id="rId9" Type="http://schemas.openxmlformats.org/officeDocument/2006/relationships/header" Target="header2.xml"/><Relationship Id="rId10" Type="http://schemas.openxmlformats.org/officeDocument/2006/relationships/footer" Target="footer2.xm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image" Target="media/image54.png"/><Relationship Id="rId63" Type="http://schemas.openxmlformats.org/officeDocument/2006/relationships/header" Target="header3.xml"/><Relationship Id="rId64" Type="http://schemas.openxmlformats.org/officeDocument/2006/relationships/footer" Target="footer3.xml"/><Relationship Id="rId65" Type="http://schemas.openxmlformats.org/officeDocument/2006/relationships/image" Target="media/image55.png"/><Relationship Id="rId66" Type="http://schemas.openxmlformats.org/officeDocument/2006/relationships/image" Target="media/image56.png"/><Relationship Id="rId67" Type="http://schemas.openxmlformats.org/officeDocument/2006/relationships/image" Target="media/image57.png"/><Relationship Id="rId68" Type="http://schemas.openxmlformats.org/officeDocument/2006/relationships/image" Target="media/image58.png"/><Relationship Id="rId69" Type="http://schemas.openxmlformats.org/officeDocument/2006/relationships/image" Target="media/image59.png"/><Relationship Id="rId70" Type="http://schemas.openxmlformats.org/officeDocument/2006/relationships/image" Target="media/image60.png"/><Relationship Id="rId71" Type="http://schemas.openxmlformats.org/officeDocument/2006/relationships/image" Target="media/image61.png"/><Relationship Id="rId72" Type="http://schemas.openxmlformats.org/officeDocument/2006/relationships/image" Target="media/image62.png"/><Relationship Id="rId73" Type="http://schemas.openxmlformats.org/officeDocument/2006/relationships/image" Target="media/image63.png"/><Relationship Id="rId74" Type="http://schemas.openxmlformats.org/officeDocument/2006/relationships/image" Target="media/image64.png"/><Relationship Id="rId75" Type="http://schemas.openxmlformats.org/officeDocument/2006/relationships/image" Target="media/image65.png"/><Relationship Id="rId76" Type="http://schemas.openxmlformats.org/officeDocument/2006/relationships/image" Target="media/image66.png"/><Relationship Id="rId77" Type="http://schemas.openxmlformats.org/officeDocument/2006/relationships/image" Target="media/image67.png"/><Relationship Id="rId78" Type="http://schemas.openxmlformats.org/officeDocument/2006/relationships/image" Target="media/image68.png"/><Relationship Id="rId79" Type="http://schemas.openxmlformats.org/officeDocument/2006/relationships/image" Target="media/image69.png"/><Relationship Id="rId80" Type="http://schemas.openxmlformats.org/officeDocument/2006/relationships/image" Target="media/image70.png"/><Relationship Id="rId81" Type="http://schemas.openxmlformats.org/officeDocument/2006/relationships/image" Target="media/image71.png"/><Relationship Id="rId82" Type="http://schemas.openxmlformats.org/officeDocument/2006/relationships/image" Target="media/image72.png"/><Relationship Id="rId83" Type="http://schemas.openxmlformats.org/officeDocument/2006/relationships/image" Target="media/image73.png"/><Relationship Id="rId84" Type="http://schemas.openxmlformats.org/officeDocument/2006/relationships/image" Target="media/image74.png"/><Relationship Id="rId85" Type="http://schemas.openxmlformats.org/officeDocument/2006/relationships/image" Target="media/image75.png"/><Relationship Id="rId86" Type="http://schemas.openxmlformats.org/officeDocument/2006/relationships/image" Target="media/image76.png"/><Relationship Id="rId87" Type="http://schemas.openxmlformats.org/officeDocument/2006/relationships/image" Target="media/image77.png"/><Relationship Id="rId88" Type="http://schemas.openxmlformats.org/officeDocument/2006/relationships/image" Target="media/image78.png"/><Relationship Id="rId89" Type="http://schemas.openxmlformats.org/officeDocument/2006/relationships/image" Target="media/image79.png"/><Relationship Id="rId90" Type="http://schemas.openxmlformats.org/officeDocument/2006/relationships/image" Target="media/image80.png"/><Relationship Id="rId91" Type="http://schemas.openxmlformats.org/officeDocument/2006/relationships/image" Target="media/image81.png"/><Relationship Id="rId92" Type="http://schemas.openxmlformats.org/officeDocument/2006/relationships/image" Target="media/image82.png"/><Relationship Id="rId93" Type="http://schemas.openxmlformats.org/officeDocument/2006/relationships/image" Target="media/image83.png"/><Relationship Id="rId94" Type="http://schemas.openxmlformats.org/officeDocument/2006/relationships/image" Target="media/image84.png"/><Relationship Id="rId95" Type="http://schemas.openxmlformats.org/officeDocument/2006/relationships/image" Target="media/image85.png"/><Relationship Id="rId96" Type="http://schemas.openxmlformats.org/officeDocument/2006/relationships/image" Target="media/image86.png"/><Relationship Id="rId97" Type="http://schemas.openxmlformats.org/officeDocument/2006/relationships/image" Target="media/image87.png"/><Relationship Id="rId98" Type="http://schemas.openxmlformats.org/officeDocument/2006/relationships/image" Target="media/image88.png"/><Relationship Id="rId99" Type="http://schemas.openxmlformats.org/officeDocument/2006/relationships/image" Target="media/image89.png"/><Relationship Id="rId100" Type="http://schemas.openxmlformats.org/officeDocument/2006/relationships/image" Target="media/image90.png"/><Relationship Id="rId101" Type="http://schemas.openxmlformats.org/officeDocument/2006/relationships/image" Target="media/image91.png"/><Relationship Id="rId102" Type="http://schemas.openxmlformats.org/officeDocument/2006/relationships/image" Target="media/image92.png"/><Relationship Id="rId103" Type="http://schemas.openxmlformats.org/officeDocument/2006/relationships/image" Target="media/image93.png"/><Relationship Id="rId104" Type="http://schemas.openxmlformats.org/officeDocument/2006/relationships/image" Target="media/image94.png"/><Relationship Id="rId105" Type="http://schemas.openxmlformats.org/officeDocument/2006/relationships/image" Target="media/image95.png"/><Relationship Id="rId106" Type="http://schemas.openxmlformats.org/officeDocument/2006/relationships/image" Target="media/image96.png"/><Relationship Id="rId107" Type="http://schemas.openxmlformats.org/officeDocument/2006/relationships/image" Target="media/image97.png"/><Relationship Id="rId108" Type="http://schemas.openxmlformats.org/officeDocument/2006/relationships/image" Target="media/image98.png"/><Relationship Id="rId109" Type="http://schemas.openxmlformats.org/officeDocument/2006/relationships/image" Target="media/image99.png"/><Relationship Id="rId110" Type="http://schemas.openxmlformats.org/officeDocument/2006/relationships/image" Target="media/image100.png"/><Relationship Id="rId111" Type="http://schemas.openxmlformats.org/officeDocument/2006/relationships/image" Target="media/image101.png"/><Relationship Id="rId112" Type="http://schemas.openxmlformats.org/officeDocument/2006/relationships/image" Target="media/image102.png"/><Relationship Id="rId113" Type="http://schemas.openxmlformats.org/officeDocument/2006/relationships/image" Target="media/image103.png"/><Relationship Id="rId114" Type="http://schemas.openxmlformats.org/officeDocument/2006/relationships/image" Target="media/image104.png"/><Relationship Id="rId115" Type="http://schemas.openxmlformats.org/officeDocument/2006/relationships/image" Target="media/image105.png"/><Relationship Id="rId116" Type="http://schemas.openxmlformats.org/officeDocument/2006/relationships/image" Target="media/image106.png"/><Relationship Id="rId117" Type="http://schemas.openxmlformats.org/officeDocument/2006/relationships/image" Target="media/image107.png"/><Relationship Id="rId118" Type="http://schemas.openxmlformats.org/officeDocument/2006/relationships/image" Target="media/image108.png"/><Relationship Id="rId119" Type="http://schemas.openxmlformats.org/officeDocument/2006/relationships/image" Target="media/image109.png"/><Relationship Id="rId120" Type="http://schemas.openxmlformats.org/officeDocument/2006/relationships/image" Target="media/image110.png"/><Relationship Id="rId121" Type="http://schemas.openxmlformats.org/officeDocument/2006/relationships/image" Target="media/image111.png"/><Relationship Id="rId122" Type="http://schemas.openxmlformats.org/officeDocument/2006/relationships/image" Target="media/image112.png"/><Relationship Id="rId123" Type="http://schemas.openxmlformats.org/officeDocument/2006/relationships/image" Target="media/image113.png"/><Relationship Id="rId124" Type="http://schemas.openxmlformats.org/officeDocument/2006/relationships/image" Target="media/image114.png"/><Relationship Id="rId125" Type="http://schemas.openxmlformats.org/officeDocument/2006/relationships/header" Target="header4.xml"/><Relationship Id="rId126" Type="http://schemas.openxmlformats.org/officeDocument/2006/relationships/footer" Target="footer4.xml"/><Relationship Id="rId127" Type="http://schemas.openxmlformats.org/officeDocument/2006/relationships/image" Target="media/image121.png"/><Relationship Id="rId128" Type="http://schemas.openxmlformats.org/officeDocument/2006/relationships/image" Target="media/image122.png"/><Relationship Id="rId129" Type="http://schemas.openxmlformats.org/officeDocument/2006/relationships/image" Target="media/image123.png"/><Relationship Id="rId130" Type="http://schemas.openxmlformats.org/officeDocument/2006/relationships/image" Target="media/image124.png"/><Relationship Id="rId131" Type="http://schemas.openxmlformats.org/officeDocument/2006/relationships/image" Target="media/image125.png"/><Relationship Id="rId132" Type="http://schemas.openxmlformats.org/officeDocument/2006/relationships/image" Target="media/image126.png"/><Relationship Id="rId133" Type="http://schemas.openxmlformats.org/officeDocument/2006/relationships/image" Target="media/image127.png"/><Relationship Id="rId134" Type="http://schemas.openxmlformats.org/officeDocument/2006/relationships/image" Target="media/image128.png"/><Relationship Id="rId135" Type="http://schemas.openxmlformats.org/officeDocument/2006/relationships/image" Target="media/image129.png"/><Relationship Id="rId136" Type="http://schemas.openxmlformats.org/officeDocument/2006/relationships/image" Target="media/image130.png"/><Relationship Id="rId137" Type="http://schemas.openxmlformats.org/officeDocument/2006/relationships/image" Target="media/image131.png"/><Relationship Id="rId138" Type="http://schemas.openxmlformats.org/officeDocument/2006/relationships/image" Target="media/image132.png"/><Relationship Id="rId139" Type="http://schemas.openxmlformats.org/officeDocument/2006/relationships/image" Target="media/image133.png"/><Relationship Id="rId140" Type="http://schemas.openxmlformats.org/officeDocument/2006/relationships/image" Target="media/image134.png"/><Relationship Id="rId141" Type="http://schemas.openxmlformats.org/officeDocument/2006/relationships/image" Target="media/image135.png"/><Relationship Id="rId142" Type="http://schemas.openxmlformats.org/officeDocument/2006/relationships/image" Target="media/image136.png"/><Relationship Id="rId143" Type="http://schemas.openxmlformats.org/officeDocument/2006/relationships/image" Target="media/image137.png"/><Relationship Id="rId144" Type="http://schemas.openxmlformats.org/officeDocument/2006/relationships/image" Target="media/image138.png"/><Relationship Id="rId145" Type="http://schemas.openxmlformats.org/officeDocument/2006/relationships/image" Target="media/image139.png"/><Relationship Id="rId146" Type="http://schemas.openxmlformats.org/officeDocument/2006/relationships/image" Target="media/image140.png"/><Relationship Id="rId147" Type="http://schemas.openxmlformats.org/officeDocument/2006/relationships/image" Target="media/image141.png"/><Relationship Id="rId148" Type="http://schemas.openxmlformats.org/officeDocument/2006/relationships/image" Target="media/image142.png"/><Relationship Id="rId149" Type="http://schemas.openxmlformats.org/officeDocument/2006/relationships/image" Target="media/image143.png"/><Relationship Id="rId150" Type="http://schemas.openxmlformats.org/officeDocument/2006/relationships/image" Target="media/image144.png"/><Relationship Id="rId151" Type="http://schemas.openxmlformats.org/officeDocument/2006/relationships/image" Target="media/image145.png"/><Relationship Id="rId152" Type="http://schemas.openxmlformats.org/officeDocument/2006/relationships/image" Target="media/image146.png"/><Relationship Id="rId153" Type="http://schemas.openxmlformats.org/officeDocument/2006/relationships/image" Target="media/image147.png"/><Relationship Id="rId154" Type="http://schemas.openxmlformats.org/officeDocument/2006/relationships/image" Target="media/image148.png"/><Relationship Id="rId155" Type="http://schemas.openxmlformats.org/officeDocument/2006/relationships/image" Target="media/image149.png"/><Relationship Id="rId156" Type="http://schemas.openxmlformats.org/officeDocument/2006/relationships/image" Target="media/image150.png"/><Relationship Id="rId157" Type="http://schemas.openxmlformats.org/officeDocument/2006/relationships/image" Target="media/image151.png"/><Relationship Id="rId158" Type="http://schemas.openxmlformats.org/officeDocument/2006/relationships/image" Target="media/image152.png"/><Relationship Id="rId159" Type="http://schemas.openxmlformats.org/officeDocument/2006/relationships/image" Target="media/image153.png"/><Relationship Id="rId160" Type="http://schemas.openxmlformats.org/officeDocument/2006/relationships/image" Target="media/image154.png"/><Relationship Id="rId161" Type="http://schemas.openxmlformats.org/officeDocument/2006/relationships/image" Target="media/image155.png"/><Relationship Id="rId162" Type="http://schemas.openxmlformats.org/officeDocument/2006/relationships/image" Target="media/image156.png"/><Relationship Id="rId163" Type="http://schemas.openxmlformats.org/officeDocument/2006/relationships/image" Target="media/image157.png"/><Relationship Id="rId164" Type="http://schemas.openxmlformats.org/officeDocument/2006/relationships/image" Target="media/image158.png"/><Relationship Id="rId165" Type="http://schemas.openxmlformats.org/officeDocument/2006/relationships/image" Target="media/image159.png"/><Relationship Id="rId166" Type="http://schemas.openxmlformats.org/officeDocument/2006/relationships/image" Target="media/image160.png"/><Relationship Id="rId167" Type="http://schemas.openxmlformats.org/officeDocument/2006/relationships/image" Target="media/image161.png"/><Relationship Id="rId168" Type="http://schemas.openxmlformats.org/officeDocument/2006/relationships/image" Target="media/image162.png"/><Relationship Id="rId169" Type="http://schemas.openxmlformats.org/officeDocument/2006/relationships/image" Target="media/image163.png"/><Relationship Id="rId170" Type="http://schemas.openxmlformats.org/officeDocument/2006/relationships/image" Target="media/image164.png"/><Relationship Id="rId171" Type="http://schemas.openxmlformats.org/officeDocument/2006/relationships/image" Target="media/image165.png"/><Relationship Id="rId172" Type="http://schemas.openxmlformats.org/officeDocument/2006/relationships/image" Target="media/image166.png"/><Relationship Id="rId173" Type="http://schemas.openxmlformats.org/officeDocument/2006/relationships/image" Target="media/image167.png"/><Relationship Id="rId174" Type="http://schemas.openxmlformats.org/officeDocument/2006/relationships/image" Target="media/image168.png"/><Relationship Id="rId175" Type="http://schemas.openxmlformats.org/officeDocument/2006/relationships/image" Target="media/image169.png"/><Relationship Id="rId176" Type="http://schemas.openxmlformats.org/officeDocument/2006/relationships/image" Target="media/image170.png"/><Relationship Id="rId177" Type="http://schemas.openxmlformats.org/officeDocument/2006/relationships/image" Target="media/image171.png"/><Relationship Id="rId178" Type="http://schemas.openxmlformats.org/officeDocument/2006/relationships/image" Target="media/image172.png"/><Relationship Id="rId179" Type="http://schemas.openxmlformats.org/officeDocument/2006/relationships/image" Target="media/image173.png"/><Relationship Id="rId180" Type="http://schemas.openxmlformats.org/officeDocument/2006/relationships/header" Target="header5.xml"/><Relationship Id="rId181" Type="http://schemas.openxmlformats.org/officeDocument/2006/relationships/footer" Target="footer5.xml"/><Relationship Id="rId182" Type="http://schemas.openxmlformats.org/officeDocument/2006/relationships/image" Target="media/image174.png"/><Relationship Id="rId183" Type="http://schemas.openxmlformats.org/officeDocument/2006/relationships/image" Target="media/image175.png"/><Relationship Id="rId184" Type="http://schemas.openxmlformats.org/officeDocument/2006/relationships/image" Target="media/image176.png"/><Relationship Id="rId185" Type="http://schemas.openxmlformats.org/officeDocument/2006/relationships/image" Target="media/image177.png"/><Relationship Id="rId186" Type="http://schemas.openxmlformats.org/officeDocument/2006/relationships/image" Target="media/image178.png"/><Relationship Id="rId187" Type="http://schemas.openxmlformats.org/officeDocument/2006/relationships/image" Target="media/image179.png"/><Relationship Id="rId188" Type="http://schemas.openxmlformats.org/officeDocument/2006/relationships/image" Target="media/image180.png"/><Relationship Id="rId189" Type="http://schemas.openxmlformats.org/officeDocument/2006/relationships/header" Target="header6.xml"/><Relationship Id="rId190" Type="http://schemas.openxmlformats.org/officeDocument/2006/relationships/footer" Target="footer6.xml"/><Relationship Id="rId191" Type="http://schemas.openxmlformats.org/officeDocument/2006/relationships/header" Target="header7.xml"/><Relationship Id="rId192" Type="http://schemas.openxmlformats.org/officeDocument/2006/relationships/footer" Target="footer7.xml"/><Relationship Id="rId193" Type="http://schemas.openxmlformats.org/officeDocument/2006/relationships/image" Target="media/image181.png"/><Relationship Id="rId194" Type="http://schemas.openxmlformats.org/officeDocument/2006/relationships/image" Target="media/image182.png"/><Relationship Id="rId195" Type="http://schemas.openxmlformats.org/officeDocument/2006/relationships/image" Target="media/image183.png"/><Relationship Id="rId196" Type="http://schemas.openxmlformats.org/officeDocument/2006/relationships/image" Target="media/image184.png"/><Relationship Id="rId197" Type="http://schemas.openxmlformats.org/officeDocument/2006/relationships/image" Target="media/image185.png"/><Relationship Id="rId198" Type="http://schemas.openxmlformats.org/officeDocument/2006/relationships/header" Target="header8.xml"/><Relationship Id="rId199" Type="http://schemas.openxmlformats.org/officeDocument/2006/relationships/footer" Target="footer8.xml"/><Relationship Id="rId200" Type="http://schemas.openxmlformats.org/officeDocument/2006/relationships/image" Target="media/image186.png"/><Relationship Id="rId201" Type="http://schemas.openxmlformats.org/officeDocument/2006/relationships/header" Target="header9.xml"/><Relationship Id="rId202" Type="http://schemas.openxmlformats.org/officeDocument/2006/relationships/footer" Target="footer9.xml"/><Relationship Id="rId203" Type="http://schemas.openxmlformats.org/officeDocument/2006/relationships/header" Target="header10.xml"/><Relationship Id="rId204" Type="http://schemas.openxmlformats.org/officeDocument/2006/relationships/footer" Target="footer10.xml"/><Relationship Id="rId205" Type="http://schemas.openxmlformats.org/officeDocument/2006/relationships/header" Target="header11.xml"/><Relationship Id="rId206" Type="http://schemas.openxmlformats.org/officeDocument/2006/relationships/footer" Target="footer11.xml"/><Relationship Id="rId207" Type="http://schemas.openxmlformats.org/officeDocument/2006/relationships/image" Target="media/image187.png"/><Relationship Id="rId208" Type="http://schemas.openxmlformats.org/officeDocument/2006/relationships/image" Target="media/image188.png"/><Relationship Id="rId209" Type="http://schemas.openxmlformats.org/officeDocument/2006/relationships/image" Target="media/image189.png"/><Relationship Id="rId210" Type="http://schemas.openxmlformats.org/officeDocument/2006/relationships/image" Target="media/image190.jpeg"/><Relationship Id="rId211" Type="http://schemas.openxmlformats.org/officeDocument/2006/relationships/image" Target="media/image191.png"/><Relationship Id="rId212" Type="http://schemas.openxmlformats.org/officeDocument/2006/relationships/image" Target="media/image192.png"/><Relationship Id="rId213" Type="http://schemas.openxmlformats.org/officeDocument/2006/relationships/image" Target="media/image193.png"/><Relationship Id="rId214" Type="http://schemas.openxmlformats.org/officeDocument/2006/relationships/header" Target="header12.xml"/><Relationship Id="rId215" Type="http://schemas.openxmlformats.org/officeDocument/2006/relationships/footer" Target="footer12.xml"/><Relationship Id="rId216" Type="http://schemas.openxmlformats.org/officeDocument/2006/relationships/hyperlink" Target="http://www.mbsonline.gov.au/internet/mbsonline/publishing.nsf/Content/Home" TargetMode="External"/><Relationship Id="rId217" Type="http://schemas.openxmlformats.org/officeDocument/2006/relationships/header" Target="header13.xml"/><Relationship Id="rId218" Type="http://schemas.openxmlformats.org/officeDocument/2006/relationships/footer" Target="footer13.xml"/><Relationship Id="rId219" Type="http://schemas.openxmlformats.org/officeDocument/2006/relationships/header" Target="header14.xml"/><Relationship Id="rId220" Type="http://schemas.openxmlformats.org/officeDocument/2006/relationships/footer" Target="footer14.xml"/><Relationship Id="rId221" Type="http://schemas.openxmlformats.org/officeDocument/2006/relationships/header" Target="header15.xml"/><Relationship Id="rId222" Type="http://schemas.openxmlformats.org/officeDocument/2006/relationships/footer" Target="footer15.xml"/><Relationship Id="rId223" Type="http://schemas.openxmlformats.org/officeDocument/2006/relationships/header" Target="header16.xml"/><Relationship Id="rId224" Type="http://schemas.openxmlformats.org/officeDocument/2006/relationships/footer" Target="footer16.xml"/><Relationship Id="rId225" Type="http://schemas.openxmlformats.org/officeDocument/2006/relationships/image" Target="media/image194.png"/><Relationship Id="rId226" Type="http://schemas.openxmlformats.org/officeDocument/2006/relationships/header" Target="header17.xml"/><Relationship Id="rId227" Type="http://schemas.openxmlformats.org/officeDocument/2006/relationships/footer" Target="footer17.xml"/><Relationship Id="rId228" Type="http://schemas.openxmlformats.org/officeDocument/2006/relationships/header" Target="header18.xml"/><Relationship Id="rId229" Type="http://schemas.openxmlformats.org/officeDocument/2006/relationships/footer" Target="footer18.xml"/><Relationship Id="rId230" Type="http://schemas.openxmlformats.org/officeDocument/2006/relationships/image" Target="media/image195.png"/><Relationship Id="rId231" Type="http://schemas.openxmlformats.org/officeDocument/2006/relationships/header" Target="header19.xml"/><Relationship Id="rId232" Type="http://schemas.openxmlformats.org/officeDocument/2006/relationships/footer" Target="footer19.xml"/><Relationship Id="rId233" Type="http://schemas.openxmlformats.org/officeDocument/2006/relationships/header" Target="header20.xml"/><Relationship Id="rId234" Type="http://schemas.openxmlformats.org/officeDocument/2006/relationships/footer" Target="footer20.xml"/><Relationship Id="rId235" Type="http://schemas.openxmlformats.org/officeDocument/2006/relationships/header" Target="header21.xml"/><Relationship Id="rId236" Type="http://schemas.openxmlformats.org/officeDocument/2006/relationships/footer" Target="footer21.xml"/><Relationship Id="rId237" Type="http://schemas.openxmlformats.org/officeDocument/2006/relationships/header" Target="header22.xml"/><Relationship Id="rId238" Type="http://schemas.openxmlformats.org/officeDocument/2006/relationships/footer" Target="footer22.xml"/><Relationship Id="rId239" Type="http://schemas.openxmlformats.org/officeDocument/2006/relationships/header" Target="header23.xml"/><Relationship Id="rId240" Type="http://schemas.openxmlformats.org/officeDocument/2006/relationships/footer" Target="footer23.xml"/><Relationship Id="rId241" Type="http://schemas.openxmlformats.org/officeDocument/2006/relationships/header" Target="header24.xml"/><Relationship Id="rId242" Type="http://schemas.openxmlformats.org/officeDocument/2006/relationships/footer" Target="footer24.xml"/><Relationship Id="rId243" Type="http://schemas.openxmlformats.org/officeDocument/2006/relationships/header" Target="header25.xml"/><Relationship Id="rId244" Type="http://schemas.openxmlformats.org/officeDocument/2006/relationships/footer" Target="footer25.xml"/><Relationship Id="rId245" Type="http://schemas.openxmlformats.org/officeDocument/2006/relationships/header" Target="header26.xml"/><Relationship Id="rId246" Type="http://schemas.openxmlformats.org/officeDocument/2006/relationships/footer" Target="footer26.xml"/><Relationship Id="rId247" Type="http://schemas.openxmlformats.org/officeDocument/2006/relationships/image" Target="media/image196.png"/><Relationship Id="rId248" Type="http://schemas.openxmlformats.org/officeDocument/2006/relationships/header" Target="header27.xml"/><Relationship Id="rId249" Type="http://schemas.openxmlformats.org/officeDocument/2006/relationships/footer" Target="footer27.xml"/><Relationship Id="rId250" Type="http://schemas.openxmlformats.org/officeDocument/2006/relationships/header" Target="header28.xml"/><Relationship Id="rId251" Type="http://schemas.openxmlformats.org/officeDocument/2006/relationships/footer" Target="footer28.xml"/><Relationship Id="rId252" Type="http://schemas.openxmlformats.org/officeDocument/2006/relationships/header" Target="header29.xml"/><Relationship Id="rId253" Type="http://schemas.openxmlformats.org/officeDocument/2006/relationships/footer" Target="footer29.xml"/><Relationship Id="rId254" Type="http://schemas.openxmlformats.org/officeDocument/2006/relationships/header" Target="header30.xml"/><Relationship Id="rId255" Type="http://schemas.openxmlformats.org/officeDocument/2006/relationships/footer" Target="footer30.xml"/><Relationship Id="rId256" Type="http://schemas.openxmlformats.org/officeDocument/2006/relationships/image" Target="media/image197.png"/><Relationship Id="rId257" Type="http://schemas.openxmlformats.org/officeDocument/2006/relationships/header" Target="header31.xml"/><Relationship Id="rId258" Type="http://schemas.openxmlformats.org/officeDocument/2006/relationships/footer" Target="footer31.xml"/><Relationship Id="rId259" Type="http://schemas.openxmlformats.org/officeDocument/2006/relationships/image" Target="media/image198.png"/><Relationship Id="rId260" Type="http://schemas.openxmlformats.org/officeDocument/2006/relationships/header" Target="header32.xml"/><Relationship Id="rId261" Type="http://schemas.openxmlformats.org/officeDocument/2006/relationships/footer" Target="footer32.xml"/><Relationship Id="rId262" Type="http://schemas.openxmlformats.org/officeDocument/2006/relationships/header" Target="header33.xml"/><Relationship Id="rId263" Type="http://schemas.openxmlformats.org/officeDocument/2006/relationships/footer" Target="footer33.xml"/><Relationship Id="rId264" Type="http://schemas.openxmlformats.org/officeDocument/2006/relationships/image" Target="media/image199.png"/><Relationship Id="rId265" Type="http://schemas.openxmlformats.org/officeDocument/2006/relationships/header" Target="header34.xml"/><Relationship Id="rId266" Type="http://schemas.openxmlformats.org/officeDocument/2006/relationships/footer" Target="footer34.xml"/><Relationship Id="rId267" Type="http://schemas.openxmlformats.org/officeDocument/2006/relationships/image" Target="media/image200.png"/><Relationship Id="rId268" Type="http://schemas.openxmlformats.org/officeDocument/2006/relationships/header" Target="header35.xml"/><Relationship Id="rId269" Type="http://schemas.openxmlformats.org/officeDocument/2006/relationships/footer" Target="footer35.xml"/><Relationship Id="rId270" Type="http://schemas.openxmlformats.org/officeDocument/2006/relationships/image" Target="media/image201.png"/><Relationship Id="rId271" Type="http://schemas.openxmlformats.org/officeDocument/2006/relationships/hyperlink" Target="https://www.painaustralia.org.au/static/uploads/files/national-action-plan-11-06-2019-wfflaefbxbdy.pdf" TargetMode="External"/><Relationship Id="rId272" Type="http://schemas.openxmlformats.org/officeDocument/2006/relationships/header" Target="header36.xml"/><Relationship Id="rId273" Type="http://schemas.openxmlformats.org/officeDocument/2006/relationships/footer" Target="footer36.xml"/><Relationship Id="rId274" Type="http://schemas.openxmlformats.org/officeDocument/2006/relationships/hyperlink" Target="http://www9.health.gov.au/mbs/fullDisplay.cfm?type=note&amp;q=AN.0.56&amp;qt=noteID&amp;criteria=GP%2520mental%2520health%2520plans" TargetMode="External"/><Relationship Id="rId275" Type="http://schemas.openxmlformats.org/officeDocument/2006/relationships/header" Target="header37.xml"/><Relationship Id="rId276" Type="http://schemas.openxmlformats.org/officeDocument/2006/relationships/footer" Target="footer37.xml"/><Relationship Id="rId277" Type="http://schemas.openxmlformats.org/officeDocument/2006/relationships/header" Target="header38.xml"/><Relationship Id="rId278" Type="http://schemas.openxmlformats.org/officeDocument/2006/relationships/footer" Target="footer38.xml"/><Relationship Id="rId279" Type="http://schemas.openxmlformats.org/officeDocument/2006/relationships/header" Target="header39.xml"/><Relationship Id="rId280" Type="http://schemas.openxmlformats.org/officeDocument/2006/relationships/footer" Target="footer39.xml"/><Relationship Id="rId281" Type="http://schemas.openxmlformats.org/officeDocument/2006/relationships/hyperlink" Target="http://www.safetyandquality.gov.au/atlas/" TargetMode="External"/><Relationship Id="rId282" Type="http://schemas.openxmlformats.org/officeDocument/2006/relationships/hyperlink" Target="http://www.researchreview.com.au/" TargetMode="External"/><Relationship Id="rId283" Type="http://schemas.openxmlformats.org/officeDocument/2006/relationships/hyperlink" Target="http://www.dovepress.com/ganglion-blocks-as-a-treatment-of-pain-current-" TargetMode="External"/><Relationship Id="rId284" Type="http://schemas.openxmlformats.org/officeDocument/2006/relationships/hyperlink" Target="http://www.apsoc.org.au/PDF/Position_Paper/201312_SIGN136_Management_of_" TargetMode="External"/><Relationship Id="rId285" Type="http://schemas.openxmlformats.org/officeDocument/2006/relationships/hyperlink" Target="http://www.ncbi.nlm.nih.gov/pubmed/29734232" TargetMode="External"/><Relationship Id="rId286" Type="http://schemas.openxmlformats.org/officeDocument/2006/relationships/hyperlink" Target="http://www.elsevier.com/locate/pain" TargetMode="External"/><Relationship Id="rId287" Type="http://schemas.openxmlformats.org/officeDocument/2006/relationships/hyperlink" Target="http://www.ncbi.nlm.nih.gov/pubmed/26297518" TargetMode="External"/><Relationship Id="rId288" Type="http://schemas.openxmlformats.org/officeDocument/2006/relationships/hyperlink" Target="http://www.apsoc.org.au/PDF/Position_Paper/201504_ACI13-015-pain-mgmt-" TargetMode="External"/><Relationship Id="rId289" Type="http://schemas.openxmlformats.org/officeDocument/2006/relationships/hyperlink" Target="http://www.eviq.org.au/" TargetMode="External"/><Relationship Id="rId290" Type="http://schemas.openxmlformats.org/officeDocument/2006/relationships/hyperlink" Target="http://www.painaustralia.org.au/static/uploads/files/the-cost-of-pain-in-australia-" TargetMode="External"/><Relationship Id="rId291" Type="http://schemas.openxmlformats.org/officeDocument/2006/relationships/hyperlink" Target="http://www.painaustralia.org.au/about-pain/painful-facts" TargetMode="External"/><Relationship Id="rId292" Type="http://schemas.openxmlformats.org/officeDocument/2006/relationships/hyperlink" Target="http://www.apsoc.org.au/position-papers" TargetMode="External"/><Relationship Id="rId293" Type="http://schemas.openxmlformats.org/officeDocument/2006/relationships/hyperlink" Target="http://www.cochrane.org/CD007312/NEUROMUSC_neurosurgical-interventions-" TargetMode="External"/><Relationship Id="rId294" Type="http://schemas.openxmlformats.org/officeDocument/2006/relationships/hyperlink" Target="http://www.ncbi.nlm.nih.gov/pubmed/28296770" TargetMode="External"/><Relationship Id="rId295" Type="http://schemas.openxmlformats.org/officeDocument/2006/relationships/header" Target="header40.xml"/><Relationship Id="rId296" Type="http://schemas.openxmlformats.org/officeDocument/2006/relationships/footer" Target="footer40.xml"/><Relationship Id="rId297" Type="http://schemas.openxmlformats.org/officeDocument/2006/relationships/header" Target="header41.xml"/><Relationship Id="rId298" Type="http://schemas.openxmlformats.org/officeDocument/2006/relationships/footer" Target="footer41.xml"/><Relationship Id="rId299" Type="http://schemas.openxmlformats.org/officeDocument/2006/relationships/header" Target="header42.xml"/><Relationship Id="rId300" Type="http://schemas.openxmlformats.org/officeDocument/2006/relationships/footer" Target="footer42.xml"/><Relationship Id="rId301" Type="http://schemas.openxmlformats.org/officeDocument/2006/relationships/image" Target="media/image203.png"/><Relationship Id="rId302" Type="http://schemas.openxmlformats.org/officeDocument/2006/relationships/header" Target="header43.xml"/><Relationship Id="rId303" Type="http://schemas.openxmlformats.org/officeDocument/2006/relationships/footer" Target="footer43.xml"/><Relationship Id="rId304"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176.pn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176.pn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176.pn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176.pn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176.pn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176.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176.pn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176.pn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176.pn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176.pn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176.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176.png"/></Relationships>

</file>

<file path=word/_rels/header3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176.png"/></Relationships>

</file>

<file path=word/_rels/header33.xml.rels><?xml version="1.0" encoding="UTF-8" standalone="yes"?>
<Relationships xmlns="http://schemas.openxmlformats.org/package/2006/relationships"><Relationship Id="rId1" Type="http://schemas.openxmlformats.org/officeDocument/2006/relationships/image" Target="media/image2.jpeg"/></Relationships>

</file>

<file path=word/_rels/header34.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176.png"/></Relationships>

</file>

<file path=word/_rels/header35.xml.rels><?xml version="1.0" encoding="UTF-8" standalone="yes"?>
<Relationships xmlns="http://schemas.openxmlformats.org/package/2006/relationships"><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176.png"/></Relationships>

</file>

<file path=word/_rels/header37.xml.rels><?xml version="1.0" encoding="UTF-8" standalone="yes"?>
<Relationships xmlns="http://schemas.openxmlformats.org/package/2006/relationships"><Relationship Id="rId1" Type="http://schemas.openxmlformats.org/officeDocument/2006/relationships/image" Target="media/image2.jpeg"/></Relationships>

</file>

<file path=word/_rels/header38.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176.png"/></Relationships>

</file>

<file path=word/_rels/header39.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115.png"/><Relationship Id="rId3" Type="http://schemas.openxmlformats.org/officeDocument/2006/relationships/image" Target="media/image116.png"/><Relationship Id="rId4" Type="http://schemas.openxmlformats.org/officeDocument/2006/relationships/image" Target="media/image117.png"/><Relationship Id="rId5" Type="http://schemas.openxmlformats.org/officeDocument/2006/relationships/image" Target="media/image118.png"/><Relationship Id="rId6" Type="http://schemas.openxmlformats.org/officeDocument/2006/relationships/image" Target="media/image119.png"/><Relationship Id="rId7" Type="http://schemas.openxmlformats.org/officeDocument/2006/relationships/image" Target="media/image120.png"/></Relationships>

</file>

<file path=word/_rels/header40.xml.rels><?xml version="1.0" encoding="UTF-8" standalone="yes"?>
<Relationships xmlns="http://schemas.openxmlformats.org/package/2006/relationships"><Relationship Id="rId1" Type="http://schemas.openxmlformats.org/officeDocument/2006/relationships/image" Target="media/image2.jpeg"/></Relationships>

</file>

<file path=word/_rels/header41.xml.rels><?xml version="1.0" encoding="UTF-8" standalone="yes"?>
<Relationships xmlns="http://schemas.openxmlformats.org/package/2006/relationships"><Relationship Id="rId1" Type="http://schemas.openxmlformats.org/officeDocument/2006/relationships/image" Target="media/image2.jpeg"/></Relationships>

</file>

<file path=word/_rels/header42.xml.rels><?xml version="1.0" encoding="UTF-8" standalone="yes"?>
<Relationships xmlns="http://schemas.openxmlformats.org/package/2006/relationships"><Relationship Id="rId1" Type="http://schemas.openxmlformats.org/officeDocument/2006/relationships/image" Target="media/image202.png"/></Relationships>

</file>

<file path=word/_rels/header43.xml.rels><?xml version="1.0" encoding="UTF-8" standalone="yes"?>
<Relationships xmlns="http://schemas.openxmlformats.org/package/2006/relationships"><Relationship Id="rId1" Type="http://schemas.openxmlformats.org/officeDocument/2006/relationships/image" Target="media/image202.pn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176.pn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176.pn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CASTLES, Sonja</dc:creator>
  <cp:keywords>Obstetrics Clinical Committee; Review; Report</cp:keywords>
  <dc:title>Medicare Benefits Schedule Review Taskforce Report from the Obstetrics Clinical Committee</dc:title>
  <dcterms:created xsi:type="dcterms:W3CDTF">2020-11-30T23:29:25Z</dcterms:created>
  <dcterms:modified xsi:type="dcterms:W3CDTF">2020-11-30T23:29:25Z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2020-12-01T00:00:00Z</vt:filetime>
  </property>
  <property fmtid="{D5CDD505-2E9C-101B-9397-08002B2CF9AE}" pid="3" name="Creator">
    <vt:lpwstr>Microsoft® Word 2016</vt:lpwstr>
  </property>
  <property fmtid="{D5CDD505-2E9C-101B-9397-08002B2CF9AE}" pid="4" name="LastSaved">
    <vt:filetime>2020-11-30T00:00:00Z</vt:filetime>
  </property>
</Properties>
</file>