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60936" w14:textId="3AC78E86" w:rsidR="009A7BA2" w:rsidRPr="005670CF" w:rsidRDefault="009A7BA2" w:rsidP="005670CF">
      <w:bookmarkStart w:id="0" w:name="_Toc448369494"/>
      <w:bookmarkStart w:id="1" w:name="_Toc427153112"/>
      <w:bookmarkStart w:id="2" w:name="_GoBack"/>
      <w:bookmarkEnd w:id="2"/>
    </w:p>
    <w:bookmarkStart w:id="3" w:name="_Hlk503433997"/>
    <w:bookmarkEnd w:id="3"/>
    <w:p w14:paraId="42BC5075" w14:textId="77777777" w:rsidR="008A49F1" w:rsidRPr="005670CF" w:rsidRDefault="005C7FB0" w:rsidP="005670CF">
      <w:r w:rsidRPr="00854013">
        <w:rPr>
          <w:noProof/>
        </w:rPr>
        <mc:AlternateContent>
          <mc:Choice Requires="wps">
            <w:drawing>
              <wp:anchor distT="0" distB="0" distL="114300" distR="114300" simplePos="0" relativeHeight="251660288" behindDoc="0" locked="0" layoutInCell="1" allowOverlap="1" wp14:anchorId="19738BF9" wp14:editId="00CDA002">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F2A83D" w14:textId="77777777" w:rsidR="00FC654A" w:rsidRPr="005C7FB0" w:rsidRDefault="00FC654A"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2CEE8C" w14:textId="77777777" w:rsidR="00FC654A" w:rsidRPr="005C7FB0" w:rsidRDefault="00FC654A" w:rsidP="005670CF">
                            <w:pPr>
                              <w:pStyle w:val="CoverH1Green"/>
                              <w:keepNext w:val="0"/>
                              <w:widowControl/>
                            </w:pPr>
                            <w:r w:rsidRPr="005C7FB0">
                              <w:t xml:space="preserve">Report from the </w:t>
                            </w:r>
                            <w:r>
                              <w:t xml:space="preserve">Diagnostic Medicine </w:t>
                            </w:r>
                            <w:r w:rsidRPr="005C7FB0">
                              <w:t>Clinical Committee</w:t>
                            </w:r>
                          </w:p>
                          <w:p w14:paraId="1884CB19" w14:textId="6E060E4F" w:rsidR="00FC654A" w:rsidRDefault="005670CF" w:rsidP="005670CF">
                            <w:pPr>
                              <w:pStyle w:val="Coverdate"/>
                              <w:keepNext w:val="0"/>
                              <w:widowControl/>
                              <w:tabs>
                                <w:tab w:val="center" w:pos="4156"/>
                              </w:tabs>
                              <w:spacing w:before="120" w:after="120" w:line="240" w:lineRule="auto"/>
                            </w:pPr>
                            <w: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38BF9"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34F2A83D" w14:textId="77777777" w:rsidR="00FC654A" w:rsidRPr="005C7FB0" w:rsidRDefault="00FC654A"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2CEE8C" w14:textId="77777777" w:rsidR="00FC654A" w:rsidRPr="005C7FB0" w:rsidRDefault="00FC654A" w:rsidP="005670CF">
                      <w:pPr>
                        <w:pStyle w:val="CoverH1Green"/>
                        <w:keepNext w:val="0"/>
                        <w:widowControl/>
                      </w:pPr>
                      <w:r w:rsidRPr="005C7FB0">
                        <w:t xml:space="preserve">Report from the </w:t>
                      </w:r>
                      <w:r>
                        <w:t xml:space="preserve">Diagnostic Medicine </w:t>
                      </w:r>
                      <w:r w:rsidRPr="005C7FB0">
                        <w:t>Clinical Committee</w:t>
                      </w:r>
                    </w:p>
                    <w:p w14:paraId="1884CB19" w14:textId="6E060E4F" w:rsidR="00FC654A" w:rsidRDefault="005670CF" w:rsidP="005670CF">
                      <w:pPr>
                        <w:pStyle w:val="Coverdate"/>
                        <w:keepNext w:val="0"/>
                        <w:widowControl/>
                        <w:tabs>
                          <w:tab w:val="center" w:pos="4156"/>
                        </w:tabs>
                        <w:spacing w:before="120" w:after="120" w:line="240" w:lineRule="auto"/>
                      </w:pPr>
                      <w:r>
                        <w:t>2018</w:t>
                      </w:r>
                    </w:p>
                  </w:txbxContent>
                </v:textbox>
                <w10:wrap type="square" anchorx="margin" anchory="page"/>
              </v:shape>
            </w:pict>
          </mc:Fallback>
        </mc:AlternateContent>
      </w:r>
      <w:r w:rsidR="008A49F1" w:rsidRPr="005670CF">
        <w:br w:type="page"/>
      </w:r>
    </w:p>
    <w:p w14:paraId="4D676B73" w14:textId="77777777" w:rsidR="009B4B96" w:rsidRPr="00854013" w:rsidRDefault="009B4B96" w:rsidP="00684AA4">
      <w:pPr>
        <w:pStyle w:val="Footer"/>
        <w:rPr>
          <w:lang w:val="en-GB"/>
        </w:rPr>
        <w:sectPr w:rsidR="009B4B96" w:rsidRPr="00854013"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1391F78B" w14:textId="77777777" w:rsidR="00D67260" w:rsidRPr="00854013" w:rsidRDefault="00D67260" w:rsidP="00D67260">
      <w:pPr>
        <w:spacing w:before="0" w:after="0" w:line="240" w:lineRule="auto"/>
        <w:rPr>
          <w:rFonts w:ascii="Calibri" w:hAnsi="Calibri" w:cs="Arial"/>
          <w:b/>
          <w:bCs/>
          <w:color w:val="01653F"/>
          <w:sz w:val="32"/>
          <w:szCs w:val="28"/>
        </w:rPr>
      </w:pPr>
    </w:p>
    <w:tbl>
      <w:tblPr>
        <w:tblStyle w:val="TableGrid"/>
        <w:tblW w:w="9356" w:type="dxa"/>
        <w:tblInd w:w="-612" w:type="dxa"/>
        <w:tblBorders>
          <w:top w:val="single" w:sz="36" w:space="0" w:color="01653F"/>
          <w:left w:val="single" w:sz="36" w:space="0" w:color="01653F"/>
          <w:bottom w:val="single" w:sz="36" w:space="0" w:color="01653F"/>
          <w:right w:val="single" w:sz="36" w:space="0" w:color="01653F"/>
          <w:insideH w:val="single" w:sz="36" w:space="0" w:color="01653F"/>
          <w:insideV w:val="single" w:sz="36" w:space="0" w:color="01653F"/>
        </w:tblBorders>
        <w:tblLook w:val="04A0" w:firstRow="1" w:lastRow="0" w:firstColumn="1" w:lastColumn="0" w:noHBand="0" w:noVBand="1"/>
        <w:tblCaption w:val="IMPORTANT NOTES "/>
        <w:tblDescription w:val="• This report does not constitute the final position on these items, which is subject to:&#10;• consideration by the Minister for Health, and&#10;• the Government.&#10;• The views and recommendations in this report originated from the clinical committee. Following consultation with stakeholders, the clinical committee made amendments and presented this report to the MBS Review Taskforce for its consideration. &#10;• Any eliminations, amendments or commentary from the MBS Review Taskforce are noted in boxed comments in the body of the report:&#10;"/>
      </w:tblPr>
      <w:tblGrid>
        <w:gridCol w:w="9356"/>
      </w:tblGrid>
      <w:tr w:rsidR="00B0749B" w14:paraId="70E2F139" w14:textId="77777777" w:rsidTr="00B01BAF">
        <w:trPr>
          <w:tblHeader/>
        </w:trPr>
        <w:tc>
          <w:tcPr>
            <w:tcW w:w="9356" w:type="dxa"/>
            <w:tcBorders>
              <w:top w:val="single" w:sz="36" w:space="0" w:color="01653F"/>
              <w:left w:val="single" w:sz="36" w:space="0" w:color="01653F"/>
              <w:bottom w:val="single" w:sz="36" w:space="0" w:color="01653F"/>
              <w:right w:val="single" w:sz="36" w:space="0" w:color="01653F"/>
            </w:tcBorders>
            <w:hideMark/>
          </w:tcPr>
          <w:p w14:paraId="1E9D2709" w14:textId="77777777" w:rsidR="00B0749B" w:rsidRPr="00303977" w:rsidRDefault="00B0749B" w:rsidP="00B0749B">
            <w:pPr>
              <w:spacing w:before="240" w:after="240"/>
              <w:ind w:left="57" w:right="57"/>
              <w:jc w:val="center"/>
              <w:rPr>
                <w:rFonts w:eastAsiaTheme="minorHAnsi"/>
                <w:b/>
                <w:caps/>
                <w:color w:val="01653F"/>
                <w:spacing w:val="20"/>
                <w:sz w:val="36"/>
                <w:lang w:val="en-GB"/>
              </w:rPr>
            </w:pPr>
            <w:r w:rsidRPr="00303977">
              <w:rPr>
                <w:b/>
                <w:caps/>
                <w:color w:val="01653F"/>
                <w:spacing w:val="20"/>
                <w:sz w:val="36"/>
                <w:lang w:val="en-GB"/>
              </w:rPr>
              <w:t>Important notes</w:t>
            </w:r>
          </w:p>
          <w:p w14:paraId="0DEF3B0C" w14:textId="77777777" w:rsidR="00B0749B" w:rsidRPr="007F059F" w:rsidRDefault="00B0749B" w:rsidP="002818C3">
            <w:pPr>
              <w:numPr>
                <w:ilvl w:val="0"/>
                <w:numId w:val="117"/>
              </w:numPr>
              <w:tabs>
                <w:tab w:val="clear" w:pos="357"/>
                <w:tab w:val="num" w:pos="559"/>
              </w:tabs>
              <w:spacing w:before="0" w:after="180" w:line="240" w:lineRule="auto"/>
              <w:ind w:left="510" w:right="57" w:hanging="397"/>
              <w:rPr>
                <w:szCs w:val="22"/>
                <w:lang w:val="en-GB"/>
              </w:rPr>
            </w:pPr>
            <w:r w:rsidRPr="007F059F">
              <w:rPr>
                <w:szCs w:val="22"/>
                <w:lang w:val="en-GB"/>
              </w:rPr>
              <w:t>This report does not constitute the final position on these items, which is subject to:</w:t>
            </w:r>
          </w:p>
          <w:p w14:paraId="2DB8E65F" w14:textId="77777777" w:rsidR="00B0749B" w:rsidRPr="007F059F" w:rsidRDefault="00B0749B" w:rsidP="002818C3">
            <w:pPr>
              <w:numPr>
                <w:ilvl w:val="0"/>
                <w:numId w:val="118"/>
              </w:numPr>
              <w:tabs>
                <w:tab w:val="clear" w:pos="714"/>
                <w:tab w:val="num" w:pos="1126"/>
              </w:tabs>
              <w:spacing w:before="0" w:after="180" w:line="240" w:lineRule="auto"/>
              <w:ind w:left="924"/>
              <w:rPr>
                <w:szCs w:val="22"/>
                <w:lang w:val="en-GB"/>
              </w:rPr>
            </w:pPr>
            <w:r>
              <w:rPr>
                <w:szCs w:val="22"/>
                <w:lang w:val="en-GB"/>
              </w:rPr>
              <w:t>c</w:t>
            </w:r>
            <w:r w:rsidRPr="007F059F">
              <w:rPr>
                <w:szCs w:val="22"/>
                <w:lang w:val="en-GB"/>
              </w:rPr>
              <w:t>onsideration by the Minister for Health, and</w:t>
            </w:r>
          </w:p>
          <w:p w14:paraId="296A8808" w14:textId="77777777" w:rsidR="00B0749B" w:rsidRPr="007F059F" w:rsidRDefault="00B0749B" w:rsidP="002818C3">
            <w:pPr>
              <w:numPr>
                <w:ilvl w:val="0"/>
                <w:numId w:val="118"/>
              </w:numPr>
              <w:tabs>
                <w:tab w:val="clear" w:pos="714"/>
                <w:tab w:val="num" w:pos="1126"/>
              </w:tabs>
              <w:spacing w:before="0" w:after="180" w:line="240" w:lineRule="auto"/>
              <w:ind w:left="924"/>
              <w:rPr>
                <w:szCs w:val="22"/>
                <w:lang w:val="en-GB"/>
              </w:rPr>
            </w:pPr>
            <w:r w:rsidRPr="007F059F">
              <w:rPr>
                <w:szCs w:val="22"/>
                <w:lang w:val="en-GB"/>
              </w:rPr>
              <w:t>the Government.</w:t>
            </w:r>
          </w:p>
          <w:p w14:paraId="76F15340" w14:textId="77777777" w:rsidR="00B0749B" w:rsidRPr="00455D78" w:rsidRDefault="00B0749B" w:rsidP="002818C3">
            <w:pPr>
              <w:numPr>
                <w:ilvl w:val="0"/>
                <w:numId w:val="117"/>
              </w:numPr>
              <w:tabs>
                <w:tab w:val="clear" w:pos="357"/>
                <w:tab w:val="num" w:pos="559"/>
              </w:tabs>
              <w:spacing w:before="0" w:after="180" w:line="240" w:lineRule="auto"/>
              <w:ind w:left="510" w:right="57" w:hanging="397"/>
              <w:rPr>
                <w:szCs w:val="22"/>
                <w:lang w:val="en-GB"/>
              </w:rPr>
            </w:pPr>
            <w:r w:rsidRPr="00455D78">
              <w:rPr>
                <w:szCs w:val="22"/>
                <w:lang w:val="en-GB"/>
              </w:rPr>
              <w:t xml:space="preserve">The views and recommendations in this report originated from the clinical committee. Following consultation with stakeholders, the clinical committee made amendments and presented this report to the MBS Review Taskforce for its consideration. </w:t>
            </w:r>
          </w:p>
          <w:p w14:paraId="2313AEDF" w14:textId="77777777" w:rsidR="00B0749B" w:rsidRPr="00455D78" w:rsidRDefault="00B0749B" w:rsidP="002818C3">
            <w:pPr>
              <w:numPr>
                <w:ilvl w:val="0"/>
                <w:numId w:val="117"/>
              </w:numPr>
              <w:tabs>
                <w:tab w:val="clear" w:pos="357"/>
                <w:tab w:val="num" w:pos="559"/>
              </w:tabs>
              <w:spacing w:before="0" w:after="180" w:line="240" w:lineRule="auto"/>
              <w:ind w:left="510" w:right="57" w:hanging="397"/>
              <w:rPr>
                <w:szCs w:val="22"/>
                <w:lang w:val="en-GB"/>
              </w:rPr>
            </w:pPr>
            <w:r w:rsidRPr="00455D78">
              <w:rPr>
                <w:szCs w:val="22"/>
                <w:lang w:val="en-GB"/>
              </w:rPr>
              <w:t>Any eliminations, amendments or commentary from the MBS Review Taskforce are noted in boxed comments in the body of the report:</w:t>
            </w:r>
          </w:p>
          <w:tbl>
            <w:tblPr>
              <w:tblStyle w:val="TableGrid"/>
              <w:tblW w:w="0" w:type="auto"/>
              <w:tblInd w:w="274" w:type="dxa"/>
              <w:shd w:val="clear" w:color="auto" w:fill="E6EED6"/>
              <w:tblLook w:val="04A0" w:firstRow="1" w:lastRow="0" w:firstColumn="1" w:lastColumn="0" w:noHBand="0" w:noVBand="1"/>
              <w:tblCaption w:val="Example of Taskforce comment box"/>
              <w:tblDescription w:val="This box contains the recommendation number with the Taskforce's advice and rationale behind their decision."/>
            </w:tblPr>
            <w:tblGrid>
              <w:gridCol w:w="8522"/>
            </w:tblGrid>
            <w:tr w:rsidR="00B0749B" w14:paraId="1C3BD395" w14:textId="77777777" w:rsidTr="00B01BAF">
              <w:trPr>
                <w:tblHeader/>
              </w:trPr>
              <w:tc>
                <w:tcPr>
                  <w:tcW w:w="8522" w:type="dxa"/>
                  <w:tcBorders>
                    <w:top w:val="single" w:sz="12" w:space="0" w:color="01653F"/>
                    <w:left w:val="single" w:sz="12" w:space="0" w:color="01653F"/>
                    <w:bottom w:val="single" w:sz="12" w:space="0" w:color="01653F"/>
                    <w:right w:val="single" w:sz="12" w:space="0" w:color="01653F"/>
                  </w:tcBorders>
                  <w:shd w:val="clear" w:color="auto" w:fill="E6EED6"/>
                  <w:hideMark/>
                </w:tcPr>
                <w:p w14:paraId="452854CA" w14:textId="77777777" w:rsidR="00B0749B" w:rsidRPr="00B0749B" w:rsidRDefault="00B0749B" w:rsidP="00B0749B">
                  <w:pPr>
                    <w:pStyle w:val="Heading7"/>
                    <w:rPr>
                      <w:b/>
                      <w:i w:val="0"/>
                    </w:rPr>
                  </w:pPr>
                  <w:r w:rsidRPr="00B0749B">
                    <w:rPr>
                      <w:b/>
                      <w:i w:val="0"/>
                    </w:rPr>
                    <w:t>[Group] Recommendation [#] – Taskforce’s Advice</w:t>
                  </w:r>
                </w:p>
                <w:p w14:paraId="37499091" w14:textId="77777777" w:rsidR="00B0749B" w:rsidRPr="00455D78" w:rsidRDefault="00B0749B" w:rsidP="00B0749B">
                  <w:pPr>
                    <w:pStyle w:val="BoxNormal"/>
                  </w:pPr>
                  <w:r w:rsidRPr="00455D78">
                    <w:t>[The Taskforce’s rationale behind their decision.]</w:t>
                  </w:r>
                </w:p>
              </w:tc>
            </w:tr>
          </w:tbl>
          <w:p w14:paraId="3E30CADA" w14:textId="22AD83DA" w:rsidR="00B0749B" w:rsidRDefault="00B0749B" w:rsidP="00B0749B">
            <w:pPr>
              <w:rPr>
                <w:rFonts w:eastAsiaTheme="minorHAnsi"/>
                <w:lang w:val="en-GB"/>
              </w:rPr>
            </w:pPr>
          </w:p>
        </w:tc>
      </w:tr>
    </w:tbl>
    <w:p w14:paraId="13F68C3C" w14:textId="77777777" w:rsidR="00C86F3D" w:rsidRPr="005670CF" w:rsidRDefault="00C86F3D" w:rsidP="005670CF">
      <w:r w:rsidRPr="005670CF">
        <w:br w:type="page"/>
      </w:r>
    </w:p>
    <w:p w14:paraId="746E84F4" w14:textId="77777777" w:rsidR="00B33B7A" w:rsidRDefault="00B33B7A" w:rsidP="00B33B7A">
      <w:pPr>
        <w:pStyle w:val="Header1"/>
      </w:pPr>
      <w:r>
        <w:lastRenderedPageBreak/>
        <w:t>Table of Contents</w:t>
      </w:r>
    </w:p>
    <w:p w14:paraId="4EEF7675" w14:textId="46BD9705" w:rsidR="009B42B8" w:rsidRDefault="00C86F3D" w:rsidP="00D20CCE">
      <w:pPr>
        <w:pStyle w:val="TOC1"/>
        <w:rPr>
          <w:rFonts w:eastAsiaTheme="minorEastAsia" w:cstheme="minorBidi"/>
          <w:noProof/>
          <w:sz w:val="22"/>
          <w:szCs w:val="22"/>
        </w:rPr>
      </w:pPr>
      <w:r>
        <w:rPr>
          <w:rFonts w:cs="Arial"/>
        </w:rPr>
        <w:fldChar w:fldCharType="begin"/>
      </w:r>
      <w:r>
        <w:rPr>
          <w:rFonts w:cs="Arial"/>
        </w:rPr>
        <w:instrText xml:space="preserve"> TOC \o "1-3" \h \z \u </w:instrText>
      </w:r>
      <w:r>
        <w:rPr>
          <w:rFonts w:cs="Arial"/>
        </w:rPr>
        <w:fldChar w:fldCharType="separate"/>
      </w:r>
      <w:hyperlink w:anchor="_Toc525816029" w:history="1">
        <w:r w:rsidR="009B42B8" w:rsidRPr="00AD712E">
          <w:rPr>
            <w:rStyle w:val="Hyperlink"/>
            <w:noProof/>
          </w:rPr>
          <w:t>1.</w:t>
        </w:r>
        <w:r w:rsidR="009B42B8">
          <w:rPr>
            <w:rFonts w:eastAsiaTheme="minorEastAsia" w:cstheme="minorBidi"/>
            <w:noProof/>
            <w:sz w:val="22"/>
            <w:szCs w:val="22"/>
          </w:rPr>
          <w:tab/>
        </w:r>
        <w:r w:rsidR="009B42B8" w:rsidRPr="00AD712E">
          <w:rPr>
            <w:rStyle w:val="Hyperlink"/>
            <w:noProof/>
          </w:rPr>
          <w:t>Executive summary</w:t>
        </w:r>
        <w:r w:rsidR="009B42B8">
          <w:rPr>
            <w:noProof/>
            <w:webHidden/>
          </w:rPr>
          <w:tab/>
        </w:r>
        <w:r w:rsidR="009B42B8">
          <w:rPr>
            <w:noProof/>
            <w:webHidden/>
          </w:rPr>
          <w:fldChar w:fldCharType="begin"/>
        </w:r>
        <w:r w:rsidR="009B42B8">
          <w:rPr>
            <w:noProof/>
            <w:webHidden/>
          </w:rPr>
          <w:instrText xml:space="preserve"> PAGEREF _Toc525816029 \h </w:instrText>
        </w:r>
        <w:r w:rsidR="009B42B8">
          <w:rPr>
            <w:noProof/>
            <w:webHidden/>
          </w:rPr>
        </w:r>
        <w:r w:rsidR="009B42B8">
          <w:rPr>
            <w:noProof/>
            <w:webHidden/>
          </w:rPr>
          <w:fldChar w:fldCharType="separate"/>
        </w:r>
        <w:r w:rsidR="00985650">
          <w:rPr>
            <w:noProof/>
            <w:webHidden/>
          </w:rPr>
          <w:t>8</w:t>
        </w:r>
        <w:r w:rsidR="009B42B8">
          <w:rPr>
            <w:noProof/>
            <w:webHidden/>
          </w:rPr>
          <w:fldChar w:fldCharType="end"/>
        </w:r>
      </w:hyperlink>
    </w:p>
    <w:p w14:paraId="53A03D0C" w14:textId="1E34B8F3" w:rsidR="009B42B8" w:rsidRDefault="00041F25">
      <w:pPr>
        <w:pStyle w:val="TOC2"/>
        <w:tabs>
          <w:tab w:val="left" w:pos="880"/>
          <w:tab w:val="right" w:leader="dot" w:pos="8302"/>
        </w:tabs>
        <w:rPr>
          <w:rFonts w:eastAsiaTheme="minorEastAsia" w:cstheme="minorBidi"/>
          <w:b w:val="0"/>
          <w:bCs w:val="0"/>
          <w:noProof/>
        </w:rPr>
      </w:pPr>
      <w:hyperlink w:anchor="_Toc525816030" w:history="1">
        <w:r w:rsidR="009B42B8" w:rsidRPr="00AD712E">
          <w:rPr>
            <w:rStyle w:val="Hyperlink"/>
            <w:noProof/>
            <w14:scene3d>
              <w14:camera w14:prst="orthographicFront"/>
              <w14:lightRig w14:rig="threePt" w14:dir="t">
                <w14:rot w14:lat="0" w14:lon="0" w14:rev="0"/>
              </w14:lightRig>
            </w14:scene3d>
          </w:rPr>
          <w:t>1.1</w:t>
        </w:r>
        <w:r w:rsidR="009B42B8">
          <w:rPr>
            <w:rFonts w:eastAsiaTheme="minorEastAsia" w:cstheme="minorBidi"/>
            <w:b w:val="0"/>
            <w:bCs w:val="0"/>
            <w:noProof/>
          </w:rPr>
          <w:tab/>
        </w:r>
        <w:r w:rsidR="009B42B8" w:rsidRPr="00AD712E">
          <w:rPr>
            <w:rStyle w:val="Hyperlink"/>
            <w:noProof/>
          </w:rPr>
          <w:t>Mechanisms for better requesting of diagnostic tests</w:t>
        </w:r>
        <w:r w:rsidR="009B42B8">
          <w:rPr>
            <w:noProof/>
            <w:webHidden/>
          </w:rPr>
          <w:tab/>
        </w:r>
        <w:r w:rsidR="009B42B8">
          <w:rPr>
            <w:noProof/>
            <w:webHidden/>
          </w:rPr>
          <w:fldChar w:fldCharType="begin"/>
        </w:r>
        <w:r w:rsidR="009B42B8">
          <w:rPr>
            <w:noProof/>
            <w:webHidden/>
          </w:rPr>
          <w:instrText xml:space="preserve"> PAGEREF _Toc525816030 \h </w:instrText>
        </w:r>
        <w:r w:rsidR="009B42B8">
          <w:rPr>
            <w:noProof/>
            <w:webHidden/>
          </w:rPr>
        </w:r>
        <w:r w:rsidR="009B42B8">
          <w:rPr>
            <w:noProof/>
            <w:webHidden/>
          </w:rPr>
          <w:fldChar w:fldCharType="separate"/>
        </w:r>
        <w:r w:rsidR="00985650">
          <w:rPr>
            <w:noProof/>
            <w:webHidden/>
          </w:rPr>
          <w:t>8</w:t>
        </w:r>
        <w:r w:rsidR="009B42B8">
          <w:rPr>
            <w:noProof/>
            <w:webHidden/>
          </w:rPr>
          <w:fldChar w:fldCharType="end"/>
        </w:r>
      </w:hyperlink>
    </w:p>
    <w:p w14:paraId="4552C755" w14:textId="343D9FBF" w:rsidR="009B42B8" w:rsidRDefault="00041F25">
      <w:pPr>
        <w:pStyle w:val="TOC2"/>
        <w:tabs>
          <w:tab w:val="left" w:pos="880"/>
          <w:tab w:val="right" w:leader="dot" w:pos="8302"/>
        </w:tabs>
        <w:rPr>
          <w:rFonts w:eastAsiaTheme="minorEastAsia" w:cstheme="minorBidi"/>
          <w:b w:val="0"/>
          <w:bCs w:val="0"/>
          <w:noProof/>
        </w:rPr>
      </w:pPr>
      <w:hyperlink w:anchor="_Toc525816031" w:history="1">
        <w:r w:rsidR="009B42B8" w:rsidRPr="00AD712E">
          <w:rPr>
            <w:rStyle w:val="Hyperlink"/>
            <w:noProof/>
            <w14:scene3d>
              <w14:camera w14:prst="orthographicFront"/>
              <w14:lightRig w14:rig="threePt" w14:dir="t">
                <w14:rot w14:lat="0" w14:lon="0" w14:rev="0"/>
              </w14:lightRig>
            </w14:scene3d>
          </w:rPr>
          <w:t>1.2</w:t>
        </w:r>
        <w:r w:rsidR="009B42B8">
          <w:rPr>
            <w:rFonts w:eastAsiaTheme="minorEastAsia" w:cstheme="minorBidi"/>
            <w:b w:val="0"/>
            <w:bCs w:val="0"/>
            <w:noProof/>
          </w:rPr>
          <w:tab/>
        </w:r>
        <w:r w:rsidR="009B42B8" w:rsidRPr="00AD712E">
          <w:rPr>
            <w:rStyle w:val="Hyperlink"/>
            <w:noProof/>
          </w:rPr>
          <w:t>Item-level recommendations</w:t>
        </w:r>
        <w:r w:rsidR="009B42B8">
          <w:rPr>
            <w:noProof/>
            <w:webHidden/>
          </w:rPr>
          <w:tab/>
        </w:r>
        <w:r w:rsidR="009B42B8">
          <w:rPr>
            <w:noProof/>
            <w:webHidden/>
          </w:rPr>
          <w:fldChar w:fldCharType="begin"/>
        </w:r>
        <w:r w:rsidR="009B42B8">
          <w:rPr>
            <w:noProof/>
            <w:webHidden/>
          </w:rPr>
          <w:instrText xml:space="preserve"> PAGEREF _Toc525816031 \h </w:instrText>
        </w:r>
        <w:r w:rsidR="009B42B8">
          <w:rPr>
            <w:noProof/>
            <w:webHidden/>
          </w:rPr>
        </w:r>
        <w:r w:rsidR="009B42B8">
          <w:rPr>
            <w:noProof/>
            <w:webHidden/>
          </w:rPr>
          <w:fldChar w:fldCharType="separate"/>
        </w:r>
        <w:r w:rsidR="00985650">
          <w:rPr>
            <w:noProof/>
            <w:webHidden/>
          </w:rPr>
          <w:t>9</w:t>
        </w:r>
        <w:r w:rsidR="009B42B8">
          <w:rPr>
            <w:noProof/>
            <w:webHidden/>
          </w:rPr>
          <w:fldChar w:fldCharType="end"/>
        </w:r>
      </w:hyperlink>
    </w:p>
    <w:p w14:paraId="13B5D6C8" w14:textId="46120109" w:rsidR="009B42B8" w:rsidRDefault="00041F25">
      <w:pPr>
        <w:pStyle w:val="TOC3"/>
        <w:tabs>
          <w:tab w:val="left" w:pos="1100"/>
          <w:tab w:val="right" w:leader="dot" w:pos="8302"/>
        </w:tabs>
        <w:rPr>
          <w:rFonts w:eastAsiaTheme="minorEastAsia" w:cstheme="minorBidi"/>
          <w:noProof/>
          <w:sz w:val="22"/>
          <w:szCs w:val="22"/>
        </w:rPr>
      </w:pPr>
      <w:hyperlink w:anchor="_Toc525816032" w:history="1">
        <w:r w:rsidR="009B42B8" w:rsidRPr="00AD712E">
          <w:rPr>
            <w:rStyle w:val="Hyperlink"/>
            <w:noProof/>
          </w:rPr>
          <w:t>1.2.1</w:t>
        </w:r>
        <w:r w:rsidR="009B42B8">
          <w:rPr>
            <w:rFonts w:eastAsiaTheme="minorEastAsia" w:cstheme="minorBidi"/>
            <w:noProof/>
            <w:sz w:val="22"/>
            <w:szCs w:val="22"/>
          </w:rPr>
          <w:tab/>
        </w:r>
        <w:r w:rsidR="009B42B8" w:rsidRPr="00AD712E">
          <w:rPr>
            <w:rStyle w:val="Hyperlink"/>
            <w:noProof/>
          </w:rPr>
          <w:t>Vitamin B12 items</w:t>
        </w:r>
        <w:r w:rsidR="009B42B8">
          <w:rPr>
            <w:noProof/>
            <w:webHidden/>
          </w:rPr>
          <w:tab/>
        </w:r>
        <w:r w:rsidR="009B42B8">
          <w:rPr>
            <w:noProof/>
            <w:webHidden/>
          </w:rPr>
          <w:fldChar w:fldCharType="begin"/>
        </w:r>
        <w:r w:rsidR="009B42B8">
          <w:rPr>
            <w:noProof/>
            <w:webHidden/>
          </w:rPr>
          <w:instrText xml:space="preserve"> PAGEREF _Toc525816032 \h </w:instrText>
        </w:r>
        <w:r w:rsidR="009B42B8">
          <w:rPr>
            <w:noProof/>
            <w:webHidden/>
          </w:rPr>
        </w:r>
        <w:r w:rsidR="009B42B8">
          <w:rPr>
            <w:noProof/>
            <w:webHidden/>
          </w:rPr>
          <w:fldChar w:fldCharType="separate"/>
        </w:r>
        <w:r w:rsidR="00985650">
          <w:rPr>
            <w:noProof/>
            <w:webHidden/>
          </w:rPr>
          <w:t>9</w:t>
        </w:r>
        <w:r w:rsidR="009B42B8">
          <w:rPr>
            <w:noProof/>
            <w:webHidden/>
          </w:rPr>
          <w:fldChar w:fldCharType="end"/>
        </w:r>
      </w:hyperlink>
    </w:p>
    <w:p w14:paraId="41FD7466" w14:textId="1660EE3B" w:rsidR="009B42B8" w:rsidRDefault="00041F25">
      <w:pPr>
        <w:pStyle w:val="TOC3"/>
        <w:tabs>
          <w:tab w:val="left" w:pos="1100"/>
          <w:tab w:val="right" w:leader="dot" w:pos="8302"/>
        </w:tabs>
        <w:rPr>
          <w:rFonts w:eastAsiaTheme="minorEastAsia" w:cstheme="minorBidi"/>
          <w:noProof/>
          <w:sz w:val="22"/>
          <w:szCs w:val="22"/>
        </w:rPr>
      </w:pPr>
      <w:hyperlink w:anchor="_Toc525816033" w:history="1">
        <w:r w:rsidR="009B42B8" w:rsidRPr="00AD712E">
          <w:rPr>
            <w:rStyle w:val="Hyperlink"/>
            <w:noProof/>
          </w:rPr>
          <w:t>1.2.2</w:t>
        </w:r>
        <w:r w:rsidR="009B42B8">
          <w:rPr>
            <w:rFonts w:eastAsiaTheme="minorEastAsia" w:cstheme="minorBidi"/>
            <w:noProof/>
            <w:sz w:val="22"/>
            <w:szCs w:val="22"/>
          </w:rPr>
          <w:tab/>
        </w:r>
        <w:r w:rsidR="009B42B8" w:rsidRPr="00AD712E">
          <w:rPr>
            <w:rStyle w:val="Hyperlink"/>
            <w:noProof/>
          </w:rPr>
          <w:t>Iron studies items</w:t>
        </w:r>
        <w:r w:rsidR="009B42B8">
          <w:rPr>
            <w:noProof/>
            <w:webHidden/>
          </w:rPr>
          <w:tab/>
        </w:r>
        <w:r w:rsidR="009B42B8">
          <w:rPr>
            <w:noProof/>
            <w:webHidden/>
          </w:rPr>
          <w:fldChar w:fldCharType="begin"/>
        </w:r>
        <w:r w:rsidR="009B42B8">
          <w:rPr>
            <w:noProof/>
            <w:webHidden/>
          </w:rPr>
          <w:instrText xml:space="preserve"> PAGEREF _Toc525816033 \h </w:instrText>
        </w:r>
        <w:r w:rsidR="009B42B8">
          <w:rPr>
            <w:noProof/>
            <w:webHidden/>
          </w:rPr>
        </w:r>
        <w:r w:rsidR="009B42B8">
          <w:rPr>
            <w:noProof/>
            <w:webHidden/>
          </w:rPr>
          <w:fldChar w:fldCharType="separate"/>
        </w:r>
        <w:r w:rsidR="00985650">
          <w:rPr>
            <w:noProof/>
            <w:webHidden/>
          </w:rPr>
          <w:t>10</w:t>
        </w:r>
        <w:r w:rsidR="009B42B8">
          <w:rPr>
            <w:noProof/>
            <w:webHidden/>
          </w:rPr>
          <w:fldChar w:fldCharType="end"/>
        </w:r>
      </w:hyperlink>
    </w:p>
    <w:p w14:paraId="33673A4F" w14:textId="57C002C8" w:rsidR="009B42B8" w:rsidRDefault="00041F25">
      <w:pPr>
        <w:pStyle w:val="TOC3"/>
        <w:tabs>
          <w:tab w:val="left" w:pos="1100"/>
          <w:tab w:val="right" w:leader="dot" w:pos="8302"/>
        </w:tabs>
        <w:rPr>
          <w:rFonts w:eastAsiaTheme="minorEastAsia" w:cstheme="minorBidi"/>
          <w:noProof/>
          <w:sz w:val="22"/>
          <w:szCs w:val="22"/>
        </w:rPr>
      </w:pPr>
      <w:hyperlink w:anchor="_Toc525816034" w:history="1">
        <w:r w:rsidR="009B42B8" w:rsidRPr="00AD712E">
          <w:rPr>
            <w:rStyle w:val="Hyperlink"/>
            <w:noProof/>
          </w:rPr>
          <w:t>1.2.3</w:t>
        </w:r>
        <w:r w:rsidR="009B42B8">
          <w:rPr>
            <w:rFonts w:eastAsiaTheme="minorEastAsia" w:cstheme="minorBidi"/>
            <w:noProof/>
            <w:sz w:val="22"/>
            <w:szCs w:val="22"/>
          </w:rPr>
          <w:tab/>
        </w:r>
        <w:r w:rsidR="009B42B8" w:rsidRPr="00AD712E">
          <w:rPr>
            <w:rStyle w:val="Hyperlink"/>
            <w:noProof/>
          </w:rPr>
          <w:t>Folate testing</w:t>
        </w:r>
        <w:r w:rsidR="009B42B8">
          <w:rPr>
            <w:noProof/>
            <w:webHidden/>
          </w:rPr>
          <w:tab/>
        </w:r>
        <w:r w:rsidR="009B42B8">
          <w:rPr>
            <w:noProof/>
            <w:webHidden/>
          </w:rPr>
          <w:fldChar w:fldCharType="begin"/>
        </w:r>
        <w:r w:rsidR="009B42B8">
          <w:rPr>
            <w:noProof/>
            <w:webHidden/>
          </w:rPr>
          <w:instrText xml:space="preserve"> PAGEREF _Toc525816034 \h </w:instrText>
        </w:r>
        <w:r w:rsidR="009B42B8">
          <w:rPr>
            <w:noProof/>
            <w:webHidden/>
          </w:rPr>
        </w:r>
        <w:r w:rsidR="009B42B8">
          <w:rPr>
            <w:noProof/>
            <w:webHidden/>
          </w:rPr>
          <w:fldChar w:fldCharType="separate"/>
        </w:r>
        <w:r w:rsidR="00985650">
          <w:rPr>
            <w:noProof/>
            <w:webHidden/>
          </w:rPr>
          <w:t>10</w:t>
        </w:r>
        <w:r w:rsidR="009B42B8">
          <w:rPr>
            <w:noProof/>
            <w:webHidden/>
          </w:rPr>
          <w:fldChar w:fldCharType="end"/>
        </w:r>
      </w:hyperlink>
    </w:p>
    <w:p w14:paraId="1A34A698" w14:textId="7C269E02" w:rsidR="009B42B8" w:rsidRDefault="00041F25">
      <w:pPr>
        <w:pStyle w:val="TOC3"/>
        <w:tabs>
          <w:tab w:val="left" w:pos="1100"/>
          <w:tab w:val="right" w:leader="dot" w:pos="8302"/>
        </w:tabs>
        <w:rPr>
          <w:rFonts w:eastAsiaTheme="minorEastAsia" w:cstheme="minorBidi"/>
          <w:noProof/>
          <w:sz w:val="22"/>
          <w:szCs w:val="22"/>
        </w:rPr>
      </w:pPr>
      <w:hyperlink w:anchor="_Toc525816035" w:history="1">
        <w:r w:rsidR="009B42B8" w:rsidRPr="00AD712E">
          <w:rPr>
            <w:rStyle w:val="Hyperlink"/>
            <w:noProof/>
          </w:rPr>
          <w:t>1.2.4</w:t>
        </w:r>
        <w:r w:rsidR="009B42B8">
          <w:rPr>
            <w:rFonts w:eastAsiaTheme="minorEastAsia" w:cstheme="minorBidi"/>
            <w:noProof/>
            <w:sz w:val="22"/>
            <w:szCs w:val="22"/>
          </w:rPr>
          <w:tab/>
        </w:r>
        <w:r w:rsidR="009B42B8" w:rsidRPr="00AD712E">
          <w:rPr>
            <w:rStyle w:val="Hyperlink"/>
            <w:noProof/>
          </w:rPr>
          <w:t>Urine testing</w:t>
        </w:r>
        <w:r w:rsidR="009B42B8">
          <w:rPr>
            <w:noProof/>
            <w:webHidden/>
          </w:rPr>
          <w:tab/>
        </w:r>
        <w:r w:rsidR="009B42B8">
          <w:rPr>
            <w:noProof/>
            <w:webHidden/>
          </w:rPr>
          <w:fldChar w:fldCharType="begin"/>
        </w:r>
        <w:r w:rsidR="009B42B8">
          <w:rPr>
            <w:noProof/>
            <w:webHidden/>
          </w:rPr>
          <w:instrText xml:space="preserve"> PAGEREF _Toc525816035 \h </w:instrText>
        </w:r>
        <w:r w:rsidR="009B42B8">
          <w:rPr>
            <w:noProof/>
            <w:webHidden/>
          </w:rPr>
        </w:r>
        <w:r w:rsidR="009B42B8">
          <w:rPr>
            <w:noProof/>
            <w:webHidden/>
          </w:rPr>
          <w:fldChar w:fldCharType="separate"/>
        </w:r>
        <w:r w:rsidR="00985650">
          <w:rPr>
            <w:noProof/>
            <w:webHidden/>
          </w:rPr>
          <w:t>11</w:t>
        </w:r>
        <w:r w:rsidR="009B42B8">
          <w:rPr>
            <w:noProof/>
            <w:webHidden/>
          </w:rPr>
          <w:fldChar w:fldCharType="end"/>
        </w:r>
      </w:hyperlink>
    </w:p>
    <w:p w14:paraId="70E7CA0A" w14:textId="48929735" w:rsidR="009B42B8" w:rsidRDefault="00041F25">
      <w:pPr>
        <w:pStyle w:val="TOC3"/>
        <w:tabs>
          <w:tab w:val="left" w:pos="1100"/>
          <w:tab w:val="right" w:leader="dot" w:pos="8302"/>
        </w:tabs>
        <w:rPr>
          <w:rFonts w:eastAsiaTheme="minorEastAsia" w:cstheme="minorBidi"/>
          <w:noProof/>
          <w:sz w:val="22"/>
          <w:szCs w:val="22"/>
        </w:rPr>
      </w:pPr>
      <w:hyperlink w:anchor="_Toc525816036" w:history="1">
        <w:r w:rsidR="009B42B8" w:rsidRPr="00AD712E">
          <w:rPr>
            <w:rStyle w:val="Hyperlink"/>
            <w:noProof/>
          </w:rPr>
          <w:t>1.2.5</w:t>
        </w:r>
        <w:r w:rsidR="009B42B8">
          <w:rPr>
            <w:rFonts w:eastAsiaTheme="minorEastAsia" w:cstheme="minorBidi"/>
            <w:noProof/>
            <w:sz w:val="22"/>
            <w:szCs w:val="22"/>
          </w:rPr>
          <w:tab/>
        </w:r>
        <w:r w:rsidR="009B42B8" w:rsidRPr="00AD712E">
          <w:rPr>
            <w:rStyle w:val="Hyperlink"/>
            <w:noProof/>
          </w:rPr>
          <w:t>Vitamin D testing</w:t>
        </w:r>
        <w:r w:rsidR="009B42B8">
          <w:rPr>
            <w:noProof/>
            <w:webHidden/>
          </w:rPr>
          <w:tab/>
        </w:r>
        <w:r w:rsidR="009B42B8">
          <w:rPr>
            <w:noProof/>
            <w:webHidden/>
          </w:rPr>
          <w:fldChar w:fldCharType="begin"/>
        </w:r>
        <w:r w:rsidR="009B42B8">
          <w:rPr>
            <w:noProof/>
            <w:webHidden/>
          </w:rPr>
          <w:instrText xml:space="preserve"> PAGEREF _Toc525816036 \h </w:instrText>
        </w:r>
        <w:r w:rsidR="009B42B8">
          <w:rPr>
            <w:noProof/>
            <w:webHidden/>
          </w:rPr>
        </w:r>
        <w:r w:rsidR="009B42B8">
          <w:rPr>
            <w:noProof/>
            <w:webHidden/>
          </w:rPr>
          <w:fldChar w:fldCharType="separate"/>
        </w:r>
        <w:r w:rsidR="00985650">
          <w:rPr>
            <w:noProof/>
            <w:webHidden/>
          </w:rPr>
          <w:t>11</w:t>
        </w:r>
        <w:r w:rsidR="009B42B8">
          <w:rPr>
            <w:noProof/>
            <w:webHidden/>
          </w:rPr>
          <w:fldChar w:fldCharType="end"/>
        </w:r>
      </w:hyperlink>
    </w:p>
    <w:p w14:paraId="073EE403" w14:textId="63AA4B87" w:rsidR="009B42B8" w:rsidRDefault="00041F25">
      <w:pPr>
        <w:pStyle w:val="TOC3"/>
        <w:tabs>
          <w:tab w:val="left" w:pos="1100"/>
          <w:tab w:val="right" w:leader="dot" w:pos="8302"/>
        </w:tabs>
        <w:rPr>
          <w:rFonts w:eastAsiaTheme="minorEastAsia" w:cstheme="minorBidi"/>
          <w:noProof/>
          <w:sz w:val="22"/>
          <w:szCs w:val="22"/>
        </w:rPr>
      </w:pPr>
      <w:hyperlink w:anchor="_Toc525816037" w:history="1">
        <w:r w:rsidR="009B42B8" w:rsidRPr="00AD712E">
          <w:rPr>
            <w:rStyle w:val="Hyperlink"/>
            <w:noProof/>
          </w:rPr>
          <w:t>1.2.6</w:t>
        </w:r>
        <w:r w:rsidR="009B42B8">
          <w:rPr>
            <w:rFonts w:eastAsiaTheme="minorEastAsia" w:cstheme="minorBidi"/>
            <w:noProof/>
            <w:sz w:val="22"/>
            <w:szCs w:val="22"/>
          </w:rPr>
          <w:tab/>
        </w:r>
        <w:r w:rsidR="009B42B8" w:rsidRPr="00AD712E">
          <w:rPr>
            <w:rStyle w:val="Hyperlink"/>
            <w:noProof/>
          </w:rPr>
          <w:t>Prostate-specific antigen testing</w:t>
        </w:r>
        <w:r w:rsidR="009B42B8">
          <w:rPr>
            <w:noProof/>
            <w:webHidden/>
          </w:rPr>
          <w:tab/>
        </w:r>
        <w:r w:rsidR="009B42B8">
          <w:rPr>
            <w:noProof/>
            <w:webHidden/>
          </w:rPr>
          <w:fldChar w:fldCharType="begin"/>
        </w:r>
        <w:r w:rsidR="009B42B8">
          <w:rPr>
            <w:noProof/>
            <w:webHidden/>
          </w:rPr>
          <w:instrText xml:space="preserve"> PAGEREF _Toc525816037 \h </w:instrText>
        </w:r>
        <w:r w:rsidR="009B42B8">
          <w:rPr>
            <w:noProof/>
            <w:webHidden/>
          </w:rPr>
        </w:r>
        <w:r w:rsidR="009B42B8">
          <w:rPr>
            <w:noProof/>
            <w:webHidden/>
          </w:rPr>
          <w:fldChar w:fldCharType="separate"/>
        </w:r>
        <w:r w:rsidR="00985650">
          <w:rPr>
            <w:noProof/>
            <w:webHidden/>
          </w:rPr>
          <w:t>12</w:t>
        </w:r>
        <w:r w:rsidR="009B42B8">
          <w:rPr>
            <w:noProof/>
            <w:webHidden/>
          </w:rPr>
          <w:fldChar w:fldCharType="end"/>
        </w:r>
      </w:hyperlink>
    </w:p>
    <w:p w14:paraId="12BDFCAB" w14:textId="5357DC0F" w:rsidR="009B42B8" w:rsidRDefault="00041F25">
      <w:pPr>
        <w:pStyle w:val="TOC3"/>
        <w:tabs>
          <w:tab w:val="left" w:pos="1100"/>
          <w:tab w:val="right" w:leader="dot" w:pos="8302"/>
        </w:tabs>
        <w:rPr>
          <w:rFonts w:eastAsiaTheme="minorEastAsia" w:cstheme="minorBidi"/>
          <w:noProof/>
          <w:sz w:val="22"/>
          <w:szCs w:val="22"/>
        </w:rPr>
      </w:pPr>
      <w:hyperlink w:anchor="_Toc525816038" w:history="1">
        <w:r w:rsidR="009B42B8" w:rsidRPr="00AD712E">
          <w:rPr>
            <w:rStyle w:val="Hyperlink"/>
            <w:noProof/>
          </w:rPr>
          <w:t>1.2.7</w:t>
        </w:r>
        <w:r w:rsidR="009B42B8">
          <w:rPr>
            <w:rFonts w:eastAsiaTheme="minorEastAsia" w:cstheme="minorBidi"/>
            <w:noProof/>
            <w:sz w:val="22"/>
            <w:szCs w:val="22"/>
          </w:rPr>
          <w:tab/>
        </w:r>
        <w:r w:rsidR="009B42B8" w:rsidRPr="00AD712E">
          <w:rPr>
            <w:rStyle w:val="Hyperlink"/>
            <w:noProof/>
          </w:rPr>
          <w:t>Ankle/hind foot ultrasound</w:t>
        </w:r>
        <w:r w:rsidR="009B42B8">
          <w:rPr>
            <w:noProof/>
            <w:webHidden/>
          </w:rPr>
          <w:tab/>
        </w:r>
        <w:r w:rsidR="009B42B8">
          <w:rPr>
            <w:noProof/>
            <w:webHidden/>
          </w:rPr>
          <w:fldChar w:fldCharType="begin"/>
        </w:r>
        <w:r w:rsidR="009B42B8">
          <w:rPr>
            <w:noProof/>
            <w:webHidden/>
          </w:rPr>
          <w:instrText xml:space="preserve"> PAGEREF _Toc525816038 \h </w:instrText>
        </w:r>
        <w:r w:rsidR="009B42B8">
          <w:rPr>
            <w:noProof/>
            <w:webHidden/>
          </w:rPr>
        </w:r>
        <w:r w:rsidR="009B42B8">
          <w:rPr>
            <w:noProof/>
            <w:webHidden/>
          </w:rPr>
          <w:fldChar w:fldCharType="separate"/>
        </w:r>
        <w:r w:rsidR="00985650">
          <w:rPr>
            <w:noProof/>
            <w:webHidden/>
          </w:rPr>
          <w:t>12</w:t>
        </w:r>
        <w:r w:rsidR="009B42B8">
          <w:rPr>
            <w:noProof/>
            <w:webHidden/>
          </w:rPr>
          <w:fldChar w:fldCharType="end"/>
        </w:r>
      </w:hyperlink>
    </w:p>
    <w:p w14:paraId="1D92DABB" w14:textId="1FF3AB13" w:rsidR="009B42B8" w:rsidRDefault="00041F25">
      <w:pPr>
        <w:pStyle w:val="TOC3"/>
        <w:tabs>
          <w:tab w:val="left" w:pos="1100"/>
          <w:tab w:val="right" w:leader="dot" w:pos="8302"/>
        </w:tabs>
        <w:rPr>
          <w:rFonts w:eastAsiaTheme="minorEastAsia" w:cstheme="minorBidi"/>
          <w:noProof/>
          <w:sz w:val="22"/>
          <w:szCs w:val="22"/>
        </w:rPr>
      </w:pPr>
      <w:hyperlink w:anchor="_Toc525816039" w:history="1">
        <w:r w:rsidR="009B42B8" w:rsidRPr="00AD712E">
          <w:rPr>
            <w:rStyle w:val="Hyperlink"/>
            <w:noProof/>
          </w:rPr>
          <w:t>1.2.8</w:t>
        </w:r>
        <w:r w:rsidR="009B42B8">
          <w:rPr>
            <w:rFonts w:eastAsiaTheme="minorEastAsia" w:cstheme="minorBidi"/>
            <w:noProof/>
            <w:sz w:val="22"/>
            <w:szCs w:val="22"/>
          </w:rPr>
          <w:tab/>
        </w:r>
        <w:r w:rsidR="009B42B8" w:rsidRPr="00AD712E">
          <w:rPr>
            <w:rStyle w:val="Hyperlink"/>
            <w:noProof/>
          </w:rPr>
          <w:t>Shoulder ultrasound</w:t>
        </w:r>
        <w:r w:rsidR="009B42B8">
          <w:rPr>
            <w:noProof/>
            <w:webHidden/>
          </w:rPr>
          <w:tab/>
        </w:r>
        <w:r w:rsidR="009B42B8">
          <w:rPr>
            <w:noProof/>
            <w:webHidden/>
          </w:rPr>
          <w:fldChar w:fldCharType="begin"/>
        </w:r>
        <w:r w:rsidR="009B42B8">
          <w:rPr>
            <w:noProof/>
            <w:webHidden/>
          </w:rPr>
          <w:instrText xml:space="preserve"> PAGEREF _Toc525816039 \h </w:instrText>
        </w:r>
        <w:r w:rsidR="009B42B8">
          <w:rPr>
            <w:noProof/>
            <w:webHidden/>
          </w:rPr>
        </w:r>
        <w:r w:rsidR="009B42B8">
          <w:rPr>
            <w:noProof/>
            <w:webHidden/>
          </w:rPr>
          <w:fldChar w:fldCharType="separate"/>
        </w:r>
        <w:r w:rsidR="00985650">
          <w:rPr>
            <w:noProof/>
            <w:webHidden/>
          </w:rPr>
          <w:t>12</w:t>
        </w:r>
        <w:r w:rsidR="009B42B8">
          <w:rPr>
            <w:noProof/>
            <w:webHidden/>
          </w:rPr>
          <w:fldChar w:fldCharType="end"/>
        </w:r>
      </w:hyperlink>
    </w:p>
    <w:p w14:paraId="25DDEAA9" w14:textId="4EDFFC7F" w:rsidR="009B42B8" w:rsidRDefault="00041F25">
      <w:pPr>
        <w:pStyle w:val="TOC3"/>
        <w:tabs>
          <w:tab w:val="left" w:pos="1100"/>
          <w:tab w:val="right" w:leader="dot" w:pos="8302"/>
        </w:tabs>
        <w:rPr>
          <w:rFonts w:eastAsiaTheme="minorEastAsia" w:cstheme="minorBidi"/>
          <w:noProof/>
          <w:sz w:val="22"/>
          <w:szCs w:val="22"/>
        </w:rPr>
      </w:pPr>
      <w:hyperlink w:anchor="_Toc525816040" w:history="1">
        <w:r w:rsidR="009B42B8" w:rsidRPr="00AD712E">
          <w:rPr>
            <w:rStyle w:val="Hyperlink"/>
            <w:noProof/>
          </w:rPr>
          <w:t>1.2.9</w:t>
        </w:r>
        <w:r w:rsidR="009B42B8">
          <w:rPr>
            <w:rFonts w:eastAsiaTheme="minorEastAsia" w:cstheme="minorBidi"/>
            <w:noProof/>
            <w:sz w:val="22"/>
            <w:szCs w:val="22"/>
          </w:rPr>
          <w:tab/>
        </w:r>
        <w:r w:rsidR="009B42B8" w:rsidRPr="00AD712E">
          <w:rPr>
            <w:rStyle w:val="Hyperlink"/>
            <w:noProof/>
          </w:rPr>
          <w:t>Lower back imaging (CT and MRI)</w:t>
        </w:r>
        <w:r w:rsidR="009B42B8">
          <w:rPr>
            <w:noProof/>
            <w:webHidden/>
          </w:rPr>
          <w:tab/>
        </w:r>
        <w:r w:rsidR="009B42B8">
          <w:rPr>
            <w:noProof/>
            <w:webHidden/>
          </w:rPr>
          <w:fldChar w:fldCharType="begin"/>
        </w:r>
        <w:r w:rsidR="009B42B8">
          <w:rPr>
            <w:noProof/>
            <w:webHidden/>
          </w:rPr>
          <w:instrText xml:space="preserve"> PAGEREF _Toc525816040 \h </w:instrText>
        </w:r>
        <w:r w:rsidR="009B42B8">
          <w:rPr>
            <w:noProof/>
            <w:webHidden/>
          </w:rPr>
        </w:r>
        <w:r w:rsidR="009B42B8">
          <w:rPr>
            <w:noProof/>
            <w:webHidden/>
          </w:rPr>
          <w:fldChar w:fldCharType="separate"/>
        </w:r>
        <w:r w:rsidR="00985650">
          <w:rPr>
            <w:noProof/>
            <w:webHidden/>
          </w:rPr>
          <w:t>13</w:t>
        </w:r>
        <w:r w:rsidR="009B42B8">
          <w:rPr>
            <w:noProof/>
            <w:webHidden/>
          </w:rPr>
          <w:fldChar w:fldCharType="end"/>
        </w:r>
      </w:hyperlink>
    </w:p>
    <w:p w14:paraId="4D802E1C" w14:textId="00DF1872" w:rsidR="009B42B8" w:rsidRDefault="00041F25">
      <w:pPr>
        <w:pStyle w:val="TOC3"/>
        <w:tabs>
          <w:tab w:val="left" w:pos="1320"/>
          <w:tab w:val="right" w:leader="dot" w:pos="8302"/>
        </w:tabs>
        <w:rPr>
          <w:rFonts w:eastAsiaTheme="minorEastAsia" w:cstheme="minorBidi"/>
          <w:noProof/>
          <w:sz w:val="22"/>
          <w:szCs w:val="22"/>
        </w:rPr>
      </w:pPr>
      <w:hyperlink w:anchor="_Toc525816041" w:history="1">
        <w:r w:rsidR="009B42B8" w:rsidRPr="00AD712E">
          <w:rPr>
            <w:rStyle w:val="Hyperlink"/>
            <w:noProof/>
          </w:rPr>
          <w:t>1.2.10</w:t>
        </w:r>
        <w:r w:rsidR="0075092F">
          <w:rPr>
            <w:rFonts w:eastAsiaTheme="minorEastAsia" w:cstheme="minorBidi"/>
            <w:noProof/>
            <w:sz w:val="22"/>
            <w:szCs w:val="22"/>
          </w:rPr>
          <w:t xml:space="preserve">   </w:t>
        </w:r>
        <w:r w:rsidR="009B42B8" w:rsidRPr="00AD712E">
          <w:rPr>
            <w:rStyle w:val="Hyperlink"/>
            <w:noProof/>
          </w:rPr>
          <w:t>Head imaging (CT and MRI)</w:t>
        </w:r>
        <w:r w:rsidR="009B42B8">
          <w:rPr>
            <w:noProof/>
            <w:webHidden/>
          </w:rPr>
          <w:tab/>
        </w:r>
        <w:r w:rsidR="009B42B8">
          <w:rPr>
            <w:noProof/>
            <w:webHidden/>
          </w:rPr>
          <w:fldChar w:fldCharType="begin"/>
        </w:r>
        <w:r w:rsidR="009B42B8">
          <w:rPr>
            <w:noProof/>
            <w:webHidden/>
          </w:rPr>
          <w:instrText xml:space="preserve"> PAGEREF _Toc525816041 \h </w:instrText>
        </w:r>
        <w:r w:rsidR="009B42B8">
          <w:rPr>
            <w:noProof/>
            <w:webHidden/>
          </w:rPr>
        </w:r>
        <w:r w:rsidR="009B42B8">
          <w:rPr>
            <w:noProof/>
            <w:webHidden/>
          </w:rPr>
          <w:fldChar w:fldCharType="separate"/>
        </w:r>
        <w:r w:rsidR="00985650">
          <w:rPr>
            <w:noProof/>
            <w:webHidden/>
          </w:rPr>
          <w:t>13</w:t>
        </w:r>
        <w:r w:rsidR="009B42B8">
          <w:rPr>
            <w:noProof/>
            <w:webHidden/>
          </w:rPr>
          <w:fldChar w:fldCharType="end"/>
        </w:r>
      </w:hyperlink>
    </w:p>
    <w:p w14:paraId="4975C469" w14:textId="2984B6AD" w:rsidR="009B42B8" w:rsidRDefault="00041F25">
      <w:pPr>
        <w:pStyle w:val="TOC2"/>
        <w:tabs>
          <w:tab w:val="left" w:pos="880"/>
          <w:tab w:val="right" w:leader="dot" w:pos="8302"/>
        </w:tabs>
        <w:rPr>
          <w:rFonts w:eastAsiaTheme="minorEastAsia" w:cstheme="minorBidi"/>
          <w:b w:val="0"/>
          <w:bCs w:val="0"/>
          <w:noProof/>
        </w:rPr>
      </w:pPr>
      <w:hyperlink w:anchor="_Toc525816042" w:history="1">
        <w:r w:rsidR="009B42B8" w:rsidRPr="00AD712E">
          <w:rPr>
            <w:rStyle w:val="Hyperlink"/>
            <w:noProof/>
            <w14:scene3d>
              <w14:camera w14:prst="orthographicFront"/>
              <w14:lightRig w14:rig="threePt" w14:dir="t">
                <w14:rot w14:lat="0" w14:lon="0" w14:rev="0"/>
              </w14:lightRig>
            </w14:scene3d>
          </w:rPr>
          <w:t>1.3</w:t>
        </w:r>
        <w:r w:rsidR="009B42B8">
          <w:rPr>
            <w:rFonts w:eastAsiaTheme="minorEastAsia" w:cstheme="minorBidi"/>
            <w:b w:val="0"/>
            <w:bCs w:val="0"/>
            <w:noProof/>
          </w:rPr>
          <w:tab/>
        </w:r>
        <w:r w:rsidR="009B42B8" w:rsidRPr="00AD712E">
          <w:rPr>
            <w:rStyle w:val="Hyperlink"/>
            <w:noProof/>
          </w:rPr>
          <w:t>Non-item recommendations</w:t>
        </w:r>
        <w:r w:rsidR="009B42B8">
          <w:rPr>
            <w:noProof/>
            <w:webHidden/>
          </w:rPr>
          <w:tab/>
        </w:r>
        <w:r w:rsidR="009B42B8">
          <w:rPr>
            <w:noProof/>
            <w:webHidden/>
          </w:rPr>
          <w:fldChar w:fldCharType="begin"/>
        </w:r>
        <w:r w:rsidR="009B42B8">
          <w:rPr>
            <w:noProof/>
            <w:webHidden/>
          </w:rPr>
          <w:instrText xml:space="preserve"> PAGEREF _Toc525816042 \h </w:instrText>
        </w:r>
        <w:r w:rsidR="009B42B8">
          <w:rPr>
            <w:noProof/>
            <w:webHidden/>
          </w:rPr>
        </w:r>
        <w:r w:rsidR="009B42B8">
          <w:rPr>
            <w:noProof/>
            <w:webHidden/>
          </w:rPr>
          <w:fldChar w:fldCharType="separate"/>
        </w:r>
        <w:r w:rsidR="00985650">
          <w:rPr>
            <w:noProof/>
            <w:webHidden/>
          </w:rPr>
          <w:t>13</w:t>
        </w:r>
        <w:r w:rsidR="009B42B8">
          <w:rPr>
            <w:noProof/>
            <w:webHidden/>
          </w:rPr>
          <w:fldChar w:fldCharType="end"/>
        </w:r>
      </w:hyperlink>
    </w:p>
    <w:p w14:paraId="45FCBAA0" w14:textId="14293095" w:rsidR="009B42B8" w:rsidRDefault="00041F25">
      <w:pPr>
        <w:pStyle w:val="TOC2"/>
        <w:tabs>
          <w:tab w:val="left" w:pos="880"/>
          <w:tab w:val="right" w:leader="dot" w:pos="8302"/>
        </w:tabs>
        <w:rPr>
          <w:rFonts w:eastAsiaTheme="minorEastAsia" w:cstheme="minorBidi"/>
          <w:b w:val="0"/>
          <w:bCs w:val="0"/>
          <w:noProof/>
        </w:rPr>
      </w:pPr>
      <w:hyperlink w:anchor="_Toc525816043" w:history="1">
        <w:r w:rsidR="009B42B8" w:rsidRPr="00AD712E">
          <w:rPr>
            <w:rStyle w:val="Hyperlink"/>
            <w:noProof/>
            <w14:scene3d>
              <w14:camera w14:prst="orthographicFront"/>
              <w14:lightRig w14:rig="threePt" w14:dir="t">
                <w14:rot w14:lat="0" w14:lon="0" w14:rev="0"/>
              </w14:lightRig>
            </w14:scene3d>
          </w:rPr>
          <w:t>1.4</w:t>
        </w:r>
        <w:r w:rsidR="009B42B8">
          <w:rPr>
            <w:rFonts w:eastAsiaTheme="minorEastAsia" w:cstheme="minorBidi"/>
            <w:b w:val="0"/>
            <w:bCs w:val="0"/>
            <w:noProof/>
          </w:rPr>
          <w:tab/>
        </w:r>
        <w:r w:rsidR="009B42B8" w:rsidRPr="00AD712E">
          <w:rPr>
            <w:rStyle w:val="Hyperlink"/>
            <w:noProof/>
          </w:rPr>
          <w:t>Consumer engagement and impact</w:t>
        </w:r>
        <w:r w:rsidR="009B42B8">
          <w:rPr>
            <w:noProof/>
            <w:webHidden/>
          </w:rPr>
          <w:tab/>
        </w:r>
        <w:r w:rsidR="009B42B8">
          <w:rPr>
            <w:noProof/>
            <w:webHidden/>
          </w:rPr>
          <w:fldChar w:fldCharType="begin"/>
        </w:r>
        <w:r w:rsidR="009B42B8">
          <w:rPr>
            <w:noProof/>
            <w:webHidden/>
          </w:rPr>
          <w:instrText xml:space="preserve"> PAGEREF _Toc525816043 \h </w:instrText>
        </w:r>
        <w:r w:rsidR="009B42B8">
          <w:rPr>
            <w:noProof/>
            <w:webHidden/>
          </w:rPr>
        </w:r>
        <w:r w:rsidR="009B42B8">
          <w:rPr>
            <w:noProof/>
            <w:webHidden/>
          </w:rPr>
          <w:fldChar w:fldCharType="separate"/>
        </w:r>
        <w:r w:rsidR="00985650">
          <w:rPr>
            <w:noProof/>
            <w:webHidden/>
          </w:rPr>
          <w:t>13</w:t>
        </w:r>
        <w:r w:rsidR="009B42B8">
          <w:rPr>
            <w:noProof/>
            <w:webHidden/>
          </w:rPr>
          <w:fldChar w:fldCharType="end"/>
        </w:r>
      </w:hyperlink>
    </w:p>
    <w:p w14:paraId="0B9054BC" w14:textId="370D22B7" w:rsidR="009B42B8" w:rsidRDefault="00041F25">
      <w:pPr>
        <w:pStyle w:val="TOC3"/>
        <w:tabs>
          <w:tab w:val="right" w:leader="dot" w:pos="8302"/>
        </w:tabs>
        <w:rPr>
          <w:rFonts w:eastAsiaTheme="minorEastAsia" w:cstheme="minorBidi"/>
          <w:noProof/>
          <w:sz w:val="22"/>
          <w:szCs w:val="22"/>
        </w:rPr>
      </w:pPr>
      <w:hyperlink w:anchor="_Toc525816044" w:history="1">
        <w:r w:rsidR="009B42B8" w:rsidRPr="00AD712E">
          <w:rPr>
            <w:rStyle w:val="Hyperlink"/>
            <w:noProof/>
            <w:lang w:val="en-GB"/>
          </w:rPr>
          <w:t>Ankle/hind foot ultrasound</w:t>
        </w:r>
        <w:r w:rsidR="009B42B8">
          <w:rPr>
            <w:noProof/>
            <w:webHidden/>
          </w:rPr>
          <w:tab/>
        </w:r>
        <w:r w:rsidR="009B42B8">
          <w:rPr>
            <w:noProof/>
            <w:webHidden/>
          </w:rPr>
          <w:fldChar w:fldCharType="begin"/>
        </w:r>
        <w:r w:rsidR="009B42B8">
          <w:rPr>
            <w:noProof/>
            <w:webHidden/>
          </w:rPr>
          <w:instrText xml:space="preserve"> PAGEREF _Toc525816044 \h </w:instrText>
        </w:r>
        <w:r w:rsidR="009B42B8">
          <w:rPr>
            <w:noProof/>
            <w:webHidden/>
          </w:rPr>
        </w:r>
        <w:r w:rsidR="009B42B8">
          <w:rPr>
            <w:noProof/>
            <w:webHidden/>
          </w:rPr>
          <w:fldChar w:fldCharType="separate"/>
        </w:r>
        <w:r w:rsidR="00985650">
          <w:rPr>
            <w:noProof/>
            <w:webHidden/>
          </w:rPr>
          <w:t>14</w:t>
        </w:r>
        <w:r w:rsidR="009B42B8">
          <w:rPr>
            <w:noProof/>
            <w:webHidden/>
          </w:rPr>
          <w:fldChar w:fldCharType="end"/>
        </w:r>
      </w:hyperlink>
    </w:p>
    <w:p w14:paraId="3B0F6426" w14:textId="39550052" w:rsidR="009B42B8" w:rsidRDefault="00041F25">
      <w:pPr>
        <w:pStyle w:val="TOC3"/>
        <w:tabs>
          <w:tab w:val="right" w:leader="dot" w:pos="8302"/>
        </w:tabs>
        <w:rPr>
          <w:rFonts w:eastAsiaTheme="minorEastAsia" w:cstheme="minorBidi"/>
          <w:noProof/>
          <w:sz w:val="22"/>
          <w:szCs w:val="22"/>
        </w:rPr>
      </w:pPr>
      <w:hyperlink w:anchor="_Toc525816045" w:history="1">
        <w:r w:rsidR="009B42B8" w:rsidRPr="00AD712E">
          <w:rPr>
            <w:rStyle w:val="Hyperlink"/>
            <w:noProof/>
            <w:lang w:val="en-GB"/>
          </w:rPr>
          <w:t>Shoulder ultrasound</w:t>
        </w:r>
        <w:r w:rsidR="009B42B8">
          <w:rPr>
            <w:noProof/>
            <w:webHidden/>
          </w:rPr>
          <w:tab/>
        </w:r>
        <w:r w:rsidR="009B42B8">
          <w:rPr>
            <w:noProof/>
            <w:webHidden/>
          </w:rPr>
          <w:fldChar w:fldCharType="begin"/>
        </w:r>
        <w:r w:rsidR="009B42B8">
          <w:rPr>
            <w:noProof/>
            <w:webHidden/>
          </w:rPr>
          <w:instrText xml:space="preserve"> PAGEREF _Toc525816045 \h </w:instrText>
        </w:r>
        <w:r w:rsidR="009B42B8">
          <w:rPr>
            <w:noProof/>
            <w:webHidden/>
          </w:rPr>
        </w:r>
        <w:r w:rsidR="009B42B8">
          <w:rPr>
            <w:noProof/>
            <w:webHidden/>
          </w:rPr>
          <w:fldChar w:fldCharType="separate"/>
        </w:r>
        <w:r w:rsidR="00985650">
          <w:rPr>
            <w:noProof/>
            <w:webHidden/>
          </w:rPr>
          <w:t>14</w:t>
        </w:r>
        <w:r w:rsidR="009B42B8">
          <w:rPr>
            <w:noProof/>
            <w:webHidden/>
          </w:rPr>
          <w:fldChar w:fldCharType="end"/>
        </w:r>
      </w:hyperlink>
    </w:p>
    <w:p w14:paraId="5881D3F4" w14:textId="70EE2369" w:rsidR="009B42B8" w:rsidRDefault="00041F25">
      <w:pPr>
        <w:pStyle w:val="TOC3"/>
        <w:tabs>
          <w:tab w:val="right" w:leader="dot" w:pos="8302"/>
        </w:tabs>
        <w:rPr>
          <w:rFonts w:eastAsiaTheme="minorEastAsia" w:cstheme="minorBidi"/>
          <w:noProof/>
          <w:sz w:val="22"/>
          <w:szCs w:val="22"/>
        </w:rPr>
      </w:pPr>
      <w:hyperlink w:anchor="_Toc525816046" w:history="1">
        <w:r w:rsidR="009B42B8" w:rsidRPr="00AD712E">
          <w:rPr>
            <w:rStyle w:val="Hyperlink"/>
            <w:noProof/>
            <w:lang w:val="en-GB"/>
          </w:rPr>
          <w:t>Lower back and head imaging</w:t>
        </w:r>
        <w:r w:rsidR="009B42B8">
          <w:rPr>
            <w:noProof/>
            <w:webHidden/>
          </w:rPr>
          <w:tab/>
        </w:r>
        <w:r w:rsidR="009B42B8">
          <w:rPr>
            <w:noProof/>
            <w:webHidden/>
          </w:rPr>
          <w:fldChar w:fldCharType="begin"/>
        </w:r>
        <w:r w:rsidR="009B42B8">
          <w:rPr>
            <w:noProof/>
            <w:webHidden/>
          </w:rPr>
          <w:instrText xml:space="preserve"> PAGEREF _Toc525816046 \h </w:instrText>
        </w:r>
        <w:r w:rsidR="009B42B8">
          <w:rPr>
            <w:noProof/>
            <w:webHidden/>
          </w:rPr>
        </w:r>
        <w:r w:rsidR="009B42B8">
          <w:rPr>
            <w:noProof/>
            <w:webHidden/>
          </w:rPr>
          <w:fldChar w:fldCharType="separate"/>
        </w:r>
        <w:r w:rsidR="00985650">
          <w:rPr>
            <w:noProof/>
            <w:webHidden/>
          </w:rPr>
          <w:t>14</w:t>
        </w:r>
        <w:r w:rsidR="009B42B8">
          <w:rPr>
            <w:noProof/>
            <w:webHidden/>
          </w:rPr>
          <w:fldChar w:fldCharType="end"/>
        </w:r>
      </w:hyperlink>
    </w:p>
    <w:p w14:paraId="07AD22CB" w14:textId="4F151CBB" w:rsidR="009B42B8" w:rsidRDefault="00041F25">
      <w:pPr>
        <w:pStyle w:val="TOC3"/>
        <w:tabs>
          <w:tab w:val="right" w:leader="dot" w:pos="8302"/>
        </w:tabs>
        <w:rPr>
          <w:rFonts w:eastAsiaTheme="minorEastAsia" w:cstheme="minorBidi"/>
          <w:noProof/>
          <w:sz w:val="22"/>
          <w:szCs w:val="22"/>
        </w:rPr>
      </w:pPr>
      <w:hyperlink w:anchor="_Toc525816047" w:history="1">
        <w:r w:rsidR="009B42B8" w:rsidRPr="00AD712E">
          <w:rPr>
            <w:rStyle w:val="Hyperlink"/>
            <w:noProof/>
            <w:lang w:val="en-GB"/>
          </w:rPr>
          <w:t>Vitamin B12 items</w:t>
        </w:r>
        <w:r w:rsidR="009B42B8">
          <w:rPr>
            <w:noProof/>
            <w:webHidden/>
          </w:rPr>
          <w:tab/>
        </w:r>
        <w:r w:rsidR="009B42B8">
          <w:rPr>
            <w:noProof/>
            <w:webHidden/>
          </w:rPr>
          <w:fldChar w:fldCharType="begin"/>
        </w:r>
        <w:r w:rsidR="009B42B8">
          <w:rPr>
            <w:noProof/>
            <w:webHidden/>
          </w:rPr>
          <w:instrText xml:space="preserve"> PAGEREF _Toc525816047 \h </w:instrText>
        </w:r>
        <w:r w:rsidR="009B42B8">
          <w:rPr>
            <w:noProof/>
            <w:webHidden/>
          </w:rPr>
        </w:r>
        <w:r w:rsidR="009B42B8">
          <w:rPr>
            <w:noProof/>
            <w:webHidden/>
          </w:rPr>
          <w:fldChar w:fldCharType="separate"/>
        </w:r>
        <w:r w:rsidR="00985650">
          <w:rPr>
            <w:noProof/>
            <w:webHidden/>
          </w:rPr>
          <w:t>15</w:t>
        </w:r>
        <w:r w:rsidR="009B42B8">
          <w:rPr>
            <w:noProof/>
            <w:webHidden/>
          </w:rPr>
          <w:fldChar w:fldCharType="end"/>
        </w:r>
      </w:hyperlink>
    </w:p>
    <w:p w14:paraId="181C6F7C" w14:textId="1EFFD2B4" w:rsidR="009B42B8" w:rsidRDefault="00041F25">
      <w:pPr>
        <w:pStyle w:val="TOC3"/>
        <w:tabs>
          <w:tab w:val="right" w:leader="dot" w:pos="8302"/>
        </w:tabs>
        <w:rPr>
          <w:rFonts w:eastAsiaTheme="minorEastAsia" w:cstheme="minorBidi"/>
          <w:noProof/>
          <w:sz w:val="22"/>
          <w:szCs w:val="22"/>
        </w:rPr>
      </w:pPr>
      <w:hyperlink w:anchor="_Toc525816048" w:history="1">
        <w:r w:rsidR="009B42B8" w:rsidRPr="00AD712E">
          <w:rPr>
            <w:rStyle w:val="Hyperlink"/>
            <w:noProof/>
            <w:lang w:val="en-GB"/>
          </w:rPr>
          <w:t>Iron studies items</w:t>
        </w:r>
        <w:r w:rsidR="009B42B8">
          <w:rPr>
            <w:noProof/>
            <w:webHidden/>
          </w:rPr>
          <w:tab/>
        </w:r>
        <w:r w:rsidR="009B42B8">
          <w:rPr>
            <w:noProof/>
            <w:webHidden/>
          </w:rPr>
          <w:fldChar w:fldCharType="begin"/>
        </w:r>
        <w:r w:rsidR="009B42B8">
          <w:rPr>
            <w:noProof/>
            <w:webHidden/>
          </w:rPr>
          <w:instrText xml:space="preserve"> PAGEREF _Toc525816048 \h </w:instrText>
        </w:r>
        <w:r w:rsidR="009B42B8">
          <w:rPr>
            <w:noProof/>
            <w:webHidden/>
          </w:rPr>
        </w:r>
        <w:r w:rsidR="009B42B8">
          <w:rPr>
            <w:noProof/>
            <w:webHidden/>
          </w:rPr>
          <w:fldChar w:fldCharType="separate"/>
        </w:r>
        <w:r w:rsidR="00985650">
          <w:rPr>
            <w:noProof/>
            <w:webHidden/>
          </w:rPr>
          <w:t>15</w:t>
        </w:r>
        <w:r w:rsidR="009B42B8">
          <w:rPr>
            <w:noProof/>
            <w:webHidden/>
          </w:rPr>
          <w:fldChar w:fldCharType="end"/>
        </w:r>
      </w:hyperlink>
    </w:p>
    <w:p w14:paraId="15EDA232" w14:textId="401967E8" w:rsidR="009B42B8" w:rsidRDefault="00041F25">
      <w:pPr>
        <w:pStyle w:val="TOC3"/>
        <w:tabs>
          <w:tab w:val="right" w:leader="dot" w:pos="8302"/>
        </w:tabs>
        <w:rPr>
          <w:rFonts w:eastAsiaTheme="minorEastAsia" w:cstheme="minorBidi"/>
          <w:noProof/>
          <w:sz w:val="22"/>
          <w:szCs w:val="22"/>
        </w:rPr>
      </w:pPr>
      <w:hyperlink w:anchor="_Toc525816049" w:history="1">
        <w:r w:rsidR="009B42B8" w:rsidRPr="00AD712E">
          <w:rPr>
            <w:rStyle w:val="Hyperlink"/>
            <w:noProof/>
            <w:lang w:val="en-GB"/>
          </w:rPr>
          <w:t>Folate testing</w:t>
        </w:r>
        <w:r w:rsidR="009B42B8">
          <w:rPr>
            <w:noProof/>
            <w:webHidden/>
          </w:rPr>
          <w:tab/>
        </w:r>
        <w:r w:rsidR="009B42B8">
          <w:rPr>
            <w:noProof/>
            <w:webHidden/>
          </w:rPr>
          <w:fldChar w:fldCharType="begin"/>
        </w:r>
        <w:r w:rsidR="009B42B8">
          <w:rPr>
            <w:noProof/>
            <w:webHidden/>
          </w:rPr>
          <w:instrText xml:space="preserve"> PAGEREF _Toc525816049 \h </w:instrText>
        </w:r>
        <w:r w:rsidR="009B42B8">
          <w:rPr>
            <w:noProof/>
            <w:webHidden/>
          </w:rPr>
        </w:r>
        <w:r w:rsidR="009B42B8">
          <w:rPr>
            <w:noProof/>
            <w:webHidden/>
          </w:rPr>
          <w:fldChar w:fldCharType="separate"/>
        </w:r>
        <w:r w:rsidR="00985650">
          <w:rPr>
            <w:noProof/>
            <w:webHidden/>
          </w:rPr>
          <w:t>15</w:t>
        </w:r>
        <w:r w:rsidR="009B42B8">
          <w:rPr>
            <w:noProof/>
            <w:webHidden/>
          </w:rPr>
          <w:fldChar w:fldCharType="end"/>
        </w:r>
      </w:hyperlink>
    </w:p>
    <w:p w14:paraId="587409D7" w14:textId="78F19166" w:rsidR="009B42B8" w:rsidRDefault="00041F25">
      <w:pPr>
        <w:pStyle w:val="TOC3"/>
        <w:tabs>
          <w:tab w:val="right" w:leader="dot" w:pos="8302"/>
        </w:tabs>
        <w:rPr>
          <w:rFonts w:eastAsiaTheme="minorEastAsia" w:cstheme="minorBidi"/>
          <w:noProof/>
          <w:sz w:val="22"/>
          <w:szCs w:val="22"/>
        </w:rPr>
      </w:pPr>
      <w:hyperlink w:anchor="_Toc525816050" w:history="1">
        <w:r w:rsidR="009B42B8" w:rsidRPr="00AD712E">
          <w:rPr>
            <w:rStyle w:val="Hyperlink"/>
            <w:noProof/>
            <w:lang w:val="en-GB"/>
          </w:rPr>
          <w:t>Urine testing</w:t>
        </w:r>
        <w:r w:rsidR="009B42B8">
          <w:rPr>
            <w:noProof/>
            <w:webHidden/>
          </w:rPr>
          <w:tab/>
        </w:r>
        <w:r w:rsidR="009B42B8">
          <w:rPr>
            <w:noProof/>
            <w:webHidden/>
          </w:rPr>
          <w:fldChar w:fldCharType="begin"/>
        </w:r>
        <w:r w:rsidR="009B42B8">
          <w:rPr>
            <w:noProof/>
            <w:webHidden/>
          </w:rPr>
          <w:instrText xml:space="preserve"> PAGEREF _Toc525816050 \h </w:instrText>
        </w:r>
        <w:r w:rsidR="009B42B8">
          <w:rPr>
            <w:noProof/>
            <w:webHidden/>
          </w:rPr>
        </w:r>
        <w:r w:rsidR="009B42B8">
          <w:rPr>
            <w:noProof/>
            <w:webHidden/>
          </w:rPr>
          <w:fldChar w:fldCharType="separate"/>
        </w:r>
        <w:r w:rsidR="00985650">
          <w:rPr>
            <w:noProof/>
            <w:webHidden/>
          </w:rPr>
          <w:t>15</w:t>
        </w:r>
        <w:r w:rsidR="009B42B8">
          <w:rPr>
            <w:noProof/>
            <w:webHidden/>
          </w:rPr>
          <w:fldChar w:fldCharType="end"/>
        </w:r>
      </w:hyperlink>
    </w:p>
    <w:p w14:paraId="76AA675A" w14:textId="22E29FA0" w:rsidR="009B42B8" w:rsidRDefault="00041F25">
      <w:pPr>
        <w:pStyle w:val="TOC3"/>
        <w:tabs>
          <w:tab w:val="right" w:leader="dot" w:pos="8302"/>
        </w:tabs>
        <w:rPr>
          <w:rFonts w:eastAsiaTheme="minorEastAsia" w:cstheme="minorBidi"/>
          <w:noProof/>
          <w:sz w:val="22"/>
          <w:szCs w:val="22"/>
        </w:rPr>
      </w:pPr>
      <w:hyperlink w:anchor="_Toc525816051" w:history="1">
        <w:r w:rsidR="009B42B8" w:rsidRPr="00AD712E">
          <w:rPr>
            <w:rStyle w:val="Hyperlink"/>
            <w:noProof/>
            <w:lang w:val="en-GB"/>
          </w:rPr>
          <w:t>Vitamin D testing</w:t>
        </w:r>
        <w:r w:rsidR="009B42B8">
          <w:rPr>
            <w:noProof/>
            <w:webHidden/>
          </w:rPr>
          <w:tab/>
        </w:r>
        <w:r w:rsidR="009B42B8">
          <w:rPr>
            <w:noProof/>
            <w:webHidden/>
          </w:rPr>
          <w:fldChar w:fldCharType="begin"/>
        </w:r>
        <w:r w:rsidR="009B42B8">
          <w:rPr>
            <w:noProof/>
            <w:webHidden/>
          </w:rPr>
          <w:instrText xml:space="preserve"> PAGEREF _Toc525816051 \h </w:instrText>
        </w:r>
        <w:r w:rsidR="009B42B8">
          <w:rPr>
            <w:noProof/>
            <w:webHidden/>
          </w:rPr>
        </w:r>
        <w:r w:rsidR="009B42B8">
          <w:rPr>
            <w:noProof/>
            <w:webHidden/>
          </w:rPr>
          <w:fldChar w:fldCharType="separate"/>
        </w:r>
        <w:r w:rsidR="00985650">
          <w:rPr>
            <w:noProof/>
            <w:webHidden/>
          </w:rPr>
          <w:t>16</w:t>
        </w:r>
        <w:r w:rsidR="009B42B8">
          <w:rPr>
            <w:noProof/>
            <w:webHidden/>
          </w:rPr>
          <w:fldChar w:fldCharType="end"/>
        </w:r>
      </w:hyperlink>
    </w:p>
    <w:p w14:paraId="024BD745" w14:textId="3DC43220" w:rsidR="009B42B8" w:rsidRDefault="00041F25">
      <w:pPr>
        <w:pStyle w:val="TOC3"/>
        <w:tabs>
          <w:tab w:val="right" w:leader="dot" w:pos="8302"/>
        </w:tabs>
        <w:rPr>
          <w:rFonts w:eastAsiaTheme="minorEastAsia" w:cstheme="minorBidi"/>
          <w:noProof/>
          <w:sz w:val="22"/>
          <w:szCs w:val="22"/>
        </w:rPr>
      </w:pPr>
      <w:hyperlink w:anchor="_Toc525816052" w:history="1">
        <w:r w:rsidR="009B42B8" w:rsidRPr="00AD712E">
          <w:rPr>
            <w:rStyle w:val="Hyperlink"/>
            <w:noProof/>
            <w:lang w:val="en-GB"/>
          </w:rPr>
          <w:t>PSA testing</w:t>
        </w:r>
        <w:r w:rsidR="009B42B8">
          <w:rPr>
            <w:noProof/>
            <w:webHidden/>
          </w:rPr>
          <w:tab/>
        </w:r>
        <w:r w:rsidR="009B42B8">
          <w:rPr>
            <w:noProof/>
            <w:webHidden/>
          </w:rPr>
          <w:fldChar w:fldCharType="begin"/>
        </w:r>
        <w:r w:rsidR="009B42B8">
          <w:rPr>
            <w:noProof/>
            <w:webHidden/>
          </w:rPr>
          <w:instrText xml:space="preserve"> PAGEREF _Toc525816052 \h </w:instrText>
        </w:r>
        <w:r w:rsidR="009B42B8">
          <w:rPr>
            <w:noProof/>
            <w:webHidden/>
          </w:rPr>
        </w:r>
        <w:r w:rsidR="009B42B8">
          <w:rPr>
            <w:noProof/>
            <w:webHidden/>
          </w:rPr>
          <w:fldChar w:fldCharType="separate"/>
        </w:r>
        <w:r w:rsidR="00985650">
          <w:rPr>
            <w:noProof/>
            <w:webHidden/>
          </w:rPr>
          <w:t>16</w:t>
        </w:r>
        <w:r w:rsidR="009B42B8">
          <w:rPr>
            <w:noProof/>
            <w:webHidden/>
          </w:rPr>
          <w:fldChar w:fldCharType="end"/>
        </w:r>
      </w:hyperlink>
    </w:p>
    <w:p w14:paraId="328E1103" w14:textId="357F13F4" w:rsidR="009B42B8" w:rsidRDefault="00041F25" w:rsidP="00D20CCE">
      <w:pPr>
        <w:pStyle w:val="TOC1"/>
        <w:rPr>
          <w:rFonts w:eastAsiaTheme="minorEastAsia" w:cstheme="minorBidi"/>
          <w:noProof/>
          <w:sz w:val="22"/>
          <w:szCs w:val="22"/>
        </w:rPr>
      </w:pPr>
      <w:hyperlink w:anchor="_Toc525816053" w:history="1">
        <w:r w:rsidR="009B42B8" w:rsidRPr="00AD712E">
          <w:rPr>
            <w:rStyle w:val="Hyperlink"/>
            <w:noProof/>
          </w:rPr>
          <w:t>2.</w:t>
        </w:r>
        <w:r w:rsidR="009B42B8">
          <w:rPr>
            <w:rFonts w:eastAsiaTheme="minorEastAsia" w:cstheme="minorBidi"/>
            <w:noProof/>
            <w:sz w:val="22"/>
            <w:szCs w:val="22"/>
          </w:rPr>
          <w:tab/>
        </w:r>
        <w:r w:rsidR="009B42B8" w:rsidRPr="00AD712E">
          <w:rPr>
            <w:rStyle w:val="Hyperlink"/>
            <w:noProof/>
          </w:rPr>
          <w:t>About the Medicare Benefits Schedule (MBS) Review</w:t>
        </w:r>
        <w:r w:rsidR="009B42B8">
          <w:rPr>
            <w:noProof/>
            <w:webHidden/>
          </w:rPr>
          <w:tab/>
        </w:r>
        <w:r w:rsidR="009B42B8">
          <w:rPr>
            <w:noProof/>
            <w:webHidden/>
          </w:rPr>
          <w:fldChar w:fldCharType="begin"/>
        </w:r>
        <w:r w:rsidR="009B42B8">
          <w:rPr>
            <w:noProof/>
            <w:webHidden/>
          </w:rPr>
          <w:instrText xml:space="preserve"> PAGEREF _Toc525816053 \h </w:instrText>
        </w:r>
        <w:r w:rsidR="009B42B8">
          <w:rPr>
            <w:noProof/>
            <w:webHidden/>
          </w:rPr>
        </w:r>
        <w:r w:rsidR="009B42B8">
          <w:rPr>
            <w:noProof/>
            <w:webHidden/>
          </w:rPr>
          <w:fldChar w:fldCharType="separate"/>
        </w:r>
        <w:r w:rsidR="00985650">
          <w:rPr>
            <w:noProof/>
            <w:webHidden/>
          </w:rPr>
          <w:t>17</w:t>
        </w:r>
        <w:r w:rsidR="009B42B8">
          <w:rPr>
            <w:noProof/>
            <w:webHidden/>
          </w:rPr>
          <w:fldChar w:fldCharType="end"/>
        </w:r>
      </w:hyperlink>
    </w:p>
    <w:p w14:paraId="0F2F7A9C" w14:textId="50E0AA40" w:rsidR="009B42B8" w:rsidRDefault="00041F25">
      <w:pPr>
        <w:pStyle w:val="TOC2"/>
        <w:tabs>
          <w:tab w:val="left" w:pos="880"/>
          <w:tab w:val="right" w:leader="dot" w:pos="8302"/>
        </w:tabs>
        <w:rPr>
          <w:rFonts w:eastAsiaTheme="minorEastAsia" w:cstheme="minorBidi"/>
          <w:b w:val="0"/>
          <w:bCs w:val="0"/>
          <w:noProof/>
        </w:rPr>
      </w:pPr>
      <w:hyperlink w:anchor="_Toc525816054" w:history="1">
        <w:r w:rsidR="009B42B8" w:rsidRPr="00AD712E">
          <w:rPr>
            <w:rStyle w:val="Hyperlink"/>
            <w:noProof/>
            <w14:scene3d>
              <w14:camera w14:prst="orthographicFront"/>
              <w14:lightRig w14:rig="threePt" w14:dir="t">
                <w14:rot w14:lat="0" w14:lon="0" w14:rev="0"/>
              </w14:lightRig>
            </w14:scene3d>
          </w:rPr>
          <w:t>2.1</w:t>
        </w:r>
        <w:r w:rsidR="009B42B8">
          <w:rPr>
            <w:rFonts w:eastAsiaTheme="minorEastAsia" w:cstheme="minorBidi"/>
            <w:b w:val="0"/>
            <w:bCs w:val="0"/>
            <w:noProof/>
          </w:rPr>
          <w:tab/>
        </w:r>
        <w:r w:rsidR="009B42B8" w:rsidRPr="00AD712E">
          <w:rPr>
            <w:rStyle w:val="Hyperlink"/>
            <w:noProof/>
          </w:rPr>
          <w:t>Medicare and the MBS</w:t>
        </w:r>
        <w:r w:rsidR="009B42B8">
          <w:rPr>
            <w:noProof/>
            <w:webHidden/>
          </w:rPr>
          <w:tab/>
        </w:r>
        <w:r w:rsidR="009B42B8">
          <w:rPr>
            <w:noProof/>
            <w:webHidden/>
          </w:rPr>
          <w:fldChar w:fldCharType="begin"/>
        </w:r>
        <w:r w:rsidR="009B42B8">
          <w:rPr>
            <w:noProof/>
            <w:webHidden/>
          </w:rPr>
          <w:instrText xml:space="preserve"> PAGEREF _Toc525816054 \h </w:instrText>
        </w:r>
        <w:r w:rsidR="009B42B8">
          <w:rPr>
            <w:noProof/>
            <w:webHidden/>
          </w:rPr>
        </w:r>
        <w:r w:rsidR="009B42B8">
          <w:rPr>
            <w:noProof/>
            <w:webHidden/>
          </w:rPr>
          <w:fldChar w:fldCharType="separate"/>
        </w:r>
        <w:r w:rsidR="00985650">
          <w:rPr>
            <w:noProof/>
            <w:webHidden/>
          </w:rPr>
          <w:t>17</w:t>
        </w:r>
        <w:r w:rsidR="009B42B8">
          <w:rPr>
            <w:noProof/>
            <w:webHidden/>
          </w:rPr>
          <w:fldChar w:fldCharType="end"/>
        </w:r>
      </w:hyperlink>
    </w:p>
    <w:p w14:paraId="2B7F66F9" w14:textId="7D406FDE" w:rsidR="009B42B8" w:rsidRDefault="00041F25">
      <w:pPr>
        <w:pStyle w:val="TOC3"/>
        <w:tabs>
          <w:tab w:val="left" w:pos="1100"/>
          <w:tab w:val="right" w:leader="dot" w:pos="8302"/>
        </w:tabs>
        <w:rPr>
          <w:rFonts w:eastAsiaTheme="minorEastAsia" w:cstheme="minorBidi"/>
          <w:noProof/>
          <w:sz w:val="22"/>
          <w:szCs w:val="22"/>
        </w:rPr>
      </w:pPr>
      <w:hyperlink w:anchor="_Toc525816055" w:history="1">
        <w:r w:rsidR="009B42B8" w:rsidRPr="00AD712E">
          <w:rPr>
            <w:rStyle w:val="Hyperlink"/>
            <w:noProof/>
          </w:rPr>
          <w:t>2.1.1</w:t>
        </w:r>
        <w:r w:rsidR="009B42B8">
          <w:rPr>
            <w:rFonts w:eastAsiaTheme="minorEastAsia" w:cstheme="minorBidi"/>
            <w:noProof/>
            <w:sz w:val="22"/>
            <w:szCs w:val="22"/>
          </w:rPr>
          <w:tab/>
        </w:r>
        <w:r w:rsidR="009B42B8" w:rsidRPr="00AD712E">
          <w:rPr>
            <w:rStyle w:val="Hyperlink"/>
            <w:noProof/>
          </w:rPr>
          <w:t>What is Medicare?</w:t>
        </w:r>
        <w:r w:rsidR="009B42B8">
          <w:rPr>
            <w:noProof/>
            <w:webHidden/>
          </w:rPr>
          <w:tab/>
        </w:r>
        <w:r w:rsidR="009B42B8">
          <w:rPr>
            <w:noProof/>
            <w:webHidden/>
          </w:rPr>
          <w:fldChar w:fldCharType="begin"/>
        </w:r>
        <w:r w:rsidR="009B42B8">
          <w:rPr>
            <w:noProof/>
            <w:webHidden/>
          </w:rPr>
          <w:instrText xml:space="preserve"> PAGEREF _Toc525816055 \h </w:instrText>
        </w:r>
        <w:r w:rsidR="009B42B8">
          <w:rPr>
            <w:noProof/>
            <w:webHidden/>
          </w:rPr>
        </w:r>
        <w:r w:rsidR="009B42B8">
          <w:rPr>
            <w:noProof/>
            <w:webHidden/>
          </w:rPr>
          <w:fldChar w:fldCharType="separate"/>
        </w:r>
        <w:r w:rsidR="00985650">
          <w:rPr>
            <w:noProof/>
            <w:webHidden/>
          </w:rPr>
          <w:t>17</w:t>
        </w:r>
        <w:r w:rsidR="009B42B8">
          <w:rPr>
            <w:noProof/>
            <w:webHidden/>
          </w:rPr>
          <w:fldChar w:fldCharType="end"/>
        </w:r>
      </w:hyperlink>
    </w:p>
    <w:p w14:paraId="519E300E" w14:textId="1056FDB5" w:rsidR="009B42B8" w:rsidRDefault="00041F25">
      <w:pPr>
        <w:pStyle w:val="TOC2"/>
        <w:tabs>
          <w:tab w:val="left" w:pos="880"/>
          <w:tab w:val="right" w:leader="dot" w:pos="8302"/>
        </w:tabs>
        <w:rPr>
          <w:rFonts w:eastAsiaTheme="minorEastAsia" w:cstheme="minorBidi"/>
          <w:b w:val="0"/>
          <w:bCs w:val="0"/>
          <w:noProof/>
        </w:rPr>
      </w:pPr>
      <w:hyperlink w:anchor="_Toc525816056" w:history="1">
        <w:r w:rsidR="009B42B8" w:rsidRPr="00AD712E">
          <w:rPr>
            <w:rStyle w:val="Hyperlink"/>
            <w:noProof/>
            <w14:scene3d>
              <w14:camera w14:prst="orthographicFront"/>
              <w14:lightRig w14:rig="threePt" w14:dir="t">
                <w14:rot w14:lat="0" w14:lon="0" w14:rev="0"/>
              </w14:lightRig>
            </w14:scene3d>
          </w:rPr>
          <w:t>2.2</w:t>
        </w:r>
        <w:r w:rsidR="009B42B8">
          <w:rPr>
            <w:rFonts w:eastAsiaTheme="minorEastAsia" w:cstheme="minorBidi"/>
            <w:b w:val="0"/>
            <w:bCs w:val="0"/>
            <w:noProof/>
          </w:rPr>
          <w:tab/>
        </w:r>
        <w:r w:rsidR="009B42B8" w:rsidRPr="00AD712E">
          <w:rPr>
            <w:rStyle w:val="Hyperlink"/>
            <w:noProof/>
          </w:rPr>
          <w:t>What is the MBS?</w:t>
        </w:r>
        <w:r w:rsidR="009B42B8">
          <w:rPr>
            <w:noProof/>
            <w:webHidden/>
          </w:rPr>
          <w:tab/>
        </w:r>
        <w:r w:rsidR="009B42B8">
          <w:rPr>
            <w:noProof/>
            <w:webHidden/>
          </w:rPr>
          <w:fldChar w:fldCharType="begin"/>
        </w:r>
        <w:r w:rsidR="009B42B8">
          <w:rPr>
            <w:noProof/>
            <w:webHidden/>
          </w:rPr>
          <w:instrText xml:space="preserve"> PAGEREF _Toc525816056 \h </w:instrText>
        </w:r>
        <w:r w:rsidR="009B42B8">
          <w:rPr>
            <w:noProof/>
            <w:webHidden/>
          </w:rPr>
        </w:r>
        <w:r w:rsidR="009B42B8">
          <w:rPr>
            <w:noProof/>
            <w:webHidden/>
          </w:rPr>
          <w:fldChar w:fldCharType="separate"/>
        </w:r>
        <w:r w:rsidR="00985650">
          <w:rPr>
            <w:noProof/>
            <w:webHidden/>
          </w:rPr>
          <w:t>17</w:t>
        </w:r>
        <w:r w:rsidR="009B42B8">
          <w:rPr>
            <w:noProof/>
            <w:webHidden/>
          </w:rPr>
          <w:fldChar w:fldCharType="end"/>
        </w:r>
      </w:hyperlink>
    </w:p>
    <w:p w14:paraId="3CA65B82" w14:textId="350B718B" w:rsidR="009B42B8" w:rsidRDefault="00041F25">
      <w:pPr>
        <w:pStyle w:val="TOC2"/>
        <w:tabs>
          <w:tab w:val="left" w:pos="880"/>
          <w:tab w:val="right" w:leader="dot" w:pos="8302"/>
        </w:tabs>
        <w:rPr>
          <w:rFonts w:eastAsiaTheme="minorEastAsia" w:cstheme="minorBidi"/>
          <w:b w:val="0"/>
          <w:bCs w:val="0"/>
          <w:noProof/>
        </w:rPr>
      </w:pPr>
      <w:hyperlink w:anchor="_Toc525816057" w:history="1">
        <w:r w:rsidR="009B42B8" w:rsidRPr="00AD712E">
          <w:rPr>
            <w:rStyle w:val="Hyperlink"/>
            <w:noProof/>
            <w14:scene3d>
              <w14:camera w14:prst="orthographicFront"/>
              <w14:lightRig w14:rig="threePt" w14:dir="t">
                <w14:rot w14:lat="0" w14:lon="0" w14:rev="0"/>
              </w14:lightRig>
            </w14:scene3d>
          </w:rPr>
          <w:t>2.3</w:t>
        </w:r>
        <w:r w:rsidR="009B42B8">
          <w:rPr>
            <w:rFonts w:eastAsiaTheme="minorEastAsia" w:cstheme="minorBidi"/>
            <w:b w:val="0"/>
            <w:bCs w:val="0"/>
            <w:noProof/>
          </w:rPr>
          <w:tab/>
        </w:r>
        <w:r w:rsidR="009B42B8" w:rsidRPr="00AD712E">
          <w:rPr>
            <w:rStyle w:val="Hyperlink"/>
            <w:noProof/>
          </w:rPr>
          <w:t>What is the MBS Review Taskforce?</w:t>
        </w:r>
        <w:r w:rsidR="009B42B8">
          <w:rPr>
            <w:noProof/>
            <w:webHidden/>
          </w:rPr>
          <w:tab/>
        </w:r>
        <w:r w:rsidR="009B42B8">
          <w:rPr>
            <w:noProof/>
            <w:webHidden/>
          </w:rPr>
          <w:fldChar w:fldCharType="begin"/>
        </w:r>
        <w:r w:rsidR="009B42B8">
          <w:rPr>
            <w:noProof/>
            <w:webHidden/>
          </w:rPr>
          <w:instrText xml:space="preserve"> PAGEREF _Toc525816057 \h </w:instrText>
        </w:r>
        <w:r w:rsidR="009B42B8">
          <w:rPr>
            <w:noProof/>
            <w:webHidden/>
          </w:rPr>
        </w:r>
        <w:r w:rsidR="009B42B8">
          <w:rPr>
            <w:noProof/>
            <w:webHidden/>
          </w:rPr>
          <w:fldChar w:fldCharType="separate"/>
        </w:r>
        <w:r w:rsidR="00985650">
          <w:rPr>
            <w:noProof/>
            <w:webHidden/>
          </w:rPr>
          <w:t>17</w:t>
        </w:r>
        <w:r w:rsidR="009B42B8">
          <w:rPr>
            <w:noProof/>
            <w:webHidden/>
          </w:rPr>
          <w:fldChar w:fldCharType="end"/>
        </w:r>
      </w:hyperlink>
    </w:p>
    <w:p w14:paraId="55115C92" w14:textId="5A680862" w:rsidR="009B42B8" w:rsidRDefault="00041F25">
      <w:pPr>
        <w:pStyle w:val="TOC3"/>
        <w:tabs>
          <w:tab w:val="left" w:pos="1100"/>
          <w:tab w:val="right" w:leader="dot" w:pos="8302"/>
        </w:tabs>
        <w:rPr>
          <w:rFonts w:eastAsiaTheme="minorEastAsia" w:cstheme="minorBidi"/>
          <w:noProof/>
          <w:sz w:val="22"/>
          <w:szCs w:val="22"/>
        </w:rPr>
      </w:pPr>
      <w:hyperlink w:anchor="_Toc525816058" w:history="1">
        <w:r w:rsidR="009B42B8" w:rsidRPr="00AD712E">
          <w:rPr>
            <w:rStyle w:val="Hyperlink"/>
            <w:noProof/>
          </w:rPr>
          <w:t>2.3.1</w:t>
        </w:r>
        <w:r w:rsidR="009B42B8">
          <w:rPr>
            <w:rFonts w:eastAsiaTheme="minorEastAsia" w:cstheme="minorBidi"/>
            <w:noProof/>
            <w:sz w:val="22"/>
            <w:szCs w:val="22"/>
          </w:rPr>
          <w:tab/>
        </w:r>
        <w:r w:rsidR="009B42B8" w:rsidRPr="00AD712E">
          <w:rPr>
            <w:rStyle w:val="Hyperlink"/>
            <w:noProof/>
          </w:rPr>
          <w:t>What are the goals of the Taskforce?</w:t>
        </w:r>
        <w:r w:rsidR="009B42B8">
          <w:rPr>
            <w:noProof/>
            <w:webHidden/>
          </w:rPr>
          <w:tab/>
        </w:r>
        <w:r w:rsidR="009B42B8">
          <w:rPr>
            <w:noProof/>
            <w:webHidden/>
          </w:rPr>
          <w:fldChar w:fldCharType="begin"/>
        </w:r>
        <w:r w:rsidR="009B42B8">
          <w:rPr>
            <w:noProof/>
            <w:webHidden/>
          </w:rPr>
          <w:instrText xml:space="preserve"> PAGEREF _Toc525816058 \h </w:instrText>
        </w:r>
        <w:r w:rsidR="009B42B8">
          <w:rPr>
            <w:noProof/>
            <w:webHidden/>
          </w:rPr>
        </w:r>
        <w:r w:rsidR="009B42B8">
          <w:rPr>
            <w:noProof/>
            <w:webHidden/>
          </w:rPr>
          <w:fldChar w:fldCharType="separate"/>
        </w:r>
        <w:r w:rsidR="00985650">
          <w:rPr>
            <w:noProof/>
            <w:webHidden/>
          </w:rPr>
          <w:t>17</w:t>
        </w:r>
        <w:r w:rsidR="009B42B8">
          <w:rPr>
            <w:noProof/>
            <w:webHidden/>
          </w:rPr>
          <w:fldChar w:fldCharType="end"/>
        </w:r>
      </w:hyperlink>
    </w:p>
    <w:p w14:paraId="16193EC8" w14:textId="4DA8BB19" w:rsidR="00990089" w:rsidRDefault="00041F25">
      <w:pPr>
        <w:pStyle w:val="TOC2"/>
        <w:tabs>
          <w:tab w:val="left" w:pos="880"/>
          <w:tab w:val="right" w:leader="dot" w:pos="8302"/>
        </w:tabs>
        <w:rPr>
          <w:noProof/>
        </w:rPr>
      </w:pPr>
      <w:hyperlink w:anchor="_Toc525816059" w:history="1">
        <w:r w:rsidR="009B42B8" w:rsidRPr="00AD712E">
          <w:rPr>
            <w:rStyle w:val="Hyperlink"/>
            <w:noProof/>
            <w14:scene3d>
              <w14:camera w14:prst="orthographicFront"/>
              <w14:lightRig w14:rig="threePt" w14:dir="t">
                <w14:rot w14:lat="0" w14:lon="0" w14:rev="0"/>
              </w14:lightRig>
            </w14:scene3d>
          </w:rPr>
          <w:t>2.4</w:t>
        </w:r>
        <w:r w:rsidR="009B42B8">
          <w:rPr>
            <w:rFonts w:eastAsiaTheme="minorEastAsia" w:cstheme="minorBidi"/>
            <w:b w:val="0"/>
            <w:bCs w:val="0"/>
            <w:noProof/>
          </w:rPr>
          <w:tab/>
        </w:r>
        <w:r w:rsidR="009B42B8" w:rsidRPr="00AD712E">
          <w:rPr>
            <w:rStyle w:val="Hyperlink"/>
            <w:noProof/>
          </w:rPr>
          <w:t>The Taskforce’s approach</w:t>
        </w:r>
        <w:r w:rsidR="009B42B8">
          <w:rPr>
            <w:noProof/>
            <w:webHidden/>
          </w:rPr>
          <w:tab/>
        </w:r>
        <w:r w:rsidR="009B42B8">
          <w:rPr>
            <w:noProof/>
            <w:webHidden/>
          </w:rPr>
          <w:fldChar w:fldCharType="begin"/>
        </w:r>
        <w:r w:rsidR="009B42B8">
          <w:rPr>
            <w:noProof/>
            <w:webHidden/>
          </w:rPr>
          <w:instrText xml:space="preserve"> PAGEREF _Toc525816059 \h </w:instrText>
        </w:r>
        <w:r w:rsidR="009B42B8">
          <w:rPr>
            <w:noProof/>
            <w:webHidden/>
          </w:rPr>
        </w:r>
        <w:r w:rsidR="009B42B8">
          <w:rPr>
            <w:noProof/>
            <w:webHidden/>
          </w:rPr>
          <w:fldChar w:fldCharType="separate"/>
        </w:r>
        <w:r w:rsidR="00985650">
          <w:rPr>
            <w:noProof/>
            <w:webHidden/>
          </w:rPr>
          <w:t>18</w:t>
        </w:r>
        <w:r w:rsidR="009B42B8">
          <w:rPr>
            <w:noProof/>
            <w:webHidden/>
          </w:rPr>
          <w:fldChar w:fldCharType="end"/>
        </w:r>
      </w:hyperlink>
    </w:p>
    <w:p w14:paraId="458C75F2" w14:textId="77777777" w:rsidR="00990089" w:rsidRDefault="00990089">
      <w:pPr>
        <w:spacing w:before="0" w:after="0" w:line="240" w:lineRule="auto"/>
        <w:rPr>
          <w:b/>
          <w:bCs/>
          <w:noProof/>
          <w:szCs w:val="22"/>
        </w:rPr>
      </w:pPr>
      <w:r>
        <w:rPr>
          <w:noProof/>
        </w:rPr>
        <w:br w:type="page"/>
      </w:r>
    </w:p>
    <w:p w14:paraId="618A4E27" w14:textId="7A4DD801" w:rsidR="009B42B8" w:rsidRDefault="00041F25" w:rsidP="00D20CCE">
      <w:pPr>
        <w:pStyle w:val="TOC1"/>
        <w:rPr>
          <w:rFonts w:eastAsiaTheme="minorEastAsia" w:cstheme="minorBidi"/>
          <w:noProof/>
          <w:sz w:val="22"/>
          <w:szCs w:val="22"/>
        </w:rPr>
      </w:pPr>
      <w:hyperlink w:anchor="_Toc525816060" w:history="1">
        <w:r w:rsidR="009B42B8" w:rsidRPr="00AD712E">
          <w:rPr>
            <w:rStyle w:val="Hyperlink"/>
            <w:noProof/>
          </w:rPr>
          <w:t>3.</w:t>
        </w:r>
        <w:r w:rsidR="009B42B8">
          <w:rPr>
            <w:rFonts w:eastAsiaTheme="minorEastAsia" w:cstheme="minorBidi"/>
            <w:noProof/>
            <w:sz w:val="22"/>
            <w:szCs w:val="22"/>
          </w:rPr>
          <w:tab/>
        </w:r>
        <w:r w:rsidR="009B42B8" w:rsidRPr="00AD712E">
          <w:rPr>
            <w:rStyle w:val="Hyperlink"/>
            <w:noProof/>
          </w:rPr>
          <w:t>About the Diagnostic Medicine Clinical Committee</w:t>
        </w:r>
        <w:r w:rsidR="009B42B8">
          <w:rPr>
            <w:noProof/>
            <w:webHidden/>
          </w:rPr>
          <w:tab/>
        </w:r>
        <w:r w:rsidR="009B42B8">
          <w:rPr>
            <w:noProof/>
            <w:webHidden/>
          </w:rPr>
          <w:fldChar w:fldCharType="begin"/>
        </w:r>
        <w:r w:rsidR="009B42B8">
          <w:rPr>
            <w:noProof/>
            <w:webHidden/>
          </w:rPr>
          <w:instrText xml:space="preserve"> PAGEREF _Toc525816060 \h </w:instrText>
        </w:r>
        <w:r w:rsidR="009B42B8">
          <w:rPr>
            <w:noProof/>
            <w:webHidden/>
          </w:rPr>
        </w:r>
        <w:r w:rsidR="009B42B8">
          <w:rPr>
            <w:noProof/>
            <w:webHidden/>
          </w:rPr>
          <w:fldChar w:fldCharType="separate"/>
        </w:r>
        <w:r w:rsidR="00985650">
          <w:rPr>
            <w:noProof/>
            <w:webHidden/>
          </w:rPr>
          <w:t>20</w:t>
        </w:r>
        <w:r w:rsidR="009B42B8">
          <w:rPr>
            <w:noProof/>
            <w:webHidden/>
          </w:rPr>
          <w:fldChar w:fldCharType="end"/>
        </w:r>
      </w:hyperlink>
    </w:p>
    <w:p w14:paraId="11E523A9" w14:textId="06C59939" w:rsidR="009B42B8" w:rsidRDefault="00041F25">
      <w:pPr>
        <w:pStyle w:val="TOC2"/>
        <w:tabs>
          <w:tab w:val="left" w:pos="880"/>
          <w:tab w:val="right" w:leader="dot" w:pos="8302"/>
        </w:tabs>
        <w:rPr>
          <w:rFonts w:eastAsiaTheme="minorEastAsia" w:cstheme="minorBidi"/>
          <w:b w:val="0"/>
          <w:bCs w:val="0"/>
          <w:noProof/>
        </w:rPr>
      </w:pPr>
      <w:hyperlink w:anchor="_Toc525816061" w:history="1">
        <w:r w:rsidR="009B42B8" w:rsidRPr="00AD712E">
          <w:rPr>
            <w:rStyle w:val="Hyperlink"/>
            <w:noProof/>
            <w14:scene3d>
              <w14:camera w14:prst="orthographicFront"/>
              <w14:lightRig w14:rig="threePt" w14:dir="t">
                <w14:rot w14:lat="0" w14:lon="0" w14:rev="0"/>
              </w14:lightRig>
            </w14:scene3d>
          </w:rPr>
          <w:t>3.1</w:t>
        </w:r>
        <w:r w:rsidR="009B42B8">
          <w:rPr>
            <w:rFonts w:eastAsiaTheme="minorEastAsia" w:cstheme="minorBidi"/>
            <w:b w:val="0"/>
            <w:bCs w:val="0"/>
            <w:noProof/>
          </w:rPr>
          <w:tab/>
        </w:r>
        <w:r w:rsidR="009B42B8" w:rsidRPr="00AD712E">
          <w:rPr>
            <w:rStyle w:val="Hyperlink"/>
            <w:noProof/>
          </w:rPr>
          <w:t>Diagnostic Medicine Clinical Committee members</w:t>
        </w:r>
        <w:r w:rsidR="009B42B8">
          <w:rPr>
            <w:noProof/>
            <w:webHidden/>
          </w:rPr>
          <w:tab/>
        </w:r>
        <w:r w:rsidR="009B42B8">
          <w:rPr>
            <w:noProof/>
            <w:webHidden/>
          </w:rPr>
          <w:fldChar w:fldCharType="begin"/>
        </w:r>
        <w:r w:rsidR="009B42B8">
          <w:rPr>
            <w:noProof/>
            <w:webHidden/>
          </w:rPr>
          <w:instrText xml:space="preserve"> PAGEREF _Toc525816061 \h </w:instrText>
        </w:r>
        <w:r w:rsidR="009B42B8">
          <w:rPr>
            <w:noProof/>
            <w:webHidden/>
          </w:rPr>
        </w:r>
        <w:r w:rsidR="009B42B8">
          <w:rPr>
            <w:noProof/>
            <w:webHidden/>
          </w:rPr>
          <w:fldChar w:fldCharType="separate"/>
        </w:r>
        <w:r w:rsidR="00985650">
          <w:rPr>
            <w:noProof/>
            <w:webHidden/>
          </w:rPr>
          <w:t>20</w:t>
        </w:r>
        <w:r w:rsidR="009B42B8">
          <w:rPr>
            <w:noProof/>
            <w:webHidden/>
          </w:rPr>
          <w:fldChar w:fldCharType="end"/>
        </w:r>
      </w:hyperlink>
    </w:p>
    <w:p w14:paraId="1E95B6AE" w14:textId="7561097D" w:rsidR="009B42B8" w:rsidRDefault="00041F25">
      <w:pPr>
        <w:pStyle w:val="TOC2"/>
        <w:tabs>
          <w:tab w:val="left" w:pos="880"/>
          <w:tab w:val="right" w:leader="dot" w:pos="8302"/>
        </w:tabs>
        <w:rPr>
          <w:rFonts w:eastAsiaTheme="minorEastAsia" w:cstheme="minorBidi"/>
          <w:b w:val="0"/>
          <w:bCs w:val="0"/>
          <w:noProof/>
        </w:rPr>
      </w:pPr>
      <w:hyperlink w:anchor="_Toc525816062" w:history="1">
        <w:r w:rsidR="009B42B8" w:rsidRPr="00AD712E">
          <w:rPr>
            <w:rStyle w:val="Hyperlink"/>
            <w:noProof/>
            <w14:scene3d>
              <w14:camera w14:prst="orthographicFront"/>
              <w14:lightRig w14:rig="threePt" w14:dir="t">
                <w14:rot w14:lat="0" w14:lon="0" w14:rev="0"/>
              </w14:lightRig>
            </w14:scene3d>
          </w:rPr>
          <w:t>3.2</w:t>
        </w:r>
        <w:r w:rsidR="009B42B8">
          <w:rPr>
            <w:rFonts w:eastAsiaTheme="minorEastAsia" w:cstheme="minorBidi"/>
            <w:b w:val="0"/>
            <w:bCs w:val="0"/>
            <w:noProof/>
          </w:rPr>
          <w:tab/>
        </w:r>
        <w:r w:rsidR="009B42B8" w:rsidRPr="00AD712E">
          <w:rPr>
            <w:rStyle w:val="Hyperlink"/>
            <w:noProof/>
          </w:rPr>
          <w:t>Conflicts of interest</w:t>
        </w:r>
        <w:r w:rsidR="009B42B8">
          <w:rPr>
            <w:noProof/>
            <w:webHidden/>
          </w:rPr>
          <w:tab/>
        </w:r>
        <w:r w:rsidR="009B42B8">
          <w:rPr>
            <w:noProof/>
            <w:webHidden/>
          </w:rPr>
          <w:fldChar w:fldCharType="begin"/>
        </w:r>
        <w:r w:rsidR="009B42B8">
          <w:rPr>
            <w:noProof/>
            <w:webHidden/>
          </w:rPr>
          <w:instrText xml:space="preserve"> PAGEREF _Toc525816062 \h </w:instrText>
        </w:r>
        <w:r w:rsidR="009B42B8">
          <w:rPr>
            <w:noProof/>
            <w:webHidden/>
          </w:rPr>
        </w:r>
        <w:r w:rsidR="009B42B8">
          <w:rPr>
            <w:noProof/>
            <w:webHidden/>
          </w:rPr>
          <w:fldChar w:fldCharType="separate"/>
        </w:r>
        <w:r w:rsidR="00985650">
          <w:rPr>
            <w:noProof/>
            <w:webHidden/>
          </w:rPr>
          <w:t>21</w:t>
        </w:r>
        <w:r w:rsidR="009B42B8">
          <w:rPr>
            <w:noProof/>
            <w:webHidden/>
          </w:rPr>
          <w:fldChar w:fldCharType="end"/>
        </w:r>
      </w:hyperlink>
    </w:p>
    <w:p w14:paraId="708DF219" w14:textId="304DACAE" w:rsidR="009B42B8" w:rsidRDefault="00041F25">
      <w:pPr>
        <w:pStyle w:val="TOC2"/>
        <w:tabs>
          <w:tab w:val="left" w:pos="880"/>
          <w:tab w:val="right" w:leader="dot" w:pos="8302"/>
        </w:tabs>
        <w:rPr>
          <w:rFonts w:eastAsiaTheme="minorEastAsia" w:cstheme="minorBidi"/>
          <w:b w:val="0"/>
          <w:bCs w:val="0"/>
          <w:noProof/>
        </w:rPr>
      </w:pPr>
      <w:hyperlink w:anchor="_Toc525816063" w:history="1">
        <w:r w:rsidR="009B42B8" w:rsidRPr="00AD712E">
          <w:rPr>
            <w:rStyle w:val="Hyperlink"/>
            <w:noProof/>
            <w14:scene3d>
              <w14:camera w14:prst="orthographicFront"/>
              <w14:lightRig w14:rig="threePt" w14:dir="t">
                <w14:rot w14:lat="0" w14:lon="0" w14:rev="0"/>
              </w14:lightRig>
            </w14:scene3d>
          </w:rPr>
          <w:t>3.3</w:t>
        </w:r>
        <w:r w:rsidR="009B42B8">
          <w:rPr>
            <w:rFonts w:eastAsiaTheme="minorEastAsia" w:cstheme="minorBidi"/>
            <w:b w:val="0"/>
            <w:bCs w:val="0"/>
            <w:noProof/>
          </w:rPr>
          <w:tab/>
        </w:r>
        <w:r w:rsidR="009B42B8" w:rsidRPr="00AD712E">
          <w:rPr>
            <w:rStyle w:val="Hyperlink"/>
            <w:noProof/>
          </w:rPr>
          <w:t>Areas of responsibility of the Committee</w:t>
        </w:r>
        <w:r w:rsidR="009B42B8">
          <w:rPr>
            <w:noProof/>
            <w:webHidden/>
          </w:rPr>
          <w:tab/>
        </w:r>
        <w:r w:rsidR="009B42B8">
          <w:rPr>
            <w:noProof/>
            <w:webHidden/>
          </w:rPr>
          <w:fldChar w:fldCharType="begin"/>
        </w:r>
        <w:r w:rsidR="009B42B8">
          <w:rPr>
            <w:noProof/>
            <w:webHidden/>
          </w:rPr>
          <w:instrText xml:space="preserve"> PAGEREF _Toc525816063 \h </w:instrText>
        </w:r>
        <w:r w:rsidR="009B42B8">
          <w:rPr>
            <w:noProof/>
            <w:webHidden/>
          </w:rPr>
        </w:r>
        <w:r w:rsidR="009B42B8">
          <w:rPr>
            <w:noProof/>
            <w:webHidden/>
          </w:rPr>
          <w:fldChar w:fldCharType="separate"/>
        </w:r>
        <w:r w:rsidR="00985650">
          <w:rPr>
            <w:noProof/>
            <w:webHidden/>
          </w:rPr>
          <w:t>22</w:t>
        </w:r>
        <w:r w:rsidR="009B42B8">
          <w:rPr>
            <w:noProof/>
            <w:webHidden/>
          </w:rPr>
          <w:fldChar w:fldCharType="end"/>
        </w:r>
      </w:hyperlink>
    </w:p>
    <w:p w14:paraId="108D8E77" w14:textId="58560986" w:rsidR="009B42B8" w:rsidRDefault="00041F25">
      <w:pPr>
        <w:pStyle w:val="TOC2"/>
        <w:tabs>
          <w:tab w:val="left" w:pos="880"/>
          <w:tab w:val="right" w:leader="dot" w:pos="8302"/>
        </w:tabs>
        <w:rPr>
          <w:rFonts w:eastAsiaTheme="minorEastAsia" w:cstheme="minorBidi"/>
          <w:b w:val="0"/>
          <w:bCs w:val="0"/>
          <w:noProof/>
        </w:rPr>
      </w:pPr>
      <w:hyperlink w:anchor="_Toc525816064" w:history="1">
        <w:r w:rsidR="009B42B8" w:rsidRPr="00AD712E">
          <w:rPr>
            <w:rStyle w:val="Hyperlink"/>
            <w:noProof/>
            <w14:scene3d>
              <w14:camera w14:prst="orthographicFront"/>
              <w14:lightRig w14:rig="threePt" w14:dir="t">
                <w14:rot w14:lat="0" w14:lon="0" w14:rev="0"/>
              </w14:lightRig>
            </w14:scene3d>
          </w:rPr>
          <w:t>3.4</w:t>
        </w:r>
        <w:r w:rsidR="009B42B8">
          <w:rPr>
            <w:rFonts w:eastAsiaTheme="minorEastAsia" w:cstheme="minorBidi"/>
            <w:b w:val="0"/>
            <w:bCs w:val="0"/>
            <w:noProof/>
          </w:rPr>
          <w:tab/>
        </w:r>
        <w:r w:rsidR="009B42B8" w:rsidRPr="00AD712E">
          <w:rPr>
            <w:rStyle w:val="Hyperlink"/>
            <w:noProof/>
          </w:rPr>
          <w:t>Summary of the Committee’s review approach</w:t>
        </w:r>
        <w:r w:rsidR="009B42B8">
          <w:rPr>
            <w:noProof/>
            <w:webHidden/>
          </w:rPr>
          <w:tab/>
        </w:r>
        <w:r w:rsidR="009B42B8">
          <w:rPr>
            <w:noProof/>
            <w:webHidden/>
          </w:rPr>
          <w:fldChar w:fldCharType="begin"/>
        </w:r>
        <w:r w:rsidR="009B42B8">
          <w:rPr>
            <w:noProof/>
            <w:webHidden/>
          </w:rPr>
          <w:instrText xml:space="preserve"> PAGEREF _Toc525816064 \h </w:instrText>
        </w:r>
        <w:r w:rsidR="009B42B8">
          <w:rPr>
            <w:noProof/>
            <w:webHidden/>
          </w:rPr>
        </w:r>
        <w:r w:rsidR="009B42B8">
          <w:rPr>
            <w:noProof/>
            <w:webHidden/>
          </w:rPr>
          <w:fldChar w:fldCharType="separate"/>
        </w:r>
        <w:r w:rsidR="00985650">
          <w:rPr>
            <w:noProof/>
            <w:webHidden/>
          </w:rPr>
          <w:t>22</w:t>
        </w:r>
        <w:r w:rsidR="009B42B8">
          <w:rPr>
            <w:noProof/>
            <w:webHidden/>
          </w:rPr>
          <w:fldChar w:fldCharType="end"/>
        </w:r>
      </w:hyperlink>
    </w:p>
    <w:p w14:paraId="219F1591" w14:textId="712A20A6" w:rsidR="009B42B8" w:rsidRDefault="00041F25">
      <w:pPr>
        <w:pStyle w:val="TOC2"/>
        <w:tabs>
          <w:tab w:val="left" w:pos="880"/>
          <w:tab w:val="right" w:leader="dot" w:pos="8302"/>
        </w:tabs>
        <w:rPr>
          <w:rFonts w:eastAsiaTheme="minorEastAsia" w:cstheme="minorBidi"/>
          <w:b w:val="0"/>
          <w:bCs w:val="0"/>
          <w:noProof/>
        </w:rPr>
      </w:pPr>
      <w:hyperlink w:anchor="_Toc525816065" w:history="1">
        <w:r w:rsidR="009B42B8" w:rsidRPr="00AD712E">
          <w:rPr>
            <w:rStyle w:val="Hyperlink"/>
            <w:noProof/>
            <w14:scene3d>
              <w14:camera w14:prst="orthographicFront"/>
              <w14:lightRig w14:rig="threePt" w14:dir="t">
                <w14:rot w14:lat="0" w14:lon="0" w14:rev="0"/>
              </w14:lightRig>
            </w14:scene3d>
          </w:rPr>
          <w:t>3.5</w:t>
        </w:r>
        <w:r w:rsidR="009B42B8">
          <w:rPr>
            <w:rFonts w:eastAsiaTheme="minorEastAsia" w:cstheme="minorBidi"/>
            <w:b w:val="0"/>
            <w:bCs w:val="0"/>
            <w:noProof/>
          </w:rPr>
          <w:tab/>
        </w:r>
        <w:r w:rsidR="009B42B8" w:rsidRPr="00AD712E">
          <w:rPr>
            <w:rStyle w:val="Hyperlink"/>
            <w:noProof/>
          </w:rPr>
          <w:t>Limitations – Data</w:t>
        </w:r>
        <w:r w:rsidR="009B42B8">
          <w:rPr>
            <w:noProof/>
            <w:webHidden/>
          </w:rPr>
          <w:tab/>
        </w:r>
        <w:r w:rsidR="009B42B8">
          <w:rPr>
            <w:noProof/>
            <w:webHidden/>
          </w:rPr>
          <w:fldChar w:fldCharType="begin"/>
        </w:r>
        <w:r w:rsidR="009B42B8">
          <w:rPr>
            <w:noProof/>
            <w:webHidden/>
          </w:rPr>
          <w:instrText xml:space="preserve"> PAGEREF _Toc525816065 \h </w:instrText>
        </w:r>
        <w:r w:rsidR="009B42B8">
          <w:rPr>
            <w:noProof/>
            <w:webHidden/>
          </w:rPr>
        </w:r>
        <w:r w:rsidR="009B42B8">
          <w:rPr>
            <w:noProof/>
            <w:webHidden/>
          </w:rPr>
          <w:fldChar w:fldCharType="separate"/>
        </w:r>
        <w:r w:rsidR="00985650">
          <w:rPr>
            <w:noProof/>
            <w:webHidden/>
          </w:rPr>
          <w:t>23</w:t>
        </w:r>
        <w:r w:rsidR="009B42B8">
          <w:rPr>
            <w:noProof/>
            <w:webHidden/>
          </w:rPr>
          <w:fldChar w:fldCharType="end"/>
        </w:r>
      </w:hyperlink>
    </w:p>
    <w:p w14:paraId="6F0B2733" w14:textId="69435F14" w:rsidR="009B42B8" w:rsidRDefault="00041F25" w:rsidP="00D20CCE">
      <w:pPr>
        <w:pStyle w:val="TOC1"/>
        <w:rPr>
          <w:rFonts w:eastAsiaTheme="minorEastAsia" w:cstheme="minorBidi"/>
          <w:noProof/>
          <w:sz w:val="22"/>
          <w:szCs w:val="22"/>
        </w:rPr>
      </w:pPr>
      <w:hyperlink w:anchor="_Toc525816066" w:history="1">
        <w:r w:rsidR="009B42B8" w:rsidRPr="00AD712E">
          <w:rPr>
            <w:rStyle w:val="Hyperlink"/>
            <w:noProof/>
          </w:rPr>
          <w:t>4.</w:t>
        </w:r>
        <w:r w:rsidR="009B42B8">
          <w:rPr>
            <w:rFonts w:eastAsiaTheme="minorEastAsia" w:cstheme="minorBidi"/>
            <w:noProof/>
            <w:sz w:val="22"/>
            <w:szCs w:val="22"/>
          </w:rPr>
          <w:tab/>
        </w:r>
        <w:r w:rsidR="009B42B8" w:rsidRPr="00AD712E">
          <w:rPr>
            <w:rStyle w:val="Hyperlink"/>
            <w:noProof/>
          </w:rPr>
          <w:t>Mechanisms for better requesting of diagnostic tests</w:t>
        </w:r>
        <w:r w:rsidR="009B42B8">
          <w:rPr>
            <w:noProof/>
            <w:webHidden/>
          </w:rPr>
          <w:tab/>
        </w:r>
        <w:r w:rsidR="009B42B8">
          <w:rPr>
            <w:noProof/>
            <w:webHidden/>
          </w:rPr>
          <w:fldChar w:fldCharType="begin"/>
        </w:r>
        <w:r w:rsidR="009B42B8">
          <w:rPr>
            <w:noProof/>
            <w:webHidden/>
          </w:rPr>
          <w:instrText xml:space="preserve"> PAGEREF _Toc525816066 \h </w:instrText>
        </w:r>
        <w:r w:rsidR="009B42B8">
          <w:rPr>
            <w:noProof/>
            <w:webHidden/>
          </w:rPr>
        </w:r>
        <w:r w:rsidR="009B42B8">
          <w:rPr>
            <w:noProof/>
            <w:webHidden/>
          </w:rPr>
          <w:fldChar w:fldCharType="separate"/>
        </w:r>
        <w:r w:rsidR="00985650">
          <w:rPr>
            <w:noProof/>
            <w:webHidden/>
          </w:rPr>
          <w:t>24</w:t>
        </w:r>
        <w:r w:rsidR="009B42B8">
          <w:rPr>
            <w:noProof/>
            <w:webHidden/>
          </w:rPr>
          <w:fldChar w:fldCharType="end"/>
        </w:r>
      </w:hyperlink>
    </w:p>
    <w:p w14:paraId="19EBD354" w14:textId="0F47BB84" w:rsidR="009B42B8" w:rsidRDefault="00041F25">
      <w:pPr>
        <w:pStyle w:val="TOC2"/>
        <w:tabs>
          <w:tab w:val="left" w:pos="880"/>
          <w:tab w:val="right" w:leader="dot" w:pos="8302"/>
        </w:tabs>
        <w:rPr>
          <w:rFonts w:eastAsiaTheme="minorEastAsia" w:cstheme="minorBidi"/>
          <w:b w:val="0"/>
          <w:bCs w:val="0"/>
          <w:noProof/>
        </w:rPr>
      </w:pPr>
      <w:hyperlink w:anchor="_Toc525816067" w:history="1">
        <w:r w:rsidR="009B42B8" w:rsidRPr="00AD712E">
          <w:rPr>
            <w:rStyle w:val="Hyperlink"/>
            <w:noProof/>
            <w14:scene3d>
              <w14:camera w14:prst="orthographicFront"/>
              <w14:lightRig w14:rig="threePt" w14:dir="t">
                <w14:rot w14:lat="0" w14:lon="0" w14:rev="0"/>
              </w14:lightRig>
            </w14:scene3d>
          </w:rPr>
          <w:t>4.1</w:t>
        </w:r>
        <w:r w:rsidR="009B42B8">
          <w:rPr>
            <w:rFonts w:eastAsiaTheme="minorEastAsia" w:cstheme="minorBidi"/>
            <w:b w:val="0"/>
            <w:bCs w:val="0"/>
            <w:noProof/>
          </w:rPr>
          <w:tab/>
        </w:r>
        <w:r w:rsidR="009B42B8" w:rsidRPr="00AD712E">
          <w:rPr>
            <w:rStyle w:val="Hyperlink"/>
            <w:noProof/>
          </w:rPr>
          <w:t>Introduction</w:t>
        </w:r>
        <w:r w:rsidR="009B42B8">
          <w:rPr>
            <w:noProof/>
            <w:webHidden/>
          </w:rPr>
          <w:tab/>
        </w:r>
        <w:r w:rsidR="009B42B8">
          <w:rPr>
            <w:noProof/>
            <w:webHidden/>
          </w:rPr>
          <w:fldChar w:fldCharType="begin"/>
        </w:r>
        <w:r w:rsidR="009B42B8">
          <w:rPr>
            <w:noProof/>
            <w:webHidden/>
          </w:rPr>
          <w:instrText xml:space="preserve"> PAGEREF _Toc525816067 \h </w:instrText>
        </w:r>
        <w:r w:rsidR="009B42B8">
          <w:rPr>
            <w:noProof/>
            <w:webHidden/>
          </w:rPr>
        </w:r>
        <w:r w:rsidR="009B42B8">
          <w:rPr>
            <w:noProof/>
            <w:webHidden/>
          </w:rPr>
          <w:fldChar w:fldCharType="separate"/>
        </w:r>
        <w:r w:rsidR="00985650">
          <w:rPr>
            <w:noProof/>
            <w:webHidden/>
          </w:rPr>
          <w:t>24</w:t>
        </w:r>
        <w:r w:rsidR="009B42B8">
          <w:rPr>
            <w:noProof/>
            <w:webHidden/>
          </w:rPr>
          <w:fldChar w:fldCharType="end"/>
        </w:r>
      </w:hyperlink>
    </w:p>
    <w:p w14:paraId="0717047A" w14:textId="43C5F607" w:rsidR="009B42B8" w:rsidRDefault="00041F25">
      <w:pPr>
        <w:pStyle w:val="TOC2"/>
        <w:tabs>
          <w:tab w:val="left" w:pos="880"/>
          <w:tab w:val="right" w:leader="dot" w:pos="8302"/>
        </w:tabs>
        <w:rPr>
          <w:rFonts w:eastAsiaTheme="minorEastAsia" w:cstheme="minorBidi"/>
          <w:b w:val="0"/>
          <w:bCs w:val="0"/>
          <w:noProof/>
        </w:rPr>
      </w:pPr>
      <w:hyperlink w:anchor="_Toc525816068" w:history="1">
        <w:r w:rsidR="009B42B8" w:rsidRPr="00AD712E">
          <w:rPr>
            <w:rStyle w:val="Hyperlink"/>
            <w:noProof/>
            <w14:scene3d>
              <w14:camera w14:prst="orthographicFront"/>
              <w14:lightRig w14:rig="threePt" w14:dir="t">
                <w14:rot w14:lat="0" w14:lon="0" w14:rev="0"/>
              </w14:lightRig>
            </w14:scene3d>
          </w:rPr>
          <w:t>4.2</w:t>
        </w:r>
        <w:r w:rsidR="009B42B8">
          <w:rPr>
            <w:rFonts w:eastAsiaTheme="minorEastAsia" w:cstheme="minorBidi"/>
            <w:b w:val="0"/>
            <w:bCs w:val="0"/>
            <w:noProof/>
          </w:rPr>
          <w:tab/>
        </w:r>
        <w:r w:rsidR="009B42B8" w:rsidRPr="00AD712E">
          <w:rPr>
            <w:rStyle w:val="Hyperlink"/>
            <w:noProof/>
          </w:rPr>
          <w:t>The nine mechanisms for better requesting</w:t>
        </w:r>
        <w:r w:rsidR="009B42B8">
          <w:rPr>
            <w:noProof/>
            <w:webHidden/>
          </w:rPr>
          <w:tab/>
        </w:r>
        <w:r w:rsidR="009B42B8">
          <w:rPr>
            <w:noProof/>
            <w:webHidden/>
          </w:rPr>
          <w:fldChar w:fldCharType="begin"/>
        </w:r>
        <w:r w:rsidR="009B42B8">
          <w:rPr>
            <w:noProof/>
            <w:webHidden/>
          </w:rPr>
          <w:instrText xml:space="preserve"> PAGEREF _Toc525816068 \h </w:instrText>
        </w:r>
        <w:r w:rsidR="009B42B8">
          <w:rPr>
            <w:noProof/>
            <w:webHidden/>
          </w:rPr>
        </w:r>
        <w:r w:rsidR="009B42B8">
          <w:rPr>
            <w:noProof/>
            <w:webHidden/>
          </w:rPr>
          <w:fldChar w:fldCharType="separate"/>
        </w:r>
        <w:r w:rsidR="00985650">
          <w:rPr>
            <w:noProof/>
            <w:webHidden/>
          </w:rPr>
          <w:t>26</w:t>
        </w:r>
        <w:r w:rsidR="009B42B8">
          <w:rPr>
            <w:noProof/>
            <w:webHidden/>
          </w:rPr>
          <w:fldChar w:fldCharType="end"/>
        </w:r>
      </w:hyperlink>
    </w:p>
    <w:p w14:paraId="19137053" w14:textId="64BA47E5" w:rsidR="009B42B8" w:rsidRDefault="00041F25">
      <w:pPr>
        <w:pStyle w:val="TOC3"/>
        <w:tabs>
          <w:tab w:val="left" w:pos="1100"/>
          <w:tab w:val="right" w:leader="dot" w:pos="8302"/>
        </w:tabs>
        <w:rPr>
          <w:rFonts w:eastAsiaTheme="minorEastAsia" w:cstheme="minorBidi"/>
          <w:noProof/>
          <w:sz w:val="22"/>
          <w:szCs w:val="22"/>
        </w:rPr>
      </w:pPr>
      <w:hyperlink w:anchor="_Toc525816069" w:history="1">
        <w:r w:rsidR="009B42B8" w:rsidRPr="00AD712E">
          <w:rPr>
            <w:rStyle w:val="Hyperlink"/>
            <w:noProof/>
          </w:rPr>
          <w:t>4.2.1</w:t>
        </w:r>
        <w:r w:rsidR="009B42B8">
          <w:rPr>
            <w:rFonts w:eastAsiaTheme="minorEastAsia" w:cstheme="minorBidi"/>
            <w:noProof/>
            <w:sz w:val="22"/>
            <w:szCs w:val="22"/>
          </w:rPr>
          <w:tab/>
        </w:r>
        <w:r w:rsidR="009B42B8" w:rsidRPr="00AD712E">
          <w:rPr>
            <w:rStyle w:val="Hyperlink"/>
            <w:noProof/>
          </w:rPr>
          <w:t>Consumer education</w:t>
        </w:r>
        <w:r w:rsidR="009B42B8">
          <w:rPr>
            <w:noProof/>
            <w:webHidden/>
          </w:rPr>
          <w:tab/>
        </w:r>
        <w:r w:rsidR="009B42B8">
          <w:rPr>
            <w:noProof/>
            <w:webHidden/>
          </w:rPr>
          <w:fldChar w:fldCharType="begin"/>
        </w:r>
        <w:r w:rsidR="009B42B8">
          <w:rPr>
            <w:noProof/>
            <w:webHidden/>
          </w:rPr>
          <w:instrText xml:space="preserve"> PAGEREF _Toc525816069 \h </w:instrText>
        </w:r>
        <w:r w:rsidR="009B42B8">
          <w:rPr>
            <w:noProof/>
            <w:webHidden/>
          </w:rPr>
        </w:r>
        <w:r w:rsidR="009B42B8">
          <w:rPr>
            <w:noProof/>
            <w:webHidden/>
          </w:rPr>
          <w:fldChar w:fldCharType="separate"/>
        </w:r>
        <w:r w:rsidR="00985650">
          <w:rPr>
            <w:noProof/>
            <w:webHidden/>
          </w:rPr>
          <w:t>26</w:t>
        </w:r>
        <w:r w:rsidR="009B42B8">
          <w:rPr>
            <w:noProof/>
            <w:webHidden/>
          </w:rPr>
          <w:fldChar w:fldCharType="end"/>
        </w:r>
      </w:hyperlink>
    </w:p>
    <w:p w14:paraId="19C8D5E1" w14:textId="13E00452" w:rsidR="009B42B8" w:rsidRDefault="00041F25">
      <w:pPr>
        <w:pStyle w:val="TOC3"/>
        <w:tabs>
          <w:tab w:val="left" w:pos="1100"/>
          <w:tab w:val="right" w:leader="dot" w:pos="8302"/>
        </w:tabs>
        <w:rPr>
          <w:rFonts w:eastAsiaTheme="minorEastAsia" w:cstheme="minorBidi"/>
          <w:noProof/>
          <w:sz w:val="22"/>
          <w:szCs w:val="22"/>
        </w:rPr>
      </w:pPr>
      <w:hyperlink w:anchor="_Toc525816070" w:history="1">
        <w:r w:rsidR="009B42B8" w:rsidRPr="00AD712E">
          <w:rPr>
            <w:rStyle w:val="Hyperlink"/>
            <w:noProof/>
          </w:rPr>
          <w:t>4.2.2</w:t>
        </w:r>
        <w:r w:rsidR="009B42B8">
          <w:rPr>
            <w:rFonts w:eastAsiaTheme="minorEastAsia" w:cstheme="minorBidi"/>
            <w:noProof/>
            <w:sz w:val="22"/>
            <w:szCs w:val="22"/>
          </w:rPr>
          <w:tab/>
        </w:r>
        <w:r w:rsidR="009B42B8" w:rsidRPr="00AD712E">
          <w:rPr>
            <w:rStyle w:val="Hyperlink"/>
            <w:noProof/>
          </w:rPr>
          <w:t>Requester education</w:t>
        </w:r>
        <w:r w:rsidR="009B42B8">
          <w:rPr>
            <w:noProof/>
            <w:webHidden/>
          </w:rPr>
          <w:tab/>
        </w:r>
        <w:r w:rsidR="009B42B8">
          <w:rPr>
            <w:noProof/>
            <w:webHidden/>
          </w:rPr>
          <w:fldChar w:fldCharType="begin"/>
        </w:r>
        <w:r w:rsidR="009B42B8">
          <w:rPr>
            <w:noProof/>
            <w:webHidden/>
          </w:rPr>
          <w:instrText xml:space="preserve"> PAGEREF _Toc525816070 \h </w:instrText>
        </w:r>
        <w:r w:rsidR="009B42B8">
          <w:rPr>
            <w:noProof/>
            <w:webHidden/>
          </w:rPr>
        </w:r>
        <w:r w:rsidR="009B42B8">
          <w:rPr>
            <w:noProof/>
            <w:webHidden/>
          </w:rPr>
          <w:fldChar w:fldCharType="separate"/>
        </w:r>
        <w:r w:rsidR="00985650">
          <w:rPr>
            <w:noProof/>
            <w:webHidden/>
          </w:rPr>
          <w:t>27</w:t>
        </w:r>
        <w:r w:rsidR="009B42B8">
          <w:rPr>
            <w:noProof/>
            <w:webHidden/>
          </w:rPr>
          <w:fldChar w:fldCharType="end"/>
        </w:r>
      </w:hyperlink>
    </w:p>
    <w:p w14:paraId="48C1D548" w14:textId="21B59935" w:rsidR="009B42B8" w:rsidRDefault="00041F25">
      <w:pPr>
        <w:pStyle w:val="TOC3"/>
        <w:tabs>
          <w:tab w:val="left" w:pos="1100"/>
          <w:tab w:val="right" w:leader="dot" w:pos="8302"/>
        </w:tabs>
        <w:rPr>
          <w:rFonts w:eastAsiaTheme="minorEastAsia" w:cstheme="minorBidi"/>
          <w:noProof/>
          <w:sz w:val="22"/>
          <w:szCs w:val="22"/>
        </w:rPr>
      </w:pPr>
      <w:hyperlink w:anchor="_Toc525816071" w:history="1">
        <w:r w:rsidR="009B42B8" w:rsidRPr="00AD712E">
          <w:rPr>
            <w:rStyle w:val="Hyperlink"/>
            <w:noProof/>
          </w:rPr>
          <w:t>4.2.3</w:t>
        </w:r>
        <w:r w:rsidR="009B42B8">
          <w:rPr>
            <w:rFonts w:eastAsiaTheme="minorEastAsia" w:cstheme="minorBidi"/>
            <w:noProof/>
            <w:sz w:val="22"/>
            <w:szCs w:val="22"/>
          </w:rPr>
          <w:tab/>
        </w:r>
        <w:r w:rsidR="009B42B8" w:rsidRPr="00AD712E">
          <w:rPr>
            <w:rStyle w:val="Hyperlink"/>
            <w:noProof/>
          </w:rPr>
          <w:t>Electronic clinical decision support</w:t>
        </w:r>
        <w:r w:rsidR="00151388">
          <w:rPr>
            <w:rStyle w:val="Hyperlink"/>
            <w:noProof/>
          </w:rPr>
          <w:t xml:space="preserve"> (CDS)</w:t>
        </w:r>
        <w:r w:rsidR="009B42B8">
          <w:rPr>
            <w:noProof/>
            <w:webHidden/>
          </w:rPr>
          <w:tab/>
        </w:r>
        <w:r w:rsidR="009B42B8">
          <w:rPr>
            <w:noProof/>
            <w:webHidden/>
          </w:rPr>
          <w:fldChar w:fldCharType="begin"/>
        </w:r>
        <w:r w:rsidR="009B42B8">
          <w:rPr>
            <w:noProof/>
            <w:webHidden/>
          </w:rPr>
          <w:instrText xml:space="preserve"> PAGEREF _Toc525816071 \h </w:instrText>
        </w:r>
        <w:r w:rsidR="009B42B8">
          <w:rPr>
            <w:noProof/>
            <w:webHidden/>
          </w:rPr>
        </w:r>
        <w:r w:rsidR="009B42B8">
          <w:rPr>
            <w:noProof/>
            <w:webHidden/>
          </w:rPr>
          <w:fldChar w:fldCharType="separate"/>
        </w:r>
        <w:r w:rsidR="00985650">
          <w:rPr>
            <w:noProof/>
            <w:webHidden/>
          </w:rPr>
          <w:t>27</w:t>
        </w:r>
        <w:r w:rsidR="009B42B8">
          <w:rPr>
            <w:noProof/>
            <w:webHidden/>
          </w:rPr>
          <w:fldChar w:fldCharType="end"/>
        </w:r>
      </w:hyperlink>
    </w:p>
    <w:p w14:paraId="4F1FFC01" w14:textId="336AC285" w:rsidR="009B42B8" w:rsidRDefault="00041F25">
      <w:pPr>
        <w:pStyle w:val="TOC3"/>
        <w:tabs>
          <w:tab w:val="left" w:pos="1100"/>
          <w:tab w:val="right" w:leader="dot" w:pos="8302"/>
        </w:tabs>
        <w:rPr>
          <w:rFonts w:eastAsiaTheme="minorEastAsia" w:cstheme="minorBidi"/>
          <w:noProof/>
          <w:sz w:val="22"/>
          <w:szCs w:val="22"/>
        </w:rPr>
      </w:pPr>
      <w:hyperlink w:anchor="_Toc525816072" w:history="1">
        <w:r w:rsidR="009B42B8" w:rsidRPr="00AD712E">
          <w:rPr>
            <w:rStyle w:val="Hyperlink"/>
            <w:noProof/>
          </w:rPr>
          <w:t>4.2.4</w:t>
        </w:r>
        <w:r w:rsidR="009B42B8">
          <w:rPr>
            <w:rFonts w:eastAsiaTheme="minorEastAsia" w:cstheme="minorBidi"/>
            <w:noProof/>
            <w:sz w:val="22"/>
            <w:szCs w:val="22"/>
          </w:rPr>
          <w:tab/>
        </w:r>
        <w:r w:rsidR="009B42B8" w:rsidRPr="00AD712E">
          <w:rPr>
            <w:rStyle w:val="Hyperlink"/>
            <w:noProof/>
          </w:rPr>
          <w:t>Requesting pattern transparency</w:t>
        </w:r>
        <w:r w:rsidR="009B42B8">
          <w:rPr>
            <w:noProof/>
            <w:webHidden/>
          </w:rPr>
          <w:tab/>
        </w:r>
        <w:r w:rsidR="009B42B8">
          <w:rPr>
            <w:noProof/>
            <w:webHidden/>
          </w:rPr>
          <w:fldChar w:fldCharType="begin"/>
        </w:r>
        <w:r w:rsidR="009B42B8">
          <w:rPr>
            <w:noProof/>
            <w:webHidden/>
          </w:rPr>
          <w:instrText xml:space="preserve"> PAGEREF _Toc525816072 \h </w:instrText>
        </w:r>
        <w:r w:rsidR="009B42B8">
          <w:rPr>
            <w:noProof/>
            <w:webHidden/>
          </w:rPr>
        </w:r>
        <w:r w:rsidR="009B42B8">
          <w:rPr>
            <w:noProof/>
            <w:webHidden/>
          </w:rPr>
          <w:fldChar w:fldCharType="separate"/>
        </w:r>
        <w:r w:rsidR="00985650">
          <w:rPr>
            <w:noProof/>
            <w:webHidden/>
          </w:rPr>
          <w:t>28</w:t>
        </w:r>
        <w:r w:rsidR="009B42B8">
          <w:rPr>
            <w:noProof/>
            <w:webHidden/>
          </w:rPr>
          <w:fldChar w:fldCharType="end"/>
        </w:r>
      </w:hyperlink>
    </w:p>
    <w:p w14:paraId="19138BD5" w14:textId="3F78E412" w:rsidR="009B42B8" w:rsidRDefault="00041F25">
      <w:pPr>
        <w:pStyle w:val="TOC3"/>
        <w:tabs>
          <w:tab w:val="left" w:pos="1100"/>
          <w:tab w:val="right" w:leader="dot" w:pos="8302"/>
        </w:tabs>
        <w:rPr>
          <w:rFonts w:eastAsiaTheme="minorEastAsia" w:cstheme="minorBidi"/>
          <w:noProof/>
          <w:sz w:val="22"/>
          <w:szCs w:val="22"/>
        </w:rPr>
      </w:pPr>
      <w:hyperlink w:anchor="_Toc525816073" w:history="1">
        <w:r w:rsidR="009B42B8" w:rsidRPr="00AD712E">
          <w:rPr>
            <w:rStyle w:val="Hyperlink"/>
            <w:noProof/>
          </w:rPr>
          <w:t>4.2.5</w:t>
        </w:r>
        <w:r w:rsidR="009B42B8">
          <w:rPr>
            <w:rFonts w:eastAsiaTheme="minorEastAsia" w:cstheme="minorBidi"/>
            <w:noProof/>
            <w:sz w:val="22"/>
            <w:szCs w:val="22"/>
          </w:rPr>
          <w:tab/>
        </w:r>
        <w:r w:rsidR="009B42B8" w:rsidRPr="00AD712E">
          <w:rPr>
            <w:rStyle w:val="Hyperlink"/>
            <w:noProof/>
          </w:rPr>
          <w:t>Requesting process</w:t>
        </w:r>
        <w:r w:rsidR="009B42B8">
          <w:rPr>
            <w:noProof/>
            <w:webHidden/>
          </w:rPr>
          <w:tab/>
        </w:r>
        <w:r w:rsidR="009B42B8">
          <w:rPr>
            <w:noProof/>
            <w:webHidden/>
          </w:rPr>
          <w:fldChar w:fldCharType="begin"/>
        </w:r>
        <w:r w:rsidR="009B42B8">
          <w:rPr>
            <w:noProof/>
            <w:webHidden/>
          </w:rPr>
          <w:instrText xml:space="preserve"> PAGEREF _Toc525816073 \h </w:instrText>
        </w:r>
        <w:r w:rsidR="009B42B8">
          <w:rPr>
            <w:noProof/>
            <w:webHidden/>
          </w:rPr>
        </w:r>
        <w:r w:rsidR="009B42B8">
          <w:rPr>
            <w:noProof/>
            <w:webHidden/>
          </w:rPr>
          <w:fldChar w:fldCharType="separate"/>
        </w:r>
        <w:r w:rsidR="00985650">
          <w:rPr>
            <w:noProof/>
            <w:webHidden/>
          </w:rPr>
          <w:t>28</w:t>
        </w:r>
        <w:r w:rsidR="009B42B8">
          <w:rPr>
            <w:noProof/>
            <w:webHidden/>
          </w:rPr>
          <w:fldChar w:fldCharType="end"/>
        </w:r>
      </w:hyperlink>
    </w:p>
    <w:p w14:paraId="1DE81936" w14:textId="6DC01DD3" w:rsidR="009B42B8" w:rsidRDefault="00041F25">
      <w:pPr>
        <w:pStyle w:val="TOC3"/>
        <w:tabs>
          <w:tab w:val="left" w:pos="1100"/>
          <w:tab w:val="right" w:leader="dot" w:pos="8302"/>
        </w:tabs>
        <w:rPr>
          <w:rFonts w:eastAsiaTheme="minorEastAsia" w:cstheme="minorBidi"/>
          <w:noProof/>
          <w:sz w:val="22"/>
          <w:szCs w:val="22"/>
        </w:rPr>
      </w:pPr>
      <w:hyperlink w:anchor="_Toc525816074" w:history="1">
        <w:r w:rsidR="009B42B8" w:rsidRPr="00AD712E">
          <w:rPr>
            <w:rStyle w:val="Hyperlink"/>
            <w:noProof/>
          </w:rPr>
          <w:t>4.2.6</w:t>
        </w:r>
        <w:r w:rsidR="009B42B8">
          <w:rPr>
            <w:rFonts w:eastAsiaTheme="minorEastAsia" w:cstheme="minorBidi"/>
            <w:noProof/>
            <w:sz w:val="22"/>
            <w:szCs w:val="22"/>
          </w:rPr>
          <w:tab/>
        </w:r>
        <w:r w:rsidR="009B42B8" w:rsidRPr="00AD712E">
          <w:rPr>
            <w:rStyle w:val="Hyperlink"/>
            <w:noProof/>
          </w:rPr>
          <w:t>Requester restrictions</w:t>
        </w:r>
        <w:r w:rsidR="009B42B8">
          <w:rPr>
            <w:noProof/>
            <w:webHidden/>
          </w:rPr>
          <w:tab/>
        </w:r>
        <w:r w:rsidR="009B42B8">
          <w:rPr>
            <w:noProof/>
            <w:webHidden/>
          </w:rPr>
          <w:fldChar w:fldCharType="begin"/>
        </w:r>
        <w:r w:rsidR="009B42B8">
          <w:rPr>
            <w:noProof/>
            <w:webHidden/>
          </w:rPr>
          <w:instrText xml:space="preserve"> PAGEREF _Toc525816074 \h </w:instrText>
        </w:r>
        <w:r w:rsidR="009B42B8">
          <w:rPr>
            <w:noProof/>
            <w:webHidden/>
          </w:rPr>
        </w:r>
        <w:r w:rsidR="009B42B8">
          <w:rPr>
            <w:noProof/>
            <w:webHidden/>
          </w:rPr>
          <w:fldChar w:fldCharType="separate"/>
        </w:r>
        <w:r w:rsidR="00985650">
          <w:rPr>
            <w:noProof/>
            <w:webHidden/>
          </w:rPr>
          <w:t>29</w:t>
        </w:r>
        <w:r w:rsidR="009B42B8">
          <w:rPr>
            <w:noProof/>
            <w:webHidden/>
          </w:rPr>
          <w:fldChar w:fldCharType="end"/>
        </w:r>
      </w:hyperlink>
    </w:p>
    <w:p w14:paraId="6C1BF43F" w14:textId="3E0B4ED3" w:rsidR="009B42B8" w:rsidRDefault="00041F25">
      <w:pPr>
        <w:pStyle w:val="TOC3"/>
        <w:tabs>
          <w:tab w:val="left" w:pos="1100"/>
          <w:tab w:val="right" w:leader="dot" w:pos="8302"/>
        </w:tabs>
        <w:rPr>
          <w:rFonts w:eastAsiaTheme="minorEastAsia" w:cstheme="minorBidi"/>
          <w:noProof/>
          <w:sz w:val="22"/>
          <w:szCs w:val="22"/>
        </w:rPr>
      </w:pPr>
      <w:hyperlink w:anchor="_Toc525816075" w:history="1">
        <w:r w:rsidR="009B42B8" w:rsidRPr="00AD712E">
          <w:rPr>
            <w:rStyle w:val="Hyperlink"/>
            <w:noProof/>
          </w:rPr>
          <w:t>4.2.7</w:t>
        </w:r>
        <w:r w:rsidR="009B42B8">
          <w:rPr>
            <w:rFonts w:eastAsiaTheme="minorEastAsia" w:cstheme="minorBidi"/>
            <w:noProof/>
            <w:sz w:val="22"/>
            <w:szCs w:val="22"/>
          </w:rPr>
          <w:tab/>
        </w:r>
        <w:r w:rsidR="009B42B8" w:rsidRPr="00AD712E">
          <w:rPr>
            <w:rStyle w:val="Hyperlink"/>
            <w:noProof/>
          </w:rPr>
          <w:t>Provider feedback to requester</w:t>
        </w:r>
        <w:r w:rsidR="009B42B8">
          <w:rPr>
            <w:noProof/>
            <w:webHidden/>
          </w:rPr>
          <w:tab/>
        </w:r>
        <w:r w:rsidR="009B42B8">
          <w:rPr>
            <w:noProof/>
            <w:webHidden/>
          </w:rPr>
          <w:fldChar w:fldCharType="begin"/>
        </w:r>
        <w:r w:rsidR="009B42B8">
          <w:rPr>
            <w:noProof/>
            <w:webHidden/>
          </w:rPr>
          <w:instrText xml:space="preserve"> PAGEREF _Toc525816075 \h </w:instrText>
        </w:r>
        <w:r w:rsidR="009B42B8">
          <w:rPr>
            <w:noProof/>
            <w:webHidden/>
          </w:rPr>
        </w:r>
        <w:r w:rsidR="009B42B8">
          <w:rPr>
            <w:noProof/>
            <w:webHidden/>
          </w:rPr>
          <w:fldChar w:fldCharType="separate"/>
        </w:r>
        <w:r w:rsidR="00985650">
          <w:rPr>
            <w:noProof/>
            <w:webHidden/>
          </w:rPr>
          <w:t>29</w:t>
        </w:r>
        <w:r w:rsidR="009B42B8">
          <w:rPr>
            <w:noProof/>
            <w:webHidden/>
          </w:rPr>
          <w:fldChar w:fldCharType="end"/>
        </w:r>
      </w:hyperlink>
    </w:p>
    <w:p w14:paraId="0776079B" w14:textId="534323D4" w:rsidR="009B42B8" w:rsidRDefault="00041F25">
      <w:pPr>
        <w:pStyle w:val="TOC3"/>
        <w:tabs>
          <w:tab w:val="left" w:pos="1100"/>
          <w:tab w:val="right" w:leader="dot" w:pos="8302"/>
        </w:tabs>
        <w:rPr>
          <w:rFonts w:eastAsiaTheme="minorEastAsia" w:cstheme="minorBidi"/>
          <w:noProof/>
          <w:sz w:val="22"/>
          <w:szCs w:val="22"/>
        </w:rPr>
      </w:pPr>
      <w:hyperlink w:anchor="_Toc525816076" w:history="1">
        <w:r w:rsidR="009B42B8" w:rsidRPr="00AD712E">
          <w:rPr>
            <w:rStyle w:val="Hyperlink"/>
            <w:noProof/>
          </w:rPr>
          <w:t>4.2.8</w:t>
        </w:r>
        <w:r w:rsidR="009B42B8">
          <w:rPr>
            <w:rFonts w:eastAsiaTheme="minorEastAsia" w:cstheme="minorBidi"/>
            <w:noProof/>
            <w:sz w:val="22"/>
            <w:szCs w:val="22"/>
          </w:rPr>
          <w:tab/>
        </w:r>
        <w:r w:rsidR="009B42B8" w:rsidRPr="00AD712E">
          <w:rPr>
            <w:rStyle w:val="Hyperlink"/>
            <w:noProof/>
          </w:rPr>
          <w:t>Provider service conditions</w:t>
        </w:r>
        <w:r w:rsidR="009B42B8">
          <w:rPr>
            <w:noProof/>
            <w:webHidden/>
          </w:rPr>
          <w:tab/>
        </w:r>
        <w:r w:rsidR="009B42B8">
          <w:rPr>
            <w:noProof/>
            <w:webHidden/>
          </w:rPr>
          <w:fldChar w:fldCharType="begin"/>
        </w:r>
        <w:r w:rsidR="009B42B8">
          <w:rPr>
            <w:noProof/>
            <w:webHidden/>
          </w:rPr>
          <w:instrText xml:space="preserve"> PAGEREF _Toc525816076 \h </w:instrText>
        </w:r>
        <w:r w:rsidR="009B42B8">
          <w:rPr>
            <w:noProof/>
            <w:webHidden/>
          </w:rPr>
        </w:r>
        <w:r w:rsidR="009B42B8">
          <w:rPr>
            <w:noProof/>
            <w:webHidden/>
          </w:rPr>
          <w:fldChar w:fldCharType="separate"/>
        </w:r>
        <w:r w:rsidR="00985650">
          <w:rPr>
            <w:noProof/>
            <w:webHidden/>
          </w:rPr>
          <w:t>29</w:t>
        </w:r>
        <w:r w:rsidR="009B42B8">
          <w:rPr>
            <w:noProof/>
            <w:webHidden/>
          </w:rPr>
          <w:fldChar w:fldCharType="end"/>
        </w:r>
      </w:hyperlink>
    </w:p>
    <w:p w14:paraId="560E7C61" w14:textId="26D4CAB3" w:rsidR="009B42B8" w:rsidRDefault="00041F25">
      <w:pPr>
        <w:pStyle w:val="TOC3"/>
        <w:tabs>
          <w:tab w:val="left" w:pos="1100"/>
          <w:tab w:val="right" w:leader="dot" w:pos="8302"/>
        </w:tabs>
        <w:rPr>
          <w:rFonts w:eastAsiaTheme="minorEastAsia" w:cstheme="minorBidi"/>
          <w:noProof/>
          <w:sz w:val="22"/>
          <w:szCs w:val="22"/>
        </w:rPr>
      </w:pPr>
      <w:hyperlink w:anchor="_Toc525816077" w:history="1">
        <w:r w:rsidR="009B42B8" w:rsidRPr="00AD712E">
          <w:rPr>
            <w:rStyle w:val="Hyperlink"/>
            <w:noProof/>
          </w:rPr>
          <w:t>4.2.9</w:t>
        </w:r>
        <w:r w:rsidR="009B42B8">
          <w:rPr>
            <w:rFonts w:eastAsiaTheme="minorEastAsia" w:cstheme="minorBidi"/>
            <w:noProof/>
            <w:sz w:val="22"/>
            <w:szCs w:val="22"/>
          </w:rPr>
          <w:tab/>
        </w:r>
        <w:r w:rsidR="009B42B8" w:rsidRPr="00AD712E">
          <w:rPr>
            <w:rStyle w:val="Hyperlink"/>
            <w:noProof/>
          </w:rPr>
          <w:t>Payment mechanisms</w:t>
        </w:r>
        <w:r w:rsidR="009B42B8">
          <w:rPr>
            <w:noProof/>
            <w:webHidden/>
          </w:rPr>
          <w:tab/>
        </w:r>
        <w:r w:rsidR="009B42B8">
          <w:rPr>
            <w:noProof/>
            <w:webHidden/>
          </w:rPr>
          <w:fldChar w:fldCharType="begin"/>
        </w:r>
        <w:r w:rsidR="009B42B8">
          <w:rPr>
            <w:noProof/>
            <w:webHidden/>
          </w:rPr>
          <w:instrText xml:space="preserve"> PAGEREF _Toc525816077 \h </w:instrText>
        </w:r>
        <w:r w:rsidR="009B42B8">
          <w:rPr>
            <w:noProof/>
            <w:webHidden/>
          </w:rPr>
        </w:r>
        <w:r w:rsidR="009B42B8">
          <w:rPr>
            <w:noProof/>
            <w:webHidden/>
          </w:rPr>
          <w:fldChar w:fldCharType="separate"/>
        </w:r>
        <w:r w:rsidR="00985650">
          <w:rPr>
            <w:noProof/>
            <w:webHidden/>
          </w:rPr>
          <w:t>29</w:t>
        </w:r>
        <w:r w:rsidR="009B42B8">
          <w:rPr>
            <w:noProof/>
            <w:webHidden/>
          </w:rPr>
          <w:fldChar w:fldCharType="end"/>
        </w:r>
      </w:hyperlink>
    </w:p>
    <w:p w14:paraId="04C6827D" w14:textId="24A556BE" w:rsidR="009B42B8" w:rsidRDefault="00041F25">
      <w:pPr>
        <w:pStyle w:val="TOC2"/>
        <w:tabs>
          <w:tab w:val="left" w:pos="880"/>
          <w:tab w:val="right" w:leader="dot" w:pos="8302"/>
        </w:tabs>
        <w:rPr>
          <w:rFonts w:eastAsiaTheme="minorEastAsia" w:cstheme="minorBidi"/>
          <w:b w:val="0"/>
          <w:bCs w:val="0"/>
          <w:noProof/>
        </w:rPr>
      </w:pPr>
      <w:hyperlink w:anchor="_Toc525816078" w:history="1">
        <w:r w:rsidR="009B42B8" w:rsidRPr="00AD712E">
          <w:rPr>
            <w:rStyle w:val="Hyperlink"/>
            <w:noProof/>
            <w:lang w:val="en-GB"/>
            <w14:scene3d>
              <w14:camera w14:prst="orthographicFront"/>
              <w14:lightRig w14:rig="threePt" w14:dir="t">
                <w14:rot w14:lat="0" w14:lon="0" w14:rev="0"/>
              </w14:lightRig>
            </w14:scene3d>
          </w:rPr>
          <w:t>4.3</w:t>
        </w:r>
        <w:r w:rsidR="009B42B8">
          <w:rPr>
            <w:rFonts w:eastAsiaTheme="minorEastAsia" w:cstheme="minorBidi"/>
            <w:b w:val="0"/>
            <w:bCs w:val="0"/>
            <w:noProof/>
          </w:rPr>
          <w:tab/>
        </w:r>
        <w:r w:rsidR="009B42B8" w:rsidRPr="00AD712E">
          <w:rPr>
            <w:rStyle w:val="Hyperlink"/>
            <w:noProof/>
            <w:lang w:val="en-GB"/>
          </w:rPr>
          <w:t>Clinical decision support for better requesting of diagnostic services</w:t>
        </w:r>
        <w:r w:rsidR="009B42B8">
          <w:rPr>
            <w:noProof/>
            <w:webHidden/>
          </w:rPr>
          <w:tab/>
        </w:r>
        <w:r w:rsidR="009B42B8">
          <w:rPr>
            <w:noProof/>
            <w:webHidden/>
          </w:rPr>
          <w:fldChar w:fldCharType="begin"/>
        </w:r>
        <w:r w:rsidR="009B42B8">
          <w:rPr>
            <w:noProof/>
            <w:webHidden/>
          </w:rPr>
          <w:instrText xml:space="preserve"> PAGEREF _Toc525816078 \h </w:instrText>
        </w:r>
        <w:r w:rsidR="009B42B8">
          <w:rPr>
            <w:noProof/>
            <w:webHidden/>
          </w:rPr>
        </w:r>
        <w:r w:rsidR="009B42B8">
          <w:rPr>
            <w:noProof/>
            <w:webHidden/>
          </w:rPr>
          <w:fldChar w:fldCharType="separate"/>
        </w:r>
        <w:r w:rsidR="00985650">
          <w:rPr>
            <w:noProof/>
            <w:webHidden/>
          </w:rPr>
          <w:t>30</w:t>
        </w:r>
        <w:r w:rsidR="009B42B8">
          <w:rPr>
            <w:noProof/>
            <w:webHidden/>
          </w:rPr>
          <w:fldChar w:fldCharType="end"/>
        </w:r>
      </w:hyperlink>
    </w:p>
    <w:p w14:paraId="4E88A271" w14:textId="1733336E" w:rsidR="009B42B8" w:rsidRDefault="00041F25">
      <w:pPr>
        <w:pStyle w:val="TOC3"/>
        <w:tabs>
          <w:tab w:val="left" w:pos="1100"/>
          <w:tab w:val="right" w:leader="dot" w:pos="8302"/>
        </w:tabs>
        <w:rPr>
          <w:rFonts w:eastAsiaTheme="minorEastAsia" w:cstheme="minorBidi"/>
          <w:noProof/>
          <w:sz w:val="22"/>
          <w:szCs w:val="22"/>
        </w:rPr>
      </w:pPr>
      <w:hyperlink w:anchor="_Toc525816079" w:history="1">
        <w:r w:rsidR="009B42B8" w:rsidRPr="00AD712E">
          <w:rPr>
            <w:rStyle w:val="Hyperlink"/>
            <w:noProof/>
          </w:rPr>
          <w:t>4.3.1</w:t>
        </w:r>
        <w:r w:rsidR="009B42B8">
          <w:rPr>
            <w:rFonts w:eastAsiaTheme="minorEastAsia" w:cstheme="minorBidi"/>
            <w:noProof/>
            <w:sz w:val="22"/>
            <w:szCs w:val="22"/>
          </w:rPr>
          <w:tab/>
        </w:r>
        <w:r w:rsidR="009B42B8" w:rsidRPr="00AD712E">
          <w:rPr>
            <w:rStyle w:val="Hyperlink"/>
            <w:noProof/>
          </w:rPr>
          <w:t>Overview of Electronic Clinical Decision Support (CDS)</w:t>
        </w:r>
        <w:r w:rsidR="009B42B8">
          <w:rPr>
            <w:noProof/>
            <w:webHidden/>
          </w:rPr>
          <w:tab/>
        </w:r>
        <w:r w:rsidR="009B42B8">
          <w:rPr>
            <w:noProof/>
            <w:webHidden/>
          </w:rPr>
          <w:fldChar w:fldCharType="begin"/>
        </w:r>
        <w:r w:rsidR="009B42B8">
          <w:rPr>
            <w:noProof/>
            <w:webHidden/>
          </w:rPr>
          <w:instrText xml:space="preserve"> PAGEREF _Toc525816079 \h </w:instrText>
        </w:r>
        <w:r w:rsidR="009B42B8">
          <w:rPr>
            <w:noProof/>
            <w:webHidden/>
          </w:rPr>
        </w:r>
        <w:r w:rsidR="009B42B8">
          <w:rPr>
            <w:noProof/>
            <w:webHidden/>
          </w:rPr>
          <w:fldChar w:fldCharType="separate"/>
        </w:r>
        <w:r w:rsidR="00985650">
          <w:rPr>
            <w:noProof/>
            <w:webHidden/>
          </w:rPr>
          <w:t>30</w:t>
        </w:r>
        <w:r w:rsidR="009B42B8">
          <w:rPr>
            <w:noProof/>
            <w:webHidden/>
          </w:rPr>
          <w:fldChar w:fldCharType="end"/>
        </w:r>
      </w:hyperlink>
    </w:p>
    <w:p w14:paraId="6ACCA942" w14:textId="5ED00737" w:rsidR="009B42B8" w:rsidRDefault="00041F25">
      <w:pPr>
        <w:pStyle w:val="TOC3"/>
        <w:tabs>
          <w:tab w:val="left" w:pos="1100"/>
          <w:tab w:val="right" w:leader="dot" w:pos="8302"/>
        </w:tabs>
        <w:rPr>
          <w:rFonts w:eastAsiaTheme="minorEastAsia" w:cstheme="minorBidi"/>
          <w:noProof/>
          <w:sz w:val="22"/>
          <w:szCs w:val="22"/>
        </w:rPr>
      </w:pPr>
      <w:hyperlink w:anchor="_Toc525816080" w:history="1">
        <w:r w:rsidR="009B42B8" w:rsidRPr="00AD712E">
          <w:rPr>
            <w:rStyle w:val="Hyperlink"/>
            <w:noProof/>
          </w:rPr>
          <w:t>4.3.2</w:t>
        </w:r>
        <w:r w:rsidR="009B42B8">
          <w:rPr>
            <w:rFonts w:eastAsiaTheme="minorEastAsia" w:cstheme="minorBidi"/>
            <w:noProof/>
            <w:sz w:val="22"/>
            <w:szCs w:val="22"/>
          </w:rPr>
          <w:tab/>
        </w:r>
        <w:r w:rsidR="009B42B8" w:rsidRPr="00AD712E">
          <w:rPr>
            <w:rStyle w:val="Hyperlink"/>
            <w:noProof/>
          </w:rPr>
          <w:t>Recommendations</w:t>
        </w:r>
        <w:r w:rsidR="009B42B8">
          <w:rPr>
            <w:noProof/>
            <w:webHidden/>
          </w:rPr>
          <w:tab/>
        </w:r>
        <w:r w:rsidR="009B42B8">
          <w:rPr>
            <w:noProof/>
            <w:webHidden/>
          </w:rPr>
          <w:fldChar w:fldCharType="begin"/>
        </w:r>
        <w:r w:rsidR="009B42B8">
          <w:rPr>
            <w:noProof/>
            <w:webHidden/>
          </w:rPr>
          <w:instrText xml:space="preserve"> PAGEREF _Toc525816080 \h </w:instrText>
        </w:r>
        <w:r w:rsidR="009B42B8">
          <w:rPr>
            <w:noProof/>
            <w:webHidden/>
          </w:rPr>
        </w:r>
        <w:r w:rsidR="009B42B8">
          <w:rPr>
            <w:noProof/>
            <w:webHidden/>
          </w:rPr>
          <w:fldChar w:fldCharType="separate"/>
        </w:r>
        <w:r w:rsidR="00985650">
          <w:rPr>
            <w:noProof/>
            <w:webHidden/>
          </w:rPr>
          <w:t>30</w:t>
        </w:r>
        <w:r w:rsidR="009B42B8">
          <w:rPr>
            <w:noProof/>
            <w:webHidden/>
          </w:rPr>
          <w:fldChar w:fldCharType="end"/>
        </w:r>
      </w:hyperlink>
    </w:p>
    <w:p w14:paraId="48862B82" w14:textId="53B758D7" w:rsidR="009B42B8" w:rsidRDefault="00041F25">
      <w:pPr>
        <w:pStyle w:val="TOC3"/>
        <w:tabs>
          <w:tab w:val="left" w:pos="1100"/>
          <w:tab w:val="right" w:leader="dot" w:pos="8302"/>
        </w:tabs>
        <w:rPr>
          <w:rFonts w:eastAsiaTheme="minorEastAsia" w:cstheme="minorBidi"/>
          <w:noProof/>
          <w:sz w:val="22"/>
          <w:szCs w:val="22"/>
        </w:rPr>
      </w:pPr>
      <w:hyperlink w:anchor="_Toc525816081" w:history="1">
        <w:r w:rsidR="009B42B8" w:rsidRPr="00AD712E">
          <w:rPr>
            <w:rStyle w:val="Hyperlink"/>
            <w:noProof/>
          </w:rPr>
          <w:t>4.3.3</w:t>
        </w:r>
        <w:r w:rsidR="009B42B8">
          <w:rPr>
            <w:rFonts w:eastAsiaTheme="minorEastAsia" w:cstheme="minorBidi"/>
            <w:noProof/>
            <w:sz w:val="22"/>
            <w:szCs w:val="22"/>
          </w:rPr>
          <w:tab/>
        </w:r>
        <w:r w:rsidR="009B42B8" w:rsidRPr="00AD712E">
          <w:rPr>
            <w:rStyle w:val="Hyperlink"/>
            <w:noProof/>
          </w:rPr>
          <w:t>Illustration of Diagnostic Imaging CDS in Australia</w:t>
        </w:r>
        <w:r w:rsidR="009B42B8">
          <w:rPr>
            <w:noProof/>
            <w:webHidden/>
          </w:rPr>
          <w:tab/>
        </w:r>
        <w:r w:rsidR="009B42B8">
          <w:rPr>
            <w:noProof/>
            <w:webHidden/>
          </w:rPr>
          <w:fldChar w:fldCharType="begin"/>
        </w:r>
        <w:r w:rsidR="009B42B8">
          <w:rPr>
            <w:noProof/>
            <w:webHidden/>
          </w:rPr>
          <w:instrText xml:space="preserve"> PAGEREF _Toc525816081 \h </w:instrText>
        </w:r>
        <w:r w:rsidR="009B42B8">
          <w:rPr>
            <w:noProof/>
            <w:webHidden/>
          </w:rPr>
        </w:r>
        <w:r w:rsidR="009B42B8">
          <w:rPr>
            <w:noProof/>
            <w:webHidden/>
          </w:rPr>
          <w:fldChar w:fldCharType="separate"/>
        </w:r>
        <w:r w:rsidR="00985650">
          <w:rPr>
            <w:noProof/>
            <w:webHidden/>
          </w:rPr>
          <w:t>31</w:t>
        </w:r>
        <w:r w:rsidR="009B42B8">
          <w:rPr>
            <w:noProof/>
            <w:webHidden/>
          </w:rPr>
          <w:fldChar w:fldCharType="end"/>
        </w:r>
      </w:hyperlink>
    </w:p>
    <w:p w14:paraId="5E3FEEAB" w14:textId="68926B23" w:rsidR="009B42B8" w:rsidRDefault="00041F25">
      <w:pPr>
        <w:pStyle w:val="TOC3"/>
        <w:tabs>
          <w:tab w:val="left" w:pos="1100"/>
          <w:tab w:val="right" w:leader="dot" w:pos="8302"/>
        </w:tabs>
        <w:rPr>
          <w:rFonts w:eastAsiaTheme="minorEastAsia" w:cstheme="minorBidi"/>
          <w:noProof/>
          <w:sz w:val="22"/>
          <w:szCs w:val="22"/>
        </w:rPr>
      </w:pPr>
      <w:hyperlink w:anchor="_Toc525816082" w:history="1">
        <w:r w:rsidR="009B42B8" w:rsidRPr="00AD712E">
          <w:rPr>
            <w:rStyle w:val="Hyperlink"/>
            <w:noProof/>
          </w:rPr>
          <w:t>4.3.4</w:t>
        </w:r>
        <w:r w:rsidR="009B42B8">
          <w:rPr>
            <w:rFonts w:eastAsiaTheme="minorEastAsia" w:cstheme="minorBidi"/>
            <w:noProof/>
            <w:sz w:val="22"/>
            <w:szCs w:val="22"/>
          </w:rPr>
          <w:tab/>
        </w:r>
        <w:r w:rsidR="009B42B8" w:rsidRPr="00AD712E">
          <w:rPr>
            <w:rStyle w:val="Hyperlink"/>
            <w:noProof/>
          </w:rPr>
          <w:t>Bridging solutions before at-scale implementation of CDS</w:t>
        </w:r>
        <w:r w:rsidR="009B42B8">
          <w:rPr>
            <w:noProof/>
            <w:webHidden/>
          </w:rPr>
          <w:tab/>
        </w:r>
        <w:r w:rsidR="009B42B8">
          <w:rPr>
            <w:noProof/>
            <w:webHidden/>
          </w:rPr>
          <w:fldChar w:fldCharType="begin"/>
        </w:r>
        <w:r w:rsidR="009B42B8">
          <w:rPr>
            <w:noProof/>
            <w:webHidden/>
          </w:rPr>
          <w:instrText xml:space="preserve"> PAGEREF _Toc525816082 \h </w:instrText>
        </w:r>
        <w:r w:rsidR="009B42B8">
          <w:rPr>
            <w:noProof/>
            <w:webHidden/>
          </w:rPr>
        </w:r>
        <w:r w:rsidR="009B42B8">
          <w:rPr>
            <w:noProof/>
            <w:webHidden/>
          </w:rPr>
          <w:fldChar w:fldCharType="separate"/>
        </w:r>
        <w:r w:rsidR="00985650">
          <w:rPr>
            <w:noProof/>
            <w:webHidden/>
          </w:rPr>
          <w:t>35</w:t>
        </w:r>
        <w:r w:rsidR="009B42B8">
          <w:rPr>
            <w:noProof/>
            <w:webHidden/>
          </w:rPr>
          <w:fldChar w:fldCharType="end"/>
        </w:r>
      </w:hyperlink>
    </w:p>
    <w:p w14:paraId="55B40B28" w14:textId="2D786360" w:rsidR="009B42B8" w:rsidRDefault="00041F25" w:rsidP="00D20CCE">
      <w:pPr>
        <w:pStyle w:val="TOC1"/>
        <w:rPr>
          <w:rFonts w:eastAsiaTheme="minorEastAsia" w:cstheme="minorBidi"/>
          <w:noProof/>
          <w:sz w:val="22"/>
          <w:szCs w:val="22"/>
        </w:rPr>
      </w:pPr>
      <w:hyperlink w:anchor="_Toc525816083" w:history="1">
        <w:r w:rsidR="009B42B8" w:rsidRPr="00AD712E">
          <w:rPr>
            <w:rStyle w:val="Hyperlink"/>
            <w:noProof/>
          </w:rPr>
          <w:t>5.</w:t>
        </w:r>
        <w:r w:rsidR="009B42B8">
          <w:rPr>
            <w:rFonts w:eastAsiaTheme="minorEastAsia" w:cstheme="minorBidi"/>
            <w:noProof/>
            <w:sz w:val="22"/>
            <w:szCs w:val="22"/>
          </w:rPr>
          <w:tab/>
        </w:r>
        <w:r w:rsidR="009B42B8" w:rsidRPr="00AD712E">
          <w:rPr>
            <w:rStyle w:val="Hyperlink"/>
            <w:noProof/>
          </w:rPr>
          <w:t>Pathology item recommendations</w:t>
        </w:r>
        <w:r w:rsidR="009B42B8">
          <w:rPr>
            <w:noProof/>
            <w:webHidden/>
          </w:rPr>
          <w:tab/>
        </w:r>
        <w:r w:rsidR="009B42B8">
          <w:rPr>
            <w:noProof/>
            <w:webHidden/>
          </w:rPr>
          <w:fldChar w:fldCharType="begin"/>
        </w:r>
        <w:r w:rsidR="009B42B8">
          <w:rPr>
            <w:noProof/>
            <w:webHidden/>
          </w:rPr>
          <w:instrText xml:space="preserve"> PAGEREF _Toc525816083 \h </w:instrText>
        </w:r>
        <w:r w:rsidR="009B42B8">
          <w:rPr>
            <w:noProof/>
            <w:webHidden/>
          </w:rPr>
        </w:r>
        <w:r w:rsidR="009B42B8">
          <w:rPr>
            <w:noProof/>
            <w:webHidden/>
          </w:rPr>
          <w:fldChar w:fldCharType="separate"/>
        </w:r>
        <w:r w:rsidR="00985650">
          <w:rPr>
            <w:noProof/>
            <w:webHidden/>
          </w:rPr>
          <w:t>37</w:t>
        </w:r>
        <w:r w:rsidR="009B42B8">
          <w:rPr>
            <w:noProof/>
            <w:webHidden/>
          </w:rPr>
          <w:fldChar w:fldCharType="end"/>
        </w:r>
      </w:hyperlink>
    </w:p>
    <w:p w14:paraId="771CF317" w14:textId="6D056E04" w:rsidR="009B42B8" w:rsidRDefault="00041F25">
      <w:pPr>
        <w:pStyle w:val="TOC2"/>
        <w:tabs>
          <w:tab w:val="left" w:pos="880"/>
          <w:tab w:val="right" w:leader="dot" w:pos="8302"/>
        </w:tabs>
        <w:rPr>
          <w:rFonts w:eastAsiaTheme="minorEastAsia" w:cstheme="minorBidi"/>
          <w:b w:val="0"/>
          <w:bCs w:val="0"/>
          <w:noProof/>
        </w:rPr>
      </w:pPr>
      <w:hyperlink w:anchor="_Toc525816084" w:history="1">
        <w:r w:rsidR="009B42B8" w:rsidRPr="00AD712E">
          <w:rPr>
            <w:rStyle w:val="Hyperlink"/>
            <w:noProof/>
            <w14:scene3d>
              <w14:camera w14:prst="orthographicFront"/>
              <w14:lightRig w14:rig="threePt" w14:dir="t">
                <w14:rot w14:lat="0" w14:lon="0" w14:rev="0"/>
              </w14:lightRig>
            </w14:scene3d>
          </w:rPr>
          <w:t>5.1</w:t>
        </w:r>
        <w:r w:rsidR="009B42B8">
          <w:rPr>
            <w:rFonts w:eastAsiaTheme="minorEastAsia" w:cstheme="minorBidi"/>
            <w:b w:val="0"/>
            <w:bCs w:val="0"/>
            <w:noProof/>
          </w:rPr>
          <w:tab/>
        </w:r>
        <w:r w:rsidR="009B42B8" w:rsidRPr="00AD712E">
          <w:rPr>
            <w:rStyle w:val="Hyperlink"/>
            <w:noProof/>
          </w:rPr>
          <w:t>Vitamin B12 item group</w:t>
        </w:r>
        <w:r w:rsidR="009B42B8">
          <w:rPr>
            <w:noProof/>
            <w:webHidden/>
          </w:rPr>
          <w:tab/>
        </w:r>
        <w:r w:rsidR="009B42B8">
          <w:rPr>
            <w:noProof/>
            <w:webHidden/>
          </w:rPr>
          <w:fldChar w:fldCharType="begin"/>
        </w:r>
        <w:r w:rsidR="009B42B8">
          <w:rPr>
            <w:noProof/>
            <w:webHidden/>
          </w:rPr>
          <w:instrText xml:space="preserve"> PAGEREF _Toc525816084 \h </w:instrText>
        </w:r>
        <w:r w:rsidR="009B42B8">
          <w:rPr>
            <w:noProof/>
            <w:webHidden/>
          </w:rPr>
        </w:r>
        <w:r w:rsidR="009B42B8">
          <w:rPr>
            <w:noProof/>
            <w:webHidden/>
          </w:rPr>
          <w:fldChar w:fldCharType="separate"/>
        </w:r>
        <w:r w:rsidR="00985650">
          <w:rPr>
            <w:noProof/>
            <w:webHidden/>
          </w:rPr>
          <w:t>38</w:t>
        </w:r>
        <w:r w:rsidR="009B42B8">
          <w:rPr>
            <w:noProof/>
            <w:webHidden/>
          </w:rPr>
          <w:fldChar w:fldCharType="end"/>
        </w:r>
      </w:hyperlink>
    </w:p>
    <w:p w14:paraId="2CA6B956" w14:textId="20E9F5EB" w:rsidR="009B42B8" w:rsidRDefault="00041F25">
      <w:pPr>
        <w:pStyle w:val="TOC3"/>
        <w:tabs>
          <w:tab w:val="left" w:pos="1100"/>
          <w:tab w:val="right" w:leader="dot" w:pos="8302"/>
        </w:tabs>
        <w:rPr>
          <w:rFonts w:eastAsiaTheme="minorEastAsia" w:cstheme="minorBidi"/>
          <w:noProof/>
          <w:sz w:val="22"/>
          <w:szCs w:val="22"/>
        </w:rPr>
      </w:pPr>
      <w:hyperlink w:anchor="_Toc525816085" w:history="1">
        <w:r w:rsidR="009B42B8" w:rsidRPr="00AD712E">
          <w:rPr>
            <w:rStyle w:val="Hyperlink"/>
            <w:noProof/>
            <w:lang w:val="en-GB"/>
          </w:rPr>
          <w:t>5.1.1</w:t>
        </w:r>
        <w:r w:rsidR="009B42B8">
          <w:rPr>
            <w:rFonts w:eastAsiaTheme="minorEastAsia" w:cstheme="minorBidi"/>
            <w:noProof/>
            <w:sz w:val="22"/>
            <w:szCs w:val="22"/>
          </w:rPr>
          <w:tab/>
        </w:r>
        <w:r w:rsidR="009B42B8" w:rsidRPr="00AD712E">
          <w:rPr>
            <w:rStyle w:val="Hyperlink"/>
            <w:noProof/>
            <w:lang w:val="en-GB"/>
          </w:rPr>
          <w:t>Vitamin B12 items</w:t>
        </w:r>
        <w:r w:rsidR="009B42B8">
          <w:rPr>
            <w:noProof/>
            <w:webHidden/>
          </w:rPr>
          <w:tab/>
        </w:r>
        <w:r w:rsidR="009B42B8">
          <w:rPr>
            <w:noProof/>
            <w:webHidden/>
          </w:rPr>
          <w:fldChar w:fldCharType="begin"/>
        </w:r>
        <w:r w:rsidR="009B42B8">
          <w:rPr>
            <w:noProof/>
            <w:webHidden/>
          </w:rPr>
          <w:instrText xml:space="preserve"> PAGEREF _Toc525816085 \h </w:instrText>
        </w:r>
        <w:r w:rsidR="009B42B8">
          <w:rPr>
            <w:noProof/>
            <w:webHidden/>
          </w:rPr>
        </w:r>
        <w:r w:rsidR="009B42B8">
          <w:rPr>
            <w:noProof/>
            <w:webHidden/>
          </w:rPr>
          <w:fldChar w:fldCharType="separate"/>
        </w:r>
        <w:r w:rsidR="00985650">
          <w:rPr>
            <w:noProof/>
            <w:webHidden/>
          </w:rPr>
          <w:t>38</w:t>
        </w:r>
        <w:r w:rsidR="009B42B8">
          <w:rPr>
            <w:noProof/>
            <w:webHidden/>
          </w:rPr>
          <w:fldChar w:fldCharType="end"/>
        </w:r>
      </w:hyperlink>
    </w:p>
    <w:p w14:paraId="1320D503" w14:textId="7861AD48" w:rsidR="009B42B8" w:rsidRDefault="00041F25">
      <w:pPr>
        <w:pStyle w:val="TOC2"/>
        <w:tabs>
          <w:tab w:val="left" w:pos="880"/>
          <w:tab w:val="right" w:leader="dot" w:pos="8302"/>
        </w:tabs>
        <w:rPr>
          <w:rFonts w:eastAsiaTheme="minorEastAsia" w:cstheme="minorBidi"/>
          <w:b w:val="0"/>
          <w:bCs w:val="0"/>
          <w:noProof/>
        </w:rPr>
      </w:pPr>
      <w:hyperlink w:anchor="_Toc525816086" w:history="1">
        <w:r w:rsidR="009B42B8" w:rsidRPr="00AD712E">
          <w:rPr>
            <w:rStyle w:val="Hyperlink"/>
            <w:noProof/>
            <w:lang w:val="en-GB"/>
            <w14:scene3d>
              <w14:camera w14:prst="orthographicFront"/>
              <w14:lightRig w14:rig="threePt" w14:dir="t">
                <w14:rot w14:lat="0" w14:lon="0" w14:rev="0"/>
              </w14:lightRig>
            </w14:scene3d>
          </w:rPr>
          <w:t>5.2</w:t>
        </w:r>
        <w:r w:rsidR="009B42B8">
          <w:rPr>
            <w:rFonts w:eastAsiaTheme="minorEastAsia" w:cstheme="minorBidi"/>
            <w:b w:val="0"/>
            <w:bCs w:val="0"/>
            <w:noProof/>
          </w:rPr>
          <w:tab/>
        </w:r>
        <w:r w:rsidR="009B42B8" w:rsidRPr="00AD712E">
          <w:rPr>
            <w:rStyle w:val="Hyperlink"/>
            <w:noProof/>
            <w:lang w:val="en-GB"/>
          </w:rPr>
          <w:t>Iron studies and ferritin testing item group</w:t>
        </w:r>
        <w:r w:rsidR="009B42B8">
          <w:rPr>
            <w:noProof/>
            <w:webHidden/>
          </w:rPr>
          <w:tab/>
        </w:r>
        <w:r w:rsidR="009B42B8">
          <w:rPr>
            <w:noProof/>
            <w:webHidden/>
          </w:rPr>
          <w:fldChar w:fldCharType="begin"/>
        </w:r>
        <w:r w:rsidR="009B42B8">
          <w:rPr>
            <w:noProof/>
            <w:webHidden/>
          </w:rPr>
          <w:instrText xml:space="preserve"> PAGEREF _Toc525816086 \h </w:instrText>
        </w:r>
        <w:r w:rsidR="009B42B8">
          <w:rPr>
            <w:noProof/>
            <w:webHidden/>
          </w:rPr>
        </w:r>
        <w:r w:rsidR="009B42B8">
          <w:rPr>
            <w:noProof/>
            <w:webHidden/>
          </w:rPr>
          <w:fldChar w:fldCharType="separate"/>
        </w:r>
        <w:r w:rsidR="00985650">
          <w:rPr>
            <w:noProof/>
            <w:webHidden/>
          </w:rPr>
          <w:t>41</w:t>
        </w:r>
        <w:r w:rsidR="009B42B8">
          <w:rPr>
            <w:noProof/>
            <w:webHidden/>
          </w:rPr>
          <w:fldChar w:fldCharType="end"/>
        </w:r>
      </w:hyperlink>
    </w:p>
    <w:p w14:paraId="6D98937A" w14:textId="2CBACDE6" w:rsidR="009B42B8" w:rsidRDefault="00041F25">
      <w:pPr>
        <w:pStyle w:val="TOC3"/>
        <w:tabs>
          <w:tab w:val="left" w:pos="1100"/>
          <w:tab w:val="right" w:leader="dot" w:pos="8302"/>
        </w:tabs>
        <w:rPr>
          <w:rFonts w:eastAsiaTheme="minorEastAsia" w:cstheme="minorBidi"/>
          <w:noProof/>
          <w:sz w:val="22"/>
          <w:szCs w:val="22"/>
        </w:rPr>
      </w:pPr>
      <w:hyperlink w:anchor="_Toc525816087" w:history="1">
        <w:r w:rsidR="009B42B8" w:rsidRPr="00AD712E">
          <w:rPr>
            <w:rStyle w:val="Hyperlink"/>
            <w:noProof/>
            <w:lang w:val="en-GB"/>
          </w:rPr>
          <w:t>5.2.1</w:t>
        </w:r>
        <w:r w:rsidR="009B42B8">
          <w:rPr>
            <w:rFonts w:eastAsiaTheme="minorEastAsia" w:cstheme="minorBidi"/>
            <w:noProof/>
            <w:sz w:val="22"/>
            <w:szCs w:val="22"/>
          </w:rPr>
          <w:tab/>
        </w:r>
        <w:r w:rsidR="009B42B8" w:rsidRPr="00AD712E">
          <w:rPr>
            <w:rStyle w:val="Hyperlink"/>
            <w:noProof/>
            <w:lang w:val="en-GB"/>
          </w:rPr>
          <w:t>Items 66596 and 66593</w:t>
        </w:r>
        <w:r w:rsidR="009B42B8">
          <w:rPr>
            <w:noProof/>
            <w:webHidden/>
          </w:rPr>
          <w:tab/>
        </w:r>
        <w:r w:rsidR="009B42B8">
          <w:rPr>
            <w:noProof/>
            <w:webHidden/>
          </w:rPr>
          <w:fldChar w:fldCharType="begin"/>
        </w:r>
        <w:r w:rsidR="009B42B8">
          <w:rPr>
            <w:noProof/>
            <w:webHidden/>
          </w:rPr>
          <w:instrText xml:space="preserve"> PAGEREF _Toc525816087 \h </w:instrText>
        </w:r>
        <w:r w:rsidR="009B42B8">
          <w:rPr>
            <w:noProof/>
            <w:webHidden/>
          </w:rPr>
        </w:r>
        <w:r w:rsidR="009B42B8">
          <w:rPr>
            <w:noProof/>
            <w:webHidden/>
          </w:rPr>
          <w:fldChar w:fldCharType="separate"/>
        </w:r>
        <w:r w:rsidR="00985650">
          <w:rPr>
            <w:noProof/>
            <w:webHidden/>
          </w:rPr>
          <w:t>41</w:t>
        </w:r>
        <w:r w:rsidR="009B42B8">
          <w:rPr>
            <w:noProof/>
            <w:webHidden/>
          </w:rPr>
          <w:fldChar w:fldCharType="end"/>
        </w:r>
      </w:hyperlink>
    </w:p>
    <w:p w14:paraId="115EA2CA" w14:textId="7CD1F0CD" w:rsidR="009B42B8" w:rsidRDefault="00041F25">
      <w:pPr>
        <w:pStyle w:val="TOC2"/>
        <w:tabs>
          <w:tab w:val="left" w:pos="880"/>
          <w:tab w:val="right" w:leader="dot" w:pos="8302"/>
        </w:tabs>
        <w:rPr>
          <w:rFonts w:eastAsiaTheme="minorEastAsia" w:cstheme="minorBidi"/>
          <w:b w:val="0"/>
          <w:bCs w:val="0"/>
          <w:noProof/>
        </w:rPr>
      </w:pPr>
      <w:hyperlink w:anchor="_Toc525816088" w:history="1">
        <w:r w:rsidR="009B42B8" w:rsidRPr="00AD712E">
          <w:rPr>
            <w:rStyle w:val="Hyperlink"/>
            <w:noProof/>
            <w:lang w:val="en-GB"/>
            <w14:scene3d>
              <w14:camera w14:prst="orthographicFront"/>
              <w14:lightRig w14:rig="threePt" w14:dir="t">
                <w14:rot w14:lat="0" w14:lon="0" w14:rev="0"/>
              </w14:lightRig>
            </w14:scene3d>
          </w:rPr>
          <w:t>5.3</w:t>
        </w:r>
        <w:r w:rsidR="009B42B8">
          <w:rPr>
            <w:rFonts w:eastAsiaTheme="minorEastAsia" w:cstheme="minorBidi"/>
            <w:b w:val="0"/>
            <w:bCs w:val="0"/>
            <w:noProof/>
          </w:rPr>
          <w:tab/>
        </w:r>
        <w:r w:rsidR="009B42B8" w:rsidRPr="00AD712E">
          <w:rPr>
            <w:rStyle w:val="Hyperlink"/>
            <w:noProof/>
            <w:lang w:val="en-GB"/>
          </w:rPr>
          <w:t>Folate</w:t>
        </w:r>
        <w:r w:rsidR="009B42B8">
          <w:rPr>
            <w:noProof/>
            <w:webHidden/>
          </w:rPr>
          <w:tab/>
        </w:r>
        <w:r w:rsidR="009B42B8">
          <w:rPr>
            <w:noProof/>
            <w:webHidden/>
          </w:rPr>
          <w:fldChar w:fldCharType="begin"/>
        </w:r>
        <w:r w:rsidR="009B42B8">
          <w:rPr>
            <w:noProof/>
            <w:webHidden/>
          </w:rPr>
          <w:instrText xml:space="preserve"> PAGEREF _Toc525816088 \h </w:instrText>
        </w:r>
        <w:r w:rsidR="009B42B8">
          <w:rPr>
            <w:noProof/>
            <w:webHidden/>
          </w:rPr>
        </w:r>
        <w:r w:rsidR="009B42B8">
          <w:rPr>
            <w:noProof/>
            <w:webHidden/>
          </w:rPr>
          <w:fldChar w:fldCharType="separate"/>
        </w:r>
        <w:r w:rsidR="00985650">
          <w:rPr>
            <w:noProof/>
            <w:webHidden/>
          </w:rPr>
          <w:t>47</w:t>
        </w:r>
        <w:r w:rsidR="009B42B8">
          <w:rPr>
            <w:noProof/>
            <w:webHidden/>
          </w:rPr>
          <w:fldChar w:fldCharType="end"/>
        </w:r>
      </w:hyperlink>
    </w:p>
    <w:p w14:paraId="7697CF69" w14:textId="02BD904C" w:rsidR="009B42B8" w:rsidRDefault="00041F25">
      <w:pPr>
        <w:pStyle w:val="TOC3"/>
        <w:tabs>
          <w:tab w:val="left" w:pos="1100"/>
          <w:tab w:val="right" w:leader="dot" w:pos="8302"/>
        </w:tabs>
        <w:rPr>
          <w:rFonts w:eastAsiaTheme="minorEastAsia" w:cstheme="minorBidi"/>
          <w:noProof/>
          <w:sz w:val="22"/>
          <w:szCs w:val="22"/>
        </w:rPr>
      </w:pPr>
      <w:hyperlink w:anchor="_Toc525816089" w:history="1">
        <w:r w:rsidR="009B42B8" w:rsidRPr="00AD712E">
          <w:rPr>
            <w:rStyle w:val="Hyperlink"/>
            <w:noProof/>
            <w:lang w:val="en-GB"/>
          </w:rPr>
          <w:t>5.3.1</w:t>
        </w:r>
        <w:r w:rsidR="009B42B8">
          <w:rPr>
            <w:rFonts w:eastAsiaTheme="minorEastAsia" w:cstheme="minorBidi"/>
            <w:noProof/>
            <w:sz w:val="22"/>
            <w:szCs w:val="22"/>
          </w:rPr>
          <w:tab/>
        </w:r>
        <w:r w:rsidR="009B42B8" w:rsidRPr="00AD712E">
          <w:rPr>
            <w:rStyle w:val="Hyperlink"/>
            <w:noProof/>
            <w:lang w:val="en-GB"/>
          </w:rPr>
          <w:t>Item 66840</w:t>
        </w:r>
        <w:r w:rsidR="009B42B8">
          <w:rPr>
            <w:noProof/>
            <w:webHidden/>
          </w:rPr>
          <w:tab/>
        </w:r>
        <w:r w:rsidR="009B42B8">
          <w:rPr>
            <w:noProof/>
            <w:webHidden/>
          </w:rPr>
          <w:fldChar w:fldCharType="begin"/>
        </w:r>
        <w:r w:rsidR="009B42B8">
          <w:rPr>
            <w:noProof/>
            <w:webHidden/>
          </w:rPr>
          <w:instrText xml:space="preserve"> PAGEREF _Toc525816089 \h </w:instrText>
        </w:r>
        <w:r w:rsidR="009B42B8">
          <w:rPr>
            <w:noProof/>
            <w:webHidden/>
          </w:rPr>
        </w:r>
        <w:r w:rsidR="009B42B8">
          <w:rPr>
            <w:noProof/>
            <w:webHidden/>
          </w:rPr>
          <w:fldChar w:fldCharType="separate"/>
        </w:r>
        <w:r w:rsidR="00985650">
          <w:rPr>
            <w:noProof/>
            <w:webHidden/>
          </w:rPr>
          <w:t>47</w:t>
        </w:r>
        <w:r w:rsidR="009B42B8">
          <w:rPr>
            <w:noProof/>
            <w:webHidden/>
          </w:rPr>
          <w:fldChar w:fldCharType="end"/>
        </w:r>
      </w:hyperlink>
    </w:p>
    <w:p w14:paraId="38FCD98B" w14:textId="0E91BD7E" w:rsidR="009B42B8" w:rsidRDefault="00041F25">
      <w:pPr>
        <w:pStyle w:val="TOC2"/>
        <w:tabs>
          <w:tab w:val="left" w:pos="880"/>
          <w:tab w:val="right" w:leader="dot" w:pos="8302"/>
        </w:tabs>
        <w:rPr>
          <w:rFonts w:eastAsiaTheme="minorEastAsia" w:cstheme="minorBidi"/>
          <w:b w:val="0"/>
          <w:bCs w:val="0"/>
          <w:noProof/>
        </w:rPr>
      </w:pPr>
      <w:hyperlink w:anchor="_Toc525816090" w:history="1">
        <w:r w:rsidR="009B42B8" w:rsidRPr="00AD712E">
          <w:rPr>
            <w:rStyle w:val="Hyperlink"/>
            <w:noProof/>
            <w:lang w:val="en-GB"/>
            <w14:scene3d>
              <w14:camera w14:prst="orthographicFront"/>
              <w14:lightRig w14:rig="threePt" w14:dir="t">
                <w14:rot w14:lat="0" w14:lon="0" w14:rev="0"/>
              </w14:lightRig>
            </w14:scene3d>
          </w:rPr>
          <w:t>5.4</w:t>
        </w:r>
        <w:r w:rsidR="009B42B8">
          <w:rPr>
            <w:rFonts w:eastAsiaTheme="minorEastAsia" w:cstheme="minorBidi"/>
            <w:b w:val="0"/>
            <w:bCs w:val="0"/>
            <w:noProof/>
          </w:rPr>
          <w:tab/>
        </w:r>
        <w:r w:rsidR="009B42B8" w:rsidRPr="00AD712E">
          <w:rPr>
            <w:rStyle w:val="Hyperlink"/>
            <w:noProof/>
            <w:lang w:val="en-GB"/>
          </w:rPr>
          <w:t>Urine testing item group</w:t>
        </w:r>
        <w:r w:rsidR="009B42B8">
          <w:rPr>
            <w:noProof/>
            <w:webHidden/>
          </w:rPr>
          <w:tab/>
        </w:r>
        <w:r w:rsidR="009B42B8">
          <w:rPr>
            <w:noProof/>
            <w:webHidden/>
          </w:rPr>
          <w:fldChar w:fldCharType="begin"/>
        </w:r>
        <w:r w:rsidR="009B42B8">
          <w:rPr>
            <w:noProof/>
            <w:webHidden/>
          </w:rPr>
          <w:instrText xml:space="preserve"> PAGEREF _Toc525816090 \h </w:instrText>
        </w:r>
        <w:r w:rsidR="009B42B8">
          <w:rPr>
            <w:noProof/>
            <w:webHidden/>
          </w:rPr>
        </w:r>
        <w:r w:rsidR="009B42B8">
          <w:rPr>
            <w:noProof/>
            <w:webHidden/>
          </w:rPr>
          <w:fldChar w:fldCharType="separate"/>
        </w:r>
        <w:r w:rsidR="00985650">
          <w:rPr>
            <w:noProof/>
            <w:webHidden/>
          </w:rPr>
          <w:t>50</w:t>
        </w:r>
        <w:r w:rsidR="009B42B8">
          <w:rPr>
            <w:noProof/>
            <w:webHidden/>
          </w:rPr>
          <w:fldChar w:fldCharType="end"/>
        </w:r>
      </w:hyperlink>
    </w:p>
    <w:p w14:paraId="573280A3" w14:textId="30F776AF" w:rsidR="009B42B8" w:rsidRDefault="00041F25">
      <w:pPr>
        <w:pStyle w:val="TOC3"/>
        <w:tabs>
          <w:tab w:val="left" w:pos="1100"/>
          <w:tab w:val="right" w:leader="dot" w:pos="8302"/>
        </w:tabs>
        <w:rPr>
          <w:rFonts w:eastAsiaTheme="minorEastAsia" w:cstheme="minorBidi"/>
          <w:noProof/>
          <w:sz w:val="22"/>
          <w:szCs w:val="22"/>
        </w:rPr>
      </w:pPr>
      <w:hyperlink w:anchor="_Toc525816091" w:history="1">
        <w:r w:rsidR="009B42B8" w:rsidRPr="00AD712E">
          <w:rPr>
            <w:rStyle w:val="Hyperlink"/>
            <w:noProof/>
            <w:lang w:val="en-GB"/>
          </w:rPr>
          <w:t>5.4.1</w:t>
        </w:r>
        <w:r w:rsidR="009B42B8">
          <w:rPr>
            <w:rFonts w:eastAsiaTheme="minorEastAsia" w:cstheme="minorBidi"/>
            <w:noProof/>
            <w:sz w:val="22"/>
            <w:szCs w:val="22"/>
          </w:rPr>
          <w:tab/>
        </w:r>
        <w:r w:rsidR="009B42B8" w:rsidRPr="00AD712E">
          <w:rPr>
            <w:rStyle w:val="Hyperlink"/>
            <w:noProof/>
            <w:lang w:val="en-GB"/>
          </w:rPr>
          <w:t>Items 69300, 69333 and 73085</w:t>
        </w:r>
        <w:r w:rsidR="009B42B8">
          <w:rPr>
            <w:noProof/>
            <w:webHidden/>
          </w:rPr>
          <w:tab/>
        </w:r>
        <w:r w:rsidR="009B42B8">
          <w:rPr>
            <w:noProof/>
            <w:webHidden/>
          </w:rPr>
          <w:fldChar w:fldCharType="begin"/>
        </w:r>
        <w:r w:rsidR="009B42B8">
          <w:rPr>
            <w:noProof/>
            <w:webHidden/>
          </w:rPr>
          <w:instrText xml:space="preserve"> PAGEREF _Toc525816091 \h </w:instrText>
        </w:r>
        <w:r w:rsidR="009B42B8">
          <w:rPr>
            <w:noProof/>
            <w:webHidden/>
          </w:rPr>
        </w:r>
        <w:r w:rsidR="009B42B8">
          <w:rPr>
            <w:noProof/>
            <w:webHidden/>
          </w:rPr>
          <w:fldChar w:fldCharType="separate"/>
        </w:r>
        <w:r w:rsidR="00985650">
          <w:rPr>
            <w:noProof/>
            <w:webHidden/>
          </w:rPr>
          <w:t>50</w:t>
        </w:r>
        <w:r w:rsidR="009B42B8">
          <w:rPr>
            <w:noProof/>
            <w:webHidden/>
          </w:rPr>
          <w:fldChar w:fldCharType="end"/>
        </w:r>
      </w:hyperlink>
    </w:p>
    <w:p w14:paraId="477DD092" w14:textId="7048A6AE" w:rsidR="009B42B8" w:rsidRDefault="00041F25">
      <w:pPr>
        <w:pStyle w:val="TOC2"/>
        <w:tabs>
          <w:tab w:val="left" w:pos="880"/>
          <w:tab w:val="right" w:leader="dot" w:pos="8302"/>
        </w:tabs>
        <w:rPr>
          <w:rFonts w:eastAsiaTheme="minorEastAsia" w:cstheme="minorBidi"/>
          <w:b w:val="0"/>
          <w:bCs w:val="0"/>
          <w:noProof/>
        </w:rPr>
      </w:pPr>
      <w:hyperlink w:anchor="_Toc525816092" w:history="1">
        <w:r w:rsidR="009B42B8" w:rsidRPr="00AD712E">
          <w:rPr>
            <w:rStyle w:val="Hyperlink"/>
            <w:noProof/>
            <w:lang w:val="en-GB"/>
            <w14:scene3d>
              <w14:camera w14:prst="orthographicFront"/>
              <w14:lightRig w14:rig="threePt" w14:dir="t">
                <w14:rot w14:lat="0" w14:lon="0" w14:rev="0"/>
              </w14:lightRig>
            </w14:scene3d>
          </w:rPr>
          <w:t>5.5</w:t>
        </w:r>
        <w:r w:rsidR="009B42B8">
          <w:rPr>
            <w:rFonts w:eastAsiaTheme="minorEastAsia" w:cstheme="minorBidi"/>
            <w:b w:val="0"/>
            <w:bCs w:val="0"/>
            <w:noProof/>
          </w:rPr>
          <w:tab/>
        </w:r>
        <w:r w:rsidR="009B42B8" w:rsidRPr="00AD712E">
          <w:rPr>
            <w:rStyle w:val="Hyperlink"/>
            <w:noProof/>
            <w:lang w:val="en-GB"/>
          </w:rPr>
          <w:t>Vitamin D item group</w:t>
        </w:r>
        <w:r w:rsidR="009B42B8">
          <w:rPr>
            <w:noProof/>
            <w:webHidden/>
          </w:rPr>
          <w:tab/>
        </w:r>
        <w:r w:rsidR="009B42B8">
          <w:rPr>
            <w:noProof/>
            <w:webHidden/>
          </w:rPr>
          <w:fldChar w:fldCharType="begin"/>
        </w:r>
        <w:r w:rsidR="009B42B8">
          <w:rPr>
            <w:noProof/>
            <w:webHidden/>
          </w:rPr>
          <w:instrText xml:space="preserve"> PAGEREF _Toc525816092 \h </w:instrText>
        </w:r>
        <w:r w:rsidR="009B42B8">
          <w:rPr>
            <w:noProof/>
            <w:webHidden/>
          </w:rPr>
        </w:r>
        <w:r w:rsidR="009B42B8">
          <w:rPr>
            <w:noProof/>
            <w:webHidden/>
          </w:rPr>
          <w:fldChar w:fldCharType="separate"/>
        </w:r>
        <w:r w:rsidR="00985650">
          <w:rPr>
            <w:noProof/>
            <w:webHidden/>
          </w:rPr>
          <w:t>54</w:t>
        </w:r>
        <w:r w:rsidR="009B42B8">
          <w:rPr>
            <w:noProof/>
            <w:webHidden/>
          </w:rPr>
          <w:fldChar w:fldCharType="end"/>
        </w:r>
      </w:hyperlink>
    </w:p>
    <w:p w14:paraId="40B74555" w14:textId="6B87E7F1" w:rsidR="009B42B8" w:rsidRDefault="00041F25">
      <w:pPr>
        <w:pStyle w:val="TOC3"/>
        <w:tabs>
          <w:tab w:val="left" w:pos="1100"/>
          <w:tab w:val="right" w:leader="dot" w:pos="8302"/>
        </w:tabs>
        <w:rPr>
          <w:rFonts w:eastAsiaTheme="minorEastAsia" w:cstheme="minorBidi"/>
          <w:noProof/>
          <w:sz w:val="22"/>
          <w:szCs w:val="22"/>
        </w:rPr>
      </w:pPr>
      <w:hyperlink w:anchor="_Toc525816093" w:history="1">
        <w:r w:rsidR="009B42B8" w:rsidRPr="00AD712E">
          <w:rPr>
            <w:rStyle w:val="Hyperlink"/>
            <w:noProof/>
            <w:lang w:val="en-GB"/>
          </w:rPr>
          <w:t>5.5.1</w:t>
        </w:r>
        <w:r w:rsidR="009B42B8">
          <w:rPr>
            <w:rFonts w:eastAsiaTheme="minorEastAsia" w:cstheme="minorBidi"/>
            <w:noProof/>
            <w:sz w:val="22"/>
            <w:szCs w:val="22"/>
          </w:rPr>
          <w:tab/>
        </w:r>
        <w:r w:rsidR="009B42B8" w:rsidRPr="00AD712E">
          <w:rPr>
            <w:rStyle w:val="Hyperlink"/>
            <w:noProof/>
            <w:lang w:val="en-GB"/>
          </w:rPr>
          <w:t>Vitamin D items</w:t>
        </w:r>
        <w:r w:rsidR="009B42B8">
          <w:rPr>
            <w:noProof/>
            <w:webHidden/>
          </w:rPr>
          <w:tab/>
        </w:r>
        <w:r w:rsidR="009B42B8">
          <w:rPr>
            <w:noProof/>
            <w:webHidden/>
          </w:rPr>
          <w:fldChar w:fldCharType="begin"/>
        </w:r>
        <w:r w:rsidR="009B42B8">
          <w:rPr>
            <w:noProof/>
            <w:webHidden/>
          </w:rPr>
          <w:instrText xml:space="preserve"> PAGEREF _Toc525816093 \h </w:instrText>
        </w:r>
        <w:r w:rsidR="009B42B8">
          <w:rPr>
            <w:noProof/>
            <w:webHidden/>
          </w:rPr>
        </w:r>
        <w:r w:rsidR="009B42B8">
          <w:rPr>
            <w:noProof/>
            <w:webHidden/>
          </w:rPr>
          <w:fldChar w:fldCharType="separate"/>
        </w:r>
        <w:r w:rsidR="00985650">
          <w:rPr>
            <w:noProof/>
            <w:webHidden/>
          </w:rPr>
          <w:t>54</w:t>
        </w:r>
        <w:r w:rsidR="009B42B8">
          <w:rPr>
            <w:noProof/>
            <w:webHidden/>
          </w:rPr>
          <w:fldChar w:fldCharType="end"/>
        </w:r>
      </w:hyperlink>
    </w:p>
    <w:p w14:paraId="51EBB4FB" w14:textId="5F4FEB4F" w:rsidR="009B42B8" w:rsidRDefault="00041F25">
      <w:pPr>
        <w:pStyle w:val="TOC2"/>
        <w:tabs>
          <w:tab w:val="left" w:pos="880"/>
          <w:tab w:val="right" w:leader="dot" w:pos="8302"/>
        </w:tabs>
        <w:rPr>
          <w:rFonts w:eastAsiaTheme="minorEastAsia" w:cstheme="minorBidi"/>
          <w:b w:val="0"/>
          <w:bCs w:val="0"/>
          <w:noProof/>
        </w:rPr>
      </w:pPr>
      <w:hyperlink w:anchor="_Toc525816094" w:history="1">
        <w:r w:rsidR="009B42B8" w:rsidRPr="00AD712E">
          <w:rPr>
            <w:rStyle w:val="Hyperlink"/>
            <w:noProof/>
            <w14:scene3d>
              <w14:camera w14:prst="orthographicFront"/>
              <w14:lightRig w14:rig="threePt" w14:dir="t">
                <w14:rot w14:lat="0" w14:lon="0" w14:rev="0"/>
              </w14:lightRig>
            </w14:scene3d>
          </w:rPr>
          <w:t>5.6</w:t>
        </w:r>
        <w:r w:rsidR="009B42B8">
          <w:rPr>
            <w:rFonts w:eastAsiaTheme="minorEastAsia" w:cstheme="minorBidi"/>
            <w:b w:val="0"/>
            <w:bCs w:val="0"/>
            <w:noProof/>
          </w:rPr>
          <w:tab/>
        </w:r>
        <w:r w:rsidR="009B42B8" w:rsidRPr="00AD712E">
          <w:rPr>
            <w:rStyle w:val="Hyperlink"/>
            <w:noProof/>
          </w:rPr>
          <w:t>Prostate-specific antigen item group</w:t>
        </w:r>
        <w:r w:rsidR="009B42B8">
          <w:rPr>
            <w:noProof/>
            <w:webHidden/>
          </w:rPr>
          <w:tab/>
        </w:r>
        <w:r w:rsidR="009B42B8">
          <w:rPr>
            <w:noProof/>
            <w:webHidden/>
          </w:rPr>
          <w:fldChar w:fldCharType="begin"/>
        </w:r>
        <w:r w:rsidR="009B42B8">
          <w:rPr>
            <w:noProof/>
            <w:webHidden/>
          </w:rPr>
          <w:instrText xml:space="preserve"> PAGEREF _Toc525816094 \h </w:instrText>
        </w:r>
        <w:r w:rsidR="009B42B8">
          <w:rPr>
            <w:noProof/>
            <w:webHidden/>
          </w:rPr>
        </w:r>
        <w:r w:rsidR="009B42B8">
          <w:rPr>
            <w:noProof/>
            <w:webHidden/>
          </w:rPr>
          <w:fldChar w:fldCharType="separate"/>
        </w:r>
        <w:r w:rsidR="00985650">
          <w:rPr>
            <w:noProof/>
            <w:webHidden/>
          </w:rPr>
          <w:t>59</w:t>
        </w:r>
        <w:r w:rsidR="009B42B8">
          <w:rPr>
            <w:noProof/>
            <w:webHidden/>
          </w:rPr>
          <w:fldChar w:fldCharType="end"/>
        </w:r>
      </w:hyperlink>
    </w:p>
    <w:p w14:paraId="5A8AD8A0" w14:textId="4ABF788D" w:rsidR="009B42B8" w:rsidRDefault="00041F25">
      <w:pPr>
        <w:pStyle w:val="TOC3"/>
        <w:tabs>
          <w:tab w:val="left" w:pos="1100"/>
          <w:tab w:val="right" w:leader="dot" w:pos="8302"/>
        </w:tabs>
        <w:rPr>
          <w:rFonts w:eastAsiaTheme="minorEastAsia" w:cstheme="minorBidi"/>
          <w:noProof/>
          <w:sz w:val="22"/>
          <w:szCs w:val="22"/>
        </w:rPr>
      </w:pPr>
      <w:hyperlink w:anchor="_Toc525816095" w:history="1">
        <w:r w:rsidR="009B42B8" w:rsidRPr="00AD712E">
          <w:rPr>
            <w:rStyle w:val="Hyperlink"/>
            <w:noProof/>
            <w:lang w:val="en-GB"/>
          </w:rPr>
          <w:t>5.6.1</w:t>
        </w:r>
        <w:r w:rsidR="009B42B8">
          <w:rPr>
            <w:rFonts w:eastAsiaTheme="minorEastAsia" w:cstheme="minorBidi"/>
            <w:noProof/>
            <w:sz w:val="22"/>
            <w:szCs w:val="22"/>
          </w:rPr>
          <w:tab/>
        </w:r>
        <w:r w:rsidR="009B42B8" w:rsidRPr="00AD712E">
          <w:rPr>
            <w:rStyle w:val="Hyperlink"/>
            <w:noProof/>
            <w:lang w:val="en-GB"/>
          </w:rPr>
          <w:t>Items 66655, 66656, 66659 and 66660</w:t>
        </w:r>
        <w:r w:rsidR="009B42B8">
          <w:rPr>
            <w:noProof/>
            <w:webHidden/>
          </w:rPr>
          <w:tab/>
        </w:r>
        <w:r w:rsidR="009B42B8">
          <w:rPr>
            <w:noProof/>
            <w:webHidden/>
          </w:rPr>
          <w:fldChar w:fldCharType="begin"/>
        </w:r>
        <w:r w:rsidR="009B42B8">
          <w:rPr>
            <w:noProof/>
            <w:webHidden/>
          </w:rPr>
          <w:instrText xml:space="preserve"> PAGEREF _Toc525816095 \h </w:instrText>
        </w:r>
        <w:r w:rsidR="009B42B8">
          <w:rPr>
            <w:noProof/>
            <w:webHidden/>
          </w:rPr>
        </w:r>
        <w:r w:rsidR="009B42B8">
          <w:rPr>
            <w:noProof/>
            <w:webHidden/>
          </w:rPr>
          <w:fldChar w:fldCharType="separate"/>
        </w:r>
        <w:r w:rsidR="00985650">
          <w:rPr>
            <w:noProof/>
            <w:webHidden/>
          </w:rPr>
          <w:t>59</w:t>
        </w:r>
        <w:r w:rsidR="009B42B8">
          <w:rPr>
            <w:noProof/>
            <w:webHidden/>
          </w:rPr>
          <w:fldChar w:fldCharType="end"/>
        </w:r>
      </w:hyperlink>
    </w:p>
    <w:p w14:paraId="1BA54AFE" w14:textId="16A1F276" w:rsidR="009B42B8" w:rsidRDefault="00041F25" w:rsidP="00D20CCE">
      <w:pPr>
        <w:pStyle w:val="TOC1"/>
        <w:rPr>
          <w:rFonts w:eastAsiaTheme="minorEastAsia" w:cstheme="minorBidi"/>
          <w:noProof/>
          <w:sz w:val="22"/>
          <w:szCs w:val="22"/>
        </w:rPr>
      </w:pPr>
      <w:hyperlink w:anchor="_Toc525816096" w:history="1">
        <w:r w:rsidR="009B42B8" w:rsidRPr="00AD712E">
          <w:rPr>
            <w:rStyle w:val="Hyperlink"/>
            <w:noProof/>
          </w:rPr>
          <w:t>6.</w:t>
        </w:r>
        <w:r w:rsidR="009B42B8">
          <w:rPr>
            <w:rFonts w:eastAsiaTheme="minorEastAsia" w:cstheme="minorBidi"/>
            <w:noProof/>
            <w:sz w:val="22"/>
            <w:szCs w:val="22"/>
          </w:rPr>
          <w:tab/>
        </w:r>
        <w:r w:rsidR="009B42B8" w:rsidRPr="00AD712E">
          <w:rPr>
            <w:rStyle w:val="Hyperlink"/>
            <w:noProof/>
          </w:rPr>
          <w:t>Diagnostic imaging item recommendations</w:t>
        </w:r>
        <w:r w:rsidR="009B42B8">
          <w:rPr>
            <w:noProof/>
            <w:webHidden/>
          </w:rPr>
          <w:tab/>
        </w:r>
        <w:r w:rsidR="009B42B8">
          <w:rPr>
            <w:noProof/>
            <w:webHidden/>
          </w:rPr>
          <w:fldChar w:fldCharType="begin"/>
        </w:r>
        <w:r w:rsidR="009B42B8">
          <w:rPr>
            <w:noProof/>
            <w:webHidden/>
          </w:rPr>
          <w:instrText xml:space="preserve"> PAGEREF _Toc525816096 \h </w:instrText>
        </w:r>
        <w:r w:rsidR="009B42B8">
          <w:rPr>
            <w:noProof/>
            <w:webHidden/>
          </w:rPr>
        </w:r>
        <w:r w:rsidR="009B42B8">
          <w:rPr>
            <w:noProof/>
            <w:webHidden/>
          </w:rPr>
          <w:fldChar w:fldCharType="separate"/>
        </w:r>
        <w:r w:rsidR="00985650">
          <w:rPr>
            <w:noProof/>
            <w:webHidden/>
          </w:rPr>
          <w:t>63</w:t>
        </w:r>
        <w:r w:rsidR="009B42B8">
          <w:rPr>
            <w:noProof/>
            <w:webHidden/>
          </w:rPr>
          <w:fldChar w:fldCharType="end"/>
        </w:r>
      </w:hyperlink>
    </w:p>
    <w:p w14:paraId="2F3AB616" w14:textId="5A7DBDC5" w:rsidR="009B42B8" w:rsidRDefault="00041F25">
      <w:pPr>
        <w:pStyle w:val="TOC2"/>
        <w:tabs>
          <w:tab w:val="left" w:pos="880"/>
          <w:tab w:val="right" w:leader="dot" w:pos="8302"/>
        </w:tabs>
        <w:rPr>
          <w:rFonts w:eastAsiaTheme="minorEastAsia" w:cstheme="minorBidi"/>
          <w:b w:val="0"/>
          <w:bCs w:val="0"/>
          <w:noProof/>
        </w:rPr>
      </w:pPr>
      <w:hyperlink w:anchor="_Toc525816097" w:history="1">
        <w:r w:rsidR="009B42B8" w:rsidRPr="00AD712E">
          <w:rPr>
            <w:rStyle w:val="Hyperlink"/>
            <w:noProof/>
            <w14:scene3d>
              <w14:camera w14:prst="orthographicFront"/>
              <w14:lightRig w14:rig="threePt" w14:dir="t">
                <w14:rot w14:lat="0" w14:lon="0" w14:rev="0"/>
              </w14:lightRig>
            </w14:scene3d>
          </w:rPr>
          <w:t>6.1</w:t>
        </w:r>
        <w:r w:rsidR="009B42B8">
          <w:rPr>
            <w:rFonts w:eastAsiaTheme="minorEastAsia" w:cstheme="minorBidi"/>
            <w:b w:val="0"/>
            <w:bCs w:val="0"/>
            <w:noProof/>
          </w:rPr>
          <w:tab/>
        </w:r>
        <w:r w:rsidR="009B42B8" w:rsidRPr="00AD712E">
          <w:rPr>
            <w:rStyle w:val="Hyperlink"/>
            <w:noProof/>
          </w:rPr>
          <w:t>Ankle/hind foot ultrasound</w:t>
        </w:r>
        <w:r w:rsidR="009B42B8">
          <w:rPr>
            <w:noProof/>
            <w:webHidden/>
          </w:rPr>
          <w:tab/>
        </w:r>
        <w:r w:rsidR="009B42B8">
          <w:rPr>
            <w:noProof/>
            <w:webHidden/>
          </w:rPr>
          <w:fldChar w:fldCharType="begin"/>
        </w:r>
        <w:r w:rsidR="009B42B8">
          <w:rPr>
            <w:noProof/>
            <w:webHidden/>
          </w:rPr>
          <w:instrText xml:space="preserve"> PAGEREF _Toc525816097 \h </w:instrText>
        </w:r>
        <w:r w:rsidR="009B42B8">
          <w:rPr>
            <w:noProof/>
            <w:webHidden/>
          </w:rPr>
        </w:r>
        <w:r w:rsidR="009B42B8">
          <w:rPr>
            <w:noProof/>
            <w:webHidden/>
          </w:rPr>
          <w:fldChar w:fldCharType="separate"/>
        </w:r>
        <w:r w:rsidR="00985650">
          <w:rPr>
            <w:noProof/>
            <w:webHidden/>
          </w:rPr>
          <w:t>63</w:t>
        </w:r>
        <w:r w:rsidR="009B42B8">
          <w:rPr>
            <w:noProof/>
            <w:webHidden/>
          </w:rPr>
          <w:fldChar w:fldCharType="end"/>
        </w:r>
      </w:hyperlink>
    </w:p>
    <w:p w14:paraId="7A682C3A" w14:textId="286A291E" w:rsidR="009B42B8" w:rsidRDefault="00041F25">
      <w:pPr>
        <w:pStyle w:val="TOC3"/>
        <w:tabs>
          <w:tab w:val="left" w:pos="1100"/>
          <w:tab w:val="right" w:leader="dot" w:pos="8302"/>
        </w:tabs>
        <w:rPr>
          <w:rFonts w:eastAsiaTheme="minorEastAsia" w:cstheme="minorBidi"/>
          <w:noProof/>
          <w:sz w:val="22"/>
          <w:szCs w:val="22"/>
        </w:rPr>
      </w:pPr>
      <w:hyperlink w:anchor="_Toc525816098" w:history="1">
        <w:r w:rsidR="009B42B8" w:rsidRPr="00AD712E">
          <w:rPr>
            <w:rStyle w:val="Hyperlink"/>
            <w:noProof/>
          </w:rPr>
          <w:t>6.1.1</w:t>
        </w:r>
        <w:r w:rsidR="009B42B8">
          <w:rPr>
            <w:rFonts w:eastAsiaTheme="minorEastAsia" w:cstheme="minorBidi"/>
            <w:noProof/>
            <w:sz w:val="22"/>
            <w:szCs w:val="22"/>
          </w:rPr>
          <w:tab/>
        </w:r>
        <w:r w:rsidR="009B42B8" w:rsidRPr="00AD712E">
          <w:rPr>
            <w:rStyle w:val="Hyperlink"/>
            <w:noProof/>
          </w:rPr>
          <w:t>Items 55836, 55837, 55838 and 55839</w:t>
        </w:r>
        <w:r w:rsidR="009B42B8">
          <w:rPr>
            <w:noProof/>
            <w:webHidden/>
          </w:rPr>
          <w:tab/>
        </w:r>
        <w:r w:rsidR="009B42B8">
          <w:rPr>
            <w:noProof/>
            <w:webHidden/>
          </w:rPr>
          <w:fldChar w:fldCharType="begin"/>
        </w:r>
        <w:r w:rsidR="009B42B8">
          <w:rPr>
            <w:noProof/>
            <w:webHidden/>
          </w:rPr>
          <w:instrText xml:space="preserve"> PAGEREF _Toc525816098 \h </w:instrText>
        </w:r>
        <w:r w:rsidR="009B42B8">
          <w:rPr>
            <w:noProof/>
            <w:webHidden/>
          </w:rPr>
        </w:r>
        <w:r w:rsidR="009B42B8">
          <w:rPr>
            <w:noProof/>
            <w:webHidden/>
          </w:rPr>
          <w:fldChar w:fldCharType="separate"/>
        </w:r>
        <w:r w:rsidR="00985650">
          <w:rPr>
            <w:noProof/>
            <w:webHidden/>
          </w:rPr>
          <w:t>63</w:t>
        </w:r>
        <w:r w:rsidR="009B42B8">
          <w:rPr>
            <w:noProof/>
            <w:webHidden/>
          </w:rPr>
          <w:fldChar w:fldCharType="end"/>
        </w:r>
      </w:hyperlink>
    </w:p>
    <w:p w14:paraId="09759CCB" w14:textId="348FFF91" w:rsidR="009B42B8" w:rsidRDefault="00041F25">
      <w:pPr>
        <w:pStyle w:val="TOC2"/>
        <w:tabs>
          <w:tab w:val="left" w:pos="880"/>
          <w:tab w:val="right" w:leader="dot" w:pos="8302"/>
        </w:tabs>
        <w:rPr>
          <w:rFonts w:eastAsiaTheme="minorEastAsia" w:cstheme="minorBidi"/>
          <w:b w:val="0"/>
          <w:bCs w:val="0"/>
          <w:noProof/>
        </w:rPr>
      </w:pPr>
      <w:hyperlink w:anchor="_Toc525816099" w:history="1">
        <w:r w:rsidR="009B42B8" w:rsidRPr="00AD712E">
          <w:rPr>
            <w:rStyle w:val="Hyperlink"/>
            <w:noProof/>
            <w:lang w:val="en-GB"/>
            <w14:scene3d>
              <w14:camera w14:prst="orthographicFront"/>
              <w14:lightRig w14:rig="threePt" w14:dir="t">
                <w14:rot w14:lat="0" w14:lon="0" w14:rev="0"/>
              </w14:lightRig>
            </w14:scene3d>
          </w:rPr>
          <w:t>6.2</w:t>
        </w:r>
        <w:r w:rsidR="009B42B8">
          <w:rPr>
            <w:rFonts w:eastAsiaTheme="minorEastAsia" w:cstheme="minorBidi"/>
            <w:b w:val="0"/>
            <w:bCs w:val="0"/>
            <w:noProof/>
          </w:rPr>
          <w:tab/>
        </w:r>
        <w:r w:rsidR="009B42B8" w:rsidRPr="00AD712E">
          <w:rPr>
            <w:rStyle w:val="Hyperlink"/>
            <w:noProof/>
            <w:lang w:val="en-GB"/>
          </w:rPr>
          <w:t>Shoulder ultrasound</w:t>
        </w:r>
        <w:r w:rsidR="009B42B8">
          <w:rPr>
            <w:noProof/>
            <w:webHidden/>
          </w:rPr>
          <w:tab/>
        </w:r>
        <w:r w:rsidR="009B42B8">
          <w:rPr>
            <w:noProof/>
            <w:webHidden/>
          </w:rPr>
          <w:fldChar w:fldCharType="begin"/>
        </w:r>
        <w:r w:rsidR="009B42B8">
          <w:rPr>
            <w:noProof/>
            <w:webHidden/>
          </w:rPr>
          <w:instrText xml:space="preserve"> PAGEREF _Toc525816099 \h </w:instrText>
        </w:r>
        <w:r w:rsidR="009B42B8">
          <w:rPr>
            <w:noProof/>
            <w:webHidden/>
          </w:rPr>
        </w:r>
        <w:r w:rsidR="009B42B8">
          <w:rPr>
            <w:noProof/>
            <w:webHidden/>
          </w:rPr>
          <w:fldChar w:fldCharType="separate"/>
        </w:r>
        <w:r w:rsidR="00985650">
          <w:rPr>
            <w:noProof/>
            <w:webHidden/>
          </w:rPr>
          <w:t>66</w:t>
        </w:r>
        <w:r w:rsidR="009B42B8">
          <w:rPr>
            <w:noProof/>
            <w:webHidden/>
          </w:rPr>
          <w:fldChar w:fldCharType="end"/>
        </w:r>
      </w:hyperlink>
    </w:p>
    <w:p w14:paraId="000CC4A2" w14:textId="6EC0EBB3" w:rsidR="009B42B8" w:rsidRDefault="00041F25">
      <w:pPr>
        <w:pStyle w:val="TOC3"/>
        <w:tabs>
          <w:tab w:val="left" w:pos="1100"/>
          <w:tab w:val="right" w:leader="dot" w:pos="8302"/>
        </w:tabs>
        <w:rPr>
          <w:rFonts w:eastAsiaTheme="minorEastAsia" w:cstheme="minorBidi"/>
          <w:noProof/>
          <w:sz w:val="22"/>
          <w:szCs w:val="22"/>
        </w:rPr>
      </w:pPr>
      <w:hyperlink w:anchor="_Toc525816100" w:history="1">
        <w:r w:rsidR="009B42B8" w:rsidRPr="00AD712E">
          <w:rPr>
            <w:rStyle w:val="Hyperlink"/>
            <w:noProof/>
          </w:rPr>
          <w:t>6.2.1</w:t>
        </w:r>
        <w:r w:rsidR="009B42B8">
          <w:rPr>
            <w:rFonts w:eastAsiaTheme="minorEastAsia" w:cstheme="minorBidi"/>
            <w:noProof/>
            <w:sz w:val="22"/>
            <w:szCs w:val="22"/>
          </w:rPr>
          <w:tab/>
        </w:r>
        <w:r w:rsidR="009B42B8" w:rsidRPr="00AD712E">
          <w:rPr>
            <w:rStyle w:val="Hyperlink"/>
            <w:noProof/>
          </w:rPr>
          <w:t>Items 55808, 55809, 55810 and 55811</w:t>
        </w:r>
        <w:r w:rsidR="009B42B8">
          <w:rPr>
            <w:noProof/>
            <w:webHidden/>
          </w:rPr>
          <w:tab/>
        </w:r>
        <w:r w:rsidR="009B42B8">
          <w:rPr>
            <w:noProof/>
            <w:webHidden/>
          </w:rPr>
          <w:fldChar w:fldCharType="begin"/>
        </w:r>
        <w:r w:rsidR="009B42B8">
          <w:rPr>
            <w:noProof/>
            <w:webHidden/>
          </w:rPr>
          <w:instrText xml:space="preserve"> PAGEREF _Toc525816100 \h </w:instrText>
        </w:r>
        <w:r w:rsidR="009B42B8">
          <w:rPr>
            <w:noProof/>
            <w:webHidden/>
          </w:rPr>
        </w:r>
        <w:r w:rsidR="009B42B8">
          <w:rPr>
            <w:noProof/>
            <w:webHidden/>
          </w:rPr>
          <w:fldChar w:fldCharType="separate"/>
        </w:r>
        <w:r w:rsidR="00985650">
          <w:rPr>
            <w:noProof/>
            <w:webHidden/>
          </w:rPr>
          <w:t>66</w:t>
        </w:r>
        <w:r w:rsidR="009B42B8">
          <w:rPr>
            <w:noProof/>
            <w:webHidden/>
          </w:rPr>
          <w:fldChar w:fldCharType="end"/>
        </w:r>
      </w:hyperlink>
    </w:p>
    <w:p w14:paraId="04E026C3" w14:textId="17670F52" w:rsidR="009B42B8" w:rsidRDefault="00041F25">
      <w:pPr>
        <w:pStyle w:val="TOC2"/>
        <w:tabs>
          <w:tab w:val="left" w:pos="880"/>
          <w:tab w:val="right" w:leader="dot" w:pos="8302"/>
        </w:tabs>
        <w:rPr>
          <w:rFonts w:eastAsiaTheme="minorEastAsia" w:cstheme="minorBidi"/>
          <w:b w:val="0"/>
          <w:bCs w:val="0"/>
          <w:noProof/>
        </w:rPr>
      </w:pPr>
      <w:hyperlink w:anchor="_Toc525816101" w:history="1">
        <w:r w:rsidR="009B42B8" w:rsidRPr="00AD712E">
          <w:rPr>
            <w:rStyle w:val="Hyperlink"/>
            <w:noProof/>
            <w:lang w:val="en-GB"/>
            <w14:scene3d>
              <w14:camera w14:prst="orthographicFront"/>
              <w14:lightRig w14:rig="threePt" w14:dir="t">
                <w14:rot w14:lat="0" w14:lon="0" w14:rev="0"/>
              </w14:lightRig>
            </w14:scene3d>
          </w:rPr>
          <w:t>6.3</w:t>
        </w:r>
        <w:r w:rsidR="009B42B8">
          <w:rPr>
            <w:rFonts w:eastAsiaTheme="minorEastAsia" w:cstheme="minorBidi"/>
            <w:b w:val="0"/>
            <w:bCs w:val="0"/>
            <w:noProof/>
          </w:rPr>
          <w:tab/>
        </w:r>
        <w:r w:rsidR="009B42B8" w:rsidRPr="00AD712E">
          <w:rPr>
            <w:rStyle w:val="Hyperlink"/>
            <w:noProof/>
            <w:lang w:val="en-GB"/>
          </w:rPr>
          <w:t xml:space="preserve">Lower back </w:t>
        </w:r>
        <w:r w:rsidR="009B42B8" w:rsidRPr="00AD712E">
          <w:rPr>
            <w:rStyle w:val="Hyperlink"/>
            <w:noProof/>
          </w:rPr>
          <w:t>imaging</w:t>
        </w:r>
        <w:r w:rsidR="009B42B8">
          <w:rPr>
            <w:noProof/>
            <w:webHidden/>
          </w:rPr>
          <w:tab/>
        </w:r>
        <w:r w:rsidR="009B42B8">
          <w:rPr>
            <w:noProof/>
            <w:webHidden/>
          </w:rPr>
          <w:fldChar w:fldCharType="begin"/>
        </w:r>
        <w:r w:rsidR="009B42B8">
          <w:rPr>
            <w:noProof/>
            <w:webHidden/>
          </w:rPr>
          <w:instrText xml:space="preserve"> PAGEREF _Toc525816101 \h </w:instrText>
        </w:r>
        <w:r w:rsidR="009B42B8">
          <w:rPr>
            <w:noProof/>
            <w:webHidden/>
          </w:rPr>
        </w:r>
        <w:r w:rsidR="009B42B8">
          <w:rPr>
            <w:noProof/>
            <w:webHidden/>
          </w:rPr>
          <w:fldChar w:fldCharType="separate"/>
        </w:r>
        <w:r w:rsidR="00985650">
          <w:rPr>
            <w:noProof/>
            <w:webHidden/>
          </w:rPr>
          <w:t>70</w:t>
        </w:r>
        <w:r w:rsidR="009B42B8">
          <w:rPr>
            <w:noProof/>
            <w:webHidden/>
          </w:rPr>
          <w:fldChar w:fldCharType="end"/>
        </w:r>
      </w:hyperlink>
    </w:p>
    <w:p w14:paraId="263BCB41" w14:textId="53880667" w:rsidR="009B42B8" w:rsidRDefault="00041F25">
      <w:pPr>
        <w:pStyle w:val="TOC3"/>
        <w:tabs>
          <w:tab w:val="left" w:pos="1100"/>
          <w:tab w:val="right" w:leader="dot" w:pos="8302"/>
        </w:tabs>
        <w:rPr>
          <w:rFonts w:eastAsiaTheme="minorEastAsia" w:cstheme="minorBidi"/>
          <w:noProof/>
          <w:sz w:val="22"/>
          <w:szCs w:val="22"/>
        </w:rPr>
      </w:pPr>
      <w:hyperlink w:anchor="_Toc525816102" w:history="1">
        <w:r w:rsidR="009B42B8" w:rsidRPr="00AD712E">
          <w:rPr>
            <w:rStyle w:val="Hyperlink"/>
            <w:noProof/>
          </w:rPr>
          <w:t>6.3.1</w:t>
        </w:r>
        <w:r w:rsidR="009B42B8">
          <w:rPr>
            <w:rFonts w:eastAsiaTheme="minorEastAsia" w:cstheme="minorBidi"/>
            <w:noProof/>
            <w:sz w:val="22"/>
            <w:szCs w:val="22"/>
          </w:rPr>
          <w:tab/>
        </w:r>
        <w:r w:rsidR="009B42B8" w:rsidRPr="00AD712E">
          <w:rPr>
            <w:rStyle w:val="Hyperlink"/>
            <w:noProof/>
          </w:rPr>
          <w:t>Lower back items</w:t>
        </w:r>
        <w:r w:rsidR="009B42B8">
          <w:rPr>
            <w:noProof/>
            <w:webHidden/>
          </w:rPr>
          <w:tab/>
        </w:r>
        <w:r w:rsidR="009B42B8">
          <w:rPr>
            <w:noProof/>
            <w:webHidden/>
          </w:rPr>
          <w:fldChar w:fldCharType="begin"/>
        </w:r>
        <w:r w:rsidR="009B42B8">
          <w:rPr>
            <w:noProof/>
            <w:webHidden/>
          </w:rPr>
          <w:instrText xml:space="preserve"> PAGEREF _Toc525816102 \h </w:instrText>
        </w:r>
        <w:r w:rsidR="009B42B8">
          <w:rPr>
            <w:noProof/>
            <w:webHidden/>
          </w:rPr>
        </w:r>
        <w:r w:rsidR="009B42B8">
          <w:rPr>
            <w:noProof/>
            <w:webHidden/>
          </w:rPr>
          <w:fldChar w:fldCharType="separate"/>
        </w:r>
        <w:r w:rsidR="00985650">
          <w:rPr>
            <w:noProof/>
            <w:webHidden/>
          </w:rPr>
          <w:t>70</w:t>
        </w:r>
        <w:r w:rsidR="009B42B8">
          <w:rPr>
            <w:noProof/>
            <w:webHidden/>
          </w:rPr>
          <w:fldChar w:fldCharType="end"/>
        </w:r>
      </w:hyperlink>
    </w:p>
    <w:p w14:paraId="5EF13786" w14:textId="261A11DF" w:rsidR="009B42B8" w:rsidRDefault="00041F25">
      <w:pPr>
        <w:pStyle w:val="TOC2"/>
        <w:tabs>
          <w:tab w:val="left" w:pos="880"/>
          <w:tab w:val="right" w:leader="dot" w:pos="8302"/>
        </w:tabs>
        <w:rPr>
          <w:rFonts w:eastAsiaTheme="minorEastAsia" w:cstheme="minorBidi"/>
          <w:b w:val="0"/>
          <w:bCs w:val="0"/>
          <w:noProof/>
        </w:rPr>
      </w:pPr>
      <w:hyperlink w:anchor="_Toc525816103" w:history="1">
        <w:r w:rsidR="009B42B8" w:rsidRPr="00AD712E">
          <w:rPr>
            <w:rStyle w:val="Hyperlink"/>
            <w:noProof/>
            <w:lang w:val="en-GB"/>
            <w14:scene3d>
              <w14:camera w14:prst="orthographicFront"/>
              <w14:lightRig w14:rig="threePt" w14:dir="t">
                <w14:rot w14:lat="0" w14:lon="0" w14:rev="0"/>
              </w14:lightRig>
            </w14:scene3d>
          </w:rPr>
          <w:t>6.4</w:t>
        </w:r>
        <w:r w:rsidR="009B42B8">
          <w:rPr>
            <w:rFonts w:eastAsiaTheme="minorEastAsia" w:cstheme="minorBidi"/>
            <w:b w:val="0"/>
            <w:bCs w:val="0"/>
            <w:noProof/>
          </w:rPr>
          <w:tab/>
        </w:r>
        <w:r w:rsidR="009B42B8" w:rsidRPr="00AD712E">
          <w:rPr>
            <w:rStyle w:val="Hyperlink"/>
            <w:noProof/>
            <w:lang w:val="en-GB"/>
          </w:rPr>
          <w:t xml:space="preserve">Head </w:t>
        </w:r>
        <w:r w:rsidR="009B42B8" w:rsidRPr="00AD712E">
          <w:rPr>
            <w:rStyle w:val="Hyperlink"/>
            <w:noProof/>
          </w:rPr>
          <w:t>imaging</w:t>
        </w:r>
        <w:r w:rsidR="009B42B8">
          <w:rPr>
            <w:noProof/>
            <w:webHidden/>
          </w:rPr>
          <w:tab/>
        </w:r>
        <w:r w:rsidR="009B42B8">
          <w:rPr>
            <w:noProof/>
            <w:webHidden/>
          </w:rPr>
          <w:fldChar w:fldCharType="begin"/>
        </w:r>
        <w:r w:rsidR="009B42B8">
          <w:rPr>
            <w:noProof/>
            <w:webHidden/>
          </w:rPr>
          <w:instrText xml:space="preserve"> PAGEREF _Toc525816103 \h </w:instrText>
        </w:r>
        <w:r w:rsidR="009B42B8">
          <w:rPr>
            <w:noProof/>
            <w:webHidden/>
          </w:rPr>
        </w:r>
        <w:r w:rsidR="009B42B8">
          <w:rPr>
            <w:noProof/>
            <w:webHidden/>
          </w:rPr>
          <w:fldChar w:fldCharType="separate"/>
        </w:r>
        <w:r w:rsidR="00985650">
          <w:rPr>
            <w:noProof/>
            <w:webHidden/>
          </w:rPr>
          <w:t>76</w:t>
        </w:r>
        <w:r w:rsidR="009B42B8">
          <w:rPr>
            <w:noProof/>
            <w:webHidden/>
          </w:rPr>
          <w:fldChar w:fldCharType="end"/>
        </w:r>
      </w:hyperlink>
    </w:p>
    <w:p w14:paraId="66EBFF2C" w14:textId="2DC5B026" w:rsidR="009B42B8" w:rsidRDefault="00041F25">
      <w:pPr>
        <w:pStyle w:val="TOC3"/>
        <w:tabs>
          <w:tab w:val="left" w:pos="1100"/>
          <w:tab w:val="right" w:leader="dot" w:pos="8302"/>
        </w:tabs>
        <w:rPr>
          <w:rFonts w:eastAsiaTheme="minorEastAsia" w:cstheme="minorBidi"/>
          <w:noProof/>
          <w:sz w:val="22"/>
          <w:szCs w:val="22"/>
        </w:rPr>
      </w:pPr>
      <w:hyperlink w:anchor="_Toc525816104" w:history="1">
        <w:r w:rsidR="009B42B8" w:rsidRPr="00AD712E">
          <w:rPr>
            <w:rStyle w:val="Hyperlink"/>
            <w:noProof/>
          </w:rPr>
          <w:t>6.4.1</w:t>
        </w:r>
        <w:r w:rsidR="009B42B8">
          <w:rPr>
            <w:rFonts w:eastAsiaTheme="minorEastAsia" w:cstheme="minorBidi"/>
            <w:noProof/>
            <w:sz w:val="22"/>
            <w:szCs w:val="22"/>
          </w:rPr>
          <w:tab/>
        </w:r>
        <w:r w:rsidR="009B42B8" w:rsidRPr="00AD712E">
          <w:rPr>
            <w:rStyle w:val="Hyperlink"/>
            <w:noProof/>
          </w:rPr>
          <w:t>Head imaging items</w:t>
        </w:r>
        <w:r w:rsidR="009B42B8">
          <w:rPr>
            <w:noProof/>
            <w:webHidden/>
          </w:rPr>
          <w:tab/>
        </w:r>
        <w:r w:rsidR="009B42B8">
          <w:rPr>
            <w:noProof/>
            <w:webHidden/>
          </w:rPr>
          <w:fldChar w:fldCharType="begin"/>
        </w:r>
        <w:r w:rsidR="009B42B8">
          <w:rPr>
            <w:noProof/>
            <w:webHidden/>
          </w:rPr>
          <w:instrText xml:space="preserve"> PAGEREF _Toc525816104 \h </w:instrText>
        </w:r>
        <w:r w:rsidR="009B42B8">
          <w:rPr>
            <w:noProof/>
            <w:webHidden/>
          </w:rPr>
        </w:r>
        <w:r w:rsidR="009B42B8">
          <w:rPr>
            <w:noProof/>
            <w:webHidden/>
          </w:rPr>
          <w:fldChar w:fldCharType="separate"/>
        </w:r>
        <w:r w:rsidR="00985650">
          <w:rPr>
            <w:noProof/>
            <w:webHidden/>
          </w:rPr>
          <w:t>76</w:t>
        </w:r>
        <w:r w:rsidR="009B42B8">
          <w:rPr>
            <w:noProof/>
            <w:webHidden/>
          </w:rPr>
          <w:fldChar w:fldCharType="end"/>
        </w:r>
      </w:hyperlink>
    </w:p>
    <w:p w14:paraId="06A91F9E" w14:textId="636F08D6" w:rsidR="009B42B8" w:rsidRDefault="00041F25" w:rsidP="00D20CCE">
      <w:pPr>
        <w:pStyle w:val="TOC1"/>
        <w:rPr>
          <w:rFonts w:eastAsiaTheme="minorEastAsia" w:cstheme="minorBidi"/>
          <w:noProof/>
          <w:sz w:val="22"/>
          <w:szCs w:val="22"/>
        </w:rPr>
      </w:pPr>
      <w:hyperlink w:anchor="_Toc525816105" w:history="1">
        <w:r w:rsidR="009B42B8" w:rsidRPr="00AD712E">
          <w:rPr>
            <w:rStyle w:val="Hyperlink"/>
            <w:noProof/>
          </w:rPr>
          <w:t>7.</w:t>
        </w:r>
        <w:r w:rsidR="009B42B8">
          <w:rPr>
            <w:rFonts w:eastAsiaTheme="minorEastAsia" w:cstheme="minorBidi"/>
            <w:noProof/>
            <w:sz w:val="22"/>
            <w:szCs w:val="22"/>
          </w:rPr>
          <w:tab/>
        </w:r>
        <w:r w:rsidR="009B42B8" w:rsidRPr="00AD712E">
          <w:rPr>
            <w:rStyle w:val="Hyperlink"/>
            <w:noProof/>
          </w:rPr>
          <w:t>Non-item recommendations</w:t>
        </w:r>
        <w:r w:rsidR="009B42B8">
          <w:rPr>
            <w:noProof/>
            <w:webHidden/>
          </w:rPr>
          <w:tab/>
        </w:r>
        <w:r w:rsidR="009B42B8">
          <w:rPr>
            <w:noProof/>
            <w:webHidden/>
          </w:rPr>
          <w:fldChar w:fldCharType="begin"/>
        </w:r>
        <w:r w:rsidR="009B42B8">
          <w:rPr>
            <w:noProof/>
            <w:webHidden/>
          </w:rPr>
          <w:instrText xml:space="preserve"> PAGEREF _Toc525816105 \h </w:instrText>
        </w:r>
        <w:r w:rsidR="009B42B8">
          <w:rPr>
            <w:noProof/>
            <w:webHidden/>
          </w:rPr>
        </w:r>
        <w:r w:rsidR="009B42B8">
          <w:rPr>
            <w:noProof/>
            <w:webHidden/>
          </w:rPr>
          <w:fldChar w:fldCharType="separate"/>
        </w:r>
        <w:r w:rsidR="00985650">
          <w:rPr>
            <w:noProof/>
            <w:webHidden/>
          </w:rPr>
          <w:t>80</w:t>
        </w:r>
        <w:r w:rsidR="009B42B8">
          <w:rPr>
            <w:noProof/>
            <w:webHidden/>
          </w:rPr>
          <w:fldChar w:fldCharType="end"/>
        </w:r>
      </w:hyperlink>
    </w:p>
    <w:p w14:paraId="212EA1B4" w14:textId="2D0C1785" w:rsidR="009B42B8" w:rsidRDefault="00041F25">
      <w:pPr>
        <w:pStyle w:val="TOC2"/>
        <w:tabs>
          <w:tab w:val="left" w:pos="880"/>
          <w:tab w:val="right" w:leader="dot" w:pos="8302"/>
        </w:tabs>
        <w:rPr>
          <w:rFonts w:eastAsiaTheme="minorEastAsia" w:cstheme="minorBidi"/>
          <w:b w:val="0"/>
          <w:bCs w:val="0"/>
          <w:noProof/>
        </w:rPr>
      </w:pPr>
      <w:hyperlink w:anchor="_Toc525816106" w:history="1">
        <w:r w:rsidR="009B42B8" w:rsidRPr="00AD712E">
          <w:rPr>
            <w:rStyle w:val="Hyperlink"/>
            <w:noProof/>
            <w:lang w:val="en-GB"/>
            <w14:scene3d>
              <w14:camera w14:prst="orthographicFront"/>
              <w14:lightRig w14:rig="threePt" w14:dir="t">
                <w14:rot w14:lat="0" w14:lon="0" w14:rev="0"/>
              </w14:lightRig>
            </w14:scene3d>
          </w:rPr>
          <w:t>7.1</w:t>
        </w:r>
        <w:r w:rsidR="009B42B8">
          <w:rPr>
            <w:rFonts w:eastAsiaTheme="minorEastAsia" w:cstheme="minorBidi"/>
            <w:b w:val="0"/>
            <w:bCs w:val="0"/>
            <w:noProof/>
          </w:rPr>
          <w:tab/>
        </w:r>
        <w:r w:rsidR="009B42B8" w:rsidRPr="00AD712E">
          <w:rPr>
            <w:rStyle w:val="Hyperlink"/>
            <w:noProof/>
            <w:lang w:val="en-GB"/>
          </w:rPr>
          <w:t>‘Diabetes care set’ item</w:t>
        </w:r>
        <w:r w:rsidR="009B42B8">
          <w:rPr>
            <w:noProof/>
            <w:webHidden/>
          </w:rPr>
          <w:tab/>
        </w:r>
        <w:r w:rsidR="009B42B8">
          <w:rPr>
            <w:noProof/>
            <w:webHidden/>
          </w:rPr>
          <w:fldChar w:fldCharType="begin"/>
        </w:r>
        <w:r w:rsidR="009B42B8">
          <w:rPr>
            <w:noProof/>
            <w:webHidden/>
          </w:rPr>
          <w:instrText xml:space="preserve"> PAGEREF _Toc525816106 \h </w:instrText>
        </w:r>
        <w:r w:rsidR="009B42B8">
          <w:rPr>
            <w:noProof/>
            <w:webHidden/>
          </w:rPr>
        </w:r>
        <w:r w:rsidR="009B42B8">
          <w:rPr>
            <w:noProof/>
            <w:webHidden/>
          </w:rPr>
          <w:fldChar w:fldCharType="separate"/>
        </w:r>
        <w:r w:rsidR="00985650">
          <w:rPr>
            <w:noProof/>
            <w:webHidden/>
          </w:rPr>
          <w:t>80</w:t>
        </w:r>
        <w:r w:rsidR="009B42B8">
          <w:rPr>
            <w:noProof/>
            <w:webHidden/>
          </w:rPr>
          <w:fldChar w:fldCharType="end"/>
        </w:r>
      </w:hyperlink>
    </w:p>
    <w:p w14:paraId="14FE3DCD" w14:textId="4697D90D" w:rsidR="009B42B8" w:rsidRDefault="00041F25">
      <w:pPr>
        <w:pStyle w:val="TOC2"/>
        <w:tabs>
          <w:tab w:val="left" w:pos="880"/>
          <w:tab w:val="right" w:leader="dot" w:pos="8302"/>
        </w:tabs>
        <w:rPr>
          <w:rFonts w:eastAsiaTheme="minorEastAsia" w:cstheme="minorBidi"/>
          <w:b w:val="0"/>
          <w:bCs w:val="0"/>
          <w:noProof/>
        </w:rPr>
      </w:pPr>
      <w:hyperlink w:anchor="_Toc525816107" w:history="1">
        <w:r w:rsidR="009B42B8" w:rsidRPr="00AD712E">
          <w:rPr>
            <w:rStyle w:val="Hyperlink"/>
            <w:noProof/>
            <w:lang w:val="en-GB"/>
            <w14:scene3d>
              <w14:camera w14:prst="orthographicFront"/>
              <w14:lightRig w14:rig="threePt" w14:dir="t">
                <w14:rot w14:lat="0" w14:lon="0" w14:rev="0"/>
              </w14:lightRig>
            </w14:scene3d>
          </w:rPr>
          <w:t>7.2</w:t>
        </w:r>
        <w:r w:rsidR="009B42B8">
          <w:rPr>
            <w:rFonts w:eastAsiaTheme="minorEastAsia" w:cstheme="minorBidi"/>
            <w:b w:val="0"/>
            <w:bCs w:val="0"/>
            <w:noProof/>
          </w:rPr>
          <w:tab/>
        </w:r>
        <w:r w:rsidR="009B42B8" w:rsidRPr="00AD712E">
          <w:rPr>
            <w:rStyle w:val="Hyperlink"/>
            <w:noProof/>
            <w:lang w:val="en-GB"/>
          </w:rPr>
          <w:t>Consumer health literacy</w:t>
        </w:r>
        <w:r w:rsidR="009B42B8">
          <w:rPr>
            <w:noProof/>
            <w:webHidden/>
          </w:rPr>
          <w:tab/>
        </w:r>
        <w:r w:rsidR="009B42B8">
          <w:rPr>
            <w:noProof/>
            <w:webHidden/>
          </w:rPr>
          <w:fldChar w:fldCharType="begin"/>
        </w:r>
        <w:r w:rsidR="009B42B8">
          <w:rPr>
            <w:noProof/>
            <w:webHidden/>
          </w:rPr>
          <w:instrText xml:space="preserve"> PAGEREF _Toc525816107 \h </w:instrText>
        </w:r>
        <w:r w:rsidR="009B42B8">
          <w:rPr>
            <w:noProof/>
            <w:webHidden/>
          </w:rPr>
        </w:r>
        <w:r w:rsidR="009B42B8">
          <w:rPr>
            <w:noProof/>
            <w:webHidden/>
          </w:rPr>
          <w:fldChar w:fldCharType="separate"/>
        </w:r>
        <w:r w:rsidR="00985650">
          <w:rPr>
            <w:noProof/>
            <w:webHidden/>
          </w:rPr>
          <w:t>80</w:t>
        </w:r>
        <w:r w:rsidR="009B42B8">
          <w:rPr>
            <w:noProof/>
            <w:webHidden/>
          </w:rPr>
          <w:fldChar w:fldCharType="end"/>
        </w:r>
      </w:hyperlink>
    </w:p>
    <w:p w14:paraId="789598EB" w14:textId="1024EF67" w:rsidR="009B42B8" w:rsidRDefault="00041F25" w:rsidP="00D20CCE">
      <w:pPr>
        <w:pStyle w:val="TOC1"/>
        <w:rPr>
          <w:rFonts w:eastAsiaTheme="minorEastAsia" w:cstheme="minorBidi"/>
          <w:noProof/>
          <w:sz w:val="22"/>
          <w:szCs w:val="22"/>
        </w:rPr>
      </w:pPr>
      <w:hyperlink w:anchor="_Toc525816108" w:history="1">
        <w:r w:rsidR="009B42B8" w:rsidRPr="00AD712E">
          <w:rPr>
            <w:rStyle w:val="Hyperlink"/>
            <w:noProof/>
          </w:rPr>
          <w:t>8.</w:t>
        </w:r>
        <w:r w:rsidR="009B42B8">
          <w:rPr>
            <w:rFonts w:eastAsiaTheme="minorEastAsia" w:cstheme="minorBidi"/>
            <w:noProof/>
            <w:sz w:val="22"/>
            <w:szCs w:val="22"/>
          </w:rPr>
          <w:tab/>
        </w:r>
        <w:r w:rsidR="009B42B8" w:rsidRPr="00AD712E">
          <w:rPr>
            <w:rStyle w:val="Hyperlink"/>
            <w:noProof/>
          </w:rPr>
          <w:t>Bibliography</w:t>
        </w:r>
        <w:r w:rsidR="009B42B8">
          <w:rPr>
            <w:noProof/>
            <w:webHidden/>
          </w:rPr>
          <w:tab/>
        </w:r>
        <w:r w:rsidR="009B42B8">
          <w:rPr>
            <w:noProof/>
            <w:webHidden/>
          </w:rPr>
          <w:fldChar w:fldCharType="begin"/>
        </w:r>
        <w:r w:rsidR="009B42B8">
          <w:rPr>
            <w:noProof/>
            <w:webHidden/>
          </w:rPr>
          <w:instrText xml:space="preserve"> PAGEREF _Toc525816108 \h </w:instrText>
        </w:r>
        <w:r w:rsidR="009B42B8">
          <w:rPr>
            <w:noProof/>
            <w:webHidden/>
          </w:rPr>
        </w:r>
        <w:r w:rsidR="009B42B8">
          <w:rPr>
            <w:noProof/>
            <w:webHidden/>
          </w:rPr>
          <w:fldChar w:fldCharType="separate"/>
        </w:r>
        <w:r w:rsidR="00985650">
          <w:rPr>
            <w:noProof/>
            <w:webHidden/>
          </w:rPr>
          <w:t>81</w:t>
        </w:r>
        <w:r w:rsidR="009B42B8">
          <w:rPr>
            <w:noProof/>
            <w:webHidden/>
          </w:rPr>
          <w:fldChar w:fldCharType="end"/>
        </w:r>
      </w:hyperlink>
    </w:p>
    <w:p w14:paraId="1E185919" w14:textId="65A0CFF2" w:rsidR="009B42B8" w:rsidRDefault="00041F25">
      <w:pPr>
        <w:pStyle w:val="TOC2"/>
        <w:tabs>
          <w:tab w:val="right" w:leader="dot" w:pos="8302"/>
        </w:tabs>
        <w:rPr>
          <w:rFonts w:eastAsiaTheme="minorEastAsia" w:cstheme="minorBidi"/>
          <w:b w:val="0"/>
          <w:bCs w:val="0"/>
          <w:noProof/>
        </w:rPr>
      </w:pPr>
      <w:hyperlink w:anchor="_Toc525816109" w:history="1">
        <w:r w:rsidR="009B42B8" w:rsidRPr="00AD712E">
          <w:rPr>
            <w:rStyle w:val="Hyperlink"/>
            <w:noProof/>
          </w:rPr>
          <w:t>Appendix A - Summary for consumers</w:t>
        </w:r>
        <w:r w:rsidR="009B42B8">
          <w:rPr>
            <w:noProof/>
            <w:webHidden/>
          </w:rPr>
          <w:tab/>
        </w:r>
        <w:r w:rsidR="009B42B8">
          <w:rPr>
            <w:noProof/>
            <w:webHidden/>
          </w:rPr>
          <w:fldChar w:fldCharType="begin"/>
        </w:r>
        <w:r w:rsidR="009B42B8">
          <w:rPr>
            <w:noProof/>
            <w:webHidden/>
          </w:rPr>
          <w:instrText xml:space="preserve"> PAGEREF _Toc525816109 \h </w:instrText>
        </w:r>
        <w:r w:rsidR="009B42B8">
          <w:rPr>
            <w:noProof/>
            <w:webHidden/>
          </w:rPr>
        </w:r>
        <w:r w:rsidR="009B42B8">
          <w:rPr>
            <w:noProof/>
            <w:webHidden/>
          </w:rPr>
          <w:fldChar w:fldCharType="separate"/>
        </w:r>
        <w:r w:rsidR="00985650">
          <w:rPr>
            <w:noProof/>
            <w:webHidden/>
          </w:rPr>
          <w:t>85</w:t>
        </w:r>
        <w:r w:rsidR="009B42B8">
          <w:rPr>
            <w:noProof/>
            <w:webHidden/>
          </w:rPr>
          <w:fldChar w:fldCharType="end"/>
        </w:r>
      </w:hyperlink>
    </w:p>
    <w:p w14:paraId="271ED2F3" w14:textId="3DF4304D" w:rsidR="009B42B8" w:rsidRDefault="00041F25">
      <w:pPr>
        <w:pStyle w:val="TOC2"/>
        <w:tabs>
          <w:tab w:val="right" w:leader="dot" w:pos="8302"/>
        </w:tabs>
        <w:rPr>
          <w:rFonts w:eastAsiaTheme="minorEastAsia" w:cstheme="minorBidi"/>
          <w:b w:val="0"/>
          <w:bCs w:val="0"/>
          <w:noProof/>
        </w:rPr>
      </w:pPr>
      <w:hyperlink w:anchor="_Toc525816110" w:history="1">
        <w:r w:rsidR="009B42B8" w:rsidRPr="00AD712E">
          <w:rPr>
            <w:rStyle w:val="Hyperlink"/>
            <w:noProof/>
          </w:rPr>
          <w:t>Appendix B - Glossary</w:t>
        </w:r>
        <w:r w:rsidR="009B42B8">
          <w:rPr>
            <w:noProof/>
            <w:webHidden/>
          </w:rPr>
          <w:tab/>
        </w:r>
        <w:r w:rsidR="009B42B8">
          <w:rPr>
            <w:noProof/>
            <w:webHidden/>
          </w:rPr>
          <w:fldChar w:fldCharType="begin"/>
        </w:r>
        <w:r w:rsidR="009B42B8">
          <w:rPr>
            <w:noProof/>
            <w:webHidden/>
          </w:rPr>
          <w:instrText xml:space="preserve"> PAGEREF _Toc525816110 \h </w:instrText>
        </w:r>
        <w:r w:rsidR="009B42B8">
          <w:rPr>
            <w:noProof/>
            <w:webHidden/>
          </w:rPr>
        </w:r>
        <w:r w:rsidR="009B42B8">
          <w:rPr>
            <w:noProof/>
            <w:webHidden/>
          </w:rPr>
          <w:fldChar w:fldCharType="separate"/>
        </w:r>
        <w:r w:rsidR="00985650">
          <w:rPr>
            <w:noProof/>
            <w:webHidden/>
          </w:rPr>
          <w:t>95</w:t>
        </w:r>
        <w:r w:rsidR="009B42B8">
          <w:rPr>
            <w:noProof/>
            <w:webHidden/>
          </w:rPr>
          <w:fldChar w:fldCharType="end"/>
        </w:r>
      </w:hyperlink>
    </w:p>
    <w:p w14:paraId="648F76F6" w14:textId="4AFE059A" w:rsidR="009B42B8" w:rsidRDefault="00041F25">
      <w:pPr>
        <w:pStyle w:val="TOC2"/>
        <w:tabs>
          <w:tab w:val="right" w:leader="dot" w:pos="8302"/>
        </w:tabs>
        <w:rPr>
          <w:rFonts w:eastAsiaTheme="minorEastAsia" w:cstheme="minorBidi"/>
          <w:b w:val="0"/>
          <w:bCs w:val="0"/>
          <w:noProof/>
        </w:rPr>
      </w:pPr>
      <w:hyperlink w:anchor="_Toc525816111" w:history="1">
        <w:r w:rsidR="009B42B8" w:rsidRPr="00AD712E">
          <w:rPr>
            <w:rStyle w:val="Hyperlink"/>
            <w:i/>
            <w:noProof/>
          </w:rPr>
          <w:t xml:space="preserve">Appendix C – </w:t>
        </w:r>
        <w:r w:rsidR="009B42B8" w:rsidRPr="00AD712E">
          <w:rPr>
            <w:rStyle w:val="Hyperlink"/>
            <w:noProof/>
          </w:rPr>
          <w:t>Literature review: Interventions to improve the appropriateness and clinical utility of diagnostic investigation</w:t>
        </w:r>
        <w:r w:rsidR="009B42B8">
          <w:rPr>
            <w:noProof/>
            <w:webHidden/>
          </w:rPr>
          <w:tab/>
        </w:r>
        <w:r w:rsidR="009B42B8">
          <w:rPr>
            <w:noProof/>
            <w:webHidden/>
          </w:rPr>
          <w:fldChar w:fldCharType="begin"/>
        </w:r>
        <w:r w:rsidR="009B42B8">
          <w:rPr>
            <w:noProof/>
            <w:webHidden/>
          </w:rPr>
          <w:instrText xml:space="preserve"> PAGEREF _Toc525816111 \h </w:instrText>
        </w:r>
        <w:r w:rsidR="009B42B8">
          <w:rPr>
            <w:noProof/>
            <w:webHidden/>
          </w:rPr>
        </w:r>
        <w:r w:rsidR="009B42B8">
          <w:rPr>
            <w:noProof/>
            <w:webHidden/>
          </w:rPr>
          <w:fldChar w:fldCharType="separate"/>
        </w:r>
        <w:r w:rsidR="00985650">
          <w:rPr>
            <w:noProof/>
            <w:webHidden/>
          </w:rPr>
          <w:t>97</w:t>
        </w:r>
        <w:r w:rsidR="009B42B8">
          <w:rPr>
            <w:noProof/>
            <w:webHidden/>
          </w:rPr>
          <w:fldChar w:fldCharType="end"/>
        </w:r>
      </w:hyperlink>
    </w:p>
    <w:p w14:paraId="6ED3AE88" w14:textId="70D40A59" w:rsidR="009B42B8" w:rsidRDefault="00041F25">
      <w:pPr>
        <w:pStyle w:val="TOC2"/>
        <w:tabs>
          <w:tab w:val="right" w:leader="dot" w:pos="8302"/>
        </w:tabs>
        <w:rPr>
          <w:rFonts w:eastAsiaTheme="minorEastAsia" w:cstheme="minorBidi"/>
          <w:b w:val="0"/>
          <w:bCs w:val="0"/>
          <w:noProof/>
        </w:rPr>
      </w:pPr>
      <w:hyperlink w:anchor="_Toc525816112" w:history="1">
        <w:r w:rsidR="009B42B8" w:rsidRPr="00AD712E">
          <w:rPr>
            <w:rStyle w:val="Hyperlink"/>
            <w:noProof/>
          </w:rPr>
          <w:t>Contents</w:t>
        </w:r>
        <w:r w:rsidR="009B42B8">
          <w:rPr>
            <w:noProof/>
            <w:webHidden/>
          </w:rPr>
          <w:tab/>
        </w:r>
        <w:r w:rsidR="009B42B8">
          <w:rPr>
            <w:noProof/>
            <w:webHidden/>
          </w:rPr>
          <w:fldChar w:fldCharType="begin"/>
        </w:r>
        <w:r w:rsidR="009B42B8">
          <w:rPr>
            <w:noProof/>
            <w:webHidden/>
          </w:rPr>
          <w:instrText xml:space="preserve"> PAGEREF _Toc525816112 \h </w:instrText>
        </w:r>
        <w:r w:rsidR="009B42B8">
          <w:rPr>
            <w:noProof/>
            <w:webHidden/>
          </w:rPr>
        </w:r>
        <w:r w:rsidR="009B42B8">
          <w:rPr>
            <w:noProof/>
            <w:webHidden/>
          </w:rPr>
          <w:fldChar w:fldCharType="separate"/>
        </w:r>
        <w:r w:rsidR="00985650">
          <w:rPr>
            <w:noProof/>
            <w:webHidden/>
          </w:rPr>
          <w:t>3</w:t>
        </w:r>
        <w:r w:rsidR="009B42B8">
          <w:rPr>
            <w:noProof/>
            <w:webHidden/>
          </w:rPr>
          <w:fldChar w:fldCharType="end"/>
        </w:r>
      </w:hyperlink>
    </w:p>
    <w:p w14:paraId="49DB7837" w14:textId="70665EC7" w:rsidR="009B42B8" w:rsidRDefault="00041F25">
      <w:pPr>
        <w:pStyle w:val="TOC2"/>
        <w:tabs>
          <w:tab w:val="right" w:leader="dot" w:pos="8302"/>
        </w:tabs>
        <w:rPr>
          <w:rFonts w:eastAsiaTheme="minorEastAsia" w:cstheme="minorBidi"/>
          <w:b w:val="0"/>
          <w:bCs w:val="0"/>
          <w:noProof/>
        </w:rPr>
      </w:pPr>
      <w:hyperlink w:anchor="_Toc525816113" w:history="1">
        <w:r w:rsidR="009B42B8" w:rsidRPr="00AD712E">
          <w:rPr>
            <w:rStyle w:val="Hyperlink"/>
            <w:noProof/>
          </w:rPr>
          <w:t>Abbreviations</w:t>
        </w:r>
        <w:r w:rsidR="009B42B8">
          <w:rPr>
            <w:noProof/>
            <w:webHidden/>
          </w:rPr>
          <w:tab/>
        </w:r>
        <w:r w:rsidR="009B42B8">
          <w:rPr>
            <w:noProof/>
            <w:webHidden/>
          </w:rPr>
          <w:fldChar w:fldCharType="begin"/>
        </w:r>
        <w:r w:rsidR="009B42B8">
          <w:rPr>
            <w:noProof/>
            <w:webHidden/>
          </w:rPr>
          <w:instrText xml:space="preserve"> PAGEREF _Toc525816113 \h </w:instrText>
        </w:r>
        <w:r w:rsidR="009B42B8">
          <w:rPr>
            <w:noProof/>
            <w:webHidden/>
          </w:rPr>
        </w:r>
        <w:r w:rsidR="009B42B8">
          <w:rPr>
            <w:noProof/>
            <w:webHidden/>
          </w:rPr>
          <w:fldChar w:fldCharType="separate"/>
        </w:r>
        <w:r w:rsidR="00985650">
          <w:rPr>
            <w:noProof/>
            <w:webHidden/>
          </w:rPr>
          <w:t>5</w:t>
        </w:r>
        <w:r w:rsidR="009B42B8">
          <w:rPr>
            <w:noProof/>
            <w:webHidden/>
          </w:rPr>
          <w:fldChar w:fldCharType="end"/>
        </w:r>
      </w:hyperlink>
    </w:p>
    <w:p w14:paraId="039FA389" w14:textId="4949E133" w:rsidR="009B42B8" w:rsidRDefault="00041F25">
      <w:pPr>
        <w:pStyle w:val="TOC2"/>
        <w:tabs>
          <w:tab w:val="right" w:leader="dot" w:pos="8302"/>
        </w:tabs>
        <w:rPr>
          <w:rFonts w:eastAsiaTheme="minorEastAsia" w:cstheme="minorBidi"/>
          <w:b w:val="0"/>
          <w:bCs w:val="0"/>
          <w:noProof/>
        </w:rPr>
      </w:pPr>
      <w:hyperlink w:anchor="_Toc525816114" w:history="1">
        <w:r w:rsidR="009B42B8" w:rsidRPr="00AD712E">
          <w:rPr>
            <w:rStyle w:val="Hyperlink"/>
            <w:noProof/>
          </w:rPr>
          <w:t>Executive summary</w:t>
        </w:r>
        <w:r w:rsidR="009B42B8">
          <w:rPr>
            <w:noProof/>
            <w:webHidden/>
          </w:rPr>
          <w:tab/>
        </w:r>
        <w:r w:rsidR="009B42B8">
          <w:rPr>
            <w:noProof/>
            <w:webHidden/>
          </w:rPr>
          <w:fldChar w:fldCharType="begin"/>
        </w:r>
        <w:r w:rsidR="009B42B8">
          <w:rPr>
            <w:noProof/>
            <w:webHidden/>
          </w:rPr>
          <w:instrText xml:space="preserve"> PAGEREF _Toc525816114 \h </w:instrText>
        </w:r>
        <w:r w:rsidR="009B42B8">
          <w:rPr>
            <w:noProof/>
            <w:webHidden/>
          </w:rPr>
        </w:r>
        <w:r w:rsidR="009B42B8">
          <w:rPr>
            <w:noProof/>
            <w:webHidden/>
          </w:rPr>
          <w:fldChar w:fldCharType="separate"/>
        </w:r>
        <w:r w:rsidR="00985650">
          <w:rPr>
            <w:noProof/>
            <w:webHidden/>
          </w:rPr>
          <w:t>6</w:t>
        </w:r>
        <w:r w:rsidR="009B42B8">
          <w:rPr>
            <w:noProof/>
            <w:webHidden/>
          </w:rPr>
          <w:fldChar w:fldCharType="end"/>
        </w:r>
      </w:hyperlink>
    </w:p>
    <w:p w14:paraId="1E51722C" w14:textId="700F05F3" w:rsidR="009B42B8" w:rsidRDefault="00041F25">
      <w:pPr>
        <w:pStyle w:val="TOC2"/>
        <w:tabs>
          <w:tab w:val="right" w:leader="dot" w:pos="8302"/>
        </w:tabs>
        <w:rPr>
          <w:rFonts w:eastAsiaTheme="minorEastAsia" w:cstheme="minorBidi"/>
          <w:b w:val="0"/>
          <w:bCs w:val="0"/>
          <w:noProof/>
        </w:rPr>
      </w:pPr>
      <w:hyperlink w:anchor="_Toc525816115" w:history="1">
        <w:r w:rsidR="009B42B8" w:rsidRPr="00AD712E">
          <w:rPr>
            <w:rStyle w:val="Hyperlink"/>
            <w:noProof/>
          </w:rPr>
          <w:t>Literature search and review</w:t>
        </w:r>
        <w:r w:rsidR="009B42B8">
          <w:rPr>
            <w:noProof/>
            <w:webHidden/>
          </w:rPr>
          <w:tab/>
        </w:r>
        <w:r w:rsidR="009B42B8">
          <w:rPr>
            <w:noProof/>
            <w:webHidden/>
          </w:rPr>
          <w:fldChar w:fldCharType="begin"/>
        </w:r>
        <w:r w:rsidR="009B42B8">
          <w:rPr>
            <w:noProof/>
            <w:webHidden/>
          </w:rPr>
          <w:instrText xml:space="preserve"> PAGEREF _Toc525816115 \h </w:instrText>
        </w:r>
        <w:r w:rsidR="009B42B8">
          <w:rPr>
            <w:noProof/>
            <w:webHidden/>
          </w:rPr>
        </w:r>
        <w:r w:rsidR="009B42B8">
          <w:rPr>
            <w:noProof/>
            <w:webHidden/>
          </w:rPr>
          <w:fldChar w:fldCharType="separate"/>
        </w:r>
        <w:r w:rsidR="00985650">
          <w:rPr>
            <w:noProof/>
            <w:webHidden/>
          </w:rPr>
          <w:t>6</w:t>
        </w:r>
        <w:r w:rsidR="009B42B8">
          <w:rPr>
            <w:noProof/>
            <w:webHidden/>
          </w:rPr>
          <w:fldChar w:fldCharType="end"/>
        </w:r>
      </w:hyperlink>
    </w:p>
    <w:p w14:paraId="3595CCB0" w14:textId="1CBE2CB7" w:rsidR="009B42B8" w:rsidRDefault="00041F25">
      <w:pPr>
        <w:pStyle w:val="TOC2"/>
        <w:tabs>
          <w:tab w:val="right" w:leader="dot" w:pos="8302"/>
        </w:tabs>
        <w:rPr>
          <w:rFonts w:eastAsiaTheme="minorEastAsia" w:cstheme="minorBidi"/>
          <w:b w:val="0"/>
          <w:bCs w:val="0"/>
          <w:noProof/>
        </w:rPr>
      </w:pPr>
      <w:hyperlink w:anchor="_Toc525816116" w:history="1">
        <w:r w:rsidR="009B42B8" w:rsidRPr="00AD712E">
          <w:rPr>
            <w:rStyle w:val="Hyperlink"/>
            <w:noProof/>
          </w:rPr>
          <w:t>Summary of results</w:t>
        </w:r>
        <w:r w:rsidR="009B42B8">
          <w:rPr>
            <w:noProof/>
            <w:webHidden/>
          </w:rPr>
          <w:tab/>
        </w:r>
        <w:r w:rsidR="009B42B8">
          <w:rPr>
            <w:noProof/>
            <w:webHidden/>
          </w:rPr>
          <w:fldChar w:fldCharType="begin"/>
        </w:r>
        <w:r w:rsidR="009B42B8">
          <w:rPr>
            <w:noProof/>
            <w:webHidden/>
          </w:rPr>
          <w:instrText xml:space="preserve"> PAGEREF _Toc525816116 \h </w:instrText>
        </w:r>
        <w:r w:rsidR="009B42B8">
          <w:rPr>
            <w:noProof/>
            <w:webHidden/>
          </w:rPr>
        </w:r>
        <w:r w:rsidR="009B42B8">
          <w:rPr>
            <w:noProof/>
            <w:webHidden/>
          </w:rPr>
          <w:fldChar w:fldCharType="separate"/>
        </w:r>
        <w:r w:rsidR="00985650">
          <w:rPr>
            <w:noProof/>
            <w:webHidden/>
          </w:rPr>
          <w:t>7</w:t>
        </w:r>
        <w:r w:rsidR="009B42B8">
          <w:rPr>
            <w:noProof/>
            <w:webHidden/>
          </w:rPr>
          <w:fldChar w:fldCharType="end"/>
        </w:r>
      </w:hyperlink>
    </w:p>
    <w:p w14:paraId="4EDA5973" w14:textId="3B505EFA" w:rsidR="009B42B8" w:rsidRDefault="00041F25">
      <w:pPr>
        <w:pStyle w:val="TOC3"/>
        <w:tabs>
          <w:tab w:val="right" w:leader="dot" w:pos="8302"/>
        </w:tabs>
        <w:rPr>
          <w:rFonts w:eastAsiaTheme="minorEastAsia" w:cstheme="minorBidi"/>
          <w:noProof/>
          <w:sz w:val="22"/>
          <w:szCs w:val="22"/>
        </w:rPr>
      </w:pPr>
      <w:hyperlink w:anchor="_Toc525816117" w:history="1">
        <w:r w:rsidR="009B42B8" w:rsidRPr="00AD712E">
          <w:rPr>
            <w:rStyle w:val="Hyperlink"/>
            <w:noProof/>
          </w:rPr>
          <w:t>Literature search</w:t>
        </w:r>
        <w:r w:rsidR="009B42B8">
          <w:rPr>
            <w:noProof/>
            <w:webHidden/>
          </w:rPr>
          <w:tab/>
        </w:r>
        <w:r w:rsidR="009B42B8">
          <w:rPr>
            <w:noProof/>
            <w:webHidden/>
          </w:rPr>
          <w:fldChar w:fldCharType="begin"/>
        </w:r>
        <w:r w:rsidR="009B42B8">
          <w:rPr>
            <w:noProof/>
            <w:webHidden/>
          </w:rPr>
          <w:instrText xml:space="preserve"> PAGEREF _Toc525816117 \h </w:instrText>
        </w:r>
        <w:r w:rsidR="009B42B8">
          <w:rPr>
            <w:noProof/>
            <w:webHidden/>
          </w:rPr>
        </w:r>
        <w:r w:rsidR="009B42B8">
          <w:rPr>
            <w:noProof/>
            <w:webHidden/>
          </w:rPr>
          <w:fldChar w:fldCharType="separate"/>
        </w:r>
        <w:r w:rsidR="00985650">
          <w:rPr>
            <w:noProof/>
            <w:webHidden/>
          </w:rPr>
          <w:t>7</w:t>
        </w:r>
        <w:r w:rsidR="009B42B8">
          <w:rPr>
            <w:noProof/>
            <w:webHidden/>
          </w:rPr>
          <w:fldChar w:fldCharType="end"/>
        </w:r>
      </w:hyperlink>
    </w:p>
    <w:p w14:paraId="29A65EA1" w14:textId="7AC2061C" w:rsidR="009B42B8" w:rsidRDefault="00041F25">
      <w:pPr>
        <w:pStyle w:val="TOC3"/>
        <w:tabs>
          <w:tab w:val="right" w:leader="dot" w:pos="8302"/>
        </w:tabs>
        <w:rPr>
          <w:rFonts w:eastAsiaTheme="minorEastAsia" w:cstheme="minorBidi"/>
          <w:noProof/>
          <w:sz w:val="22"/>
          <w:szCs w:val="22"/>
        </w:rPr>
      </w:pPr>
      <w:hyperlink w:anchor="_Toc525816118" w:history="1">
        <w:r w:rsidR="009B42B8" w:rsidRPr="00AD712E">
          <w:rPr>
            <w:rStyle w:val="Hyperlink"/>
            <w:noProof/>
          </w:rPr>
          <w:t>Included studies</w:t>
        </w:r>
        <w:r w:rsidR="009B42B8">
          <w:rPr>
            <w:noProof/>
            <w:webHidden/>
          </w:rPr>
          <w:tab/>
        </w:r>
        <w:r w:rsidR="009B42B8">
          <w:rPr>
            <w:noProof/>
            <w:webHidden/>
          </w:rPr>
          <w:fldChar w:fldCharType="begin"/>
        </w:r>
        <w:r w:rsidR="009B42B8">
          <w:rPr>
            <w:noProof/>
            <w:webHidden/>
          </w:rPr>
          <w:instrText xml:space="preserve"> PAGEREF _Toc525816118 \h </w:instrText>
        </w:r>
        <w:r w:rsidR="009B42B8">
          <w:rPr>
            <w:noProof/>
            <w:webHidden/>
          </w:rPr>
        </w:r>
        <w:r w:rsidR="009B42B8">
          <w:rPr>
            <w:noProof/>
            <w:webHidden/>
          </w:rPr>
          <w:fldChar w:fldCharType="separate"/>
        </w:r>
        <w:r w:rsidR="00985650">
          <w:rPr>
            <w:noProof/>
            <w:webHidden/>
          </w:rPr>
          <w:t>7</w:t>
        </w:r>
        <w:r w:rsidR="009B42B8">
          <w:rPr>
            <w:noProof/>
            <w:webHidden/>
          </w:rPr>
          <w:fldChar w:fldCharType="end"/>
        </w:r>
      </w:hyperlink>
    </w:p>
    <w:p w14:paraId="6E8915C3" w14:textId="191DAE1B" w:rsidR="009B42B8" w:rsidRDefault="00041F25">
      <w:pPr>
        <w:pStyle w:val="TOC3"/>
        <w:tabs>
          <w:tab w:val="right" w:leader="dot" w:pos="8302"/>
        </w:tabs>
        <w:rPr>
          <w:rFonts w:eastAsiaTheme="minorEastAsia" w:cstheme="minorBidi"/>
          <w:noProof/>
          <w:sz w:val="22"/>
          <w:szCs w:val="22"/>
        </w:rPr>
      </w:pPr>
      <w:hyperlink w:anchor="_Toc525816119" w:history="1">
        <w:r w:rsidR="009B42B8" w:rsidRPr="00AD712E">
          <w:rPr>
            <w:rStyle w:val="Hyperlink"/>
            <w:noProof/>
          </w:rPr>
          <w:t>Key findings</w:t>
        </w:r>
        <w:r w:rsidR="009B42B8">
          <w:rPr>
            <w:noProof/>
            <w:webHidden/>
          </w:rPr>
          <w:tab/>
        </w:r>
        <w:r w:rsidR="009B42B8">
          <w:rPr>
            <w:noProof/>
            <w:webHidden/>
          </w:rPr>
          <w:fldChar w:fldCharType="begin"/>
        </w:r>
        <w:r w:rsidR="009B42B8">
          <w:rPr>
            <w:noProof/>
            <w:webHidden/>
          </w:rPr>
          <w:instrText xml:space="preserve"> PAGEREF _Toc525816119 \h </w:instrText>
        </w:r>
        <w:r w:rsidR="009B42B8">
          <w:rPr>
            <w:noProof/>
            <w:webHidden/>
          </w:rPr>
        </w:r>
        <w:r w:rsidR="009B42B8">
          <w:rPr>
            <w:noProof/>
            <w:webHidden/>
          </w:rPr>
          <w:fldChar w:fldCharType="separate"/>
        </w:r>
        <w:r w:rsidR="00985650">
          <w:rPr>
            <w:noProof/>
            <w:webHidden/>
          </w:rPr>
          <w:t>8</w:t>
        </w:r>
        <w:r w:rsidR="009B42B8">
          <w:rPr>
            <w:noProof/>
            <w:webHidden/>
          </w:rPr>
          <w:fldChar w:fldCharType="end"/>
        </w:r>
      </w:hyperlink>
    </w:p>
    <w:p w14:paraId="1C14BA6D" w14:textId="5F8FF719" w:rsidR="009B42B8" w:rsidRDefault="00041F25">
      <w:pPr>
        <w:pStyle w:val="TOC3"/>
        <w:tabs>
          <w:tab w:val="right" w:leader="dot" w:pos="8302"/>
        </w:tabs>
        <w:rPr>
          <w:rFonts w:eastAsiaTheme="minorEastAsia" w:cstheme="minorBidi"/>
          <w:noProof/>
          <w:sz w:val="22"/>
          <w:szCs w:val="22"/>
        </w:rPr>
      </w:pPr>
      <w:hyperlink w:anchor="_Toc525816120" w:history="1">
        <w:r w:rsidR="009B42B8" w:rsidRPr="00AD712E">
          <w:rPr>
            <w:rStyle w:val="Hyperlink"/>
            <w:noProof/>
          </w:rPr>
          <w:t>System-based interventions</w:t>
        </w:r>
        <w:r w:rsidR="009B42B8">
          <w:rPr>
            <w:noProof/>
            <w:webHidden/>
          </w:rPr>
          <w:tab/>
        </w:r>
        <w:r w:rsidR="009B42B8">
          <w:rPr>
            <w:noProof/>
            <w:webHidden/>
          </w:rPr>
          <w:fldChar w:fldCharType="begin"/>
        </w:r>
        <w:r w:rsidR="009B42B8">
          <w:rPr>
            <w:noProof/>
            <w:webHidden/>
          </w:rPr>
          <w:instrText xml:space="preserve"> PAGEREF _Toc525816120 \h </w:instrText>
        </w:r>
        <w:r w:rsidR="009B42B8">
          <w:rPr>
            <w:noProof/>
            <w:webHidden/>
          </w:rPr>
        </w:r>
        <w:r w:rsidR="009B42B8">
          <w:rPr>
            <w:noProof/>
            <w:webHidden/>
          </w:rPr>
          <w:fldChar w:fldCharType="separate"/>
        </w:r>
        <w:r w:rsidR="00985650">
          <w:rPr>
            <w:noProof/>
            <w:webHidden/>
          </w:rPr>
          <w:t>9</w:t>
        </w:r>
        <w:r w:rsidR="009B42B8">
          <w:rPr>
            <w:noProof/>
            <w:webHidden/>
          </w:rPr>
          <w:fldChar w:fldCharType="end"/>
        </w:r>
      </w:hyperlink>
    </w:p>
    <w:p w14:paraId="6240A051" w14:textId="03322F08" w:rsidR="009B42B8" w:rsidRDefault="00041F25">
      <w:pPr>
        <w:pStyle w:val="TOC2"/>
        <w:tabs>
          <w:tab w:val="right" w:leader="dot" w:pos="8302"/>
        </w:tabs>
        <w:rPr>
          <w:rFonts w:eastAsiaTheme="minorEastAsia" w:cstheme="minorBidi"/>
          <w:b w:val="0"/>
          <w:bCs w:val="0"/>
          <w:noProof/>
        </w:rPr>
      </w:pPr>
      <w:hyperlink w:anchor="_Toc525816121" w:history="1">
        <w:r w:rsidR="009B42B8" w:rsidRPr="00AD712E">
          <w:rPr>
            <w:rStyle w:val="Hyperlink"/>
            <w:noProof/>
          </w:rPr>
          <w:t>Conclusion</w:t>
        </w:r>
        <w:r w:rsidR="009B42B8">
          <w:rPr>
            <w:noProof/>
            <w:webHidden/>
          </w:rPr>
          <w:tab/>
        </w:r>
        <w:r w:rsidR="009B42B8">
          <w:rPr>
            <w:noProof/>
            <w:webHidden/>
          </w:rPr>
          <w:fldChar w:fldCharType="begin"/>
        </w:r>
        <w:r w:rsidR="009B42B8">
          <w:rPr>
            <w:noProof/>
            <w:webHidden/>
          </w:rPr>
          <w:instrText xml:space="preserve"> PAGEREF _Toc525816121 \h </w:instrText>
        </w:r>
        <w:r w:rsidR="009B42B8">
          <w:rPr>
            <w:noProof/>
            <w:webHidden/>
          </w:rPr>
        </w:r>
        <w:r w:rsidR="009B42B8">
          <w:rPr>
            <w:noProof/>
            <w:webHidden/>
          </w:rPr>
          <w:fldChar w:fldCharType="separate"/>
        </w:r>
        <w:r w:rsidR="00985650">
          <w:rPr>
            <w:noProof/>
            <w:webHidden/>
          </w:rPr>
          <w:t>13</w:t>
        </w:r>
        <w:r w:rsidR="009B42B8">
          <w:rPr>
            <w:noProof/>
            <w:webHidden/>
          </w:rPr>
          <w:fldChar w:fldCharType="end"/>
        </w:r>
      </w:hyperlink>
    </w:p>
    <w:p w14:paraId="64533085" w14:textId="1C9196DE" w:rsidR="00990089" w:rsidRDefault="00041F25">
      <w:pPr>
        <w:pStyle w:val="TOC2"/>
        <w:tabs>
          <w:tab w:val="right" w:leader="dot" w:pos="8302"/>
        </w:tabs>
        <w:rPr>
          <w:noProof/>
        </w:rPr>
      </w:pPr>
      <w:hyperlink w:anchor="_Toc525816160" w:history="1">
        <w:r w:rsidR="009B42B8" w:rsidRPr="00AD712E">
          <w:rPr>
            <w:rStyle w:val="Hyperlink"/>
            <w:rFonts w:eastAsia="TimesNewRomanPSMT"/>
            <w:noProof/>
          </w:rPr>
          <w:t>Figures and Tables</w:t>
        </w:r>
        <w:r w:rsidR="009B42B8">
          <w:rPr>
            <w:noProof/>
            <w:webHidden/>
          </w:rPr>
          <w:tab/>
        </w:r>
        <w:r w:rsidR="009B42B8">
          <w:rPr>
            <w:noProof/>
            <w:webHidden/>
          </w:rPr>
          <w:fldChar w:fldCharType="begin"/>
        </w:r>
        <w:r w:rsidR="009B42B8">
          <w:rPr>
            <w:noProof/>
            <w:webHidden/>
          </w:rPr>
          <w:instrText xml:space="preserve"> PAGEREF _Toc525816160 \h </w:instrText>
        </w:r>
        <w:r w:rsidR="009B42B8">
          <w:rPr>
            <w:noProof/>
            <w:webHidden/>
          </w:rPr>
        </w:r>
        <w:r w:rsidR="009B42B8">
          <w:rPr>
            <w:noProof/>
            <w:webHidden/>
          </w:rPr>
          <w:fldChar w:fldCharType="separate"/>
        </w:r>
        <w:r w:rsidR="00985650">
          <w:rPr>
            <w:noProof/>
            <w:webHidden/>
          </w:rPr>
          <w:t>39</w:t>
        </w:r>
        <w:r w:rsidR="009B42B8">
          <w:rPr>
            <w:noProof/>
            <w:webHidden/>
          </w:rPr>
          <w:fldChar w:fldCharType="end"/>
        </w:r>
      </w:hyperlink>
    </w:p>
    <w:p w14:paraId="1C9F6EFB" w14:textId="77777777" w:rsidR="00990089" w:rsidRDefault="00990089">
      <w:pPr>
        <w:spacing w:before="0" w:after="0" w:line="240" w:lineRule="auto"/>
        <w:rPr>
          <w:b/>
          <w:bCs/>
          <w:noProof/>
          <w:szCs w:val="22"/>
        </w:rPr>
      </w:pPr>
      <w:r>
        <w:rPr>
          <w:noProof/>
        </w:rPr>
        <w:br w:type="page"/>
      </w:r>
    </w:p>
    <w:p w14:paraId="66794A23" w14:textId="256A2FB7" w:rsidR="009B42B8" w:rsidRDefault="00041F25">
      <w:pPr>
        <w:pStyle w:val="TOC2"/>
        <w:tabs>
          <w:tab w:val="right" w:leader="dot" w:pos="8302"/>
        </w:tabs>
        <w:rPr>
          <w:rFonts w:eastAsiaTheme="minorEastAsia" w:cstheme="minorBidi"/>
          <w:b w:val="0"/>
          <w:bCs w:val="0"/>
          <w:noProof/>
        </w:rPr>
      </w:pPr>
      <w:hyperlink w:anchor="_Toc525816161" w:history="1">
        <w:r w:rsidR="009B42B8" w:rsidRPr="00AD712E">
          <w:rPr>
            <w:rStyle w:val="Hyperlink"/>
            <w:rFonts w:eastAsia="TimesNewRomanPSMT"/>
            <w:noProof/>
          </w:rPr>
          <w:t>Appendices</w:t>
        </w:r>
        <w:r w:rsidR="009B42B8">
          <w:rPr>
            <w:noProof/>
            <w:webHidden/>
          </w:rPr>
          <w:tab/>
        </w:r>
        <w:r w:rsidR="009B42B8">
          <w:rPr>
            <w:noProof/>
            <w:webHidden/>
          </w:rPr>
          <w:fldChar w:fldCharType="begin"/>
        </w:r>
        <w:r w:rsidR="009B42B8">
          <w:rPr>
            <w:noProof/>
            <w:webHidden/>
          </w:rPr>
          <w:instrText xml:space="preserve"> PAGEREF _Toc525816161 \h </w:instrText>
        </w:r>
        <w:r w:rsidR="009B42B8">
          <w:rPr>
            <w:noProof/>
            <w:webHidden/>
          </w:rPr>
        </w:r>
        <w:r w:rsidR="009B42B8">
          <w:rPr>
            <w:noProof/>
            <w:webHidden/>
          </w:rPr>
          <w:fldChar w:fldCharType="separate"/>
        </w:r>
        <w:r w:rsidR="00985650">
          <w:rPr>
            <w:noProof/>
            <w:webHidden/>
          </w:rPr>
          <w:t>95</w:t>
        </w:r>
        <w:r w:rsidR="009B42B8">
          <w:rPr>
            <w:noProof/>
            <w:webHidden/>
          </w:rPr>
          <w:fldChar w:fldCharType="end"/>
        </w:r>
      </w:hyperlink>
    </w:p>
    <w:p w14:paraId="561E092A" w14:textId="47F71E8F" w:rsidR="009B42B8" w:rsidRDefault="00041F25">
      <w:pPr>
        <w:pStyle w:val="TOC2"/>
        <w:tabs>
          <w:tab w:val="right" w:leader="dot" w:pos="8302"/>
        </w:tabs>
        <w:rPr>
          <w:rFonts w:eastAsiaTheme="minorEastAsia" w:cstheme="minorBidi"/>
          <w:b w:val="0"/>
          <w:bCs w:val="0"/>
          <w:noProof/>
        </w:rPr>
      </w:pPr>
      <w:hyperlink w:anchor="_Toc525816162" w:history="1">
        <w:r w:rsidR="009B42B8" w:rsidRPr="00AD712E">
          <w:rPr>
            <w:rStyle w:val="Hyperlink"/>
            <w:noProof/>
          </w:rPr>
          <w:t>Appendix 1: The full electronic search strategies used for the systematic searches</w:t>
        </w:r>
        <w:r w:rsidR="009B42B8">
          <w:rPr>
            <w:noProof/>
            <w:webHidden/>
          </w:rPr>
          <w:tab/>
        </w:r>
        <w:r w:rsidR="009B42B8">
          <w:rPr>
            <w:noProof/>
            <w:webHidden/>
          </w:rPr>
          <w:fldChar w:fldCharType="begin"/>
        </w:r>
        <w:r w:rsidR="009B42B8">
          <w:rPr>
            <w:noProof/>
            <w:webHidden/>
          </w:rPr>
          <w:instrText xml:space="preserve"> PAGEREF _Toc525816162 \h </w:instrText>
        </w:r>
        <w:r w:rsidR="009B42B8">
          <w:rPr>
            <w:noProof/>
            <w:webHidden/>
          </w:rPr>
        </w:r>
        <w:r w:rsidR="009B42B8">
          <w:rPr>
            <w:noProof/>
            <w:webHidden/>
          </w:rPr>
          <w:fldChar w:fldCharType="separate"/>
        </w:r>
        <w:r w:rsidR="00985650">
          <w:rPr>
            <w:noProof/>
            <w:webHidden/>
          </w:rPr>
          <w:t>95</w:t>
        </w:r>
        <w:r w:rsidR="009B42B8">
          <w:rPr>
            <w:noProof/>
            <w:webHidden/>
          </w:rPr>
          <w:fldChar w:fldCharType="end"/>
        </w:r>
      </w:hyperlink>
    </w:p>
    <w:p w14:paraId="5952720A" w14:textId="5F9AC3F8" w:rsidR="009B42B8" w:rsidRDefault="00041F25">
      <w:pPr>
        <w:pStyle w:val="TOC3"/>
        <w:tabs>
          <w:tab w:val="right" w:leader="dot" w:pos="8302"/>
        </w:tabs>
        <w:rPr>
          <w:rFonts w:eastAsiaTheme="minorEastAsia" w:cstheme="minorBidi"/>
          <w:noProof/>
          <w:sz w:val="22"/>
          <w:szCs w:val="22"/>
        </w:rPr>
      </w:pPr>
      <w:hyperlink w:anchor="_Toc525816163" w:history="1">
        <w:r w:rsidR="009B42B8" w:rsidRPr="00AD712E">
          <w:rPr>
            <w:rStyle w:val="Hyperlink"/>
            <w:rFonts w:eastAsia="Arial Unicode MS"/>
            <w:noProof/>
          </w:rPr>
          <w:t xml:space="preserve">Embase search for </w:t>
        </w:r>
        <w:r w:rsidR="009B42B8" w:rsidRPr="00AD712E">
          <w:rPr>
            <w:rStyle w:val="Hyperlink"/>
            <w:noProof/>
          </w:rPr>
          <w:t>reviews</w:t>
        </w:r>
        <w:r w:rsidR="009B42B8" w:rsidRPr="00AD712E">
          <w:rPr>
            <w:rStyle w:val="Hyperlink"/>
            <w:rFonts w:eastAsia="Arial Unicode MS"/>
            <w:noProof/>
          </w:rPr>
          <w:t xml:space="preserve"> investigating diagnostic imaging</w:t>
        </w:r>
        <w:r w:rsidR="009B42B8">
          <w:rPr>
            <w:noProof/>
            <w:webHidden/>
          </w:rPr>
          <w:tab/>
        </w:r>
        <w:r w:rsidR="009B42B8">
          <w:rPr>
            <w:noProof/>
            <w:webHidden/>
          </w:rPr>
          <w:fldChar w:fldCharType="begin"/>
        </w:r>
        <w:r w:rsidR="009B42B8">
          <w:rPr>
            <w:noProof/>
            <w:webHidden/>
          </w:rPr>
          <w:instrText xml:space="preserve"> PAGEREF _Toc525816163 \h </w:instrText>
        </w:r>
        <w:r w:rsidR="009B42B8">
          <w:rPr>
            <w:noProof/>
            <w:webHidden/>
          </w:rPr>
        </w:r>
        <w:r w:rsidR="009B42B8">
          <w:rPr>
            <w:noProof/>
            <w:webHidden/>
          </w:rPr>
          <w:fldChar w:fldCharType="separate"/>
        </w:r>
        <w:r w:rsidR="00985650">
          <w:rPr>
            <w:noProof/>
            <w:webHidden/>
          </w:rPr>
          <w:t>95</w:t>
        </w:r>
        <w:r w:rsidR="009B42B8">
          <w:rPr>
            <w:noProof/>
            <w:webHidden/>
          </w:rPr>
          <w:fldChar w:fldCharType="end"/>
        </w:r>
      </w:hyperlink>
    </w:p>
    <w:p w14:paraId="4AEDC50C" w14:textId="3B55B152" w:rsidR="009B42B8" w:rsidRDefault="00041F25">
      <w:pPr>
        <w:pStyle w:val="TOC3"/>
        <w:tabs>
          <w:tab w:val="right" w:leader="dot" w:pos="8302"/>
        </w:tabs>
        <w:rPr>
          <w:rFonts w:eastAsiaTheme="minorEastAsia" w:cstheme="minorBidi"/>
          <w:noProof/>
          <w:sz w:val="22"/>
          <w:szCs w:val="22"/>
        </w:rPr>
      </w:pPr>
      <w:hyperlink w:anchor="_Toc525816164" w:history="1">
        <w:r w:rsidR="009B42B8" w:rsidRPr="00AD712E">
          <w:rPr>
            <w:rStyle w:val="Hyperlink"/>
            <w:rFonts w:eastAsia="Arial Unicode MS"/>
            <w:noProof/>
          </w:rPr>
          <w:t xml:space="preserve">Medline search for </w:t>
        </w:r>
        <w:r w:rsidR="009B42B8" w:rsidRPr="00AD712E">
          <w:rPr>
            <w:rStyle w:val="Hyperlink"/>
            <w:noProof/>
          </w:rPr>
          <w:t>reviews</w:t>
        </w:r>
        <w:r w:rsidR="009B42B8" w:rsidRPr="00AD712E">
          <w:rPr>
            <w:rStyle w:val="Hyperlink"/>
            <w:rFonts w:eastAsia="Arial Unicode MS"/>
            <w:noProof/>
          </w:rPr>
          <w:t xml:space="preserve"> investigating diagnostic imaging</w:t>
        </w:r>
        <w:r w:rsidR="009B42B8">
          <w:rPr>
            <w:noProof/>
            <w:webHidden/>
          </w:rPr>
          <w:tab/>
        </w:r>
        <w:r w:rsidR="009B42B8">
          <w:rPr>
            <w:noProof/>
            <w:webHidden/>
          </w:rPr>
          <w:fldChar w:fldCharType="begin"/>
        </w:r>
        <w:r w:rsidR="009B42B8">
          <w:rPr>
            <w:noProof/>
            <w:webHidden/>
          </w:rPr>
          <w:instrText xml:space="preserve"> PAGEREF _Toc525816164 \h </w:instrText>
        </w:r>
        <w:r w:rsidR="009B42B8">
          <w:rPr>
            <w:noProof/>
            <w:webHidden/>
          </w:rPr>
        </w:r>
        <w:r w:rsidR="009B42B8">
          <w:rPr>
            <w:noProof/>
            <w:webHidden/>
          </w:rPr>
          <w:fldChar w:fldCharType="separate"/>
        </w:r>
        <w:r w:rsidR="00985650">
          <w:rPr>
            <w:noProof/>
            <w:webHidden/>
          </w:rPr>
          <w:t>99</w:t>
        </w:r>
        <w:r w:rsidR="009B42B8">
          <w:rPr>
            <w:noProof/>
            <w:webHidden/>
          </w:rPr>
          <w:fldChar w:fldCharType="end"/>
        </w:r>
      </w:hyperlink>
    </w:p>
    <w:p w14:paraId="1EAD27EA" w14:textId="161A716C" w:rsidR="009B42B8" w:rsidRDefault="00041F25">
      <w:pPr>
        <w:pStyle w:val="TOC3"/>
        <w:tabs>
          <w:tab w:val="right" w:leader="dot" w:pos="8302"/>
        </w:tabs>
        <w:rPr>
          <w:rFonts w:eastAsiaTheme="minorEastAsia" w:cstheme="minorBidi"/>
          <w:noProof/>
          <w:sz w:val="22"/>
          <w:szCs w:val="22"/>
        </w:rPr>
      </w:pPr>
      <w:hyperlink w:anchor="_Toc525816165" w:history="1">
        <w:r w:rsidR="009B42B8" w:rsidRPr="00AD712E">
          <w:rPr>
            <w:rStyle w:val="Hyperlink"/>
            <w:rFonts w:eastAsia="Arial Unicode MS"/>
            <w:noProof/>
          </w:rPr>
          <w:t xml:space="preserve">Medline search for </w:t>
        </w:r>
        <w:r w:rsidR="009B42B8" w:rsidRPr="00AD712E">
          <w:rPr>
            <w:rStyle w:val="Hyperlink"/>
            <w:noProof/>
          </w:rPr>
          <w:t>reviews</w:t>
        </w:r>
        <w:r w:rsidR="009B42B8" w:rsidRPr="00AD712E">
          <w:rPr>
            <w:rStyle w:val="Hyperlink"/>
            <w:rFonts w:eastAsia="Arial Unicode MS"/>
            <w:noProof/>
          </w:rPr>
          <w:t xml:space="preserve"> investigating pathology tests</w:t>
        </w:r>
        <w:r w:rsidR="009B42B8">
          <w:rPr>
            <w:noProof/>
            <w:webHidden/>
          </w:rPr>
          <w:tab/>
        </w:r>
        <w:r w:rsidR="009B42B8">
          <w:rPr>
            <w:noProof/>
            <w:webHidden/>
          </w:rPr>
          <w:fldChar w:fldCharType="begin"/>
        </w:r>
        <w:r w:rsidR="009B42B8">
          <w:rPr>
            <w:noProof/>
            <w:webHidden/>
          </w:rPr>
          <w:instrText xml:space="preserve"> PAGEREF _Toc525816165 \h </w:instrText>
        </w:r>
        <w:r w:rsidR="009B42B8">
          <w:rPr>
            <w:noProof/>
            <w:webHidden/>
          </w:rPr>
        </w:r>
        <w:r w:rsidR="009B42B8">
          <w:rPr>
            <w:noProof/>
            <w:webHidden/>
          </w:rPr>
          <w:fldChar w:fldCharType="separate"/>
        </w:r>
        <w:r w:rsidR="00985650">
          <w:rPr>
            <w:noProof/>
            <w:webHidden/>
          </w:rPr>
          <w:t>101</w:t>
        </w:r>
        <w:r w:rsidR="009B42B8">
          <w:rPr>
            <w:noProof/>
            <w:webHidden/>
          </w:rPr>
          <w:fldChar w:fldCharType="end"/>
        </w:r>
      </w:hyperlink>
    </w:p>
    <w:p w14:paraId="73E10B94" w14:textId="71333ED1" w:rsidR="009B42B8" w:rsidRDefault="00041F25">
      <w:pPr>
        <w:pStyle w:val="TOC3"/>
        <w:tabs>
          <w:tab w:val="right" w:leader="dot" w:pos="8302"/>
        </w:tabs>
        <w:rPr>
          <w:rFonts w:eastAsiaTheme="minorEastAsia" w:cstheme="minorBidi"/>
          <w:noProof/>
          <w:sz w:val="22"/>
          <w:szCs w:val="22"/>
        </w:rPr>
      </w:pPr>
      <w:hyperlink w:anchor="_Toc525816166" w:history="1">
        <w:r w:rsidR="009B42B8" w:rsidRPr="00AD712E">
          <w:rPr>
            <w:rStyle w:val="Hyperlink"/>
            <w:rFonts w:eastAsia="Arial Unicode MS"/>
            <w:noProof/>
          </w:rPr>
          <w:t xml:space="preserve">PsycINFO search for </w:t>
        </w:r>
        <w:r w:rsidR="009B42B8" w:rsidRPr="00AD712E">
          <w:rPr>
            <w:rStyle w:val="Hyperlink"/>
            <w:noProof/>
          </w:rPr>
          <w:t>reviews</w:t>
        </w:r>
        <w:r w:rsidR="009B42B8" w:rsidRPr="00AD712E">
          <w:rPr>
            <w:rStyle w:val="Hyperlink"/>
            <w:rFonts w:eastAsia="Arial Unicode MS"/>
            <w:noProof/>
          </w:rPr>
          <w:t xml:space="preserve"> investigating diagnostic imaging</w:t>
        </w:r>
        <w:r w:rsidR="009B42B8">
          <w:rPr>
            <w:noProof/>
            <w:webHidden/>
          </w:rPr>
          <w:tab/>
        </w:r>
        <w:r w:rsidR="009B42B8">
          <w:rPr>
            <w:noProof/>
            <w:webHidden/>
          </w:rPr>
          <w:fldChar w:fldCharType="begin"/>
        </w:r>
        <w:r w:rsidR="009B42B8">
          <w:rPr>
            <w:noProof/>
            <w:webHidden/>
          </w:rPr>
          <w:instrText xml:space="preserve"> PAGEREF _Toc525816166 \h </w:instrText>
        </w:r>
        <w:r w:rsidR="009B42B8">
          <w:rPr>
            <w:noProof/>
            <w:webHidden/>
          </w:rPr>
        </w:r>
        <w:r w:rsidR="009B42B8">
          <w:rPr>
            <w:noProof/>
            <w:webHidden/>
          </w:rPr>
          <w:fldChar w:fldCharType="separate"/>
        </w:r>
        <w:r w:rsidR="00985650">
          <w:rPr>
            <w:noProof/>
            <w:webHidden/>
          </w:rPr>
          <w:t>103</w:t>
        </w:r>
        <w:r w:rsidR="009B42B8">
          <w:rPr>
            <w:noProof/>
            <w:webHidden/>
          </w:rPr>
          <w:fldChar w:fldCharType="end"/>
        </w:r>
      </w:hyperlink>
    </w:p>
    <w:p w14:paraId="1B862939" w14:textId="03459F2D" w:rsidR="009B42B8" w:rsidRDefault="00041F25">
      <w:pPr>
        <w:pStyle w:val="TOC3"/>
        <w:tabs>
          <w:tab w:val="right" w:leader="dot" w:pos="8302"/>
        </w:tabs>
        <w:rPr>
          <w:rFonts w:eastAsiaTheme="minorEastAsia" w:cstheme="minorBidi"/>
          <w:noProof/>
          <w:sz w:val="22"/>
          <w:szCs w:val="22"/>
        </w:rPr>
      </w:pPr>
      <w:hyperlink w:anchor="_Toc525816167" w:history="1">
        <w:r w:rsidR="009B42B8" w:rsidRPr="00AD712E">
          <w:rPr>
            <w:rStyle w:val="Hyperlink"/>
            <w:rFonts w:eastAsia="Arial Unicode MS"/>
            <w:noProof/>
          </w:rPr>
          <w:t xml:space="preserve">PsycINFO search for </w:t>
        </w:r>
        <w:r w:rsidR="009B42B8" w:rsidRPr="00AD712E">
          <w:rPr>
            <w:rStyle w:val="Hyperlink"/>
            <w:noProof/>
          </w:rPr>
          <w:t>reviews</w:t>
        </w:r>
        <w:r w:rsidR="009B42B8" w:rsidRPr="00AD712E">
          <w:rPr>
            <w:rStyle w:val="Hyperlink"/>
            <w:rFonts w:eastAsia="Arial Unicode MS"/>
            <w:noProof/>
          </w:rPr>
          <w:t xml:space="preserve"> investigating pathology tests</w:t>
        </w:r>
        <w:r w:rsidR="009B42B8">
          <w:rPr>
            <w:noProof/>
            <w:webHidden/>
          </w:rPr>
          <w:tab/>
        </w:r>
        <w:r w:rsidR="009B42B8">
          <w:rPr>
            <w:noProof/>
            <w:webHidden/>
          </w:rPr>
          <w:fldChar w:fldCharType="begin"/>
        </w:r>
        <w:r w:rsidR="009B42B8">
          <w:rPr>
            <w:noProof/>
            <w:webHidden/>
          </w:rPr>
          <w:instrText xml:space="preserve"> PAGEREF _Toc525816167 \h </w:instrText>
        </w:r>
        <w:r w:rsidR="009B42B8">
          <w:rPr>
            <w:noProof/>
            <w:webHidden/>
          </w:rPr>
        </w:r>
        <w:r w:rsidR="009B42B8">
          <w:rPr>
            <w:noProof/>
            <w:webHidden/>
          </w:rPr>
          <w:fldChar w:fldCharType="separate"/>
        </w:r>
        <w:r w:rsidR="00985650">
          <w:rPr>
            <w:noProof/>
            <w:webHidden/>
          </w:rPr>
          <w:t>105</w:t>
        </w:r>
        <w:r w:rsidR="009B42B8">
          <w:rPr>
            <w:noProof/>
            <w:webHidden/>
          </w:rPr>
          <w:fldChar w:fldCharType="end"/>
        </w:r>
      </w:hyperlink>
    </w:p>
    <w:p w14:paraId="04E83E50" w14:textId="6AC7CE94" w:rsidR="009B42B8" w:rsidRDefault="00041F25">
      <w:pPr>
        <w:pStyle w:val="TOC2"/>
        <w:tabs>
          <w:tab w:val="right" w:leader="dot" w:pos="8302"/>
        </w:tabs>
        <w:rPr>
          <w:rFonts w:eastAsiaTheme="minorEastAsia" w:cstheme="minorBidi"/>
          <w:b w:val="0"/>
          <w:bCs w:val="0"/>
          <w:noProof/>
        </w:rPr>
      </w:pPr>
      <w:hyperlink w:anchor="_Toc525816168" w:history="1">
        <w:r w:rsidR="009B42B8" w:rsidRPr="00AD712E">
          <w:rPr>
            <w:rStyle w:val="Hyperlink"/>
            <w:rFonts w:eastAsia="TimesNewRomanPSMT"/>
            <w:noProof/>
          </w:rPr>
          <w:t>References</w:t>
        </w:r>
        <w:r w:rsidR="009B42B8">
          <w:rPr>
            <w:noProof/>
            <w:webHidden/>
          </w:rPr>
          <w:tab/>
        </w:r>
        <w:r w:rsidR="009B42B8">
          <w:rPr>
            <w:noProof/>
            <w:webHidden/>
          </w:rPr>
          <w:fldChar w:fldCharType="begin"/>
        </w:r>
        <w:r w:rsidR="009B42B8">
          <w:rPr>
            <w:noProof/>
            <w:webHidden/>
          </w:rPr>
          <w:instrText xml:space="preserve"> PAGEREF _Toc525816168 \h </w:instrText>
        </w:r>
        <w:r w:rsidR="009B42B8">
          <w:rPr>
            <w:noProof/>
            <w:webHidden/>
          </w:rPr>
        </w:r>
        <w:r w:rsidR="009B42B8">
          <w:rPr>
            <w:noProof/>
            <w:webHidden/>
          </w:rPr>
          <w:fldChar w:fldCharType="separate"/>
        </w:r>
        <w:r w:rsidR="00985650">
          <w:rPr>
            <w:noProof/>
            <w:webHidden/>
          </w:rPr>
          <w:t>107</w:t>
        </w:r>
        <w:r w:rsidR="009B42B8">
          <w:rPr>
            <w:noProof/>
            <w:webHidden/>
          </w:rPr>
          <w:fldChar w:fldCharType="end"/>
        </w:r>
      </w:hyperlink>
    </w:p>
    <w:p w14:paraId="5CAB24EE" w14:textId="77777777" w:rsidR="00C86F3D" w:rsidRPr="008761B5" w:rsidRDefault="00C86F3D" w:rsidP="00333711">
      <w:pPr>
        <w:spacing w:before="120" w:after="120"/>
        <w:rPr>
          <w:rFonts w:cs="Arial"/>
          <w:b/>
        </w:rPr>
      </w:pPr>
      <w:r>
        <w:rPr>
          <w:rFonts w:cs="Arial"/>
        </w:rPr>
        <w:fldChar w:fldCharType="end"/>
      </w:r>
      <w:r w:rsidR="00080CAF" w:rsidRPr="008761B5">
        <w:rPr>
          <w:rFonts w:cs="Arial"/>
          <w:b/>
        </w:rPr>
        <w:t>Updated 5 June 2019</w:t>
      </w:r>
    </w:p>
    <w:p w14:paraId="2CB49C33" w14:textId="77777777" w:rsidR="00573569" w:rsidRDefault="00B33B7A" w:rsidP="00333711">
      <w:pPr>
        <w:pStyle w:val="Header1"/>
        <w:ind w:left="0" w:firstLine="0"/>
        <w:rPr>
          <w:noProof/>
        </w:rPr>
      </w:pPr>
      <w:r>
        <w:t xml:space="preserve">List of Tables </w:t>
      </w:r>
      <w:r w:rsidR="00C86F3D">
        <w:fldChar w:fldCharType="begin"/>
      </w:r>
      <w:r w:rsidR="00C86F3D">
        <w:instrText xml:space="preserve"> TOC \h \z \c "Table" </w:instrText>
      </w:r>
      <w:r w:rsidR="00C86F3D">
        <w:fldChar w:fldCharType="separate"/>
      </w:r>
    </w:p>
    <w:p w14:paraId="27D90CEC" w14:textId="77777777" w:rsidR="00573569" w:rsidRDefault="00041F25">
      <w:pPr>
        <w:pStyle w:val="TableofFigures"/>
        <w:tabs>
          <w:tab w:val="right" w:leader="dot" w:pos="8302"/>
        </w:tabs>
        <w:rPr>
          <w:rFonts w:eastAsiaTheme="minorEastAsia" w:cstheme="minorBidi"/>
          <w:noProof/>
          <w:sz w:val="22"/>
          <w:szCs w:val="22"/>
        </w:rPr>
      </w:pPr>
      <w:hyperlink w:anchor="_Toc525816957" w:history="1">
        <w:r w:rsidR="00573569" w:rsidRPr="009C41FC">
          <w:rPr>
            <w:rStyle w:val="Hyperlink"/>
            <w:noProof/>
          </w:rPr>
          <w:t>Table 1: Diagnostic Medicine Clinical Committee members</w:t>
        </w:r>
        <w:r w:rsidR="00573569">
          <w:rPr>
            <w:noProof/>
            <w:webHidden/>
          </w:rPr>
          <w:tab/>
        </w:r>
        <w:r w:rsidR="00573569">
          <w:rPr>
            <w:noProof/>
            <w:webHidden/>
          </w:rPr>
          <w:fldChar w:fldCharType="begin"/>
        </w:r>
        <w:r w:rsidR="00573569">
          <w:rPr>
            <w:noProof/>
            <w:webHidden/>
          </w:rPr>
          <w:instrText xml:space="preserve"> PAGEREF _Toc525816957 \h </w:instrText>
        </w:r>
        <w:r w:rsidR="00573569">
          <w:rPr>
            <w:noProof/>
            <w:webHidden/>
          </w:rPr>
        </w:r>
        <w:r w:rsidR="00573569">
          <w:rPr>
            <w:noProof/>
            <w:webHidden/>
          </w:rPr>
          <w:fldChar w:fldCharType="separate"/>
        </w:r>
        <w:r w:rsidR="00333711">
          <w:rPr>
            <w:noProof/>
            <w:webHidden/>
          </w:rPr>
          <w:t>21</w:t>
        </w:r>
        <w:r w:rsidR="00573569">
          <w:rPr>
            <w:noProof/>
            <w:webHidden/>
          </w:rPr>
          <w:fldChar w:fldCharType="end"/>
        </w:r>
      </w:hyperlink>
    </w:p>
    <w:p w14:paraId="4CD17CA5" w14:textId="77777777" w:rsidR="00573569" w:rsidRDefault="00041F25">
      <w:pPr>
        <w:pStyle w:val="TableofFigures"/>
        <w:tabs>
          <w:tab w:val="right" w:leader="dot" w:pos="8302"/>
        </w:tabs>
        <w:rPr>
          <w:rFonts w:eastAsiaTheme="minorEastAsia" w:cstheme="minorBidi"/>
          <w:noProof/>
          <w:sz w:val="22"/>
          <w:szCs w:val="22"/>
        </w:rPr>
      </w:pPr>
      <w:hyperlink w:anchor="_Toc525816958" w:history="1">
        <w:r w:rsidR="00573569" w:rsidRPr="009C41FC">
          <w:rPr>
            <w:rStyle w:val="Hyperlink"/>
            <w:noProof/>
          </w:rPr>
          <w:t>Table 2</w:t>
        </w:r>
        <w:r w:rsidR="00573569" w:rsidRPr="009C41FC">
          <w:rPr>
            <w:rStyle w:val="Hyperlink"/>
            <w:noProof/>
            <w:lang w:val="en-GB"/>
          </w:rPr>
          <w:t>: Items reviewed by the Committee for inclusion in this report</w:t>
        </w:r>
        <w:r w:rsidR="00573569">
          <w:rPr>
            <w:noProof/>
            <w:webHidden/>
          </w:rPr>
          <w:tab/>
        </w:r>
        <w:r w:rsidR="00573569">
          <w:rPr>
            <w:noProof/>
            <w:webHidden/>
          </w:rPr>
          <w:fldChar w:fldCharType="begin"/>
        </w:r>
        <w:r w:rsidR="00573569">
          <w:rPr>
            <w:noProof/>
            <w:webHidden/>
          </w:rPr>
          <w:instrText xml:space="preserve"> PAGEREF _Toc525816958 \h </w:instrText>
        </w:r>
        <w:r w:rsidR="00573569">
          <w:rPr>
            <w:noProof/>
            <w:webHidden/>
          </w:rPr>
        </w:r>
        <w:r w:rsidR="00573569">
          <w:rPr>
            <w:noProof/>
            <w:webHidden/>
          </w:rPr>
          <w:fldChar w:fldCharType="separate"/>
        </w:r>
        <w:r w:rsidR="00333711">
          <w:rPr>
            <w:noProof/>
            <w:webHidden/>
          </w:rPr>
          <w:t>23</w:t>
        </w:r>
        <w:r w:rsidR="00573569">
          <w:rPr>
            <w:noProof/>
            <w:webHidden/>
          </w:rPr>
          <w:fldChar w:fldCharType="end"/>
        </w:r>
      </w:hyperlink>
    </w:p>
    <w:p w14:paraId="1BA7A7A7" w14:textId="77777777" w:rsidR="00573569" w:rsidRDefault="00041F25">
      <w:pPr>
        <w:pStyle w:val="TableofFigures"/>
        <w:tabs>
          <w:tab w:val="right" w:leader="dot" w:pos="8302"/>
        </w:tabs>
        <w:rPr>
          <w:rFonts w:eastAsiaTheme="minorEastAsia" w:cstheme="minorBidi"/>
          <w:noProof/>
          <w:sz w:val="22"/>
          <w:szCs w:val="22"/>
        </w:rPr>
      </w:pPr>
      <w:hyperlink w:anchor="_Toc525816959" w:history="1">
        <w:r w:rsidR="00573569" w:rsidRPr="009C41FC">
          <w:rPr>
            <w:rStyle w:val="Hyperlink"/>
            <w:noProof/>
          </w:rPr>
          <w:t xml:space="preserve">Table 3: </w:t>
        </w:r>
        <w:r w:rsidR="00573569" w:rsidRPr="009C41FC">
          <w:rPr>
            <w:rStyle w:val="Hyperlink"/>
            <w:noProof/>
            <w:lang w:val="en-GB"/>
          </w:rPr>
          <w:t xml:space="preserve"> Services and benefits data for items 66538 and 66839</w:t>
        </w:r>
        <w:r w:rsidR="00573569">
          <w:rPr>
            <w:noProof/>
            <w:webHidden/>
          </w:rPr>
          <w:tab/>
        </w:r>
        <w:r w:rsidR="00573569">
          <w:rPr>
            <w:noProof/>
            <w:webHidden/>
          </w:rPr>
          <w:fldChar w:fldCharType="begin"/>
        </w:r>
        <w:r w:rsidR="00573569">
          <w:rPr>
            <w:noProof/>
            <w:webHidden/>
          </w:rPr>
          <w:instrText xml:space="preserve"> PAGEREF _Toc525816959 \h </w:instrText>
        </w:r>
        <w:r w:rsidR="00573569">
          <w:rPr>
            <w:noProof/>
            <w:webHidden/>
          </w:rPr>
        </w:r>
        <w:r w:rsidR="00573569">
          <w:rPr>
            <w:noProof/>
            <w:webHidden/>
          </w:rPr>
          <w:fldChar w:fldCharType="separate"/>
        </w:r>
        <w:r w:rsidR="00333711">
          <w:rPr>
            <w:noProof/>
            <w:webHidden/>
          </w:rPr>
          <w:t>38</w:t>
        </w:r>
        <w:r w:rsidR="00573569">
          <w:rPr>
            <w:noProof/>
            <w:webHidden/>
          </w:rPr>
          <w:fldChar w:fldCharType="end"/>
        </w:r>
      </w:hyperlink>
    </w:p>
    <w:p w14:paraId="09D75FC1" w14:textId="77777777" w:rsidR="00573569" w:rsidRDefault="00041F25">
      <w:pPr>
        <w:pStyle w:val="TableofFigures"/>
        <w:tabs>
          <w:tab w:val="right" w:leader="dot" w:pos="8302"/>
        </w:tabs>
        <w:rPr>
          <w:rFonts w:eastAsiaTheme="minorEastAsia" w:cstheme="minorBidi"/>
          <w:noProof/>
          <w:sz w:val="22"/>
          <w:szCs w:val="22"/>
        </w:rPr>
      </w:pPr>
      <w:hyperlink w:anchor="_Toc525816960" w:history="1">
        <w:r w:rsidR="00573569" w:rsidRPr="009C41FC">
          <w:rPr>
            <w:rStyle w:val="Hyperlink"/>
            <w:noProof/>
          </w:rPr>
          <w:t xml:space="preserve">Table 4: </w:t>
        </w:r>
        <w:r w:rsidR="00573569" w:rsidRPr="009C41FC">
          <w:rPr>
            <w:rStyle w:val="Hyperlink"/>
            <w:noProof/>
            <w:lang w:val="en-GB"/>
          </w:rPr>
          <w:t>Services and benefits data for items 66596 and 66593</w:t>
        </w:r>
        <w:r w:rsidR="00573569">
          <w:rPr>
            <w:noProof/>
            <w:webHidden/>
          </w:rPr>
          <w:tab/>
        </w:r>
        <w:r w:rsidR="00573569">
          <w:rPr>
            <w:noProof/>
            <w:webHidden/>
          </w:rPr>
          <w:fldChar w:fldCharType="begin"/>
        </w:r>
        <w:r w:rsidR="00573569">
          <w:rPr>
            <w:noProof/>
            <w:webHidden/>
          </w:rPr>
          <w:instrText xml:space="preserve"> PAGEREF _Toc525816960 \h </w:instrText>
        </w:r>
        <w:r w:rsidR="00573569">
          <w:rPr>
            <w:noProof/>
            <w:webHidden/>
          </w:rPr>
        </w:r>
        <w:r w:rsidR="00573569">
          <w:rPr>
            <w:noProof/>
            <w:webHidden/>
          </w:rPr>
          <w:fldChar w:fldCharType="separate"/>
        </w:r>
        <w:r w:rsidR="00333711">
          <w:rPr>
            <w:noProof/>
            <w:webHidden/>
          </w:rPr>
          <w:t>41</w:t>
        </w:r>
        <w:r w:rsidR="00573569">
          <w:rPr>
            <w:noProof/>
            <w:webHidden/>
          </w:rPr>
          <w:fldChar w:fldCharType="end"/>
        </w:r>
      </w:hyperlink>
    </w:p>
    <w:p w14:paraId="2681176D" w14:textId="77777777" w:rsidR="00573569" w:rsidRDefault="00041F25">
      <w:pPr>
        <w:pStyle w:val="TableofFigures"/>
        <w:tabs>
          <w:tab w:val="right" w:leader="dot" w:pos="8302"/>
        </w:tabs>
        <w:rPr>
          <w:rFonts w:eastAsiaTheme="minorEastAsia" w:cstheme="minorBidi"/>
          <w:noProof/>
          <w:sz w:val="22"/>
          <w:szCs w:val="22"/>
        </w:rPr>
      </w:pPr>
      <w:hyperlink w:anchor="_Toc525816961" w:history="1">
        <w:r w:rsidR="00573569" w:rsidRPr="009C41FC">
          <w:rPr>
            <w:rStyle w:val="Hyperlink"/>
            <w:noProof/>
          </w:rPr>
          <w:t xml:space="preserve">Table 5: </w:t>
        </w:r>
        <w:r w:rsidR="00573569" w:rsidRPr="009C41FC">
          <w:rPr>
            <w:rStyle w:val="Hyperlink"/>
            <w:noProof/>
            <w:lang w:val="en-GB"/>
          </w:rPr>
          <w:t>Services and benefits data for items 66840</w:t>
        </w:r>
        <w:r w:rsidR="00573569">
          <w:rPr>
            <w:noProof/>
            <w:webHidden/>
          </w:rPr>
          <w:tab/>
        </w:r>
        <w:r w:rsidR="00573569">
          <w:rPr>
            <w:noProof/>
            <w:webHidden/>
          </w:rPr>
          <w:fldChar w:fldCharType="begin"/>
        </w:r>
        <w:r w:rsidR="00573569">
          <w:rPr>
            <w:noProof/>
            <w:webHidden/>
          </w:rPr>
          <w:instrText xml:space="preserve"> PAGEREF _Toc525816961 \h </w:instrText>
        </w:r>
        <w:r w:rsidR="00573569">
          <w:rPr>
            <w:noProof/>
            <w:webHidden/>
          </w:rPr>
        </w:r>
        <w:r w:rsidR="00573569">
          <w:rPr>
            <w:noProof/>
            <w:webHidden/>
          </w:rPr>
          <w:fldChar w:fldCharType="separate"/>
        </w:r>
        <w:r w:rsidR="00333711">
          <w:rPr>
            <w:noProof/>
            <w:webHidden/>
          </w:rPr>
          <w:t>48</w:t>
        </w:r>
        <w:r w:rsidR="00573569">
          <w:rPr>
            <w:noProof/>
            <w:webHidden/>
          </w:rPr>
          <w:fldChar w:fldCharType="end"/>
        </w:r>
      </w:hyperlink>
    </w:p>
    <w:p w14:paraId="416C7FCC" w14:textId="77777777" w:rsidR="00573569" w:rsidRDefault="00041F25">
      <w:pPr>
        <w:pStyle w:val="TableofFigures"/>
        <w:tabs>
          <w:tab w:val="right" w:leader="dot" w:pos="8302"/>
        </w:tabs>
        <w:rPr>
          <w:rFonts w:eastAsiaTheme="minorEastAsia" w:cstheme="minorBidi"/>
          <w:noProof/>
          <w:sz w:val="22"/>
          <w:szCs w:val="22"/>
        </w:rPr>
      </w:pPr>
      <w:hyperlink w:anchor="_Toc525816962" w:history="1">
        <w:r w:rsidR="00573569" w:rsidRPr="009C41FC">
          <w:rPr>
            <w:rStyle w:val="Hyperlink"/>
            <w:noProof/>
          </w:rPr>
          <w:t xml:space="preserve">Table 6: </w:t>
        </w:r>
        <w:r w:rsidR="00573569" w:rsidRPr="009C41FC">
          <w:rPr>
            <w:rStyle w:val="Hyperlink"/>
            <w:noProof/>
            <w:lang w:val="en-GB"/>
          </w:rPr>
          <w:t>Services and benefits data for items 69300, 69333 and 73085</w:t>
        </w:r>
        <w:r w:rsidR="00573569">
          <w:rPr>
            <w:noProof/>
            <w:webHidden/>
          </w:rPr>
          <w:tab/>
        </w:r>
        <w:r w:rsidR="00573569">
          <w:rPr>
            <w:noProof/>
            <w:webHidden/>
          </w:rPr>
          <w:fldChar w:fldCharType="begin"/>
        </w:r>
        <w:r w:rsidR="00573569">
          <w:rPr>
            <w:noProof/>
            <w:webHidden/>
          </w:rPr>
          <w:instrText xml:space="preserve"> PAGEREF _Toc525816962 \h </w:instrText>
        </w:r>
        <w:r w:rsidR="00573569">
          <w:rPr>
            <w:noProof/>
            <w:webHidden/>
          </w:rPr>
        </w:r>
        <w:r w:rsidR="00573569">
          <w:rPr>
            <w:noProof/>
            <w:webHidden/>
          </w:rPr>
          <w:fldChar w:fldCharType="separate"/>
        </w:r>
        <w:r w:rsidR="00333711">
          <w:rPr>
            <w:noProof/>
            <w:webHidden/>
          </w:rPr>
          <w:t>51</w:t>
        </w:r>
        <w:r w:rsidR="00573569">
          <w:rPr>
            <w:noProof/>
            <w:webHidden/>
          </w:rPr>
          <w:fldChar w:fldCharType="end"/>
        </w:r>
      </w:hyperlink>
    </w:p>
    <w:p w14:paraId="7A6F8EB8" w14:textId="77777777" w:rsidR="00573569" w:rsidRDefault="00041F25">
      <w:pPr>
        <w:pStyle w:val="TableofFigures"/>
        <w:tabs>
          <w:tab w:val="right" w:leader="dot" w:pos="8302"/>
        </w:tabs>
        <w:rPr>
          <w:rFonts w:eastAsiaTheme="minorEastAsia" w:cstheme="minorBidi"/>
          <w:noProof/>
          <w:sz w:val="22"/>
          <w:szCs w:val="22"/>
        </w:rPr>
      </w:pPr>
      <w:hyperlink w:anchor="_Toc525816963" w:history="1">
        <w:r w:rsidR="00573569" w:rsidRPr="009C41FC">
          <w:rPr>
            <w:rStyle w:val="Hyperlink"/>
            <w:noProof/>
          </w:rPr>
          <w:t>Table 7</w:t>
        </w:r>
        <w:r w:rsidR="00573569" w:rsidRPr="009C41FC">
          <w:rPr>
            <w:rStyle w:val="Hyperlink"/>
            <w:noProof/>
            <w:lang w:val="en-GB"/>
          </w:rPr>
          <w:t>: Services and benefits data for items 66833, 66835, 66836, 66834 and 66837</w:t>
        </w:r>
        <w:r w:rsidR="00573569">
          <w:rPr>
            <w:noProof/>
            <w:webHidden/>
          </w:rPr>
          <w:tab/>
        </w:r>
        <w:r w:rsidR="00573569">
          <w:rPr>
            <w:noProof/>
            <w:webHidden/>
          </w:rPr>
          <w:fldChar w:fldCharType="begin"/>
        </w:r>
        <w:r w:rsidR="00573569">
          <w:rPr>
            <w:noProof/>
            <w:webHidden/>
          </w:rPr>
          <w:instrText xml:space="preserve"> PAGEREF _Toc525816963 \h </w:instrText>
        </w:r>
        <w:r w:rsidR="00573569">
          <w:rPr>
            <w:noProof/>
            <w:webHidden/>
          </w:rPr>
        </w:r>
        <w:r w:rsidR="00573569">
          <w:rPr>
            <w:noProof/>
            <w:webHidden/>
          </w:rPr>
          <w:fldChar w:fldCharType="separate"/>
        </w:r>
        <w:r w:rsidR="00333711">
          <w:rPr>
            <w:noProof/>
            <w:webHidden/>
          </w:rPr>
          <w:t>55</w:t>
        </w:r>
        <w:r w:rsidR="00573569">
          <w:rPr>
            <w:noProof/>
            <w:webHidden/>
          </w:rPr>
          <w:fldChar w:fldCharType="end"/>
        </w:r>
      </w:hyperlink>
    </w:p>
    <w:p w14:paraId="24C33257" w14:textId="77777777" w:rsidR="00573569" w:rsidRDefault="00041F25">
      <w:pPr>
        <w:pStyle w:val="TableofFigures"/>
        <w:tabs>
          <w:tab w:val="right" w:leader="dot" w:pos="8302"/>
        </w:tabs>
        <w:rPr>
          <w:rFonts w:eastAsiaTheme="minorEastAsia" w:cstheme="minorBidi"/>
          <w:noProof/>
          <w:sz w:val="22"/>
          <w:szCs w:val="22"/>
        </w:rPr>
      </w:pPr>
      <w:hyperlink w:anchor="_Toc525816964" w:history="1">
        <w:r w:rsidR="00573569" w:rsidRPr="009C41FC">
          <w:rPr>
            <w:rStyle w:val="Hyperlink"/>
            <w:noProof/>
          </w:rPr>
          <w:t>Table 8</w:t>
        </w:r>
        <w:r w:rsidR="00573569" w:rsidRPr="009C41FC">
          <w:rPr>
            <w:rStyle w:val="Hyperlink"/>
            <w:noProof/>
            <w:lang w:val="en-GB"/>
          </w:rPr>
          <w:t>: Services and benefits data for items 66655, 66656, 66659 and 66600</w:t>
        </w:r>
        <w:r w:rsidR="00573569">
          <w:rPr>
            <w:noProof/>
            <w:webHidden/>
          </w:rPr>
          <w:tab/>
        </w:r>
        <w:r w:rsidR="00573569">
          <w:rPr>
            <w:noProof/>
            <w:webHidden/>
          </w:rPr>
          <w:fldChar w:fldCharType="begin"/>
        </w:r>
        <w:r w:rsidR="00573569">
          <w:rPr>
            <w:noProof/>
            <w:webHidden/>
          </w:rPr>
          <w:instrText xml:space="preserve"> PAGEREF _Toc525816964 \h </w:instrText>
        </w:r>
        <w:r w:rsidR="00573569">
          <w:rPr>
            <w:noProof/>
            <w:webHidden/>
          </w:rPr>
        </w:r>
        <w:r w:rsidR="00573569">
          <w:rPr>
            <w:noProof/>
            <w:webHidden/>
          </w:rPr>
          <w:fldChar w:fldCharType="separate"/>
        </w:r>
        <w:r w:rsidR="00333711">
          <w:rPr>
            <w:noProof/>
            <w:webHidden/>
          </w:rPr>
          <w:t>60</w:t>
        </w:r>
        <w:r w:rsidR="00573569">
          <w:rPr>
            <w:noProof/>
            <w:webHidden/>
          </w:rPr>
          <w:fldChar w:fldCharType="end"/>
        </w:r>
      </w:hyperlink>
    </w:p>
    <w:p w14:paraId="6F6EF311" w14:textId="77777777" w:rsidR="00573569" w:rsidRDefault="00041F25">
      <w:pPr>
        <w:pStyle w:val="TableofFigures"/>
        <w:tabs>
          <w:tab w:val="right" w:leader="dot" w:pos="8302"/>
        </w:tabs>
        <w:rPr>
          <w:rFonts w:eastAsiaTheme="minorEastAsia" w:cstheme="minorBidi"/>
          <w:noProof/>
          <w:sz w:val="22"/>
          <w:szCs w:val="22"/>
        </w:rPr>
      </w:pPr>
      <w:hyperlink w:anchor="_Toc525816965" w:history="1">
        <w:r w:rsidR="00573569" w:rsidRPr="009C41FC">
          <w:rPr>
            <w:rStyle w:val="Hyperlink"/>
            <w:noProof/>
          </w:rPr>
          <w:t xml:space="preserve">Table 9: </w:t>
        </w:r>
        <w:r w:rsidR="00573569" w:rsidRPr="009C41FC">
          <w:rPr>
            <w:rStyle w:val="Hyperlink"/>
            <w:noProof/>
            <w:lang w:val="en-GB"/>
          </w:rPr>
          <w:t>Services and benefits data for items</w:t>
        </w:r>
        <w:r w:rsidR="00573569" w:rsidRPr="009C41FC">
          <w:rPr>
            <w:rStyle w:val="Hyperlink"/>
            <w:noProof/>
          </w:rPr>
          <w:t xml:space="preserve"> 55836, 55837, 55838 and 55839</w:t>
        </w:r>
        <w:r w:rsidR="00573569">
          <w:rPr>
            <w:noProof/>
            <w:webHidden/>
          </w:rPr>
          <w:tab/>
        </w:r>
        <w:r w:rsidR="00573569">
          <w:rPr>
            <w:noProof/>
            <w:webHidden/>
          </w:rPr>
          <w:fldChar w:fldCharType="begin"/>
        </w:r>
        <w:r w:rsidR="00573569">
          <w:rPr>
            <w:noProof/>
            <w:webHidden/>
          </w:rPr>
          <w:instrText xml:space="preserve"> PAGEREF _Toc525816965 \h </w:instrText>
        </w:r>
        <w:r w:rsidR="00573569">
          <w:rPr>
            <w:noProof/>
            <w:webHidden/>
          </w:rPr>
        </w:r>
        <w:r w:rsidR="00573569">
          <w:rPr>
            <w:noProof/>
            <w:webHidden/>
          </w:rPr>
          <w:fldChar w:fldCharType="separate"/>
        </w:r>
        <w:r w:rsidR="00333711">
          <w:rPr>
            <w:noProof/>
            <w:webHidden/>
          </w:rPr>
          <w:t>64</w:t>
        </w:r>
        <w:r w:rsidR="00573569">
          <w:rPr>
            <w:noProof/>
            <w:webHidden/>
          </w:rPr>
          <w:fldChar w:fldCharType="end"/>
        </w:r>
      </w:hyperlink>
    </w:p>
    <w:p w14:paraId="0E6FCD9D" w14:textId="77777777" w:rsidR="00573569" w:rsidRDefault="00041F25">
      <w:pPr>
        <w:pStyle w:val="TableofFigures"/>
        <w:tabs>
          <w:tab w:val="right" w:leader="dot" w:pos="8302"/>
        </w:tabs>
        <w:rPr>
          <w:rFonts w:eastAsiaTheme="minorEastAsia" w:cstheme="minorBidi"/>
          <w:noProof/>
          <w:sz w:val="22"/>
          <w:szCs w:val="22"/>
        </w:rPr>
      </w:pPr>
      <w:hyperlink w:anchor="_Toc525816966" w:history="1">
        <w:r w:rsidR="00573569" w:rsidRPr="009C41FC">
          <w:rPr>
            <w:rStyle w:val="Hyperlink"/>
            <w:noProof/>
          </w:rPr>
          <w:t xml:space="preserve">Table 10: </w:t>
        </w:r>
        <w:r w:rsidR="00573569" w:rsidRPr="009C41FC">
          <w:rPr>
            <w:rStyle w:val="Hyperlink"/>
            <w:noProof/>
            <w:lang w:val="en-GB"/>
          </w:rPr>
          <w:t>Services and benefits data for items</w:t>
        </w:r>
        <w:r w:rsidR="00573569" w:rsidRPr="009C41FC">
          <w:rPr>
            <w:rStyle w:val="Hyperlink"/>
            <w:noProof/>
          </w:rPr>
          <w:t xml:space="preserve"> 55808, 55809, 55810 and 55811</w:t>
        </w:r>
        <w:r w:rsidR="00573569">
          <w:rPr>
            <w:noProof/>
            <w:webHidden/>
          </w:rPr>
          <w:tab/>
        </w:r>
        <w:r w:rsidR="00573569">
          <w:rPr>
            <w:noProof/>
            <w:webHidden/>
          </w:rPr>
          <w:fldChar w:fldCharType="begin"/>
        </w:r>
        <w:r w:rsidR="00573569">
          <w:rPr>
            <w:noProof/>
            <w:webHidden/>
          </w:rPr>
          <w:instrText xml:space="preserve"> PAGEREF _Toc525816966 \h </w:instrText>
        </w:r>
        <w:r w:rsidR="00573569">
          <w:rPr>
            <w:noProof/>
            <w:webHidden/>
          </w:rPr>
        </w:r>
        <w:r w:rsidR="00573569">
          <w:rPr>
            <w:noProof/>
            <w:webHidden/>
          </w:rPr>
          <w:fldChar w:fldCharType="separate"/>
        </w:r>
        <w:r w:rsidR="00333711">
          <w:rPr>
            <w:noProof/>
            <w:webHidden/>
          </w:rPr>
          <w:t>67</w:t>
        </w:r>
        <w:r w:rsidR="00573569">
          <w:rPr>
            <w:noProof/>
            <w:webHidden/>
          </w:rPr>
          <w:fldChar w:fldCharType="end"/>
        </w:r>
      </w:hyperlink>
    </w:p>
    <w:p w14:paraId="722FAC04" w14:textId="77777777" w:rsidR="00573569" w:rsidRDefault="00041F25">
      <w:pPr>
        <w:pStyle w:val="TableofFigures"/>
        <w:tabs>
          <w:tab w:val="right" w:leader="dot" w:pos="8302"/>
        </w:tabs>
        <w:rPr>
          <w:rFonts w:eastAsiaTheme="minorEastAsia" w:cstheme="minorBidi"/>
          <w:noProof/>
          <w:sz w:val="22"/>
          <w:szCs w:val="22"/>
        </w:rPr>
      </w:pPr>
      <w:hyperlink w:anchor="_Toc525816967" w:history="1">
        <w:r w:rsidR="00573569" w:rsidRPr="009C41FC">
          <w:rPr>
            <w:rStyle w:val="Hyperlink"/>
            <w:noProof/>
          </w:rPr>
          <w:t>Table 11</w:t>
        </w:r>
        <w:r w:rsidR="00573569" w:rsidRPr="009C41FC">
          <w:rPr>
            <w:rStyle w:val="Hyperlink"/>
            <w:noProof/>
            <w:lang w:val="en-GB"/>
          </w:rPr>
          <w:t>: Services and benefits data for lower back imaging items</w:t>
        </w:r>
        <w:r w:rsidR="00573569">
          <w:rPr>
            <w:noProof/>
            <w:webHidden/>
          </w:rPr>
          <w:tab/>
        </w:r>
        <w:r w:rsidR="00573569">
          <w:rPr>
            <w:noProof/>
            <w:webHidden/>
          </w:rPr>
          <w:fldChar w:fldCharType="begin"/>
        </w:r>
        <w:r w:rsidR="00573569">
          <w:rPr>
            <w:noProof/>
            <w:webHidden/>
          </w:rPr>
          <w:instrText xml:space="preserve"> PAGEREF _Toc525816967 \h </w:instrText>
        </w:r>
        <w:r w:rsidR="00573569">
          <w:rPr>
            <w:noProof/>
            <w:webHidden/>
          </w:rPr>
        </w:r>
        <w:r w:rsidR="00573569">
          <w:rPr>
            <w:noProof/>
            <w:webHidden/>
          </w:rPr>
          <w:fldChar w:fldCharType="separate"/>
        </w:r>
        <w:r w:rsidR="00333711">
          <w:rPr>
            <w:noProof/>
            <w:webHidden/>
          </w:rPr>
          <w:t>71</w:t>
        </w:r>
        <w:r w:rsidR="00573569">
          <w:rPr>
            <w:noProof/>
            <w:webHidden/>
          </w:rPr>
          <w:fldChar w:fldCharType="end"/>
        </w:r>
      </w:hyperlink>
    </w:p>
    <w:p w14:paraId="29E70732" w14:textId="77777777" w:rsidR="00573569" w:rsidRDefault="00041F25">
      <w:pPr>
        <w:pStyle w:val="TableofFigures"/>
        <w:tabs>
          <w:tab w:val="right" w:leader="dot" w:pos="8302"/>
        </w:tabs>
        <w:rPr>
          <w:rFonts w:eastAsiaTheme="minorEastAsia" w:cstheme="minorBidi"/>
          <w:noProof/>
          <w:sz w:val="22"/>
          <w:szCs w:val="22"/>
        </w:rPr>
      </w:pPr>
      <w:hyperlink w:anchor="_Toc525816968" w:history="1">
        <w:r w:rsidR="00573569" w:rsidRPr="009C41FC">
          <w:rPr>
            <w:rStyle w:val="Hyperlink"/>
            <w:noProof/>
          </w:rPr>
          <w:t>Table 12: Exemplar potential imaging signposts – lower back (adults)</w:t>
        </w:r>
        <w:r w:rsidR="00573569">
          <w:rPr>
            <w:noProof/>
            <w:webHidden/>
          </w:rPr>
          <w:tab/>
        </w:r>
        <w:r w:rsidR="00573569">
          <w:rPr>
            <w:noProof/>
            <w:webHidden/>
          </w:rPr>
          <w:fldChar w:fldCharType="begin"/>
        </w:r>
        <w:r w:rsidR="00573569">
          <w:rPr>
            <w:noProof/>
            <w:webHidden/>
          </w:rPr>
          <w:instrText xml:space="preserve"> PAGEREF _Toc525816968 \h </w:instrText>
        </w:r>
        <w:r w:rsidR="00573569">
          <w:rPr>
            <w:noProof/>
            <w:webHidden/>
          </w:rPr>
        </w:r>
        <w:r w:rsidR="00573569">
          <w:rPr>
            <w:noProof/>
            <w:webHidden/>
          </w:rPr>
          <w:fldChar w:fldCharType="separate"/>
        </w:r>
        <w:r w:rsidR="00333711">
          <w:rPr>
            <w:noProof/>
            <w:webHidden/>
          </w:rPr>
          <w:t>75</w:t>
        </w:r>
        <w:r w:rsidR="00573569">
          <w:rPr>
            <w:noProof/>
            <w:webHidden/>
          </w:rPr>
          <w:fldChar w:fldCharType="end"/>
        </w:r>
      </w:hyperlink>
    </w:p>
    <w:p w14:paraId="1F0BD8D1" w14:textId="77777777" w:rsidR="00573569" w:rsidRDefault="00041F25">
      <w:pPr>
        <w:pStyle w:val="TableofFigures"/>
        <w:tabs>
          <w:tab w:val="right" w:leader="dot" w:pos="8302"/>
        </w:tabs>
        <w:rPr>
          <w:rFonts w:eastAsiaTheme="minorEastAsia" w:cstheme="minorBidi"/>
          <w:noProof/>
          <w:sz w:val="22"/>
          <w:szCs w:val="22"/>
        </w:rPr>
      </w:pPr>
      <w:hyperlink w:anchor="_Toc525816969" w:history="1">
        <w:r w:rsidR="00573569" w:rsidRPr="009C41FC">
          <w:rPr>
            <w:rStyle w:val="Hyperlink"/>
            <w:noProof/>
          </w:rPr>
          <w:t>Table 13</w:t>
        </w:r>
        <w:r w:rsidR="00573569" w:rsidRPr="009C41FC">
          <w:rPr>
            <w:rStyle w:val="Hyperlink"/>
            <w:noProof/>
            <w:lang w:val="en-GB"/>
          </w:rPr>
          <w:t>: Services and benefits data for head imaging items</w:t>
        </w:r>
        <w:r w:rsidR="00573569">
          <w:rPr>
            <w:noProof/>
            <w:webHidden/>
          </w:rPr>
          <w:tab/>
        </w:r>
        <w:r w:rsidR="00573569">
          <w:rPr>
            <w:noProof/>
            <w:webHidden/>
          </w:rPr>
          <w:fldChar w:fldCharType="begin"/>
        </w:r>
        <w:r w:rsidR="00573569">
          <w:rPr>
            <w:noProof/>
            <w:webHidden/>
          </w:rPr>
          <w:instrText xml:space="preserve"> PAGEREF _Toc525816969 \h </w:instrText>
        </w:r>
        <w:r w:rsidR="00573569">
          <w:rPr>
            <w:noProof/>
            <w:webHidden/>
          </w:rPr>
        </w:r>
        <w:r w:rsidR="00573569">
          <w:rPr>
            <w:noProof/>
            <w:webHidden/>
          </w:rPr>
          <w:fldChar w:fldCharType="separate"/>
        </w:r>
        <w:r w:rsidR="00333711">
          <w:rPr>
            <w:noProof/>
            <w:webHidden/>
          </w:rPr>
          <w:t>77</w:t>
        </w:r>
        <w:r w:rsidR="00573569">
          <w:rPr>
            <w:noProof/>
            <w:webHidden/>
          </w:rPr>
          <w:fldChar w:fldCharType="end"/>
        </w:r>
      </w:hyperlink>
    </w:p>
    <w:p w14:paraId="248980A0" w14:textId="77777777" w:rsidR="00573569" w:rsidRDefault="00041F25">
      <w:pPr>
        <w:pStyle w:val="TableofFigures"/>
        <w:tabs>
          <w:tab w:val="right" w:leader="dot" w:pos="8302"/>
        </w:tabs>
        <w:rPr>
          <w:rFonts w:eastAsiaTheme="minorEastAsia" w:cstheme="minorBidi"/>
          <w:noProof/>
          <w:sz w:val="22"/>
          <w:szCs w:val="22"/>
        </w:rPr>
      </w:pPr>
      <w:hyperlink w:anchor="_Toc525816970" w:history="1">
        <w:r w:rsidR="00573569" w:rsidRPr="009C41FC">
          <w:rPr>
            <w:rStyle w:val="Hyperlink"/>
            <w:noProof/>
          </w:rPr>
          <w:t>Table 14</w:t>
        </w:r>
        <w:r w:rsidR="00573569" w:rsidRPr="009C41FC">
          <w:rPr>
            <w:rStyle w:val="Hyperlink"/>
            <w:noProof/>
            <w:lang w:val="en-GB"/>
          </w:rPr>
          <w:t>: Exemplar imaging signposts – headache (adults)</w:t>
        </w:r>
        <w:r w:rsidR="00573569">
          <w:rPr>
            <w:noProof/>
            <w:webHidden/>
          </w:rPr>
          <w:tab/>
        </w:r>
        <w:r w:rsidR="00573569">
          <w:rPr>
            <w:noProof/>
            <w:webHidden/>
          </w:rPr>
          <w:fldChar w:fldCharType="begin"/>
        </w:r>
        <w:r w:rsidR="00573569">
          <w:rPr>
            <w:noProof/>
            <w:webHidden/>
          </w:rPr>
          <w:instrText xml:space="preserve"> PAGEREF _Toc525816970 \h </w:instrText>
        </w:r>
        <w:r w:rsidR="00573569">
          <w:rPr>
            <w:noProof/>
            <w:webHidden/>
          </w:rPr>
        </w:r>
        <w:r w:rsidR="00573569">
          <w:rPr>
            <w:noProof/>
            <w:webHidden/>
          </w:rPr>
          <w:fldChar w:fldCharType="separate"/>
        </w:r>
        <w:r w:rsidR="00333711">
          <w:rPr>
            <w:noProof/>
            <w:webHidden/>
          </w:rPr>
          <w:t>79</w:t>
        </w:r>
        <w:r w:rsidR="00573569">
          <w:rPr>
            <w:noProof/>
            <w:webHidden/>
          </w:rPr>
          <w:fldChar w:fldCharType="end"/>
        </w:r>
      </w:hyperlink>
    </w:p>
    <w:p w14:paraId="4A184487" w14:textId="77777777" w:rsidR="0071493B" w:rsidRDefault="00C86F3D" w:rsidP="00D67260">
      <w:pPr>
        <w:spacing w:before="120" w:after="120"/>
        <w:rPr>
          <w:rFonts w:cs="Arial"/>
        </w:rPr>
      </w:pPr>
      <w:r>
        <w:rPr>
          <w:rFonts w:cs="Arial"/>
        </w:rPr>
        <w:fldChar w:fldCharType="end"/>
      </w:r>
    </w:p>
    <w:p w14:paraId="2009D70C" w14:textId="77777777" w:rsidR="0071493B" w:rsidRDefault="0071493B">
      <w:pPr>
        <w:spacing w:before="0" w:after="0" w:line="240" w:lineRule="auto"/>
        <w:rPr>
          <w:rFonts w:cs="Arial"/>
        </w:rPr>
      </w:pPr>
      <w:r>
        <w:rPr>
          <w:rFonts w:cs="Arial"/>
        </w:rPr>
        <w:br w:type="page"/>
      </w:r>
    </w:p>
    <w:p w14:paraId="348B9F55" w14:textId="77777777" w:rsidR="00C86F3D" w:rsidRDefault="00B33B7A" w:rsidP="00B33B7A">
      <w:pPr>
        <w:pStyle w:val="Header1"/>
      </w:pPr>
      <w:r>
        <w:lastRenderedPageBreak/>
        <w:t>List of Figures</w:t>
      </w:r>
    </w:p>
    <w:p w14:paraId="6B6C4DA7" w14:textId="77777777" w:rsidR="00430B21" w:rsidRDefault="0071493B">
      <w:pPr>
        <w:pStyle w:val="TableofFigures"/>
        <w:tabs>
          <w:tab w:val="right" w:leader="dot" w:pos="8302"/>
        </w:tabs>
        <w:rPr>
          <w:rFonts w:eastAsiaTheme="minorEastAsia" w:cstheme="minorBidi"/>
          <w:noProof/>
          <w:sz w:val="22"/>
          <w:szCs w:val="22"/>
        </w:rPr>
      </w:pPr>
      <w:r>
        <w:rPr>
          <w:rFonts w:cs="Arial"/>
        </w:rPr>
        <w:fldChar w:fldCharType="begin"/>
      </w:r>
      <w:r>
        <w:rPr>
          <w:rFonts w:cs="Arial"/>
        </w:rPr>
        <w:instrText xml:space="preserve"> TOC \h \z \c "Figure" </w:instrText>
      </w:r>
      <w:r>
        <w:rPr>
          <w:rFonts w:cs="Arial"/>
        </w:rPr>
        <w:fldChar w:fldCharType="separate"/>
      </w:r>
      <w:hyperlink w:anchor="_Toc525739678" w:history="1">
        <w:r w:rsidR="00430B21" w:rsidRPr="003337BD">
          <w:rPr>
            <w:rStyle w:val="Hyperlink"/>
            <w:noProof/>
          </w:rPr>
          <w:t>Figure 1: Prioritisation matrix</w:t>
        </w:r>
        <w:r w:rsidR="00430B21">
          <w:rPr>
            <w:noProof/>
            <w:webHidden/>
          </w:rPr>
          <w:tab/>
        </w:r>
        <w:r w:rsidR="00430B21">
          <w:rPr>
            <w:noProof/>
            <w:webHidden/>
          </w:rPr>
          <w:fldChar w:fldCharType="begin"/>
        </w:r>
        <w:r w:rsidR="00430B21">
          <w:rPr>
            <w:noProof/>
            <w:webHidden/>
          </w:rPr>
          <w:instrText xml:space="preserve"> PAGEREF _Toc525739678 \h </w:instrText>
        </w:r>
        <w:r w:rsidR="00430B21">
          <w:rPr>
            <w:noProof/>
            <w:webHidden/>
          </w:rPr>
        </w:r>
        <w:r w:rsidR="00430B21">
          <w:rPr>
            <w:noProof/>
            <w:webHidden/>
          </w:rPr>
          <w:fldChar w:fldCharType="separate"/>
        </w:r>
        <w:r w:rsidR="00333711">
          <w:rPr>
            <w:noProof/>
            <w:webHidden/>
          </w:rPr>
          <w:t>19</w:t>
        </w:r>
        <w:r w:rsidR="00430B21">
          <w:rPr>
            <w:noProof/>
            <w:webHidden/>
          </w:rPr>
          <w:fldChar w:fldCharType="end"/>
        </w:r>
      </w:hyperlink>
    </w:p>
    <w:p w14:paraId="34EBEE57" w14:textId="77777777" w:rsidR="00430B21" w:rsidRDefault="00041F25">
      <w:pPr>
        <w:pStyle w:val="TableofFigures"/>
        <w:tabs>
          <w:tab w:val="right" w:leader="dot" w:pos="8302"/>
        </w:tabs>
        <w:rPr>
          <w:rFonts w:eastAsiaTheme="minorEastAsia" w:cstheme="minorBidi"/>
          <w:noProof/>
          <w:sz w:val="22"/>
          <w:szCs w:val="22"/>
        </w:rPr>
      </w:pPr>
      <w:hyperlink w:anchor="_Toc525739679" w:history="1">
        <w:r w:rsidR="00430B21" w:rsidRPr="003337BD">
          <w:rPr>
            <w:rStyle w:val="Hyperlink"/>
            <w:noProof/>
          </w:rPr>
          <w:t>Figure 2: The nine mechanisms for supporting better requesting</w:t>
        </w:r>
        <w:r w:rsidR="00430B21">
          <w:rPr>
            <w:noProof/>
            <w:webHidden/>
          </w:rPr>
          <w:tab/>
        </w:r>
        <w:r w:rsidR="00430B21">
          <w:rPr>
            <w:noProof/>
            <w:webHidden/>
          </w:rPr>
          <w:fldChar w:fldCharType="begin"/>
        </w:r>
        <w:r w:rsidR="00430B21">
          <w:rPr>
            <w:noProof/>
            <w:webHidden/>
          </w:rPr>
          <w:instrText xml:space="preserve"> PAGEREF _Toc525739679 \h </w:instrText>
        </w:r>
        <w:r w:rsidR="00430B21">
          <w:rPr>
            <w:noProof/>
            <w:webHidden/>
          </w:rPr>
        </w:r>
        <w:r w:rsidR="00430B21">
          <w:rPr>
            <w:noProof/>
            <w:webHidden/>
          </w:rPr>
          <w:fldChar w:fldCharType="separate"/>
        </w:r>
        <w:r w:rsidR="00333711">
          <w:rPr>
            <w:noProof/>
            <w:webHidden/>
          </w:rPr>
          <w:t>26</w:t>
        </w:r>
        <w:r w:rsidR="00430B21">
          <w:rPr>
            <w:noProof/>
            <w:webHidden/>
          </w:rPr>
          <w:fldChar w:fldCharType="end"/>
        </w:r>
      </w:hyperlink>
    </w:p>
    <w:p w14:paraId="5A233E05" w14:textId="77777777" w:rsidR="00430B21" w:rsidRDefault="00041F25">
      <w:pPr>
        <w:pStyle w:val="TableofFigures"/>
        <w:tabs>
          <w:tab w:val="right" w:leader="dot" w:pos="8302"/>
        </w:tabs>
        <w:rPr>
          <w:rFonts w:eastAsiaTheme="minorEastAsia" w:cstheme="minorBidi"/>
          <w:noProof/>
          <w:sz w:val="22"/>
          <w:szCs w:val="22"/>
        </w:rPr>
      </w:pPr>
      <w:hyperlink w:anchor="_Toc525739680" w:history="1">
        <w:r w:rsidR="00430B21" w:rsidRPr="003337BD">
          <w:rPr>
            <w:rStyle w:val="Hyperlink"/>
            <w:noProof/>
          </w:rPr>
          <w:t>Figure 3: Use of the nine mechanisms across the item groups in this report</w:t>
        </w:r>
        <w:r w:rsidR="00430B21">
          <w:rPr>
            <w:noProof/>
            <w:webHidden/>
          </w:rPr>
          <w:tab/>
        </w:r>
        <w:r w:rsidR="00430B21">
          <w:rPr>
            <w:noProof/>
            <w:webHidden/>
          </w:rPr>
          <w:fldChar w:fldCharType="begin"/>
        </w:r>
        <w:r w:rsidR="00430B21">
          <w:rPr>
            <w:noProof/>
            <w:webHidden/>
          </w:rPr>
          <w:instrText xml:space="preserve"> PAGEREF _Toc525739680 \h </w:instrText>
        </w:r>
        <w:r w:rsidR="00430B21">
          <w:rPr>
            <w:noProof/>
            <w:webHidden/>
          </w:rPr>
        </w:r>
        <w:r w:rsidR="00430B21">
          <w:rPr>
            <w:noProof/>
            <w:webHidden/>
          </w:rPr>
          <w:fldChar w:fldCharType="separate"/>
        </w:r>
        <w:r w:rsidR="00333711">
          <w:rPr>
            <w:noProof/>
            <w:webHidden/>
          </w:rPr>
          <w:t>27</w:t>
        </w:r>
        <w:r w:rsidR="00430B21">
          <w:rPr>
            <w:noProof/>
            <w:webHidden/>
          </w:rPr>
          <w:fldChar w:fldCharType="end"/>
        </w:r>
      </w:hyperlink>
    </w:p>
    <w:p w14:paraId="150F2B6C" w14:textId="77777777" w:rsidR="00430B21" w:rsidRDefault="00041F25">
      <w:pPr>
        <w:pStyle w:val="TableofFigures"/>
        <w:tabs>
          <w:tab w:val="right" w:leader="dot" w:pos="8302"/>
        </w:tabs>
        <w:rPr>
          <w:rFonts w:eastAsiaTheme="minorEastAsia" w:cstheme="minorBidi"/>
          <w:noProof/>
          <w:sz w:val="22"/>
          <w:szCs w:val="22"/>
        </w:rPr>
      </w:pPr>
      <w:hyperlink w:anchor="_Toc525739681" w:history="1">
        <w:r w:rsidR="00430B21" w:rsidRPr="003337BD">
          <w:rPr>
            <w:rStyle w:val="Hyperlink"/>
            <w:noProof/>
          </w:rPr>
          <w:t>Figure 4</w:t>
        </w:r>
        <w:r w:rsidR="00430B21" w:rsidRPr="003337BD">
          <w:rPr>
            <w:rStyle w:val="Hyperlink"/>
            <w:noProof/>
            <w:lang w:val="en-GB"/>
          </w:rPr>
          <w:t>: Recommended process for CDS implementation</w:t>
        </w:r>
        <w:r w:rsidR="00430B21">
          <w:rPr>
            <w:noProof/>
            <w:webHidden/>
          </w:rPr>
          <w:tab/>
        </w:r>
        <w:r w:rsidR="00430B21">
          <w:rPr>
            <w:noProof/>
            <w:webHidden/>
          </w:rPr>
          <w:fldChar w:fldCharType="begin"/>
        </w:r>
        <w:r w:rsidR="00430B21">
          <w:rPr>
            <w:noProof/>
            <w:webHidden/>
          </w:rPr>
          <w:instrText xml:space="preserve"> PAGEREF _Toc525739681 \h </w:instrText>
        </w:r>
        <w:r w:rsidR="00430B21">
          <w:rPr>
            <w:noProof/>
            <w:webHidden/>
          </w:rPr>
        </w:r>
        <w:r w:rsidR="00430B21">
          <w:rPr>
            <w:noProof/>
            <w:webHidden/>
          </w:rPr>
          <w:fldChar w:fldCharType="separate"/>
        </w:r>
        <w:r w:rsidR="00333711">
          <w:rPr>
            <w:noProof/>
            <w:webHidden/>
          </w:rPr>
          <w:t>33</w:t>
        </w:r>
        <w:r w:rsidR="00430B21">
          <w:rPr>
            <w:noProof/>
            <w:webHidden/>
          </w:rPr>
          <w:fldChar w:fldCharType="end"/>
        </w:r>
      </w:hyperlink>
    </w:p>
    <w:p w14:paraId="02018D67" w14:textId="77777777" w:rsidR="00430B21" w:rsidRDefault="00041F25">
      <w:pPr>
        <w:pStyle w:val="TableofFigures"/>
        <w:tabs>
          <w:tab w:val="right" w:leader="dot" w:pos="8302"/>
        </w:tabs>
        <w:rPr>
          <w:rFonts w:eastAsiaTheme="minorEastAsia" w:cstheme="minorBidi"/>
          <w:noProof/>
          <w:sz w:val="22"/>
          <w:szCs w:val="22"/>
        </w:rPr>
      </w:pPr>
      <w:hyperlink w:anchor="_Toc525739682" w:history="1">
        <w:r w:rsidR="00430B21" w:rsidRPr="003337BD">
          <w:rPr>
            <w:rStyle w:val="Hyperlink"/>
            <w:noProof/>
          </w:rPr>
          <w:t>Figure 5</w:t>
        </w:r>
        <w:r w:rsidR="00430B21" w:rsidRPr="003337BD">
          <w:rPr>
            <w:rStyle w:val="Hyperlink"/>
            <w:noProof/>
            <w:lang w:val="en-GB"/>
          </w:rPr>
          <w:t>: Rates of folate co-ordering with iron and vitamin B12</w:t>
        </w:r>
        <w:r w:rsidR="00430B21">
          <w:rPr>
            <w:noProof/>
            <w:webHidden/>
          </w:rPr>
          <w:tab/>
        </w:r>
        <w:r w:rsidR="00430B21">
          <w:rPr>
            <w:noProof/>
            <w:webHidden/>
          </w:rPr>
          <w:fldChar w:fldCharType="begin"/>
        </w:r>
        <w:r w:rsidR="00430B21">
          <w:rPr>
            <w:noProof/>
            <w:webHidden/>
          </w:rPr>
          <w:instrText xml:space="preserve"> PAGEREF _Toc525739682 \h </w:instrText>
        </w:r>
        <w:r w:rsidR="00430B21">
          <w:rPr>
            <w:noProof/>
            <w:webHidden/>
          </w:rPr>
        </w:r>
        <w:r w:rsidR="00430B21">
          <w:rPr>
            <w:noProof/>
            <w:webHidden/>
          </w:rPr>
          <w:fldChar w:fldCharType="separate"/>
        </w:r>
        <w:r w:rsidR="00333711">
          <w:rPr>
            <w:noProof/>
            <w:webHidden/>
          </w:rPr>
          <w:t>49</w:t>
        </w:r>
        <w:r w:rsidR="00430B21">
          <w:rPr>
            <w:noProof/>
            <w:webHidden/>
          </w:rPr>
          <w:fldChar w:fldCharType="end"/>
        </w:r>
      </w:hyperlink>
    </w:p>
    <w:p w14:paraId="0D7949B9" w14:textId="2DA3BD81" w:rsidR="00EB0974" w:rsidRPr="00854013" w:rsidRDefault="0071493B" w:rsidP="00C62DA7">
      <w:pPr>
        <w:spacing w:before="0" w:after="0" w:line="240" w:lineRule="auto"/>
        <w:rPr>
          <w:rFonts w:cs="Arial"/>
        </w:rPr>
        <w:sectPr w:rsidR="00EB0974" w:rsidRPr="00854013" w:rsidSect="009A7BA2">
          <w:pgSz w:w="11906" w:h="16838" w:code="9"/>
          <w:pgMar w:top="1440" w:right="1797" w:bottom="1440" w:left="1797" w:header="720" w:footer="720" w:gutter="0"/>
          <w:cols w:space="720"/>
          <w:docGrid w:linePitch="326"/>
        </w:sectPr>
      </w:pPr>
      <w:r>
        <w:rPr>
          <w:rFonts w:cs="Arial"/>
        </w:rPr>
        <w:fldChar w:fldCharType="end"/>
      </w:r>
    </w:p>
    <w:bookmarkEnd w:id="0"/>
    <w:p w14:paraId="010DEACB" w14:textId="77777777" w:rsidR="00262127" w:rsidRPr="00854013" w:rsidRDefault="00262127" w:rsidP="00C62DA7">
      <w:pPr>
        <w:pStyle w:val="TableofFigures"/>
        <w:tabs>
          <w:tab w:val="right" w:leader="dot" w:pos="9016"/>
        </w:tabs>
        <w:ind w:left="0" w:firstLine="0"/>
        <w:rPr>
          <w:rFonts w:cs="Arial"/>
        </w:rPr>
      </w:pPr>
    </w:p>
    <w:p w14:paraId="0DF52426" w14:textId="77777777" w:rsidR="009837DB" w:rsidRPr="00854013" w:rsidRDefault="00262127" w:rsidP="005C7FB0">
      <w:pPr>
        <w:pStyle w:val="Heading1"/>
      </w:pPr>
      <w:bookmarkStart w:id="4" w:name="_Toc485295711"/>
      <w:bookmarkStart w:id="5" w:name="_Toc506552458"/>
      <w:bookmarkStart w:id="6" w:name="_Toc522396588"/>
      <w:bookmarkStart w:id="7" w:name="_Toc525816029"/>
      <w:bookmarkEnd w:id="1"/>
      <w:r w:rsidRPr="00854013">
        <w:t xml:space="preserve">Executive </w:t>
      </w:r>
      <w:r w:rsidR="00F82ACF" w:rsidRPr="00854013">
        <w:t>s</w:t>
      </w:r>
      <w:r w:rsidRPr="00854013">
        <w:t>ummary</w:t>
      </w:r>
      <w:bookmarkEnd w:id="4"/>
      <w:bookmarkEnd w:id="5"/>
      <w:bookmarkEnd w:id="6"/>
      <w:bookmarkEnd w:id="7"/>
    </w:p>
    <w:p w14:paraId="10787457" w14:textId="77777777" w:rsidR="00463B1C" w:rsidRPr="00854013" w:rsidRDefault="00FE088C" w:rsidP="00106FA6">
      <w:pPr>
        <w:spacing w:line="240" w:lineRule="auto"/>
        <w:rPr>
          <w:rStyle w:val="IntenseEmphasis"/>
          <w:b w:val="0"/>
          <w:bCs w:val="0"/>
          <w:i w:val="0"/>
          <w:iCs w:val="0"/>
          <w:color w:val="auto"/>
        </w:rPr>
      </w:pPr>
      <w:r w:rsidRPr="00854013">
        <w:rPr>
          <w:rStyle w:val="IntenseEmphasis"/>
          <w:b w:val="0"/>
          <w:bCs w:val="0"/>
          <w:i w:val="0"/>
          <w:iCs w:val="0"/>
          <w:color w:val="auto"/>
        </w:rPr>
        <w:t>The Medicare Benefits Schedule (MBS) Review Taskforce (the Taskforce) is undertaking a program of work</w:t>
      </w:r>
      <w:r w:rsidR="00CF522D" w:rsidRPr="00854013">
        <w:rPr>
          <w:rStyle w:val="IntenseEmphasis"/>
          <w:b w:val="0"/>
          <w:bCs w:val="0"/>
          <w:i w:val="0"/>
          <w:iCs w:val="0"/>
          <w:color w:val="auto"/>
        </w:rPr>
        <w:t xml:space="preserve"> that considers how more than 5</w:t>
      </w:r>
      <w:r w:rsidR="004F2A61">
        <w:rPr>
          <w:rStyle w:val="IntenseEmphasis"/>
          <w:b w:val="0"/>
          <w:bCs w:val="0"/>
          <w:i w:val="0"/>
          <w:iCs w:val="0"/>
          <w:color w:val="auto"/>
        </w:rPr>
        <w:t>,</w:t>
      </w:r>
      <w:r w:rsidR="00CF522D" w:rsidRPr="00854013">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854013">
        <w:rPr>
          <w:rStyle w:val="IntenseEmphasis"/>
          <w:b w:val="0"/>
          <w:bCs w:val="0"/>
          <w:i w:val="0"/>
          <w:iCs w:val="0"/>
          <w:color w:val="auto"/>
        </w:rPr>
        <w:t xml:space="preserve">will </w:t>
      </w:r>
      <w:r w:rsidR="00CF522D" w:rsidRPr="00854013">
        <w:rPr>
          <w:rStyle w:val="IntenseEmphasis"/>
          <w:b w:val="0"/>
          <w:bCs w:val="0"/>
          <w:i w:val="0"/>
          <w:iCs w:val="0"/>
          <w:color w:val="auto"/>
        </w:rPr>
        <w:t>also seek to identify any services that may be unnecessary, outdated or potentially unsafe.</w:t>
      </w:r>
    </w:p>
    <w:p w14:paraId="7813E4DD" w14:textId="77777777" w:rsidR="00A962D1" w:rsidRPr="00854013" w:rsidRDefault="00A962D1" w:rsidP="00106FA6">
      <w:pPr>
        <w:spacing w:line="240" w:lineRule="auto"/>
      </w:pPr>
      <w:r w:rsidRPr="00854013">
        <w:t>The Taskforce is committed to providing recommendations to the Minister</w:t>
      </w:r>
      <w:r w:rsidR="009B08ED" w:rsidRPr="00854013">
        <w:t xml:space="preserve"> for Health</w:t>
      </w:r>
      <w:r w:rsidRPr="00854013">
        <w:t xml:space="preserve"> </w:t>
      </w:r>
      <w:r w:rsidR="000556FB" w:rsidRPr="00854013">
        <w:t xml:space="preserve">(the Minister) </w:t>
      </w:r>
      <w:r w:rsidRPr="00854013">
        <w:t>that will allow the MBS to deliver on each of these four key goals:</w:t>
      </w:r>
    </w:p>
    <w:p w14:paraId="2E3FDDC5" w14:textId="77777777" w:rsidR="00A962D1" w:rsidRPr="00854013" w:rsidRDefault="00463720" w:rsidP="00106FA6">
      <w:pPr>
        <w:pStyle w:val="Bullet-green"/>
        <w:spacing w:line="240" w:lineRule="auto"/>
      </w:pPr>
      <w:r w:rsidRPr="00854013">
        <w:t>A</w:t>
      </w:r>
      <w:r w:rsidR="004942CA" w:rsidRPr="00854013">
        <w:t xml:space="preserve">ffordable </w:t>
      </w:r>
      <w:r w:rsidR="00A962D1" w:rsidRPr="00854013">
        <w:t>and universal access</w:t>
      </w:r>
    </w:p>
    <w:p w14:paraId="632BAAF3" w14:textId="77777777" w:rsidR="00A962D1" w:rsidRPr="00854013" w:rsidRDefault="00463720" w:rsidP="00106FA6">
      <w:pPr>
        <w:pStyle w:val="Bullet-green"/>
        <w:spacing w:line="240" w:lineRule="auto"/>
      </w:pPr>
      <w:r w:rsidRPr="00854013">
        <w:t>B</w:t>
      </w:r>
      <w:r w:rsidR="004942CA" w:rsidRPr="00854013">
        <w:t xml:space="preserve">est </w:t>
      </w:r>
      <w:r w:rsidR="00A962D1" w:rsidRPr="00854013">
        <w:t>practice health services</w:t>
      </w:r>
    </w:p>
    <w:p w14:paraId="1D4A2B0F" w14:textId="77777777" w:rsidR="00A962D1" w:rsidRPr="00854013" w:rsidRDefault="00463720" w:rsidP="00106FA6">
      <w:pPr>
        <w:pStyle w:val="Bullet-green"/>
        <w:spacing w:line="240" w:lineRule="auto"/>
      </w:pPr>
      <w:r w:rsidRPr="00854013">
        <w:t>V</w:t>
      </w:r>
      <w:r w:rsidR="004942CA" w:rsidRPr="00854013">
        <w:t xml:space="preserve">alue </w:t>
      </w:r>
      <w:r w:rsidR="00A962D1" w:rsidRPr="00854013">
        <w:t>for the individual patient</w:t>
      </w:r>
    </w:p>
    <w:p w14:paraId="41629ED0" w14:textId="77777777" w:rsidR="00A962D1" w:rsidRPr="00854013" w:rsidRDefault="00463720" w:rsidP="00106FA6">
      <w:pPr>
        <w:pStyle w:val="Bullet-green"/>
        <w:spacing w:line="240" w:lineRule="auto"/>
      </w:pPr>
      <w:r w:rsidRPr="00854013">
        <w:t>V</w:t>
      </w:r>
      <w:r w:rsidR="004942CA" w:rsidRPr="00854013">
        <w:t xml:space="preserve">alue </w:t>
      </w:r>
      <w:r w:rsidR="00A962D1" w:rsidRPr="00854013">
        <w:t>for the health system.</w:t>
      </w:r>
    </w:p>
    <w:p w14:paraId="7F736C86" w14:textId="77777777" w:rsidR="007A2F4A" w:rsidRPr="00854013" w:rsidRDefault="00A962D1" w:rsidP="00106FA6">
      <w:pPr>
        <w:spacing w:line="240" w:lineRule="auto"/>
      </w:pPr>
      <w:r w:rsidRPr="00854013">
        <w:t xml:space="preserve">The Taskforce has endorsed a methodology whereby the necessary clinical review of MBS items is undertaken by </w:t>
      </w:r>
      <w:r w:rsidR="000556FB" w:rsidRPr="00854013">
        <w:t>c</w:t>
      </w:r>
      <w:r w:rsidR="004942CA" w:rsidRPr="00854013">
        <w:t xml:space="preserve">linical </w:t>
      </w:r>
      <w:r w:rsidR="000556FB" w:rsidRPr="00854013">
        <w:t>c</w:t>
      </w:r>
      <w:r w:rsidR="004942CA" w:rsidRPr="00854013">
        <w:t xml:space="preserve">ommittees and </w:t>
      </w:r>
      <w:r w:rsidR="000556FB" w:rsidRPr="00854013">
        <w:t>w</w:t>
      </w:r>
      <w:r w:rsidR="004942CA" w:rsidRPr="00854013">
        <w:t xml:space="preserve">orking </w:t>
      </w:r>
      <w:r w:rsidR="000556FB" w:rsidRPr="00854013">
        <w:t>g</w:t>
      </w:r>
      <w:r w:rsidR="004942CA" w:rsidRPr="00854013">
        <w:t>roups</w:t>
      </w:r>
      <w:r w:rsidRPr="00854013">
        <w:t>.</w:t>
      </w:r>
    </w:p>
    <w:p w14:paraId="0A173E27" w14:textId="77777777" w:rsidR="00971855" w:rsidRPr="00074D54" w:rsidRDefault="007374AB" w:rsidP="00106FA6">
      <w:pPr>
        <w:spacing w:line="240" w:lineRule="auto"/>
      </w:pPr>
      <w:bookmarkStart w:id="8" w:name="_Hlk520176628"/>
      <w:r w:rsidRPr="00854013">
        <w:t>T</w:t>
      </w:r>
      <w:r w:rsidR="000E4F24" w:rsidRPr="00854013">
        <w:t xml:space="preserve">he </w:t>
      </w:r>
      <w:r w:rsidRPr="00360531">
        <w:t xml:space="preserve">Taskforce established the </w:t>
      </w:r>
      <w:r w:rsidR="002615AA" w:rsidRPr="00074D54">
        <w:t xml:space="preserve">Diagnostic Medicine Clinical Committee (the Committee) in March 2017 to </w:t>
      </w:r>
      <w:r w:rsidR="000E4F24" w:rsidRPr="00074D54">
        <w:t>advise</w:t>
      </w:r>
      <w:r w:rsidR="002615AA" w:rsidRPr="00074D54">
        <w:t xml:space="preserve"> </w:t>
      </w:r>
      <w:r w:rsidRPr="00074D54">
        <w:t>on mechanisms that if implemented</w:t>
      </w:r>
      <w:r w:rsidR="00D93294">
        <w:t xml:space="preserve"> will</w:t>
      </w:r>
      <w:r w:rsidRPr="00074D54">
        <w:t xml:space="preserve"> support</w:t>
      </w:r>
      <w:r w:rsidR="002615AA" w:rsidRPr="00074D54">
        <w:t xml:space="preserve"> better requesting of</w:t>
      </w:r>
      <w:r w:rsidR="003F79B6" w:rsidRPr="00074D54">
        <w:t xml:space="preserve"> diagnostic services. </w:t>
      </w:r>
      <w:r w:rsidR="002615AA" w:rsidRPr="00074D54">
        <w:t xml:space="preserve">The Taskforce asked the Committee to review </w:t>
      </w:r>
      <w:r w:rsidR="003F79B6" w:rsidRPr="00074D54">
        <w:t xml:space="preserve">a set of high volume, high </w:t>
      </w:r>
      <w:r w:rsidRPr="00074D54">
        <w:t>benefit</w:t>
      </w:r>
      <w:r w:rsidR="002615AA" w:rsidRPr="00074D54">
        <w:t xml:space="preserve"> MBS items that </w:t>
      </w:r>
      <w:r w:rsidR="00D93294">
        <w:t>are</w:t>
      </w:r>
      <w:r w:rsidR="00D93294" w:rsidRPr="00074D54">
        <w:t xml:space="preserve"> </w:t>
      </w:r>
      <w:r w:rsidR="002615AA" w:rsidRPr="00074D54">
        <w:t xml:space="preserve">predominantly requested </w:t>
      </w:r>
      <w:r w:rsidR="00D93294">
        <w:t>by</w:t>
      </w:r>
      <w:r w:rsidR="00D93294" w:rsidRPr="00074D54">
        <w:t xml:space="preserve"> </w:t>
      </w:r>
      <w:r w:rsidR="002615AA" w:rsidRPr="00074D54">
        <w:t xml:space="preserve">general </w:t>
      </w:r>
      <w:r w:rsidR="00D93294" w:rsidRPr="00074D54">
        <w:t>practi</w:t>
      </w:r>
      <w:r w:rsidR="00D93294">
        <w:t>tioners</w:t>
      </w:r>
      <w:r w:rsidR="007B733D">
        <w:t xml:space="preserve"> (GPs)</w:t>
      </w:r>
      <w:r w:rsidRPr="00074D54">
        <w:t>. Eighteen diagnostic services involving diagnostic imaging</w:t>
      </w:r>
      <w:r w:rsidR="008764F2">
        <w:t xml:space="preserve"> (10 item groups)</w:t>
      </w:r>
      <w:r w:rsidRPr="00074D54">
        <w:t xml:space="preserve"> or pathology testing</w:t>
      </w:r>
      <w:r w:rsidR="008764F2">
        <w:t xml:space="preserve"> (</w:t>
      </w:r>
      <w:r w:rsidR="007B733D">
        <w:t xml:space="preserve">eight </w:t>
      </w:r>
      <w:r w:rsidR="00490F2A">
        <w:t>item</w:t>
      </w:r>
      <w:r w:rsidR="00AB2B45">
        <w:t xml:space="preserve"> groups</w:t>
      </w:r>
      <w:r w:rsidR="008764F2">
        <w:t>)</w:t>
      </w:r>
      <w:r w:rsidRPr="00074D54">
        <w:t xml:space="preserve"> were referred </w:t>
      </w:r>
      <w:r w:rsidR="007E7082">
        <w:t>to the Committee</w:t>
      </w:r>
      <w:r w:rsidR="007E7082" w:rsidRPr="00074D54">
        <w:t xml:space="preserve"> </w:t>
      </w:r>
      <w:r w:rsidRPr="00074D54">
        <w:t xml:space="preserve">from the </w:t>
      </w:r>
      <w:r w:rsidR="002615AA" w:rsidRPr="00074D54">
        <w:t>General Practice and Primary Care Clinical Committee</w:t>
      </w:r>
      <w:r w:rsidR="00AB75B1" w:rsidRPr="00074D54">
        <w:t xml:space="preserve"> (GPPCCC)</w:t>
      </w:r>
      <w:r w:rsidR="002615AA" w:rsidRPr="00074D54">
        <w:t>.</w:t>
      </w:r>
      <w:r w:rsidRPr="00074D54">
        <w:t xml:space="preserve"> The Committee review</w:t>
      </w:r>
      <w:r w:rsidR="00490F2A">
        <w:t>ed</w:t>
      </w:r>
      <w:r w:rsidRPr="00074D54">
        <w:t xml:space="preserve"> </w:t>
      </w:r>
      <w:r w:rsidR="00490F2A">
        <w:t xml:space="preserve">10 </w:t>
      </w:r>
      <w:r w:rsidRPr="00074D54">
        <w:t>priority item</w:t>
      </w:r>
      <w:r w:rsidR="00490F2A">
        <w:t xml:space="preserve"> group</w:t>
      </w:r>
      <w:r w:rsidRPr="00074D54">
        <w:t xml:space="preserve">s within a </w:t>
      </w:r>
      <w:r w:rsidR="00B55638" w:rsidRPr="00074D54">
        <w:t>define</w:t>
      </w:r>
      <w:r w:rsidR="007E7082">
        <w:t>d</w:t>
      </w:r>
      <w:r w:rsidR="00B55638" w:rsidRPr="00074D54">
        <w:t xml:space="preserve"> timeframe</w:t>
      </w:r>
      <w:r w:rsidR="007E7082">
        <w:t>,</w:t>
      </w:r>
      <w:r w:rsidR="00B55638" w:rsidRPr="00074D54">
        <w:t xml:space="preserve"> based on rapid evidence review</w:t>
      </w:r>
      <w:r w:rsidR="007E7082">
        <w:t xml:space="preserve"> and </w:t>
      </w:r>
      <w:r w:rsidR="007E7082" w:rsidRPr="00074D54">
        <w:t>clinical expertise</w:t>
      </w:r>
      <w:r w:rsidR="000E1636" w:rsidRPr="00074D54">
        <w:t>.</w:t>
      </w:r>
      <w:r w:rsidR="00A962D1" w:rsidRPr="00074D54">
        <w:t xml:space="preserve"> </w:t>
      </w:r>
    </w:p>
    <w:bookmarkEnd w:id="8"/>
    <w:p w14:paraId="38B8202E" w14:textId="77777777" w:rsidR="000556FB" w:rsidRPr="00074D54" w:rsidRDefault="00CF522D" w:rsidP="00106FA6">
      <w:pPr>
        <w:spacing w:line="240" w:lineRule="auto"/>
      </w:pPr>
      <w:r w:rsidRPr="00074D54">
        <w:t xml:space="preserve">The recommendations from the </w:t>
      </w:r>
      <w:r w:rsidR="00870B85" w:rsidRPr="00074D54">
        <w:t>C</w:t>
      </w:r>
      <w:r w:rsidR="004942CA" w:rsidRPr="00074D54">
        <w:t xml:space="preserve">ommittee </w:t>
      </w:r>
      <w:r w:rsidR="00870B85" w:rsidRPr="00074D54">
        <w:t xml:space="preserve">will undergo </w:t>
      </w:r>
      <w:r w:rsidRPr="00074D54">
        <w:t xml:space="preserve">stakeholder consultation. The </w:t>
      </w:r>
      <w:r w:rsidR="00870B85" w:rsidRPr="00074D54">
        <w:t>C</w:t>
      </w:r>
      <w:r w:rsidR="004942CA" w:rsidRPr="00074D54">
        <w:t>ommittee</w:t>
      </w:r>
      <w:r w:rsidR="00870B85" w:rsidRPr="00074D54">
        <w:t xml:space="preserve"> will </w:t>
      </w:r>
      <w:r w:rsidRPr="00074D54">
        <w:t xml:space="preserve">consider feedback from stakeholders </w:t>
      </w:r>
      <w:r w:rsidR="00870B85" w:rsidRPr="00074D54">
        <w:t>before providing</w:t>
      </w:r>
      <w:r w:rsidRPr="00074D54">
        <w:t xml:space="preserve"> recommendations to the Taskforce in </w:t>
      </w:r>
      <w:r w:rsidR="009B08ED" w:rsidRPr="00074D54">
        <w:t>a R</w:t>
      </w:r>
      <w:r w:rsidR="004942CA" w:rsidRPr="00074D54">
        <w:t xml:space="preserve">eview </w:t>
      </w:r>
      <w:r w:rsidR="009B08ED" w:rsidRPr="00074D54">
        <w:t>R</w:t>
      </w:r>
      <w:r w:rsidR="004942CA" w:rsidRPr="00074D54">
        <w:t>eport</w:t>
      </w:r>
      <w:r w:rsidRPr="00074D54">
        <w:t xml:space="preserve">. The Taskforce </w:t>
      </w:r>
      <w:r w:rsidR="007E7082">
        <w:t xml:space="preserve">will </w:t>
      </w:r>
      <w:r w:rsidRPr="00074D54">
        <w:t xml:space="preserve">consider the </w:t>
      </w:r>
      <w:r w:rsidR="009B08ED" w:rsidRPr="00074D54">
        <w:t>R</w:t>
      </w:r>
      <w:r w:rsidR="00110719" w:rsidRPr="00074D54">
        <w:t xml:space="preserve">eview </w:t>
      </w:r>
      <w:r w:rsidR="007E7082" w:rsidRPr="00074D54">
        <w:t xml:space="preserve">Report </w:t>
      </w:r>
      <w:r w:rsidRPr="00074D54">
        <w:t xml:space="preserve">from </w:t>
      </w:r>
      <w:r w:rsidR="007E7082">
        <w:t>the C</w:t>
      </w:r>
      <w:r w:rsidR="00110719" w:rsidRPr="00074D54">
        <w:t xml:space="preserve">ommittee </w:t>
      </w:r>
      <w:r w:rsidRPr="00074D54">
        <w:t xml:space="preserve">and stakeholder feedback before making </w:t>
      </w:r>
      <w:r w:rsidR="000556FB" w:rsidRPr="00074D54">
        <w:t xml:space="preserve">recommendations to the Minister </w:t>
      </w:r>
      <w:r w:rsidR="009B08ED" w:rsidRPr="00074D54">
        <w:t>for</w:t>
      </w:r>
      <w:r w:rsidRPr="00074D54">
        <w:t xml:space="preserve"> consideration by Government. </w:t>
      </w:r>
    </w:p>
    <w:p w14:paraId="0AB75F87" w14:textId="77777777" w:rsidR="005E39B6" w:rsidRPr="00074D54" w:rsidRDefault="00170A64" w:rsidP="005670CF">
      <w:pPr>
        <w:pStyle w:val="Heading2numbered"/>
      </w:pPr>
      <w:bookmarkStart w:id="9" w:name="_Toc522396589"/>
      <w:bookmarkStart w:id="10" w:name="_Toc525816030"/>
      <w:r w:rsidRPr="00074D54">
        <w:t>Mechanisms for better requesting of diagnostic tests</w:t>
      </w:r>
      <w:bookmarkEnd w:id="9"/>
      <w:bookmarkEnd w:id="10"/>
    </w:p>
    <w:p w14:paraId="37D87737" w14:textId="77777777" w:rsidR="00170A64" w:rsidRPr="00074D54" w:rsidRDefault="00170A64" w:rsidP="00106FA6">
      <w:pPr>
        <w:pStyle w:val="Normalpara"/>
        <w:rPr>
          <w:lang w:val="en-GB" w:eastAsia="en-US"/>
        </w:rPr>
      </w:pPr>
      <w:r w:rsidRPr="00074D54">
        <w:rPr>
          <w:lang w:val="en-GB" w:eastAsia="en-US"/>
        </w:rPr>
        <w:t xml:space="preserve">The Committee noted the importance of providing </w:t>
      </w:r>
      <w:r w:rsidR="006C31FB">
        <w:rPr>
          <w:lang w:val="en-GB" w:eastAsia="en-US"/>
        </w:rPr>
        <w:t>requester</w:t>
      </w:r>
      <w:r w:rsidRPr="00074D54">
        <w:rPr>
          <w:lang w:val="en-GB" w:eastAsia="en-US"/>
        </w:rPr>
        <w:t>s of diagnostic tests with the necessary support and enablers to facilitate better use of MBS items. The Committee agreed that there were clinical areas where the use of MBS-funded diagnostic services could be improved</w:t>
      </w:r>
      <w:r w:rsidR="00AB75B1" w:rsidRPr="00074D54">
        <w:rPr>
          <w:lang w:val="en-GB" w:eastAsia="en-US"/>
        </w:rPr>
        <w:t xml:space="preserve"> as per advice from the GPPCCC</w:t>
      </w:r>
      <w:r w:rsidRPr="00074D54">
        <w:rPr>
          <w:lang w:val="en-GB" w:eastAsia="en-US"/>
        </w:rPr>
        <w:t>, and it examined mechanisms that could be used to achieve this.</w:t>
      </w:r>
    </w:p>
    <w:p w14:paraId="27C08069" w14:textId="77777777" w:rsidR="00C62DA7" w:rsidRDefault="00170A64" w:rsidP="00106FA6">
      <w:pPr>
        <w:pStyle w:val="Normalpara"/>
      </w:pPr>
      <w:bookmarkStart w:id="11" w:name="_Hlk520177179"/>
      <w:r w:rsidRPr="00074D54">
        <w:lastRenderedPageBreak/>
        <w:t xml:space="preserve">To inform its recommendations, the Committee commissioned a rapid literature review to identify research on effective interventions that improve the appropriateness and clinical </w:t>
      </w:r>
      <w:r w:rsidR="00E71614">
        <w:t>usefulness</w:t>
      </w:r>
      <w:r w:rsidR="00E71614" w:rsidRPr="00074D54">
        <w:t xml:space="preserve"> </w:t>
      </w:r>
      <w:r w:rsidRPr="00074D54">
        <w:t>of diagnostic investigations requested by clinicians</w:t>
      </w:r>
      <w:r w:rsidR="009B42B8">
        <w:t xml:space="preserve"> (Appendix C</w:t>
      </w:r>
      <w:r w:rsidR="00B653E4">
        <w:t>)</w:t>
      </w:r>
      <w:r w:rsidR="00C67B0F">
        <w:t xml:space="preserve">. </w:t>
      </w:r>
    </w:p>
    <w:p w14:paraId="0662432A" w14:textId="7DF1290B" w:rsidR="00170A64" w:rsidRPr="00854013" w:rsidRDefault="00C67B0F" w:rsidP="00106FA6">
      <w:pPr>
        <w:pStyle w:val="Normalpara"/>
        <w:rPr>
          <w:lang w:val="en-GB" w:eastAsia="en-US"/>
        </w:rPr>
      </w:pPr>
      <w:r>
        <w:t>T</w:t>
      </w:r>
      <w:r w:rsidR="00170A64" w:rsidRPr="00074D54">
        <w:rPr>
          <w:lang w:val="en-GB" w:eastAsia="en-US"/>
        </w:rPr>
        <w:t xml:space="preserve">hrough this </w:t>
      </w:r>
      <w:r w:rsidR="008764F2">
        <w:rPr>
          <w:lang w:val="en-GB" w:eastAsia="en-US"/>
        </w:rPr>
        <w:t xml:space="preserve">literature </w:t>
      </w:r>
      <w:r w:rsidR="00170A64" w:rsidRPr="00074D54">
        <w:rPr>
          <w:lang w:val="en-GB" w:eastAsia="en-US"/>
        </w:rPr>
        <w:t xml:space="preserve">review, the Committee identified and refined nine potential mechanisms to support better requesting of diagnostic services. </w:t>
      </w:r>
      <w:r w:rsidR="0036390D" w:rsidRPr="00074D54">
        <w:rPr>
          <w:lang w:val="en-GB" w:eastAsia="en-US"/>
        </w:rPr>
        <w:t>Of the nine mechanisms,</w:t>
      </w:r>
      <w:r w:rsidR="00AB733E" w:rsidRPr="00074D54">
        <w:rPr>
          <w:lang w:val="en-GB" w:eastAsia="en-US"/>
        </w:rPr>
        <w:t xml:space="preserve"> </w:t>
      </w:r>
      <w:r w:rsidR="0036390D" w:rsidRPr="00074D54">
        <w:rPr>
          <w:lang w:val="en-GB" w:eastAsia="en-US"/>
        </w:rPr>
        <w:t xml:space="preserve">electronic </w:t>
      </w:r>
      <w:r w:rsidR="00C91F31">
        <w:rPr>
          <w:lang w:val="en-GB" w:eastAsia="en-US"/>
        </w:rPr>
        <w:t xml:space="preserve">clinical </w:t>
      </w:r>
      <w:r w:rsidR="0036390D" w:rsidRPr="00074D54">
        <w:rPr>
          <w:lang w:val="en-GB" w:eastAsia="en-US"/>
        </w:rPr>
        <w:t xml:space="preserve">decision </w:t>
      </w:r>
      <w:r w:rsidR="002B0E31" w:rsidRPr="00074D54">
        <w:rPr>
          <w:lang w:val="en-GB" w:eastAsia="en-US"/>
        </w:rPr>
        <w:t>support</w:t>
      </w:r>
      <w:r w:rsidR="00C91F31">
        <w:rPr>
          <w:lang w:val="en-GB" w:eastAsia="en-US"/>
        </w:rPr>
        <w:t xml:space="preserve"> (CDS)</w:t>
      </w:r>
      <w:r w:rsidR="002B0E31" w:rsidRPr="00074D54">
        <w:rPr>
          <w:lang w:val="en-GB" w:eastAsia="en-US"/>
        </w:rPr>
        <w:t xml:space="preserve"> appeared</w:t>
      </w:r>
      <w:r w:rsidR="000958FE" w:rsidRPr="00074D54">
        <w:rPr>
          <w:lang w:val="en-GB" w:eastAsia="en-US"/>
        </w:rPr>
        <w:t xml:space="preserve"> to have </w:t>
      </w:r>
      <w:r w:rsidR="00AA77B8" w:rsidRPr="00074D54">
        <w:rPr>
          <w:lang w:val="en-GB" w:eastAsia="en-US"/>
        </w:rPr>
        <w:t>the strongest evidence base for its effectiveness, whereas</w:t>
      </w:r>
      <w:r w:rsidR="00AB733E" w:rsidRPr="00074D54">
        <w:rPr>
          <w:lang w:val="en-GB" w:eastAsia="en-US"/>
        </w:rPr>
        <w:t xml:space="preserve"> </w:t>
      </w:r>
      <w:r w:rsidR="000958FE" w:rsidRPr="00074D54">
        <w:rPr>
          <w:lang w:val="en-GB" w:eastAsia="en-US"/>
        </w:rPr>
        <w:t xml:space="preserve">for </w:t>
      </w:r>
      <w:r w:rsidR="00AB733E" w:rsidRPr="00074D54">
        <w:rPr>
          <w:lang w:val="en-GB" w:eastAsia="en-US"/>
        </w:rPr>
        <w:t>the re</w:t>
      </w:r>
      <w:r w:rsidR="00C24A84">
        <w:rPr>
          <w:lang w:val="en-GB" w:eastAsia="en-US"/>
        </w:rPr>
        <w:t xml:space="preserve">maining mechanisms </w:t>
      </w:r>
      <w:r w:rsidR="000958FE" w:rsidRPr="00074D54">
        <w:rPr>
          <w:lang w:val="en-GB" w:eastAsia="en-US"/>
        </w:rPr>
        <w:t xml:space="preserve">the Committee noted some influence over </w:t>
      </w:r>
      <w:r w:rsidR="006C31FB">
        <w:rPr>
          <w:lang w:val="en-GB" w:eastAsia="en-US"/>
        </w:rPr>
        <w:t>requester</w:t>
      </w:r>
      <w:r w:rsidR="000958FE" w:rsidRPr="00074D54">
        <w:rPr>
          <w:lang w:val="en-GB" w:eastAsia="en-US"/>
        </w:rPr>
        <w:t xml:space="preserve">s’ behaviour when applied in combination. The Committee </w:t>
      </w:r>
      <w:r w:rsidR="000B2FBB" w:rsidRPr="00074D54">
        <w:rPr>
          <w:lang w:val="en-GB" w:eastAsia="en-US"/>
        </w:rPr>
        <w:t>noted</w:t>
      </w:r>
      <w:r w:rsidR="00170A64" w:rsidRPr="00074D54">
        <w:t xml:space="preserve"> that the appropriate combination of mechanisms would vary depending on the clinical issue under review</w:t>
      </w:r>
      <w:r w:rsidR="00170A64" w:rsidRPr="00074D54">
        <w:rPr>
          <w:lang w:val="en-GB" w:eastAsia="en-US"/>
        </w:rPr>
        <w:t>. The nine mechanisms are:</w:t>
      </w:r>
    </w:p>
    <w:bookmarkEnd w:id="11"/>
    <w:p w14:paraId="02B74EFE" w14:textId="77777777" w:rsidR="00170A64" w:rsidRPr="00360531" w:rsidRDefault="00170A64" w:rsidP="00106FA6">
      <w:pPr>
        <w:pStyle w:val="Bullet-green"/>
        <w:spacing w:line="240" w:lineRule="auto"/>
      </w:pPr>
      <w:r w:rsidRPr="00854013">
        <w:t>Consumer education</w:t>
      </w:r>
    </w:p>
    <w:p w14:paraId="4D5E2A9C" w14:textId="77777777" w:rsidR="00170A64" w:rsidRPr="00074D54" w:rsidRDefault="006C31FB" w:rsidP="00106FA6">
      <w:pPr>
        <w:pStyle w:val="Bullet-green"/>
        <w:spacing w:line="240" w:lineRule="auto"/>
      </w:pPr>
      <w:r>
        <w:t>Requester</w:t>
      </w:r>
      <w:r w:rsidR="00170A64" w:rsidRPr="00074D54">
        <w:t xml:space="preserve"> education</w:t>
      </w:r>
    </w:p>
    <w:p w14:paraId="30956F54" w14:textId="76510931" w:rsidR="00170A64" w:rsidRPr="00074D54" w:rsidRDefault="00170A64" w:rsidP="00106FA6">
      <w:pPr>
        <w:pStyle w:val="Bullet-green"/>
        <w:spacing w:line="240" w:lineRule="auto"/>
      </w:pPr>
      <w:r w:rsidRPr="00074D54">
        <w:t xml:space="preserve">Electronic </w:t>
      </w:r>
      <w:r w:rsidR="00151388">
        <w:t>CDS</w:t>
      </w:r>
    </w:p>
    <w:p w14:paraId="6FDCAD06" w14:textId="77777777" w:rsidR="00170A64" w:rsidRPr="00074D54" w:rsidRDefault="00170A64" w:rsidP="00106FA6">
      <w:pPr>
        <w:pStyle w:val="Bullet-green"/>
        <w:spacing w:line="240" w:lineRule="auto"/>
      </w:pPr>
      <w:r w:rsidRPr="00074D54">
        <w:t xml:space="preserve">Requesting pattern transparency </w:t>
      </w:r>
    </w:p>
    <w:p w14:paraId="7FE6B244" w14:textId="77777777" w:rsidR="00170A64" w:rsidRPr="00074D54" w:rsidRDefault="003F0625" w:rsidP="00106FA6">
      <w:pPr>
        <w:pStyle w:val="Bullet-green"/>
        <w:spacing w:line="240" w:lineRule="auto"/>
      </w:pPr>
      <w:r>
        <w:t>R</w:t>
      </w:r>
      <w:r w:rsidR="00170A64" w:rsidRPr="00074D54">
        <w:t>equesting process</w:t>
      </w:r>
    </w:p>
    <w:p w14:paraId="5051DAE8" w14:textId="77777777" w:rsidR="00170A64" w:rsidRPr="00074D54" w:rsidRDefault="006C31FB" w:rsidP="00106FA6">
      <w:pPr>
        <w:pStyle w:val="Bullet-green"/>
        <w:spacing w:line="240" w:lineRule="auto"/>
      </w:pPr>
      <w:r>
        <w:t>Requester</w:t>
      </w:r>
      <w:r w:rsidR="00170A64" w:rsidRPr="00074D54">
        <w:t xml:space="preserve"> restrictions</w:t>
      </w:r>
    </w:p>
    <w:p w14:paraId="6F47C807" w14:textId="77777777" w:rsidR="00170A64" w:rsidRPr="00074D54" w:rsidRDefault="00170A64" w:rsidP="00106FA6">
      <w:pPr>
        <w:pStyle w:val="Bullet-green"/>
        <w:spacing w:line="240" w:lineRule="auto"/>
      </w:pPr>
      <w:r w:rsidRPr="00074D54">
        <w:t xml:space="preserve">Provider feedback to the </w:t>
      </w:r>
      <w:r w:rsidR="006C31FB">
        <w:t>requester</w:t>
      </w:r>
    </w:p>
    <w:p w14:paraId="2FD194E7" w14:textId="77777777" w:rsidR="00170A64" w:rsidRPr="00074D54" w:rsidRDefault="00170A64" w:rsidP="00106FA6">
      <w:pPr>
        <w:pStyle w:val="Bullet-green"/>
        <w:spacing w:line="240" w:lineRule="auto"/>
      </w:pPr>
      <w:r w:rsidRPr="00074D54">
        <w:t>Provider service conditions</w:t>
      </w:r>
    </w:p>
    <w:p w14:paraId="164A2C2D" w14:textId="77777777" w:rsidR="00170A64" w:rsidRPr="00074D54" w:rsidRDefault="00170A64" w:rsidP="00106FA6">
      <w:pPr>
        <w:pStyle w:val="Bullet-green"/>
        <w:spacing w:line="240" w:lineRule="auto"/>
      </w:pPr>
      <w:r w:rsidRPr="00074D54">
        <w:t>Payment mechanisms</w:t>
      </w:r>
    </w:p>
    <w:p w14:paraId="368D6E0D" w14:textId="77777777" w:rsidR="007C6518" w:rsidRPr="00854013" w:rsidRDefault="007C6518" w:rsidP="00106FA6">
      <w:pPr>
        <w:pStyle w:val="Bullet-green"/>
        <w:numPr>
          <w:ilvl w:val="0"/>
          <w:numId w:val="0"/>
        </w:numPr>
        <w:spacing w:line="240" w:lineRule="auto"/>
      </w:pPr>
      <w:r w:rsidRPr="00074D54">
        <w:t>The Committee regarded CDS as a superior intervention to improve requesting of diagnostic imaging and pathology services, noting the system would give clinicians access to up-to-date clinical advice at the point of care and information on specific tests for consumer education.</w:t>
      </w:r>
    </w:p>
    <w:p w14:paraId="6AC3A8EF" w14:textId="77777777" w:rsidR="007C6518" w:rsidRPr="00074D54" w:rsidRDefault="007C6518" w:rsidP="005670CF">
      <w:pPr>
        <w:pStyle w:val="Heading2numbered"/>
      </w:pPr>
      <w:bookmarkStart w:id="12" w:name="_Toc522396590"/>
      <w:bookmarkStart w:id="13" w:name="_Toc525816031"/>
      <w:r w:rsidRPr="00854013">
        <w:t>Item-</w:t>
      </w:r>
      <w:r w:rsidRPr="00360531">
        <w:t>level recommendation</w:t>
      </w:r>
      <w:bookmarkEnd w:id="12"/>
      <w:r w:rsidR="00231E3D">
        <w:t>s</w:t>
      </w:r>
      <w:bookmarkEnd w:id="13"/>
      <w:r w:rsidRPr="00074D54">
        <w:t xml:space="preserve"> </w:t>
      </w:r>
    </w:p>
    <w:p w14:paraId="6F34CC36" w14:textId="77777777" w:rsidR="0029520B" w:rsidRDefault="0029520B" w:rsidP="0029520B">
      <w:pPr>
        <w:pStyle w:val="N1"/>
      </w:pPr>
      <w:r>
        <w:t xml:space="preserve">The Committee made multifaceted recommendations for each item included in the review, including the introduction of CDS for all items (as most of the Committee viewed this intervention as a superior mechanism with potentially the greatest influence on </w:t>
      </w:r>
      <w:r w:rsidR="006C31FB">
        <w:t>requester</w:t>
      </w:r>
      <w:r>
        <w:t xml:space="preserve"> behaviour). However, it should be noted that the Committee’s application of CDS to pathology items was limited, due to</w:t>
      </w:r>
      <w:r w:rsidR="00703091">
        <w:t xml:space="preserve"> a lack of </w:t>
      </w:r>
      <w:r>
        <w:t>sufficient</w:t>
      </w:r>
      <w:r w:rsidR="00703091">
        <w:t xml:space="preserve">ly widespread use </w:t>
      </w:r>
      <w:r>
        <w:t>of functional CDS system models for these items at the time of the review. Thus, the Committee prioritised alternative mechanisms for the pathology items</w:t>
      </w:r>
      <w:r w:rsidR="00703091">
        <w:t xml:space="preserve"> but strongly supported future uptake and use of CDS</w:t>
      </w:r>
      <w:r>
        <w:t>.</w:t>
      </w:r>
    </w:p>
    <w:p w14:paraId="578B2954" w14:textId="77777777" w:rsidR="00231E3D" w:rsidRPr="00854013" w:rsidRDefault="00555F56" w:rsidP="005E6078">
      <w:pPr>
        <w:pStyle w:val="N1"/>
      </w:pPr>
      <w:r w:rsidRPr="00074D54">
        <w:t xml:space="preserve">The Committee also recognised the significant contribution of the consumer and their influence on requesting behaviour. Therefore, the Committee recommended new explanatory notes or modification of notes to provide information for both the </w:t>
      </w:r>
      <w:r w:rsidR="006C31FB">
        <w:t>requester</w:t>
      </w:r>
      <w:r w:rsidRPr="00074D54">
        <w:t xml:space="preserve"> and the consumer. The notes will also provide guidance on healthcare choices for consumers.</w:t>
      </w:r>
      <w:r w:rsidRPr="00854013">
        <w:t xml:space="preserve"> </w:t>
      </w:r>
    </w:p>
    <w:p w14:paraId="10BD6325" w14:textId="77777777" w:rsidR="00555F56" w:rsidRPr="00074D54" w:rsidRDefault="00555F56" w:rsidP="008D1C3F">
      <w:pPr>
        <w:pStyle w:val="N1"/>
      </w:pPr>
      <w:r w:rsidRPr="00360531">
        <w:t xml:space="preserve">The Committee has summarised </w:t>
      </w:r>
      <w:r w:rsidRPr="00074D54">
        <w:t xml:space="preserve">its recommendations below. The complete recommendations (and the accompanying rationales) for all items can be found in Sections 5 and 6. </w:t>
      </w:r>
    </w:p>
    <w:p w14:paraId="4C913DEF" w14:textId="77777777" w:rsidR="00555F56" w:rsidRPr="00074D54" w:rsidRDefault="00555F56" w:rsidP="005670CF">
      <w:pPr>
        <w:pStyle w:val="Heading2numbered"/>
      </w:pPr>
      <w:bookmarkStart w:id="14" w:name="_Toc522396591"/>
      <w:bookmarkStart w:id="15" w:name="_Toc525816032"/>
      <w:bookmarkStart w:id="16" w:name="_Toc498516932"/>
      <w:r w:rsidRPr="00074D54">
        <w:lastRenderedPageBreak/>
        <w:t>Vitamin B12 items</w:t>
      </w:r>
      <w:bookmarkEnd w:id="14"/>
      <w:bookmarkEnd w:id="15"/>
    </w:p>
    <w:p w14:paraId="7B01DC34" w14:textId="77777777" w:rsidR="00555F56" w:rsidRPr="00854013" w:rsidRDefault="00555F56" w:rsidP="00555F56">
      <w:pPr>
        <w:pStyle w:val="N1"/>
      </w:pPr>
      <w:r w:rsidRPr="00074D54">
        <w:t xml:space="preserve">The Committee made </w:t>
      </w:r>
      <w:r w:rsidR="000F1311">
        <w:t>four</w:t>
      </w:r>
      <w:r w:rsidRPr="00074D54">
        <w:t xml:space="preserve"> key recommendations regarding these items.</w:t>
      </w:r>
      <w:r w:rsidRPr="00854013">
        <w:t xml:space="preserve"> </w:t>
      </w:r>
    </w:p>
    <w:p w14:paraId="1169A3B1" w14:textId="1DDAA519" w:rsidR="00C24A84" w:rsidRPr="00074D54" w:rsidRDefault="00555F56" w:rsidP="00555F56">
      <w:pPr>
        <w:pStyle w:val="N1"/>
      </w:pPr>
      <w:r w:rsidRPr="00360531">
        <w:t xml:space="preserve">Firstly, </w:t>
      </w:r>
      <w:r w:rsidRPr="00074D54">
        <w:t xml:space="preserve">to match the </w:t>
      </w:r>
      <w:r w:rsidR="004C280C">
        <w:t xml:space="preserve">frequency </w:t>
      </w:r>
      <w:r w:rsidRPr="00074D54">
        <w:t xml:space="preserve">restriction that is currently in place for the serum vitamin B12 item (66838), the Committee recommended applying </w:t>
      </w:r>
      <w:r w:rsidR="00EC44DC">
        <w:t>a</w:t>
      </w:r>
      <w:r w:rsidRPr="00074D54">
        <w:t xml:space="preserve"> 12-month frequency restriction to the </w:t>
      </w:r>
      <w:r w:rsidR="00EC44DC">
        <w:t xml:space="preserve">quantification </w:t>
      </w:r>
      <w:r w:rsidRPr="00074D54">
        <w:t>vitamin B12 marker</w:t>
      </w:r>
      <w:r w:rsidR="00EC44DC">
        <w:t>s</w:t>
      </w:r>
      <w:r w:rsidRPr="00074D54">
        <w:t xml:space="preserve"> item (66839), </w:t>
      </w:r>
      <w:r w:rsidR="00254EA4">
        <w:t xml:space="preserve">unless the previous test was abnormal and below the laboratory reference limits for vitamin B12 (in order to confirm vitamin B12 deficiency when an initial vitamin B12 result is low). </w:t>
      </w:r>
    </w:p>
    <w:p w14:paraId="1CB966E3" w14:textId="77777777" w:rsidR="00555F56" w:rsidRDefault="00555F56" w:rsidP="00555F56">
      <w:pPr>
        <w:pStyle w:val="N1"/>
      </w:pPr>
      <w:r w:rsidRPr="00074D54">
        <w:t>Secondly, the Committee recommended changing the explanatory notes for items 66838 and 66839 to stipulate that lethargy/tiredness alone is not an adequate or appropriate indication for any form of vitamin B12 testing.</w:t>
      </w:r>
    </w:p>
    <w:p w14:paraId="0FACE50A" w14:textId="77777777" w:rsidR="00EC44DC" w:rsidRPr="00074D54" w:rsidRDefault="00EC44DC" w:rsidP="00555F56">
      <w:pPr>
        <w:pStyle w:val="N1"/>
      </w:pPr>
      <w:r>
        <w:t xml:space="preserve">The Committee also recommended </w:t>
      </w:r>
      <w:r w:rsidR="00A96054">
        <w:t>the Department, in partnership with the Royal College of Pathologists of Australasia establish</w:t>
      </w:r>
      <w:r>
        <w:t xml:space="preserve"> national harmonised se</w:t>
      </w:r>
      <w:r w:rsidR="00A96054">
        <w:t>rum vitamin B12 decision limits</w:t>
      </w:r>
      <w:r w:rsidR="008A5B60">
        <w:t xml:space="preserve">, although </w:t>
      </w:r>
      <w:r w:rsidR="00492A67">
        <w:t xml:space="preserve">members </w:t>
      </w:r>
      <w:r w:rsidR="008A5B60">
        <w:t>recognised this would be difficult. The Committee also recommended</w:t>
      </w:r>
      <w:r w:rsidR="00A96054">
        <w:t xml:space="preserve"> provid</w:t>
      </w:r>
      <w:r w:rsidR="008A5B60">
        <w:t>ing</w:t>
      </w:r>
      <w:r w:rsidR="00A96054">
        <w:t xml:space="preserve"> both</w:t>
      </w:r>
      <w:r>
        <w:t xml:space="preserve"> </w:t>
      </w:r>
      <w:r w:rsidR="006C31FB">
        <w:t>requester</w:t>
      </w:r>
      <w:r>
        <w:t xml:space="preserve"> and consumer education to </w:t>
      </w:r>
      <w:r w:rsidR="00A96054">
        <w:t>improve appropriate testing.</w:t>
      </w:r>
    </w:p>
    <w:p w14:paraId="76DB6A8D" w14:textId="10F42BBE" w:rsidR="00555F56" w:rsidRPr="00854013" w:rsidRDefault="00555F56" w:rsidP="00555F56">
      <w:pPr>
        <w:pStyle w:val="N1"/>
      </w:pPr>
      <w:r w:rsidRPr="00074D54">
        <w:t>Finally, if the</w:t>
      </w:r>
      <w:r w:rsidR="007E4F02">
        <w:t>se</w:t>
      </w:r>
      <w:r w:rsidRPr="00074D54">
        <w:t xml:space="preserve"> combined requesting process</w:t>
      </w:r>
      <w:r w:rsidR="0075092F">
        <w:t>es</w:t>
      </w:r>
      <w:r w:rsidR="00A96054">
        <w:t>,</w:t>
      </w:r>
      <w:r w:rsidRPr="00074D54">
        <w:t xml:space="preserve"> and </w:t>
      </w:r>
      <w:r w:rsidR="006C31FB">
        <w:t>requester</w:t>
      </w:r>
      <w:r w:rsidR="00EC44DC">
        <w:t xml:space="preserve"> and consumer </w:t>
      </w:r>
      <w:r w:rsidRPr="00074D54">
        <w:t>education strategies</w:t>
      </w:r>
      <w:r w:rsidR="00A96054">
        <w:t>,</w:t>
      </w:r>
      <w:r w:rsidRPr="00074D54">
        <w:t xml:space="preserve"> prove insufficient</w:t>
      </w:r>
      <w:r w:rsidR="00990F02">
        <w:t xml:space="preserve"> to reduce clinically ambiguous requesting for vitamin B12 testing</w:t>
      </w:r>
      <w:r w:rsidR="00B0749B">
        <w:t xml:space="preserve">, </w:t>
      </w:r>
      <w:r w:rsidR="00A96054">
        <w:t>members</w:t>
      </w:r>
      <w:r w:rsidR="0075092F">
        <w:t xml:space="preserve"> then</w:t>
      </w:r>
      <w:r w:rsidRPr="00074D54">
        <w:t xml:space="preserve"> recommended the consideration of CDS for requesting of vitamin B12 testing.</w:t>
      </w:r>
    </w:p>
    <w:p w14:paraId="5A938CB8" w14:textId="77777777" w:rsidR="00555F56" w:rsidRPr="00360531" w:rsidRDefault="00555F56" w:rsidP="005670CF">
      <w:pPr>
        <w:pStyle w:val="Heading2numbered"/>
      </w:pPr>
      <w:bookmarkStart w:id="17" w:name="_Toc522396592"/>
      <w:bookmarkStart w:id="18" w:name="_Toc525816033"/>
      <w:r w:rsidRPr="00854013">
        <w:t>Iron studies items</w:t>
      </w:r>
      <w:bookmarkEnd w:id="17"/>
      <w:bookmarkEnd w:id="18"/>
    </w:p>
    <w:p w14:paraId="698A6574" w14:textId="77777777" w:rsidR="00555F56" w:rsidRPr="00854013" w:rsidRDefault="00555F56" w:rsidP="00555F56">
      <w:pPr>
        <w:pStyle w:val="N1"/>
      </w:pPr>
      <w:r w:rsidRPr="00074D54">
        <w:t>The Committee made four key recommendations for iron studies items.</w:t>
      </w:r>
      <w:r w:rsidRPr="00854013">
        <w:t xml:space="preserve"> </w:t>
      </w:r>
    </w:p>
    <w:p w14:paraId="7D630195" w14:textId="77777777" w:rsidR="00BC4704" w:rsidRDefault="00BC4704" w:rsidP="00BC4704">
      <w:pPr>
        <w:pStyle w:val="NormalBulleted"/>
        <w:numPr>
          <w:ilvl w:val="0"/>
          <w:numId w:val="0"/>
        </w:numPr>
      </w:pPr>
      <w:r w:rsidRPr="00854013">
        <w:t>Firstly, it recommended</w:t>
      </w:r>
      <w:r w:rsidRPr="00360531">
        <w:t xml:space="preserve"> </w:t>
      </w:r>
      <w:r>
        <w:rPr>
          <w:lang w:val="en-GB"/>
        </w:rPr>
        <w:t xml:space="preserve">restructuring and relabelling existing iron studies and ferritin testing items into three items: an </w:t>
      </w:r>
      <w:r>
        <w:rPr>
          <w:lang w:val="en-AU"/>
        </w:rPr>
        <w:t xml:space="preserve">‘iron overload studies’ item, an ‘iron deficiency studies’ item and an ‘exception’ item to </w:t>
      </w:r>
      <w:r w:rsidRPr="001A4A4C">
        <w:rPr>
          <w:lang w:val="en-GB"/>
        </w:rPr>
        <w:t xml:space="preserve">allow testing of full iron studies </w:t>
      </w:r>
      <w:r>
        <w:rPr>
          <w:lang w:val="en-GB"/>
        </w:rPr>
        <w:t>when there is evidence t</w:t>
      </w:r>
      <w:r w:rsidRPr="001A4A4C">
        <w:rPr>
          <w:lang w:val="en-GB"/>
        </w:rPr>
        <w:t xml:space="preserve">hat ferritin alone </w:t>
      </w:r>
      <w:r>
        <w:rPr>
          <w:lang w:val="en-GB"/>
        </w:rPr>
        <w:t>is</w:t>
      </w:r>
      <w:r w:rsidRPr="001A4A4C">
        <w:rPr>
          <w:lang w:val="en-GB"/>
        </w:rPr>
        <w:t xml:space="preserve"> an unreliable indicator of iron </w:t>
      </w:r>
      <w:r>
        <w:rPr>
          <w:lang w:val="en-GB"/>
        </w:rPr>
        <w:t>status</w:t>
      </w:r>
      <w:r w:rsidRPr="001A4A4C">
        <w:rPr>
          <w:lang w:val="en-GB"/>
        </w:rPr>
        <w:t>.</w:t>
      </w:r>
      <w:r w:rsidRPr="00074D54">
        <w:t xml:space="preserve"> These changes are intended to provide clarity for clinicians about which item to use when testing for suspected iron deficiency or iron overload.</w:t>
      </w:r>
    </w:p>
    <w:p w14:paraId="5A40A74A" w14:textId="7CC10F91" w:rsidR="00BC4704" w:rsidRDefault="00CA7B21" w:rsidP="00BC4704">
      <w:pPr>
        <w:pStyle w:val="N1"/>
      </w:pPr>
      <w:r>
        <w:t>T</w:t>
      </w:r>
      <w:r w:rsidR="00BC4704" w:rsidRPr="00074D54">
        <w:t xml:space="preserve">he Committee </w:t>
      </w:r>
      <w:r>
        <w:t xml:space="preserve">also </w:t>
      </w:r>
      <w:r w:rsidR="00BC4704" w:rsidRPr="00074D54">
        <w:t xml:space="preserve">recommended </w:t>
      </w:r>
      <w:r w:rsidR="00BC4704">
        <w:t>making ‘iron deficiency studies’ the default iron test</w:t>
      </w:r>
      <w:r w:rsidR="00BC4704" w:rsidRPr="00074D54">
        <w:t>, unless the request form indicates that the clinical suspicion is iron overload</w:t>
      </w:r>
      <w:r w:rsidR="00BC4704">
        <w:t xml:space="preserve">; </w:t>
      </w:r>
      <w:r w:rsidR="00734A82">
        <w:t xml:space="preserve">and </w:t>
      </w:r>
      <w:r w:rsidR="00BC4704">
        <w:t>making iron overload studies pathologist-determinable under certain conditions</w:t>
      </w:r>
      <w:r w:rsidR="00734A82">
        <w:t>.</w:t>
      </w:r>
    </w:p>
    <w:p w14:paraId="7D5EACF4" w14:textId="157F1C33" w:rsidR="00555F56" w:rsidRPr="00CA7B21" w:rsidRDefault="00CA7B21" w:rsidP="00CA7B21">
      <w:pPr>
        <w:pStyle w:val="NormalBulleted"/>
        <w:numPr>
          <w:ilvl w:val="0"/>
          <w:numId w:val="0"/>
        </w:numPr>
        <w:rPr>
          <w:lang w:val="en-GB"/>
        </w:rPr>
      </w:pPr>
      <w:r>
        <w:rPr>
          <w:lang w:val="en-GB"/>
        </w:rPr>
        <w:t>Finally, t</w:t>
      </w:r>
      <w:r w:rsidR="00BC4704">
        <w:rPr>
          <w:lang w:val="en-GB"/>
        </w:rPr>
        <w:t>he Committee</w:t>
      </w:r>
      <w:r>
        <w:rPr>
          <w:lang w:val="en-GB"/>
        </w:rPr>
        <w:t xml:space="preserve"> recommended</w:t>
      </w:r>
      <w:r w:rsidR="00BC4704">
        <w:rPr>
          <w:lang w:val="en-GB"/>
        </w:rPr>
        <w:t xml:space="preserve"> measures to support appropriate request</w:t>
      </w:r>
      <w:r w:rsidR="0075092F">
        <w:rPr>
          <w:lang w:val="en-GB"/>
        </w:rPr>
        <w:t>s</w:t>
      </w:r>
      <w:r w:rsidR="00BC4704">
        <w:rPr>
          <w:lang w:val="en-GB"/>
        </w:rPr>
        <w:t xml:space="preserve"> by educating </w:t>
      </w:r>
      <w:r w:rsidR="006C31FB">
        <w:rPr>
          <w:lang w:val="en-GB"/>
        </w:rPr>
        <w:t>requester</w:t>
      </w:r>
      <w:r w:rsidR="00BC4704">
        <w:rPr>
          <w:lang w:val="en-GB"/>
        </w:rPr>
        <w:t>s and enabling provider feedback. The outcome of these changes should be revisited 24 months after implementation t</w:t>
      </w:r>
      <w:r w:rsidR="00BC4704">
        <w:t xml:space="preserve">o assess their effect and, if </w:t>
      </w:r>
      <w:r w:rsidR="00BC4704">
        <w:rPr>
          <w:lang w:val="en-GB"/>
        </w:rPr>
        <w:t xml:space="preserve">needed, to </w:t>
      </w:r>
      <w:r w:rsidR="00BC4704" w:rsidRPr="00074D54">
        <w:rPr>
          <w:lang w:val="en-GB"/>
        </w:rPr>
        <w:t xml:space="preserve">consider </w:t>
      </w:r>
      <w:r w:rsidR="00BC4704">
        <w:rPr>
          <w:lang w:val="en-GB"/>
        </w:rPr>
        <w:t xml:space="preserve">strengthening </w:t>
      </w:r>
      <w:r w:rsidR="00BC4704" w:rsidRPr="00074D54">
        <w:rPr>
          <w:lang w:val="en-GB"/>
        </w:rPr>
        <w:t>CDS</w:t>
      </w:r>
      <w:r w:rsidR="00BC4704">
        <w:rPr>
          <w:lang w:val="en-GB"/>
        </w:rPr>
        <w:t xml:space="preserve"> measures</w:t>
      </w:r>
      <w:r w:rsidR="00BC4704" w:rsidRPr="00074D54">
        <w:rPr>
          <w:lang w:val="en-GB"/>
        </w:rPr>
        <w:t xml:space="preserve"> for requesting of </w:t>
      </w:r>
      <w:r w:rsidR="00BC4704">
        <w:rPr>
          <w:lang w:val="en-GB"/>
        </w:rPr>
        <w:t xml:space="preserve">these </w:t>
      </w:r>
      <w:r w:rsidR="00BC4704" w:rsidRPr="00074D54">
        <w:rPr>
          <w:lang w:val="en-GB"/>
        </w:rPr>
        <w:t>items</w:t>
      </w:r>
      <w:r>
        <w:rPr>
          <w:lang w:val="en-GB"/>
        </w:rPr>
        <w:t>.</w:t>
      </w:r>
    </w:p>
    <w:p w14:paraId="341DFC23" w14:textId="77777777" w:rsidR="00555F56" w:rsidRPr="00360531" w:rsidRDefault="00555F56" w:rsidP="005670CF">
      <w:pPr>
        <w:pStyle w:val="Heading2numbered"/>
      </w:pPr>
      <w:bookmarkStart w:id="19" w:name="_Toc522396593"/>
      <w:bookmarkStart w:id="20" w:name="_Toc525816034"/>
      <w:r w:rsidRPr="00854013">
        <w:t>Folate testing</w:t>
      </w:r>
      <w:bookmarkEnd w:id="19"/>
      <w:bookmarkEnd w:id="20"/>
    </w:p>
    <w:p w14:paraId="7D5E88FA" w14:textId="77777777" w:rsidR="00555F56" w:rsidRPr="00854013" w:rsidRDefault="00555F56" w:rsidP="00555F56">
      <w:pPr>
        <w:pStyle w:val="N1"/>
      </w:pPr>
      <w:r w:rsidRPr="00074D54">
        <w:t>The Committee made three key recommendations for folate testing (item 66840).</w:t>
      </w:r>
      <w:r w:rsidRPr="00854013">
        <w:t xml:space="preserve"> </w:t>
      </w:r>
    </w:p>
    <w:p w14:paraId="2EB9DCDA" w14:textId="58B63A03" w:rsidR="00555F56" w:rsidRPr="00074D54" w:rsidRDefault="00555F56" w:rsidP="00555F56">
      <w:pPr>
        <w:pStyle w:val="N1"/>
      </w:pPr>
      <w:r w:rsidRPr="00854013">
        <w:t>Firstly</w:t>
      </w:r>
      <w:r w:rsidRPr="00360531">
        <w:t>, it recommended changing the item descriptor to provi</w:t>
      </w:r>
      <w:r w:rsidRPr="00074D54">
        <w:t xml:space="preserve">de clarity regarding the circumstances in which testing of folate levels should be requested, and to reduce the </w:t>
      </w:r>
      <w:r w:rsidR="00206FEA">
        <w:t>habitual</w:t>
      </w:r>
      <w:r w:rsidRPr="00074D54">
        <w:t xml:space="preserve"> requesting of folate testing alongside vitamin B12 testing. This recommendation included limiting the </w:t>
      </w:r>
      <w:r w:rsidR="008C2EF5">
        <w:t>testing of folate</w:t>
      </w:r>
      <w:r w:rsidR="009F781F">
        <w:t xml:space="preserve"> and, if required, red cell folate testing,</w:t>
      </w:r>
      <w:r w:rsidR="00B0749B">
        <w:t xml:space="preserve"> </w:t>
      </w:r>
      <w:r w:rsidR="008C2EF5">
        <w:t>to those with</w:t>
      </w:r>
      <w:r w:rsidRPr="00074D54">
        <w:t xml:space="preserve"> malabsorption </w:t>
      </w:r>
      <w:r w:rsidR="004532C2">
        <w:t>condition</w:t>
      </w:r>
      <w:r w:rsidRPr="00074D54">
        <w:t>s</w:t>
      </w:r>
      <w:r w:rsidR="0075092F">
        <w:t>,</w:t>
      </w:r>
      <w:r w:rsidR="00B0749B">
        <w:t xml:space="preserve"> </w:t>
      </w:r>
      <w:r w:rsidR="00734A82">
        <w:t xml:space="preserve">malnutrition </w:t>
      </w:r>
      <w:r w:rsidR="0075092F">
        <w:t xml:space="preserve">or </w:t>
      </w:r>
      <w:r w:rsidR="004532C2">
        <w:t>macrocytosis</w:t>
      </w:r>
      <w:r w:rsidR="00206FEA">
        <w:t xml:space="preserve"> by including this information in the descriptor and</w:t>
      </w:r>
      <w:r w:rsidR="00E56F58" w:rsidRPr="00E56F58">
        <w:t xml:space="preserve"> </w:t>
      </w:r>
      <w:r w:rsidR="00E56F58">
        <w:t xml:space="preserve">specifying which groups of patients should be given folate supplements with </w:t>
      </w:r>
      <w:r w:rsidR="00E56F58">
        <w:lastRenderedPageBreak/>
        <w:t>no need for testing (such as pregnant women, those planning pregnancy and those receiving methotrexate therapy)</w:t>
      </w:r>
      <w:r w:rsidR="00206FEA">
        <w:t xml:space="preserve"> in an explanatory note</w:t>
      </w:r>
      <w:r w:rsidRPr="00074D54">
        <w:t xml:space="preserve">. </w:t>
      </w:r>
    </w:p>
    <w:p w14:paraId="2B5A5EC1" w14:textId="5DE06308" w:rsidR="00555F56" w:rsidRDefault="00555F56" w:rsidP="00555F56">
      <w:pPr>
        <w:pStyle w:val="N1"/>
      </w:pPr>
      <w:r w:rsidRPr="00074D54">
        <w:t>Secondly, it recommended applying a 12-month frequency restriction to folate testing (item 66840)</w:t>
      </w:r>
      <w:r w:rsidR="00734A82">
        <w:t xml:space="preserve">, unless the previous test was abnormal and below the laboratory reference limits for folate (in order to confirm folate deficiency when an initial folate result is low). </w:t>
      </w:r>
    </w:p>
    <w:p w14:paraId="44F1D77F" w14:textId="77777777" w:rsidR="00206FEA" w:rsidRPr="00074D54" w:rsidRDefault="00206FEA" w:rsidP="00555F56">
      <w:pPr>
        <w:pStyle w:val="N1"/>
      </w:pPr>
      <w:r>
        <w:t>The Committee also recommended e</w:t>
      </w:r>
      <w:r w:rsidRPr="00074D54">
        <w:t>stablish</w:t>
      </w:r>
      <w:r>
        <w:t>ing</w:t>
      </w:r>
      <w:r w:rsidRPr="00074D54">
        <w:t xml:space="preserve"> nationally harmonised serum folate reference </w:t>
      </w:r>
      <w:r>
        <w:t>limits</w:t>
      </w:r>
      <w:r w:rsidRPr="00074D54">
        <w:t xml:space="preserve"> to provide </w:t>
      </w:r>
      <w:r>
        <w:t xml:space="preserve">a </w:t>
      </w:r>
      <w:r w:rsidRPr="00074D54">
        <w:t>consistent definition of what constitute</w:t>
      </w:r>
      <w:r>
        <w:t>s</w:t>
      </w:r>
      <w:r w:rsidRPr="00074D54">
        <w:t xml:space="preserve"> a low or equ</w:t>
      </w:r>
      <w:r>
        <w:t xml:space="preserve">ivocal serum folate result. </w:t>
      </w:r>
    </w:p>
    <w:p w14:paraId="0CE5049F" w14:textId="04440F83" w:rsidR="00555F56" w:rsidRPr="00854013" w:rsidRDefault="00206FEA" w:rsidP="00555F56">
      <w:pPr>
        <w:pStyle w:val="N1"/>
      </w:pPr>
      <w:r>
        <w:t>Finally, the Committee recommended measures to support appropriate request</w:t>
      </w:r>
      <w:r w:rsidR="009F781F">
        <w:t>s</w:t>
      </w:r>
      <w:r>
        <w:t xml:space="preserve"> by educating </w:t>
      </w:r>
      <w:r w:rsidR="006C31FB">
        <w:t>requester</w:t>
      </w:r>
      <w:r>
        <w:t>s and encouraging provider feedback. However, i</w:t>
      </w:r>
      <w:r w:rsidR="005E6078" w:rsidRPr="00074D54">
        <w:t>f the</w:t>
      </w:r>
      <w:r>
        <w:t>se</w:t>
      </w:r>
      <w:r w:rsidR="005E6078" w:rsidRPr="00074D54">
        <w:t xml:space="preserve"> combined requesting process</w:t>
      </w:r>
      <w:r w:rsidR="009F781F">
        <w:t>es</w:t>
      </w:r>
      <w:r w:rsidR="005E6078" w:rsidRPr="00074D54">
        <w:t xml:space="preserve"> and education strategies prove insufficient</w:t>
      </w:r>
      <w:r w:rsidR="00F81645">
        <w:t xml:space="preserve"> to change </w:t>
      </w:r>
      <w:r w:rsidR="006C31FB">
        <w:t>requester</w:t>
      </w:r>
      <w:r w:rsidR="008C2EF5">
        <w:t xml:space="preserve"> behaviour</w:t>
      </w:r>
      <w:r w:rsidR="005E6078" w:rsidRPr="00074D54">
        <w:t>, the</w:t>
      </w:r>
      <w:r>
        <w:t>n members</w:t>
      </w:r>
      <w:r w:rsidR="005E6078" w:rsidRPr="00074D54">
        <w:t xml:space="preserve"> recommended the consideration of CDS for requesting of </w:t>
      </w:r>
      <w:r w:rsidR="00555F56" w:rsidRPr="00074D54">
        <w:t>folate testing</w:t>
      </w:r>
      <w:r w:rsidR="00E56F58">
        <w:t xml:space="preserve"> and consideration of further requesting restrictions</w:t>
      </w:r>
      <w:r w:rsidR="00555F56" w:rsidRPr="00074D54">
        <w:t>.</w:t>
      </w:r>
    </w:p>
    <w:p w14:paraId="48EF074D" w14:textId="77777777" w:rsidR="00555F56" w:rsidRPr="00360531" w:rsidRDefault="00555F56" w:rsidP="005670CF">
      <w:pPr>
        <w:pStyle w:val="Heading2numbered"/>
      </w:pPr>
      <w:bookmarkStart w:id="21" w:name="_Toc522396594"/>
      <w:bookmarkStart w:id="22" w:name="_Toc525816035"/>
      <w:r w:rsidRPr="00854013">
        <w:t>Urine testing</w:t>
      </w:r>
      <w:bookmarkEnd w:id="21"/>
      <w:bookmarkEnd w:id="22"/>
      <w:r w:rsidRPr="00854013">
        <w:t xml:space="preserve"> </w:t>
      </w:r>
    </w:p>
    <w:p w14:paraId="14F7F003" w14:textId="77777777" w:rsidR="0075518B" w:rsidRDefault="00555F56" w:rsidP="00555F56">
      <w:pPr>
        <w:pStyle w:val="N1"/>
      </w:pPr>
      <w:r w:rsidRPr="00074D54">
        <w:t>The Committee made three key recommendations for the urine testing items</w:t>
      </w:r>
      <w:r w:rsidR="00A208B6">
        <w:t xml:space="preserve">. </w:t>
      </w:r>
    </w:p>
    <w:p w14:paraId="06BF712B" w14:textId="77777777" w:rsidR="00A208B6" w:rsidRDefault="00A208B6" w:rsidP="00555F56">
      <w:pPr>
        <w:pStyle w:val="N1"/>
      </w:pPr>
      <w:r>
        <w:t>Firstly, it recommended</w:t>
      </w:r>
      <w:r w:rsidR="00555F56" w:rsidRPr="00854013">
        <w:t xml:space="preserve"> chang</w:t>
      </w:r>
      <w:r>
        <w:t>ing</w:t>
      </w:r>
      <w:r w:rsidR="00555F56" w:rsidRPr="00854013">
        <w:t xml:space="preserve"> the descriptor for item 69333</w:t>
      </w:r>
      <w:r w:rsidR="00555F56" w:rsidRPr="00360531">
        <w:t xml:space="preserve"> to specify that urine testing is only required when symptoms of a urinary </w:t>
      </w:r>
      <w:r w:rsidR="00555F56" w:rsidRPr="00074D54">
        <w:t>tract infection are present (with the exception of specified groups of patients)</w:t>
      </w:r>
      <w:r w:rsidR="000F1311">
        <w:t>.</w:t>
      </w:r>
    </w:p>
    <w:p w14:paraId="79653C6F" w14:textId="2727C3B0" w:rsidR="009F500C" w:rsidRDefault="00A208B6" w:rsidP="009F500C">
      <w:pPr>
        <w:pStyle w:val="N1"/>
      </w:pPr>
      <w:r>
        <w:t>Secondly, it recommended</w:t>
      </w:r>
      <w:r w:rsidR="00555F56" w:rsidRPr="00074D54">
        <w:t xml:space="preserve"> add</w:t>
      </w:r>
      <w:r>
        <w:t>ing</w:t>
      </w:r>
      <w:r w:rsidR="00555F56" w:rsidRPr="00074D54">
        <w:t xml:space="preserve"> an explanatory note to</w:t>
      </w:r>
      <w:r w:rsidR="0075518B">
        <w:t xml:space="preserve"> item 69333 to</w:t>
      </w:r>
      <w:r w:rsidR="00555F56" w:rsidRPr="00074D54">
        <w:t xml:space="preserve"> make </w:t>
      </w:r>
      <w:r w:rsidR="009F781F">
        <w:t xml:space="preserve">it </w:t>
      </w:r>
      <w:r w:rsidR="00555F56" w:rsidRPr="00074D54">
        <w:t>clear that urine microscopy and culture should not be performed in asymptomatic patients (again, with the exception of specified groups of patients)</w:t>
      </w:r>
      <w:r w:rsidR="004131C3">
        <w:t xml:space="preserve"> or </w:t>
      </w:r>
      <w:r w:rsidR="001E0124">
        <w:t xml:space="preserve">as </w:t>
      </w:r>
      <w:r w:rsidR="004131C3">
        <w:t xml:space="preserve">repeat testing </w:t>
      </w:r>
      <w:r w:rsidR="001E0124" w:rsidRPr="008C2EF5">
        <w:t>to check</w:t>
      </w:r>
      <w:r w:rsidR="009F781F">
        <w:t xml:space="preserve"> the</w:t>
      </w:r>
      <w:r w:rsidR="001E0124" w:rsidRPr="008C2EF5">
        <w:t xml:space="preserve"> clearance of</w:t>
      </w:r>
      <w:r w:rsidR="009F781F">
        <w:t xml:space="preserve"> an</w:t>
      </w:r>
      <w:r w:rsidR="001E0124" w:rsidRPr="008C2EF5">
        <w:t xml:space="preserve"> infection in the absence of continuing symptoms</w:t>
      </w:r>
      <w:r w:rsidR="00A966E5" w:rsidRPr="00074D54">
        <w:t>.</w:t>
      </w:r>
    </w:p>
    <w:p w14:paraId="3BCC68E8" w14:textId="4ECC862B" w:rsidR="009F500C" w:rsidRDefault="009F500C" w:rsidP="009F500C">
      <w:pPr>
        <w:pStyle w:val="N1"/>
      </w:pPr>
      <w:r>
        <w:t>The Committee also highlighted the importance of consumer education to raise awareness about the methods used to collect urine sample</w:t>
      </w:r>
      <w:r w:rsidR="009F781F">
        <w:t>s</w:t>
      </w:r>
      <w:r>
        <w:t xml:space="preserve"> and the importance of minimising the possibility of contamination.</w:t>
      </w:r>
    </w:p>
    <w:p w14:paraId="2BE16C6A" w14:textId="4213D3C1" w:rsidR="00555F56" w:rsidRPr="00854013" w:rsidRDefault="00CC7350" w:rsidP="00555F56">
      <w:pPr>
        <w:pStyle w:val="N1"/>
      </w:pPr>
      <w:r>
        <w:t>T</w:t>
      </w:r>
      <w:r w:rsidR="00555F56" w:rsidRPr="00074D54">
        <w:t xml:space="preserve">he </w:t>
      </w:r>
      <w:r w:rsidR="006C31FB">
        <w:t>requester</w:t>
      </w:r>
      <w:r w:rsidR="00830D89">
        <w:t xml:space="preserve"> and consumer education</w:t>
      </w:r>
      <w:r w:rsidR="00555F56" w:rsidRPr="00074D54">
        <w:t xml:space="preserve"> </w:t>
      </w:r>
      <w:r w:rsidR="00830D89">
        <w:t>strategies</w:t>
      </w:r>
      <w:r w:rsidR="00EB6B60">
        <w:t xml:space="preserve"> should be reviewed </w:t>
      </w:r>
      <w:r>
        <w:t xml:space="preserve">12 to 24 months </w:t>
      </w:r>
      <w:r w:rsidR="00EB6B60">
        <w:t>after these changes have been implemented and if they</w:t>
      </w:r>
      <w:r w:rsidR="00106FA6" w:rsidRPr="00074D54">
        <w:t xml:space="preserve"> prove</w:t>
      </w:r>
      <w:r w:rsidR="00555F56" w:rsidRPr="00074D54">
        <w:t xml:space="preserve"> insufficient</w:t>
      </w:r>
      <w:r w:rsidR="00EB6B60">
        <w:t xml:space="preserve"> to reduce </w:t>
      </w:r>
      <w:r w:rsidR="00D530B0">
        <w:t>requesting for urine testing</w:t>
      </w:r>
      <w:r w:rsidR="00555F56" w:rsidRPr="00074D54">
        <w:t>, the</w:t>
      </w:r>
      <w:r>
        <w:t>n further changes may be considered.</w:t>
      </w:r>
    </w:p>
    <w:p w14:paraId="0208FA13" w14:textId="77777777" w:rsidR="00555F56" w:rsidRPr="00854013" w:rsidRDefault="00555F56" w:rsidP="005670CF">
      <w:pPr>
        <w:pStyle w:val="Heading2numbered"/>
      </w:pPr>
      <w:bookmarkStart w:id="23" w:name="_Toc522396595"/>
      <w:bookmarkStart w:id="24" w:name="_Toc525816036"/>
      <w:r w:rsidRPr="00854013">
        <w:t>Vitamin D testing</w:t>
      </w:r>
      <w:bookmarkEnd w:id="23"/>
      <w:bookmarkEnd w:id="24"/>
    </w:p>
    <w:p w14:paraId="2D6E5D08" w14:textId="77777777" w:rsidR="00555F56" w:rsidRPr="00854013" w:rsidRDefault="00106FA6" w:rsidP="00555F56">
      <w:pPr>
        <w:pStyle w:val="Normalpara"/>
        <w:rPr>
          <w:lang w:val="en-GB" w:eastAsia="en-US"/>
        </w:rPr>
      </w:pPr>
      <w:r w:rsidRPr="00074D54">
        <w:rPr>
          <w:lang w:val="en-GB" w:eastAsia="en-US"/>
        </w:rPr>
        <w:t xml:space="preserve">The Committee made </w:t>
      </w:r>
      <w:r w:rsidR="00700711">
        <w:rPr>
          <w:lang w:val="en-GB" w:eastAsia="en-US"/>
        </w:rPr>
        <w:t>a number of</w:t>
      </w:r>
      <w:r w:rsidR="00555F56" w:rsidRPr="00074D54">
        <w:rPr>
          <w:lang w:val="en-GB" w:eastAsia="en-US"/>
        </w:rPr>
        <w:t xml:space="preserve"> key recommendations for vitamin D testing.</w:t>
      </w:r>
      <w:r w:rsidR="00555F56" w:rsidRPr="00854013">
        <w:rPr>
          <w:lang w:val="en-GB" w:eastAsia="en-US"/>
        </w:rPr>
        <w:t xml:space="preserve"> </w:t>
      </w:r>
    </w:p>
    <w:p w14:paraId="7DF3C33D" w14:textId="77777777" w:rsidR="00555F56" w:rsidRPr="00360531" w:rsidRDefault="00555F56" w:rsidP="00555F56">
      <w:pPr>
        <w:pStyle w:val="Normalpara"/>
        <w:rPr>
          <w:lang w:val="en-GB" w:eastAsia="en-US"/>
        </w:rPr>
      </w:pPr>
      <w:r w:rsidRPr="00854013">
        <w:rPr>
          <w:lang w:val="en-GB" w:eastAsia="en-US"/>
        </w:rPr>
        <w:t xml:space="preserve">Firstly, it recommended changing the descriptor for item 66833 to clarify that testing for 25-hydroxyvitamin D should only be undertaken when the patient is at risk of both bone disease and vitamin deficiency. </w:t>
      </w:r>
    </w:p>
    <w:p w14:paraId="0B95E902" w14:textId="77777777" w:rsidR="00555F56" w:rsidRPr="00074D54" w:rsidRDefault="00555F56" w:rsidP="00555F56">
      <w:pPr>
        <w:pStyle w:val="Normalpara"/>
        <w:rPr>
          <w:lang w:val="en-GB" w:eastAsia="en-US"/>
        </w:rPr>
      </w:pPr>
      <w:r w:rsidRPr="00074D54">
        <w:rPr>
          <w:lang w:val="en-GB" w:eastAsia="en-US"/>
        </w:rPr>
        <w:t>Secondly, it recommended creating an explanatory note that details the various conditions and circumstances that may place a patient at risk of bone disease or vitamin D deficiency, therefore warranting testing.</w:t>
      </w:r>
    </w:p>
    <w:p w14:paraId="1118B04B" w14:textId="77777777" w:rsidR="00555F56" w:rsidRPr="00074D54" w:rsidRDefault="00555F56" w:rsidP="00555F56">
      <w:pPr>
        <w:pStyle w:val="Normalpara"/>
        <w:rPr>
          <w:lang w:val="en-GB" w:eastAsia="en-US"/>
        </w:rPr>
      </w:pPr>
      <w:r w:rsidRPr="00074D54">
        <w:rPr>
          <w:lang w:val="en-GB" w:eastAsia="en-US"/>
        </w:rPr>
        <w:t xml:space="preserve">Thirdly, it recommended placing a 12-month frequency restriction on the testing of 25-hydroxyvitamin D. </w:t>
      </w:r>
    </w:p>
    <w:p w14:paraId="7B2FFA6B" w14:textId="09C9507F" w:rsidR="00700711" w:rsidRDefault="00555F56" w:rsidP="00555F56">
      <w:pPr>
        <w:pStyle w:val="Normalpara"/>
        <w:rPr>
          <w:lang w:val="en-GB" w:eastAsia="en-US"/>
        </w:rPr>
      </w:pPr>
      <w:r w:rsidRPr="00074D54">
        <w:rPr>
          <w:lang w:val="en-GB" w:eastAsia="en-US"/>
        </w:rPr>
        <w:t>Fourthly, it recommended creating a new item to allow for additional vitamin D testing in patients with confirmed vitamin D deficiency and</w:t>
      </w:r>
      <w:r w:rsidR="00CD281B">
        <w:rPr>
          <w:lang w:val="en-GB" w:eastAsia="en-US"/>
        </w:rPr>
        <w:t xml:space="preserve"> bone disease</w:t>
      </w:r>
      <w:r w:rsidRPr="00074D54">
        <w:rPr>
          <w:lang w:val="en-GB" w:eastAsia="en-US"/>
        </w:rPr>
        <w:t xml:space="preserve">, with a three-month </w:t>
      </w:r>
      <w:r w:rsidRPr="00074D54">
        <w:rPr>
          <w:lang w:val="en-GB" w:eastAsia="en-US"/>
        </w:rPr>
        <w:lastRenderedPageBreak/>
        <w:t>frequency restrictor.</w:t>
      </w:r>
      <w:r w:rsidR="00734A82">
        <w:rPr>
          <w:lang w:val="en-GB" w:eastAsia="en-US"/>
        </w:rPr>
        <w:t xml:space="preserve"> A repeat test is allowed if the previous test was abnormal and below the laboratory reference limits for vitamin D (in order to confirm vit</w:t>
      </w:r>
      <w:r w:rsidR="006751CA">
        <w:rPr>
          <w:lang w:val="en-GB" w:eastAsia="en-US"/>
        </w:rPr>
        <w:t>amin D deficiency when the previous</w:t>
      </w:r>
      <w:r w:rsidR="00734A82">
        <w:rPr>
          <w:lang w:val="en-GB" w:eastAsia="en-US"/>
        </w:rPr>
        <w:t xml:space="preserve"> vitamin D result is low). </w:t>
      </w:r>
    </w:p>
    <w:p w14:paraId="7AA6DE84" w14:textId="77777777" w:rsidR="00555F56" w:rsidRPr="00074D54" w:rsidRDefault="00700711" w:rsidP="00555F56">
      <w:pPr>
        <w:pStyle w:val="Normalpara"/>
        <w:rPr>
          <w:lang w:val="en-GB" w:eastAsia="en-US"/>
        </w:rPr>
      </w:pPr>
      <w:r>
        <w:rPr>
          <w:lang w:val="en-GB" w:eastAsia="en-US"/>
        </w:rPr>
        <w:t>The Committee</w:t>
      </w:r>
      <w:r w:rsidR="006A7B95">
        <w:rPr>
          <w:lang w:val="en-GB" w:eastAsia="en-US"/>
        </w:rPr>
        <w:t xml:space="preserve"> noted that there was a need to develop a </w:t>
      </w:r>
      <w:r w:rsidR="00C5356C">
        <w:rPr>
          <w:lang w:val="en-GB" w:eastAsia="en-US"/>
        </w:rPr>
        <w:t xml:space="preserve">clear </w:t>
      </w:r>
      <w:r w:rsidR="006A7B95">
        <w:rPr>
          <w:lang w:val="en-GB" w:eastAsia="en-US"/>
        </w:rPr>
        <w:t xml:space="preserve">national standard for </w:t>
      </w:r>
      <w:r w:rsidR="00053EC0">
        <w:rPr>
          <w:lang w:val="en-GB" w:eastAsia="en-US"/>
        </w:rPr>
        <w:t>defining serum levels of vitamin D deficiency. The Committee recommended that this item be aligned with the national standard once developed.</w:t>
      </w:r>
    </w:p>
    <w:p w14:paraId="6EB373B3" w14:textId="0DAF71AD" w:rsidR="00106FA6" w:rsidRPr="00854013" w:rsidRDefault="00513EA2" w:rsidP="00555F56">
      <w:pPr>
        <w:pStyle w:val="Normalpara"/>
        <w:rPr>
          <w:lang w:val="en-GB" w:eastAsia="en-US"/>
        </w:rPr>
      </w:pPr>
      <w:r>
        <w:t>The Committee also recommended measures to support appropriate request</w:t>
      </w:r>
      <w:r w:rsidR="00813106">
        <w:t>s</w:t>
      </w:r>
      <w:r>
        <w:t xml:space="preserve"> by educating </w:t>
      </w:r>
      <w:r w:rsidR="006C31FB">
        <w:t>requester</w:t>
      </w:r>
      <w:r>
        <w:t xml:space="preserve">s and </w:t>
      </w:r>
      <w:r w:rsidR="00325101">
        <w:t xml:space="preserve">consumers. However, if </w:t>
      </w:r>
      <w:r w:rsidR="006C31FB">
        <w:rPr>
          <w:lang w:val="en-GB" w:eastAsia="en-US"/>
        </w:rPr>
        <w:t>requester</w:t>
      </w:r>
      <w:r w:rsidR="00700711">
        <w:rPr>
          <w:lang w:val="en-GB" w:eastAsia="en-US"/>
        </w:rPr>
        <w:t xml:space="preserve"> and consumer education strategies</w:t>
      </w:r>
      <w:r w:rsidR="00106FA6" w:rsidRPr="00074D54">
        <w:rPr>
          <w:lang w:val="en-GB" w:eastAsia="en-US"/>
        </w:rPr>
        <w:t xml:space="preserve"> prove </w:t>
      </w:r>
      <w:r w:rsidR="005E6078" w:rsidRPr="00074D54">
        <w:rPr>
          <w:lang w:val="en-GB" w:eastAsia="en-US"/>
        </w:rPr>
        <w:t>insufficient</w:t>
      </w:r>
      <w:r w:rsidR="003D38DD">
        <w:rPr>
          <w:lang w:val="en-GB" w:eastAsia="en-US"/>
        </w:rPr>
        <w:t xml:space="preserve"> to change behaviour</w:t>
      </w:r>
      <w:r>
        <w:rPr>
          <w:lang w:val="en-GB" w:eastAsia="en-US"/>
        </w:rPr>
        <w:t xml:space="preserve"> then the Committee</w:t>
      </w:r>
      <w:r w:rsidR="005E6078" w:rsidRPr="00074D54">
        <w:rPr>
          <w:lang w:val="en-GB" w:eastAsia="en-US"/>
        </w:rPr>
        <w:t xml:space="preserve"> recommended the consideration of CDS for vitamin D testing</w:t>
      </w:r>
      <w:r w:rsidR="00A949FC">
        <w:rPr>
          <w:lang w:val="en-GB" w:eastAsia="en-US"/>
        </w:rPr>
        <w:t>.</w:t>
      </w:r>
    </w:p>
    <w:p w14:paraId="756A7CB4" w14:textId="7B776E25" w:rsidR="00555F56" w:rsidRPr="00074D54" w:rsidRDefault="00555F56" w:rsidP="00555F56">
      <w:pPr>
        <w:pStyle w:val="N1"/>
      </w:pPr>
      <w:r w:rsidRPr="00854013">
        <w:rPr>
          <w:lang w:eastAsia="en-US"/>
        </w:rPr>
        <w:t>F</w:t>
      </w:r>
      <w:r w:rsidR="00325101">
        <w:rPr>
          <w:lang w:eastAsia="en-US"/>
        </w:rPr>
        <w:t xml:space="preserve">inally, the Committee </w:t>
      </w:r>
      <w:r w:rsidRPr="00854013">
        <w:rPr>
          <w:lang w:eastAsia="en-US"/>
        </w:rPr>
        <w:t xml:space="preserve">recommended </w:t>
      </w:r>
      <w:r w:rsidR="00BC7AF0">
        <w:rPr>
          <w:lang w:eastAsia="en-US"/>
        </w:rPr>
        <w:t>a rapid</w:t>
      </w:r>
      <w:r w:rsidRPr="00854013">
        <w:rPr>
          <w:lang w:eastAsia="en-US"/>
        </w:rPr>
        <w:t xml:space="preserve"> review of vitamin D testing</w:t>
      </w:r>
      <w:r w:rsidR="009645FB">
        <w:rPr>
          <w:lang w:eastAsia="en-US"/>
        </w:rPr>
        <w:t>,</w:t>
      </w:r>
      <w:r w:rsidR="00E36167">
        <w:rPr>
          <w:lang w:eastAsia="en-US"/>
        </w:rPr>
        <w:t xml:space="preserve"> especially in regards to </w:t>
      </w:r>
      <w:r w:rsidR="00053EC0">
        <w:rPr>
          <w:lang w:eastAsia="en-US"/>
        </w:rPr>
        <w:t>defined levels of deficiency</w:t>
      </w:r>
      <w:r w:rsidR="00325101">
        <w:rPr>
          <w:lang w:eastAsia="en-US"/>
        </w:rPr>
        <w:t xml:space="preserve"> and retesting intervals</w:t>
      </w:r>
      <w:r w:rsidRPr="00854013">
        <w:rPr>
          <w:lang w:eastAsia="en-US"/>
        </w:rPr>
        <w:t xml:space="preserve"> with the intention</w:t>
      </w:r>
      <w:r w:rsidRPr="00360531">
        <w:rPr>
          <w:lang w:eastAsia="en-US"/>
        </w:rPr>
        <w:t xml:space="preserve"> of making recommendations based upon current research. </w:t>
      </w:r>
    </w:p>
    <w:p w14:paraId="113F0E23" w14:textId="77777777" w:rsidR="00555F56" w:rsidRPr="00074D54" w:rsidRDefault="00555F56" w:rsidP="005670CF">
      <w:pPr>
        <w:pStyle w:val="Heading2numbered"/>
      </w:pPr>
      <w:bookmarkStart w:id="25" w:name="_Toc522396596"/>
      <w:bookmarkStart w:id="26" w:name="_Toc525816037"/>
      <w:r w:rsidRPr="00074D54">
        <w:t>Prostate-specific antigen testing</w:t>
      </w:r>
      <w:bookmarkEnd w:id="25"/>
      <w:bookmarkEnd w:id="26"/>
      <w:r w:rsidRPr="00074D54">
        <w:t xml:space="preserve"> </w:t>
      </w:r>
    </w:p>
    <w:p w14:paraId="3B0E1B39" w14:textId="77777777" w:rsidR="00A949FC" w:rsidRDefault="00555F56" w:rsidP="00555F56">
      <w:pPr>
        <w:pStyle w:val="Normalpara"/>
        <w:rPr>
          <w:lang w:val="en-GB" w:eastAsia="en-US"/>
        </w:rPr>
      </w:pPr>
      <w:r w:rsidRPr="00074D54">
        <w:rPr>
          <w:lang w:val="en-GB" w:eastAsia="en-US"/>
        </w:rPr>
        <w:t>The Committee’s recommendations for prostate-specific antigen (PSA) testing propose item descriptor changes for the two screening items (66655 and 66659)</w:t>
      </w:r>
      <w:r w:rsidR="003046F7">
        <w:rPr>
          <w:lang w:val="en-GB" w:eastAsia="en-US"/>
        </w:rPr>
        <w:t xml:space="preserve"> and a frequency restriction for item 66655</w:t>
      </w:r>
      <w:r w:rsidRPr="00074D54">
        <w:rPr>
          <w:lang w:val="en-GB" w:eastAsia="en-US"/>
        </w:rPr>
        <w:t xml:space="preserve">, that reflect current recommendations on PSA testing created by the Prostate Cancer Foundation </w:t>
      </w:r>
      <w:r w:rsidR="003046F7">
        <w:rPr>
          <w:lang w:val="en-GB" w:eastAsia="en-US"/>
        </w:rPr>
        <w:t xml:space="preserve">and </w:t>
      </w:r>
      <w:r w:rsidR="003046F7" w:rsidRPr="00074D54">
        <w:rPr>
          <w:lang w:val="en-GB" w:eastAsia="en-US"/>
        </w:rPr>
        <w:t xml:space="preserve">the Cancer Council of Australia </w:t>
      </w:r>
      <w:r w:rsidRPr="00074D54">
        <w:rPr>
          <w:lang w:val="en-GB" w:eastAsia="en-US"/>
        </w:rPr>
        <w:t xml:space="preserve">and endorsed by the National Health and Medical Research Council (NHMRC). </w:t>
      </w:r>
      <w:r w:rsidR="00F363DE" w:rsidRPr="00854013">
        <w:rPr>
          <w:lang w:val="en-GB" w:eastAsia="en-US"/>
        </w:rPr>
        <w:t>T</w:t>
      </w:r>
      <w:r w:rsidRPr="00360531">
        <w:rPr>
          <w:lang w:val="en-GB" w:eastAsia="en-US"/>
        </w:rPr>
        <w:t>hese recommendations would be supported by the creation of an explanatory note linking to these gu</w:t>
      </w:r>
      <w:r w:rsidR="00E02518">
        <w:rPr>
          <w:lang w:val="en-GB" w:eastAsia="en-US"/>
        </w:rPr>
        <w:t xml:space="preserve">idelines, as well as clinician and consumer </w:t>
      </w:r>
      <w:r w:rsidRPr="00074D54">
        <w:rPr>
          <w:lang w:val="en-GB" w:eastAsia="en-US"/>
        </w:rPr>
        <w:t>education</w:t>
      </w:r>
      <w:r w:rsidR="00F363DE" w:rsidRPr="00074D54">
        <w:rPr>
          <w:lang w:val="en-GB" w:eastAsia="en-US"/>
        </w:rPr>
        <w:t>.</w:t>
      </w:r>
      <w:r w:rsidRPr="00074D54">
        <w:rPr>
          <w:lang w:val="en-GB" w:eastAsia="en-US"/>
        </w:rPr>
        <w:t xml:space="preserve">  </w:t>
      </w:r>
    </w:p>
    <w:p w14:paraId="273730A0" w14:textId="77777777" w:rsidR="00E02518" w:rsidRDefault="00E02518" w:rsidP="00E02518">
      <w:pPr>
        <w:pStyle w:val="02dash"/>
        <w:numPr>
          <w:ilvl w:val="0"/>
          <w:numId w:val="0"/>
        </w:numPr>
        <w:spacing w:before="0" w:line="240" w:lineRule="auto"/>
        <w:ind w:right="0"/>
        <w:rPr>
          <w:lang w:val="en-GB"/>
        </w:rPr>
      </w:pPr>
      <w:r>
        <w:rPr>
          <w:szCs w:val="24"/>
          <w:lang w:val="en-GB"/>
        </w:rPr>
        <w:t xml:space="preserve">However, </w:t>
      </w:r>
      <w:r>
        <w:rPr>
          <w:lang w:val="en-GB"/>
        </w:rPr>
        <w:t>i</w:t>
      </w:r>
      <w:r w:rsidRPr="00E02518">
        <w:rPr>
          <w:lang w:val="en-GB"/>
        </w:rPr>
        <w:t xml:space="preserve">f </w:t>
      </w:r>
      <w:r w:rsidR="006C31FB">
        <w:rPr>
          <w:lang w:val="en-GB"/>
        </w:rPr>
        <w:t>requester</w:t>
      </w:r>
      <w:r>
        <w:rPr>
          <w:lang w:val="en-GB"/>
        </w:rPr>
        <w:t xml:space="preserve"> and consumer education strategies</w:t>
      </w:r>
      <w:r w:rsidRPr="00074D54">
        <w:rPr>
          <w:lang w:val="en-GB"/>
        </w:rPr>
        <w:t xml:space="preserve"> prove insufficient</w:t>
      </w:r>
      <w:r>
        <w:rPr>
          <w:lang w:val="en-GB"/>
        </w:rPr>
        <w:t xml:space="preserve"> to change behaviour then the Committee</w:t>
      </w:r>
      <w:r w:rsidRPr="00074D54">
        <w:rPr>
          <w:lang w:val="en-GB"/>
        </w:rPr>
        <w:t xml:space="preserve"> recommended the consideration of CDS for </w:t>
      </w:r>
      <w:r>
        <w:rPr>
          <w:lang w:val="en-GB"/>
        </w:rPr>
        <w:t>PSA testing.</w:t>
      </w:r>
    </w:p>
    <w:p w14:paraId="0B513894" w14:textId="77777777" w:rsidR="00555F56" w:rsidRPr="00074D54" w:rsidRDefault="00555F56" w:rsidP="005670CF">
      <w:pPr>
        <w:pStyle w:val="Heading2numbered"/>
      </w:pPr>
      <w:bookmarkStart w:id="27" w:name="_Toc522396597"/>
      <w:bookmarkStart w:id="28" w:name="_Toc525816038"/>
      <w:r w:rsidRPr="00074D54">
        <w:t>Ankle/hind foot ultrasound</w:t>
      </w:r>
      <w:bookmarkEnd w:id="16"/>
      <w:bookmarkEnd w:id="27"/>
      <w:bookmarkEnd w:id="28"/>
    </w:p>
    <w:p w14:paraId="45F4400F" w14:textId="77777777" w:rsidR="00555F56" w:rsidRPr="00074D54" w:rsidRDefault="00555F56" w:rsidP="00555F56">
      <w:pPr>
        <w:pStyle w:val="N1"/>
      </w:pPr>
      <w:r w:rsidRPr="00074D54">
        <w:t xml:space="preserve">The Committee made three key recommendations for the ankle/hind foot ultrasound items (55836, 55837, 55838 and 55839). </w:t>
      </w:r>
    </w:p>
    <w:p w14:paraId="464A656D" w14:textId="472655AC" w:rsidR="00555F56" w:rsidRPr="00074D54" w:rsidRDefault="00555F56" w:rsidP="00555F56">
      <w:pPr>
        <w:pStyle w:val="N1"/>
      </w:pPr>
      <w:r w:rsidRPr="00074D54">
        <w:t xml:space="preserve">Firstly, it recommended changing the item descriptors to clarify that the only appropriate use of these items is for the </w:t>
      </w:r>
      <w:r w:rsidR="00BC7AF0">
        <w:t xml:space="preserve">assessment of suspected conditions other than acute ligament injury. </w:t>
      </w:r>
    </w:p>
    <w:p w14:paraId="2F21E89B" w14:textId="77777777" w:rsidR="00555F56" w:rsidRPr="00074D54" w:rsidRDefault="00555F56" w:rsidP="00555F56">
      <w:pPr>
        <w:pStyle w:val="N1"/>
      </w:pPr>
      <w:r w:rsidRPr="00074D54">
        <w:t xml:space="preserve">Secondly, it recommended clinician and consumer education to support these changes. </w:t>
      </w:r>
    </w:p>
    <w:p w14:paraId="42E54C43" w14:textId="24B17483" w:rsidR="00555F56" w:rsidRPr="00074D54" w:rsidRDefault="00555F56" w:rsidP="00555F56">
      <w:pPr>
        <w:pStyle w:val="N1"/>
      </w:pPr>
      <w:r w:rsidRPr="00074D54">
        <w:t xml:space="preserve">Thirdly, if the </w:t>
      </w:r>
      <w:r w:rsidR="001145A1" w:rsidRPr="00074D54">
        <w:t>combined requesting and education strategies prove insufficient</w:t>
      </w:r>
      <w:r w:rsidR="003D38DD">
        <w:t xml:space="preserve"> to change behaviour</w:t>
      </w:r>
      <w:r w:rsidR="001145A1" w:rsidRPr="00074D54">
        <w:t>, then it</w:t>
      </w:r>
      <w:r w:rsidR="00DE0115">
        <w:t xml:space="preserve"> </w:t>
      </w:r>
      <w:r w:rsidRPr="00074D54">
        <w:t xml:space="preserve">recommended </w:t>
      </w:r>
      <w:r w:rsidR="00DE0115">
        <w:t xml:space="preserve">that </w:t>
      </w:r>
      <w:r w:rsidRPr="00074D54">
        <w:t>consideration of mandatory CDS for the requesting of ankle ultrasounds</w:t>
      </w:r>
      <w:r w:rsidR="00DE0115">
        <w:t xml:space="preserve"> be undertaken</w:t>
      </w:r>
      <w:r w:rsidRPr="00074D54">
        <w:t xml:space="preserve">. </w:t>
      </w:r>
    </w:p>
    <w:p w14:paraId="71AB8AE4" w14:textId="77777777" w:rsidR="00555F56" w:rsidRPr="00074D54" w:rsidRDefault="00555F56" w:rsidP="005670CF">
      <w:pPr>
        <w:pStyle w:val="Heading2numbered"/>
      </w:pPr>
      <w:bookmarkStart w:id="29" w:name="_Toc498516933"/>
      <w:bookmarkStart w:id="30" w:name="_Toc522396598"/>
      <w:bookmarkStart w:id="31" w:name="_Toc525816039"/>
      <w:r w:rsidRPr="00074D54">
        <w:t>Shoulder ultrasound</w:t>
      </w:r>
      <w:bookmarkEnd w:id="29"/>
      <w:bookmarkEnd w:id="30"/>
      <w:bookmarkEnd w:id="31"/>
    </w:p>
    <w:p w14:paraId="5CFC43E3" w14:textId="77777777" w:rsidR="00555F56" w:rsidRPr="00074D54" w:rsidRDefault="00555F56" w:rsidP="00555F56">
      <w:pPr>
        <w:pStyle w:val="N1"/>
      </w:pPr>
      <w:r w:rsidRPr="00074D54">
        <w:t>The Committee made four key recommendations for shoulder ultrasound items (55808, 55809, 55810 and 55811).</w:t>
      </w:r>
    </w:p>
    <w:p w14:paraId="54C54D6E" w14:textId="77777777" w:rsidR="00555F56" w:rsidRPr="00074D54" w:rsidRDefault="00555F56" w:rsidP="00555F56">
      <w:pPr>
        <w:pStyle w:val="N1"/>
      </w:pPr>
      <w:r w:rsidRPr="00074D54">
        <w:t>Firstly, it recommended no longer listing suspected occult fracture as a reason for requesting these items.</w:t>
      </w:r>
    </w:p>
    <w:p w14:paraId="3038595E" w14:textId="77777777" w:rsidR="00555F56" w:rsidRPr="00074D54" w:rsidRDefault="00555F56" w:rsidP="00555F56">
      <w:pPr>
        <w:pStyle w:val="N1"/>
      </w:pPr>
      <w:r w:rsidRPr="00074D54">
        <w:lastRenderedPageBreak/>
        <w:t>Secondly, it recommended restricting the claiming of these items in conjunction with shoulder X-ray items.</w:t>
      </w:r>
    </w:p>
    <w:p w14:paraId="7CC92DE8" w14:textId="77777777" w:rsidR="00555F56" w:rsidRPr="00074D54" w:rsidRDefault="00555F56" w:rsidP="00555F56">
      <w:pPr>
        <w:pStyle w:val="N1"/>
      </w:pPr>
      <w:r w:rsidRPr="00074D54">
        <w:t xml:space="preserve">Thirdly, it recommended creating a new item for requesting shoulder ultrasound and X-ray at the same time, which would require the requesting clinician to provide clinical notes on the reason for requesting both items on the request form. </w:t>
      </w:r>
    </w:p>
    <w:p w14:paraId="4CF3176A" w14:textId="77777777" w:rsidR="00555F56" w:rsidRPr="00074D54" w:rsidRDefault="00555F56" w:rsidP="00555F56">
      <w:pPr>
        <w:pStyle w:val="N1"/>
      </w:pPr>
      <w:r w:rsidRPr="00074D54">
        <w:t>Finally, it recommended creating explanatory notes clarifying the appropriate</w:t>
      </w:r>
      <w:r w:rsidR="00CC7350">
        <w:t xml:space="preserve"> pathways for shoulder imaging. </w:t>
      </w:r>
      <w:r w:rsidRPr="00074D54">
        <w:t xml:space="preserve">These recommendations are to be supported by </w:t>
      </w:r>
      <w:r w:rsidR="006C31FB">
        <w:t>requester</w:t>
      </w:r>
      <w:r w:rsidRPr="00074D54">
        <w:t xml:space="preserve">, provider and consumer education initiatives. </w:t>
      </w:r>
    </w:p>
    <w:p w14:paraId="24D61A59" w14:textId="77777777" w:rsidR="00555F56" w:rsidRPr="00074D54" w:rsidRDefault="00555F56" w:rsidP="005670CF">
      <w:pPr>
        <w:pStyle w:val="Heading2numbered"/>
      </w:pPr>
      <w:bookmarkStart w:id="32" w:name="_Toc498516934"/>
      <w:bookmarkStart w:id="33" w:name="_Toc522396599"/>
      <w:bookmarkStart w:id="34" w:name="_Toc525816040"/>
      <w:r w:rsidRPr="00074D54">
        <w:t>Lower back imaging (CT and MRI)</w:t>
      </w:r>
      <w:bookmarkEnd w:id="32"/>
      <w:bookmarkEnd w:id="33"/>
      <w:bookmarkEnd w:id="34"/>
    </w:p>
    <w:p w14:paraId="44BD7DD5" w14:textId="77777777" w:rsidR="00555F56" w:rsidRPr="00074D54" w:rsidRDefault="00555F56" w:rsidP="00555F56">
      <w:pPr>
        <w:pStyle w:val="N1"/>
      </w:pPr>
      <w:r w:rsidRPr="00074D54">
        <w:t xml:space="preserve">The Committee made a multicomponent recommendation for lower back imaging items, involving the introduction of mandatory CDS, supported by </w:t>
      </w:r>
      <w:r w:rsidR="006C31FB">
        <w:t>requester</w:t>
      </w:r>
      <w:r w:rsidRPr="00074D54">
        <w:t xml:space="preserve"> education, audit and feedback, and patient education.  </w:t>
      </w:r>
    </w:p>
    <w:p w14:paraId="34912261" w14:textId="77777777" w:rsidR="00555F56" w:rsidRPr="00074D54" w:rsidRDefault="00555F56" w:rsidP="005670CF">
      <w:pPr>
        <w:pStyle w:val="Heading2numbered"/>
      </w:pPr>
      <w:bookmarkStart w:id="35" w:name="_Toc498516935"/>
      <w:bookmarkStart w:id="36" w:name="_Toc522396600"/>
      <w:bookmarkStart w:id="37" w:name="_Toc525816041"/>
      <w:r w:rsidRPr="00074D54">
        <w:t>Head imaging (CT and MRI)</w:t>
      </w:r>
      <w:bookmarkEnd w:id="35"/>
      <w:bookmarkEnd w:id="36"/>
      <w:bookmarkEnd w:id="37"/>
    </w:p>
    <w:p w14:paraId="3EE0C073" w14:textId="77777777" w:rsidR="00555F56" w:rsidRPr="00074D54" w:rsidRDefault="00555F56" w:rsidP="00555F56">
      <w:pPr>
        <w:pStyle w:val="N1"/>
      </w:pPr>
      <w:r w:rsidRPr="00074D54">
        <w:t xml:space="preserve">The Committee made a multicomponent recommendation for head imaging items, involving the introduction of mandatory CDS, supported by </w:t>
      </w:r>
      <w:r w:rsidR="006C31FB">
        <w:t>requester</w:t>
      </w:r>
      <w:r w:rsidRPr="00074D54">
        <w:t xml:space="preserve"> education, audit and feedback, and patient education.  </w:t>
      </w:r>
    </w:p>
    <w:p w14:paraId="4F43D41E" w14:textId="77777777" w:rsidR="00555F56" w:rsidRPr="00074D54" w:rsidRDefault="00555F56" w:rsidP="005670CF">
      <w:pPr>
        <w:pStyle w:val="Heading1"/>
      </w:pPr>
      <w:bookmarkStart w:id="38" w:name="_Toc498516938"/>
      <w:bookmarkStart w:id="39" w:name="_Toc522396601"/>
      <w:bookmarkStart w:id="40" w:name="_Toc525816042"/>
      <w:r w:rsidRPr="00074D54">
        <w:t>Non-item recommendations</w:t>
      </w:r>
      <w:bookmarkEnd w:id="38"/>
      <w:bookmarkEnd w:id="39"/>
      <w:bookmarkEnd w:id="40"/>
    </w:p>
    <w:p w14:paraId="782D62A7" w14:textId="177ED5F2" w:rsidR="00555F56" w:rsidRPr="00854013" w:rsidRDefault="00030B28" w:rsidP="005E6078">
      <w:pPr>
        <w:pStyle w:val="Normalpara"/>
        <w:rPr>
          <w:lang w:eastAsia="en-US"/>
        </w:rPr>
      </w:pPr>
      <w:r w:rsidRPr="00074D54">
        <w:rPr>
          <w:lang w:eastAsia="en-US"/>
        </w:rPr>
        <w:t>The</w:t>
      </w:r>
      <w:r w:rsidR="00555F56" w:rsidRPr="00854013">
        <w:rPr>
          <w:lang w:eastAsia="en-US"/>
        </w:rPr>
        <w:t xml:space="preserve"> Committee made two non-item recommendations. Firstly, it supported the proposal to create a </w:t>
      </w:r>
      <w:r w:rsidR="00E916B1">
        <w:rPr>
          <w:lang w:eastAsia="en-US"/>
        </w:rPr>
        <w:t>‘</w:t>
      </w:r>
      <w:r w:rsidR="00555F56" w:rsidRPr="00854013">
        <w:rPr>
          <w:lang w:eastAsia="en-US"/>
        </w:rPr>
        <w:t xml:space="preserve">diabetes </w:t>
      </w:r>
      <w:r w:rsidR="00E916B1">
        <w:rPr>
          <w:lang w:eastAsia="en-US"/>
        </w:rPr>
        <w:t xml:space="preserve">care </w:t>
      </w:r>
      <w:r w:rsidR="00555F56" w:rsidRPr="00854013">
        <w:rPr>
          <w:lang w:eastAsia="en-US"/>
        </w:rPr>
        <w:t>set</w:t>
      </w:r>
      <w:r w:rsidR="00E916B1">
        <w:rPr>
          <w:lang w:eastAsia="en-US"/>
        </w:rPr>
        <w:t>’</w:t>
      </w:r>
      <w:r w:rsidR="00555F56" w:rsidRPr="00854013">
        <w:rPr>
          <w:lang w:eastAsia="en-US"/>
        </w:rPr>
        <w:t xml:space="preserve"> item on the MBS, and recommended that the </w:t>
      </w:r>
      <w:r w:rsidR="00680922">
        <w:rPr>
          <w:lang w:eastAsia="en-US"/>
        </w:rPr>
        <w:t xml:space="preserve">relevant organisations </w:t>
      </w:r>
      <w:r w:rsidR="00555F56" w:rsidRPr="00854013">
        <w:rPr>
          <w:lang w:eastAsia="en-US"/>
        </w:rPr>
        <w:t>work together to create this item.</w:t>
      </w:r>
    </w:p>
    <w:p w14:paraId="002EA61F" w14:textId="77777777" w:rsidR="00555F56" w:rsidRPr="00074D54" w:rsidRDefault="00555F56" w:rsidP="006F39A3">
      <w:pPr>
        <w:pStyle w:val="Bullet-green"/>
        <w:numPr>
          <w:ilvl w:val="0"/>
          <w:numId w:val="0"/>
        </w:numPr>
        <w:spacing w:line="240" w:lineRule="auto"/>
      </w:pPr>
      <w:r w:rsidRPr="00360531">
        <w:rPr>
          <w:lang w:eastAsia="en-US"/>
        </w:rPr>
        <w:t>Secondly, the Committee strongly recommended t</w:t>
      </w:r>
      <w:r w:rsidRPr="00074D54">
        <w:rPr>
          <w:lang w:eastAsia="en-US"/>
        </w:rPr>
        <w:t xml:space="preserve">hat the Taskforce review the issue of consumer health literacy and </w:t>
      </w:r>
      <w:r w:rsidR="001542EF">
        <w:rPr>
          <w:lang w:eastAsia="en-US"/>
        </w:rPr>
        <w:t>provision of</w:t>
      </w:r>
      <w:r w:rsidR="008841DC">
        <w:rPr>
          <w:lang w:eastAsia="en-US"/>
        </w:rPr>
        <w:t xml:space="preserve"> </w:t>
      </w:r>
      <w:r w:rsidRPr="00074D54">
        <w:rPr>
          <w:lang w:eastAsia="en-US"/>
        </w:rPr>
        <w:t>support for better consumer information</w:t>
      </w:r>
      <w:r w:rsidR="001E4B81" w:rsidRPr="00074D54">
        <w:rPr>
          <w:lang w:eastAsia="en-US"/>
        </w:rPr>
        <w:t xml:space="preserve"> (i.e. financial or clinical consent)</w:t>
      </w:r>
      <w:r w:rsidRPr="00074D54">
        <w:rPr>
          <w:lang w:eastAsia="en-US"/>
        </w:rPr>
        <w:t xml:space="preserve"> and education relevant to MBS usage and items</w:t>
      </w:r>
      <w:r w:rsidR="001E4B81" w:rsidRPr="00074D54">
        <w:rPr>
          <w:lang w:eastAsia="en-US"/>
        </w:rPr>
        <w:t>.</w:t>
      </w:r>
      <w:r w:rsidR="005A6A48" w:rsidRPr="00074D54">
        <w:rPr>
          <w:lang w:eastAsia="en-US"/>
        </w:rPr>
        <w:t xml:space="preserve"> </w:t>
      </w:r>
      <w:r w:rsidR="008841DC">
        <w:rPr>
          <w:lang w:eastAsia="en-US"/>
        </w:rPr>
        <w:t>Patient focussed e</w:t>
      </w:r>
      <w:r w:rsidR="008841DC" w:rsidRPr="00074D54">
        <w:rPr>
          <w:lang w:eastAsia="en-US"/>
        </w:rPr>
        <w:t xml:space="preserve">ducational </w:t>
      </w:r>
      <w:r w:rsidR="008841DC">
        <w:rPr>
          <w:lang w:eastAsia="en-US"/>
        </w:rPr>
        <w:t xml:space="preserve">material </w:t>
      </w:r>
      <w:r w:rsidR="006F39A3">
        <w:rPr>
          <w:lang w:eastAsia="en-US"/>
        </w:rPr>
        <w:t xml:space="preserve">– patient information and/or decision aids - </w:t>
      </w:r>
      <w:r w:rsidR="001542EF">
        <w:rPr>
          <w:lang w:eastAsia="en-US"/>
        </w:rPr>
        <w:t xml:space="preserve">could be </w:t>
      </w:r>
      <w:r w:rsidR="005A6A48" w:rsidRPr="00074D54">
        <w:rPr>
          <w:lang w:eastAsia="en-US"/>
        </w:rPr>
        <w:t>integrat</w:t>
      </w:r>
      <w:r w:rsidR="00877476" w:rsidRPr="00074D54">
        <w:rPr>
          <w:lang w:eastAsia="en-US"/>
        </w:rPr>
        <w:t>ed</w:t>
      </w:r>
      <w:r w:rsidR="005A6A48" w:rsidRPr="00074D54">
        <w:rPr>
          <w:lang w:eastAsia="en-US"/>
        </w:rPr>
        <w:t xml:space="preserve"> into CDS systems</w:t>
      </w:r>
      <w:r w:rsidR="00877476" w:rsidRPr="00074D54">
        <w:rPr>
          <w:lang w:eastAsia="en-US"/>
        </w:rPr>
        <w:t xml:space="preserve"> </w:t>
      </w:r>
      <w:r w:rsidR="006F39A3">
        <w:rPr>
          <w:lang w:eastAsia="en-US"/>
        </w:rPr>
        <w:t xml:space="preserve">which would briefly pause </w:t>
      </w:r>
      <w:r w:rsidR="00877476" w:rsidRPr="00074D54">
        <w:rPr>
          <w:lang w:eastAsia="en-US"/>
        </w:rPr>
        <w:t xml:space="preserve">the </w:t>
      </w:r>
      <w:r w:rsidR="006C31FB">
        <w:rPr>
          <w:lang w:eastAsia="en-US"/>
        </w:rPr>
        <w:t>requester</w:t>
      </w:r>
      <w:r w:rsidR="00877476" w:rsidRPr="00074D54">
        <w:rPr>
          <w:lang w:eastAsia="en-US"/>
        </w:rPr>
        <w:t xml:space="preserve">’s flow of thinking </w:t>
      </w:r>
      <w:r w:rsidR="001542EF">
        <w:rPr>
          <w:lang w:eastAsia="en-US"/>
        </w:rPr>
        <w:t>by CDS prompts</w:t>
      </w:r>
      <w:r w:rsidR="008841DC">
        <w:rPr>
          <w:lang w:eastAsia="en-US"/>
        </w:rPr>
        <w:t>.</w:t>
      </w:r>
      <w:r w:rsidR="008841DC" w:rsidRPr="00074D54">
        <w:rPr>
          <w:lang w:eastAsia="en-US"/>
        </w:rPr>
        <w:t xml:space="preserve"> </w:t>
      </w:r>
      <w:r w:rsidR="008841DC">
        <w:rPr>
          <w:lang w:eastAsia="en-US"/>
        </w:rPr>
        <w:t>C</w:t>
      </w:r>
      <w:r w:rsidR="008841DC" w:rsidRPr="00074D54">
        <w:rPr>
          <w:lang w:eastAsia="en-US"/>
        </w:rPr>
        <w:t xml:space="preserve">onsent </w:t>
      </w:r>
      <w:r w:rsidR="008841DC">
        <w:rPr>
          <w:lang w:eastAsia="en-US"/>
        </w:rPr>
        <w:t xml:space="preserve">for </w:t>
      </w:r>
      <w:r w:rsidR="006F39A3">
        <w:rPr>
          <w:lang w:eastAsia="en-US"/>
        </w:rPr>
        <w:t xml:space="preserve">some </w:t>
      </w:r>
      <w:r w:rsidR="008841DC">
        <w:rPr>
          <w:lang w:eastAsia="en-US"/>
        </w:rPr>
        <w:t xml:space="preserve">tests being requested </w:t>
      </w:r>
      <w:r w:rsidR="00877476" w:rsidRPr="00074D54">
        <w:rPr>
          <w:lang w:eastAsia="en-US"/>
        </w:rPr>
        <w:t xml:space="preserve">can </w:t>
      </w:r>
      <w:r w:rsidR="006F39A3">
        <w:rPr>
          <w:lang w:eastAsia="en-US"/>
        </w:rPr>
        <w:t xml:space="preserve">also </w:t>
      </w:r>
      <w:r w:rsidR="00877476" w:rsidRPr="00074D54">
        <w:rPr>
          <w:lang w:eastAsia="en-US"/>
        </w:rPr>
        <w:t>be obtained or relevant clinical information provided to improve the appropriateness of the tests requested.</w:t>
      </w:r>
      <w:r w:rsidR="001E4B81" w:rsidRPr="00074D54">
        <w:rPr>
          <w:lang w:eastAsia="en-US"/>
        </w:rPr>
        <w:t xml:space="preserve"> </w:t>
      </w:r>
    </w:p>
    <w:p w14:paraId="18A793B5" w14:textId="77777777" w:rsidR="004632FD" w:rsidRPr="00854013" w:rsidRDefault="000556FB" w:rsidP="001542EF">
      <w:pPr>
        <w:pStyle w:val="Heading2"/>
        <w:keepLines/>
        <w:spacing w:before="280" w:line="240" w:lineRule="auto"/>
        <w:ind w:left="576"/>
      </w:pPr>
      <w:bookmarkStart w:id="41" w:name="_Toc485295713"/>
      <w:bookmarkStart w:id="42" w:name="_Toc506552460"/>
      <w:bookmarkStart w:id="43" w:name="_Toc522396602"/>
      <w:bookmarkStart w:id="44" w:name="_Toc525816043"/>
      <w:r w:rsidRPr="00074D54">
        <w:t xml:space="preserve">Consumer </w:t>
      </w:r>
      <w:r w:rsidR="00854013">
        <w:t xml:space="preserve">engagement and </w:t>
      </w:r>
      <w:r w:rsidR="009B4B96" w:rsidRPr="00854013">
        <w:t>impact</w:t>
      </w:r>
      <w:bookmarkEnd w:id="41"/>
      <w:bookmarkEnd w:id="42"/>
      <w:bookmarkEnd w:id="43"/>
      <w:bookmarkEnd w:id="44"/>
    </w:p>
    <w:p w14:paraId="6FDA532E" w14:textId="77777777" w:rsidR="00854013" w:rsidRPr="00C05832" w:rsidRDefault="00854013" w:rsidP="00854013">
      <w:pPr>
        <w:pStyle w:val="N1"/>
      </w:pPr>
      <w:r w:rsidRPr="00D31FA6">
        <w:t xml:space="preserve">The Committee </w:t>
      </w:r>
      <w:r w:rsidRPr="00C05832">
        <w:t>includes</w:t>
      </w:r>
      <w:r w:rsidRPr="00CF52F7">
        <w:t xml:space="preserve"> experienced and committed </w:t>
      </w:r>
      <w:r w:rsidRPr="00B95DD4">
        <w:t>health practitioners</w:t>
      </w:r>
      <w:r w:rsidRPr="00193F70">
        <w:t xml:space="preserve"> and two consumer representatives. </w:t>
      </w:r>
      <w:r w:rsidRPr="00D31FA6">
        <w:t>This section summ</w:t>
      </w:r>
      <w:r w:rsidRPr="00C05832">
        <w:t xml:space="preserve">arises the report’s key recommendations from a consumer perspective. It aims to make it easier for health consumers and members of the general public to understand and comment on the report’s recommendations. </w:t>
      </w:r>
    </w:p>
    <w:p w14:paraId="25B5FE69" w14:textId="77777777" w:rsidR="00854013" w:rsidRPr="00D31FA6" w:rsidRDefault="00854013" w:rsidP="00854013">
      <w:pPr>
        <w:pStyle w:val="N1"/>
      </w:pPr>
      <w:r w:rsidRPr="00D31FA6">
        <w:t xml:space="preserve">A complete list of the recommendations can be found </w:t>
      </w:r>
      <w:r w:rsidR="009B42B8">
        <w:t>in Appendix A</w:t>
      </w:r>
      <w:r w:rsidRPr="00F909F9">
        <w:t>, including</w:t>
      </w:r>
      <w:r w:rsidRPr="00D31FA6">
        <w:t xml:space="preserve"> a description in plain English of the medical service and the Committee’s recommendation, as well as an explanation of why the recommendation has been made. </w:t>
      </w:r>
    </w:p>
    <w:p w14:paraId="51EDC102" w14:textId="77777777" w:rsidR="00854013" w:rsidRPr="00D31FA6" w:rsidRDefault="00854013" w:rsidP="00854013">
      <w:pPr>
        <w:pStyle w:val="N1"/>
      </w:pPr>
      <w:r w:rsidRPr="00D31FA6">
        <w:lastRenderedPageBreak/>
        <w:t>Consumers rarely engage with MBS item numbers unless they are following up on out</w:t>
      </w:r>
      <w:r w:rsidR="009F52EA">
        <w:noBreakHyphen/>
      </w:r>
      <w:r w:rsidRPr="00D31FA6">
        <w:t>of</w:t>
      </w:r>
      <w:r w:rsidR="009F52EA">
        <w:noBreakHyphen/>
      </w:r>
      <w:r w:rsidRPr="00D31FA6">
        <w:t xml:space="preserve">pocket expenses. Nevertheless, item descriptions and restrictions are an important part of healthcare accountability. The </w:t>
      </w:r>
      <w:r>
        <w:t xml:space="preserve">Committee’s </w:t>
      </w:r>
      <w:r w:rsidRPr="00D31FA6">
        <w:t>recommendations encourage agreed best practice</w:t>
      </w:r>
      <w:r>
        <w:t xml:space="preserve"> and reflect current clinical evidence. </w:t>
      </w:r>
    </w:p>
    <w:p w14:paraId="291252C7" w14:textId="77777777" w:rsidR="00854013" w:rsidRDefault="00854013" w:rsidP="00854013">
      <w:pPr>
        <w:pStyle w:val="N1"/>
      </w:pPr>
      <w:r w:rsidRPr="00C05832">
        <w:t xml:space="preserve">Both </w:t>
      </w:r>
      <w:r w:rsidRPr="00B95DD4">
        <w:t xml:space="preserve">consumers and </w:t>
      </w:r>
      <w:r w:rsidRPr="00193F70">
        <w:t xml:space="preserve">clinicians </w:t>
      </w:r>
      <w:r w:rsidRPr="00D31FA6">
        <w:t xml:space="preserve">are expected to benefit from these recommendations </w:t>
      </w:r>
      <w:r w:rsidRPr="00C05832">
        <w:t xml:space="preserve">because </w:t>
      </w:r>
      <w:r w:rsidRPr="00CF52F7">
        <w:t xml:space="preserve">they address concerns regarding </w:t>
      </w:r>
      <w:r w:rsidRPr="00B95DD4">
        <w:t>c</w:t>
      </w:r>
      <w:r w:rsidRPr="00193F70">
        <w:t xml:space="preserve">onsumer safety and quality of care, </w:t>
      </w:r>
      <w:r>
        <w:t>and</w:t>
      </w:r>
      <w:r w:rsidRPr="00193F70">
        <w:t xml:space="preserve"> take steps to simplify the MBS and make it easier to use and understand. Consumer </w:t>
      </w:r>
      <w:r w:rsidRPr="00D31FA6">
        <w:t xml:space="preserve">access to services was considered for each recommendation. The Committee also considered the impact </w:t>
      </w:r>
      <w:r w:rsidRPr="00193F70">
        <w:t>of each recommendatio</w:t>
      </w:r>
      <w:r w:rsidRPr="00D31FA6">
        <w:t xml:space="preserve">n on </w:t>
      </w:r>
      <w:r w:rsidR="006C31FB">
        <w:t>requester</w:t>
      </w:r>
      <w:r w:rsidRPr="00D31FA6">
        <w:t xml:space="preserve"> and provider groups to ensure </w:t>
      </w:r>
      <w:r>
        <w:t xml:space="preserve">that </w:t>
      </w:r>
      <w:r w:rsidRPr="00D31FA6">
        <w:t xml:space="preserve">changes were reasonable and fair. However, if the Committee identified evidence of potential item misuse or safety concerns, recommendations were made to encourage best practice, in line with the overarching purpose of the MBS Review. </w:t>
      </w:r>
    </w:p>
    <w:p w14:paraId="3EFE6918" w14:textId="77777777" w:rsidR="00854013" w:rsidRDefault="00854013" w:rsidP="00854013">
      <w:pPr>
        <w:pStyle w:val="N1"/>
      </w:pPr>
      <w:r w:rsidRPr="00BA75EF">
        <w:t>The</w:t>
      </w:r>
      <w:r>
        <w:t xml:space="preserve"> Committee</w:t>
      </w:r>
      <w:r w:rsidRPr="00BA75EF">
        <w:t xml:space="preserve"> expect</w:t>
      </w:r>
      <w:r>
        <w:t>s</w:t>
      </w:r>
      <w:r w:rsidRPr="00BA75EF">
        <w:t xml:space="preserve"> these recommendations </w:t>
      </w:r>
      <w:r>
        <w:t>to support better requesting, with the aim of ensuring that</w:t>
      </w:r>
      <w:r w:rsidRPr="00BA75EF">
        <w:t xml:space="preserve"> patients </w:t>
      </w:r>
      <w:r>
        <w:t>are</w:t>
      </w:r>
      <w:r w:rsidRPr="00BA75EF">
        <w:t xml:space="preserve"> provided with </w:t>
      </w:r>
      <w:r>
        <w:t xml:space="preserve">clinically indicated, </w:t>
      </w:r>
      <w:r w:rsidRPr="00BA75EF">
        <w:t>high</w:t>
      </w:r>
      <w:r>
        <w:t>-</w:t>
      </w:r>
      <w:r w:rsidRPr="00BA75EF">
        <w:t xml:space="preserve">quality care that reflects modern best practice. </w:t>
      </w:r>
    </w:p>
    <w:p w14:paraId="41129E87" w14:textId="77777777" w:rsidR="00854013" w:rsidRPr="00E82749" w:rsidRDefault="00854013" w:rsidP="00854013">
      <w:pPr>
        <w:pStyle w:val="Heading3"/>
        <w:numPr>
          <w:ilvl w:val="2"/>
          <w:numId w:val="0"/>
        </w:numPr>
        <w:spacing w:before="240" w:line="240" w:lineRule="auto"/>
        <w:ind w:left="720" w:hanging="720"/>
        <w:rPr>
          <w:lang w:val="en-GB"/>
        </w:rPr>
      </w:pPr>
      <w:bookmarkStart w:id="45" w:name="_Toc498516940"/>
      <w:bookmarkStart w:id="46" w:name="_Toc522396603"/>
      <w:bookmarkStart w:id="47" w:name="_Toc525816044"/>
      <w:r w:rsidRPr="00E82749">
        <w:rPr>
          <w:lang w:val="en-GB"/>
        </w:rPr>
        <w:t>Ankle</w:t>
      </w:r>
      <w:r>
        <w:rPr>
          <w:lang w:val="en-GB"/>
        </w:rPr>
        <w:t>/hind foot</w:t>
      </w:r>
      <w:r w:rsidRPr="00E82749">
        <w:rPr>
          <w:lang w:val="en-GB"/>
        </w:rPr>
        <w:t xml:space="preserve"> ultrasound</w:t>
      </w:r>
      <w:bookmarkEnd w:id="45"/>
      <w:bookmarkEnd w:id="46"/>
      <w:bookmarkEnd w:id="47"/>
    </w:p>
    <w:p w14:paraId="02586E99" w14:textId="77E25CA8" w:rsidR="00854013" w:rsidRPr="00CA7681" w:rsidRDefault="00854013" w:rsidP="00854013">
      <w:pPr>
        <w:pStyle w:val="N1"/>
      </w:pPr>
      <w:r w:rsidRPr="00735A54">
        <w:t>The Committee considered the appropriate use of ankle ultrasound when reviewing these items and recommended</w:t>
      </w:r>
      <w:r w:rsidR="008C7A73" w:rsidRPr="00735A54">
        <w:t xml:space="preserve"> that these services are provided for assessment of suspected conditions other than acute ligament injury</w:t>
      </w:r>
      <w:r w:rsidR="00735A54" w:rsidRPr="00735A54">
        <w:t xml:space="preserve"> and</w:t>
      </w:r>
      <w:r w:rsidR="00E56F58" w:rsidRPr="00735A54">
        <w:t>, with</w:t>
      </w:r>
      <w:r w:rsidR="00025B79" w:rsidRPr="00735A54">
        <w:t xml:space="preserve"> the</w:t>
      </w:r>
      <w:r w:rsidRPr="00735A54">
        <w:t xml:space="preserve"> introduc</w:t>
      </w:r>
      <w:r w:rsidR="00025B79" w:rsidRPr="00735A54">
        <w:t>tion of</w:t>
      </w:r>
      <w:r w:rsidRPr="00735A54">
        <w:t xml:space="preserve"> mandatory CDS for </w:t>
      </w:r>
      <w:r w:rsidR="00025B79" w:rsidRPr="00735A54">
        <w:t>clinician</w:t>
      </w:r>
      <w:r w:rsidR="00964217" w:rsidRPr="00735A54">
        <w:t>s</w:t>
      </w:r>
      <w:r w:rsidR="00025B79" w:rsidRPr="00735A54">
        <w:t xml:space="preserve"> when </w:t>
      </w:r>
      <w:r w:rsidRPr="00735A54">
        <w:t>requesting these items should this initial restriction not prove effective</w:t>
      </w:r>
      <w:r w:rsidR="003D38DD" w:rsidRPr="00735A54">
        <w:t xml:space="preserve"> for reducing inappropriate tests</w:t>
      </w:r>
      <w:r w:rsidRPr="00735A54">
        <w:t>.</w:t>
      </w:r>
      <w:r w:rsidRPr="00CA7681">
        <w:t xml:space="preserve"> The Committee expects these recommendations to have a positive effect on patients because they </w:t>
      </w:r>
      <w:r>
        <w:t>support</w:t>
      </w:r>
      <w:r w:rsidRPr="00CA7681">
        <w:t xml:space="preserve"> consistent and evidence</w:t>
      </w:r>
      <w:r>
        <w:t>-</w:t>
      </w:r>
      <w:r w:rsidRPr="00CA7681">
        <w:t xml:space="preserve">based clinical best practice. </w:t>
      </w:r>
    </w:p>
    <w:p w14:paraId="159796FC" w14:textId="493B1928" w:rsidR="00854013" w:rsidRDefault="00854013" w:rsidP="00854013">
      <w:pPr>
        <w:pStyle w:val="N1"/>
      </w:pPr>
      <w:r w:rsidRPr="00CA55BC">
        <w:t>The Committee acknowledge</w:t>
      </w:r>
      <w:r>
        <w:t>d</w:t>
      </w:r>
      <w:r w:rsidRPr="00CA55BC">
        <w:t xml:space="preserve"> that challenges may be faced if patients receive </w:t>
      </w:r>
      <w:r>
        <w:t xml:space="preserve">a </w:t>
      </w:r>
      <w:r w:rsidRPr="00CA55BC">
        <w:t xml:space="preserve">suggestion from allied health </w:t>
      </w:r>
      <w:r>
        <w:t>professionals</w:t>
      </w:r>
      <w:r w:rsidRPr="00CA55BC">
        <w:t xml:space="preserve"> that ankle ultrasound should be undertaken for reasons other than </w:t>
      </w:r>
      <w:r w:rsidR="00735A54">
        <w:t>assessment of suspected conditions other than acute ligament injury</w:t>
      </w:r>
      <w:r w:rsidRPr="00CA55BC">
        <w:t xml:space="preserve">. </w:t>
      </w:r>
      <w:r>
        <w:t xml:space="preserve">The decision to restrict access to MBS funding for ankle ultrasound for purposes other than </w:t>
      </w:r>
      <w:r w:rsidR="00735A54">
        <w:t>assessment of suspected conditions other than acute ligament injury</w:t>
      </w:r>
      <w:r w:rsidR="00B0749B">
        <w:t xml:space="preserve"> </w:t>
      </w:r>
      <w:r>
        <w:t xml:space="preserve">aims to discourage imaging where the findings would not affect or direct the treatment pathway. </w:t>
      </w:r>
    </w:p>
    <w:p w14:paraId="73880C40" w14:textId="77777777" w:rsidR="00854013" w:rsidRPr="00E82749" w:rsidRDefault="00854013" w:rsidP="00854013">
      <w:pPr>
        <w:pStyle w:val="Heading3"/>
        <w:numPr>
          <w:ilvl w:val="2"/>
          <w:numId w:val="0"/>
        </w:numPr>
        <w:spacing w:before="240" w:line="240" w:lineRule="auto"/>
        <w:ind w:left="720" w:hanging="720"/>
        <w:rPr>
          <w:lang w:val="en-GB"/>
        </w:rPr>
      </w:pPr>
      <w:bookmarkStart w:id="48" w:name="_Toc498516941"/>
      <w:bookmarkStart w:id="49" w:name="_Toc522396604"/>
      <w:bookmarkStart w:id="50" w:name="_Toc525816045"/>
      <w:r w:rsidRPr="00E82749">
        <w:rPr>
          <w:lang w:val="en-GB"/>
        </w:rPr>
        <w:t>Shoulder ultrasound</w:t>
      </w:r>
      <w:bookmarkEnd w:id="48"/>
      <w:bookmarkEnd w:id="49"/>
      <w:bookmarkEnd w:id="50"/>
    </w:p>
    <w:p w14:paraId="454AE7C3" w14:textId="4913D0FB" w:rsidR="00854013" w:rsidRPr="00E82749" w:rsidRDefault="00227705" w:rsidP="00854013">
      <w:pPr>
        <w:pStyle w:val="Normalpara"/>
      </w:pPr>
      <w:r>
        <w:t>As part of the</w:t>
      </w:r>
      <w:r w:rsidR="00854013">
        <w:t xml:space="preserve"> review of these items, the Committee considered the appropriate use of shoulder ultrasound and the circumstances in which it is clinically necessary to co-claim these items with shoulder X-ray items. The recommendations for these items include restricting co-claiming between shoulder ultrasound and X-ray items and introducing a new item for requesting both shoulder X-ray and ultrasound in specific circumstances. These changes (and a complementary explanatory note) align with current guidelines, including those from WA Health’s Diagnostic Imaging Pathways (DIP)</w:t>
      </w:r>
      <w:r w:rsidR="00D82757">
        <w:t xml:space="preserve"> (available here</w:t>
      </w:r>
      <w:r>
        <w:t>:</w:t>
      </w:r>
      <w:r w:rsidR="00D82757">
        <w:t xml:space="preserve"> </w:t>
      </w:r>
      <w:hyperlink r:id="rId12" w:history="1">
        <w:r w:rsidR="00D82757" w:rsidRPr="00D82757">
          <w:rPr>
            <w:rStyle w:val="Hyperlink"/>
          </w:rPr>
          <w:t>http://imagingpathways.health.wa.gov.au/</w:t>
        </w:r>
      </w:hyperlink>
      <w:r w:rsidR="00D82757">
        <w:t>)</w:t>
      </w:r>
      <w:r w:rsidR="00854013">
        <w:t xml:space="preserve"> and the American College of Radiology’s appropriate use criteria (AUC). The full impact of these changes on out-of-pocket expenses is unclear, but reducing inappropriate ordering of imaging should result in decreased gap payments for consumers. </w:t>
      </w:r>
    </w:p>
    <w:p w14:paraId="65AA0F0F" w14:textId="77777777" w:rsidR="00854013" w:rsidRPr="00E82749" w:rsidRDefault="00854013" w:rsidP="00854013">
      <w:pPr>
        <w:pStyle w:val="Heading3"/>
        <w:numPr>
          <w:ilvl w:val="2"/>
          <w:numId w:val="0"/>
        </w:numPr>
        <w:spacing w:before="240" w:line="240" w:lineRule="auto"/>
        <w:ind w:left="720" w:hanging="720"/>
        <w:rPr>
          <w:lang w:val="en-GB"/>
        </w:rPr>
      </w:pPr>
      <w:bookmarkStart w:id="51" w:name="_Toc498516942"/>
      <w:bookmarkStart w:id="52" w:name="_Toc522396605"/>
      <w:bookmarkStart w:id="53" w:name="_Toc525816046"/>
      <w:r w:rsidRPr="00E82749">
        <w:rPr>
          <w:lang w:val="en-GB"/>
        </w:rPr>
        <w:t xml:space="preserve">Lower back </w:t>
      </w:r>
      <w:r>
        <w:rPr>
          <w:lang w:val="en-GB"/>
        </w:rPr>
        <w:t xml:space="preserve">and head </w:t>
      </w:r>
      <w:r w:rsidRPr="00E82749">
        <w:rPr>
          <w:lang w:val="en-GB"/>
        </w:rPr>
        <w:t>imaging</w:t>
      </w:r>
      <w:bookmarkEnd w:id="51"/>
      <w:bookmarkEnd w:id="52"/>
      <w:bookmarkEnd w:id="53"/>
    </w:p>
    <w:p w14:paraId="4810AFE1" w14:textId="77777777" w:rsidR="00854013" w:rsidRDefault="00854013" w:rsidP="00025B79">
      <w:pPr>
        <w:pStyle w:val="N1"/>
      </w:pPr>
      <w:r w:rsidRPr="007F500D">
        <w:t>The Committee</w:t>
      </w:r>
      <w:r w:rsidR="00997945">
        <w:t xml:space="preserve"> </w:t>
      </w:r>
      <w:r w:rsidR="00997945" w:rsidRPr="007F500D">
        <w:t>recommend</w:t>
      </w:r>
      <w:r w:rsidR="00997945">
        <w:t>ed</w:t>
      </w:r>
      <w:r w:rsidR="00997945" w:rsidRPr="007F500D">
        <w:t xml:space="preserve"> </w:t>
      </w:r>
      <w:r w:rsidR="00997945">
        <w:t>introducing</w:t>
      </w:r>
      <w:r w:rsidR="00997945" w:rsidRPr="007F500D">
        <w:t xml:space="preserve"> ma</w:t>
      </w:r>
      <w:r w:rsidR="00997945">
        <w:t xml:space="preserve">ndatory </w:t>
      </w:r>
      <w:r w:rsidRPr="007F500D">
        <w:t xml:space="preserve">CDS for </w:t>
      </w:r>
      <w:r w:rsidR="006C31FB">
        <w:t>requester</w:t>
      </w:r>
      <w:r w:rsidR="00252A33">
        <w:t xml:space="preserve">s of </w:t>
      </w:r>
      <w:r w:rsidR="00997945" w:rsidRPr="007F500D">
        <w:t>for lower back</w:t>
      </w:r>
      <w:r w:rsidR="00997945">
        <w:t xml:space="preserve"> and head</w:t>
      </w:r>
      <w:r w:rsidR="00997945" w:rsidRPr="007F500D">
        <w:t xml:space="preserve"> imaging</w:t>
      </w:r>
      <w:r w:rsidR="00E36421">
        <w:t xml:space="preserve">, meaning that they </w:t>
      </w:r>
      <w:r w:rsidRPr="007F500D">
        <w:t xml:space="preserve">would be required to consult clinician-developed, </w:t>
      </w:r>
      <w:r w:rsidRPr="007F500D">
        <w:lastRenderedPageBreak/>
        <w:t xml:space="preserve">government-approved, evidence-based </w:t>
      </w:r>
      <w:r>
        <w:t>AUC</w:t>
      </w:r>
      <w:r w:rsidRPr="007F500D">
        <w:t xml:space="preserve"> through a CDS system prior to requesting imaging (</w:t>
      </w:r>
      <w:r>
        <w:t>X</w:t>
      </w:r>
      <w:r w:rsidRPr="007F500D">
        <w:t>-ray, CT or MRI) for the lower back</w:t>
      </w:r>
      <w:r>
        <w:t xml:space="preserve"> or head</w:t>
      </w:r>
      <w:r w:rsidRPr="007F500D">
        <w:t>.</w:t>
      </w:r>
      <w:r>
        <w:t xml:space="preserve"> The Committee expect</w:t>
      </w:r>
      <w:r w:rsidR="00997945">
        <w:t>ed</w:t>
      </w:r>
      <w:r>
        <w:t xml:space="preserve"> these recommendations to</w:t>
      </w:r>
      <w:r w:rsidR="002E2A1C">
        <w:t>:</w:t>
      </w:r>
      <w:r>
        <w:t xml:space="preserve"> ensure that patients receive imaging based on consistent and evidence-based practice</w:t>
      </w:r>
      <w:r w:rsidR="002E2A1C">
        <w:t>;</w:t>
      </w:r>
      <w:r>
        <w:t xml:space="preserve"> reduce exposure to radiation from unnecessary X-rays and CT scans</w:t>
      </w:r>
      <w:r w:rsidR="002E2A1C">
        <w:t>;</w:t>
      </w:r>
      <w:r>
        <w:t xml:space="preserve"> and</w:t>
      </w:r>
      <w:r w:rsidR="002E2A1C">
        <w:t>,</w:t>
      </w:r>
      <w:r>
        <w:t xml:space="preserve"> have a positive impact on patient anxiety resulting from over-diagnosis. A reduction in unnecessary testing will also result in reduced out-of-pocket expenses and decreased wait times for services. However, it is crucial that access to these items is preserved in instances where the requesting clinician believes there is scope for imaging outside of the AUC. In such instances, the requesting clinician must still be able to request imaging by noting the exceptional circumstances.</w:t>
      </w:r>
    </w:p>
    <w:p w14:paraId="43382720" w14:textId="77777777" w:rsidR="00854013" w:rsidRPr="009E750F" w:rsidRDefault="00854013" w:rsidP="00025B79">
      <w:pPr>
        <w:pStyle w:val="N1"/>
      </w:pPr>
      <w:r w:rsidRPr="000F7FD1">
        <w:t>While the Committee acknowledge</w:t>
      </w:r>
      <w:r>
        <w:t>d</w:t>
      </w:r>
      <w:r w:rsidRPr="000F7FD1">
        <w:t xml:space="preserve"> </w:t>
      </w:r>
      <w:r>
        <w:t xml:space="preserve">that </w:t>
      </w:r>
      <w:r w:rsidRPr="000F7FD1">
        <w:t xml:space="preserve">patients may </w:t>
      </w:r>
      <w:r>
        <w:t>have</w:t>
      </w:r>
      <w:r w:rsidRPr="000F7FD1">
        <w:t xml:space="preserve"> concerns about under-diagnosis if they are advised that a test is not suitable</w:t>
      </w:r>
      <w:r>
        <w:t>,</w:t>
      </w:r>
      <w:r w:rsidRPr="000F7FD1">
        <w:t xml:space="preserve"> and therefore not available for Medicare rebate, the recommendations </w:t>
      </w:r>
      <w:r>
        <w:t>are intended to</w:t>
      </w:r>
      <w:r w:rsidRPr="000F7FD1">
        <w:t xml:space="preserve"> ensure that patients are provided with clinically indicated, high-quality care that reflects modern best practice. </w:t>
      </w:r>
    </w:p>
    <w:p w14:paraId="5C41CF0A" w14:textId="77777777" w:rsidR="00854013" w:rsidRDefault="00854013" w:rsidP="00854013">
      <w:pPr>
        <w:pStyle w:val="Heading3"/>
        <w:numPr>
          <w:ilvl w:val="2"/>
          <w:numId w:val="0"/>
        </w:numPr>
        <w:spacing w:before="240" w:line="240" w:lineRule="auto"/>
        <w:ind w:left="720" w:hanging="720"/>
        <w:rPr>
          <w:lang w:val="en-GB"/>
        </w:rPr>
      </w:pPr>
      <w:bookmarkStart w:id="54" w:name="_Toc522396606"/>
      <w:bookmarkStart w:id="55" w:name="_Toc525816047"/>
      <w:bookmarkStart w:id="56" w:name="_Toc498516943"/>
      <w:r>
        <w:rPr>
          <w:lang w:val="en-GB"/>
        </w:rPr>
        <w:t>Vitamin B12 items</w:t>
      </w:r>
      <w:bookmarkEnd w:id="54"/>
      <w:bookmarkEnd w:id="55"/>
    </w:p>
    <w:p w14:paraId="63B0995C" w14:textId="77777777" w:rsidR="00854013" w:rsidRDefault="00854013" w:rsidP="00854013">
      <w:pPr>
        <w:pStyle w:val="N1"/>
      </w:pPr>
      <w:r>
        <w:t>Vitamin B12 serum and marker tests are done when investigating some causes of anaemia and neurological illness, such as dementia. Vitamin B12 marker tests should only be performed if the vitamin B12 serum test returns a low or equivocal (ambiguous) result.</w:t>
      </w:r>
    </w:p>
    <w:p w14:paraId="08F83963" w14:textId="7D0A2A39" w:rsidR="00854013" w:rsidRDefault="00854013" w:rsidP="00854013">
      <w:pPr>
        <w:pStyle w:val="N1"/>
      </w:pPr>
      <w:r>
        <w:t>Currently, patients can only receive MBS benefits for a vitamin B12 serum test once every 12 months, in line with current clinical best practice</w:t>
      </w:r>
      <w:r w:rsidR="006857B1">
        <w:t xml:space="preserve">. </w:t>
      </w:r>
      <w:r>
        <w:t xml:space="preserve">The Committee recommends this limit also be applied to </w:t>
      </w:r>
      <w:r w:rsidR="0075518B">
        <w:t xml:space="preserve">the </w:t>
      </w:r>
      <w:r>
        <w:t>vitamin B12 marker</w:t>
      </w:r>
      <w:r w:rsidR="0075518B">
        <w:t>s</w:t>
      </w:r>
      <w:r>
        <w:t xml:space="preserve"> test, as </w:t>
      </w:r>
      <w:r w:rsidR="0075518B">
        <w:t xml:space="preserve">it </w:t>
      </w:r>
      <w:r>
        <w:t xml:space="preserve">should only be performed after a vitamin B12 serum test and there is no benefit to more frequent testing. </w:t>
      </w:r>
      <w:r w:rsidR="00AE7289">
        <w:t xml:space="preserve">A repeat test is allowed if the previous test is abnormal. </w:t>
      </w:r>
    </w:p>
    <w:p w14:paraId="35BE5213" w14:textId="77777777" w:rsidR="00854013" w:rsidRPr="00E46393" w:rsidRDefault="003D38DD" w:rsidP="00854013">
      <w:pPr>
        <w:pStyle w:val="N1"/>
      </w:pPr>
      <w:r>
        <w:t>The Committee also recommended that national guidelines for defining vitamin B12 deficiency, and the need for treatment or repeat testing, should be developed.</w:t>
      </w:r>
    </w:p>
    <w:p w14:paraId="615F64D6" w14:textId="77777777" w:rsidR="00854013" w:rsidRDefault="00854013" w:rsidP="00854013">
      <w:pPr>
        <w:pStyle w:val="Heading3"/>
        <w:numPr>
          <w:ilvl w:val="2"/>
          <w:numId w:val="0"/>
        </w:numPr>
        <w:spacing w:before="240" w:line="240" w:lineRule="auto"/>
        <w:ind w:left="720" w:hanging="720"/>
        <w:rPr>
          <w:lang w:val="en-GB"/>
        </w:rPr>
      </w:pPr>
      <w:bookmarkStart w:id="57" w:name="_Toc522396607"/>
      <w:bookmarkStart w:id="58" w:name="_Toc525816048"/>
      <w:r>
        <w:rPr>
          <w:lang w:val="en-GB"/>
        </w:rPr>
        <w:t>Iron studies items</w:t>
      </w:r>
      <w:bookmarkEnd w:id="57"/>
      <w:bookmarkEnd w:id="58"/>
    </w:p>
    <w:p w14:paraId="23AC5FF4" w14:textId="77777777" w:rsidR="00854013" w:rsidRDefault="00854013" w:rsidP="00854013">
      <w:pPr>
        <w:pStyle w:val="N1"/>
      </w:pPr>
      <w:r>
        <w:t xml:space="preserve">There are different tests that can be </w:t>
      </w:r>
      <w:r w:rsidR="003902E5">
        <w:t xml:space="preserve">performed </w:t>
      </w:r>
      <w:r>
        <w:t>to determine whether a patient has iron deficiency or iron overload. The Committee recommend</w:t>
      </w:r>
      <w:r w:rsidR="003902E5">
        <w:t>ed</w:t>
      </w:r>
      <w:r>
        <w:t xml:space="preserve"> changing the descriptors for these tests to clarify under which clinical circumstances each should be used. Using the wrong set of tests can result in over</w:t>
      </w:r>
      <w:r w:rsidR="00984785">
        <w:t>-</w:t>
      </w:r>
      <w:r>
        <w:t xml:space="preserve">diagnosis of iron deficiency and unnecessary treatment. </w:t>
      </w:r>
    </w:p>
    <w:p w14:paraId="73012AA0" w14:textId="77777777" w:rsidR="00854013" w:rsidRPr="00E46393" w:rsidRDefault="00854013" w:rsidP="00854013">
      <w:pPr>
        <w:pStyle w:val="Heading3"/>
        <w:numPr>
          <w:ilvl w:val="2"/>
          <w:numId w:val="0"/>
        </w:numPr>
        <w:spacing w:before="240" w:line="240" w:lineRule="auto"/>
        <w:ind w:left="720" w:hanging="720"/>
        <w:rPr>
          <w:lang w:val="en-GB"/>
        </w:rPr>
      </w:pPr>
      <w:bookmarkStart w:id="59" w:name="_Toc522396608"/>
      <w:bookmarkStart w:id="60" w:name="_Toc525816049"/>
      <w:r w:rsidRPr="00E46393">
        <w:rPr>
          <w:lang w:val="en-GB"/>
        </w:rPr>
        <w:t>Folate testing</w:t>
      </w:r>
      <w:bookmarkEnd w:id="59"/>
      <w:bookmarkEnd w:id="60"/>
    </w:p>
    <w:p w14:paraId="0ECD391C" w14:textId="656B43BA" w:rsidR="00854013" w:rsidRPr="00E46393" w:rsidRDefault="00997945" w:rsidP="00474CF9">
      <w:pPr>
        <w:spacing w:before="0" w:after="0" w:line="240" w:lineRule="auto"/>
      </w:pPr>
      <w:r>
        <w:t>The Committees recommended that f</w:t>
      </w:r>
      <w:r w:rsidR="00854013">
        <w:t xml:space="preserve">olate testing should only be </w:t>
      </w:r>
      <w:r>
        <w:t xml:space="preserve">performed </w:t>
      </w:r>
      <w:r w:rsidR="00854013">
        <w:t xml:space="preserve">if a clinician suspects a </w:t>
      </w:r>
      <w:r w:rsidR="00461F9C">
        <w:t xml:space="preserve">patient </w:t>
      </w:r>
      <w:r w:rsidR="00854013">
        <w:t>may have a malabsorption condition (a problem absorbing nutrients from food)</w:t>
      </w:r>
      <w:r w:rsidR="006857B1">
        <w:t>, malnutrition</w:t>
      </w:r>
      <w:r w:rsidR="00854013">
        <w:t xml:space="preserve"> or </w:t>
      </w:r>
      <w:r w:rsidR="00875279">
        <w:t>macrocytosis</w:t>
      </w:r>
      <w:r w:rsidR="00875279" w:rsidDel="00875279">
        <w:t xml:space="preserve"> </w:t>
      </w:r>
      <w:r w:rsidR="00854013">
        <w:t>(a type of anaemia</w:t>
      </w:r>
      <w:r w:rsidR="002B50DD" w:rsidRPr="002B50DD">
        <w:t xml:space="preserve"> </w:t>
      </w:r>
      <w:r w:rsidR="002B50DD">
        <w:t>characteris</w:t>
      </w:r>
      <w:r w:rsidR="002B50DD" w:rsidRPr="002B50DD">
        <w:t>ed by abnormally large red blood cells</w:t>
      </w:r>
      <w:r w:rsidR="00854013">
        <w:t xml:space="preserve">). The Committee </w:t>
      </w:r>
      <w:r>
        <w:t xml:space="preserve">recommended </w:t>
      </w:r>
      <w:r w:rsidR="00854013">
        <w:t>changing the item descriptor for folate test</w:t>
      </w:r>
      <w:r w:rsidR="00F80A60">
        <w:t>ing</w:t>
      </w:r>
      <w:r w:rsidR="00854013">
        <w:t xml:space="preserve"> to clarify this and to limit testing to once every 12 months</w:t>
      </w:r>
      <w:r w:rsidR="00AF62DB">
        <w:t xml:space="preserve"> for results within the reference interval</w:t>
      </w:r>
      <w:r w:rsidR="00854013">
        <w:t>.</w:t>
      </w:r>
      <w:r w:rsidR="00AE7289">
        <w:t xml:space="preserve"> A repeat test is allowed if the previous test is abnormal.</w:t>
      </w:r>
      <w:r w:rsidR="00854013">
        <w:t xml:space="preserve"> The Committee also recommend</w:t>
      </w:r>
      <w:r w:rsidR="00F80A60">
        <w:t>ed</w:t>
      </w:r>
      <w:r w:rsidR="00854013">
        <w:t xml:space="preserve"> specifying which groups of people should be given folate supplements straight away without testing, such as pregnant women</w:t>
      </w:r>
      <w:r w:rsidR="00F80A60">
        <w:t xml:space="preserve"> and those receiving methotrexate therapy</w:t>
      </w:r>
      <w:r w:rsidR="00854013">
        <w:t>.</w:t>
      </w:r>
    </w:p>
    <w:p w14:paraId="721499BF" w14:textId="77777777" w:rsidR="00854013" w:rsidRDefault="00854013" w:rsidP="00854013">
      <w:pPr>
        <w:pStyle w:val="Heading3"/>
        <w:numPr>
          <w:ilvl w:val="2"/>
          <w:numId w:val="0"/>
        </w:numPr>
        <w:spacing w:before="240" w:line="240" w:lineRule="auto"/>
        <w:ind w:left="720" w:hanging="720"/>
        <w:rPr>
          <w:lang w:val="en-GB"/>
        </w:rPr>
      </w:pPr>
      <w:bookmarkStart w:id="61" w:name="_Toc522396609"/>
      <w:bookmarkStart w:id="62" w:name="_Toc525816050"/>
      <w:r>
        <w:rPr>
          <w:lang w:val="en-GB"/>
        </w:rPr>
        <w:t>Urine testing</w:t>
      </w:r>
      <w:bookmarkEnd w:id="61"/>
      <w:bookmarkEnd w:id="62"/>
    </w:p>
    <w:p w14:paraId="1B5B2588" w14:textId="77777777" w:rsidR="00854013" w:rsidRDefault="00854013" w:rsidP="00854013">
      <w:pPr>
        <w:pStyle w:val="N1"/>
      </w:pPr>
      <w:r>
        <w:t xml:space="preserve">The Committee </w:t>
      </w:r>
      <w:r w:rsidR="00997945">
        <w:t xml:space="preserve">recommended </w:t>
      </w:r>
      <w:r>
        <w:t xml:space="preserve">changing the item descriptor for urine testing to reflect that urine testing is mostly only required when an adult patient has symptoms of a urinary tract </w:t>
      </w:r>
      <w:r>
        <w:lastRenderedPageBreak/>
        <w:t xml:space="preserve">infection. Additionally it is not necessary to repeat the test after treatment unless the symptoms persist or reoccur. Confining antibiotic treatment to those with symptoms is important for the best use of antibiotics. </w:t>
      </w:r>
    </w:p>
    <w:p w14:paraId="12BB90AD" w14:textId="77777777" w:rsidR="00854013" w:rsidRDefault="00854013" w:rsidP="00854013">
      <w:pPr>
        <w:pStyle w:val="N1"/>
        <w:keepNext/>
      </w:pPr>
      <w:r>
        <w:t xml:space="preserve">Testing may </w:t>
      </w:r>
      <w:r w:rsidR="001E0124">
        <w:t>be required for some</w:t>
      </w:r>
      <w:r>
        <w:t xml:space="preserve"> patients without symptoms of infection: </w:t>
      </w:r>
    </w:p>
    <w:p w14:paraId="40A9EE27" w14:textId="77777777" w:rsidR="00854013" w:rsidRDefault="00854013" w:rsidP="00B0749B">
      <w:pPr>
        <w:pStyle w:val="NormalBulleted"/>
        <w:spacing w:before="80"/>
      </w:pPr>
      <w:r>
        <w:t>Pregnant women</w:t>
      </w:r>
    </w:p>
    <w:p w14:paraId="52221593" w14:textId="77777777" w:rsidR="00854013" w:rsidRDefault="00854013" w:rsidP="00B0749B">
      <w:pPr>
        <w:pStyle w:val="NormalBulleted"/>
        <w:spacing w:before="80"/>
      </w:pPr>
      <w:r>
        <w:t xml:space="preserve">Children (under </w:t>
      </w:r>
      <w:r w:rsidR="00AF62DB">
        <w:t xml:space="preserve">the age of </w:t>
      </w:r>
      <w:r>
        <w:t>16</w:t>
      </w:r>
      <w:r w:rsidR="00AF62DB">
        <w:t xml:space="preserve"> years</w:t>
      </w:r>
      <w:r>
        <w:t>)</w:t>
      </w:r>
    </w:p>
    <w:p w14:paraId="00A28637" w14:textId="77777777" w:rsidR="00854013" w:rsidRDefault="00854013" w:rsidP="00B0749B">
      <w:pPr>
        <w:pStyle w:val="NormalBulleted"/>
        <w:spacing w:before="80"/>
      </w:pPr>
      <w:r>
        <w:t xml:space="preserve">Patients </w:t>
      </w:r>
      <w:r w:rsidR="00AF62DB">
        <w:t>undergoing</w:t>
      </w:r>
      <w:r>
        <w:t xml:space="preserve"> urological investigations involving instrumentation</w:t>
      </w:r>
      <w:r w:rsidR="00AF62DB">
        <w:t>,</w:t>
      </w:r>
      <w:r w:rsidR="001E0124">
        <w:t xml:space="preserve"> including for stone disease such as urolithiasis and nephrolithiasis</w:t>
      </w:r>
    </w:p>
    <w:p w14:paraId="7603AF57" w14:textId="77777777" w:rsidR="00AF62DB" w:rsidRDefault="00AF62DB" w:rsidP="00B0749B">
      <w:pPr>
        <w:pStyle w:val="NormalBulleted"/>
        <w:spacing w:before="80"/>
      </w:pPr>
      <w:r>
        <w:t>Men undergoing transurethral resection of the prostate</w:t>
      </w:r>
    </w:p>
    <w:p w14:paraId="066A81C4" w14:textId="77777777" w:rsidR="00854013" w:rsidRDefault="00AF62DB" w:rsidP="00B0749B">
      <w:pPr>
        <w:pStyle w:val="NormalBulleted"/>
        <w:spacing w:before="80"/>
      </w:pPr>
      <w:r>
        <w:t>Recipients of kidney transplants</w:t>
      </w:r>
    </w:p>
    <w:p w14:paraId="3F00DD19" w14:textId="77777777" w:rsidR="00AE7289" w:rsidRDefault="00AE7289" w:rsidP="00B0749B">
      <w:pPr>
        <w:pStyle w:val="NormalBulleted"/>
        <w:spacing w:before="80"/>
      </w:pPr>
      <w:r>
        <w:t>Patients experiencing delirium with fever</w:t>
      </w:r>
    </w:p>
    <w:p w14:paraId="1F2ED7F5" w14:textId="77777777" w:rsidR="00854013" w:rsidRDefault="00854013" w:rsidP="00B0749B">
      <w:pPr>
        <w:pStyle w:val="NormalBulleted"/>
        <w:spacing w:before="80"/>
      </w:pPr>
      <w:r>
        <w:t>Patients undergoing h</w:t>
      </w:r>
      <w:r w:rsidR="001E0124">
        <w:t>a</w:t>
      </w:r>
      <w:r>
        <w:t xml:space="preserve">emodialysis </w:t>
      </w:r>
      <w:r w:rsidR="00AF62DB">
        <w:t>for</w:t>
      </w:r>
      <w:r>
        <w:t xml:space="preserve"> chronic kidney disease.</w:t>
      </w:r>
    </w:p>
    <w:p w14:paraId="631F9D9B" w14:textId="4798E5B2" w:rsidR="00854013" w:rsidRDefault="00854013" w:rsidP="00341C69">
      <w:pPr>
        <w:pStyle w:val="N1"/>
      </w:pPr>
      <w:r>
        <w:t>Also highlighted</w:t>
      </w:r>
      <w:r w:rsidR="006857B1">
        <w:t>,</w:t>
      </w:r>
      <w:r>
        <w:t xml:space="preserve"> was the importance of consumer education to raise awareness </w:t>
      </w:r>
      <w:r w:rsidR="00CC7350">
        <w:t xml:space="preserve">of </w:t>
      </w:r>
      <w:r>
        <w:t xml:space="preserve">the </w:t>
      </w:r>
      <w:r w:rsidR="00CC7350">
        <w:t xml:space="preserve">correct </w:t>
      </w:r>
      <w:r>
        <w:t>methods used to collect urine sample</w:t>
      </w:r>
      <w:r w:rsidR="00CC7350">
        <w:t>s</w:t>
      </w:r>
      <w:r>
        <w:t xml:space="preserve"> and the importance of minimising the possibility of contamination.</w:t>
      </w:r>
    </w:p>
    <w:p w14:paraId="4EEE27B6" w14:textId="77777777" w:rsidR="00854013" w:rsidRPr="00E82749" w:rsidRDefault="00854013" w:rsidP="00854013">
      <w:pPr>
        <w:pStyle w:val="Heading3"/>
        <w:numPr>
          <w:ilvl w:val="2"/>
          <w:numId w:val="0"/>
        </w:numPr>
        <w:spacing w:before="240" w:line="240" w:lineRule="auto"/>
        <w:ind w:left="720" w:hanging="720"/>
        <w:rPr>
          <w:lang w:val="en-GB"/>
        </w:rPr>
      </w:pPr>
      <w:bookmarkStart w:id="63" w:name="_Toc522396610"/>
      <w:bookmarkStart w:id="64" w:name="_Toc525816051"/>
      <w:r>
        <w:rPr>
          <w:lang w:val="en-GB"/>
        </w:rPr>
        <w:t>Vitamin D testing</w:t>
      </w:r>
      <w:bookmarkEnd w:id="56"/>
      <w:bookmarkEnd w:id="63"/>
      <w:bookmarkEnd w:id="64"/>
    </w:p>
    <w:p w14:paraId="21765A3E" w14:textId="77777777" w:rsidR="00854013" w:rsidRDefault="00854013" w:rsidP="00997945">
      <w:pPr>
        <w:pStyle w:val="N1"/>
      </w:pPr>
      <w:r>
        <w:t xml:space="preserve">The Committee </w:t>
      </w:r>
      <w:r w:rsidR="00997945">
        <w:t xml:space="preserve">recommended  </w:t>
      </w:r>
      <w:r w:rsidR="003902E5">
        <w:t>that initial v</w:t>
      </w:r>
      <w:r w:rsidR="003902E5" w:rsidRPr="000A493F">
        <w:t>itamin D</w:t>
      </w:r>
      <w:r w:rsidR="003902E5">
        <w:t xml:space="preserve"> testing </w:t>
      </w:r>
      <w:r w:rsidR="00CD281B">
        <w:t>be</w:t>
      </w:r>
      <w:r w:rsidR="003902E5">
        <w:t xml:space="preserve"> restricted to those </w:t>
      </w:r>
      <w:r w:rsidR="00AD031F">
        <w:t xml:space="preserve">with, or </w:t>
      </w:r>
      <w:r w:rsidR="00CD281B">
        <w:t>at risk of</w:t>
      </w:r>
      <w:r w:rsidR="00AD031F">
        <w:t>,</w:t>
      </w:r>
      <w:r w:rsidR="003902E5">
        <w:t xml:space="preserve"> bone disease and suspected vitamin D deficiency</w:t>
      </w:r>
      <w:r w:rsidRPr="000A493F">
        <w:t xml:space="preserve"> </w:t>
      </w:r>
      <w:r w:rsidR="00490F2A">
        <w:t xml:space="preserve">in order </w:t>
      </w:r>
      <w:r w:rsidRPr="000A493F">
        <w:t xml:space="preserve">to reduce unnecessary </w:t>
      </w:r>
      <w:r>
        <w:t xml:space="preserve">testing while </w:t>
      </w:r>
      <w:r w:rsidR="00AD031F">
        <w:t xml:space="preserve">maintaining </w:t>
      </w:r>
      <w:r>
        <w:t>access for those who require testing to ensure</w:t>
      </w:r>
      <w:r w:rsidRPr="0024731A">
        <w:t xml:space="preserve"> that patients are provided with clinically indicated, high-quality care that reflects modern best practice.</w:t>
      </w:r>
    </w:p>
    <w:p w14:paraId="5470D04B" w14:textId="589AF8AE" w:rsidR="00854013" w:rsidRPr="00266090" w:rsidRDefault="00854013" w:rsidP="00997945">
      <w:pPr>
        <w:pStyle w:val="N1"/>
      </w:pPr>
      <w:r>
        <w:t xml:space="preserve">The Committee recognised that there may be </w:t>
      </w:r>
      <w:r w:rsidR="0068534C">
        <w:t>some</w:t>
      </w:r>
      <w:r w:rsidR="001E0124">
        <w:t xml:space="preserve"> </w:t>
      </w:r>
      <w:r w:rsidR="003902E5">
        <w:t xml:space="preserve">dissatisfaction among </w:t>
      </w:r>
      <w:r>
        <w:t>patient</w:t>
      </w:r>
      <w:r w:rsidR="003902E5">
        <w:t>s with unmet</w:t>
      </w:r>
      <w:r>
        <w:t xml:space="preserve"> expectations</w:t>
      </w:r>
      <w:r w:rsidR="003902E5">
        <w:t xml:space="preserve"> </w:t>
      </w:r>
      <w:r w:rsidR="0068534C">
        <w:t>regarding the availability of</w:t>
      </w:r>
      <w:r w:rsidR="003902E5">
        <w:t xml:space="preserve"> </w:t>
      </w:r>
      <w:r w:rsidR="0068534C">
        <w:t xml:space="preserve">these </w:t>
      </w:r>
      <w:r w:rsidR="003902E5">
        <w:t>test</w:t>
      </w:r>
      <w:r w:rsidR="0068534C">
        <w:t>s</w:t>
      </w:r>
      <w:r>
        <w:t xml:space="preserve">, </w:t>
      </w:r>
      <w:r w:rsidR="005438A0">
        <w:t>given the popularity of vitamin </w:t>
      </w:r>
      <w:r>
        <w:t xml:space="preserve">D testing as a screening test among the general public. However, it noted that it has sought to preserve access for patients who clinically require testing. Patients may also be frustrated if they are required to pay for clinically requested repeat tests within a 12-month period. </w:t>
      </w:r>
      <w:r w:rsidR="00BE5F8F">
        <w:t xml:space="preserve">A repeat test is allowed if the previous test is abnormal. </w:t>
      </w:r>
      <w:r>
        <w:t xml:space="preserve">Clinician and provider education will be essential to minimise this, as outlined in the Committee’s recommendations. </w:t>
      </w:r>
    </w:p>
    <w:p w14:paraId="06F3A9F0" w14:textId="77777777" w:rsidR="00854013" w:rsidRDefault="00854013" w:rsidP="00854013">
      <w:pPr>
        <w:pStyle w:val="Heading3"/>
        <w:numPr>
          <w:ilvl w:val="2"/>
          <w:numId w:val="0"/>
        </w:numPr>
        <w:spacing w:before="240" w:line="240" w:lineRule="auto"/>
        <w:ind w:left="720" w:hanging="720"/>
        <w:rPr>
          <w:lang w:val="en-GB"/>
        </w:rPr>
      </w:pPr>
      <w:bookmarkStart w:id="65" w:name="_Toc498516944"/>
      <w:bookmarkStart w:id="66" w:name="_Toc522396611"/>
      <w:bookmarkStart w:id="67" w:name="_Toc525816052"/>
      <w:r>
        <w:rPr>
          <w:lang w:val="en-GB"/>
        </w:rPr>
        <w:t>PSA testing</w:t>
      </w:r>
      <w:bookmarkEnd w:id="65"/>
      <w:bookmarkEnd w:id="66"/>
      <w:bookmarkEnd w:id="67"/>
    </w:p>
    <w:p w14:paraId="4CCB03C0" w14:textId="77777777" w:rsidR="00854013" w:rsidRDefault="00854013" w:rsidP="00854013">
      <w:pPr>
        <w:pStyle w:val="Normalpara"/>
      </w:pPr>
      <w:bookmarkStart w:id="68" w:name="_Toc468806109"/>
      <w:bookmarkStart w:id="69" w:name="_Toc468808642"/>
      <w:bookmarkEnd w:id="68"/>
      <w:bookmarkEnd w:id="69"/>
      <w:r>
        <w:t>The Committee’s recommendations for PSA items focus on bringing item descriptors in line with the guidelines for PSA testing created by the Cancer Council of Australia and the Prostate Cancer Foundation of Australia, and endorsed by the NHMRC, the Royal College of Pathologists of Australasia (RCPA) and the Royal Australian College of General Practitioners (RACGP). These changes are intended to ensure that patients receive care that aligns with clinically accepted guidelines.</w:t>
      </w:r>
    </w:p>
    <w:p w14:paraId="235BB2FF" w14:textId="77777777" w:rsidR="00854013" w:rsidRDefault="00854013" w:rsidP="00854013">
      <w:pPr>
        <w:pStyle w:val="Normalpara"/>
      </w:pPr>
      <w:r>
        <w:t xml:space="preserve">There may be unmet consumer expectations regarding the frequency of screenings. Clinician and consumer education will be essential to minimise this, as outlined in the Committee’s recommendations.  </w:t>
      </w:r>
    </w:p>
    <w:p w14:paraId="0FEE96BD" w14:textId="77777777" w:rsidR="005E6078" w:rsidRPr="00355E53" w:rsidRDefault="00854013" w:rsidP="00355E53">
      <w:pPr>
        <w:pStyle w:val="N1"/>
      </w:pPr>
      <w:r w:rsidRPr="00BA75EF">
        <w:t>The</w:t>
      </w:r>
      <w:r>
        <w:t xml:space="preserve"> Committee</w:t>
      </w:r>
      <w:r w:rsidRPr="00BA75EF">
        <w:t xml:space="preserve"> expect</w:t>
      </w:r>
      <w:r>
        <w:t>s</w:t>
      </w:r>
      <w:r w:rsidRPr="00BA75EF">
        <w:t xml:space="preserve"> these recommendations </w:t>
      </w:r>
      <w:r>
        <w:t>will ensure</w:t>
      </w:r>
      <w:r w:rsidRPr="00BA75EF">
        <w:t xml:space="preserve"> patients </w:t>
      </w:r>
      <w:r>
        <w:t>are</w:t>
      </w:r>
      <w:r w:rsidRPr="00BA75EF">
        <w:t xml:space="preserve"> provided with </w:t>
      </w:r>
      <w:r>
        <w:t xml:space="preserve">clinically indicated, </w:t>
      </w:r>
      <w:r w:rsidRPr="00BA75EF">
        <w:t>high</w:t>
      </w:r>
      <w:r>
        <w:t>-</w:t>
      </w:r>
      <w:r w:rsidRPr="00BA75EF">
        <w:t xml:space="preserve">quality care that </w:t>
      </w:r>
      <w:bookmarkStart w:id="70" w:name="_Toc485295714"/>
      <w:bookmarkStart w:id="71" w:name="_Toc506552461"/>
      <w:r w:rsidR="00355E53">
        <w:t xml:space="preserve">reflects modern best practice. </w:t>
      </w:r>
      <w:r w:rsidR="005E6078" w:rsidRPr="00854013">
        <w:br w:type="page"/>
      </w:r>
    </w:p>
    <w:p w14:paraId="4F1989AE" w14:textId="77777777" w:rsidR="00B5790E" w:rsidRPr="00074D54" w:rsidRDefault="00817A04" w:rsidP="004F5C57">
      <w:pPr>
        <w:pStyle w:val="Heading1"/>
        <w:spacing w:after="480"/>
      </w:pPr>
      <w:bookmarkStart w:id="72" w:name="_Toc522396612"/>
      <w:bookmarkStart w:id="73" w:name="_Toc525816053"/>
      <w:r w:rsidRPr="00854013">
        <w:lastRenderedPageBreak/>
        <w:t>About the Medicare Benefits Schedule (MBS)</w:t>
      </w:r>
      <w:r w:rsidRPr="00360531">
        <w:t xml:space="preserve"> Review</w:t>
      </w:r>
      <w:bookmarkEnd w:id="70"/>
      <w:bookmarkEnd w:id="71"/>
      <w:bookmarkEnd w:id="72"/>
      <w:bookmarkEnd w:id="73"/>
    </w:p>
    <w:p w14:paraId="21C3BAD2" w14:textId="77777777" w:rsidR="00FA4189" w:rsidRPr="00074D54" w:rsidRDefault="00463B1C" w:rsidP="004F5C57">
      <w:pPr>
        <w:pStyle w:val="Heading2"/>
        <w:ind w:firstLine="417"/>
      </w:pPr>
      <w:bookmarkStart w:id="74" w:name="_Toc485295715"/>
      <w:bookmarkStart w:id="75" w:name="_Toc506552462"/>
      <w:bookmarkStart w:id="76" w:name="_Toc522396613"/>
      <w:bookmarkStart w:id="77" w:name="_Toc525816054"/>
      <w:r w:rsidRPr="00074D54">
        <w:t>Medicare and the MBS</w:t>
      </w:r>
      <w:bookmarkEnd w:id="74"/>
      <w:bookmarkEnd w:id="75"/>
      <w:bookmarkEnd w:id="76"/>
      <w:bookmarkEnd w:id="77"/>
    </w:p>
    <w:p w14:paraId="6CE2BF43" w14:textId="77777777" w:rsidR="000556FB" w:rsidRPr="00074D54" w:rsidRDefault="000556FB" w:rsidP="00C85F2F">
      <w:pPr>
        <w:pStyle w:val="Heading3Numbered0"/>
      </w:pPr>
      <w:bookmarkStart w:id="78" w:name="_Toc506552463"/>
      <w:bookmarkStart w:id="79" w:name="_Toc522396614"/>
      <w:bookmarkStart w:id="80" w:name="_Toc525816055"/>
      <w:r w:rsidRPr="00074D54">
        <w:t>What is Medicare?</w:t>
      </w:r>
      <w:bookmarkEnd w:id="78"/>
      <w:bookmarkEnd w:id="79"/>
      <w:bookmarkEnd w:id="80"/>
    </w:p>
    <w:p w14:paraId="51D0574A" w14:textId="77777777" w:rsidR="006B0D15" w:rsidRPr="00074D54" w:rsidRDefault="006B0D15" w:rsidP="005E6078">
      <w:pPr>
        <w:spacing w:before="120" w:after="120" w:line="240" w:lineRule="auto"/>
        <w:ind w:right="-330"/>
        <w:rPr>
          <w:rFonts w:cs="Arial"/>
          <w:lang w:val="en-US" w:eastAsia="en-US"/>
        </w:rPr>
      </w:pPr>
      <w:r w:rsidRPr="00074D54">
        <w:rPr>
          <w:rFonts w:cs="Arial"/>
          <w:lang w:val="en-US" w:eastAsia="en-US"/>
        </w:rPr>
        <w:t>Medicare is Australia’s universal health scheme</w:t>
      </w:r>
      <w:r w:rsidR="00A13A3C" w:rsidRPr="00074D54">
        <w:rPr>
          <w:rFonts w:cs="Arial"/>
          <w:lang w:val="en-US" w:eastAsia="en-US"/>
        </w:rPr>
        <w:t xml:space="preserve"> </w:t>
      </w:r>
      <w:r w:rsidR="00E130F6" w:rsidRPr="00074D54">
        <w:rPr>
          <w:rFonts w:cs="Arial"/>
          <w:lang w:val="en-US" w:eastAsia="en-US"/>
        </w:rPr>
        <w:t xml:space="preserve">that </w:t>
      </w:r>
      <w:r w:rsidR="00A13A3C" w:rsidRPr="00074D54">
        <w:rPr>
          <w:rFonts w:cs="Arial"/>
          <w:lang w:val="en-US" w:eastAsia="en-US"/>
        </w:rPr>
        <w:t>enables</w:t>
      </w:r>
      <w:r w:rsidRPr="00074D54">
        <w:rPr>
          <w:rFonts w:cs="Arial"/>
          <w:lang w:val="en-US" w:eastAsia="en-US"/>
        </w:rPr>
        <w:t xml:space="preserve"> all</w:t>
      </w:r>
      <w:r w:rsidR="00A473A6" w:rsidRPr="00074D54">
        <w:rPr>
          <w:rFonts w:cs="Arial"/>
          <w:lang w:val="en-US" w:eastAsia="en-US"/>
        </w:rPr>
        <w:t xml:space="preserve"> Australian residents</w:t>
      </w:r>
      <w:r w:rsidRPr="00074D54">
        <w:rPr>
          <w:rFonts w:cs="Arial"/>
          <w:lang w:val="en-US" w:eastAsia="en-US"/>
        </w:rPr>
        <w:t xml:space="preserve"> (and some overseas visitors) </w:t>
      </w:r>
      <w:r w:rsidR="00F971B5" w:rsidRPr="00074D54">
        <w:rPr>
          <w:rFonts w:cs="Arial"/>
          <w:lang w:val="en-US" w:eastAsia="en-US"/>
        </w:rPr>
        <w:t xml:space="preserve">to </w:t>
      </w:r>
      <w:r w:rsidR="00AE0B4C" w:rsidRPr="00074D54">
        <w:rPr>
          <w:rFonts w:cs="Arial"/>
          <w:lang w:val="en-US" w:eastAsia="en-US"/>
        </w:rPr>
        <w:t>have</w:t>
      </w:r>
      <w:r w:rsidRPr="00074D54">
        <w:rPr>
          <w:rFonts w:cs="Arial"/>
          <w:lang w:val="en-US" w:eastAsia="en-US"/>
        </w:rPr>
        <w:t xml:space="preserve"> access to a wide range of health services </w:t>
      </w:r>
      <w:r w:rsidR="00F971B5" w:rsidRPr="00074D54">
        <w:rPr>
          <w:rFonts w:cs="Arial"/>
          <w:lang w:val="en-US" w:eastAsia="en-US"/>
        </w:rPr>
        <w:t xml:space="preserve">and medicines </w:t>
      </w:r>
      <w:r w:rsidRPr="00074D54">
        <w:rPr>
          <w:rFonts w:cs="Arial"/>
          <w:lang w:val="en-US" w:eastAsia="en-US"/>
        </w:rPr>
        <w:t xml:space="preserve">at little or no cost. </w:t>
      </w:r>
    </w:p>
    <w:p w14:paraId="40B185BA" w14:textId="77777777" w:rsidR="007C00E1" w:rsidRPr="00074D54" w:rsidRDefault="00A13A3C" w:rsidP="005E6078">
      <w:pPr>
        <w:spacing w:before="120" w:line="240" w:lineRule="auto"/>
        <w:ind w:right="-329"/>
        <w:rPr>
          <w:rFonts w:cs="Arial"/>
        </w:rPr>
      </w:pPr>
      <w:r w:rsidRPr="00074D54">
        <w:rPr>
          <w:rFonts w:cs="Arial"/>
        </w:rPr>
        <w:t>Introduced in 1984,</w:t>
      </w:r>
      <w:r w:rsidR="00E130F6" w:rsidRPr="00074D54">
        <w:rPr>
          <w:rFonts w:cs="Arial"/>
        </w:rPr>
        <w:t xml:space="preserve"> </w:t>
      </w:r>
      <w:r w:rsidR="006B0D15" w:rsidRPr="00074D54">
        <w:rPr>
          <w:rFonts w:cs="Arial"/>
        </w:rPr>
        <w:t xml:space="preserve">Medicare </w:t>
      </w:r>
      <w:r w:rsidRPr="00074D54">
        <w:rPr>
          <w:rFonts w:cs="Arial"/>
        </w:rPr>
        <w:t>has three components</w:t>
      </w:r>
      <w:r w:rsidR="00E130F6" w:rsidRPr="00074D54">
        <w:rPr>
          <w:rFonts w:cs="Arial"/>
        </w:rPr>
        <w:t xml:space="preserve">: </w:t>
      </w:r>
    </w:p>
    <w:p w14:paraId="75641439" w14:textId="77777777" w:rsidR="007C00E1" w:rsidRPr="00074D54" w:rsidRDefault="00A13A3C" w:rsidP="005E6078">
      <w:pPr>
        <w:pStyle w:val="Bullet-green"/>
        <w:spacing w:line="240" w:lineRule="auto"/>
      </w:pPr>
      <w:r w:rsidRPr="00074D54">
        <w:t>free public hospital services for public patients</w:t>
      </w:r>
    </w:p>
    <w:p w14:paraId="1B68BEE1" w14:textId="77777777" w:rsidR="007C00E1" w:rsidRPr="00074D54" w:rsidRDefault="00A13A3C" w:rsidP="005E6078">
      <w:pPr>
        <w:pStyle w:val="Bullet-green"/>
        <w:spacing w:line="240" w:lineRule="auto"/>
      </w:pPr>
      <w:r w:rsidRPr="00074D54">
        <w:t>subsidised drugs covered by the Pharmaceutical Benefits Scheme</w:t>
      </w:r>
      <w:r w:rsidR="00E130F6" w:rsidRPr="00074D54">
        <w:t xml:space="preserve"> (PBS)</w:t>
      </w:r>
    </w:p>
    <w:p w14:paraId="1C6F6E12" w14:textId="77777777" w:rsidR="007C00E1" w:rsidRPr="00074D54" w:rsidRDefault="00A13A3C" w:rsidP="005E6078">
      <w:pPr>
        <w:pStyle w:val="Bullet-green"/>
        <w:spacing w:line="240" w:lineRule="auto"/>
      </w:pPr>
      <w:r w:rsidRPr="00074D54">
        <w:t>subsidised health professional services listed on the</w:t>
      </w:r>
      <w:r w:rsidR="001F11CE" w:rsidRPr="00074D54">
        <w:t xml:space="preserve"> MBS</w:t>
      </w:r>
      <w:r w:rsidR="006B0D15" w:rsidRPr="00074D54">
        <w:t>.</w:t>
      </w:r>
    </w:p>
    <w:p w14:paraId="79DE6215" w14:textId="77777777" w:rsidR="000556FB" w:rsidRPr="00074D54" w:rsidRDefault="000556FB" w:rsidP="004F5C57">
      <w:pPr>
        <w:pStyle w:val="Heading2"/>
        <w:ind w:firstLine="417"/>
      </w:pPr>
      <w:bookmarkStart w:id="81" w:name="_Toc506552464"/>
      <w:bookmarkStart w:id="82" w:name="_Toc522396615"/>
      <w:bookmarkStart w:id="83" w:name="_Toc525816056"/>
      <w:r w:rsidRPr="00074D54">
        <w:t>What is the MBS?</w:t>
      </w:r>
      <w:bookmarkEnd w:id="81"/>
      <w:bookmarkEnd w:id="82"/>
      <w:bookmarkEnd w:id="83"/>
    </w:p>
    <w:p w14:paraId="6365ACA6" w14:textId="77777777" w:rsidR="008A05B8" w:rsidRPr="00074D54" w:rsidRDefault="00D57793" w:rsidP="005E6078">
      <w:pPr>
        <w:spacing w:line="240" w:lineRule="auto"/>
        <w:rPr>
          <w:lang w:val="en-US" w:eastAsia="en-US"/>
        </w:rPr>
      </w:pPr>
      <w:r w:rsidRPr="00074D54">
        <w:rPr>
          <w:lang w:val="en-US" w:eastAsia="en-US"/>
        </w:rPr>
        <w:t xml:space="preserve">The </w:t>
      </w:r>
      <w:r w:rsidR="001F11CE" w:rsidRPr="00074D54">
        <w:rPr>
          <w:lang w:val="en-US" w:eastAsia="en-US"/>
        </w:rPr>
        <w:t>MBS</w:t>
      </w:r>
      <w:r w:rsidRPr="00074D54">
        <w:rPr>
          <w:lang w:val="en-US" w:eastAsia="en-US"/>
        </w:rPr>
        <w:t xml:space="preserve"> is a listing of the</w:t>
      </w:r>
      <w:r w:rsidR="00A13A3C" w:rsidRPr="00074D54">
        <w:rPr>
          <w:lang w:val="en-US" w:eastAsia="en-US"/>
        </w:rPr>
        <w:t xml:space="preserve"> health </w:t>
      </w:r>
      <w:r w:rsidR="00536EB8" w:rsidRPr="00074D54">
        <w:rPr>
          <w:lang w:val="en-US" w:eastAsia="en-US"/>
        </w:rPr>
        <w:t>professional services</w:t>
      </w:r>
      <w:r w:rsidRPr="00074D54">
        <w:rPr>
          <w:lang w:val="en-US" w:eastAsia="en-US"/>
        </w:rPr>
        <w:t xml:space="preserve"> subsidised by the Australian </w:t>
      </w:r>
      <w:r w:rsidR="007C1C32" w:rsidRPr="00074D54">
        <w:rPr>
          <w:lang w:val="en-US" w:eastAsia="en-US"/>
        </w:rPr>
        <w:t>G</w:t>
      </w:r>
      <w:r w:rsidR="00536EB8" w:rsidRPr="00074D54">
        <w:rPr>
          <w:lang w:val="en-US" w:eastAsia="en-US"/>
        </w:rPr>
        <w:t>overnment. There</w:t>
      </w:r>
      <w:r w:rsidR="00F971B5" w:rsidRPr="00074D54">
        <w:rPr>
          <w:lang w:val="en-US" w:eastAsia="en-US"/>
        </w:rPr>
        <w:t xml:space="preserve"> are </w:t>
      </w:r>
      <w:r w:rsidR="00967B0F" w:rsidRPr="00074D54">
        <w:rPr>
          <w:lang w:val="en-US" w:eastAsia="en-US"/>
        </w:rPr>
        <w:t xml:space="preserve">more than </w:t>
      </w:r>
      <w:r w:rsidR="00F971B5" w:rsidRPr="00074D54">
        <w:rPr>
          <w:lang w:val="en-US" w:eastAsia="en-US"/>
        </w:rPr>
        <w:t>5</w:t>
      </w:r>
      <w:r w:rsidR="000556FB" w:rsidRPr="00074D54">
        <w:rPr>
          <w:lang w:val="en-US" w:eastAsia="en-US"/>
        </w:rPr>
        <w:t>,</w:t>
      </w:r>
      <w:r w:rsidR="00F971B5" w:rsidRPr="00074D54">
        <w:rPr>
          <w:lang w:val="en-US" w:eastAsia="en-US"/>
        </w:rPr>
        <w:t xml:space="preserve">700 MBS items </w:t>
      </w:r>
      <w:r w:rsidR="00967B0F" w:rsidRPr="00074D54">
        <w:rPr>
          <w:lang w:val="en-US" w:eastAsia="en-US"/>
        </w:rPr>
        <w:t xml:space="preserve">that </w:t>
      </w:r>
      <w:r w:rsidR="00536EB8" w:rsidRPr="00074D54">
        <w:rPr>
          <w:lang w:val="en-US" w:eastAsia="en-US"/>
        </w:rPr>
        <w:t>provide</w:t>
      </w:r>
      <w:r w:rsidR="00967B0F" w:rsidRPr="00074D54">
        <w:rPr>
          <w:lang w:val="en-US" w:eastAsia="en-US"/>
        </w:rPr>
        <w:t xml:space="preserve"> </w:t>
      </w:r>
      <w:r w:rsidR="00A473A6" w:rsidRPr="00074D54">
        <w:rPr>
          <w:lang w:val="en-US" w:eastAsia="en-US"/>
        </w:rPr>
        <w:t>benefits to patients</w:t>
      </w:r>
      <w:r w:rsidR="00536EB8" w:rsidRPr="00074D54">
        <w:rPr>
          <w:lang w:val="en-US" w:eastAsia="en-US"/>
        </w:rPr>
        <w:t xml:space="preserve"> for</w:t>
      </w:r>
      <w:r w:rsidR="00F971B5" w:rsidRPr="00074D54">
        <w:rPr>
          <w:lang w:val="en-US" w:eastAsia="en-US"/>
        </w:rPr>
        <w:t xml:space="preserve"> a comprehensive range </w:t>
      </w:r>
      <w:r w:rsidR="0054443F" w:rsidRPr="00074D54">
        <w:rPr>
          <w:lang w:val="en-US" w:eastAsia="en-US"/>
        </w:rPr>
        <w:t>of services</w:t>
      </w:r>
      <w:r w:rsidR="00967B0F" w:rsidRPr="00074D54">
        <w:rPr>
          <w:lang w:val="en-US" w:eastAsia="en-US"/>
        </w:rPr>
        <w:t>,</w:t>
      </w:r>
      <w:r w:rsidR="00F971B5" w:rsidRPr="00074D54">
        <w:rPr>
          <w:lang w:val="en-US" w:eastAsia="en-US"/>
        </w:rPr>
        <w:t xml:space="preserve"> including consultations, diagnostic tests and operations. </w:t>
      </w:r>
    </w:p>
    <w:p w14:paraId="4E9D413C" w14:textId="77777777" w:rsidR="008A05B8" w:rsidRPr="00074D54" w:rsidRDefault="008A05B8" w:rsidP="004F5C57">
      <w:pPr>
        <w:pStyle w:val="Heading2"/>
        <w:ind w:firstLine="417"/>
      </w:pPr>
      <w:bookmarkStart w:id="84" w:name="_Toc485295716"/>
      <w:bookmarkStart w:id="85" w:name="_Toc506552465"/>
      <w:bookmarkStart w:id="86" w:name="_Toc522396616"/>
      <w:bookmarkStart w:id="87" w:name="_Toc525816057"/>
      <w:r w:rsidRPr="00074D54">
        <w:t>What is the MBS Review Taskforce?</w:t>
      </w:r>
      <w:bookmarkEnd w:id="84"/>
      <w:bookmarkEnd w:id="85"/>
      <w:bookmarkEnd w:id="86"/>
      <w:bookmarkEnd w:id="87"/>
    </w:p>
    <w:p w14:paraId="01DC67FA" w14:textId="77777777" w:rsidR="00E5655B" w:rsidRPr="00074D54" w:rsidRDefault="00E5655B" w:rsidP="005E6078">
      <w:pPr>
        <w:spacing w:line="240" w:lineRule="auto"/>
      </w:pPr>
      <w:r w:rsidRPr="00074D54">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7F8D98BD" w14:textId="77777777" w:rsidR="008A05B8" w:rsidRPr="00074D54" w:rsidRDefault="00202DB4" w:rsidP="00C85F2F">
      <w:pPr>
        <w:pStyle w:val="Heading3Numbered0"/>
      </w:pPr>
      <w:bookmarkStart w:id="88" w:name="_Toc506552466"/>
      <w:bookmarkStart w:id="89" w:name="_Toc522396617"/>
      <w:bookmarkStart w:id="90" w:name="_Toc525816058"/>
      <w:r w:rsidRPr="00074D54">
        <w:t>What are the g</w:t>
      </w:r>
      <w:r w:rsidR="009A1898" w:rsidRPr="00074D54">
        <w:t>oals of the Taskforce?</w:t>
      </w:r>
      <w:bookmarkEnd w:id="88"/>
      <w:bookmarkEnd w:id="89"/>
      <w:bookmarkEnd w:id="90"/>
    </w:p>
    <w:p w14:paraId="76299055" w14:textId="77777777" w:rsidR="00AE0B4C" w:rsidRPr="00074D54" w:rsidRDefault="00AE0B4C" w:rsidP="005E6078">
      <w:pPr>
        <w:spacing w:before="120" w:after="120" w:line="240" w:lineRule="auto"/>
        <w:rPr>
          <w:rFonts w:cs="Arial"/>
        </w:rPr>
      </w:pPr>
      <w:r w:rsidRPr="00074D54">
        <w:rPr>
          <w:rFonts w:cs="Arial"/>
        </w:rPr>
        <w:t>The Taskforce is committed to providing recommendations to the Minister that will allow the MBS to deliver on each of these four key goals:</w:t>
      </w:r>
    </w:p>
    <w:p w14:paraId="3392FF98" w14:textId="77777777" w:rsidR="00AE0B4C" w:rsidRPr="00074D54" w:rsidRDefault="00AE0B4C" w:rsidP="005E6078">
      <w:pPr>
        <w:pStyle w:val="Bullet-green"/>
        <w:spacing w:line="240" w:lineRule="auto"/>
      </w:pPr>
      <w:r w:rsidRPr="00074D54">
        <w:rPr>
          <w:rStyle w:val="Boldbullet-greenChar"/>
        </w:rPr>
        <w:t>Affordable and universal access</w:t>
      </w:r>
      <w:r w:rsidRPr="00074D54">
        <w:t>—</w:t>
      </w:r>
      <w:r w:rsidR="00306AC2" w:rsidRPr="00074D54">
        <w:t>the</w:t>
      </w:r>
      <w:r w:rsidRPr="00074D54">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074D54">
        <w:t>,</w:t>
      </w:r>
      <w:r w:rsidRPr="00074D54">
        <w:t xml:space="preserve"> with some rural patients being particularly under-serviced.</w:t>
      </w:r>
    </w:p>
    <w:p w14:paraId="296447A8" w14:textId="77777777" w:rsidR="00AE0B4C" w:rsidRPr="00074D54" w:rsidRDefault="00AE0B4C" w:rsidP="005E6078">
      <w:pPr>
        <w:pStyle w:val="Bullet-green"/>
        <w:spacing w:line="240" w:lineRule="auto"/>
      </w:pPr>
      <w:r w:rsidRPr="00074D54">
        <w:rPr>
          <w:rStyle w:val="Boldbullet-greenChar"/>
        </w:rPr>
        <w:t>Best practice health services</w:t>
      </w:r>
      <w:r w:rsidRPr="00074D54">
        <w:t>—</w:t>
      </w:r>
      <w:r w:rsidR="00306AC2" w:rsidRPr="00074D54">
        <w:t>one</w:t>
      </w:r>
      <w:r w:rsidRPr="00074D54">
        <w:t xml:space="preserve"> of the core objectives of the Review is to modernise the MBS, ensuring that individual items and their descriptors are consistent with contemporary best practice and the evidence base whe</w:t>
      </w:r>
      <w:r w:rsidR="00646BCE" w:rsidRPr="00074D54">
        <w:t>n</w:t>
      </w:r>
      <w:r w:rsidRPr="00074D54">
        <w:t xml:space="preserve"> possible. Although the Medical Services Advisory Committee (MSAC) plays a crucial role in thoroughly evaluating new services, the vast </w:t>
      </w:r>
      <w:r w:rsidR="0054443F" w:rsidRPr="00074D54">
        <w:t>majority</w:t>
      </w:r>
      <w:r w:rsidR="006234D9" w:rsidRPr="00074D54">
        <w:t xml:space="preserve"> of existing MBS items pre-date this process and have</w:t>
      </w:r>
      <w:r w:rsidRPr="00074D54">
        <w:t xml:space="preserve"> never been reviewed.</w:t>
      </w:r>
    </w:p>
    <w:p w14:paraId="071DBEEB" w14:textId="77777777" w:rsidR="00AE0B4C" w:rsidRPr="00074D54" w:rsidRDefault="00AE0B4C" w:rsidP="005E6078">
      <w:pPr>
        <w:pStyle w:val="Bullet-green"/>
        <w:spacing w:line="240" w:lineRule="auto"/>
      </w:pPr>
      <w:r w:rsidRPr="00074D54">
        <w:rPr>
          <w:rStyle w:val="Boldbullet-greenChar"/>
        </w:rPr>
        <w:lastRenderedPageBreak/>
        <w:t>Value for the individual patient</w:t>
      </w:r>
      <w:r w:rsidR="00306AC2" w:rsidRPr="00074D54">
        <w:t>—a</w:t>
      </w:r>
      <w:r w:rsidRPr="00074D54">
        <w:t>nother core objective of the Review is to have a</w:t>
      </w:r>
      <w:r w:rsidR="00646BCE" w:rsidRPr="00074D54">
        <w:t>n</w:t>
      </w:r>
      <w:r w:rsidRPr="00074D54">
        <w:t xml:space="preserve"> MBS that supports the delivery of services that are appropriate to the patient’s needs, provide real clinical value and do not expose the patient to unnecessary risk or expense.</w:t>
      </w:r>
    </w:p>
    <w:p w14:paraId="1B31EA68" w14:textId="4B4661FE" w:rsidR="00AE0B4C" w:rsidRDefault="00AE0B4C" w:rsidP="005E6078">
      <w:pPr>
        <w:pStyle w:val="Bullet-green"/>
        <w:spacing w:line="240" w:lineRule="auto"/>
      </w:pPr>
      <w:r w:rsidRPr="00074D54">
        <w:rPr>
          <w:rStyle w:val="Boldbullet-greenChar"/>
        </w:rPr>
        <w:t>Value for the health system</w:t>
      </w:r>
      <w:r w:rsidR="00306AC2" w:rsidRPr="00074D54">
        <w:t>—a</w:t>
      </w:r>
      <w:r w:rsidRPr="00074D54">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662A2C21" w14:textId="77777777" w:rsidR="00990089" w:rsidRPr="00074D54" w:rsidRDefault="00990089" w:rsidP="00990089">
      <w:pPr>
        <w:pStyle w:val="Bullet-green"/>
        <w:numPr>
          <w:ilvl w:val="0"/>
          <w:numId w:val="0"/>
        </w:numPr>
        <w:spacing w:line="240" w:lineRule="auto"/>
        <w:ind w:left="431"/>
      </w:pPr>
    </w:p>
    <w:p w14:paraId="64FA51A0" w14:textId="77777777" w:rsidR="00715996" w:rsidRPr="00074D54" w:rsidRDefault="00715996" w:rsidP="004F5C57">
      <w:pPr>
        <w:pStyle w:val="Heading2"/>
        <w:ind w:firstLine="417"/>
      </w:pPr>
      <w:bookmarkStart w:id="91" w:name="_Toc485295717"/>
      <w:bookmarkStart w:id="92" w:name="_Toc506552467"/>
      <w:bookmarkStart w:id="93" w:name="_Toc522396618"/>
      <w:bookmarkStart w:id="94" w:name="_Toc525816059"/>
      <w:r w:rsidRPr="00074D54">
        <w:t>The Taskforce’s approach</w:t>
      </w:r>
      <w:bookmarkEnd w:id="91"/>
      <w:bookmarkEnd w:id="92"/>
      <w:bookmarkEnd w:id="93"/>
      <w:bookmarkEnd w:id="94"/>
    </w:p>
    <w:p w14:paraId="721A49A7" w14:textId="77777777" w:rsidR="00743B78" w:rsidRPr="00074D54" w:rsidRDefault="00743B78" w:rsidP="00030B28">
      <w:pPr>
        <w:spacing w:line="240" w:lineRule="auto"/>
      </w:pPr>
      <w:r w:rsidRPr="00074D54">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75888666" w14:textId="77777777" w:rsidR="00743B78" w:rsidRPr="00074D54" w:rsidRDefault="00743B78" w:rsidP="00030B28">
      <w:pPr>
        <w:spacing w:line="240" w:lineRule="auto"/>
      </w:pPr>
      <w:r w:rsidRPr="00074D54">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198E547" w14:textId="77777777" w:rsidR="00743B78" w:rsidRPr="00074D54" w:rsidRDefault="00743B78" w:rsidP="00030B28">
      <w:pPr>
        <w:spacing w:line="240" w:lineRule="auto"/>
      </w:pPr>
      <w:r w:rsidRPr="00074D54">
        <w:t xml:space="preserve">As the MBS Review is clinician-led, the Taskforce decided that </w:t>
      </w:r>
      <w:r w:rsidR="00016A2E" w:rsidRPr="00074D54">
        <w:t>c</w:t>
      </w:r>
      <w:r w:rsidRPr="00074D54">
        <w:t xml:space="preserve">linical </w:t>
      </w:r>
      <w:r w:rsidR="00016A2E" w:rsidRPr="00074D54">
        <w:t>c</w:t>
      </w:r>
      <w:r w:rsidRPr="00074D54">
        <w:t xml:space="preserve">ommittees should conduct the detailed review of MBS items. The committees are broad-based in their membership, and members have been appointed in an individual capacity, rather than as representatives of any organisation. </w:t>
      </w:r>
    </w:p>
    <w:p w14:paraId="31A08FC3" w14:textId="77777777" w:rsidR="00743B78" w:rsidRPr="00854013" w:rsidRDefault="00743B78" w:rsidP="00030B28">
      <w:pPr>
        <w:spacing w:line="240" w:lineRule="auto"/>
      </w:pPr>
      <w:r w:rsidRPr="00074D54">
        <w:t>The Taskforce asked the committees to review MBS items using a framework based on Professor Adam Elshaug’s appropriate use criteria</w:t>
      </w:r>
      <w:r w:rsidR="000F6EE9" w:rsidRPr="00074D54">
        <w:t xml:space="preserve"> </w:t>
      </w:r>
      <w:sdt>
        <w:sdtPr>
          <w:id w:val="539330623"/>
          <w:citation/>
        </w:sdtPr>
        <w:sdtEndPr/>
        <w:sdtContent>
          <w:r w:rsidR="000F6EE9" w:rsidRPr="00854013">
            <w:fldChar w:fldCharType="begin"/>
          </w:r>
          <w:r w:rsidR="007C024E">
            <w:rPr>
              <w:lang w:val="en-US"/>
            </w:rPr>
            <w:instrText xml:space="preserve">CITATION Els12 \l 1033 </w:instrText>
          </w:r>
          <w:r w:rsidR="000F6EE9" w:rsidRPr="00854013">
            <w:fldChar w:fldCharType="separate"/>
          </w:r>
          <w:r w:rsidR="00B66BE1">
            <w:rPr>
              <w:noProof/>
              <w:lang w:val="en-US"/>
            </w:rPr>
            <w:t>(1)</w:t>
          </w:r>
          <w:r w:rsidR="000F6EE9" w:rsidRPr="00854013">
            <w:fldChar w:fldCharType="end"/>
          </w:r>
        </w:sdtContent>
      </w:sdt>
      <w:r w:rsidRPr="00854013">
        <w:t>. The framework consists of seven steps:</w:t>
      </w:r>
    </w:p>
    <w:p w14:paraId="77B803CD" w14:textId="77777777" w:rsidR="00743B78" w:rsidRPr="00074D54" w:rsidRDefault="00743B78" w:rsidP="004C1369">
      <w:pPr>
        <w:pStyle w:val="Numbering"/>
        <w:numPr>
          <w:ilvl w:val="0"/>
          <w:numId w:val="8"/>
        </w:numPr>
        <w:spacing w:line="240" w:lineRule="auto"/>
      </w:pPr>
      <w:r w:rsidRPr="00360531">
        <w:t xml:space="preserve">Develop an initial fact base for all items under consideration, drawing on the relevant data and literature. </w:t>
      </w:r>
    </w:p>
    <w:p w14:paraId="6976D91D" w14:textId="396A1C46" w:rsidR="00743B78" w:rsidRDefault="00743B78" w:rsidP="00030B28">
      <w:pPr>
        <w:pStyle w:val="Numbering"/>
        <w:spacing w:line="240" w:lineRule="auto"/>
      </w:pPr>
      <w:r w:rsidRPr="00074D54">
        <w:t xml:space="preserve">Identify items that are obsolete, are of questionable </w:t>
      </w:r>
      <w:r w:rsidR="006949D8" w:rsidRPr="00074D54">
        <w:t>clinical value</w:t>
      </w:r>
      <w:r w:rsidR="006949D8" w:rsidRPr="00074D54">
        <w:rPr>
          <w:rStyle w:val="FootnoteReference"/>
        </w:rPr>
        <w:footnoteReference w:id="2"/>
      </w:r>
      <w:r w:rsidR="006949D8" w:rsidRPr="00074D54">
        <w:t>, are misused</w:t>
      </w:r>
      <w:r w:rsidR="006949D8" w:rsidRPr="00074D54">
        <w:rPr>
          <w:rStyle w:val="FootnoteReference"/>
        </w:rPr>
        <w:footnoteReference w:id="3"/>
      </w:r>
      <w:r w:rsidR="006949D8" w:rsidRPr="00074D54">
        <w:t xml:space="preserve"> and/or pose </w:t>
      </w:r>
      <w:r w:rsidRPr="00074D54">
        <w:t>a risk to patient safety. This step includes prioritising items as “priority 1”, “priority 2”, or “priority 3”</w:t>
      </w:r>
      <w:r w:rsidR="00AB2DC8" w:rsidRPr="00074D54">
        <w:t>,</w:t>
      </w:r>
      <w:r w:rsidRPr="00074D54">
        <w:t xml:space="preserve"> using a prioritisation methodology (described in more detail below).</w:t>
      </w:r>
    </w:p>
    <w:p w14:paraId="0F74214D" w14:textId="77777777" w:rsidR="00743B78" w:rsidRPr="00074D54" w:rsidRDefault="00743B78" w:rsidP="00030B28">
      <w:pPr>
        <w:pStyle w:val="Numbering"/>
        <w:spacing w:line="240" w:lineRule="auto"/>
      </w:pPr>
      <w:r w:rsidRPr="00074D54">
        <w:lastRenderedPageBreak/>
        <w:t xml:space="preserve">Identify any issues, develop hypotheses for recommendations and create a work plan (including establishing </w:t>
      </w:r>
      <w:r w:rsidR="00016A2E" w:rsidRPr="00074D54">
        <w:t>w</w:t>
      </w:r>
      <w:r w:rsidRPr="00074D54">
        <w:t xml:space="preserve">orking </w:t>
      </w:r>
      <w:r w:rsidR="00016A2E" w:rsidRPr="00074D54">
        <w:t>g</w:t>
      </w:r>
      <w:r w:rsidRPr="00074D54">
        <w:t>roups, when required) to arrive at recommendations for each item.</w:t>
      </w:r>
    </w:p>
    <w:p w14:paraId="752E52CC" w14:textId="77777777" w:rsidR="00743B78" w:rsidRPr="00074D54" w:rsidRDefault="00743B78" w:rsidP="00030B28">
      <w:pPr>
        <w:pStyle w:val="Numbering"/>
        <w:spacing w:line="240" w:lineRule="auto"/>
      </w:pPr>
      <w:r w:rsidRPr="00074D54">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074D54">
        <w:t>c</w:t>
      </w:r>
      <w:r w:rsidRPr="00074D54">
        <w:t xml:space="preserve">ommittee, </w:t>
      </w:r>
      <w:r w:rsidR="00016A2E" w:rsidRPr="00074D54">
        <w:t>w</w:t>
      </w:r>
      <w:r w:rsidRPr="00074D54">
        <w:t xml:space="preserve">orking </w:t>
      </w:r>
      <w:r w:rsidR="00016A2E" w:rsidRPr="00074D54">
        <w:t>g</w:t>
      </w:r>
      <w:r w:rsidRPr="00074D54">
        <w:t>roups, and relevant colleagues or Colleges. For complex cases, full appropriate use criteria were developed for the item’s explanatory notes.</w:t>
      </w:r>
    </w:p>
    <w:p w14:paraId="0D2B556C" w14:textId="77777777" w:rsidR="00743B78" w:rsidRPr="00074D54" w:rsidRDefault="00743B78" w:rsidP="00030B28">
      <w:pPr>
        <w:pStyle w:val="Numbering"/>
        <w:spacing w:line="240" w:lineRule="auto"/>
      </w:pPr>
      <w:bookmarkStart w:id="95" w:name="_Ref505174405"/>
      <w:r w:rsidRPr="00074D54">
        <w:t>Review the provisional recommendations and the accompanying rationales, and gather further evidence as required.</w:t>
      </w:r>
      <w:bookmarkEnd w:id="95"/>
    </w:p>
    <w:p w14:paraId="5278C6B5" w14:textId="77777777" w:rsidR="00756A5C" w:rsidRPr="00074D54" w:rsidRDefault="00743B78" w:rsidP="00030B28">
      <w:pPr>
        <w:pStyle w:val="Numbering"/>
        <w:spacing w:line="240" w:lineRule="auto"/>
      </w:pPr>
      <w:r w:rsidRPr="00074D54">
        <w:t>Finalise the recommendations in preparation for broader stakeholder consultation.</w:t>
      </w:r>
    </w:p>
    <w:p w14:paraId="7E6BE99D" w14:textId="77777777" w:rsidR="00743B78" w:rsidRPr="00074D54" w:rsidRDefault="00743B78" w:rsidP="00030B28">
      <w:pPr>
        <w:pStyle w:val="Numbering"/>
        <w:spacing w:line="240" w:lineRule="auto"/>
      </w:pPr>
      <w:r w:rsidRPr="00074D54">
        <w:t xml:space="preserve">Incorporate feedback gathered during stakeholder consultation and finalise the Review Report, which provides recommendations for the Taskforce. </w:t>
      </w:r>
    </w:p>
    <w:p w14:paraId="0CEE2067" w14:textId="77777777" w:rsidR="00743B78" w:rsidRPr="00074D54" w:rsidRDefault="00743B78" w:rsidP="00030B28">
      <w:pPr>
        <w:spacing w:line="240" w:lineRule="auto"/>
      </w:pPr>
      <w:r w:rsidRPr="00074D54">
        <w:t xml:space="preserve">All MBS items will be reviewed during the course of the MBS Review. However, given the breadth of and timeframe for the Review, each </w:t>
      </w:r>
      <w:r w:rsidR="00016A2E" w:rsidRPr="00074D54">
        <w:t>c</w:t>
      </w:r>
      <w:r w:rsidRPr="00074D54">
        <w:t xml:space="preserve">linical </w:t>
      </w:r>
      <w:r w:rsidR="00016A2E" w:rsidRPr="00074D54">
        <w:t>c</w:t>
      </w:r>
      <w:r w:rsidRPr="00074D54">
        <w:t>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265DC658" w14:textId="77777777" w:rsidR="00743B78" w:rsidRPr="00074D54" w:rsidRDefault="00743B78" w:rsidP="00030B28">
      <w:pPr>
        <w:pStyle w:val="Bullet-green"/>
        <w:spacing w:line="240" w:lineRule="auto"/>
      </w:pPr>
      <w:r w:rsidRPr="00074D54">
        <w:t>Service volume.</w:t>
      </w:r>
    </w:p>
    <w:p w14:paraId="768ED6E9" w14:textId="77777777" w:rsidR="00743B78" w:rsidRPr="00074D54" w:rsidRDefault="00743B78" w:rsidP="00030B28">
      <w:pPr>
        <w:pStyle w:val="Bullet-green"/>
        <w:spacing w:line="240" w:lineRule="auto"/>
      </w:pPr>
      <w:r w:rsidRPr="00074D54">
        <w:t xml:space="preserve">The likelihood that the item needed to be revised, determined by indicators such as identified safety concerns, geographic or temporal variation, delivery irregularity, the potential misuse of indications or other concerns raised by the </w:t>
      </w:r>
      <w:r w:rsidR="002A1A39" w:rsidRPr="00074D54">
        <w:t>c</w:t>
      </w:r>
      <w:r w:rsidRPr="00074D54">
        <w:t xml:space="preserve">linical </w:t>
      </w:r>
      <w:r w:rsidR="002A1A39" w:rsidRPr="00074D54">
        <w:t>c</w:t>
      </w:r>
      <w:r w:rsidRPr="00074D54">
        <w:t>ommittee (such as inappropriate co-claiming).</w:t>
      </w:r>
    </w:p>
    <w:p w14:paraId="60D7AAA5" w14:textId="77777777" w:rsidR="00743B78" w:rsidRPr="00074D54" w:rsidRDefault="00C86F3D" w:rsidP="00990089">
      <w:pPr>
        <w:pStyle w:val="Caption"/>
        <w:spacing w:after="0"/>
      </w:pPr>
      <w:bookmarkStart w:id="96" w:name="_Ref522399599"/>
      <w:bookmarkStart w:id="97" w:name="_Toc525739678"/>
      <w:r>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1</w:t>
      </w:r>
      <w:r w:rsidR="00AF6A7F">
        <w:rPr>
          <w:noProof/>
        </w:rPr>
        <w:fldChar w:fldCharType="end"/>
      </w:r>
      <w:bookmarkEnd w:id="96"/>
      <w:r w:rsidR="00817015" w:rsidRPr="00074D54">
        <w:t>: Prioritisation matrix</w:t>
      </w:r>
      <w:bookmarkEnd w:id="97"/>
    </w:p>
    <w:p w14:paraId="4CBA5B79" w14:textId="77777777" w:rsidR="00743B78" w:rsidRPr="00854013" w:rsidRDefault="00743B78" w:rsidP="00756A5C">
      <w:pPr>
        <w:jc w:val="center"/>
        <w:rPr>
          <w:lang w:eastAsia="en-US"/>
        </w:rPr>
      </w:pPr>
      <w:r w:rsidRPr="00854013">
        <w:rPr>
          <w:noProof/>
        </w:rPr>
        <w:drawing>
          <wp:inline distT="0" distB="0" distL="0" distR="0" wp14:anchorId="6B802A51" wp14:editId="17C51D69">
            <wp:extent cx="3959750" cy="2847650"/>
            <wp:effectExtent l="0" t="0" r="3175" b="0"/>
            <wp:docPr id="1" name="Picture 1" descr="Figure 1 shows the Prioritisation Matrix to show the ranking as high, medium, or low priority.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065167" cy="2923461"/>
                    </a:xfrm>
                    <a:prstGeom prst="rect">
                      <a:avLst/>
                    </a:prstGeom>
                    <a:noFill/>
                    <a:ln>
                      <a:noFill/>
                    </a:ln>
                    <a:extLst>
                      <a:ext uri="{53640926-AAD7-44D8-BBD7-CCE9431645EC}">
                        <a14:shadowObscured xmlns:a14="http://schemas.microsoft.com/office/drawing/2010/main"/>
                      </a:ext>
                    </a:extLst>
                  </pic:spPr>
                </pic:pic>
              </a:graphicData>
            </a:graphic>
          </wp:inline>
        </w:drawing>
      </w:r>
    </w:p>
    <w:p w14:paraId="24542180" w14:textId="77777777" w:rsidR="00016A2E" w:rsidRPr="00854013" w:rsidRDefault="00016A2E" w:rsidP="00030B28">
      <w:pPr>
        <w:spacing w:line="240" w:lineRule="auto"/>
      </w:pPr>
      <w:r w:rsidRPr="00854013">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rsidRPr="00854013">
        <w:t xml:space="preserve"> (</w:t>
      </w:r>
      <w:fldSimple w:instr=" REF _Ref522399599 ">
        <w:r w:rsidR="00763A89">
          <w:t xml:space="preserve">Figure </w:t>
        </w:r>
        <w:r w:rsidR="00763A89">
          <w:rPr>
            <w:noProof/>
          </w:rPr>
          <w:t>1</w:t>
        </w:r>
      </w:fldSimple>
      <w:r w:rsidR="00FF05C8" w:rsidRPr="00854013">
        <w:t xml:space="preserve">). </w:t>
      </w:r>
      <w:r w:rsidRPr="00854013">
        <w:t xml:space="preserve"> Clinical committees use this priority ranking to organise their review of item numbers and apportion the amount of time spent on each item. </w:t>
      </w:r>
    </w:p>
    <w:p w14:paraId="7754F7EA" w14:textId="77777777" w:rsidR="004D72E6" w:rsidRPr="00074D54" w:rsidRDefault="004D72E6" w:rsidP="005C7FB0">
      <w:pPr>
        <w:pStyle w:val="Heading1"/>
      </w:pPr>
      <w:bookmarkStart w:id="98" w:name="_Toc485295719"/>
      <w:bookmarkStart w:id="99" w:name="_Toc506552468"/>
      <w:bookmarkStart w:id="100" w:name="_Toc522396619"/>
      <w:bookmarkStart w:id="101" w:name="_Toc525816060"/>
      <w:r w:rsidRPr="00074D54">
        <w:lastRenderedPageBreak/>
        <w:t>About the</w:t>
      </w:r>
      <w:r w:rsidR="00B35C48" w:rsidRPr="00074D54">
        <w:t xml:space="preserve"> </w:t>
      </w:r>
      <w:r w:rsidR="00412EFD" w:rsidRPr="00074D54">
        <w:t xml:space="preserve">Diagnostic </w:t>
      </w:r>
      <w:r w:rsidR="00871F79" w:rsidRPr="00074D54">
        <w:t>Medicine</w:t>
      </w:r>
      <w:r w:rsidR="00B84C4F" w:rsidRPr="00074D54">
        <w:t xml:space="preserve"> Clinical</w:t>
      </w:r>
      <w:r w:rsidR="00B35C48" w:rsidRPr="00074D54">
        <w:t xml:space="preserve"> </w:t>
      </w:r>
      <w:r w:rsidR="00437F91" w:rsidRPr="00074D54">
        <w:t>Committee</w:t>
      </w:r>
      <w:bookmarkEnd w:id="98"/>
      <w:bookmarkEnd w:id="99"/>
      <w:bookmarkEnd w:id="100"/>
      <w:bookmarkEnd w:id="101"/>
    </w:p>
    <w:p w14:paraId="11B7BF07" w14:textId="77777777" w:rsidR="00971855" w:rsidRDefault="00016A2E" w:rsidP="005E6078">
      <w:pPr>
        <w:spacing w:line="240" w:lineRule="auto"/>
        <w:rPr>
          <w:lang w:val="en-US" w:eastAsia="en-US"/>
        </w:rPr>
      </w:pPr>
      <w:bookmarkStart w:id="102" w:name="_Toc455669872"/>
      <w:r w:rsidRPr="00074D54">
        <w:rPr>
          <w:lang w:val="en-US" w:eastAsia="en-US"/>
        </w:rPr>
        <w:t xml:space="preserve">The </w:t>
      </w:r>
      <w:r w:rsidR="00D63477" w:rsidRPr="00074D54">
        <w:rPr>
          <w:lang w:val="en-US" w:eastAsia="en-US"/>
        </w:rPr>
        <w:t>Committee</w:t>
      </w:r>
      <w:r w:rsidR="00437F91" w:rsidRPr="00074D54">
        <w:rPr>
          <w:lang w:val="en-US" w:eastAsia="en-US"/>
        </w:rPr>
        <w:t xml:space="preserve"> </w:t>
      </w:r>
      <w:r w:rsidR="001975C4" w:rsidRPr="00074D54">
        <w:rPr>
          <w:lang w:val="en-US" w:eastAsia="en-US"/>
        </w:rPr>
        <w:t xml:space="preserve">is part of the </w:t>
      </w:r>
      <w:r w:rsidR="00913062" w:rsidRPr="00074D54">
        <w:rPr>
          <w:lang w:val="en-US" w:eastAsia="en-US"/>
        </w:rPr>
        <w:t>t</w:t>
      </w:r>
      <w:r w:rsidR="001145A1" w:rsidRPr="00074D54">
        <w:rPr>
          <w:lang w:val="en-US" w:eastAsia="en-US"/>
        </w:rPr>
        <w:t>hird</w:t>
      </w:r>
      <w:r w:rsidR="001975C4" w:rsidRPr="00074D54">
        <w:rPr>
          <w:lang w:val="en-US" w:eastAsia="en-US"/>
        </w:rPr>
        <w:t xml:space="preserve"> tranche of clinical committees. It </w:t>
      </w:r>
      <w:r w:rsidR="00437F91" w:rsidRPr="00074D54">
        <w:rPr>
          <w:lang w:val="en-US" w:eastAsia="en-US"/>
        </w:rPr>
        <w:t xml:space="preserve">was established in </w:t>
      </w:r>
      <w:r w:rsidR="00412EFD" w:rsidRPr="00074D54">
        <w:t>201</w:t>
      </w:r>
      <w:r w:rsidR="001145A1" w:rsidRPr="00074D54">
        <w:t>7</w:t>
      </w:r>
      <w:r w:rsidR="00437F91" w:rsidRPr="00074D54">
        <w:rPr>
          <w:lang w:val="en-US" w:eastAsia="en-US"/>
        </w:rPr>
        <w:t xml:space="preserve"> to make recommendations to the Taskforce </w:t>
      </w:r>
      <w:r w:rsidR="001145A1" w:rsidRPr="00074D54">
        <w:t xml:space="preserve">on mechanisms </w:t>
      </w:r>
      <w:r w:rsidR="00964CBF">
        <w:t>to</w:t>
      </w:r>
      <w:r w:rsidR="00964CBF" w:rsidRPr="00074D54">
        <w:t xml:space="preserve"> </w:t>
      </w:r>
      <w:r w:rsidR="001145A1" w:rsidRPr="00074D54">
        <w:t>support better requesting of diagnostic</w:t>
      </w:r>
      <w:r w:rsidR="00964CBF">
        <w:t xml:space="preserve"> services</w:t>
      </w:r>
      <w:r w:rsidR="001145A1" w:rsidRPr="00074D54">
        <w:t xml:space="preserve">. </w:t>
      </w:r>
      <w:r w:rsidR="00971855" w:rsidRPr="00971855">
        <w:t>After receiving advice from the General Practice and Primary Care Clinical Committee</w:t>
      </w:r>
      <w:r w:rsidR="009A415A">
        <w:t xml:space="preserve"> (</w:t>
      </w:r>
      <w:r w:rsidR="00264AFE">
        <w:t>GP</w:t>
      </w:r>
      <w:r w:rsidR="009A415A">
        <w:t>P</w:t>
      </w:r>
      <w:r w:rsidR="00264AFE">
        <w:t>CC</w:t>
      </w:r>
      <w:r w:rsidR="009A415A">
        <w:t>C)</w:t>
      </w:r>
      <w:r w:rsidR="00971855" w:rsidRPr="00971855">
        <w:t>, t</w:t>
      </w:r>
      <w:r w:rsidR="001145A1" w:rsidRPr="00074D54">
        <w:t xml:space="preserve">he Taskforce asked </w:t>
      </w:r>
      <w:r w:rsidR="00953010" w:rsidRPr="00074D54">
        <w:t>the Committee to review a s</w:t>
      </w:r>
      <w:r w:rsidR="00913062" w:rsidRPr="00074D54">
        <w:t xml:space="preserve">et of high volume, high </w:t>
      </w:r>
      <w:r w:rsidR="00964CBF">
        <w:t>benefit</w:t>
      </w:r>
      <w:r w:rsidR="00964CBF" w:rsidRPr="00074D54">
        <w:t xml:space="preserve">  </w:t>
      </w:r>
      <w:r w:rsidR="00953010" w:rsidRPr="00074D54">
        <w:t xml:space="preserve">MBS items that </w:t>
      </w:r>
      <w:r w:rsidR="00971855">
        <w:t>are</w:t>
      </w:r>
      <w:r w:rsidR="00971855" w:rsidRPr="00074D54">
        <w:t xml:space="preserve"> </w:t>
      </w:r>
      <w:r w:rsidR="00953010" w:rsidRPr="00074D54">
        <w:t xml:space="preserve">predominantly requested </w:t>
      </w:r>
      <w:r w:rsidR="00964CBF">
        <w:t>by</w:t>
      </w:r>
      <w:r w:rsidR="00953010" w:rsidRPr="00074D54">
        <w:t xml:space="preserve"> </w:t>
      </w:r>
      <w:r w:rsidR="00264AFE">
        <w:t>GPs</w:t>
      </w:r>
      <w:r w:rsidR="00953010" w:rsidRPr="00074D54">
        <w:t xml:space="preserve">. The Committee reviewed </w:t>
      </w:r>
      <w:r w:rsidR="00953010" w:rsidRPr="00E757C3">
        <w:t>ten</w:t>
      </w:r>
      <w:r w:rsidR="00953010" w:rsidRPr="00074D54">
        <w:t xml:space="preserve"> </w:t>
      </w:r>
      <w:r w:rsidR="00490F2A">
        <w:t>item groups</w:t>
      </w:r>
      <w:r w:rsidR="00953010" w:rsidRPr="00074D54">
        <w:t xml:space="preserve"> in its area of responsibility</w:t>
      </w:r>
      <w:r w:rsidR="00DE3E82">
        <w:t xml:space="preserve"> </w:t>
      </w:r>
      <w:r w:rsidR="00971855">
        <w:t>using</w:t>
      </w:r>
      <w:r w:rsidR="00953010" w:rsidRPr="00074D54">
        <w:t xml:space="preserve"> rapid evidence review</w:t>
      </w:r>
      <w:r w:rsidR="00971855">
        <w:t xml:space="preserve"> and </w:t>
      </w:r>
      <w:r w:rsidR="00971855" w:rsidRPr="00074D54">
        <w:t>clinical expertise</w:t>
      </w:r>
      <w:r w:rsidR="00437F91" w:rsidRPr="00074D54">
        <w:rPr>
          <w:lang w:val="en-US" w:eastAsia="en-US"/>
        </w:rPr>
        <w:t>.</w:t>
      </w:r>
      <w:r w:rsidR="00220C72" w:rsidRPr="00854013">
        <w:rPr>
          <w:lang w:val="en-US" w:eastAsia="en-US"/>
        </w:rPr>
        <w:t xml:space="preserve"> </w:t>
      </w:r>
    </w:p>
    <w:p w14:paraId="51281C20" w14:textId="77777777" w:rsidR="00971855" w:rsidRPr="00854013" w:rsidRDefault="00971855" w:rsidP="005E6078">
      <w:pPr>
        <w:spacing w:line="240" w:lineRule="auto"/>
        <w:rPr>
          <w:lang w:val="en-US" w:eastAsia="en-US"/>
        </w:rPr>
      </w:pPr>
    </w:p>
    <w:p w14:paraId="0ACBD464" w14:textId="77777777" w:rsidR="004D72E6" w:rsidRPr="00360531" w:rsidRDefault="00412EFD" w:rsidP="004F5C57">
      <w:pPr>
        <w:pStyle w:val="Heading2"/>
        <w:ind w:firstLine="417"/>
      </w:pPr>
      <w:bookmarkStart w:id="103" w:name="_Toc485295720"/>
      <w:bookmarkStart w:id="104" w:name="_Toc506552469"/>
      <w:bookmarkStart w:id="105" w:name="_Toc522396620"/>
      <w:bookmarkStart w:id="106" w:name="_Toc525816061"/>
      <w:r w:rsidRPr="00854013">
        <w:t xml:space="preserve">Diagnostic </w:t>
      </w:r>
      <w:r w:rsidR="001145A1" w:rsidRPr="00854013">
        <w:t>Medicine</w:t>
      </w:r>
      <w:r w:rsidR="004D72E6" w:rsidRPr="00854013">
        <w:t xml:space="preserve"> Clinical Committee members</w:t>
      </w:r>
      <w:bookmarkEnd w:id="102"/>
      <w:bookmarkEnd w:id="103"/>
      <w:bookmarkEnd w:id="104"/>
      <w:bookmarkEnd w:id="105"/>
      <w:bookmarkEnd w:id="106"/>
    </w:p>
    <w:p w14:paraId="489FAEDC" w14:textId="77777777" w:rsidR="006101B0" w:rsidRPr="00854013" w:rsidRDefault="001145A1" w:rsidP="005E6078">
      <w:pPr>
        <w:spacing w:line="240" w:lineRule="auto"/>
        <w:rPr>
          <w:lang w:val="en-US" w:eastAsia="en-US"/>
        </w:rPr>
      </w:pPr>
      <w:r w:rsidRPr="00360531">
        <w:t>The Committee consists of 14 members</w:t>
      </w:r>
      <w:r w:rsidRPr="00074D54">
        <w:t xml:space="preserve">, whose names, positions/organisations and declared conflicts of interest are listed in </w:t>
      </w:r>
      <w:r w:rsidR="002A1A39" w:rsidRPr="00854013">
        <w:fldChar w:fldCharType="begin"/>
      </w:r>
      <w:r w:rsidR="002A1A39" w:rsidRPr="00074D54">
        <w:instrText xml:space="preserve"> REF _Ref503780353 \h </w:instrText>
      </w:r>
      <w:r w:rsidR="00854013">
        <w:instrText xml:space="preserve"> \* MERGEFORMAT </w:instrText>
      </w:r>
      <w:r w:rsidR="002A1A39" w:rsidRPr="00854013">
        <w:fldChar w:fldCharType="separate"/>
      </w:r>
      <w:r w:rsidR="00763A89">
        <w:t xml:space="preserve">Table </w:t>
      </w:r>
      <w:r w:rsidR="00763A89">
        <w:rPr>
          <w:noProof/>
        </w:rPr>
        <w:t>1</w:t>
      </w:r>
      <w:r w:rsidR="002A1A39" w:rsidRPr="00854013">
        <w:fldChar w:fldCharType="end"/>
      </w:r>
      <w:r w:rsidR="002A1A39" w:rsidRPr="00854013">
        <w:t xml:space="preserve">. </w:t>
      </w:r>
    </w:p>
    <w:p w14:paraId="3104000B" w14:textId="77777777" w:rsidR="004D72E6" w:rsidRPr="006F5729" w:rsidRDefault="00EB0974" w:rsidP="00474CF9">
      <w:pPr>
        <w:pStyle w:val="Caption"/>
      </w:pPr>
      <w:bookmarkStart w:id="107" w:name="_Ref503780353"/>
      <w:bookmarkStart w:id="108" w:name="_Toc503779132"/>
      <w:bookmarkStart w:id="109" w:name="_Ref503780241"/>
      <w:bookmarkStart w:id="110" w:name="_Toc506552481"/>
      <w:bookmarkStart w:id="111" w:name="_Toc522396694"/>
      <w:bookmarkStart w:id="112" w:name="_Toc525816957"/>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w:t>
      </w:r>
      <w:r w:rsidR="00AF6A7F">
        <w:rPr>
          <w:noProof/>
        </w:rPr>
        <w:fldChar w:fldCharType="end"/>
      </w:r>
      <w:bookmarkEnd w:id="107"/>
      <w:r w:rsidR="00817015" w:rsidRPr="006F5729">
        <w:t xml:space="preserve">: </w:t>
      </w:r>
      <w:bookmarkStart w:id="113" w:name="_Ref503780252"/>
      <w:r w:rsidR="00412EFD" w:rsidRPr="006F5729">
        <w:t xml:space="preserve">Diagnostic </w:t>
      </w:r>
      <w:r w:rsidR="001145A1" w:rsidRPr="006F5729">
        <w:t>Medicine</w:t>
      </w:r>
      <w:r w:rsidR="00817015" w:rsidRPr="006F5729">
        <w:t xml:space="preserve"> Clinical Committee </w:t>
      </w:r>
      <w:r w:rsidR="002A1A39" w:rsidRPr="006F5729">
        <w:t>m</w:t>
      </w:r>
      <w:r w:rsidR="00817015" w:rsidRPr="006F5729">
        <w:t>embers</w:t>
      </w:r>
      <w:bookmarkEnd w:id="108"/>
      <w:bookmarkEnd w:id="109"/>
      <w:bookmarkEnd w:id="110"/>
      <w:bookmarkEnd w:id="111"/>
      <w:bookmarkEnd w:id="112"/>
      <w:bookmarkEnd w:id="113"/>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Diagnostic Medicine Clinical Committee Members "/>
        <w:tblDescription w:val="This is a table in three columns. Column 1 contains the name of the members of the committee, column 2 contains the position/organisation of the person named in column 1 and column 3 states any declared conflict of interest of that person"/>
      </w:tblPr>
      <w:tblGrid>
        <w:gridCol w:w="2165"/>
        <w:gridCol w:w="3663"/>
        <w:gridCol w:w="2474"/>
      </w:tblGrid>
      <w:tr w:rsidR="00B37E1B" w:rsidRPr="00074D54" w14:paraId="3AE77E65" w14:textId="77777777" w:rsidTr="008D1C3F">
        <w:trPr>
          <w:cantSplit/>
          <w:tblHeader/>
        </w:trPr>
        <w:tc>
          <w:tcPr>
            <w:tcW w:w="1304" w:type="pct"/>
            <w:tcBorders>
              <w:bottom w:val="single" w:sz="4" w:space="0" w:color="01653F"/>
            </w:tcBorders>
            <w:shd w:val="clear" w:color="auto" w:fill="01653F"/>
          </w:tcPr>
          <w:p w14:paraId="018282D6" w14:textId="77777777" w:rsidR="00B37E1B" w:rsidRPr="00074D54" w:rsidRDefault="00B37E1B" w:rsidP="001975C4">
            <w:pPr>
              <w:pStyle w:val="Tableheading"/>
              <w:rPr>
                <w:color w:val="FFFFFF" w:themeColor="background1"/>
              </w:rPr>
            </w:pPr>
            <w:r w:rsidRPr="00074D54">
              <w:rPr>
                <w:color w:val="FFFFFF" w:themeColor="background1"/>
              </w:rPr>
              <w:t>Name</w:t>
            </w:r>
          </w:p>
        </w:tc>
        <w:tc>
          <w:tcPr>
            <w:tcW w:w="2206" w:type="pct"/>
            <w:tcBorders>
              <w:bottom w:val="single" w:sz="4" w:space="0" w:color="01653F"/>
            </w:tcBorders>
            <w:shd w:val="clear" w:color="auto" w:fill="01653F"/>
          </w:tcPr>
          <w:p w14:paraId="06E2013F" w14:textId="77777777" w:rsidR="00B37E1B" w:rsidRPr="00074D54" w:rsidRDefault="00B37E1B" w:rsidP="001975C4">
            <w:pPr>
              <w:pStyle w:val="Tableheading"/>
              <w:rPr>
                <w:color w:val="FFFFFF" w:themeColor="background1"/>
              </w:rPr>
            </w:pPr>
            <w:r w:rsidRPr="00074D54">
              <w:rPr>
                <w:color w:val="FFFFFF" w:themeColor="background1"/>
              </w:rPr>
              <w:t>Position/organisation</w:t>
            </w:r>
          </w:p>
        </w:tc>
        <w:tc>
          <w:tcPr>
            <w:tcW w:w="1490" w:type="pct"/>
            <w:tcBorders>
              <w:bottom w:val="single" w:sz="4" w:space="0" w:color="01653F"/>
            </w:tcBorders>
            <w:shd w:val="clear" w:color="auto" w:fill="01653F"/>
          </w:tcPr>
          <w:p w14:paraId="27567587" w14:textId="77777777" w:rsidR="00B37E1B" w:rsidRPr="00074D54" w:rsidRDefault="00B37E1B" w:rsidP="001975C4">
            <w:pPr>
              <w:pStyle w:val="Tableheading"/>
              <w:rPr>
                <w:color w:val="FFFFFF" w:themeColor="background1"/>
              </w:rPr>
            </w:pPr>
            <w:r w:rsidRPr="00074D54">
              <w:rPr>
                <w:color w:val="FFFFFF" w:themeColor="background1"/>
              </w:rPr>
              <w:t>Declared conflict of interest</w:t>
            </w:r>
          </w:p>
        </w:tc>
      </w:tr>
      <w:tr w:rsidR="00264AFE" w:rsidRPr="00074D54" w14:paraId="56096694" w14:textId="77777777" w:rsidTr="00264AFE">
        <w:trPr>
          <w:cantSplit/>
          <w:trHeight w:val="549"/>
        </w:trPr>
        <w:tc>
          <w:tcPr>
            <w:tcW w:w="1304" w:type="pct"/>
            <w:tcBorders>
              <w:left w:val="nil"/>
              <w:right w:val="nil"/>
            </w:tcBorders>
          </w:tcPr>
          <w:p w14:paraId="5DE8A951" w14:textId="77777777" w:rsidR="00264AFE" w:rsidRPr="00074D54" w:rsidRDefault="00264AFE" w:rsidP="00417CD7">
            <w:pPr>
              <w:pStyle w:val="02Tabletext"/>
              <w:rPr>
                <w:rFonts w:asciiTheme="minorHAnsi" w:hAnsiTheme="minorHAnsi" w:cstheme="minorHAnsi"/>
              </w:rPr>
            </w:pPr>
            <w:r w:rsidRPr="00074D54">
              <w:rPr>
                <w:rFonts w:asciiTheme="minorHAnsi" w:hAnsiTheme="minorHAnsi" w:cstheme="minorHAnsi"/>
              </w:rPr>
              <w:t>Professor Paul Glasziou</w:t>
            </w:r>
          </w:p>
          <w:p w14:paraId="41B468A2" w14:textId="77777777" w:rsidR="00264AFE" w:rsidRPr="00074D54" w:rsidRDefault="00264AFE" w:rsidP="00B37E1B">
            <w:pPr>
              <w:pStyle w:val="Tabletext"/>
              <w:rPr>
                <w:rFonts w:cstheme="minorHAnsi"/>
              </w:rPr>
            </w:pPr>
            <w:r w:rsidRPr="00074D54">
              <w:rPr>
                <w:rFonts w:eastAsiaTheme="minorHAnsi" w:cstheme="minorHAnsi"/>
                <w:lang w:val="en-GB" w:eastAsia="en-US"/>
              </w:rPr>
              <w:t>[Chair]</w:t>
            </w:r>
          </w:p>
        </w:tc>
        <w:tc>
          <w:tcPr>
            <w:tcW w:w="2206" w:type="pct"/>
            <w:tcBorders>
              <w:left w:val="nil"/>
              <w:right w:val="nil"/>
            </w:tcBorders>
          </w:tcPr>
          <w:p w14:paraId="411EF162" w14:textId="77777777" w:rsidR="00264AFE" w:rsidRPr="00854013" w:rsidRDefault="00264AFE" w:rsidP="00417CD7">
            <w:pPr>
              <w:pStyle w:val="Tabletext"/>
              <w:rPr>
                <w:rFonts w:cstheme="minorHAnsi"/>
              </w:rPr>
            </w:pPr>
            <w:r w:rsidRPr="00854013">
              <w:rPr>
                <w:rFonts w:cstheme="minorHAnsi"/>
              </w:rPr>
              <w:t>Professor, Bond University; Director, Centre for Research in Evidence-Based Practice</w:t>
            </w:r>
          </w:p>
          <w:p w14:paraId="5B1F10F8" w14:textId="77777777" w:rsidR="00264AFE" w:rsidRPr="00854013" w:rsidRDefault="00264AFE" w:rsidP="00234812">
            <w:pPr>
              <w:pStyle w:val="02Tabletext"/>
              <w:rPr>
                <w:rFonts w:asciiTheme="minorHAnsi" w:hAnsiTheme="minorHAnsi" w:cstheme="minorHAnsi"/>
              </w:rPr>
            </w:pPr>
            <w:r w:rsidRPr="00854013">
              <w:rPr>
                <w:rFonts w:cstheme="minorHAnsi"/>
                <w:b/>
              </w:rPr>
              <w:t>MBS Taskforce Member</w:t>
            </w:r>
          </w:p>
        </w:tc>
        <w:tc>
          <w:tcPr>
            <w:tcW w:w="1490" w:type="pct"/>
            <w:tcBorders>
              <w:left w:val="nil"/>
              <w:right w:val="nil"/>
            </w:tcBorders>
            <w:shd w:val="clear" w:color="auto" w:fill="auto"/>
          </w:tcPr>
          <w:p w14:paraId="51DAE82A" w14:textId="77777777" w:rsidR="00264AFE" w:rsidRPr="00854013" w:rsidRDefault="00264AFE" w:rsidP="00412EFD">
            <w:pPr>
              <w:pStyle w:val="Tabletext"/>
              <w:rPr>
                <w:rFonts w:cstheme="minorHAnsi"/>
              </w:rPr>
            </w:pPr>
            <w:r w:rsidRPr="00854013">
              <w:rPr>
                <w:rFonts w:cstheme="minorHAnsi"/>
              </w:rPr>
              <w:t>None</w:t>
            </w:r>
          </w:p>
        </w:tc>
      </w:tr>
      <w:tr w:rsidR="00264AFE" w:rsidRPr="00074D54" w14:paraId="5571944A" w14:textId="77777777" w:rsidTr="008D1C3F">
        <w:trPr>
          <w:cantSplit/>
          <w:trHeight w:val="549"/>
        </w:trPr>
        <w:tc>
          <w:tcPr>
            <w:tcW w:w="1304" w:type="pct"/>
            <w:tcBorders>
              <w:left w:val="nil"/>
              <w:right w:val="nil"/>
            </w:tcBorders>
          </w:tcPr>
          <w:p w14:paraId="41B11501" w14:textId="77777777" w:rsidR="00264AFE" w:rsidRPr="00074D54" w:rsidRDefault="00264AFE" w:rsidP="00B37E1B">
            <w:pPr>
              <w:pStyle w:val="Tabletext"/>
              <w:rPr>
                <w:rFonts w:cstheme="minorHAnsi"/>
              </w:rPr>
            </w:pPr>
            <w:r w:rsidRPr="00074D54">
              <w:rPr>
                <w:rFonts w:cstheme="minorHAnsi"/>
              </w:rPr>
              <w:t>Dr David Brazier</w:t>
            </w:r>
          </w:p>
        </w:tc>
        <w:tc>
          <w:tcPr>
            <w:tcW w:w="2206" w:type="pct"/>
            <w:tcBorders>
              <w:left w:val="nil"/>
              <w:right w:val="nil"/>
            </w:tcBorders>
          </w:tcPr>
          <w:p w14:paraId="417FAE04" w14:textId="77777777" w:rsidR="00264AFE" w:rsidRPr="00854013" w:rsidRDefault="00264AFE" w:rsidP="00234812">
            <w:pPr>
              <w:pStyle w:val="02Tabletext"/>
              <w:rPr>
                <w:rFonts w:asciiTheme="minorHAnsi" w:hAnsiTheme="minorHAnsi" w:cstheme="minorHAnsi"/>
              </w:rPr>
            </w:pPr>
            <w:r w:rsidRPr="00854013">
              <w:rPr>
                <w:rFonts w:asciiTheme="minorHAnsi" w:hAnsiTheme="minorHAnsi" w:cstheme="minorHAnsi"/>
              </w:rPr>
              <w:t xml:space="preserve">Radiologist, Royal North Shore Hospital </w:t>
            </w:r>
          </w:p>
          <w:p w14:paraId="5A43A372" w14:textId="77777777" w:rsidR="00264AFE" w:rsidRPr="00074D54" w:rsidRDefault="00264AFE" w:rsidP="00400C7A">
            <w:pPr>
              <w:pStyle w:val="Tabletext"/>
              <w:rPr>
                <w:rFonts w:cstheme="minorHAnsi"/>
              </w:rPr>
            </w:pPr>
            <w:r w:rsidRPr="00854013">
              <w:rPr>
                <w:rFonts w:cstheme="minorHAnsi"/>
                <w:b/>
              </w:rPr>
              <w:t>Chair, Diagnostic Imaging Clinical Committee</w:t>
            </w:r>
          </w:p>
        </w:tc>
        <w:tc>
          <w:tcPr>
            <w:tcW w:w="1490" w:type="pct"/>
            <w:tcBorders>
              <w:left w:val="nil"/>
              <w:right w:val="nil"/>
            </w:tcBorders>
            <w:shd w:val="clear" w:color="auto" w:fill="auto"/>
          </w:tcPr>
          <w:p w14:paraId="6FE23E01" w14:textId="77777777" w:rsidR="00264AFE" w:rsidRPr="00074D54" w:rsidRDefault="00264AFE" w:rsidP="00412EFD">
            <w:pPr>
              <w:pStyle w:val="Tabletext"/>
              <w:rPr>
                <w:rFonts w:cstheme="minorHAnsi"/>
              </w:rPr>
            </w:pPr>
            <w:r w:rsidRPr="00854013">
              <w:rPr>
                <w:rFonts w:cstheme="minorHAnsi"/>
              </w:rPr>
              <w:t>None</w:t>
            </w:r>
          </w:p>
        </w:tc>
      </w:tr>
      <w:tr w:rsidR="00264AFE" w:rsidRPr="00074D54" w14:paraId="74CD2923" w14:textId="77777777" w:rsidTr="008D1C3F">
        <w:trPr>
          <w:cantSplit/>
          <w:trHeight w:val="549"/>
        </w:trPr>
        <w:tc>
          <w:tcPr>
            <w:tcW w:w="1304" w:type="pct"/>
            <w:tcBorders>
              <w:left w:val="nil"/>
              <w:right w:val="nil"/>
            </w:tcBorders>
          </w:tcPr>
          <w:p w14:paraId="0152B254" w14:textId="77777777" w:rsidR="00264AFE" w:rsidRPr="00074D54" w:rsidRDefault="00264AFE" w:rsidP="00B37E1B">
            <w:pPr>
              <w:pStyle w:val="Tabletext"/>
              <w:rPr>
                <w:rFonts w:cstheme="minorHAnsi"/>
              </w:rPr>
            </w:pPr>
            <w:r w:rsidRPr="00074D54">
              <w:rPr>
                <w:rFonts w:cstheme="minorHAnsi"/>
              </w:rPr>
              <w:t>Professor Anne Duggan</w:t>
            </w:r>
          </w:p>
        </w:tc>
        <w:tc>
          <w:tcPr>
            <w:tcW w:w="2206" w:type="pct"/>
            <w:tcBorders>
              <w:left w:val="nil"/>
              <w:right w:val="nil"/>
            </w:tcBorders>
          </w:tcPr>
          <w:p w14:paraId="5C8FF304" w14:textId="77777777" w:rsidR="00264AFE" w:rsidRPr="00074D54" w:rsidRDefault="00264AFE" w:rsidP="00400C7A">
            <w:pPr>
              <w:pStyle w:val="02Tabletext"/>
              <w:rPr>
                <w:rFonts w:asciiTheme="minorHAnsi" w:hAnsiTheme="minorHAnsi" w:cstheme="minorHAnsi"/>
              </w:rPr>
            </w:pPr>
            <w:r w:rsidRPr="00074D54">
              <w:rPr>
                <w:rFonts w:asciiTheme="minorHAnsi" w:hAnsiTheme="minorHAnsi" w:cstheme="minorHAnsi"/>
              </w:rPr>
              <w:t xml:space="preserve">Gastroenterologist, John Hunter Hospital </w:t>
            </w:r>
          </w:p>
          <w:p w14:paraId="196ACAA1" w14:textId="77777777" w:rsidR="00264AFE" w:rsidRPr="00074D54" w:rsidRDefault="00264AFE" w:rsidP="00400C7A">
            <w:pPr>
              <w:pStyle w:val="Tabletext"/>
              <w:rPr>
                <w:rFonts w:cstheme="minorHAnsi"/>
              </w:rPr>
            </w:pPr>
            <w:r w:rsidRPr="00074D54">
              <w:rPr>
                <w:rFonts w:cstheme="minorHAnsi"/>
              </w:rPr>
              <w:t>Senior Medical Advisor, Australian Commission on Safety and Quality in Health Care</w:t>
            </w:r>
          </w:p>
        </w:tc>
        <w:tc>
          <w:tcPr>
            <w:tcW w:w="1490" w:type="pct"/>
            <w:tcBorders>
              <w:left w:val="nil"/>
              <w:right w:val="nil"/>
            </w:tcBorders>
            <w:shd w:val="clear" w:color="auto" w:fill="auto"/>
          </w:tcPr>
          <w:p w14:paraId="30EC5031" w14:textId="77777777" w:rsidR="00264AFE" w:rsidRPr="00074D54" w:rsidRDefault="00264AFE" w:rsidP="0087400D">
            <w:pPr>
              <w:pStyle w:val="Tabletext"/>
              <w:rPr>
                <w:rFonts w:cstheme="minorHAnsi"/>
              </w:rPr>
            </w:pPr>
            <w:r w:rsidRPr="00074D54">
              <w:rPr>
                <w:rFonts w:cstheme="minorHAnsi"/>
              </w:rPr>
              <w:t>None</w:t>
            </w:r>
          </w:p>
        </w:tc>
      </w:tr>
      <w:tr w:rsidR="00264AFE" w:rsidRPr="00074D54" w14:paraId="6EA611B0" w14:textId="77777777" w:rsidTr="008D1C3F">
        <w:trPr>
          <w:cantSplit/>
          <w:trHeight w:val="549"/>
        </w:trPr>
        <w:tc>
          <w:tcPr>
            <w:tcW w:w="1304" w:type="pct"/>
            <w:tcBorders>
              <w:left w:val="nil"/>
              <w:right w:val="nil"/>
            </w:tcBorders>
          </w:tcPr>
          <w:p w14:paraId="7DB00C89" w14:textId="77777777" w:rsidR="00264AFE" w:rsidRPr="00074D54" w:rsidRDefault="00264AFE" w:rsidP="00B37E1B">
            <w:pPr>
              <w:pStyle w:val="Tabletext"/>
              <w:rPr>
                <w:rFonts w:cstheme="minorHAnsi"/>
              </w:rPr>
            </w:pPr>
            <w:r w:rsidRPr="00074D54">
              <w:rPr>
                <w:rFonts w:cstheme="minorHAnsi"/>
              </w:rPr>
              <w:t>Dr Walid Jammal</w:t>
            </w:r>
          </w:p>
        </w:tc>
        <w:tc>
          <w:tcPr>
            <w:tcW w:w="2206" w:type="pct"/>
            <w:tcBorders>
              <w:left w:val="nil"/>
              <w:right w:val="nil"/>
            </w:tcBorders>
          </w:tcPr>
          <w:p w14:paraId="65DDE877" w14:textId="77777777" w:rsidR="00264AFE" w:rsidRPr="00074D54" w:rsidRDefault="00264AFE" w:rsidP="001975C4">
            <w:pPr>
              <w:pStyle w:val="Tabletext"/>
              <w:rPr>
                <w:rFonts w:cstheme="minorHAnsi"/>
              </w:rPr>
            </w:pPr>
            <w:r w:rsidRPr="00074D54">
              <w:rPr>
                <w:rFonts w:cstheme="minorHAnsi"/>
              </w:rPr>
              <w:t>General Practitioner, Hills Family General Practice</w:t>
            </w:r>
          </w:p>
        </w:tc>
        <w:tc>
          <w:tcPr>
            <w:tcW w:w="1490" w:type="pct"/>
            <w:tcBorders>
              <w:left w:val="nil"/>
              <w:right w:val="nil"/>
            </w:tcBorders>
            <w:shd w:val="clear" w:color="auto" w:fill="auto"/>
          </w:tcPr>
          <w:p w14:paraId="0D2C1173" w14:textId="77777777" w:rsidR="00264AFE" w:rsidRPr="00074D54" w:rsidRDefault="00264AFE" w:rsidP="001975C4">
            <w:pPr>
              <w:pStyle w:val="Tabletext"/>
              <w:rPr>
                <w:rFonts w:cstheme="minorHAnsi"/>
              </w:rPr>
            </w:pPr>
            <w:r w:rsidRPr="00074D54">
              <w:rPr>
                <w:rFonts w:cstheme="minorHAnsi"/>
              </w:rPr>
              <w:t>None</w:t>
            </w:r>
          </w:p>
        </w:tc>
      </w:tr>
      <w:tr w:rsidR="00264AFE" w:rsidRPr="00074D54" w14:paraId="53A23192" w14:textId="77777777" w:rsidTr="008D1C3F">
        <w:trPr>
          <w:cantSplit/>
          <w:trHeight w:val="549"/>
        </w:trPr>
        <w:tc>
          <w:tcPr>
            <w:tcW w:w="1304" w:type="pct"/>
            <w:tcBorders>
              <w:left w:val="nil"/>
              <w:right w:val="nil"/>
            </w:tcBorders>
          </w:tcPr>
          <w:p w14:paraId="74016D84" w14:textId="77777777" w:rsidR="00264AFE" w:rsidRPr="00074D54" w:rsidRDefault="00264AFE" w:rsidP="00B37E1B">
            <w:pPr>
              <w:pStyle w:val="Tabletext"/>
              <w:rPr>
                <w:rFonts w:cstheme="minorHAnsi"/>
              </w:rPr>
            </w:pPr>
            <w:r w:rsidRPr="00074D54">
              <w:rPr>
                <w:rFonts w:cstheme="minorHAnsi"/>
              </w:rPr>
              <w:t>Ms Alison Marcus</w:t>
            </w:r>
          </w:p>
        </w:tc>
        <w:tc>
          <w:tcPr>
            <w:tcW w:w="2206" w:type="pct"/>
            <w:tcBorders>
              <w:left w:val="nil"/>
              <w:right w:val="nil"/>
            </w:tcBorders>
          </w:tcPr>
          <w:p w14:paraId="75D36666" w14:textId="77777777" w:rsidR="00264AFE" w:rsidRPr="00074D54" w:rsidRDefault="00264AFE" w:rsidP="00B37E1B">
            <w:pPr>
              <w:pStyle w:val="Tabletext"/>
              <w:rPr>
                <w:rFonts w:cstheme="minorHAnsi"/>
              </w:rPr>
            </w:pPr>
            <w:r w:rsidRPr="00074D54">
              <w:rPr>
                <w:rFonts w:cstheme="minorHAnsi"/>
              </w:rPr>
              <w:t xml:space="preserve"> Consumer Representative</w:t>
            </w:r>
          </w:p>
        </w:tc>
        <w:tc>
          <w:tcPr>
            <w:tcW w:w="1490" w:type="pct"/>
            <w:tcBorders>
              <w:left w:val="nil"/>
              <w:right w:val="nil"/>
            </w:tcBorders>
            <w:shd w:val="clear" w:color="auto" w:fill="auto"/>
          </w:tcPr>
          <w:p w14:paraId="4A0C443A" w14:textId="77777777" w:rsidR="00264AFE" w:rsidRPr="00074D54" w:rsidRDefault="00264AFE" w:rsidP="0087400D">
            <w:pPr>
              <w:pStyle w:val="Tabletext"/>
              <w:rPr>
                <w:rFonts w:cstheme="minorHAnsi"/>
              </w:rPr>
            </w:pPr>
          </w:p>
        </w:tc>
      </w:tr>
      <w:tr w:rsidR="00264AFE" w:rsidRPr="00074D54" w14:paraId="3CE3AA3D" w14:textId="77777777" w:rsidTr="008D1C3F">
        <w:trPr>
          <w:cantSplit/>
          <w:trHeight w:val="549"/>
        </w:trPr>
        <w:tc>
          <w:tcPr>
            <w:tcW w:w="1304" w:type="pct"/>
            <w:tcBorders>
              <w:left w:val="nil"/>
              <w:right w:val="nil"/>
            </w:tcBorders>
          </w:tcPr>
          <w:p w14:paraId="10549957" w14:textId="77777777" w:rsidR="00264AFE" w:rsidRPr="00074D54" w:rsidRDefault="00264AFE" w:rsidP="00B37E1B">
            <w:pPr>
              <w:pStyle w:val="Tabletext"/>
              <w:rPr>
                <w:rFonts w:cstheme="minorHAnsi"/>
              </w:rPr>
            </w:pPr>
            <w:r w:rsidRPr="00074D54">
              <w:rPr>
                <w:rFonts w:eastAsiaTheme="minorHAnsi" w:cstheme="minorHAnsi"/>
                <w:lang w:val="en-GB" w:eastAsia="en-US"/>
              </w:rPr>
              <w:t>Dr Elizabeth Marles</w:t>
            </w:r>
          </w:p>
        </w:tc>
        <w:tc>
          <w:tcPr>
            <w:tcW w:w="2206" w:type="pct"/>
            <w:tcBorders>
              <w:left w:val="nil"/>
              <w:right w:val="nil"/>
            </w:tcBorders>
          </w:tcPr>
          <w:p w14:paraId="188B5648" w14:textId="77777777" w:rsidR="00264AFE" w:rsidRPr="00074D54" w:rsidRDefault="00264AFE" w:rsidP="00B37E1B">
            <w:pPr>
              <w:pStyle w:val="Tabletext"/>
              <w:rPr>
                <w:rFonts w:cstheme="minorHAnsi"/>
              </w:rPr>
            </w:pPr>
            <w:r w:rsidRPr="00074D54">
              <w:rPr>
                <w:rFonts w:cstheme="minorHAnsi"/>
              </w:rPr>
              <w:t>Senior Staff Specialist, General Practice &amp; Director, Hornsby-Brooklyn GP Unit</w:t>
            </w:r>
          </w:p>
        </w:tc>
        <w:tc>
          <w:tcPr>
            <w:tcW w:w="1490" w:type="pct"/>
            <w:tcBorders>
              <w:left w:val="nil"/>
              <w:right w:val="nil"/>
            </w:tcBorders>
            <w:shd w:val="clear" w:color="auto" w:fill="auto"/>
          </w:tcPr>
          <w:p w14:paraId="3479BA0F" w14:textId="77777777" w:rsidR="00264AFE" w:rsidRPr="00074D54" w:rsidRDefault="00264AFE" w:rsidP="0087400D">
            <w:pPr>
              <w:pStyle w:val="Tabletext"/>
              <w:rPr>
                <w:rFonts w:cstheme="minorHAnsi"/>
              </w:rPr>
            </w:pPr>
            <w:r w:rsidRPr="00074D54">
              <w:rPr>
                <w:rFonts w:cstheme="minorHAnsi"/>
              </w:rPr>
              <w:t>None</w:t>
            </w:r>
          </w:p>
        </w:tc>
      </w:tr>
      <w:tr w:rsidR="00264AFE" w:rsidRPr="00074D54" w14:paraId="30173418" w14:textId="77777777" w:rsidTr="008D1C3F">
        <w:trPr>
          <w:cantSplit/>
          <w:trHeight w:val="549"/>
        </w:trPr>
        <w:tc>
          <w:tcPr>
            <w:tcW w:w="1304" w:type="pct"/>
            <w:tcBorders>
              <w:left w:val="nil"/>
              <w:right w:val="nil"/>
            </w:tcBorders>
          </w:tcPr>
          <w:p w14:paraId="0506C95E" w14:textId="77777777" w:rsidR="00264AFE" w:rsidRPr="00074D54" w:rsidRDefault="00264AFE" w:rsidP="00B37E1B">
            <w:pPr>
              <w:pStyle w:val="Tabletext"/>
              <w:rPr>
                <w:rFonts w:cstheme="minorHAnsi"/>
              </w:rPr>
            </w:pPr>
            <w:r w:rsidRPr="00074D54">
              <w:rPr>
                <w:rFonts w:cstheme="minorHAnsi"/>
              </w:rPr>
              <w:t>Associate Professor Rachael Moorin</w:t>
            </w:r>
          </w:p>
        </w:tc>
        <w:tc>
          <w:tcPr>
            <w:tcW w:w="2206" w:type="pct"/>
            <w:tcBorders>
              <w:left w:val="nil"/>
              <w:right w:val="nil"/>
            </w:tcBorders>
          </w:tcPr>
          <w:p w14:paraId="7067E181" w14:textId="77777777" w:rsidR="00264AFE" w:rsidRPr="00074D54" w:rsidRDefault="00264AFE" w:rsidP="00B37E1B">
            <w:pPr>
              <w:pStyle w:val="Tabletext"/>
              <w:rPr>
                <w:rFonts w:cstheme="minorHAnsi"/>
              </w:rPr>
            </w:pPr>
            <w:r w:rsidRPr="00074D54">
              <w:rPr>
                <w:rFonts w:cstheme="minorHAnsi"/>
              </w:rPr>
              <w:t>Manager, Health Research, Silver Chain Group; Associate Professor, Curtin University</w:t>
            </w:r>
          </w:p>
        </w:tc>
        <w:tc>
          <w:tcPr>
            <w:tcW w:w="1490" w:type="pct"/>
            <w:tcBorders>
              <w:left w:val="nil"/>
              <w:right w:val="nil"/>
            </w:tcBorders>
            <w:shd w:val="clear" w:color="auto" w:fill="auto"/>
          </w:tcPr>
          <w:p w14:paraId="5C430135" w14:textId="77777777" w:rsidR="00264AFE" w:rsidRPr="00074D54" w:rsidRDefault="00264AFE" w:rsidP="0087400D">
            <w:pPr>
              <w:rPr>
                <w:rFonts w:cstheme="minorHAnsi"/>
                <w:sz w:val="18"/>
                <w:szCs w:val="18"/>
              </w:rPr>
            </w:pPr>
            <w:r w:rsidRPr="00074D54">
              <w:rPr>
                <w:rFonts w:cstheme="minorHAnsi"/>
                <w:sz w:val="18"/>
                <w:szCs w:val="18"/>
              </w:rPr>
              <w:t>Expert Advisor,</w:t>
            </w:r>
          </w:p>
          <w:p w14:paraId="11922519" w14:textId="77777777" w:rsidR="00264AFE" w:rsidRPr="00074D54" w:rsidRDefault="00264AFE" w:rsidP="0087400D">
            <w:pPr>
              <w:rPr>
                <w:rFonts w:cstheme="minorHAnsi"/>
                <w:sz w:val="18"/>
                <w:szCs w:val="18"/>
              </w:rPr>
            </w:pPr>
            <w:r w:rsidRPr="00074D54">
              <w:rPr>
                <w:rFonts w:cstheme="minorHAnsi"/>
                <w:sz w:val="18"/>
                <w:szCs w:val="18"/>
              </w:rPr>
              <w:t>NPS MedicineWise</w:t>
            </w:r>
          </w:p>
          <w:p w14:paraId="2EA5F791" w14:textId="77777777" w:rsidR="00264AFE" w:rsidRPr="00074D54" w:rsidRDefault="00264AFE" w:rsidP="0087400D">
            <w:pPr>
              <w:pStyle w:val="Tabletext"/>
              <w:rPr>
                <w:rFonts w:cstheme="minorHAnsi"/>
              </w:rPr>
            </w:pPr>
          </w:p>
        </w:tc>
      </w:tr>
      <w:tr w:rsidR="00264AFE" w:rsidRPr="00074D54" w14:paraId="0ED9DA87" w14:textId="77777777" w:rsidTr="008D1C3F">
        <w:trPr>
          <w:cantSplit/>
          <w:trHeight w:val="549"/>
        </w:trPr>
        <w:tc>
          <w:tcPr>
            <w:tcW w:w="1304" w:type="pct"/>
            <w:tcBorders>
              <w:left w:val="nil"/>
              <w:right w:val="nil"/>
            </w:tcBorders>
          </w:tcPr>
          <w:p w14:paraId="05363BF6" w14:textId="77777777" w:rsidR="00264AFE" w:rsidRPr="00074D54" w:rsidRDefault="00264AFE" w:rsidP="00B37E1B">
            <w:pPr>
              <w:pStyle w:val="Tabletext"/>
              <w:rPr>
                <w:rFonts w:cstheme="minorHAnsi"/>
              </w:rPr>
            </w:pPr>
            <w:r w:rsidRPr="00074D54">
              <w:rPr>
                <w:rFonts w:cstheme="minorHAnsi"/>
              </w:rPr>
              <w:lastRenderedPageBreak/>
              <w:t>Associate Professor Mark Morgan</w:t>
            </w:r>
          </w:p>
        </w:tc>
        <w:tc>
          <w:tcPr>
            <w:tcW w:w="2206" w:type="pct"/>
            <w:tcBorders>
              <w:left w:val="nil"/>
              <w:right w:val="nil"/>
            </w:tcBorders>
          </w:tcPr>
          <w:p w14:paraId="0CA70B89" w14:textId="77777777" w:rsidR="00264AFE" w:rsidRPr="00074D54" w:rsidRDefault="00264AFE" w:rsidP="00B37E1B">
            <w:pPr>
              <w:pStyle w:val="Tabletext"/>
              <w:rPr>
                <w:rFonts w:cstheme="minorHAnsi"/>
              </w:rPr>
            </w:pPr>
            <w:r w:rsidRPr="00074D54">
              <w:rPr>
                <w:rFonts w:cstheme="minorHAnsi"/>
              </w:rPr>
              <w:t>Associate Professor, Bond University</w:t>
            </w:r>
          </w:p>
        </w:tc>
        <w:tc>
          <w:tcPr>
            <w:tcW w:w="1490" w:type="pct"/>
            <w:tcBorders>
              <w:left w:val="nil"/>
              <w:right w:val="nil"/>
            </w:tcBorders>
            <w:shd w:val="clear" w:color="auto" w:fill="auto"/>
          </w:tcPr>
          <w:p w14:paraId="7F723EF6" w14:textId="77777777" w:rsidR="00264AFE" w:rsidRPr="00074D54" w:rsidRDefault="00264AFE" w:rsidP="0087400D">
            <w:pPr>
              <w:rPr>
                <w:rFonts w:cstheme="minorHAnsi"/>
                <w:sz w:val="18"/>
                <w:szCs w:val="18"/>
              </w:rPr>
            </w:pPr>
            <w:r w:rsidRPr="00074D54">
              <w:rPr>
                <w:rFonts w:cstheme="minorHAnsi"/>
                <w:sz w:val="18"/>
                <w:szCs w:val="18"/>
              </w:rPr>
              <w:t>None</w:t>
            </w:r>
          </w:p>
          <w:p w14:paraId="5CE66C69" w14:textId="77777777" w:rsidR="00264AFE" w:rsidRPr="00074D54" w:rsidRDefault="00264AFE" w:rsidP="00B37E1B">
            <w:pPr>
              <w:pStyle w:val="Tabletext"/>
              <w:rPr>
                <w:rFonts w:cstheme="minorHAnsi"/>
              </w:rPr>
            </w:pPr>
          </w:p>
        </w:tc>
      </w:tr>
      <w:tr w:rsidR="00264AFE" w:rsidRPr="00074D54" w14:paraId="060A4224" w14:textId="77777777" w:rsidTr="008D1C3F">
        <w:trPr>
          <w:cantSplit/>
          <w:trHeight w:val="549"/>
        </w:trPr>
        <w:tc>
          <w:tcPr>
            <w:tcW w:w="1304" w:type="pct"/>
            <w:tcBorders>
              <w:left w:val="nil"/>
              <w:right w:val="nil"/>
            </w:tcBorders>
          </w:tcPr>
          <w:p w14:paraId="56A13379" w14:textId="77777777" w:rsidR="00264AFE" w:rsidRPr="00074D54" w:rsidRDefault="00264AFE" w:rsidP="00B37E1B">
            <w:pPr>
              <w:pStyle w:val="Tabletext"/>
              <w:rPr>
                <w:rFonts w:cstheme="minorHAnsi"/>
              </w:rPr>
            </w:pPr>
            <w:r w:rsidRPr="00074D54">
              <w:rPr>
                <w:rFonts w:cstheme="minorHAnsi"/>
              </w:rPr>
              <w:t>Ms Geraldine Robertson</w:t>
            </w:r>
          </w:p>
        </w:tc>
        <w:tc>
          <w:tcPr>
            <w:tcW w:w="2206" w:type="pct"/>
            <w:tcBorders>
              <w:left w:val="nil"/>
              <w:right w:val="nil"/>
            </w:tcBorders>
          </w:tcPr>
          <w:p w14:paraId="01409F46" w14:textId="77777777" w:rsidR="00264AFE" w:rsidRPr="00074D54" w:rsidRDefault="00264AFE" w:rsidP="00B37E1B">
            <w:pPr>
              <w:pStyle w:val="Tabletext"/>
              <w:rPr>
                <w:rFonts w:cstheme="minorHAnsi"/>
              </w:rPr>
            </w:pPr>
            <w:r w:rsidRPr="00074D54">
              <w:rPr>
                <w:rFonts w:cstheme="minorHAnsi"/>
              </w:rPr>
              <w:t>Consumer Representative, Consumer Health Forum and Breast Cancer Network Australia</w:t>
            </w:r>
          </w:p>
        </w:tc>
        <w:tc>
          <w:tcPr>
            <w:tcW w:w="1490" w:type="pct"/>
            <w:tcBorders>
              <w:left w:val="nil"/>
              <w:right w:val="nil"/>
            </w:tcBorders>
            <w:shd w:val="clear" w:color="auto" w:fill="auto"/>
          </w:tcPr>
          <w:p w14:paraId="272AECA4" w14:textId="77777777" w:rsidR="00264AFE" w:rsidRPr="00074D54" w:rsidRDefault="00264AFE" w:rsidP="0087400D">
            <w:pPr>
              <w:rPr>
                <w:rFonts w:cstheme="minorHAnsi"/>
                <w:sz w:val="18"/>
                <w:szCs w:val="18"/>
              </w:rPr>
            </w:pPr>
            <w:r w:rsidRPr="00074D54">
              <w:rPr>
                <w:rFonts w:cstheme="minorHAnsi"/>
                <w:sz w:val="18"/>
                <w:szCs w:val="18"/>
              </w:rPr>
              <w:t>None</w:t>
            </w:r>
          </w:p>
          <w:p w14:paraId="34C50980" w14:textId="77777777" w:rsidR="00264AFE" w:rsidRPr="00074D54" w:rsidRDefault="00264AFE" w:rsidP="00B37E1B">
            <w:pPr>
              <w:pStyle w:val="Tabletext"/>
              <w:rPr>
                <w:rFonts w:cstheme="minorHAnsi"/>
              </w:rPr>
            </w:pPr>
          </w:p>
        </w:tc>
      </w:tr>
      <w:tr w:rsidR="00264AFE" w:rsidRPr="00074D54" w14:paraId="2EF82B17" w14:textId="77777777" w:rsidTr="008D1C3F">
        <w:trPr>
          <w:cantSplit/>
          <w:trHeight w:val="549"/>
        </w:trPr>
        <w:tc>
          <w:tcPr>
            <w:tcW w:w="1304" w:type="pct"/>
            <w:tcBorders>
              <w:left w:val="nil"/>
              <w:right w:val="nil"/>
            </w:tcBorders>
          </w:tcPr>
          <w:p w14:paraId="5298179C" w14:textId="77777777" w:rsidR="00264AFE" w:rsidRPr="00074D54" w:rsidRDefault="00264AFE" w:rsidP="00B37E1B">
            <w:pPr>
              <w:pStyle w:val="Tabletext"/>
              <w:rPr>
                <w:rFonts w:cstheme="minorHAnsi"/>
              </w:rPr>
            </w:pPr>
            <w:r w:rsidRPr="00074D54">
              <w:rPr>
                <w:rFonts w:cstheme="minorHAnsi"/>
              </w:rPr>
              <w:t>Dr Greg Slater</w:t>
            </w:r>
          </w:p>
        </w:tc>
        <w:tc>
          <w:tcPr>
            <w:tcW w:w="2206" w:type="pct"/>
            <w:tcBorders>
              <w:left w:val="nil"/>
              <w:right w:val="nil"/>
            </w:tcBorders>
          </w:tcPr>
          <w:p w14:paraId="2FCEAA88" w14:textId="77777777" w:rsidR="00264AFE" w:rsidRPr="00074D54" w:rsidRDefault="00264AFE" w:rsidP="00B37E1B">
            <w:pPr>
              <w:pStyle w:val="Tabletext"/>
              <w:rPr>
                <w:rFonts w:cstheme="minorHAnsi"/>
              </w:rPr>
            </w:pPr>
            <w:r w:rsidRPr="00074D54">
              <w:rPr>
                <w:rFonts w:cstheme="minorHAnsi"/>
              </w:rPr>
              <w:t>Radiologist</w:t>
            </w:r>
          </w:p>
        </w:tc>
        <w:tc>
          <w:tcPr>
            <w:tcW w:w="1490" w:type="pct"/>
            <w:tcBorders>
              <w:left w:val="nil"/>
              <w:right w:val="nil"/>
            </w:tcBorders>
            <w:shd w:val="clear" w:color="auto" w:fill="auto"/>
          </w:tcPr>
          <w:p w14:paraId="2670DFF3" w14:textId="77777777" w:rsidR="00264AFE" w:rsidRPr="00074D54" w:rsidRDefault="00264AFE" w:rsidP="00DF30D8">
            <w:pPr>
              <w:rPr>
                <w:rFonts w:eastAsiaTheme="minorHAnsi" w:cstheme="minorHAnsi"/>
                <w:sz w:val="18"/>
                <w:szCs w:val="18"/>
                <w:lang w:val="en-GB" w:eastAsia="en-US"/>
              </w:rPr>
            </w:pPr>
            <w:r w:rsidRPr="00074D54">
              <w:rPr>
                <w:rFonts w:eastAsiaTheme="minorHAnsi" w:cstheme="minorHAnsi"/>
                <w:sz w:val="18"/>
                <w:szCs w:val="18"/>
                <w:lang w:val="en-GB" w:eastAsia="en-US"/>
              </w:rPr>
              <w:t>President, Royal Australia and New Zealand College of Radiologists</w:t>
            </w:r>
          </w:p>
          <w:p w14:paraId="534C3E20" w14:textId="77777777" w:rsidR="00264AFE" w:rsidRPr="00074D54" w:rsidRDefault="00264AFE" w:rsidP="00B37E1B">
            <w:pPr>
              <w:pStyle w:val="Tabletext"/>
              <w:rPr>
                <w:rFonts w:cstheme="minorHAnsi"/>
              </w:rPr>
            </w:pPr>
            <w:r w:rsidRPr="00074D54">
              <w:rPr>
                <w:rFonts w:eastAsiaTheme="minorHAnsi" w:cstheme="minorHAnsi"/>
                <w:lang w:val="en-GB" w:eastAsia="en-US"/>
              </w:rPr>
              <w:t>Shareholder, Sonic Healthcare</w:t>
            </w:r>
            <w:r w:rsidRPr="00074D54" w:rsidDel="00DF30D8">
              <w:rPr>
                <w:rFonts w:cstheme="minorHAnsi"/>
              </w:rPr>
              <w:t xml:space="preserve"> </w:t>
            </w:r>
          </w:p>
        </w:tc>
      </w:tr>
      <w:tr w:rsidR="00264AFE" w:rsidRPr="00074D54" w14:paraId="03A88283" w14:textId="77777777" w:rsidTr="008D1C3F">
        <w:trPr>
          <w:cantSplit/>
          <w:trHeight w:val="549"/>
        </w:trPr>
        <w:tc>
          <w:tcPr>
            <w:tcW w:w="1304" w:type="pct"/>
            <w:tcBorders>
              <w:left w:val="nil"/>
              <w:right w:val="nil"/>
            </w:tcBorders>
          </w:tcPr>
          <w:p w14:paraId="0199E68E" w14:textId="77777777" w:rsidR="00264AFE" w:rsidRPr="00074D54" w:rsidRDefault="00264AFE" w:rsidP="00DF30D8">
            <w:pPr>
              <w:pStyle w:val="Tabletext"/>
              <w:rPr>
                <w:rFonts w:cstheme="minorHAnsi"/>
              </w:rPr>
            </w:pPr>
            <w:r w:rsidRPr="00074D54">
              <w:rPr>
                <w:rFonts w:cstheme="minorHAnsi"/>
              </w:rPr>
              <w:t>Associate Professor Ken Sikaris</w:t>
            </w:r>
          </w:p>
        </w:tc>
        <w:tc>
          <w:tcPr>
            <w:tcW w:w="2206" w:type="pct"/>
            <w:tcBorders>
              <w:left w:val="nil"/>
              <w:right w:val="nil"/>
            </w:tcBorders>
          </w:tcPr>
          <w:p w14:paraId="082E76DC" w14:textId="77777777" w:rsidR="00264AFE" w:rsidRPr="00074D54" w:rsidRDefault="00264AFE" w:rsidP="00B37E1B">
            <w:pPr>
              <w:pStyle w:val="Tabletext"/>
              <w:rPr>
                <w:rFonts w:cstheme="minorHAnsi"/>
              </w:rPr>
            </w:pPr>
            <w:r w:rsidRPr="00074D54">
              <w:rPr>
                <w:rFonts w:cstheme="minorHAnsi"/>
              </w:rPr>
              <w:t>Director of Clinical Support, Sonic Healthcare</w:t>
            </w:r>
          </w:p>
        </w:tc>
        <w:tc>
          <w:tcPr>
            <w:tcW w:w="1490" w:type="pct"/>
            <w:tcBorders>
              <w:left w:val="nil"/>
              <w:right w:val="nil"/>
            </w:tcBorders>
            <w:shd w:val="clear" w:color="auto" w:fill="auto"/>
          </w:tcPr>
          <w:p w14:paraId="79927BE9" w14:textId="77777777" w:rsidR="00264AFE" w:rsidRPr="00074D54" w:rsidRDefault="00264AFE" w:rsidP="0087400D">
            <w:pPr>
              <w:pStyle w:val="Tabletext"/>
              <w:rPr>
                <w:rFonts w:cstheme="minorHAnsi"/>
              </w:rPr>
            </w:pPr>
            <w:r w:rsidRPr="00074D54">
              <w:rPr>
                <w:rFonts w:eastAsiaTheme="minorHAnsi" w:cstheme="minorHAnsi"/>
                <w:lang w:val="en-GB" w:eastAsia="en-US"/>
              </w:rPr>
              <w:t>None – note no shareholding in Sonic Healthcare</w:t>
            </w:r>
          </w:p>
        </w:tc>
      </w:tr>
      <w:tr w:rsidR="00264AFE" w:rsidRPr="00074D54" w14:paraId="3E7AAFC7" w14:textId="77777777" w:rsidTr="008D1C3F">
        <w:trPr>
          <w:cantSplit/>
          <w:trHeight w:val="549"/>
        </w:trPr>
        <w:tc>
          <w:tcPr>
            <w:tcW w:w="1304" w:type="pct"/>
            <w:tcBorders>
              <w:left w:val="nil"/>
              <w:right w:val="nil"/>
            </w:tcBorders>
          </w:tcPr>
          <w:p w14:paraId="72A383D3" w14:textId="77777777" w:rsidR="00264AFE" w:rsidRPr="00074D54" w:rsidDel="00DF30D8" w:rsidRDefault="00264AFE" w:rsidP="00DF30D8">
            <w:pPr>
              <w:pStyle w:val="Tabletext"/>
              <w:rPr>
                <w:rFonts w:cstheme="minorHAnsi"/>
              </w:rPr>
            </w:pPr>
            <w:r w:rsidRPr="00074D54">
              <w:rPr>
                <w:rFonts w:cstheme="minorHAnsi"/>
              </w:rPr>
              <w:t>Associate Professor Peter Stewart</w:t>
            </w:r>
          </w:p>
        </w:tc>
        <w:tc>
          <w:tcPr>
            <w:tcW w:w="2206" w:type="pct"/>
            <w:tcBorders>
              <w:left w:val="nil"/>
              <w:right w:val="nil"/>
            </w:tcBorders>
          </w:tcPr>
          <w:p w14:paraId="06052440" w14:textId="77777777" w:rsidR="00264AFE" w:rsidRPr="00074D54" w:rsidRDefault="00264AFE" w:rsidP="00234812">
            <w:pPr>
              <w:pStyle w:val="02Tabletext"/>
              <w:rPr>
                <w:rFonts w:asciiTheme="minorHAnsi" w:hAnsiTheme="minorHAnsi"/>
              </w:rPr>
            </w:pPr>
            <w:r w:rsidRPr="00074D54">
              <w:rPr>
                <w:rFonts w:asciiTheme="minorHAnsi" w:eastAsia="Times New Roman" w:hAnsiTheme="minorHAnsi" w:cstheme="minorHAnsi"/>
              </w:rPr>
              <w:t>Director of Pathology, Sydney South West Pathology</w:t>
            </w:r>
          </w:p>
          <w:p w14:paraId="0E4C62A0" w14:textId="77777777" w:rsidR="00264AFE" w:rsidRPr="00074D54" w:rsidRDefault="00264AFE" w:rsidP="00DF30D8">
            <w:pPr>
              <w:pStyle w:val="02Tabletext"/>
              <w:rPr>
                <w:rFonts w:asciiTheme="minorHAnsi" w:hAnsiTheme="minorHAnsi" w:cstheme="minorHAnsi"/>
                <w:b/>
              </w:rPr>
            </w:pPr>
          </w:p>
          <w:p w14:paraId="23705085" w14:textId="77777777" w:rsidR="00264AFE" w:rsidRPr="00074D54" w:rsidRDefault="00264AFE" w:rsidP="00DF30D8">
            <w:pPr>
              <w:pStyle w:val="Tabletext"/>
              <w:rPr>
                <w:rFonts w:cstheme="minorHAnsi"/>
              </w:rPr>
            </w:pPr>
            <w:r w:rsidRPr="00074D54">
              <w:rPr>
                <w:rFonts w:cstheme="minorHAnsi"/>
                <w:b/>
              </w:rPr>
              <w:t>Chair, Pathology Clinical Committee</w:t>
            </w:r>
          </w:p>
        </w:tc>
        <w:tc>
          <w:tcPr>
            <w:tcW w:w="1490" w:type="pct"/>
            <w:tcBorders>
              <w:left w:val="nil"/>
              <w:right w:val="nil"/>
            </w:tcBorders>
            <w:shd w:val="clear" w:color="auto" w:fill="auto"/>
          </w:tcPr>
          <w:p w14:paraId="26CDC13B" w14:textId="77777777" w:rsidR="00264AFE" w:rsidRPr="00074D54" w:rsidRDefault="00264AFE" w:rsidP="0087400D">
            <w:pPr>
              <w:rPr>
                <w:rFonts w:eastAsiaTheme="minorHAnsi" w:cstheme="minorHAnsi"/>
                <w:sz w:val="18"/>
                <w:szCs w:val="18"/>
                <w:lang w:val="en-GB" w:eastAsia="en-US"/>
              </w:rPr>
            </w:pPr>
            <w:r w:rsidRPr="00074D54">
              <w:rPr>
                <w:rFonts w:eastAsiaTheme="minorHAnsi" w:cstheme="minorHAnsi"/>
                <w:sz w:val="18"/>
                <w:szCs w:val="18"/>
                <w:lang w:val="en-GB" w:eastAsia="en-US"/>
              </w:rPr>
              <w:t>Immediate past president, Royal College of Pathologists of Australasia</w:t>
            </w:r>
          </w:p>
        </w:tc>
      </w:tr>
      <w:tr w:rsidR="00264AFE" w:rsidRPr="00074D54" w14:paraId="43880064" w14:textId="77777777" w:rsidTr="008D1C3F">
        <w:trPr>
          <w:cantSplit/>
          <w:trHeight w:val="549"/>
        </w:trPr>
        <w:tc>
          <w:tcPr>
            <w:tcW w:w="1304" w:type="pct"/>
            <w:tcBorders>
              <w:left w:val="nil"/>
              <w:right w:val="nil"/>
            </w:tcBorders>
          </w:tcPr>
          <w:p w14:paraId="03B639BE" w14:textId="77777777" w:rsidR="00264AFE" w:rsidRPr="00074D54" w:rsidRDefault="00264AFE" w:rsidP="00DF30D8">
            <w:pPr>
              <w:pStyle w:val="Tabletext"/>
              <w:rPr>
                <w:rFonts w:cstheme="minorHAnsi"/>
              </w:rPr>
            </w:pPr>
            <w:r w:rsidRPr="00074D54">
              <w:rPr>
                <w:rFonts w:cstheme="minorHAnsi"/>
              </w:rPr>
              <w:t>Dr Simon Torvaldsen</w:t>
            </w:r>
          </w:p>
        </w:tc>
        <w:tc>
          <w:tcPr>
            <w:tcW w:w="2206" w:type="pct"/>
            <w:tcBorders>
              <w:left w:val="nil"/>
              <w:right w:val="nil"/>
            </w:tcBorders>
          </w:tcPr>
          <w:p w14:paraId="00D1D657" w14:textId="77777777" w:rsidR="00264AFE" w:rsidRPr="00074D54" w:rsidRDefault="00264AFE" w:rsidP="00DF30D8">
            <w:pPr>
              <w:pStyle w:val="02Tabletext"/>
              <w:rPr>
                <w:rFonts w:asciiTheme="minorHAnsi" w:eastAsia="Times New Roman" w:hAnsiTheme="minorHAnsi" w:cstheme="minorHAnsi"/>
              </w:rPr>
            </w:pPr>
            <w:r w:rsidRPr="00074D54">
              <w:rPr>
                <w:rFonts w:asciiTheme="minorHAnsi" w:eastAsia="Times New Roman" w:hAnsiTheme="minorHAnsi" w:cstheme="minorHAnsi"/>
              </w:rPr>
              <w:t>General Practitioner</w:t>
            </w:r>
          </w:p>
        </w:tc>
        <w:tc>
          <w:tcPr>
            <w:tcW w:w="1490" w:type="pct"/>
            <w:tcBorders>
              <w:left w:val="nil"/>
              <w:right w:val="nil"/>
            </w:tcBorders>
            <w:shd w:val="clear" w:color="auto" w:fill="auto"/>
          </w:tcPr>
          <w:p w14:paraId="0D187072" w14:textId="77777777" w:rsidR="00264AFE" w:rsidRPr="00074D54" w:rsidRDefault="00264AFE" w:rsidP="00DF30D8">
            <w:pPr>
              <w:rPr>
                <w:rFonts w:cstheme="minorHAnsi"/>
                <w:sz w:val="18"/>
                <w:szCs w:val="18"/>
                <w:lang w:val="en-GB" w:eastAsia="en-US"/>
              </w:rPr>
            </w:pPr>
            <w:r w:rsidRPr="00074D54">
              <w:rPr>
                <w:rFonts w:cstheme="minorHAnsi"/>
                <w:sz w:val="18"/>
                <w:szCs w:val="18"/>
                <w:lang w:val="en-GB" w:eastAsia="en-US"/>
              </w:rPr>
              <w:t>Chair, Australian Medical Association (Western Australia) Council of General Practice</w:t>
            </w:r>
          </w:p>
          <w:p w14:paraId="7D9E78AA" w14:textId="77777777" w:rsidR="00264AFE" w:rsidRPr="00074D54" w:rsidRDefault="00264AFE" w:rsidP="00DF30D8">
            <w:pPr>
              <w:rPr>
                <w:rFonts w:eastAsiaTheme="minorHAnsi" w:cstheme="minorHAnsi"/>
                <w:sz w:val="18"/>
                <w:szCs w:val="18"/>
                <w:lang w:val="en-GB" w:eastAsia="en-US"/>
              </w:rPr>
            </w:pPr>
            <w:r w:rsidRPr="00074D54">
              <w:rPr>
                <w:rFonts w:cstheme="minorHAnsi"/>
                <w:sz w:val="18"/>
                <w:szCs w:val="18"/>
                <w:lang w:val="en-GB" w:eastAsia="en-US"/>
              </w:rPr>
              <w:t>Owner, General Practice (which receives rent at market rate from a pathology company)</w:t>
            </w:r>
          </w:p>
        </w:tc>
      </w:tr>
      <w:tr w:rsidR="00264AFE" w:rsidRPr="00074D54" w14:paraId="610C81DB" w14:textId="77777777" w:rsidTr="008D1C3F">
        <w:trPr>
          <w:cantSplit/>
          <w:trHeight w:val="549"/>
        </w:trPr>
        <w:tc>
          <w:tcPr>
            <w:tcW w:w="1304" w:type="pct"/>
            <w:tcBorders>
              <w:left w:val="nil"/>
              <w:right w:val="nil"/>
            </w:tcBorders>
          </w:tcPr>
          <w:p w14:paraId="5383CA7A" w14:textId="77777777" w:rsidR="00264AFE" w:rsidRPr="00074D54" w:rsidRDefault="00264AFE" w:rsidP="00DF30D8">
            <w:pPr>
              <w:pStyle w:val="Tabletext"/>
              <w:rPr>
                <w:rFonts w:cstheme="minorHAnsi"/>
              </w:rPr>
            </w:pPr>
            <w:r w:rsidRPr="00074D54">
              <w:rPr>
                <w:rFonts w:cstheme="minorHAnsi"/>
              </w:rPr>
              <w:t>Professor Tim Usherwood</w:t>
            </w:r>
          </w:p>
        </w:tc>
        <w:tc>
          <w:tcPr>
            <w:tcW w:w="2206" w:type="pct"/>
            <w:tcBorders>
              <w:left w:val="nil"/>
              <w:right w:val="nil"/>
            </w:tcBorders>
          </w:tcPr>
          <w:p w14:paraId="01FB9579" w14:textId="77777777" w:rsidR="00264AFE" w:rsidRPr="00074D54" w:rsidRDefault="00264AFE" w:rsidP="00DF30D8">
            <w:pPr>
              <w:pStyle w:val="02Tabletext"/>
              <w:rPr>
                <w:rFonts w:asciiTheme="minorHAnsi" w:eastAsia="Times New Roman" w:hAnsiTheme="minorHAnsi" w:cstheme="minorHAnsi"/>
              </w:rPr>
            </w:pPr>
            <w:r w:rsidRPr="00074D54">
              <w:rPr>
                <w:rFonts w:asciiTheme="minorHAnsi" w:eastAsia="Times New Roman" w:hAnsiTheme="minorHAnsi" w:cstheme="minorHAnsi"/>
              </w:rPr>
              <w:t>Professor, General Practice, Westmead Clinical School, University of Sydney</w:t>
            </w:r>
          </w:p>
          <w:p w14:paraId="2BA1ECB2" w14:textId="77777777" w:rsidR="00264AFE" w:rsidRPr="00074D54" w:rsidRDefault="00264AFE" w:rsidP="00DF30D8">
            <w:pPr>
              <w:rPr>
                <w:rFonts w:cstheme="minorHAnsi"/>
                <w:sz w:val="18"/>
                <w:szCs w:val="18"/>
                <w:lang w:val="en-GB" w:eastAsia="en-US"/>
              </w:rPr>
            </w:pPr>
          </w:p>
          <w:p w14:paraId="7E0222CF" w14:textId="77777777" w:rsidR="00264AFE" w:rsidRPr="00074D54" w:rsidRDefault="00264AFE" w:rsidP="00DF30D8">
            <w:pPr>
              <w:pStyle w:val="02Tabletext"/>
              <w:rPr>
                <w:rFonts w:asciiTheme="minorHAnsi" w:eastAsia="Times New Roman" w:hAnsiTheme="minorHAnsi" w:cstheme="minorHAnsi"/>
              </w:rPr>
            </w:pPr>
            <w:r w:rsidRPr="00074D54">
              <w:rPr>
                <w:rFonts w:asciiTheme="minorHAnsi" w:hAnsiTheme="minorHAnsi" w:cstheme="minorHAnsi"/>
                <w:b/>
              </w:rPr>
              <w:t>Chair, General Practice Primary Care Clinical Committee</w:t>
            </w:r>
          </w:p>
        </w:tc>
        <w:tc>
          <w:tcPr>
            <w:tcW w:w="1490" w:type="pct"/>
            <w:tcBorders>
              <w:left w:val="nil"/>
              <w:right w:val="nil"/>
            </w:tcBorders>
            <w:shd w:val="clear" w:color="auto" w:fill="auto"/>
          </w:tcPr>
          <w:p w14:paraId="32FE4E3E" w14:textId="77777777" w:rsidR="00264AFE" w:rsidRPr="00074D54" w:rsidRDefault="00264AFE" w:rsidP="00DF30D8">
            <w:pPr>
              <w:rPr>
                <w:rFonts w:cstheme="minorHAnsi"/>
                <w:sz w:val="18"/>
                <w:szCs w:val="18"/>
                <w:lang w:val="en-GB" w:eastAsia="en-US"/>
              </w:rPr>
            </w:pPr>
            <w:r w:rsidRPr="00074D54">
              <w:rPr>
                <w:rFonts w:cstheme="minorHAnsi"/>
                <w:sz w:val="18"/>
                <w:szCs w:val="18"/>
                <w:lang w:val="en-GB" w:eastAsia="en-US"/>
              </w:rPr>
              <w:t>Consultant, NPS MedicineWise</w:t>
            </w:r>
          </w:p>
        </w:tc>
      </w:tr>
    </w:tbl>
    <w:p w14:paraId="37DE8686" w14:textId="77777777" w:rsidR="001975C4" w:rsidRPr="00074D54" w:rsidRDefault="001975C4" w:rsidP="001975C4">
      <w:pPr>
        <w:pStyle w:val="N1"/>
        <w:spacing w:before="0" w:after="0"/>
        <w:rPr>
          <w:sz w:val="18"/>
        </w:rPr>
      </w:pPr>
      <w:r w:rsidRPr="00074D54">
        <w:rPr>
          <w:sz w:val="18"/>
        </w:rPr>
        <w:t>*</w:t>
      </w:r>
      <w:r w:rsidR="00234812" w:rsidRPr="00074D54">
        <w:rPr>
          <w:sz w:val="18"/>
        </w:rPr>
        <w:t>Conflict of interest other than being a provider of MBS items</w:t>
      </w:r>
      <w:r w:rsidRPr="00074D54">
        <w:rPr>
          <w:sz w:val="18"/>
        </w:rPr>
        <w:t>.</w:t>
      </w:r>
    </w:p>
    <w:p w14:paraId="6EDBA5F5" w14:textId="77777777" w:rsidR="000B2FBB" w:rsidRPr="00074D54" w:rsidRDefault="000B2FBB" w:rsidP="008D1C3F">
      <w:bookmarkStart w:id="114" w:name="_Toc506552470"/>
    </w:p>
    <w:p w14:paraId="7B7A9BB1" w14:textId="77777777" w:rsidR="005631FB" w:rsidRPr="00074D54" w:rsidRDefault="005631FB" w:rsidP="004F5C57">
      <w:pPr>
        <w:pStyle w:val="Heading2"/>
        <w:ind w:firstLine="417"/>
      </w:pPr>
      <w:bookmarkStart w:id="115" w:name="_Toc522396621"/>
      <w:bookmarkStart w:id="116" w:name="_Toc525816062"/>
      <w:r w:rsidRPr="00074D54">
        <w:t>Conflicts of interest</w:t>
      </w:r>
      <w:bookmarkEnd w:id="114"/>
      <w:bookmarkEnd w:id="115"/>
      <w:bookmarkEnd w:id="116"/>
    </w:p>
    <w:p w14:paraId="29B3C086" w14:textId="77777777" w:rsidR="005631FB" w:rsidRPr="00074D54" w:rsidRDefault="005631FB" w:rsidP="005E6078">
      <w:pPr>
        <w:spacing w:line="240" w:lineRule="auto"/>
      </w:pPr>
      <w:r w:rsidRPr="00074D54">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00412EFD" w:rsidRPr="00074D54">
        <w:t>Table 1</w:t>
      </w:r>
      <w:r w:rsidRPr="00074D54">
        <w:t xml:space="preserve">. </w:t>
      </w:r>
    </w:p>
    <w:p w14:paraId="5E6E5F8F" w14:textId="77777777" w:rsidR="00C62DA7" w:rsidRDefault="004D1B38" w:rsidP="005E6078">
      <w:pPr>
        <w:spacing w:line="240" w:lineRule="auto"/>
      </w:pPr>
      <w:r w:rsidRPr="00074D54">
        <w:t xml:space="preserve">It is noted that the majority of the Committee members share a common conflict of interest in reviewing items that are a source of revenue for them (i.e. Committee members claim the items under review). </w:t>
      </w:r>
    </w:p>
    <w:p w14:paraId="6FEDABD2" w14:textId="67F5DEB9" w:rsidR="004D1B38" w:rsidRPr="00074D54" w:rsidRDefault="004D1B38" w:rsidP="005E6078">
      <w:pPr>
        <w:spacing w:line="240" w:lineRule="auto"/>
      </w:pPr>
      <w:r w:rsidRPr="00074D54">
        <w:lastRenderedPageBreak/>
        <w:t>This conflict is inherent in a clinician-led process, and having been acknowledged by the Committee and the Taskforce, it was agreed that this should not prevent a clinician from participating in the review.</w:t>
      </w:r>
    </w:p>
    <w:p w14:paraId="0BE57AA6" w14:textId="77777777" w:rsidR="00B84C4F" w:rsidRPr="00074D54" w:rsidRDefault="004D72E6" w:rsidP="004F5C57">
      <w:pPr>
        <w:pStyle w:val="Heading2"/>
        <w:ind w:firstLine="417"/>
      </w:pPr>
      <w:bookmarkStart w:id="117" w:name="_Toc485295723"/>
      <w:bookmarkStart w:id="118" w:name="_Toc506552471"/>
      <w:bookmarkStart w:id="119" w:name="_Toc522396622"/>
      <w:bookmarkStart w:id="120" w:name="_Toc525816063"/>
      <w:r w:rsidRPr="00074D54">
        <w:t xml:space="preserve">Areas of responsibility of the </w:t>
      </w:r>
      <w:bookmarkEnd w:id="117"/>
      <w:r w:rsidR="00EF57B6" w:rsidRPr="00074D54">
        <w:t>Committee</w:t>
      </w:r>
      <w:bookmarkEnd w:id="118"/>
      <w:bookmarkEnd w:id="119"/>
      <w:bookmarkEnd w:id="120"/>
    </w:p>
    <w:p w14:paraId="7D9EE062" w14:textId="71D56235" w:rsidR="00234812" w:rsidRPr="00074D54" w:rsidRDefault="00234812" w:rsidP="00234812">
      <w:pPr>
        <w:pStyle w:val="N1"/>
      </w:pPr>
      <w:r w:rsidRPr="00074D54">
        <w:t xml:space="preserve">The Committee was formed to draw on the expertise of both providers and </w:t>
      </w:r>
      <w:r w:rsidR="006C31FB">
        <w:t>requester</w:t>
      </w:r>
      <w:r w:rsidRPr="00074D54">
        <w:t xml:space="preserve">s of diagnostic services (pathologists, radiologists, </w:t>
      </w:r>
      <w:r w:rsidR="00264AFE">
        <w:t>GPs,</w:t>
      </w:r>
      <w:r w:rsidRPr="00074D54">
        <w:t xml:space="preserve"> specialists, consultant physicians, academics and consumers), with a focus on </w:t>
      </w:r>
      <w:r w:rsidR="00A21348">
        <w:t>selected</w:t>
      </w:r>
      <w:r w:rsidR="00A21348" w:rsidRPr="00074D54">
        <w:t xml:space="preserve"> </w:t>
      </w:r>
      <w:r w:rsidRPr="00074D54">
        <w:t>pathology and diagnostic imaging items. The Committee include</w:t>
      </w:r>
      <w:r w:rsidR="0065699B">
        <w:t>d</w:t>
      </w:r>
      <w:r w:rsidRPr="00074D54">
        <w:t xml:space="preserve"> the chairs of the GPPCCC, the Diagnostic Imaging Clinical Committee (DICC) and the Pathology Clinical Committee (PCC) to assist communication between key committees. </w:t>
      </w:r>
      <w:r w:rsidR="00264AFE">
        <w:t xml:space="preserve">The </w:t>
      </w:r>
      <w:r w:rsidR="00AE7289">
        <w:t>75</w:t>
      </w:r>
      <w:r w:rsidR="00264AFE">
        <w:t xml:space="preserve"> items reviewed by the Committee are listed in </w:t>
      </w:r>
      <w:r w:rsidR="00264AFE">
        <w:fldChar w:fldCharType="begin"/>
      </w:r>
      <w:r w:rsidR="00264AFE">
        <w:instrText xml:space="preserve"> REF _Ref478967422 \h </w:instrText>
      </w:r>
      <w:r w:rsidR="00264AFE">
        <w:fldChar w:fldCharType="separate"/>
      </w:r>
      <w:r w:rsidR="00763A89">
        <w:t xml:space="preserve">Table </w:t>
      </w:r>
      <w:r w:rsidR="00763A89">
        <w:rPr>
          <w:noProof/>
        </w:rPr>
        <w:t>2</w:t>
      </w:r>
      <w:r w:rsidR="00264AFE">
        <w:fldChar w:fldCharType="end"/>
      </w:r>
      <w:r w:rsidR="00264AFE">
        <w:t xml:space="preserve"> (below). </w:t>
      </w:r>
    </w:p>
    <w:p w14:paraId="531304A4" w14:textId="22257FFF" w:rsidR="007D797C" w:rsidRPr="00074D54" w:rsidDel="00264AFE" w:rsidRDefault="00234812" w:rsidP="00442C70">
      <w:pPr>
        <w:pStyle w:val="N1"/>
      </w:pPr>
      <w:r w:rsidRPr="00074D54" w:rsidDel="00264AFE">
        <w:t xml:space="preserve">To inform its recommendations, the Committee commissioned a rapid literature review to identify research on effective interventions that improve the appropriateness and clinical utility of diagnostic investigations requested by clinicians. This report contains details of the mechanisms </w:t>
      </w:r>
      <w:r w:rsidR="0065699B" w:rsidDel="00264AFE">
        <w:t>identified</w:t>
      </w:r>
      <w:r w:rsidR="0065699B" w:rsidRPr="00074D54" w:rsidDel="00264AFE">
        <w:t xml:space="preserve"> </w:t>
      </w:r>
      <w:r w:rsidRPr="00074D54" w:rsidDel="00264AFE">
        <w:t xml:space="preserve">to encourage better requesting of diagnostic services, in addition to item-level recommendations that were developed based on this commissioned research for </w:t>
      </w:r>
      <w:r w:rsidR="00D80E2E">
        <w:t>75</w:t>
      </w:r>
      <w:r w:rsidRPr="00074D54" w:rsidDel="00264AFE">
        <w:t xml:space="preserve"> items across 10 item groups referred to the Committee by the GPPCCC</w:t>
      </w:r>
      <w:r w:rsidR="00264AFE">
        <w:t xml:space="preserve">. </w:t>
      </w:r>
      <w:r w:rsidRPr="00074D54" w:rsidDel="00264AFE">
        <w:t>In the 2015–16 financial year, these items accounted for approximately 22.1 million services</w:t>
      </w:r>
      <w:r w:rsidR="007D797C" w:rsidRPr="00074D54" w:rsidDel="00264AFE">
        <w:t xml:space="preserve">. </w:t>
      </w:r>
      <w:r w:rsidR="00BB582A" w:rsidRPr="00074D54" w:rsidDel="00264AFE">
        <w:t>Over the past five years, service volumes for these items have grown at 10.9 per cent per year.</w:t>
      </w:r>
    </w:p>
    <w:p w14:paraId="1BA5D6EE" w14:textId="77777777" w:rsidR="00BB582A" w:rsidRPr="00EB0974" w:rsidRDefault="00EB0974" w:rsidP="00EB0974">
      <w:pPr>
        <w:pStyle w:val="Caption"/>
        <w:rPr>
          <w:lang w:val="en-GB"/>
        </w:rPr>
      </w:pPr>
      <w:bookmarkStart w:id="121" w:name="_Ref478967422"/>
      <w:bookmarkStart w:id="122" w:name="_Toc498084447"/>
      <w:bookmarkStart w:id="123" w:name="_Toc525816958"/>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2</w:t>
      </w:r>
      <w:r w:rsidR="00AF6A7F">
        <w:rPr>
          <w:noProof/>
        </w:rPr>
        <w:fldChar w:fldCharType="end"/>
      </w:r>
      <w:bookmarkEnd w:id="121"/>
      <w:r w:rsidR="00BB582A" w:rsidRPr="00074D54">
        <w:rPr>
          <w:lang w:val="en-GB"/>
        </w:rPr>
        <w:t>: Items reviewed by the Committee for inclusion in this report</w:t>
      </w:r>
      <w:bookmarkEnd w:id="122"/>
      <w:bookmarkEnd w:id="123"/>
    </w:p>
    <w:tbl>
      <w:tblPr>
        <w:tblStyle w:val="TableGridLight1"/>
        <w:tblW w:w="5000" w:type="pct"/>
        <w:tblLayout w:type="fixed"/>
        <w:tblCellMar>
          <w:top w:w="28" w:type="dxa"/>
          <w:left w:w="28" w:type="dxa"/>
          <w:bottom w:w="28" w:type="dxa"/>
          <w:right w:w="28" w:type="dxa"/>
        </w:tblCellMar>
        <w:tblLook w:val="04A0" w:firstRow="1" w:lastRow="0" w:firstColumn="1" w:lastColumn="0" w:noHBand="0" w:noVBand="1"/>
        <w:tblCaption w:val="Table 1: Items reviewed by the Diagnostic Medicine Clinical Committee"/>
        <w:tblDescription w:val="This table shows the category and number of items reviewed by the Committee. A total of 68 items were reviewed."/>
      </w:tblPr>
      <w:tblGrid>
        <w:gridCol w:w="6542"/>
        <w:gridCol w:w="1760"/>
      </w:tblGrid>
      <w:tr w:rsidR="00BB582A" w:rsidRPr="00074D54" w14:paraId="79FB5E4D" w14:textId="77777777" w:rsidTr="008D1C3F">
        <w:trPr>
          <w:tblHeader/>
        </w:trPr>
        <w:tc>
          <w:tcPr>
            <w:tcW w:w="3940" w:type="pct"/>
            <w:shd w:val="clear" w:color="auto" w:fill="336600"/>
            <w:noWrap/>
            <w:hideMark/>
          </w:tcPr>
          <w:p w14:paraId="443329A6" w14:textId="77777777" w:rsidR="00BB582A" w:rsidRPr="008D1C3F" w:rsidRDefault="00BB582A" w:rsidP="008D1C3F">
            <w:pPr>
              <w:pStyle w:val="Tableheading"/>
              <w:rPr>
                <w:color w:val="FFFFFF" w:themeColor="background1"/>
              </w:rPr>
            </w:pPr>
            <w:r w:rsidRPr="008D1C3F">
              <w:rPr>
                <w:color w:val="FFFFFF" w:themeColor="background1"/>
              </w:rPr>
              <w:t>Category</w:t>
            </w:r>
          </w:p>
        </w:tc>
        <w:tc>
          <w:tcPr>
            <w:tcW w:w="1060" w:type="pct"/>
            <w:shd w:val="clear" w:color="auto" w:fill="336600"/>
            <w:noWrap/>
            <w:hideMark/>
          </w:tcPr>
          <w:p w14:paraId="79D1A031" w14:textId="77777777" w:rsidR="00BB582A" w:rsidRPr="008D1C3F" w:rsidRDefault="00BB582A" w:rsidP="008D1C3F">
            <w:pPr>
              <w:pStyle w:val="Tableheading"/>
              <w:rPr>
                <w:color w:val="FFFFFF" w:themeColor="background1"/>
              </w:rPr>
            </w:pPr>
            <w:r w:rsidRPr="008D1C3F">
              <w:rPr>
                <w:color w:val="FFFFFF" w:themeColor="background1"/>
              </w:rPr>
              <w:t>Items</w:t>
            </w:r>
          </w:p>
        </w:tc>
      </w:tr>
      <w:tr w:rsidR="00BB582A" w:rsidRPr="00074D54" w14:paraId="376DC5F1" w14:textId="77777777" w:rsidTr="003F79B6">
        <w:tc>
          <w:tcPr>
            <w:tcW w:w="3940" w:type="pct"/>
            <w:noWrap/>
          </w:tcPr>
          <w:p w14:paraId="3B5D9C65" w14:textId="77777777" w:rsidR="00BB582A" w:rsidRPr="00074D54" w:rsidRDefault="00BB582A" w:rsidP="003F79B6">
            <w:pPr>
              <w:pStyle w:val="02Tabletext"/>
              <w:rPr>
                <w:rFonts w:asciiTheme="minorHAnsi" w:hAnsiTheme="minorHAnsi"/>
              </w:rPr>
            </w:pPr>
            <w:r w:rsidRPr="00074D54">
              <w:rPr>
                <w:rFonts w:asciiTheme="minorHAnsi" w:hAnsiTheme="minorHAnsi"/>
              </w:rPr>
              <w:t>Ankle/hind foot ultrasound</w:t>
            </w:r>
          </w:p>
        </w:tc>
        <w:tc>
          <w:tcPr>
            <w:tcW w:w="1060" w:type="pct"/>
            <w:noWrap/>
          </w:tcPr>
          <w:p w14:paraId="1145A23D" w14:textId="77777777" w:rsidR="00BB582A" w:rsidRPr="00074D54" w:rsidRDefault="00BB582A" w:rsidP="003F79B6">
            <w:pPr>
              <w:pStyle w:val="02Tabletext"/>
              <w:rPr>
                <w:rFonts w:asciiTheme="minorHAnsi" w:hAnsiTheme="minorHAnsi"/>
              </w:rPr>
            </w:pPr>
            <w:r w:rsidRPr="00074D54">
              <w:rPr>
                <w:rFonts w:asciiTheme="minorHAnsi" w:hAnsiTheme="minorHAnsi"/>
              </w:rPr>
              <w:t>4</w:t>
            </w:r>
          </w:p>
        </w:tc>
      </w:tr>
      <w:tr w:rsidR="00BB582A" w:rsidRPr="00074D54" w14:paraId="293AF2BC" w14:textId="77777777" w:rsidTr="003F79B6">
        <w:tc>
          <w:tcPr>
            <w:tcW w:w="3940" w:type="pct"/>
            <w:noWrap/>
          </w:tcPr>
          <w:p w14:paraId="094F88D8" w14:textId="77777777" w:rsidR="00BB582A" w:rsidRPr="00074D54" w:rsidRDefault="00BB582A" w:rsidP="003F79B6">
            <w:pPr>
              <w:pStyle w:val="02Tabletext"/>
              <w:rPr>
                <w:rFonts w:asciiTheme="minorHAnsi" w:hAnsiTheme="minorHAnsi"/>
              </w:rPr>
            </w:pPr>
            <w:r w:rsidRPr="00074D54">
              <w:rPr>
                <w:rFonts w:asciiTheme="minorHAnsi" w:hAnsiTheme="minorHAnsi"/>
              </w:rPr>
              <w:t>Shoulder/upper arm ultrasound</w:t>
            </w:r>
          </w:p>
        </w:tc>
        <w:tc>
          <w:tcPr>
            <w:tcW w:w="1060" w:type="pct"/>
            <w:noWrap/>
          </w:tcPr>
          <w:p w14:paraId="4B417539" w14:textId="77777777" w:rsidR="00BB582A" w:rsidRPr="00074D54" w:rsidRDefault="00BB582A" w:rsidP="003F79B6">
            <w:pPr>
              <w:pStyle w:val="02Tabletext"/>
              <w:rPr>
                <w:rFonts w:asciiTheme="minorHAnsi" w:hAnsiTheme="minorHAnsi"/>
              </w:rPr>
            </w:pPr>
            <w:r w:rsidRPr="00074D54">
              <w:rPr>
                <w:rFonts w:asciiTheme="minorHAnsi" w:hAnsiTheme="minorHAnsi"/>
              </w:rPr>
              <w:t>4</w:t>
            </w:r>
          </w:p>
        </w:tc>
      </w:tr>
      <w:tr w:rsidR="00BB582A" w:rsidRPr="00074D54" w14:paraId="2E843B06" w14:textId="77777777" w:rsidTr="003F79B6">
        <w:tc>
          <w:tcPr>
            <w:tcW w:w="3940" w:type="pct"/>
            <w:noWrap/>
          </w:tcPr>
          <w:p w14:paraId="557EE6C5" w14:textId="77777777" w:rsidR="00BB582A" w:rsidRPr="00074D54" w:rsidRDefault="00BB582A" w:rsidP="003F79B6">
            <w:pPr>
              <w:pStyle w:val="02Tabletext"/>
              <w:rPr>
                <w:rFonts w:asciiTheme="minorHAnsi" w:hAnsiTheme="minorHAnsi"/>
              </w:rPr>
            </w:pPr>
            <w:r w:rsidRPr="00074D54">
              <w:rPr>
                <w:rFonts w:asciiTheme="minorHAnsi" w:hAnsiTheme="minorHAnsi"/>
              </w:rPr>
              <w:t>Lower back imaging</w:t>
            </w:r>
          </w:p>
        </w:tc>
        <w:tc>
          <w:tcPr>
            <w:tcW w:w="1060" w:type="pct"/>
            <w:noWrap/>
          </w:tcPr>
          <w:p w14:paraId="0067F08E" w14:textId="13AC0D1E" w:rsidR="00BB582A" w:rsidRPr="00074D54" w:rsidRDefault="00FE3AB2" w:rsidP="003F79B6">
            <w:pPr>
              <w:pStyle w:val="02Tabletext"/>
              <w:rPr>
                <w:rFonts w:asciiTheme="minorHAnsi" w:hAnsiTheme="minorHAnsi"/>
              </w:rPr>
            </w:pPr>
            <w:r>
              <w:rPr>
                <w:rFonts w:asciiTheme="minorHAnsi" w:hAnsiTheme="minorHAnsi"/>
              </w:rPr>
              <w:t>25</w:t>
            </w:r>
          </w:p>
        </w:tc>
      </w:tr>
      <w:tr w:rsidR="00BB582A" w:rsidRPr="00074D54" w14:paraId="7F3D3545" w14:textId="77777777" w:rsidTr="003F79B6">
        <w:tc>
          <w:tcPr>
            <w:tcW w:w="3940" w:type="pct"/>
            <w:noWrap/>
          </w:tcPr>
          <w:p w14:paraId="21D91AF1" w14:textId="77777777" w:rsidR="00BB582A" w:rsidRPr="00074D54" w:rsidRDefault="00BB582A" w:rsidP="003F79B6">
            <w:pPr>
              <w:pStyle w:val="02Tabletext"/>
              <w:rPr>
                <w:rFonts w:asciiTheme="minorHAnsi" w:hAnsiTheme="minorHAnsi"/>
              </w:rPr>
            </w:pPr>
            <w:r w:rsidRPr="00074D54">
              <w:rPr>
                <w:rFonts w:asciiTheme="minorHAnsi" w:hAnsiTheme="minorHAnsi"/>
              </w:rPr>
              <w:t>Head imaging</w:t>
            </w:r>
          </w:p>
        </w:tc>
        <w:tc>
          <w:tcPr>
            <w:tcW w:w="1060" w:type="pct"/>
            <w:noWrap/>
          </w:tcPr>
          <w:p w14:paraId="20EB5589" w14:textId="77777777" w:rsidR="00BB582A" w:rsidRPr="00074D54" w:rsidRDefault="00BB582A" w:rsidP="003F79B6">
            <w:pPr>
              <w:pStyle w:val="02Tabletext"/>
              <w:rPr>
                <w:rFonts w:asciiTheme="minorHAnsi" w:hAnsiTheme="minorHAnsi"/>
              </w:rPr>
            </w:pPr>
            <w:r w:rsidRPr="00074D54">
              <w:rPr>
                <w:rFonts w:asciiTheme="minorHAnsi" w:hAnsiTheme="minorHAnsi"/>
              </w:rPr>
              <w:t>25</w:t>
            </w:r>
          </w:p>
        </w:tc>
      </w:tr>
      <w:tr w:rsidR="00BB582A" w:rsidRPr="00074D54" w14:paraId="19EDA48F" w14:textId="77777777" w:rsidTr="003F79B6">
        <w:tc>
          <w:tcPr>
            <w:tcW w:w="3940" w:type="pct"/>
            <w:noWrap/>
          </w:tcPr>
          <w:p w14:paraId="6A31835D" w14:textId="77777777" w:rsidR="00BB582A" w:rsidRPr="00074D54" w:rsidRDefault="00BB582A" w:rsidP="003F79B6">
            <w:pPr>
              <w:pStyle w:val="02Tabletext"/>
              <w:rPr>
                <w:rFonts w:asciiTheme="minorHAnsi" w:hAnsiTheme="minorHAnsi"/>
              </w:rPr>
            </w:pPr>
            <w:r w:rsidRPr="00074D54">
              <w:rPr>
                <w:rFonts w:asciiTheme="minorHAnsi" w:hAnsiTheme="minorHAnsi"/>
              </w:rPr>
              <w:t>Vitamin B12 items (66838 and 66839)</w:t>
            </w:r>
          </w:p>
        </w:tc>
        <w:tc>
          <w:tcPr>
            <w:tcW w:w="1060" w:type="pct"/>
            <w:noWrap/>
          </w:tcPr>
          <w:p w14:paraId="088964D3" w14:textId="77777777" w:rsidR="00BB582A" w:rsidRPr="00074D54" w:rsidRDefault="00BB582A" w:rsidP="003F79B6">
            <w:pPr>
              <w:pStyle w:val="02Tabletext"/>
              <w:rPr>
                <w:rFonts w:asciiTheme="minorHAnsi" w:hAnsiTheme="minorHAnsi"/>
              </w:rPr>
            </w:pPr>
            <w:r w:rsidRPr="00074D54">
              <w:rPr>
                <w:rFonts w:asciiTheme="minorHAnsi" w:hAnsiTheme="minorHAnsi"/>
              </w:rPr>
              <w:t>2</w:t>
            </w:r>
          </w:p>
        </w:tc>
      </w:tr>
      <w:tr w:rsidR="00BB582A" w:rsidRPr="00074D54" w14:paraId="358BADFD" w14:textId="77777777" w:rsidTr="003F79B6">
        <w:tc>
          <w:tcPr>
            <w:tcW w:w="3940" w:type="pct"/>
            <w:noWrap/>
          </w:tcPr>
          <w:p w14:paraId="4CCEB460" w14:textId="77777777" w:rsidR="00BB582A" w:rsidRPr="00074D54" w:rsidRDefault="00BB582A" w:rsidP="003F79B6">
            <w:pPr>
              <w:pStyle w:val="02Tabletext"/>
              <w:rPr>
                <w:rFonts w:asciiTheme="minorHAnsi" w:hAnsiTheme="minorHAnsi"/>
              </w:rPr>
            </w:pPr>
            <w:r w:rsidRPr="00074D54">
              <w:rPr>
                <w:rFonts w:asciiTheme="minorHAnsi" w:hAnsiTheme="minorHAnsi"/>
              </w:rPr>
              <w:t>Iron studies items (66593 and 66596)</w:t>
            </w:r>
          </w:p>
        </w:tc>
        <w:tc>
          <w:tcPr>
            <w:tcW w:w="1060" w:type="pct"/>
            <w:noWrap/>
          </w:tcPr>
          <w:p w14:paraId="30EAAA15" w14:textId="77777777" w:rsidR="00BB582A" w:rsidRPr="00074D54" w:rsidRDefault="00BB582A" w:rsidP="003F79B6">
            <w:pPr>
              <w:pStyle w:val="02Tabletext"/>
              <w:rPr>
                <w:rFonts w:asciiTheme="minorHAnsi" w:hAnsiTheme="minorHAnsi"/>
              </w:rPr>
            </w:pPr>
            <w:r w:rsidRPr="00074D54">
              <w:rPr>
                <w:rFonts w:asciiTheme="minorHAnsi" w:hAnsiTheme="minorHAnsi"/>
              </w:rPr>
              <w:t>2</w:t>
            </w:r>
          </w:p>
        </w:tc>
      </w:tr>
      <w:tr w:rsidR="00BB582A" w:rsidRPr="00074D54" w14:paraId="4D744E39" w14:textId="77777777" w:rsidTr="003F79B6">
        <w:tc>
          <w:tcPr>
            <w:tcW w:w="3940" w:type="pct"/>
            <w:noWrap/>
          </w:tcPr>
          <w:p w14:paraId="4A9E8BE4" w14:textId="77777777" w:rsidR="00BB582A" w:rsidRPr="00074D54" w:rsidRDefault="00BB582A" w:rsidP="003F79B6">
            <w:pPr>
              <w:pStyle w:val="02Tabletext"/>
              <w:rPr>
                <w:rFonts w:asciiTheme="minorHAnsi" w:hAnsiTheme="minorHAnsi"/>
              </w:rPr>
            </w:pPr>
            <w:r w:rsidRPr="00074D54">
              <w:rPr>
                <w:rFonts w:asciiTheme="minorHAnsi" w:hAnsiTheme="minorHAnsi"/>
              </w:rPr>
              <w:t>Folate item (66840)</w:t>
            </w:r>
          </w:p>
        </w:tc>
        <w:tc>
          <w:tcPr>
            <w:tcW w:w="1060" w:type="pct"/>
            <w:noWrap/>
          </w:tcPr>
          <w:p w14:paraId="3F698085" w14:textId="77777777" w:rsidR="00BB582A" w:rsidRPr="00074D54" w:rsidRDefault="00BB582A" w:rsidP="003F79B6">
            <w:pPr>
              <w:pStyle w:val="02Tabletext"/>
              <w:rPr>
                <w:rFonts w:asciiTheme="minorHAnsi" w:hAnsiTheme="minorHAnsi"/>
              </w:rPr>
            </w:pPr>
            <w:r w:rsidRPr="00074D54">
              <w:rPr>
                <w:rFonts w:asciiTheme="minorHAnsi" w:hAnsiTheme="minorHAnsi"/>
              </w:rPr>
              <w:t>1</w:t>
            </w:r>
          </w:p>
        </w:tc>
      </w:tr>
      <w:tr w:rsidR="00BB582A" w:rsidRPr="00074D54" w14:paraId="15EF44D0" w14:textId="77777777" w:rsidTr="003F79B6">
        <w:tc>
          <w:tcPr>
            <w:tcW w:w="3940" w:type="pct"/>
            <w:noWrap/>
          </w:tcPr>
          <w:p w14:paraId="01E9CDBB" w14:textId="77777777" w:rsidR="00BB582A" w:rsidRPr="00074D54" w:rsidRDefault="00BB582A" w:rsidP="003F79B6">
            <w:pPr>
              <w:pStyle w:val="02Tabletext"/>
              <w:rPr>
                <w:rFonts w:asciiTheme="minorHAnsi" w:hAnsiTheme="minorHAnsi"/>
              </w:rPr>
            </w:pPr>
            <w:r w:rsidRPr="00074D54">
              <w:rPr>
                <w:rFonts w:asciiTheme="minorHAnsi" w:hAnsiTheme="minorHAnsi"/>
              </w:rPr>
              <w:t>Urine testing items (69300, 69333 and 73085)</w:t>
            </w:r>
          </w:p>
        </w:tc>
        <w:tc>
          <w:tcPr>
            <w:tcW w:w="1060" w:type="pct"/>
            <w:noWrap/>
          </w:tcPr>
          <w:p w14:paraId="01863D6E" w14:textId="77777777" w:rsidR="00BB582A" w:rsidRPr="00074D54" w:rsidRDefault="00BB582A" w:rsidP="003F79B6">
            <w:pPr>
              <w:pStyle w:val="02Tabletext"/>
              <w:rPr>
                <w:rFonts w:asciiTheme="minorHAnsi" w:hAnsiTheme="minorHAnsi"/>
              </w:rPr>
            </w:pPr>
            <w:r w:rsidRPr="00074D54">
              <w:rPr>
                <w:rFonts w:asciiTheme="minorHAnsi" w:hAnsiTheme="minorHAnsi"/>
              </w:rPr>
              <w:t>3</w:t>
            </w:r>
          </w:p>
        </w:tc>
      </w:tr>
      <w:tr w:rsidR="00BB582A" w:rsidRPr="00074D54" w14:paraId="3AFAE853" w14:textId="77777777" w:rsidTr="003F79B6">
        <w:tc>
          <w:tcPr>
            <w:tcW w:w="3940" w:type="pct"/>
            <w:noWrap/>
          </w:tcPr>
          <w:p w14:paraId="172F8B3E" w14:textId="77777777" w:rsidR="00BB582A" w:rsidRPr="00074D54" w:rsidRDefault="00BB582A" w:rsidP="003F79B6">
            <w:pPr>
              <w:pStyle w:val="02Tabletext"/>
              <w:rPr>
                <w:rFonts w:asciiTheme="minorHAnsi" w:hAnsiTheme="minorHAnsi"/>
              </w:rPr>
            </w:pPr>
            <w:r w:rsidRPr="00074D54">
              <w:rPr>
                <w:rFonts w:asciiTheme="minorHAnsi" w:hAnsiTheme="minorHAnsi"/>
              </w:rPr>
              <w:t>Vitamin D items</w:t>
            </w:r>
          </w:p>
        </w:tc>
        <w:tc>
          <w:tcPr>
            <w:tcW w:w="1060" w:type="pct"/>
            <w:noWrap/>
          </w:tcPr>
          <w:p w14:paraId="15FD8C45" w14:textId="77777777" w:rsidR="00BB582A" w:rsidRPr="00074D54" w:rsidRDefault="00BB582A" w:rsidP="003F79B6">
            <w:pPr>
              <w:pStyle w:val="02Tabletext"/>
              <w:rPr>
                <w:rFonts w:asciiTheme="minorHAnsi" w:hAnsiTheme="minorHAnsi"/>
              </w:rPr>
            </w:pPr>
            <w:r w:rsidRPr="00074D54">
              <w:rPr>
                <w:rFonts w:asciiTheme="minorHAnsi" w:hAnsiTheme="minorHAnsi"/>
              </w:rPr>
              <w:t>5</w:t>
            </w:r>
          </w:p>
        </w:tc>
      </w:tr>
      <w:tr w:rsidR="00BB582A" w:rsidRPr="00074D54" w14:paraId="38167D19" w14:textId="77777777" w:rsidTr="003F79B6">
        <w:tc>
          <w:tcPr>
            <w:tcW w:w="3940" w:type="pct"/>
            <w:noWrap/>
          </w:tcPr>
          <w:p w14:paraId="46AF7919" w14:textId="77777777" w:rsidR="00BB582A" w:rsidRPr="00074D54" w:rsidRDefault="00BB582A" w:rsidP="003F79B6">
            <w:pPr>
              <w:pStyle w:val="02Tabletext"/>
              <w:rPr>
                <w:rFonts w:asciiTheme="minorHAnsi" w:hAnsiTheme="minorHAnsi"/>
              </w:rPr>
            </w:pPr>
            <w:r w:rsidRPr="00074D54">
              <w:rPr>
                <w:rFonts w:asciiTheme="minorHAnsi" w:hAnsiTheme="minorHAnsi"/>
              </w:rPr>
              <w:t>Prostate-specific antigen items</w:t>
            </w:r>
          </w:p>
        </w:tc>
        <w:tc>
          <w:tcPr>
            <w:tcW w:w="1060" w:type="pct"/>
            <w:noWrap/>
          </w:tcPr>
          <w:p w14:paraId="54C581EE" w14:textId="77777777" w:rsidR="00BB582A" w:rsidRPr="00074D54" w:rsidRDefault="00BB582A" w:rsidP="003F79B6">
            <w:pPr>
              <w:pStyle w:val="02Tabletext"/>
              <w:rPr>
                <w:rFonts w:asciiTheme="minorHAnsi" w:hAnsiTheme="minorHAnsi"/>
              </w:rPr>
            </w:pPr>
            <w:r w:rsidRPr="00074D54">
              <w:rPr>
                <w:rFonts w:asciiTheme="minorHAnsi" w:hAnsiTheme="minorHAnsi"/>
              </w:rPr>
              <w:t>4</w:t>
            </w:r>
          </w:p>
        </w:tc>
      </w:tr>
      <w:tr w:rsidR="00BB582A" w:rsidRPr="00074D54" w14:paraId="00B08556" w14:textId="77777777" w:rsidTr="003F79B6">
        <w:tc>
          <w:tcPr>
            <w:tcW w:w="3940" w:type="pct"/>
            <w:noWrap/>
            <w:hideMark/>
          </w:tcPr>
          <w:p w14:paraId="51CA08AA" w14:textId="77777777" w:rsidR="00BB582A" w:rsidRPr="00074D54" w:rsidRDefault="00BB582A" w:rsidP="003F79B6">
            <w:pPr>
              <w:pStyle w:val="02Tabletext"/>
              <w:rPr>
                <w:rFonts w:asciiTheme="minorHAnsi" w:hAnsiTheme="minorHAnsi"/>
                <w:b/>
              </w:rPr>
            </w:pPr>
            <w:r w:rsidRPr="00074D54">
              <w:rPr>
                <w:rFonts w:asciiTheme="minorHAnsi" w:hAnsiTheme="minorHAnsi"/>
                <w:b/>
              </w:rPr>
              <w:t>Total</w:t>
            </w:r>
          </w:p>
        </w:tc>
        <w:tc>
          <w:tcPr>
            <w:tcW w:w="1060" w:type="pct"/>
            <w:noWrap/>
            <w:hideMark/>
          </w:tcPr>
          <w:p w14:paraId="4EBB40C4" w14:textId="4A7FE335" w:rsidR="00BB582A" w:rsidRPr="00074D54" w:rsidRDefault="00FE3AB2" w:rsidP="003F79B6">
            <w:pPr>
              <w:pStyle w:val="02Tabletext"/>
              <w:rPr>
                <w:rFonts w:asciiTheme="minorHAnsi" w:hAnsiTheme="minorHAnsi"/>
                <w:b/>
              </w:rPr>
            </w:pPr>
            <w:r>
              <w:rPr>
                <w:rFonts w:asciiTheme="minorHAnsi" w:hAnsiTheme="minorHAnsi"/>
                <w:b/>
              </w:rPr>
              <w:t>75</w:t>
            </w:r>
          </w:p>
        </w:tc>
      </w:tr>
    </w:tbl>
    <w:p w14:paraId="0EF7D776" w14:textId="77777777" w:rsidR="008C0F2C" w:rsidRPr="00074D54" w:rsidRDefault="008C0F2C" w:rsidP="004F5C57">
      <w:pPr>
        <w:pStyle w:val="Heading2"/>
        <w:ind w:firstLine="417"/>
      </w:pPr>
      <w:bookmarkStart w:id="124" w:name="_Toc457463621"/>
      <w:bookmarkStart w:id="125" w:name="_Toc459996811"/>
      <w:bookmarkStart w:id="126" w:name="_Toc458166999"/>
      <w:bookmarkStart w:id="127" w:name="_Toc464871137"/>
      <w:bookmarkStart w:id="128" w:name="_Toc482641297"/>
      <w:bookmarkStart w:id="129" w:name="_Toc506552472"/>
      <w:bookmarkStart w:id="130" w:name="_Toc522396623"/>
      <w:bookmarkStart w:id="131" w:name="_Toc525816064"/>
      <w:bookmarkStart w:id="132" w:name="_Toc456045432"/>
      <w:r w:rsidRPr="00074D54">
        <w:t>Summary of the Committee’s review approach</w:t>
      </w:r>
      <w:bookmarkEnd w:id="124"/>
      <w:bookmarkEnd w:id="125"/>
      <w:bookmarkEnd w:id="126"/>
      <w:bookmarkEnd w:id="127"/>
      <w:bookmarkEnd w:id="128"/>
      <w:bookmarkEnd w:id="129"/>
      <w:bookmarkEnd w:id="130"/>
      <w:bookmarkEnd w:id="131"/>
    </w:p>
    <w:p w14:paraId="55118B94" w14:textId="0DCBBE7A" w:rsidR="008C0F2C" w:rsidRPr="00074D54" w:rsidRDefault="00BB582A" w:rsidP="005E6078">
      <w:pPr>
        <w:spacing w:line="240" w:lineRule="auto"/>
      </w:pPr>
      <w:r w:rsidRPr="00074D54">
        <w:t xml:space="preserve">The Committee completed a review of the items in this report across seven committee meetings, during which it developed the recommendations and rationales </w:t>
      </w:r>
      <w:r w:rsidR="008C0F2C" w:rsidRPr="00074D54">
        <w:t xml:space="preserve">contained in this report. </w:t>
      </w:r>
    </w:p>
    <w:p w14:paraId="1D249D93" w14:textId="77777777" w:rsidR="008C0F2C" w:rsidRPr="00074D54" w:rsidRDefault="008C0F2C" w:rsidP="005E6078">
      <w:pPr>
        <w:spacing w:line="240" w:lineRule="auto"/>
      </w:pPr>
      <w:r w:rsidRPr="00074D54">
        <w:t xml:space="preserve">The </w:t>
      </w:r>
      <w:r w:rsidR="004D1B38" w:rsidRPr="00074D54">
        <w:t>r</w:t>
      </w:r>
      <w:r w:rsidRPr="00074D54">
        <w:t>eview drew on various types of MBS data, including data on utilisation of items (services, benefits, patients, providers and growth rates); service provision (type of provider, geography of service provision); patients (demographics and services per patient); co</w:t>
      </w:r>
      <w:r w:rsidR="00B4476F">
        <w:noBreakHyphen/>
      </w:r>
      <w:r w:rsidRPr="00074D54">
        <w:t xml:space="preserve">claiming or episodes of services (same-day claiming and claiming with specific items over time); and additional provider and patient-level data, when required. </w:t>
      </w:r>
    </w:p>
    <w:p w14:paraId="20BDC24F" w14:textId="77777777" w:rsidR="008C0F2C" w:rsidRPr="00074D54" w:rsidRDefault="008C0F2C" w:rsidP="005E6078">
      <w:pPr>
        <w:spacing w:line="240" w:lineRule="auto"/>
      </w:pPr>
      <w:r w:rsidRPr="00074D54">
        <w:lastRenderedPageBreak/>
        <w:t xml:space="preserve">The </w:t>
      </w:r>
      <w:r w:rsidR="003C05B5">
        <w:t>r</w:t>
      </w:r>
      <w:r w:rsidRPr="00074D54">
        <w:t>eview also drew on data presented in the relevant literature and clinical guidelines, all of which are referenced in the report. Guidelines and literature were sourced from medical journals and other sources, such as professional societies.</w:t>
      </w:r>
    </w:p>
    <w:p w14:paraId="2AD40321" w14:textId="77777777" w:rsidR="00BB582A" w:rsidRPr="00854013" w:rsidRDefault="00BB582A" w:rsidP="005E6078">
      <w:pPr>
        <w:pStyle w:val="N1"/>
      </w:pPr>
      <w:r w:rsidRPr="00074D54">
        <w:t>The Committee has reviewed these items and made recommendations based on clinical best practice, but it recognises that the impact of these recommendations on providers may be assessed by</w:t>
      </w:r>
      <w:r w:rsidR="00474CF9">
        <w:t xml:space="preserve"> the Pathology Business Group</w:t>
      </w:r>
      <w:r w:rsidR="00231B4C">
        <w:t xml:space="preserve"> and the </w:t>
      </w:r>
      <w:r w:rsidR="00231B4C" w:rsidRPr="00231B4C">
        <w:t>Royal Australian and New Zealand College of Radiologists</w:t>
      </w:r>
      <w:r w:rsidR="00474CF9">
        <w:t>, which can then provide comment to the Taskforce via the</w:t>
      </w:r>
      <w:r w:rsidR="00231B4C">
        <w:t xml:space="preserve"> relevant </w:t>
      </w:r>
      <w:r w:rsidR="00474CF9">
        <w:t>Clinical Committee</w:t>
      </w:r>
      <w:r w:rsidR="00231B4C">
        <w:t>, Pathology or Diagnostic Imaging</w:t>
      </w:r>
      <w:r w:rsidRPr="00074D54">
        <w:t>.</w:t>
      </w:r>
      <w:r w:rsidRPr="00854013">
        <w:t xml:space="preserve"> </w:t>
      </w:r>
    </w:p>
    <w:p w14:paraId="2288C5D5" w14:textId="77777777" w:rsidR="00312180" w:rsidRPr="00854013" w:rsidRDefault="00312180" w:rsidP="004F5C57">
      <w:pPr>
        <w:pStyle w:val="Heading2"/>
        <w:spacing w:line="240" w:lineRule="auto"/>
        <w:ind w:firstLine="417"/>
      </w:pPr>
      <w:bookmarkStart w:id="133" w:name="_Toc522396624"/>
      <w:bookmarkStart w:id="134" w:name="_Toc525816065"/>
      <w:r w:rsidRPr="00854013">
        <w:t>Limitations – Data</w:t>
      </w:r>
      <w:bookmarkEnd w:id="133"/>
      <w:bookmarkEnd w:id="134"/>
    </w:p>
    <w:p w14:paraId="741A42BC" w14:textId="77777777" w:rsidR="00312180" w:rsidRPr="00854013" w:rsidRDefault="00312180" w:rsidP="003D38DD">
      <w:pPr>
        <w:spacing w:before="0" w:after="0" w:line="240" w:lineRule="auto"/>
      </w:pPr>
      <w:r w:rsidRPr="00854013">
        <w:t xml:space="preserve">The Committee carefully considered the impact of </w:t>
      </w:r>
      <w:r w:rsidR="00901AC7">
        <w:t>‘</w:t>
      </w:r>
      <w:r w:rsidRPr="00854013">
        <w:t>episode coning</w:t>
      </w:r>
      <w:r w:rsidR="00901AC7">
        <w:t>’</w:t>
      </w:r>
      <w:r w:rsidRPr="00854013">
        <w:t xml:space="preserve"> on its recommendations.</w:t>
      </w:r>
    </w:p>
    <w:p w14:paraId="2E7F15A4" w14:textId="77777777" w:rsidR="003D38DD" w:rsidRDefault="003D38DD" w:rsidP="003D38DD">
      <w:pPr>
        <w:spacing w:before="0" w:after="0" w:line="240" w:lineRule="auto"/>
      </w:pPr>
    </w:p>
    <w:p w14:paraId="5C6E0B6B" w14:textId="77777777" w:rsidR="00312180" w:rsidRDefault="000D7E75" w:rsidP="003D38DD">
      <w:pPr>
        <w:spacing w:before="0" w:after="0" w:line="240" w:lineRule="auto"/>
      </w:pPr>
      <w:r>
        <w:t>‘</w:t>
      </w:r>
      <w:r w:rsidR="003D38DD" w:rsidRPr="003D38DD">
        <w:t xml:space="preserve">Episode coning’ is a Medicare payment rule that means only the three most expensive pathology items receive payment (and are captured in MBS data) when more than three tests are requested for a single patient on the same day, by one or more practitioners. Coning is limited to tests ordered by </w:t>
      </w:r>
      <w:r w:rsidR="00B4476F">
        <w:t>GPs</w:t>
      </w:r>
      <w:r w:rsidR="003D38DD" w:rsidRPr="003D38DD">
        <w:t xml:space="preserve"> for out-of-hospital services</w:t>
      </w:r>
      <w:r w:rsidR="00B4476F">
        <w:t xml:space="preserve">. </w:t>
      </w:r>
      <w:r w:rsidR="003D38DD" w:rsidRPr="003D38DD">
        <w:t xml:space="preserve"> </w:t>
      </w:r>
      <w:r w:rsidR="00B4476F">
        <w:t>S</w:t>
      </w:r>
      <w:r w:rsidR="003D38DD" w:rsidRPr="003D38DD">
        <w:t>ervices requested for hospital in-patients or requested by specialists are not subject to coning.</w:t>
      </w:r>
      <w:r w:rsidR="00312180" w:rsidRPr="00074D54">
        <w:t xml:space="preserve"> Pathology providers are re</w:t>
      </w:r>
      <w:r w:rsidR="0029520B">
        <w:t>quired to perform and report on</w:t>
      </w:r>
      <w:r w:rsidR="00E716AC">
        <w:t xml:space="preserve"> all </w:t>
      </w:r>
      <w:r w:rsidR="00312180" w:rsidRPr="00074D54">
        <w:t>requested</w:t>
      </w:r>
      <w:r w:rsidR="00610394">
        <w:t xml:space="preserve"> items</w:t>
      </w:r>
      <w:r w:rsidR="00E716AC">
        <w:t>;</w:t>
      </w:r>
      <w:r w:rsidR="00312180" w:rsidRPr="00074D54">
        <w:t xml:space="preserve"> however</w:t>
      </w:r>
      <w:r w:rsidR="00E716AC">
        <w:t>,</w:t>
      </w:r>
      <w:r w:rsidR="00312180" w:rsidRPr="00074D54">
        <w:t xml:space="preserve"> the fourth and subsequent tests</w:t>
      </w:r>
      <w:r w:rsidR="00E35299">
        <w:t xml:space="preserve"> receive no payment</w:t>
      </w:r>
      <w:r w:rsidR="00610394">
        <w:t>.</w:t>
      </w:r>
    </w:p>
    <w:p w14:paraId="04B8F5B8" w14:textId="77777777" w:rsidR="000D7E75" w:rsidRPr="00074D54" w:rsidRDefault="000D7E75" w:rsidP="003D38DD">
      <w:pPr>
        <w:spacing w:before="0" w:after="0" w:line="240" w:lineRule="auto"/>
      </w:pPr>
    </w:p>
    <w:p w14:paraId="46B75242" w14:textId="77777777" w:rsidR="00BB4CC2" w:rsidRPr="00854013" w:rsidRDefault="00312180" w:rsidP="008764F2">
      <w:pPr>
        <w:spacing w:before="0" w:after="0" w:line="240" w:lineRule="auto"/>
      </w:pPr>
      <w:r w:rsidRPr="00074D54">
        <w:t>As a result of this payment rule, MBS data does not include all pathology tests</w:t>
      </w:r>
      <w:r w:rsidR="00610394">
        <w:t xml:space="preserve"> performed </w:t>
      </w:r>
      <w:r w:rsidR="00610394" w:rsidRPr="00074D54">
        <w:t>whe</w:t>
      </w:r>
      <w:r w:rsidR="00610394">
        <w:t>n</w:t>
      </w:r>
      <w:r w:rsidR="00610394" w:rsidRPr="00074D54">
        <w:t xml:space="preserve"> </w:t>
      </w:r>
      <w:r w:rsidRPr="00074D54">
        <w:t xml:space="preserve">more than three tests </w:t>
      </w:r>
      <w:r w:rsidR="005474DB">
        <w:t>are requested</w:t>
      </w:r>
      <w:r w:rsidRPr="00074D54">
        <w:t xml:space="preserve"> at a time. The Committee discussed the issue of coning in its meetings, and took this potential limitation into account in its deliberations. For instance, the Committee noted that, in some cases, the relative mix of items </w:t>
      </w:r>
      <w:r w:rsidR="00535DD0">
        <w:t>included in</w:t>
      </w:r>
      <w:r w:rsidR="00535DD0" w:rsidRPr="00074D54">
        <w:t xml:space="preserve"> </w:t>
      </w:r>
      <w:r w:rsidRPr="00074D54">
        <w:t>an episode may not be fully known</w:t>
      </w:r>
      <w:r w:rsidR="00535DD0">
        <w:t xml:space="preserve"> as</w:t>
      </w:r>
      <w:r w:rsidRPr="00074D54">
        <w:t xml:space="preserve"> less-expensive test</w:t>
      </w:r>
      <w:r w:rsidR="00535DD0">
        <w:t>s</w:t>
      </w:r>
      <w:r w:rsidRPr="00074D54">
        <w:t xml:space="preserve"> </w:t>
      </w:r>
      <w:r w:rsidR="004F36B0">
        <w:t>may</w:t>
      </w:r>
      <w:r w:rsidRPr="00074D54">
        <w:t xml:space="preserve"> be coned out</w:t>
      </w:r>
      <w:r w:rsidR="00535DD0">
        <w:t xml:space="preserve"> (</w:t>
      </w:r>
      <w:r w:rsidR="00E35299">
        <w:t xml:space="preserve">not </w:t>
      </w:r>
      <w:r w:rsidR="004F36B0">
        <w:t xml:space="preserve">be </w:t>
      </w:r>
      <w:r w:rsidR="00E35299">
        <w:t>captured in the data</w:t>
      </w:r>
      <w:r w:rsidR="00535DD0">
        <w:t>)</w:t>
      </w:r>
      <w:r w:rsidRPr="00074D54">
        <w:t>. Similarly, the Committee noted in many cases requesting patterns and volumes were likely</w:t>
      </w:r>
      <w:r w:rsidR="00535DD0">
        <w:t xml:space="preserve"> to be</w:t>
      </w:r>
      <w:r w:rsidRPr="00074D54">
        <w:t xml:space="preserve"> underestimated.</w:t>
      </w:r>
    </w:p>
    <w:p w14:paraId="01DB9395" w14:textId="77777777" w:rsidR="00BB4CC2" w:rsidRPr="00854013" w:rsidRDefault="00BB4CC2">
      <w:pPr>
        <w:spacing w:before="0" w:after="0" w:line="240" w:lineRule="auto"/>
      </w:pPr>
      <w:r w:rsidRPr="00854013">
        <w:br w:type="page"/>
      </w:r>
    </w:p>
    <w:p w14:paraId="5FB97A4B" w14:textId="77777777" w:rsidR="004D72E6" w:rsidRPr="00854013" w:rsidRDefault="00F33798" w:rsidP="005C7FB0">
      <w:pPr>
        <w:pStyle w:val="Heading1"/>
      </w:pPr>
      <w:bookmarkStart w:id="135" w:name="_Toc522396625"/>
      <w:bookmarkStart w:id="136" w:name="_Toc525816066"/>
      <w:bookmarkEnd w:id="132"/>
      <w:r w:rsidRPr="00854013">
        <w:lastRenderedPageBreak/>
        <w:t>Mechanisms for better requesting of diagnostic tests</w:t>
      </w:r>
      <w:bookmarkEnd w:id="135"/>
      <w:bookmarkEnd w:id="136"/>
      <w:r w:rsidRPr="00854013">
        <w:t xml:space="preserve"> </w:t>
      </w:r>
    </w:p>
    <w:p w14:paraId="69956DCE" w14:textId="77777777" w:rsidR="00442C70" w:rsidRPr="00854013" w:rsidRDefault="00442C70" w:rsidP="004F5C57">
      <w:pPr>
        <w:pStyle w:val="Heading2"/>
        <w:ind w:firstLine="417"/>
      </w:pPr>
      <w:bookmarkStart w:id="137" w:name="_Toc522396626"/>
      <w:bookmarkStart w:id="138" w:name="_Toc525816067"/>
      <w:r w:rsidRPr="00854013">
        <w:t>Introduction</w:t>
      </w:r>
      <w:bookmarkEnd w:id="137"/>
      <w:bookmarkEnd w:id="138"/>
    </w:p>
    <w:p w14:paraId="24A27185" w14:textId="77777777" w:rsidR="00442C70" w:rsidRPr="00074D54" w:rsidRDefault="00442C70" w:rsidP="00442C70">
      <w:pPr>
        <w:pStyle w:val="Normalpara"/>
        <w:rPr>
          <w:lang w:val="en-GB" w:eastAsia="en-US"/>
        </w:rPr>
      </w:pPr>
      <w:r w:rsidRPr="00074D54">
        <w:rPr>
          <w:lang w:val="en-GB" w:eastAsia="en-US"/>
        </w:rPr>
        <w:t xml:space="preserve">The Committee noted the importance of providing </w:t>
      </w:r>
      <w:r w:rsidR="006C31FB">
        <w:rPr>
          <w:lang w:val="en-GB" w:eastAsia="en-US"/>
        </w:rPr>
        <w:t>requester</w:t>
      </w:r>
      <w:r w:rsidRPr="00074D54">
        <w:rPr>
          <w:lang w:val="en-GB" w:eastAsia="en-US"/>
        </w:rPr>
        <w:t xml:space="preserve">s of diagnostic tests with the necessary support and enablers to facilitate better use of MBS items. The Committee agreed that there were clinical areas where the use of MBS-funded diagnostic services could be improved, and it </w:t>
      </w:r>
      <w:r w:rsidR="00BD4118" w:rsidRPr="00074D54">
        <w:rPr>
          <w:lang w:val="en-GB" w:eastAsia="en-US"/>
        </w:rPr>
        <w:t>examined mechanisms</w:t>
      </w:r>
      <w:r w:rsidRPr="00074D54">
        <w:rPr>
          <w:lang w:val="en-GB" w:eastAsia="en-US"/>
        </w:rPr>
        <w:t xml:space="preserve"> that could be used to achieve this. The Committee noted </w:t>
      </w:r>
      <w:r w:rsidR="00155CB6">
        <w:rPr>
          <w:lang w:val="en-GB" w:eastAsia="en-US"/>
        </w:rPr>
        <w:t xml:space="preserve">at this time </w:t>
      </w:r>
      <w:r w:rsidR="00032EA4">
        <w:rPr>
          <w:lang w:val="en-GB" w:eastAsia="en-US"/>
        </w:rPr>
        <w:t>there are limitations to how the MBS can be used as a tool to drive a change in requesting behaviour, although the item descriptors should provide a reference for practitioners when making decision</w:t>
      </w:r>
      <w:r w:rsidR="00FC773C">
        <w:rPr>
          <w:lang w:val="en-GB" w:eastAsia="en-US"/>
        </w:rPr>
        <w:t>s</w:t>
      </w:r>
      <w:r w:rsidR="00032EA4">
        <w:rPr>
          <w:lang w:val="en-GB" w:eastAsia="en-US"/>
        </w:rPr>
        <w:t xml:space="preserve"> to request diagnostic services.</w:t>
      </w:r>
    </w:p>
    <w:p w14:paraId="06E9D48F" w14:textId="77777777" w:rsidR="00E60C59" w:rsidRDefault="00442C70" w:rsidP="00442C70">
      <w:pPr>
        <w:pStyle w:val="Normalpara"/>
        <w:rPr>
          <w:lang w:val="en-GB" w:eastAsia="en-US"/>
        </w:rPr>
      </w:pPr>
      <w:r w:rsidRPr="00074D54">
        <w:t>To inform its recommendations, the Committee commissioned a rapid literature review to identify research on effective interventions that improve the appropriateness and clinical utility of diagnostic investigations requested by clinicians.</w:t>
      </w:r>
      <w:r w:rsidRPr="00074D54">
        <w:rPr>
          <w:lang w:val="en-GB" w:eastAsia="en-US"/>
        </w:rPr>
        <w:t xml:space="preserve"> Through this review, the Committee identified and refined nine potential mechanisms to support better requesting of diagnostic services</w:t>
      </w:r>
      <w:r w:rsidR="008964DF">
        <w:rPr>
          <w:lang w:val="en-GB" w:eastAsia="en-US"/>
        </w:rPr>
        <w:t xml:space="preserve"> (</w:t>
      </w:r>
      <w:r w:rsidR="008964DF">
        <w:rPr>
          <w:lang w:val="en-GB" w:eastAsia="en-US"/>
        </w:rPr>
        <w:fldChar w:fldCharType="begin"/>
      </w:r>
      <w:r w:rsidR="008964DF">
        <w:rPr>
          <w:lang w:val="en-GB" w:eastAsia="en-US"/>
        </w:rPr>
        <w:instrText xml:space="preserve"> REF _Ref525299639 \h </w:instrText>
      </w:r>
      <w:r w:rsidR="008964DF">
        <w:rPr>
          <w:lang w:val="en-GB" w:eastAsia="en-US"/>
        </w:rPr>
      </w:r>
      <w:r w:rsidR="008964DF">
        <w:rPr>
          <w:lang w:val="en-GB" w:eastAsia="en-US"/>
        </w:rPr>
        <w:fldChar w:fldCharType="separate"/>
      </w:r>
      <w:r w:rsidR="00763A89">
        <w:t xml:space="preserve">Figure </w:t>
      </w:r>
      <w:r w:rsidR="00763A89">
        <w:rPr>
          <w:noProof/>
        </w:rPr>
        <w:t>2</w:t>
      </w:r>
      <w:r w:rsidR="008964DF">
        <w:rPr>
          <w:lang w:val="en-GB" w:eastAsia="en-US"/>
        </w:rPr>
        <w:fldChar w:fldCharType="end"/>
      </w:r>
      <w:r w:rsidR="008964DF">
        <w:rPr>
          <w:lang w:val="en-GB" w:eastAsia="en-US"/>
        </w:rPr>
        <w:t>).</w:t>
      </w:r>
    </w:p>
    <w:p w14:paraId="538C323D" w14:textId="77777777" w:rsidR="00032EA4" w:rsidRPr="008964DF" w:rsidRDefault="00032EA4" w:rsidP="008964DF">
      <w:pPr>
        <w:pStyle w:val="Bullet-green"/>
        <w:numPr>
          <w:ilvl w:val="0"/>
          <w:numId w:val="0"/>
        </w:numPr>
        <w:rPr>
          <w:lang w:val="en-GB" w:eastAsia="en-US"/>
        </w:rPr>
      </w:pPr>
    </w:p>
    <w:tbl>
      <w:tblPr>
        <w:tblpPr w:leftFromText="180" w:rightFromText="180" w:horzAnchor="margin" w:tblpY="540"/>
        <w:tblW w:w="5000" w:type="pct"/>
        <w:tblBorders>
          <w:top w:val="single" w:sz="4" w:space="0" w:color="auto"/>
          <w:bottom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Caption w:val="Figure 2"/>
      </w:tblPr>
      <w:tblGrid>
        <w:gridCol w:w="8312"/>
      </w:tblGrid>
      <w:tr w:rsidR="00032EA4" w14:paraId="425D93C9" w14:textId="77777777" w:rsidTr="008964DF">
        <w:trPr>
          <w:cantSplit/>
        </w:trPr>
        <w:tc>
          <w:tcPr>
            <w:tcW w:w="5000" w:type="pct"/>
          </w:tcPr>
          <w:p w14:paraId="44702228" w14:textId="77777777" w:rsidR="00FC773C" w:rsidRDefault="00FC773C" w:rsidP="008964DF">
            <w:pPr>
              <w:pStyle w:val="Caption"/>
              <w:jc w:val="center"/>
            </w:pPr>
            <w:bookmarkStart w:id="139" w:name="_Ref525299639"/>
            <w:bookmarkStart w:id="140" w:name="_Toc525739679"/>
            <w:r>
              <w:lastRenderedPageBreak/>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2</w:t>
            </w:r>
            <w:r w:rsidR="00AF6A7F">
              <w:rPr>
                <w:noProof/>
              </w:rPr>
              <w:fldChar w:fldCharType="end"/>
            </w:r>
            <w:bookmarkEnd w:id="139"/>
            <w:r>
              <w:t>: The nine mechanisms for supporting better requesting</w:t>
            </w:r>
            <w:bookmarkEnd w:id="140"/>
          </w:p>
          <w:p w14:paraId="1CDB23C3" w14:textId="77777777" w:rsidR="00032EA4" w:rsidRDefault="00032EA4" w:rsidP="008964DF">
            <w:pPr>
              <w:pStyle w:val="70exhtblnormal"/>
              <w:keepNext/>
              <w:spacing w:before="20" w:after="20"/>
              <w:ind w:left="0" w:right="0"/>
              <w:outlineLvl w:val="5"/>
            </w:pPr>
            <w:r>
              <w:rPr>
                <w:noProof/>
                <w:lang w:val="en-AU" w:eastAsia="en-AU"/>
              </w:rPr>
              <w:drawing>
                <wp:inline distT="0" distB="0" distL="0" distR="0" wp14:anchorId="07221C8F" wp14:editId="42AE53F2">
                  <wp:extent cx="5695950" cy="4244340"/>
                  <wp:effectExtent l="0" t="0" r="0" b="3810"/>
                  <wp:docPr id="5" name="Picture 5" descr="A table is presented in four columns outlining mechanisms, descriptions and examples of where the Committee can support better requesting through nine mechanisms. The mechanisms are grouped in categories in column 1 as 'patient focus' or 'requestor focus' or 'provider focus'.  Column 2 outlines the mechanism, column 3 describes it and column 4 provides examples of the mechanism." title="Figure 2: The nine mechanisms for supporting better requ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950" cy="4244340"/>
                          </a:xfrm>
                          <a:prstGeom prst="rect">
                            <a:avLst/>
                          </a:prstGeom>
                        </pic:spPr>
                      </pic:pic>
                    </a:graphicData>
                  </a:graphic>
                </wp:inline>
              </w:drawing>
            </w:r>
          </w:p>
          <w:p w14:paraId="1DF7B168" w14:textId="77777777" w:rsidR="00032EA4" w:rsidRDefault="00032EA4" w:rsidP="009160F5">
            <w:pPr>
              <w:spacing w:before="0" w:after="0" w:line="240" w:lineRule="auto"/>
            </w:pPr>
          </w:p>
        </w:tc>
      </w:tr>
    </w:tbl>
    <w:p w14:paraId="1AFB57EB" w14:textId="77777777" w:rsidR="00032EA4" w:rsidRDefault="00032EA4" w:rsidP="00442C70">
      <w:pPr>
        <w:pStyle w:val="Normalpara"/>
        <w:rPr>
          <w:lang w:val="en-GB" w:eastAsia="en-US"/>
        </w:rPr>
      </w:pPr>
    </w:p>
    <w:p w14:paraId="37689A4E" w14:textId="77777777" w:rsidR="00032EA4" w:rsidRDefault="00032EA4" w:rsidP="00442C70">
      <w:pPr>
        <w:pStyle w:val="Normalpara"/>
        <w:rPr>
          <w:lang w:val="en-GB" w:eastAsia="en-US"/>
        </w:rPr>
      </w:pPr>
    </w:p>
    <w:p w14:paraId="42F46433" w14:textId="77777777" w:rsidR="00442C70" w:rsidRPr="00074D54" w:rsidRDefault="000C2F11" w:rsidP="00442C70">
      <w:pPr>
        <w:pStyle w:val="Normalpara"/>
      </w:pPr>
      <w:r w:rsidRPr="00074D54">
        <w:rPr>
          <w:lang w:val="en-GB" w:eastAsia="en-US"/>
        </w:rPr>
        <w:t xml:space="preserve">Of the nine mechanisms, electronic </w:t>
      </w:r>
      <w:r w:rsidR="00E60C59">
        <w:rPr>
          <w:lang w:val="en-GB" w:eastAsia="en-US"/>
        </w:rPr>
        <w:t xml:space="preserve">CDS </w:t>
      </w:r>
      <w:r w:rsidR="002B0E31" w:rsidRPr="00074D54">
        <w:rPr>
          <w:lang w:val="en-GB" w:eastAsia="en-US"/>
        </w:rPr>
        <w:t>appeared</w:t>
      </w:r>
      <w:r w:rsidRPr="00074D54">
        <w:rPr>
          <w:lang w:val="en-GB" w:eastAsia="en-US"/>
        </w:rPr>
        <w:t xml:space="preserve"> to have the strongest evidence base for effectiveness, whereas for the re</w:t>
      </w:r>
      <w:r w:rsidR="005474DB">
        <w:rPr>
          <w:lang w:val="en-GB" w:eastAsia="en-US"/>
        </w:rPr>
        <w:t>maining eight mechanisms</w:t>
      </w:r>
      <w:r w:rsidR="005474DB" w:rsidRPr="00074D54">
        <w:rPr>
          <w:lang w:val="en-GB" w:eastAsia="en-US"/>
        </w:rPr>
        <w:t xml:space="preserve"> </w:t>
      </w:r>
      <w:r w:rsidRPr="00074D54">
        <w:rPr>
          <w:lang w:val="en-GB" w:eastAsia="en-US"/>
        </w:rPr>
        <w:t xml:space="preserve">the Committee noted some influence over </w:t>
      </w:r>
      <w:r w:rsidR="006C31FB">
        <w:rPr>
          <w:lang w:val="en-GB" w:eastAsia="en-US"/>
        </w:rPr>
        <w:t>requester</w:t>
      </w:r>
      <w:r w:rsidRPr="00074D54">
        <w:rPr>
          <w:lang w:val="en-GB" w:eastAsia="en-US"/>
        </w:rPr>
        <w:t>s’ behaviour when applied in combination</w:t>
      </w:r>
      <w:r w:rsidR="00DB3A4A" w:rsidRPr="00074D54">
        <w:rPr>
          <w:lang w:val="en-GB" w:eastAsia="en-US"/>
        </w:rPr>
        <w:t>.</w:t>
      </w:r>
    </w:p>
    <w:p w14:paraId="34B4C568" w14:textId="77777777" w:rsidR="000C2F11" w:rsidRPr="00074D54" w:rsidRDefault="00390DA5" w:rsidP="003F79B6">
      <w:pPr>
        <w:pStyle w:val="N1"/>
      </w:pPr>
      <w:r w:rsidRPr="00074D54">
        <w:t xml:space="preserve">After reviewing each of the nine mechanisms Committee members voted for their preferred mechanism to achieve better requesting for each item group. For diagnostic imaging items, there was a strong preference for electronic CDS with the remainder of the votes split across the other eight mechanisms. For the pathology items, Committee members’ votes </w:t>
      </w:r>
      <w:r w:rsidR="00474CF9">
        <w:t>united</w:t>
      </w:r>
      <w:r w:rsidR="00474CF9" w:rsidRPr="00074D54">
        <w:t xml:space="preserve"> </w:t>
      </w:r>
      <w:r w:rsidRPr="00074D54">
        <w:t xml:space="preserve">around three preferred mechanisms: CDS closely followed by </w:t>
      </w:r>
      <w:r w:rsidR="006C31FB">
        <w:t>requester</w:t>
      </w:r>
      <w:r w:rsidRPr="00074D54">
        <w:t xml:space="preserve"> education and the requesting process. The remainder of the votes were spread across the other six mechanisms.</w:t>
      </w:r>
    </w:p>
    <w:p w14:paraId="1605E832" w14:textId="77777777" w:rsidR="000C2F11" w:rsidRPr="00074D54" w:rsidRDefault="000C2F11" w:rsidP="000C2F11">
      <w:pPr>
        <w:pStyle w:val="N1"/>
      </w:pPr>
      <w:r w:rsidRPr="00074D54">
        <w:t>The recommendations in this report use various combinations of the above nine mechanisms (typically combining three to five mechanisms) to promote clinical best practice in the requesting of MBS diagnostic imaging and pathology services</w:t>
      </w:r>
      <w:r w:rsidR="002B0E31" w:rsidRPr="00074D54">
        <w:t>.</w:t>
      </w:r>
      <w:r w:rsidRPr="00074D54">
        <w:t xml:space="preserve"> </w:t>
      </w:r>
      <w:r w:rsidR="00703091">
        <w:t>The Committee’s application of CDS to pathology items was limited due to a lack of sufficiently widespread use of functional CDS system models for these items a</w:t>
      </w:r>
      <w:r w:rsidR="00703091" w:rsidRPr="00074D54">
        <w:t>t the time of the review</w:t>
      </w:r>
      <w:r w:rsidR="00FB0BB1">
        <w:t xml:space="preserve">; however, </w:t>
      </w:r>
      <w:r w:rsidR="00703091">
        <w:t xml:space="preserve">members strongly supported future uptake and use of CDS and </w:t>
      </w:r>
      <w:r w:rsidR="00FB0BB1">
        <w:t xml:space="preserve">felt a </w:t>
      </w:r>
      <w:r w:rsidRPr="00074D54">
        <w:t xml:space="preserve">system </w:t>
      </w:r>
      <w:r w:rsidR="00FB0BB1">
        <w:t xml:space="preserve">for </w:t>
      </w:r>
      <w:r w:rsidR="00F02B4B">
        <w:t>diagnostic imaging</w:t>
      </w:r>
      <w:r w:rsidR="00FB0BB1" w:rsidRPr="00074D54">
        <w:t xml:space="preserve"> offer</w:t>
      </w:r>
      <w:r w:rsidR="00FB0BB1">
        <w:t>ed</w:t>
      </w:r>
      <w:r w:rsidR="00FB0BB1" w:rsidRPr="00074D54">
        <w:t xml:space="preserve"> a promising opportunity to pilot the CDS mechanism</w:t>
      </w:r>
      <w:r w:rsidRPr="00074D54">
        <w:t xml:space="preserve">. </w:t>
      </w:r>
    </w:p>
    <w:p w14:paraId="7BA98F97" w14:textId="77777777" w:rsidR="000C2F11" w:rsidRPr="00074D54" w:rsidRDefault="008D73B5" w:rsidP="000C2F11">
      <w:pPr>
        <w:pStyle w:val="N1"/>
      </w:pPr>
      <w:r>
        <w:lastRenderedPageBreak/>
        <w:fldChar w:fldCharType="begin"/>
      </w:r>
      <w:r>
        <w:instrText xml:space="preserve"> REF _Ref522837820 </w:instrText>
      </w:r>
      <w:r>
        <w:fldChar w:fldCharType="separate"/>
      </w:r>
      <w:r>
        <w:t xml:space="preserve">Figure </w:t>
      </w:r>
      <w:r>
        <w:rPr>
          <w:noProof/>
        </w:rPr>
        <w:t>3</w:t>
      </w:r>
      <w:r>
        <w:fldChar w:fldCharType="end"/>
      </w:r>
      <w:r>
        <w:t xml:space="preserve"> </w:t>
      </w:r>
      <w:r w:rsidR="00BD4118" w:rsidRPr="00074D54">
        <w:t xml:space="preserve">details how the </w:t>
      </w:r>
      <w:r w:rsidR="00FB0BB1">
        <w:t xml:space="preserve">nine </w:t>
      </w:r>
      <w:r w:rsidR="00BD4118" w:rsidRPr="00074D54">
        <w:t>mechanisms</w:t>
      </w:r>
      <w:r w:rsidR="00FB0BB1">
        <w:t xml:space="preserve"> </w:t>
      </w:r>
      <w:r w:rsidR="00FB0BB1" w:rsidRPr="00074D54">
        <w:rPr>
          <w:lang w:eastAsia="en-US"/>
        </w:rPr>
        <w:t>to support better requesting of diagnostic services</w:t>
      </w:r>
      <w:r w:rsidR="00BD4118" w:rsidRPr="00074D54">
        <w:t xml:space="preserve"> have been applied </w:t>
      </w:r>
      <w:r w:rsidR="00FB0BB1">
        <w:t>a</w:t>
      </w:r>
      <w:r w:rsidR="00BD4118" w:rsidRPr="00074D54">
        <w:t xml:space="preserve">cross the </w:t>
      </w:r>
      <w:r w:rsidR="00490F2A">
        <w:t>ten</w:t>
      </w:r>
      <w:r w:rsidR="005C33F4">
        <w:t xml:space="preserve"> </w:t>
      </w:r>
      <w:r w:rsidR="00BD4118" w:rsidRPr="00074D54">
        <w:t xml:space="preserve">item groups discussed in this report. Although only </w:t>
      </w:r>
      <w:r w:rsidR="005C33F4">
        <w:t>six</w:t>
      </w:r>
      <w:r w:rsidR="005C33F4" w:rsidRPr="00074D54">
        <w:t xml:space="preserve"> </w:t>
      </w:r>
      <w:r w:rsidR="00BD4118" w:rsidRPr="00074D54">
        <w:t xml:space="preserve">of the nine mechanisms have been used in the item recommendations in this report, the Committee believes that the three unused mechanisms may be used in future recommendations for other item groups. </w:t>
      </w:r>
      <w:r w:rsidR="005C33F4">
        <w:t>Specific r</w:t>
      </w:r>
      <w:r w:rsidR="00BD4118" w:rsidRPr="00074D54">
        <w:t>ecommendations that incorporated CDS were not made for the pathology items reviewed in this report, but the Committee consider</w:t>
      </w:r>
      <w:r w:rsidR="005C33F4">
        <w:t>ed</w:t>
      </w:r>
      <w:r w:rsidR="00BD4118" w:rsidRPr="00074D54">
        <w:t xml:space="preserve"> CDS an important mechanism for supporting appropriate pathology requesting and </w:t>
      </w:r>
      <w:r w:rsidR="005C33F4">
        <w:t xml:space="preserve">felt it </w:t>
      </w:r>
      <w:r w:rsidR="00BD4118" w:rsidRPr="00074D54">
        <w:t xml:space="preserve">may be of value for these item groups in the future. For pathology items two other mechanisms (the requesting process and </w:t>
      </w:r>
      <w:r w:rsidR="006C31FB">
        <w:t>requester</w:t>
      </w:r>
      <w:r w:rsidR="00BD4118" w:rsidRPr="00074D54">
        <w:t xml:space="preserve"> education) </w:t>
      </w:r>
      <w:r w:rsidR="002576AA">
        <w:t xml:space="preserve">also </w:t>
      </w:r>
      <w:r w:rsidR="00BD4118" w:rsidRPr="00074D54">
        <w:t>play important roles in the recommendations in this report</w:t>
      </w:r>
      <w:r w:rsidR="000556D8" w:rsidRPr="00074D54">
        <w:t>.</w:t>
      </w:r>
    </w:p>
    <w:p w14:paraId="32F6945C" w14:textId="77777777" w:rsidR="00442C70" w:rsidRPr="00074D54" w:rsidRDefault="00390DA5" w:rsidP="008964DF">
      <w:pPr>
        <w:pStyle w:val="TableCaption"/>
        <w:rPr>
          <w:lang w:val="en-GB"/>
        </w:rPr>
      </w:pPr>
      <w:r w:rsidRPr="00074D54">
        <w:t xml:space="preserve"> </w:t>
      </w:r>
      <w:bookmarkStart w:id="141" w:name="_Ref522837820"/>
      <w:bookmarkStart w:id="142" w:name="_Toc525739680"/>
      <w:r w:rsidR="00C86F3D">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3</w:t>
      </w:r>
      <w:r w:rsidR="00AF6A7F">
        <w:rPr>
          <w:noProof/>
        </w:rPr>
        <w:fldChar w:fldCharType="end"/>
      </w:r>
      <w:bookmarkEnd w:id="141"/>
      <w:r w:rsidR="00C86F3D">
        <w:t>:</w:t>
      </w:r>
      <w:r w:rsidR="00B54804" w:rsidRPr="00074D54">
        <w:t xml:space="preserve"> </w:t>
      </w:r>
      <w:r w:rsidR="00490F2A">
        <w:t>Use of the nine mechanisms across the item groups in this report</w:t>
      </w:r>
      <w:bookmarkEnd w:id="142"/>
      <w:r w:rsidR="000C2F11" w:rsidRPr="00074D54">
        <w:t xml:space="preserve"> </w:t>
      </w:r>
    </w:p>
    <w:p w14:paraId="38A654AE" w14:textId="77777777" w:rsidR="00442C70" w:rsidRPr="00074D54" w:rsidRDefault="00490F2A" w:rsidP="00442C70">
      <w:pPr>
        <w:pStyle w:val="Normalpara"/>
        <w:rPr>
          <w:lang w:val="en-GB" w:eastAsia="en-US"/>
        </w:rPr>
      </w:pPr>
      <w:r>
        <w:rPr>
          <w:noProof/>
          <w:lang w:val="en-AU"/>
        </w:rPr>
        <w:drawing>
          <wp:inline distT="0" distB="0" distL="0" distR="0" wp14:anchorId="34D73505" wp14:editId="3F19CCF2">
            <wp:extent cx="5278120" cy="3661733"/>
            <wp:effectExtent l="0" t="0" r="0" b="0"/>
            <wp:docPr id="6" name="Picture 6" descr="This graph titled &quot;Utilisation of the nine mechanisms across the item groups in this report&quot;  shows whether recommendations are primary, secondary or supporting. On the Y axis are 'items reviewed' and on the X axis, use of each of the nine mechanisms against the item groups reviewed. " title="Figure 3: Use of the nine mechanisms across the item groups in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661733"/>
                    </a:xfrm>
                    <a:prstGeom prst="rect">
                      <a:avLst/>
                    </a:prstGeom>
                  </pic:spPr>
                </pic:pic>
              </a:graphicData>
            </a:graphic>
          </wp:inline>
        </w:drawing>
      </w:r>
    </w:p>
    <w:p w14:paraId="600B6715" w14:textId="77777777" w:rsidR="00B54804" w:rsidRDefault="00B54804" w:rsidP="00B54804">
      <w:pPr>
        <w:pStyle w:val="N1"/>
      </w:pPr>
      <w:r w:rsidRPr="00074D54">
        <w:t>The following section describes the nine mechanisms, provides examples of each mechanism in action and summarises systematic reviews for the mechanisms (where available). Section 4.3 presents more detailed information on CDS which the Committee identified as the most effective of the nine mechanisms.</w:t>
      </w:r>
    </w:p>
    <w:p w14:paraId="0064E5A0" w14:textId="77777777" w:rsidR="00442C70" w:rsidRPr="00854013" w:rsidRDefault="00BD4118" w:rsidP="004F5C57">
      <w:pPr>
        <w:pStyle w:val="Heading2"/>
        <w:spacing w:before="240"/>
        <w:ind w:left="-420" w:firstLine="420"/>
      </w:pPr>
      <w:bookmarkStart w:id="143" w:name="_Toc522396627"/>
      <w:bookmarkStart w:id="144" w:name="_Toc525816068"/>
      <w:r w:rsidRPr="00854013">
        <w:t>The nine mechanisms for better requesting</w:t>
      </w:r>
      <w:bookmarkEnd w:id="143"/>
      <w:bookmarkEnd w:id="144"/>
      <w:r w:rsidRPr="00854013">
        <w:t xml:space="preserve"> </w:t>
      </w:r>
    </w:p>
    <w:p w14:paraId="39C9EDE3" w14:textId="77777777" w:rsidR="00BD4118" w:rsidRPr="00074D54" w:rsidRDefault="00BD4118" w:rsidP="00BD4118">
      <w:pPr>
        <w:pStyle w:val="Heading3Numbered0"/>
      </w:pPr>
      <w:bookmarkStart w:id="145" w:name="_Toc522396628"/>
      <w:bookmarkStart w:id="146" w:name="_Toc525816069"/>
      <w:r w:rsidRPr="00360531">
        <w:t>Consumer education</w:t>
      </w:r>
      <w:bookmarkEnd w:id="145"/>
      <w:bookmarkEnd w:id="146"/>
    </w:p>
    <w:p w14:paraId="12B7F13D" w14:textId="77777777" w:rsidR="003F1969" w:rsidRPr="00074D54" w:rsidRDefault="003F1969" w:rsidP="003F1969">
      <w:pPr>
        <w:pStyle w:val="Normalpara"/>
        <w:rPr>
          <w:lang w:val="en-GB" w:eastAsia="en-US"/>
        </w:rPr>
      </w:pPr>
      <w:r w:rsidRPr="00074D54">
        <w:rPr>
          <w:lang w:val="en-GB" w:eastAsia="en-US"/>
        </w:rPr>
        <w:t xml:space="preserve">Consumer education is integral to efforts to support better requesting of diagnostic services because it empowers patients to engage with clinicians. The Committee suggested that consumers could be provided with increased access to information on diagnostic testing, both outside the clinical setting and through the development of resources that clinicians can directly provide to patients, such as patient decision aids </w:t>
      </w:r>
      <w:sdt>
        <w:sdtPr>
          <w:rPr>
            <w:lang w:val="en-GB" w:eastAsia="en-US"/>
          </w:rPr>
          <w:id w:val="1569307238"/>
          <w:citation/>
        </w:sdtPr>
        <w:sdtEndPr/>
        <w:sdtContent>
          <w:r w:rsidRPr="00074D54">
            <w:rPr>
              <w:lang w:val="en-GB" w:eastAsia="en-US"/>
            </w:rPr>
            <w:fldChar w:fldCharType="begin"/>
          </w:r>
          <w:r w:rsidR="007C024E">
            <w:rPr>
              <w:lang w:eastAsia="en-US"/>
            </w:rPr>
            <w:instrText xml:space="preserve">CITATION Sta17 \l 3081 </w:instrText>
          </w:r>
          <w:r w:rsidRPr="00074D54">
            <w:rPr>
              <w:lang w:val="en-GB" w:eastAsia="en-US"/>
            </w:rPr>
            <w:fldChar w:fldCharType="separate"/>
          </w:r>
          <w:r w:rsidR="00B66BE1">
            <w:rPr>
              <w:noProof/>
              <w:lang w:eastAsia="en-US"/>
            </w:rPr>
            <w:t>(2)</w:t>
          </w:r>
          <w:r w:rsidRPr="00074D54">
            <w:rPr>
              <w:lang w:val="en-GB" w:eastAsia="en-US"/>
            </w:rPr>
            <w:fldChar w:fldCharType="end"/>
          </w:r>
        </w:sdtContent>
      </w:sdt>
      <w:r w:rsidRPr="00074D54">
        <w:rPr>
          <w:lang w:val="en-GB" w:eastAsia="en-US"/>
        </w:rPr>
        <w:t xml:space="preserve">. The Committee considered three systematic reviews (with meta-analysis of eight reviews) that investigated consumer education. These reviews demonstrated that education </w:t>
      </w:r>
      <w:r w:rsidRPr="00074D54">
        <w:t xml:space="preserve">with a patient component can significantly improve appropriate testing. Further details can be found in </w:t>
      </w:r>
      <w:r w:rsidR="009B42B8">
        <w:rPr>
          <w:b/>
        </w:rPr>
        <w:t>Appendix C</w:t>
      </w:r>
      <w:r w:rsidRPr="00074D54">
        <w:t xml:space="preserve">. </w:t>
      </w:r>
    </w:p>
    <w:p w14:paraId="35AE75DF" w14:textId="77777777" w:rsidR="003F1969" w:rsidRPr="00074D54" w:rsidRDefault="003F1969" w:rsidP="003F1969">
      <w:pPr>
        <w:pStyle w:val="Normalpara"/>
        <w:rPr>
          <w:lang w:val="en-GB" w:eastAsia="en-US"/>
        </w:rPr>
      </w:pPr>
      <w:r w:rsidRPr="00074D54">
        <w:rPr>
          <w:lang w:val="en-GB" w:eastAsia="en-US"/>
        </w:rPr>
        <w:lastRenderedPageBreak/>
        <w:t>Examples of consumer education interventions include generic advice (such as the Consumer Health Forum’s patient resource ‘Why do I even need this test?’</w:t>
      </w:r>
      <w:r w:rsidR="00C37A44">
        <w:rPr>
          <w:lang w:val="en-GB" w:eastAsia="en-US"/>
        </w:rPr>
        <w:t xml:space="preserve"> </w:t>
      </w:r>
      <w:sdt>
        <w:sdtPr>
          <w:rPr>
            <w:lang w:val="en-GB" w:eastAsia="en-US"/>
          </w:rPr>
          <w:id w:val="-281883694"/>
          <w:citation/>
        </w:sdtPr>
        <w:sdtEndPr/>
        <w:sdtContent>
          <w:r w:rsidR="00C37A44">
            <w:rPr>
              <w:lang w:val="en-GB" w:eastAsia="en-US"/>
            </w:rPr>
            <w:fldChar w:fldCharType="begin"/>
          </w:r>
          <w:r w:rsidR="00C37A44">
            <w:rPr>
              <w:lang w:eastAsia="en-US"/>
            </w:rPr>
            <w:instrText xml:space="preserve"> CITATION Con18 \l 1033 </w:instrText>
          </w:r>
          <w:r w:rsidR="00C37A44">
            <w:rPr>
              <w:lang w:val="en-GB" w:eastAsia="en-US"/>
            </w:rPr>
            <w:fldChar w:fldCharType="separate"/>
          </w:r>
          <w:r w:rsidR="00B66BE1">
            <w:rPr>
              <w:noProof/>
              <w:lang w:eastAsia="en-US"/>
            </w:rPr>
            <w:t>(3)</w:t>
          </w:r>
          <w:r w:rsidR="00C37A44">
            <w:rPr>
              <w:lang w:val="en-GB" w:eastAsia="en-US"/>
            </w:rPr>
            <w:fldChar w:fldCharType="end"/>
          </w:r>
        </w:sdtContent>
      </w:sdt>
      <w:r w:rsidRPr="00074D54">
        <w:rPr>
          <w:lang w:val="en-GB" w:eastAsia="en-US"/>
        </w:rPr>
        <w:t xml:space="preserve"> or WA Health’s DIP tools for consumers)</w:t>
      </w:r>
      <w:r w:rsidR="00C37A44">
        <w:rPr>
          <w:lang w:val="en-GB" w:eastAsia="en-US"/>
        </w:rPr>
        <w:t xml:space="preserve"> </w:t>
      </w:r>
      <w:sdt>
        <w:sdtPr>
          <w:rPr>
            <w:lang w:val="en-GB" w:eastAsia="en-US"/>
          </w:rPr>
          <w:id w:val="82347167"/>
          <w:citation/>
        </w:sdtPr>
        <w:sdtEndPr/>
        <w:sdtContent>
          <w:r w:rsidR="00C37A44">
            <w:rPr>
              <w:lang w:val="en-GB" w:eastAsia="en-US"/>
            </w:rPr>
            <w:fldChar w:fldCharType="begin"/>
          </w:r>
          <w:r w:rsidR="00F027EC">
            <w:rPr>
              <w:lang w:eastAsia="en-US"/>
            </w:rPr>
            <w:instrText xml:space="preserve">CITATION Wes18 \l 1033 </w:instrText>
          </w:r>
          <w:r w:rsidR="00C37A44">
            <w:rPr>
              <w:lang w:val="en-GB" w:eastAsia="en-US"/>
            </w:rPr>
            <w:fldChar w:fldCharType="separate"/>
          </w:r>
          <w:r w:rsidR="00B66BE1">
            <w:rPr>
              <w:noProof/>
              <w:lang w:eastAsia="en-US"/>
            </w:rPr>
            <w:t>(4)</w:t>
          </w:r>
          <w:r w:rsidR="00C37A44">
            <w:rPr>
              <w:lang w:val="en-GB" w:eastAsia="en-US"/>
            </w:rPr>
            <w:fldChar w:fldCharType="end"/>
          </w:r>
        </w:sdtContent>
      </w:sdt>
      <w:r w:rsidRPr="00074D54">
        <w:rPr>
          <w:lang w:val="en-GB" w:eastAsia="en-US"/>
        </w:rPr>
        <w:t xml:space="preserve">, as well as information about specific tests, such as the Royal Australian and New Zealand College of Radiologists’ (RANZCR) guidelines for providing patient information (for example, </w:t>
      </w:r>
      <w:r w:rsidRPr="00074D54">
        <w:t>‘Inside Radiology’</w:t>
      </w:r>
      <w:r w:rsidRPr="00074D54">
        <w:rPr>
          <w:lang w:val="en-GB" w:eastAsia="en-US"/>
        </w:rPr>
        <w:t xml:space="preserve">) </w:t>
      </w:r>
      <w:sdt>
        <w:sdtPr>
          <w:rPr>
            <w:lang w:val="en-GB" w:eastAsia="en-US"/>
          </w:rPr>
          <w:id w:val="208083831"/>
          <w:citation/>
        </w:sdtPr>
        <w:sdtEndPr/>
        <w:sdtContent>
          <w:r w:rsidR="001C7535">
            <w:rPr>
              <w:lang w:val="en-GB" w:eastAsia="en-US"/>
            </w:rPr>
            <w:fldChar w:fldCharType="begin"/>
          </w:r>
          <w:r w:rsidR="001C7535">
            <w:rPr>
              <w:lang w:eastAsia="en-US"/>
            </w:rPr>
            <w:instrText xml:space="preserve"> CITATION Roy181 \l 1033 </w:instrText>
          </w:r>
          <w:r w:rsidR="001C7535">
            <w:rPr>
              <w:lang w:val="en-GB" w:eastAsia="en-US"/>
            </w:rPr>
            <w:fldChar w:fldCharType="separate"/>
          </w:r>
          <w:r w:rsidR="00B66BE1">
            <w:rPr>
              <w:noProof/>
              <w:lang w:eastAsia="en-US"/>
            </w:rPr>
            <w:t>(5)</w:t>
          </w:r>
          <w:r w:rsidR="001C7535">
            <w:rPr>
              <w:lang w:val="en-GB" w:eastAsia="en-US"/>
            </w:rPr>
            <w:fldChar w:fldCharType="end"/>
          </w:r>
        </w:sdtContent>
      </w:sdt>
      <w:r w:rsidR="001C7535">
        <w:rPr>
          <w:lang w:val="en-GB" w:eastAsia="en-US"/>
        </w:rPr>
        <w:t xml:space="preserve"> </w:t>
      </w:r>
      <w:r w:rsidRPr="00074D54">
        <w:rPr>
          <w:lang w:val="en-GB" w:eastAsia="en-US"/>
        </w:rPr>
        <w:t>or the RCPA’s support of LabTestsOnline</w:t>
      </w:r>
      <w:r w:rsidR="001C7535">
        <w:rPr>
          <w:lang w:val="en-GB" w:eastAsia="en-US"/>
        </w:rPr>
        <w:t xml:space="preserve"> </w:t>
      </w:r>
      <w:sdt>
        <w:sdtPr>
          <w:rPr>
            <w:lang w:val="en-GB" w:eastAsia="en-US"/>
          </w:rPr>
          <w:id w:val="-1821953962"/>
          <w:citation/>
        </w:sdtPr>
        <w:sdtEndPr/>
        <w:sdtContent>
          <w:r w:rsidR="001C7535">
            <w:rPr>
              <w:lang w:val="en-GB" w:eastAsia="en-US"/>
            </w:rPr>
            <w:fldChar w:fldCharType="begin"/>
          </w:r>
          <w:r w:rsidR="001C7535">
            <w:rPr>
              <w:lang w:eastAsia="en-US"/>
            </w:rPr>
            <w:instrText xml:space="preserve"> CITATION Aus18 \l 1033 </w:instrText>
          </w:r>
          <w:r w:rsidR="001C7535">
            <w:rPr>
              <w:lang w:val="en-GB" w:eastAsia="en-US"/>
            </w:rPr>
            <w:fldChar w:fldCharType="separate"/>
          </w:r>
          <w:r w:rsidR="00B66BE1">
            <w:rPr>
              <w:noProof/>
              <w:lang w:eastAsia="en-US"/>
            </w:rPr>
            <w:t>(6)</w:t>
          </w:r>
          <w:r w:rsidR="001C7535">
            <w:rPr>
              <w:lang w:val="en-GB" w:eastAsia="en-US"/>
            </w:rPr>
            <w:fldChar w:fldCharType="end"/>
          </w:r>
        </w:sdtContent>
      </w:sdt>
      <w:r w:rsidRPr="00074D54">
        <w:rPr>
          <w:lang w:val="en-GB" w:eastAsia="en-US"/>
        </w:rPr>
        <w:t xml:space="preserve"> </w:t>
      </w:r>
      <w:r w:rsidR="00606830">
        <w:rPr>
          <w:lang w:val="en-GB" w:eastAsia="en-US"/>
        </w:rPr>
        <w:t>and MBS explanatory notes f</w:t>
      </w:r>
      <w:r w:rsidRPr="00074D54">
        <w:rPr>
          <w:lang w:val="en-GB" w:eastAsia="en-US"/>
        </w:rPr>
        <w:t xml:space="preserve">or guidance on clinical indictors for a specific test. </w:t>
      </w:r>
      <w:r w:rsidR="009160F5">
        <w:rPr>
          <w:lang w:val="en-GB" w:eastAsia="en-US"/>
        </w:rPr>
        <w:t>It is acknowledged that most consumers do not engage with the explanatory notes of the MBS</w:t>
      </w:r>
      <w:r w:rsidR="008964DF">
        <w:rPr>
          <w:lang w:val="en-GB" w:eastAsia="en-US"/>
        </w:rPr>
        <w:t>;</w:t>
      </w:r>
      <w:r w:rsidR="009160F5">
        <w:rPr>
          <w:lang w:val="en-GB" w:eastAsia="en-US"/>
        </w:rPr>
        <w:t xml:space="preserve"> however</w:t>
      </w:r>
      <w:r w:rsidR="008964DF">
        <w:rPr>
          <w:lang w:val="en-GB" w:eastAsia="en-US"/>
        </w:rPr>
        <w:t>,</w:t>
      </w:r>
      <w:r w:rsidR="009160F5">
        <w:rPr>
          <w:lang w:val="en-GB" w:eastAsia="en-US"/>
        </w:rPr>
        <w:t xml:space="preserve"> the notes do serve as another reference to guide healthcare decisions.</w:t>
      </w:r>
    </w:p>
    <w:p w14:paraId="00ECB525" w14:textId="77777777" w:rsidR="003F0625" w:rsidRPr="00074D54" w:rsidRDefault="006C31FB" w:rsidP="003F0625">
      <w:pPr>
        <w:pStyle w:val="Heading3Numbered0"/>
      </w:pPr>
      <w:bookmarkStart w:id="147" w:name="_Toc498516958"/>
      <w:bookmarkStart w:id="148" w:name="_Toc522396630"/>
      <w:bookmarkStart w:id="149" w:name="_Toc525816070"/>
      <w:bookmarkStart w:id="150" w:name="_Toc498516957"/>
      <w:bookmarkStart w:id="151" w:name="_Toc522396629"/>
      <w:r>
        <w:t>Requester</w:t>
      </w:r>
      <w:r w:rsidR="003F0625" w:rsidRPr="00074D54">
        <w:t xml:space="preserve"> education</w:t>
      </w:r>
      <w:bookmarkEnd w:id="147"/>
      <w:bookmarkEnd w:id="148"/>
      <w:bookmarkEnd w:id="149"/>
    </w:p>
    <w:p w14:paraId="13EE0AB6" w14:textId="77777777" w:rsidR="003F0625" w:rsidRPr="00074D54" w:rsidRDefault="006C31FB" w:rsidP="003F0625">
      <w:pPr>
        <w:pStyle w:val="Normalpara"/>
        <w:rPr>
          <w:lang w:val="en-GB" w:eastAsia="en-US"/>
        </w:rPr>
      </w:pPr>
      <w:r>
        <w:rPr>
          <w:lang w:val="en-GB" w:eastAsia="en-US"/>
        </w:rPr>
        <w:t>Requester</w:t>
      </w:r>
      <w:r w:rsidR="003F0625" w:rsidRPr="00074D54">
        <w:rPr>
          <w:lang w:val="en-GB" w:eastAsia="en-US"/>
        </w:rPr>
        <w:t xml:space="preserve"> education can have limited impact when used in isolation, but it plays a crucial role in supporting other mechanisms as part of a multicomponent approach to improving requesting behaviours. </w:t>
      </w:r>
      <w:r>
        <w:rPr>
          <w:lang w:val="en-GB" w:eastAsia="en-US"/>
        </w:rPr>
        <w:t>Requester</w:t>
      </w:r>
      <w:r w:rsidR="003F0625" w:rsidRPr="00074D54">
        <w:rPr>
          <w:lang w:val="en-GB" w:eastAsia="en-US"/>
        </w:rPr>
        <w:t xml:space="preserve"> education can increase clinician awareness about high-value test requesting, item descriptor inclusions/exclusions and test costs, among other things. Examples of </w:t>
      </w:r>
      <w:r>
        <w:rPr>
          <w:lang w:val="en-GB" w:eastAsia="en-US"/>
        </w:rPr>
        <w:t>requester</w:t>
      </w:r>
      <w:r w:rsidR="003F0625" w:rsidRPr="00074D54">
        <w:rPr>
          <w:lang w:val="en-GB" w:eastAsia="en-US"/>
        </w:rPr>
        <w:t xml:space="preserve"> education initiatives include publications from specialist colleges, a mandatory continuing professional development module on diagnostic testing services, and including test prices on request forms or in electronic CDS software. </w:t>
      </w:r>
    </w:p>
    <w:p w14:paraId="2E1D996C" w14:textId="77777777" w:rsidR="003F0625" w:rsidRPr="00074D54" w:rsidRDefault="003F0625" w:rsidP="003F0625">
      <w:pPr>
        <w:pStyle w:val="Normalpara"/>
        <w:rPr>
          <w:lang w:val="en-GB" w:eastAsia="en-US"/>
        </w:rPr>
      </w:pPr>
      <w:r w:rsidRPr="00074D54">
        <w:rPr>
          <w:lang w:val="en-GB" w:eastAsia="en-US"/>
        </w:rPr>
        <w:t xml:space="preserve">The Committee considered 10 systematic reviews that investigated clinician education interventions. Overall, seven systematic reviews and meta-analyses reported significant positive findings, and two reported significant negative findings. The strongest benefits were associated with education used in conjunction with other interventions, such as audit and feedback. Although these reviews were primarily focused on the hospital environment and evidence of effectiveness was inconsistently reported, several important points emerged from these reviews and informed the Committee’s deliberations. Further detail on these points is available in </w:t>
      </w:r>
      <w:r w:rsidR="009B42B8">
        <w:rPr>
          <w:b/>
          <w:lang w:val="en-GB" w:eastAsia="en-US"/>
        </w:rPr>
        <w:t>Appendix C</w:t>
      </w:r>
      <w:r w:rsidRPr="00074D54">
        <w:rPr>
          <w:lang w:val="en-GB" w:eastAsia="en-US"/>
        </w:rPr>
        <w:t>.</w:t>
      </w:r>
    </w:p>
    <w:p w14:paraId="40939725" w14:textId="77777777" w:rsidR="003F0625" w:rsidRPr="00854013" w:rsidRDefault="003F0625" w:rsidP="003F0625">
      <w:pPr>
        <w:pStyle w:val="Normalpara"/>
        <w:rPr>
          <w:lang w:val="en-GB" w:eastAsia="en-US"/>
        </w:rPr>
      </w:pPr>
      <w:r w:rsidRPr="00074D54">
        <w:rPr>
          <w:lang w:val="en-GB" w:eastAsia="en-US"/>
        </w:rPr>
        <w:t xml:space="preserve">The Committee concluded </w:t>
      </w:r>
      <w:r>
        <w:rPr>
          <w:lang w:val="en-GB" w:eastAsia="en-US"/>
        </w:rPr>
        <w:t xml:space="preserve">educational campaigns explaining the changes to MBS items before implementation </w:t>
      </w:r>
      <w:r w:rsidRPr="00074D54">
        <w:rPr>
          <w:lang w:val="en-GB" w:eastAsia="en-US"/>
        </w:rPr>
        <w:t xml:space="preserve">as part of multi-dimensional strategy </w:t>
      </w:r>
      <w:r>
        <w:rPr>
          <w:lang w:val="en-GB" w:eastAsia="en-US"/>
        </w:rPr>
        <w:t>may</w:t>
      </w:r>
      <w:r w:rsidRPr="00074D54">
        <w:rPr>
          <w:lang w:val="en-GB" w:eastAsia="en-US"/>
        </w:rPr>
        <w:t xml:space="preserve"> increase compliance, </w:t>
      </w:r>
      <w:r>
        <w:rPr>
          <w:lang w:val="en-GB" w:eastAsia="en-US"/>
        </w:rPr>
        <w:t>and noted that</w:t>
      </w:r>
      <w:r w:rsidRPr="00074D54">
        <w:rPr>
          <w:lang w:val="en-GB" w:eastAsia="en-US"/>
        </w:rPr>
        <w:t xml:space="preserve"> reinforcement after implementation may be provided through alternative strategies</w:t>
      </w:r>
      <w:r>
        <w:rPr>
          <w:lang w:val="en-GB" w:eastAsia="en-US"/>
        </w:rPr>
        <w:t>, for example</w:t>
      </w:r>
      <w:r w:rsidRPr="00074D54">
        <w:rPr>
          <w:lang w:val="en-GB" w:eastAsia="en-US"/>
        </w:rPr>
        <w:t xml:space="preserve"> CDS.</w:t>
      </w:r>
      <w:r w:rsidRPr="00854013">
        <w:rPr>
          <w:lang w:val="en-GB" w:eastAsia="en-US"/>
        </w:rPr>
        <w:t xml:space="preserve">  </w:t>
      </w:r>
    </w:p>
    <w:p w14:paraId="791A2C89" w14:textId="77777777" w:rsidR="003F0625" w:rsidRPr="00854013" w:rsidRDefault="003F0625" w:rsidP="003F0625">
      <w:pPr>
        <w:pStyle w:val="Heading3Numbered0"/>
      </w:pPr>
      <w:bookmarkStart w:id="152" w:name="_Toc498516959"/>
      <w:bookmarkStart w:id="153" w:name="_Toc522396631"/>
      <w:bookmarkStart w:id="154" w:name="_Toc525816071"/>
      <w:r w:rsidRPr="00854013">
        <w:t>Electronic clinical decision support</w:t>
      </w:r>
      <w:bookmarkEnd w:id="152"/>
      <w:bookmarkEnd w:id="153"/>
      <w:bookmarkEnd w:id="154"/>
    </w:p>
    <w:p w14:paraId="7C2B6DDD" w14:textId="77777777" w:rsidR="003F0625" w:rsidRPr="00360531" w:rsidRDefault="003F0625" w:rsidP="003F0625">
      <w:pPr>
        <w:pStyle w:val="Normalpara"/>
        <w:rPr>
          <w:lang w:val="en-GB" w:eastAsia="en-US"/>
        </w:rPr>
      </w:pPr>
      <w:r w:rsidRPr="00854013">
        <w:rPr>
          <w:lang w:val="en-GB" w:eastAsia="en-US"/>
        </w:rPr>
        <w:t xml:space="preserve">Electronic CDS provides </w:t>
      </w:r>
      <w:r w:rsidR="006C31FB">
        <w:rPr>
          <w:lang w:val="en-GB" w:eastAsia="en-US"/>
        </w:rPr>
        <w:t>requester</w:t>
      </w:r>
      <w:r w:rsidRPr="00854013">
        <w:rPr>
          <w:lang w:val="en-GB" w:eastAsia="en-US"/>
        </w:rPr>
        <w:t xml:space="preserve">s with case-specific information/advice at the point of care. It supports clinical decision-making by providing signposted pathways for test selection. </w:t>
      </w:r>
    </w:p>
    <w:p w14:paraId="2922BF48" w14:textId="77777777" w:rsidR="003F0625" w:rsidRPr="00074D54" w:rsidRDefault="003F0625" w:rsidP="003F0625">
      <w:pPr>
        <w:pStyle w:val="Normalpara"/>
        <w:rPr>
          <w:lang w:val="en-GB" w:eastAsia="en-US"/>
        </w:rPr>
      </w:pPr>
      <w:r w:rsidRPr="00074D54">
        <w:rPr>
          <w:lang w:val="en-GB" w:eastAsia="en-US"/>
        </w:rPr>
        <w:t>Examples of CDS currently in use in Australia include the RANZCR Imaging Clinical Decision Rules</w:t>
      </w:r>
      <w:r>
        <w:rPr>
          <w:lang w:val="en-GB" w:eastAsia="en-US"/>
        </w:rPr>
        <w:t xml:space="preserve"> </w:t>
      </w:r>
      <w:sdt>
        <w:sdtPr>
          <w:rPr>
            <w:lang w:val="en-GB" w:eastAsia="en-US"/>
          </w:rPr>
          <w:id w:val="-1650208365"/>
          <w:citation/>
        </w:sdtPr>
        <w:sdtEndPr/>
        <w:sdtContent>
          <w:r>
            <w:rPr>
              <w:lang w:val="en-GB" w:eastAsia="en-US"/>
            </w:rPr>
            <w:fldChar w:fldCharType="begin"/>
          </w:r>
          <w:r>
            <w:rPr>
              <w:lang w:eastAsia="en-US"/>
            </w:rPr>
            <w:instrText xml:space="preserve"> CITATION Roy181 \l 1033 </w:instrText>
          </w:r>
          <w:r>
            <w:rPr>
              <w:lang w:val="en-GB" w:eastAsia="en-US"/>
            </w:rPr>
            <w:fldChar w:fldCharType="separate"/>
          </w:r>
          <w:r w:rsidR="00B66BE1">
            <w:rPr>
              <w:noProof/>
              <w:lang w:eastAsia="en-US"/>
            </w:rPr>
            <w:t>(5)</w:t>
          </w:r>
          <w:r>
            <w:rPr>
              <w:lang w:val="en-GB" w:eastAsia="en-US"/>
            </w:rPr>
            <w:fldChar w:fldCharType="end"/>
          </w:r>
        </w:sdtContent>
      </w:sdt>
      <w:r w:rsidR="00152CFA">
        <w:rPr>
          <w:lang w:val="en-GB" w:eastAsia="en-US"/>
        </w:rPr>
        <w:t xml:space="preserve">, </w:t>
      </w:r>
      <w:r w:rsidRPr="00074D54">
        <w:rPr>
          <w:lang w:val="en-GB" w:eastAsia="en-US"/>
        </w:rPr>
        <w:t>the DIP</w:t>
      </w:r>
      <w:r>
        <w:rPr>
          <w:lang w:val="en-GB" w:eastAsia="en-US"/>
        </w:rPr>
        <w:t xml:space="preserve"> </w:t>
      </w:r>
      <w:sdt>
        <w:sdtPr>
          <w:rPr>
            <w:lang w:val="en-GB" w:eastAsia="en-US"/>
          </w:rPr>
          <w:id w:val="1147015018"/>
          <w:citation/>
        </w:sdtPr>
        <w:sdtEndPr/>
        <w:sdtContent>
          <w:r>
            <w:rPr>
              <w:lang w:val="en-GB" w:eastAsia="en-US"/>
            </w:rPr>
            <w:fldChar w:fldCharType="begin"/>
          </w:r>
          <w:r>
            <w:rPr>
              <w:lang w:eastAsia="en-US"/>
            </w:rPr>
            <w:instrText xml:space="preserve">CITATION Wes18 \l 1033 </w:instrText>
          </w:r>
          <w:r>
            <w:rPr>
              <w:lang w:val="en-GB" w:eastAsia="en-US"/>
            </w:rPr>
            <w:fldChar w:fldCharType="separate"/>
          </w:r>
          <w:r w:rsidR="00B66BE1">
            <w:rPr>
              <w:noProof/>
              <w:lang w:eastAsia="en-US"/>
            </w:rPr>
            <w:t>(4)</w:t>
          </w:r>
          <w:r>
            <w:rPr>
              <w:lang w:val="en-GB" w:eastAsia="en-US"/>
            </w:rPr>
            <w:fldChar w:fldCharType="end"/>
          </w:r>
        </w:sdtContent>
      </w:sdt>
      <w:r w:rsidR="00152CFA">
        <w:rPr>
          <w:lang w:val="en-GB" w:eastAsia="en-US"/>
        </w:rPr>
        <w:t xml:space="preserve"> and some hospital-based systems</w:t>
      </w:r>
      <w:r w:rsidRPr="00074D54">
        <w:rPr>
          <w:lang w:val="en-GB" w:eastAsia="en-US"/>
        </w:rPr>
        <w:t>. In the United States, recent regulatory change has mandated the use of CDS for certain diagnostic imaging test requests. For example, the US Centres for Medicare &amp; Medicaid Services recently ruled that from 1 January 20</w:t>
      </w:r>
      <w:r w:rsidR="008D1C3F">
        <w:rPr>
          <w:lang w:val="en-GB" w:eastAsia="en-US"/>
        </w:rPr>
        <w:t>20</w:t>
      </w:r>
      <w:r w:rsidRPr="00074D54">
        <w:rPr>
          <w:lang w:val="en-GB" w:eastAsia="en-US"/>
        </w:rPr>
        <w:t>, the use of CDS will be mandatory for all advanced imaging such as MRI and CT, and that payment to radiologists for these tests will become contingent on the requesting clinician providing proof that they consulted an approved CDS system</w:t>
      </w:r>
      <w:r>
        <w:rPr>
          <w:lang w:val="en-GB" w:eastAsia="en-US"/>
        </w:rPr>
        <w:t xml:space="preserve"> </w:t>
      </w:r>
      <w:sdt>
        <w:sdtPr>
          <w:rPr>
            <w:lang w:val="en-GB" w:eastAsia="en-US"/>
          </w:rPr>
          <w:id w:val="-114836299"/>
          <w:citation/>
        </w:sdtPr>
        <w:sdtEndPr/>
        <w:sdtContent>
          <w:r w:rsidR="008D1C3F">
            <w:rPr>
              <w:lang w:val="en-GB" w:eastAsia="en-US"/>
            </w:rPr>
            <w:fldChar w:fldCharType="begin"/>
          </w:r>
          <w:r w:rsidR="008D1C3F">
            <w:rPr>
              <w:lang w:val="en-AU" w:eastAsia="en-US"/>
            </w:rPr>
            <w:instrText xml:space="preserve">CITATION Cen18 \l 3081 </w:instrText>
          </w:r>
          <w:r w:rsidR="008D1C3F">
            <w:rPr>
              <w:lang w:val="en-GB" w:eastAsia="en-US"/>
            </w:rPr>
            <w:fldChar w:fldCharType="separate"/>
          </w:r>
          <w:r w:rsidR="00B66BE1" w:rsidRPr="00B66BE1">
            <w:rPr>
              <w:noProof/>
              <w:lang w:val="en-AU" w:eastAsia="en-US"/>
            </w:rPr>
            <w:t>(7)</w:t>
          </w:r>
          <w:r w:rsidR="008D1C3F">
            <w:rPr>
              <w:lang w:val="en-GB" w:eastAsia="en-US"/>
            </w:rPr>
            <w:fldChar w:fldCharType="end"/>
          </w:r>
        </w:sdtContent>
      </w:sdt>
      <w:r w:rsidRPr="00074D54">
        <w:rPr>
          <w:lang w:val="en-GB" w:eastAsia="en-US"/>
        </w:rPr>
        <w:t xml:space="preserve">. </w:t>
      </w:r>
    </w:p>
    <w:p w14:paraId="3510FAB5" w14:textId="77777777" w:rsidR="003F0625" w:rsidRPr="00854013" w:rsidRDefault="003F0625" w:rsidP="003F0625">
      <w:pPr>
        <w:pStyle w:val="Normalpara"/>
        <w:rPr>
          <w:lang w:val="en-GB" w:eastAsia="en-US"/>
        </w:rPr>
      </w:pPr>
      <w:r w:rsidRPr="00074D54">
        <w:rPr>
          <w:lang w:val="en-GB" w:eastAsia="en-US"/>
        </w:rPr>
        <w:t xml:space="preserve">The Committee considered 16 reviews that investigated CDS interventions. These </w:t>
      </w:r>
      <w:r w:rsidRPr="00074D54">
        <w:t xml:space="preserve">reviews provided evidence that CDS interventions improve the appropriateness of health professionals’ diagnostic imaging and pathology requesting. </w:t>
      </w:r>
      <w:r w:rsidRPr="00074D54">
        <w:rPr>
          <w:lang w:val="en-GB" w:eastAsia="en-US"/>
        </w:rPr>
        <w:t xml:space="preserve">The detailed findings of these reports can be found in </w:t>
      </w:r>
      <w:r w:rsidR="009B42B8">
        <w:rPr>
          <w:b/>
          <w:lang w:val="en-GB" w:eastAsia="en-US"/>
        </w:rPr>
        <w:t>Appendix C</w:t>
      </w:r>
      <w:r w:rsidRPr="00074D54">
        <w:rPr>
          <w:lang w:val="en-GB" w:eastAsia="en-US"/>
        </w:rPr>
        <w:t>.  The Committee agreed that CDS is an area of importance, so it is discussed in more detail in Section 4.3</w:t>
      </w:r>
      <w:r w:rsidRPr="00854013">
        <w:rPr>
          <w:lang w:val="en-GB" w:eastAsia="en-US"/>
        </w:rPr>
        <w:t>.</w:t>
      </w:r>
    </w:p>
    <w:p w14:paraId="1EDDE122" w14:textId="77777777" w:rsidR="002818C3" w:rsidRDefault="002818C3" w:rsidP="003F0625">
      <w:pPr>
        <w:pStyle w:val="Normalpara"/>
        <w:rPr>
          <w:lang w:val="en-GB" w:eastAsia="en-US"/>
        </w:rPr>
      </w:pPr>
    </w:p>
    <w:p w14:paraId="676ECB84" w14:textId="192440FD" w:rsidR="003F0625" w:rsidRPr="003F0625" w:rsidRDefault="003F0625" w:rsidP="003F0625">
      <w:pPr>
        <w:pStyle w:val="Normalpara"/>
        <w:rPr>
          <w:lang w:val="en-GB" w:eastAsia="en-US"/>
        </w:rPr>
      </w:pPr>
      <w:r w:rsidRPr="00074D54">
        <w:rPr>
          <w:lang w:val="en-GB" w:eastAsia="en-US"/>
        </w:rPr>
        <w:lastRenderedPageBreak/>
        <w:t>The Committee held CDS as a superior intervention</w:t>
      </w:r>
      <w:r>
        <w:rPr>
          <w:lang w:val="en-GB" w:eastAsia="en-US"/>
        </w:rPr>
        <w:t>,</w:t>
      </w:r>
      <w:r w:rsidRPr="00074D54">
        <w:rPr>
          <w:lang w:val="en-GB" w:eastAsia="en-US"/>
        </w:rPr>
        <w:t xml:space="preserve"> especially when used as part of a multi</w:t>
      </w:r>
      <w:r w:rsidR="000D7E75">
        <w:rPr>
          <w:lang w:val="en-GB" w:eastAsia="en-US"/>
        </w:rPr>
        <w:t>faceted</w:t>
      </w:r>
      <w:r w:rsidRPr="00074D54">
        <w:rPr>
          <w:lang w:val="en-GB" w:eastAsia="en-US"/>
        </w:rPr>
        <w:t xml:space="preserve"> approach, because it is versatile and can be used for multiple purposes such </w:t>
      </w:r>
      <w:r>
        <w:rPr>
          <w:lang w:val="en-GB" w:eastAsia="en-US"/>
        </w:rPr>
        <w:t xml:space="preserve">as </w:t>
      </w:r>
      <w:r w:rsidRPr="00074D54">
        <w:rPr>
          <w:lang w:val="en-GB" w:eastAsia="en-US"/>
        </w:rPr>
        <w:t xml:space="preserve">providing </w:t>
      </w:r>
      <w:r w:rsidR="006C31FB">
        <w:rPr>
          <w:lang w:val="en-GB" w:eastAsia="en-US"/>
        </w:rPr>
        <w:t>requester</w:t>
      </w:r>
      <w:r w:rsidRPr="00074D54">
        <w:rPr>
          <w:lang w:val="en-GB" w:eastAsia="en-US"/>
        </w:rPr>
        <w:t xml:space="preserve"> education, </w:t>
      </w:r>
      <w:r>
        <w:rPr>
          <w:lang w:val="en-GB" w:eastAsia="en-US"/>
        </w:rPr>
        <w:t xml:space="preserve">provider </w:t>
      </w:r>
      <w:r w:rsidRPr="00074D54">
        <w:rPr>
          <w:lang w:val="en-GB" w:eastAsia="en-US"/>
        </w:rPr>
        <w:t xml:space="preserve">feedback, </w:t>
      </w:r>
      <w:r w:rsidR="000D7E75">
        <w:rPr>
          <w:lang w:val="en-GB" w:eastAsia="en-US"/>
        </w:rPr>
        <w:t xml:space="preserve">improving the </w:t>
      </w:r>
      <w:r w:rsidRPr="00074D54">
        <w:rPr>
          <w:lang w:val="en-GB" w:eastAsia="en-US"/>
        </w:rPr>
        <w:t xml:space="preserve">request process and </w:t>
      </w:r>
      <w:r w:rsidR="000D7E75">
        <w:rPr>
          <w:lang w:val="en-GB" w:eastAsia="en-US"/>
        </w:rPr>
        <w:t>m</w:t>
      </w:r>
      <w:r w:rsidRPr="00074D54">
        <w:rPr>
          <w:lang w:val="en-GB" w:eastAsia="en-US"/>
        </w:rPr>
        <w:t xml:space="preserve">any of the other nine mechanisms. </w:t>
      </w:r>
      <w:r w:rsidR="000D7E75">
        <w:rPr>
          <w:lang w:val="en-GB" w:eastAsia="en-US"/>
        </w:rPr>
        <w:t>The Committee recognised that e</w:t>
      </w:r>
      <w:r w:rsidRPr="00074D54">
        <w:rPr>
          <w:lang w:val="en-GB" w:eastAsia="en-US"/>
        </w:rPr>
        <w:t xml:space="preserve">nd-user acceptance of CDS and </w:t>
      </w:r>
      <w:r w:rsidR="000D7E75">
        <w:rPr>
          <w:lang w:val="en-GB" w:eastAsia="en-US"/>
        </w:rPr>
        <w:t xml:space="preserve">the </w:t>
      </w:r>
      <w:r w:rsidRPr="00074D54">
        <w:rPr>
          <w:lang w:val="en-GB" w:eastAsia="en-US"/>
        </w:rPr>
        <w:t>integration</w:t>
      </w:r>
      <w:r w:rsidR="000D7E75">
        <w:rPr>
          <w:lang w:val="en-GB" w:eastAsia="en-US"/>
        </w:rPr>
        <w:t xml:space="preserve"> of CDS</w:t>
      </w:r>
      <w:r w:rsidRPr="00074D54">
        <w:rPr>
          <w:lang w:val="en-GB" w:eastAsia="en-US"/>
        </w:rPr>
        <w:t xml:space="preserve"> into the requesting doctor’s workflow </w:t>
      </w:r>
      <w:r w:rsidR="000D7E75">
        <w:rPr>
          <w:lang w:val="en-GB" w:eastAsia="en-US"/>
        </w:rPr>
        <w:t xml:space="preserve">are </w:t>
      </w:r>
      <w:r w:rsidRPr="00074D54">
        <w:rPr>
          <w:lang w:val="en-GB" w:eastAsia="en-US"/>
        </w:rPr>
        <w:t xml:space="preserve">crucial </w:t>
      </w:r>
      <w:r w:rsidR="000D7E75">
        <w:rPr>
          <w:lang w:val="en-GB" w:eastAsia="en-US"/>
        </w:rPr>
        <w:t>for</w:t>
      </w:r>
      <w:r w:rsidRPr="00074D54">
        <w:rPr>
          <w:lang w:val="en-GB" w:eastAsia="en-US"/>
        </w:rPr>
        <w:t xml:space="preserve"> </w:t>
      </w:r>
      <w:r w:rsidR="000D7E75">
        <w:rPr>
          <w:lang w:val="en-GB" w:eastAsia="en-US"/>
        </w:rPr>
        <w:t xml:space="preserve">its </w:t>
      </w:r>
      <w:r w:rsidRPr="00074D54">
        <w:rPr>
          <w:lang w:val="en-GB" w:eastAsia="en-US"/>
        </w:rPr>
        <w:t>successful implementation.</w:t>
      </w:r>
      <w:r w:rsidRPr="00854013">
        <w:rPr>
          <w:lang w:val="en-GB" w:eastAsia="en-US"/>
        </w:rPr>
        <w:t xml:space="preserve"> </w:t>
      </w:r>
    </w:p>
    <w:p w14:paraId="20827806" w14:textId="77777777" w:rsidR="003F0625" w:rsidRPr="00074D54" w:rsidRDefault="003F0625" w:rsidP="003F0625">
      <w:pPr>
        <w:pStyle w:val="Heading3Numbered0"/>
      </w:pPr>
      <w:bookmarkStart w:id="155" w:name="_Toc520212301"/>
      <w:bookmarkStart w:id="156" w:name="_Toc522396634"/>
      <w:bookmarkStart w:id="157" w:name="_Toc525816072"/>
      <w:r w:rsidRPr="00074D54">
        <w:t>Requesting pattern transparency</w:t>
      </w:r>
      <w:bookmarkEnd w:id="155"/>
      <w:bookmarkEnd w:id="156"/>
      <w:bookmarkEnd w:id="157"/>
    </w:p>
    <w:p w14:paraId="48433554" w14:textId="77777777" w:rsidR="003F0625" w:rsidRPr="00074D54" w:rsidRDefault="003F0625" w:rsidP="003F0625">
      <w:pPr>
        <w:pStyle w:val="Normalpara"/>
        <w:rPr>
          <w:lang w:val="en-GB" w:eastAsia="en-US"/>
        </w:rPr>
      </w:pPr>
      <w:r w:rsidRPr="00074D54">
        <w:rPr>
          <w:lang w:val="en-GB" w:eastAsia="en-US"/>
        </w:rPr>
        <w:t xml:space="preserve">This mechanism allows </w:t>
      </w:r>
      <w:r w:rsidR="006C31FB">
        <w:rPr>
          <w:lang w:val="en-GB" w:eastAsia="en-US"/>
        </w:rPr>
        <w:t>requester</w:t>
      </w:r>
      <w:r w:rsidRPr="00074D54">
        <w:rPr>
          <w:lang w:val="en-GB" w:eastAsia="en-US"/>
        </w:rPr>
        <w:t xml:space="preserve">s to understand how their requesting patterns may vary from those of their peers, and to review their own requesting decisions in the event of large or unexpected variances. For example, letters could be sent to the 10 per cent of </w:t>
      </w:r>
      <w:r w:rsidR="006C31FB">
        <w:rPr>
          <w:lang w:val="en-GB" w:eastAsia="en-US"/>
        </w:rPr>
        <w:t>requester</w:t>
      </w:r>
      <w:r w:rsidRPr="00074D54">
        <w:rPr>
          <w:lang w:val="en-GB" w:eastAsia="en-US"/>
        </w:rPr>
        <w:t xml:space="preserve">s with the highest requesting rates for selected items, detailing comparisons with their peers. </w:t>
      </w:r>
    </w:p>
    <w:p w14:paraId="5561A55D" w14:textId="77777777" w:rsidR="003F0625" w:rsidRPr="00074D54" w:rsidRDefault="003F0625" w:rsidP="003F0625">
      <w:pPr>
        <w:pStyle w:val="Normalpara"/>
        <w:rPr>
          <w:lang w:val="en-GB" w:eastAsia="en-US"/>
        </w:rPr>
      </w:pPr>
      <w:r w:rsidRPr="00074D54">
        <w:rPr>
          <w:lang w:val="en-GB" w:eastAsia="en-US"/>
        </w:rPr>
        <w:t xml:space="preserve">The Committee considered 11 systematic reviews that investigated audit and feedback (or requesting pattern transparency) interventions. </w:t>
      </w:r>
      <w:r w:rsidRPr="00074D54">
        <w:t>Audit and feedback generally results in small to moderate improvements in professional practice, including reductions in test ordering and inappropriate imaging. However, when clinicians were provided with feedback on their use of low-value services compared with their peers, in addition to educational materials, large reductions in laboratory testing and imaging were observed.</w:t>
      </w:r>
      <w:r w:rsidRPr="00074D54">
        <w:rPr>
          <w:lang w:val="en-GB" w:eastAsia="en-US"/>
        </w:rPr>
        <w:t xml:space="preserve"> This finding highlights the importance of multi-mechanism approaches, and it demonstrates how implementation decisions can shape the effectiveness of a mechanism. The detailed findings of these reports can be found in </w:t>
      </w:r>
      <w:r w:rsidRPr="00074D54">
        <w:rPr>
          <w:b/>
          <w:lang w:val="en-GB" w:eastAsia="en-US"/>
        </w:rPr>
        <w:t>Appendi</w:t>
      </w:r>
      <w:r w:rsidR="009B42B8">
        <w:rPr>
          <w:b/>
          <w:lang w:val="en-GB" w:eastAsia="en-US"/>
        </w:rPr>
        <w:t>x C</w:t>
      </w:r>
      <w:r w:rsidRPr="00074D54">
        <w:rPr>
          <w:lang w:val="en-GB" w:eastAsia="en-US"/>
        </w:rPr>
        <w:t xml:space="preserve">. </w:t>
      </w:r>
    </w:p>
    <w:p w14:paraId="1E11D66D" w14:textId="77777777" w:rsidR="007E21B0" w:rsidRPr="00854013" w:rsidRDefault="007E21B0" w:rsidP="007E21B0">
      <w:pPr>
        <w:pStyle w:val="Heading3Numbered0"/>
      </w:pPr>
      <w:bookmarkStart w:id="158" w:name="_Toc498516960"/>
      <w:bookmarkStart w:id="159" w:name="_Toc522396632"/>
      <w:bookmarkStart w:id="160" w:name="_Toc525816073"/>
      <w:r w:rsidRPr="00854013">
        <w:t>Requesting process</w:t>
      </w:r>
      <w:bookmarkEnd w:id="158"/>
      <w:bookmarkEnd w:id="159"/>
      <w:bookmarkEnd w:id="160"/>
    </w:p>
    <w:p w14:paraId="2D5BCDD2" w14:textId="77777777" w:rsidR="007E21B0" w:rsidRPr="00074D54" w:rsidRDefault="007E21B0" w:rsidP="007E21B0">
      <w:pPr>
        <w:spacing w:line="240" w:lineRule="auto"/>
        <w:rPr>
          <w:lang w:val="en-GB" w:eastAsia="en-US"/>
        </w:rPr>
      </w:pPr>
      <w:r w:rsidRPr="00854013">
        <w:rPr>
          <w:lang w:val="en-GB" w:eastAsia="en-US"/>
        </w:rPr>
        <w:t>Changes to the requesting process include changing item descriptors and changing the ways in which t</w:t>
      </w:r>
      <w:r w:rsidRPr="00360531">
        <w:rPr>
          <w:lang w:val="en-GB" w:eastAsia="en-US"/>
        </w:rPr>
        <w:t xml:space="preserve">ests can be requested. For example, requests may need to be structured in a specified way, mandated testing pathways may be introduced, frequency restrictions may be applied to repeat tests or ‘care sets’ may be introduced. </w:t>
      </w:r>
    </w:p>
    <w:p w14:paraId="35F3A9F0" w14:textId="77777777" w:rsidR="007E21B0" w:rsidRPr="00854013" w:rsidRDefault="007E21B0" w:rsidP="007E21B0">
      <w:pPr>
        <w:spacing w:line="240" w:lineRule="auto"/>
        <w:rPr>
          <w:lang w:val="en-GB" w:eastAsia="en-US"/>
        </w:rPr>
      </w:pPr>
      <w:r w:rsidRPr="00074D54">
        <w:rPr>
          <w:lang w:val="en-GB" w:eastAsia="en-US"/>
        </w:rPr>
        <w:t xml:space="preserve">In Australia, examples of changes that have already been made to requesting processes include the sleep study decision support tool, the current testing pathway that requires thyroid stimulating hormone (TSH) testing prior to a thyroid function test (TFT), restrictions on co-claiming certain items and the grouping of items by clinical situation. </w:t>
      </w:r>
      <w:r>
        <w:rPr>
          <w:lang w:val="en-GB" w:eastAsia="en-US"/>
        </w:rPr>
        <w:t>In addition,</w:t>
      </w:r>
      <w:r w:rsidRPr="00074D54">
        <w:rPr>
          <w:lang w:val="en-GB" w:eastAsia="en-US"/>
        </w:rPr>
        <w:t xml:space="preserve"> there </w:t>
      </w:r>
      <w:r>
        <w:rPr>
          <w:lang w:val="en-GB" w:eastAsia="en-US"/>
        </w:rPr>
        <w:t xml:space="preserve">are many examples of items with </w:t>
      </w:r>
      <w:r w:rsidRPr="00074D54">
        <w:rPr>
          <w:lang w:val="en-GB" w:eastAsia="en-US"/>
        </w:rPr>
        <w:t xml:space="preserve"> </w:t>
      </w:r>
      <w:r w:rsidR="0017625E">
        <w:rPr>
          <w:lang w:val="en-GB" w:eastAsia="en-US"/>
        </w:rPr>
        <w:t xml:space="preserve">frequency </w:t>
      </w:r>
      <w:r w:rsidRPr="00074D54">
        <w:rPr>
          <w:lang w:val="en-GB" w:eastAsia="en-US"/>
        </w:rPr>
        <w:t>restriction</w:t>
      </w:r>
      <w:r>
        <w:rPr>
          <w:lang w:val="en-GB" w:eastAsia="en-US"/>
        </w:rPr>
        <w:t>s</w:t>
      </w:r>
      <w:r w:rsidRPr="00074D54">
        <w:rPr>
          <w:lang w:val="en-GB" w:eastAsia="en-US"/>
        </w:rPr>
        <w:t xml:space="preserve"> </w:t>
      </w:r>
      <w:r>
        <w:rPr>
          <w:lang w:val="en-GB" w:eastAsia="en-US"/>
        </w:rPr>
        <w:t xml:space="preserve">(meaning MBS benefits are payable once only in a defined period) </w:t>
      </w:r>
      <w:r w:rsidRPr="00074D54">
        <w:rPr>
          <w:lang w:val="en-GB" w:eastAsia="en-US"/>
        </w:rPr>
        <w:t>throughout the MBS, for example</w:t>
      </w:r>
      <w:r>
        <w:rPr>
          <w:lang w:val="en-GB" w:eastAsia="en-US"/>
        </w:rPr>
        <w:t xml:space="preserve"> various MRI and CT items included </w:t>
      </w:r>
      <w:r w:rsidRPr="00074D54">
        <w:rPr>
          <w:lang w:val="en-GB" w:eastAsia="en-US"/>
        </w:rPr>
        <w:t xml:space="preserve">in the </w:t>
      </w:r>
      <w:r w:rsidRPr="00074D54">
        <w:rPr>
          <w:i/>
          <w:lang w:val="en-GB" w:eastAsia="en-US"/>
        </w:rPr>
        <w:t>Health Insurance (Diagnostic Imaging Services Table) Regulation</w:t>
      </w:r>
      <w:r>
        <w:rPr>
          <w:i/>
          <w:lang w:val="en-GB" w:eastAsia="en-US"/>
        </w:rPr>
        <w:t xml:space="preserve">s, </w:t>
      </w:r>
      <w:r w:rsidRPr="0017625E">
        <w:rPr>
          <w:lang w:val="en-GB" w:eastAsia="en-US"/>
        </w:rPr>
        <w:t>various optometrical services and</w:t>
      </w:r>
      <w:r>
        <w:rPr>
          <w:lang w:val="en-GB" w:eastAsia="en-US"/>
        </w:rPr>
        <w:t xml:space="preserve"> a number of pathology tests, including serum Vitamin B12 and PSA screening</w:t>
      </w:r>
      <w:r w:rsidRPr="00074D54">
        <w:rPr>
          <w:lang w:val="en-GB" w:eastAsia="en-US"/>
        </w:rPr>
        <w:t>.</w:t>
      </w:r>
    </w:p>
    <w:p w14:paraId="5FCB1BF3" w14:textId="77777777" w:rsidR="007E21B0" w:rsidRPr="007E21B0" w:rsidRDefault="007E21B0" w:rsidP="007E21B0">
      <w:pPr>
        <w:spacing w:line="240" w:lineRule="auto"/>
        <w:rPr>
          <w:lang w:val="en-GB" w:eastAsia="en-US"/>
        </w:rPr>
      </w:pPr>
      <w:r w:rsidRPr="00854013">
        <w:rPr>
          <w:lang w:val="en-GB" w:eastAsia="en-US"/>
        </w:rPr>
        <w:t>The Committee’s review revealed that requesting process levers—such as modifying request or referral forms—had a significant impact on testing rates.</w:t>
      </w:r>
      <w:r w:rsidR="00681757">
        <w:rPr>
          <w:lang w:val="en-GB" w:eastAsia="en-US"/>
        </w:rPr>
        <w:t xml:space="preserve"> Most studies show that changes in requesting processes have an impact on testing rates, but few studies investigate the impact that this change has on clinical outcomes.  However, o</w:t>
      </w:r>
      <w:r w:rsidRPr="00854013">
        <w:rPr>
          <w:lang w:val="en-GB" w:eastAsia="en-US"/>
        </w:rPr>
        <w:t>ne study showed that changing an order form to include reflective questions decreased utilisation of imaging by 22.5 per cent, without an increase in adverse outcomes</w:t>
      </w:r>
      <w:sdt>
        <w:sdtPr>
          <w:rPr>
            <w:lang w:val="en-GB" w:eastAsia="en-US"/>
          </w:rPr>
          <w:id w:val="1499308137"/>
          <w:citation/>
        </w:sdtPr>
        <w:sdtEndPr/>
        <w:sdtContent>
          <w:r w:rsidR="009A415A">
            <w:rPr>
              <w:lang w:val="en-GB" w:eastAsia="en-US"/>
            </w:rPr>
            <w:fldChar w:fldCharType="begin"/>
          </w:r>
          <w:r w:rsidR="009A415A">
            <w:rPr>
              <w:lang w:eastAsia="en-US"/>
            </w:rPr>
            <w:instrText xml:space="preserve"> CITATION Sta15 \l 3081 </w:instrText>
          </w:r>
          <w:r w:rsidR="009A415A">
            <w:rPr>
              <w:lang w:val="en-GB" w:eastAsia="en-US"/>
            </w:rPr>
            <w:fldChar w:fldCharType="separate"/>
          </w:r>
          <w:r w:rsidR="00B66BE1">
            <w:rPr>
              <w:noProof/>
              <w:lang w:eastAsia="en-US"/>
            </w:rPr>
            <w:t xml:space="preserve"> (8)</w:t>
          </w:r>
          <w:r w:rsidR="009A415A">
            <w:rPr>
              <w:lang w:val="en-GB" w:eastAsia="en-US"/>
            </w:rPr>
            <w:fldChar w:fldCharType="end"/>
          </w:r>
        </w:sdtContent>
      </w:sdt>
      <w:r w:rsidR="00AD7270">
        <w:rPr>
          <w:lang w:val="en-GB" w:eastAsia="en-US"/>
        </w:rPr>
        <w:t>.</w:t>
      </w:r>
      <w:r w:rsidRPr="00854013">
        <w:rPr>
          <w:lang w:val="en-GB" w:eastAsia="en-US"/>
        </w:rPr>
        <w:t xml:space="preserve"> </w:t>
      </w:r>
      <w:r w:rsidR="00AD7270">
        <w:rPr>
          <w:lang w:val="en-GB" w:eastAsia="en-US"/>
        </w:rPr>
        <w:t xml:space="preserve">Similarly, a project to </w:t>
      </w:r>
      <w:r w:rsidR="00AD7270" w:rsidRPr="00AD7270">
        <w:rPr>
          <w:lang w:val="en-GB" w:eastAsia="en-US"/>
        </w:rPr>
        <w:t>reduce clinical variability in lab</w:t>
      </w:r>
      <w:r w:rsidR="00AD7270">
        <w:rPr>
          <w:lang w:val="en-GB" w:eastAsia="en-US"/>
        </w:rPr>
        <w:t>oratory</w:t>
      </w:r>
      <w:r w:rsidR="00AD7270" w:rsidRPr="00AD7270">
        <w:rPr>
          <w:lang w:val="en-GB" w:eastAsia="en-US"/>
        </w:rPr>
        <w:t xml:space="preserve"> test</w:t>
      </w:r>
      <w:r w:rsidR="00AD7270">
        <w:rPr>
          <w:lang w:val="en-GB" w:eastAsia="en-US"/>
        </w:rPr>
        <w:t>ing by</w:t>
      </w:r>
      <w:r w:rsidR="00AD7270" w:rsidRPr="00AD7270">
        <w:rPr>
          <w:lang w:val="en-GB" w:eastAsia="en-US"/>
        </w:rPr>
        <w:t xml:space="preserve"> increas</w:t>
      </w:r>
      <w:r w:rsidR="00AD7270">
        <w:rPr>
          <w:lang w:val="en-GB" w:eastAsia="en-US"/>
        </w:rPr>
        <w:t>ing</w:t>
      </w:r>
      <w:r w:rsidR="00AD7270" w:rsidRPr="00AD7270">
        <w:rPr>
          <w:lang w:val="en-GB" w:eastAsia="en-US"/>
        </w:rPr>
        <w:t xml:space="preserve"> </w:t>
      </w:r>
      <w:r w:rsidR="00AD7270">
        <w:rPr>
          <w:lang w:val="en-GB" w:eastAsia="en-US"/>
        </w:rPr>
        <w:t xml:space="preserve">clinician </w:t>
      </w:r>
      <w:r w:rsidR="00AD7270" w:rsidRPr="00AD7270">
        <w:rPr>
          <w:lang w:val="en-GB" w:eastAsia="en-US"/>
        </w:rPr>
        <w:t xml:space="preserve">awareness of their patterns of </w:t>
      </w:r>
      <w:r w:rsidR="00AD7270">
        <w:rPr>
          <w:lang w:val="en-GB" w:eastAsia="en-US"/>
        </w:rPr>
        <w:t>requesting</w:t>
      </w:r>
      <w:r w:rsidR="00D97B2C">
        <w:rPr>
          <w:lang w:val="en-GB" w:eastAsia="en-US"/>
        </w:rPr>
        <w:t xml:space="preserve"> resulted in</w:t>
      </w:r>
      <w:r w:rsidR="00D97B2C" w:rsidRPr="00D97B2C">
        <w:rPr>
          <w:lang w:val="en-GB" w:eastAsia="en-US"/>
        </w:rPr>
        <w:t xml:space="preserve"> significantly lower lab</w:t>
      </w:r>
      <w:r w:rsidR="00D97B2C">
        <w:rPr>
          <w:lang w:val="en-GB" w:eastAsia="en-US"/>
        </w:rPr>
        <w:t>oratory</w:t>
      </w:r>
      <w:r w:rsidR="00D97B2C" w:rsidRPr="00D97B2C">
        <w:rPr>
          <w:lang w:val="en-GB" w:eastAsia="en-US"/>
        </w:rPr>
        <w:t xml:space="preserve"> utili</w:t>
      </w:r>
      <w:r w:rsidR="00D97B2C">
        <w:rPr>
          <w:lang w:val="en-GB" w:eastAsia="en-US"/>
        </w:rPr>
        <w:t>s</w:t>
      </w:r>
      <w:r w:rsidR="00D97B2C" w:rsidRPr="00D97B2C">
        <w:rPr>
          <w:lang w:val="en-GB" w:eastAsia="en-US"/>
        </w:rPr>
        <w:t>ation without negatively impacting quality outcomes</w:t>
      </w:r>
      <w:r w:rsidR="009A415A">
        <w:rPr>
          <w:lang w:val="en-GB" w:eastAsia="en-US"/>
        </w:rPr>
        <w:t xml:space="preserve"> </w:t>
      </w:r>
      <w:sdt>
        <w:sdtPr>
          <w:rPr>
            <w:lang w:val="en-GB" w:eastAsia="en-US"/>
          </w:rPr>
          <w:id w:val="1006711488"/>
          <w:citation/>
        </w:sdtPr>
        <w:sdtEndPr/>
        <w:sdtContent>
          <w:r w:rsidR="009A415A">
            <w:rPr>
              <w:lang w:val="en-GB" w:eastAsia="en-US"/>
            </w:rPr>
            <w:fldChar w:fldCharType="begin"/>
          </w:r>
          <w:r w:rsidR="009A415A">
            <w:rPr>
              <w:lang w:eastAsia="en-US"/>
            </w:rPr>
            <w:instrText xml:space="preserve"> CITATION Mor17 \l 3081 </w:instrText>
          </w:r>
          <w:r w:rsidR="009A415A">
            <w:rPr>
              <w:lang w:val="en-GB" w:eastAsia="en-US"/>
            </w:rPr>
            <w:fldChar w:fldCharType="separate"/>
          </w:r>
          <w:r w:rsidR="00B66BE1">
            <w:rPr>
              <w:noProof/>
              <w:lang w:eastAsia="en-US"/>
            </w:rPr>
            <w:t>(9)</w:t>
          </w:r>
          <w:r w:rsidR="009A415A">
            <w:rPr>
              <w:lang w:val="en-GB" w:eastAsia="en-US"/>
            </w:rPr>
            <w:fldChar w:fldCharType="end"/>
          </w:r>
        </w:sdtContent>
      </w:sdt>
      <w:r w:rsidR="00D97B2C" w:rsidRPr="00D97B2C">
        <w:rPr>
          <w:lang w:val="en-GB" w:eastAsia="en-US"/>
        </w:rPr>
        <w:t>.</w:t>
      </w:r>
      <w:r w:rsidR="00D97B2C" w:rsidRPr="00854013">
        <w:rPr>
          <w:lang w:val="en-GB" w:eastAsia="en-US"/>
        </w:rPr>
        <w:t xml:space="preserve"> </w:t>
      </w:r>
      <w:r w:rsidRPr="00854013">
        <w:rPr>
          <w:lang w:val="en-GB" w:eastAsia="en-US"/>
        </w:rPr>
        <w:t>Further findings from the literature on changing requesting proc</w:t>
      </w:r>
      <w:r w:rsidR="009B42B8">
        <w:rPr>
          <w:lang w:val="en-GB" w:eastAsia="en-US"/>
        </w:rPr>
        <w:t>esses can be found in Appendix C</w:t>
      </w:r>
      <w:r>
        <w:rPr>
          <w:lang w:val="en-GB" w:eastAsia="en-US"/>
        </w:rPr>
        <w:t xml:space="preserve">.  </w:t>
      </w:r>
    </w:p>
    <w:p w14:paraId="0DFC2939" w14:textId="77777777" w:rsidR="003F1969" w:rsidRPr="00074D54" w:rsidRDefault="006C31FB" w:rsidP="000B2FBB">
      <w:pPr>
        <w:pStyle w:val="Heading3Numbered0"/>
      </w:pPr>
      <w:bookmarkStart w:id="161" w:name="_Toc525816074"/>
      <w:r>
        <w:lastRenderedPageBreak/>
        <w:t>Requester</w:t>
      </w:r>
      <w:r w:rsidR="003F1969" w:rsidRPr="00074D54">
        <w:t xml:space="preserve"> restrictions</w:t>
      </w:r>
      <w:bookmarkEnd w:id="150"/>
      <w:bookmarkEnd w:id="151"/>
      <w:bookmarkEnd w:id="161"/>
    </w:p>
    <w:p w14:paraId="1DC6316C" w14:textId="77777777" w:rsidR="003F1969" w:rsidRPr="00074D54" w:rsidRDefault="006C31FB" w:rsidP="001E197E">
      <w:pPr>
        <w:pStyle w:val="Normalpara"/>
        <w:rPr>
          <w:lang w:val="en-GB" w:eastAsia="en-US"/>
        </w:rPr>
      </w:pPr>
      <w:bookmarkStart w:id="162" w:name="_Hlk520178757"/>
      <w:r>
        <w:rPr>
          <w:lang w:val="en-GB" w:eastAsia="en-US"/>
        </w:rPr>
        <w:t>Requester</w:t>
      </w:r>
      <w:r w:rsidR="003F1969" w:rsidRPr="00074D54">
        <w:rPr>
          <w:lang w:val="en-GB" w:eastAsia="en-US"/>
        </w:rPr>
        <w:t xml:space="preserve"> restrictions can support better requesting of diagnostic services by limiting the clinicians who can request certain tests. Mandatory training or credentialing may be needed to become an eligible </w:t>
      </w:r>
      <w:r>
        <w:rPr>
          <w:lang w:val="en-GB" w:eastAsia="en-US"/>
        </w:rPr>
        <w:t>requester</w:t>
      </w:r>
      <w:r w:rsidR="003F1969" w:rsidRPr="00074D54">
        <w:rPr>
          <w:lang w:val="en-GB" w:eastAsia="en-US"/>
        </w:rPr>
        <w:t xml:space="preserve">. This mechanism is already used to restrict certain types of MRI requesting to specialists, and it is incorporated into Regulation 11 in the </w:t>
      </w:r>
      <w:r w:rsidR="003F1969" w:rsidRPr="00D97B2C">
        <w:rPr>
          <w:i/>
          <w:lang w:val="en-GB" w:eastAsia="en-US"/>
        </w:rPr>
        <w:t>Health Insurance Regulations</w:t>
      </w:r>
      <w:r w:rsidR="003F1969" w:rsidRPr="00074D54">
        <w:rPr>
          <w:lang w:val="en-GB" w:eastAsia="en-US"/>
        </w:rPr>
        <w:t xml:space="preserve">, which defines the diagnostic imaging services that can be requested by certain allied health professional groups. </w:t>
      </w:r>
      <w:r w:rsidR="00681757">
        <w:rPr>
          <w:lang w:val="en-GB" w:eastAsia="en-US"/>
        </w:rPr>
        <w:t xml:space="preserve">Another example in the MBS relates to </w:t>
      </w:r>
      <w:r w:rsidR="00D97B2C">
        <w:rPr>
          <w:lang w:val="en-GB" w:eastAsia="en-US"/>
        </w:rPr>
        <w:t xml:space="preserve">the </w:t>
      </w:r>
      <w:r w:rsidR="00681757">
        <w:rPr>
          <w:lang w:val="en-GB" w:eastAsia="en-US"/>
        </w:rPr>
        <w:t>requesting of item 66835 (</w:t>
      </w:r>
      <w:r w:rsidR="00263D5C">
        <w:rPr>
          <w:lang w:val="en-GB" w:eastAsia="en-US"/>
        </w:rPr>
        <w:t>testing of 1, 25</w:t>
      </w:r>
      <w:r w:rsidR="00D97B2C">
        <w:rPr>
          <w:lang w:val="en-GB" w:eastAsia="en-US"/>
        </w:rPr>
        <w:t>-dihydroxy</w:t>
      </w:r>
      <w:r w:rsidR="00263D5C">
        <w:rPr>
          <w:lang w:val="en-GB" w:eastAsia="en-US"/>
        </w:rPr>
        <w:t>vitamin</w:t>
      </w:r>
      <w:r w:rsidR="00D97B2C">
        <w:rPr>
          <w:lang w:val="en-GB" w:eastAsia="en-US"/>
        </w:rPr>
        <w:t xml:space="preserve"> </w:t>
      </w:r>
      <w:r w:rsidR="00263D5C">
        <w:rPr>
          <w:lang w:val="en-GB" w:eastAsia="en-US"/>
        </w:rPr>
        <w:t>D) which is restricted to consultant physicians and specialists managing the patient.  Several other cancer related genetic test</w:t>
      </w:r>
      <w:r w:rsidR="00D97B2C">
        <w:rPr>
          <w:lang w:val="en-GB" w:eastAsia="en-US"/>
        </w:rPr>
        <w:t>s</w:t>
      </w:r>
      <w:r w:rsidR="00263D5C">
        <w:rPr>
          <w:lang w:val="en-GB" w:eastAsia="en-US"/>
        </w:rPr>
        <w:t xml:space="preserve"> funded through the MBS are also restricted in this manner. </w:t>
      </w:r>
      <w:r w:rsidR="003F1969" w:rsidRPr="00074D54">
        <w:rPr>
          <w:lang w:val="en-GB" w:eastAsia="en-US"/>
        </w:rPr>
        <w:t>In Ontario, Canada, folate testing is restricted to red blood cell folate unless advised by physicians with expertise in haematological, inflammatory or gastrointestinal disorders</w:t>
      </w:r>
      <w:sdt>
        <w:sdtPr>
          <w:rPr>
            <w:lang w:val="en-GB" w:eastAsia="en-US"/>
          </w:rPr>
          <w:id w:val="-1629236722"/>
          <w:citation/>
        </w:sdtPr>
        <w:sdtEndPr/>
        <w:sdtContent>
          <w:r w:rsidR="001C7535">
            <w:rPr>
              <w:lang w:val="en-GB" w:eastAsia="en-US"/>
            </w:rPr>
            <w:fldChar w:fldCharType="begin"/>
          </w:r>
          <w:r w:rsidR="00F027EC">
            <w:rPr>
              <w:lang w:eastAsia="en-US"/>
            </w:rPr>
            <w:instrText xml:space="preserve">CITATION Dep14 \l 1033 </w:instrText>
          </w:r>
          <w:r w:rsidR="001C7535">
            <w:rPr>
              <w:lang w:val="en-GB" w:eastAsia="en-US"/>
            </w:rPr>
            <w:fldChar w:fldCharType="separate"/>
          </w:r>
          <w:r w:rsidR="00B66BE1">
            <w:rPr>
              <w:noProof/>
              <w:lang w:eastAsia="en-US"/>
            </w:rPr>
            <w:t xml:space="preserve"> (10)</w:t>
          </w:r>
          <w:r w:rsidR="001C7535">
            <w:rPr>
              <w:lang w:val="en-GB" w:eastAsia="en-US"/>
            </w:rPr>
            <w:fldChar w:fldCharType="end"/>
          </w:r>
        </w:sdtContent>
      </w:sdt>
      <w:r w:rsidR="001C7535">
        <w:rPr>
          <w:lang w:val="en-GB" w:eastAsia="en-US"/>
        </w:rPr>
        <w:t>.</w:t>
      </w:r>
      <w:r w:rsidR="003F1969" w:rsidRPr="00074D54">
        <w:rPr>
          <w:lang w:val="en-GB" w:eastAsia="en-US"/>
        </w:rPr>
        <w:t xml:space="preserve"> </w:t>
      </w:r>
      <w:bookmarkEnd w:id="162"/>
      <w:r w:rsidR="00681757">
        <w:rPr>
          <w:lang w:val="en-GB" w:eastAsia="en-US"/>
        </w:rPr>
        <w:t xml:space="preserve"> </w:t>
      </w:r>
    </w:p>
    <w:p w14:paraId="5762BB2C" w14:textId="77777777" w:rsidR="00106FA6" w:rsidRPr="00854013" w:rsidRDefault="00106FA6" w:rsidP="003E15AA">
      <w:pPr>
        <w:pStyle w:val="Heading3Numbered0"/>
      </w:pPr>
      <w:bookmarkStart w:id="163" w:name="_Toc520212300"/>
      <w:bookmarkStart w:id="164" w:name="_Toc522396633"/>
      <w:bookmarkStart w:id="165" w:name="_Toc525816075"/>
      <w:r w:rsidRPr="00854013">
        <w:t xml:space="preserve">Provider feedback to </w:t>
      </w:r>
      <w:r w:rsidR="006C31FB">
        <w:t>requester</w:t>
      </w:r>
      <w:bookmarkEnd w:id="163"/>
      <w:bookmarkEnd w:id="164"/>
      <w:bookmarkEnd w:id="165"/>
    </w:p>
    <w:p w14:paraId="01B37702" w14:textId="77777777" w:rsidR="00106FA6" w:rsidRPr="00074D54" w:rsidRDefault="00106FA6" w:rsidP="00106FA6">
      <w:pPr>
        <w:pStyle w:val="Normalpara"/>
        <w:rPr>
          <w:lang w:val="en-GB" w:eastAsia="en-US"/>
        </w:rPr>
      </w:pPr>
      <w:r w:rsidRPr="00360531">
        <w:rPr>
          <w:lang w:val="en-GB" w:eastAsia="en-US"/>
        </w:rPr>
        <w:t xml:space="preserve">This mechanism </w:t>
      </w:r>
      <w:r w:rsidRPr="00074D54">
        <w:rPr>
          <w:lang w:val="en-GB" w:eastAsia="en-US"/>
        </w:rPr>
        <w:t xml:space="preserve">enables providers to send feedback directly to </w:t>
      </w:r>
      <w:r w:rsidR="006C31FB">
        <w:rPr>
          <w:lang w:val="en-GB" w:eastAsia="en-US"/>
        </w:rPr>
        <w:t>requester</w:t>
      </w:r>
      <w:r w:rsidRPr="00074D54">
        <w:rPr>
          <w:lang w:val="en-GB" w:eastAsia="en-US"/>
        </w:rPr>
        <w:t>s on the value of the proposed test. For example, feedback notes on the clinical utility of shoulder ultrasound in elderly patients (where evidence suggests</w:t>
      </w:r>
      <w:sdt>
        <w:sdtPr>
          <w:rPr>
            <w:lang w:val="en-GB" w:eastAsia="en-US"/>
          </w:rPr>
          <w:id w:val="1850607801"/>
          <w:citation/>
        </w:sdtPr>
        <w:sdtEndPr/>
        <w:sdtContent>
          <w:r w:rsidR="00BB44EB">
            <w:rPr>
              <w:lang w:val="en-GB" w:eastAsia="en-US"/>
            </w:rPr>
            <w:fldChar w:fldCharType="begin"/>
          </w:r>
          <w:r w:rsidR="007C024E">
            <w:rPr>
              <w:lang w:eastAsia="en-US"/>
            </w:rPr>
            <w:instrText xml:space="preserve">CITATION Yam10 \l 1033 </w:instrText>
          </w:r>
          <w:r w:rsidR="00BB44EB">
            <w:rPr>
              <w:lang w:val="en-GB" w:eastAsia="en-US"/>
            </w:rPr>
            <w:fldChar w:fldCharType="separate"/>
          </w:r>
          <w:r w:rsidR="00B66BE1">
            <w:rPr>
              <w:noProof/>
              <w:lang w:eastAsia="en-US"/>
            </w:rPr>
            <w:t xml:space="preserve"> (11)</w:t>
          </w:r>
          <w:r w:rsidR="00BB44EB">
            <w:rPr>
              <w:lang w:val="en-GB" w:eastAsia="en-US"/>
            </w:rPr>
            <w:fldChar w:fldCharType="end"/>
          </w:r>
        </w:sdtContent>
      </w:sdt>
      <w:r w:rsidRPr="00074D54">
        <w:rPr>
          <w:lang w:val="en-GB" w:eastAsia="en-US"/>
        </w:rPr>
        <w:t xml:space="preserve"> that the incidence of asymptomatic rotator cuff tears is about 20 per cent)</w:t>
      </w:r>
      <w:r w:rsidR="00BB44EB">
        <w:rPr>
          <w:lang w:val="en-GB" w:eastAsia="en-US"/>
        </w:rPr>
        <w:t xml:space="preserve"> </w:t>
      </w:r>
      <w:r w:rsidRPr="00074D54">
        <w:rPr>
          <w:lang w:val="en-GB" w:eastAsia="en-US"/>
        </w:rPr>
        <w:t xml:space="preserve">could be delivered back to the </w:t>
      </w:r>
      <w:r w:rsidR="006C31FB">
        <w:rPr>
          <w:lang w:val="en-GB" w:eastAsia="en-US"/>
        </w:rPr>
        <w:t>requester</w:t>
      </w:r>
      <w:r w:rsidRPr="00074D54">
        <w:rPr>
          <w:lang w:val="en-GB" w:eastAsia="en-US"/>
        </w:rPr>
        <w:t xml:space="preserve"> at the bottom of the test report. </w:t>
      </w:r>
      <w:r w:rsidR="00C1468E">
        <w:rPr>
          <w:lang w:val="en-GB" w:eastAsia="en-US"/>
        </w:rPr>
        <w:t xml:space="preserve">The </w:t>
      </w:r>
      <w:r w:rsidRPr="00074D54">
        <w:rPr>
          <w:lang w:val="en-GB" w:eastAsia="en-US"/>
        </w:rPr>
        <w:t>Committee agreed</w:t>
      </w:r>
      <w:r w:rsidR="00C1468E">
        <w:rPr>
          <w:lang w:val="en-GB" w:eastAsia="en-US"/>
        </w:rPr>
        <w:t xml:space="preserve"> that</w:t>
      </w:r>
      <w:r w:rsidRPr="00074D54">
        <w:rPr>
          <w:lang w:val="en-GB" w:eastAsia="en-US"/>
        </w:rPr>
        <w:t xml:space="preserve"> </w:t>
      </w:r>
      <w:r w:rsidR="00612ADD">
        <w:rPr>
          <w:lang w:val="en-GB" w:eastAsia="en-US"/>
        </w:rPr>
        <w:t xml:space="preserve">providers such as </w:t>
      </w:r>
      <w:r w:rsidRPr="00074D54">
        <w:rPr>
          <w:lang w:val="en-GB" w:eastAsia="en-US"/>
        </w:rPr>
        <w:t xml:space="preserve">pathology laboratories and diagnostic imaging practices </w:t>
      </w:r>
      <w:r w:rsidR="000D7E75">
        <w:rPr>
          <w:lang w:val="en-GB" w:eastAsia="en-US"/>
        </w:rPr>
        <w:t xml:space="preserve">can </w:t>
      </w:r>
      <w:r w:rsidRPr="00074D54">
        <w:rPr>
          <w:lang w:val="en-GB" w:eastAsia="en-US"/>
        </w:rPr>
        <w:t>influen</w:t>
      </w:r>
      <w:r w:rsidR="000D7E75">
        <w:rPr>
          <w:lang w:val="en-GB" w:eastAsia="en-US"/>
        </w:rPr>
        <w:t xml:space="preserve">ce </w:t>
      </w:r>
      <w:r w:rsidR="006C31FB">
        <w:rPr>
          <w:lang w:val="en-GB" w:eastAsia="en-US"/>
        </w:rPr>
        <w:t>requester</w:t>
      </w:r>
      <w:r w:rsidR="000D7E75">
        <w:rPr>
          <w:lang w:val="en-GB" w:eastAsia="en-US"/>
        </w:rPr>
        <w:t xml:space="preserve"> behaviour </w:t>
      </w:r>
      <w:r w:rsidRPr="00074D54">
        <w:rPr>
          <w:lang w:val="en-GB" w:eastAsia="en-US"/>
        </w:rPr>
        <w:t xml:space="preserve">and </w:t>
      </w:r>
      <w:r w:rsidR="000D7E75">
        <w:rPr>
          <w:lang w:val="en-GB" w:eastAsia="en-US"/>
        </w:rPr>
        <w:t xml:space="preserve">so are </w:t>
      </w:r>
      <w:r w:rsidRPr="00074D54">
        <w:rPr>
          <w:lang w:val="en-GB" w:eastAsia="en-US"/>
        </w:rPr>
        <w:t xml:space="preserve">best placed to champion change in </w:t>
      </w:r>
      <w:r w:rsidR="00C1468E">
        <w:rPr>
          <w:lang w:val="en-GB" w:eastAsia="en-US"/>
        </w:rPr>
        <w:t xml:space="preserve">requesting </w:t>
      </w:r>
      <w:r w:rsidRPr="00074D54">
        <w:rPr>
          <w:lang w:val="en-GB" w:eastAsia="en-US"/>
        </w:rPr>
        <w:t>practices.</w:t>
      </w:r>
    </w:p>
    <w:p w14:paraId="5CE92A0B" w14:textId="77777777" w:rsidR="007E21B0" w:rsidRPr="00074D54" w:rsidRDefault="007E21B0" w:rsidP="007E21B0">
      <w:pPr>
        <w:pStyle w:val="Heading3Numbered0"/>
      </w:pPr>
      <w:bookmarkStart w:id="166" w:name="_Toc520212303"/>
      <w:bookmarkStart w:id="167" w:name="_Toc522396636"/>
      <w:bookmarkStart w:id="168" w:name="_Toc525816076"/>
      <w:bookmarkStart w:id="169" w:name="_Toc520212302"/>
      <w:bookmarkStart w:id="170" w:name="_Toc522396635"/>
      <w:r w:rsidRPr="00074D54">
        <w:t>Provider service conditions</w:t>
      </w:r>
      <w:bookmarkEnd w:id="166"/>
      <w:bookmarkEnd w:id="167"/>
      <w:bookmarkEnd w:id="168"/>
    </w:p>
    <w:p w14:paraId="77FEC92D" w14:textId="77777777" w:rsidR="007E21B0" w:rsidRPr="007E21B0" w:rsidRDefault="007E21B0" w:rsidP="007E21B0">
      <w:pPr>
        <w:pStyle w:val="Normalpara"/>
        <w:rPr>
          <w:lang w:val="en-GB" w:eastAsia="en-US"/>
        </w:rPr>
      </w:pPr>
      <w:r w:rsidRPr="00074D54">
        <w:rPr>
          <w:lang w:val="en-GB" w:eastAsia="en-US"/>
        </w:rPr>
        <w:t>This mechanism changes the conditions under which providers are permitted to provide tests. This includes introducing or limiting provider-determinable tests (such as the vitamin B12 marker test) or prohibiting providers from conducting certain tests in certain circumstances. In Australia, current examples of changes to provider service conditions include the introduction of mandatory testing pathways (for example, requiri</w:t>
      </w:r>
      <w:r>
        <w:rPr>
          <w:lang w:val="en-GB" w:eastAsia="en-US"/>
        </w:rPr>
        <w:t xml:space="preserve">ng TSH testing prior to TFT). </w:t>
      </w:r>
      <w:r w:rsidR="00263D5C">
        <w:rPr>
          <w:lang w:val="en-GB" w:eastAsia="en-US"/>
        </w:rPr>
        <w:t>Another example is</w:t>
      </w:r>
      <w:r>
        <w:rPr>
          <w:lang w:val="en-GB" w:eastAsia="en-US"/>
        </w:rPr>
        <w:t xml:space="preserve"> </w:t>
      </w:r>
      <w:r w:rsidR="00A66C8D" w:rsidRPr="00A66C8D">
        <w:rPr>
          <w:lang w:val="en-GB" w:eastAsia="en-US"/>
        </w:rPr>
        <w:t xml:space="preserve">MBS item 66830 for Brain Natriuretic Peptide </w:t>
      </w:r>
      <w:r w:rsidR="00263D5C">
        <w:rPr>
          <w:lang w:val="en-GB" w:eastAsia="en-US"/>
        </w:rPr>
        <w:t>which</w:t>
      </w:r>
      <w:r w:rsidR="00A66C8D" w:rsidRPr="00A66C8D">
        <w:rPr>
          <w:lang w:val="en-GB" w:eastAsia="en-US"/>
        </w:rPr>
        <w:t xml:space="preserve"> is currently restricted </w:t>
      </w:r>
      <w:r w:rsidR="00263D5C">
        <w:rPr>
          <w:lang w:val="en-GB" w:eastAsia="en-US"/>
        </w:rPr>
        <w:t>to the</w:t>
      </w:r>
      <w:r w:rsidR="00D97B2C">
        <w:rPr>
          <w:lang w:val="en-GB" w:eastAsia="en-US"/>
        </w:rPr>
        <w:t xml:space="preserve"> </w:t>
      </w:r>
      <w:r w:rsidR="00A66C8D" w:rsidRPr="00A66C8D">
        <w:rPr>
          <w:lang w:val="en-GB" w:eastAsia="en-US"/>
        </w:rPr>
        <w:t>diagnosis of heart failure in patients presenting with dyspnoea to a hospital Emergency Department.</w:t>
      </w:r>
    </w:p>
    <w:p w14:paraId="0478CABF" w14:textId="77777777" w:rsidR="00106FA6" w:rsidRPr="00074D54" w:rsidRDefault="00106FA6" w:rsidP="003E15AA">
      <w:pPr>
        <w:pStyle w:val="Heading3Numbered0"/>
      </w:pPr>
      <w:bookmarkStart w:id="171" w:name="_Toc525816077"/>
      <w:r w:rsidRPr="00074D54">
        <w:t>Payment mechanisms</w:t>
      </w:r>
      <w:bookmarkEnd w:id="169"/>
      <w:bookmarkEnd w:id="170"/>
      <w:bookmarkEnd w:id="171"/>
    </w:p>
    <w:p w14:paraId="2906BD8E" w14:textId="77777777" w:rsidR="00106FA6" w:rsidRPr="00074D54" w:rsidRDefault="00106FA6" w:rsidP="00106FA6">
      <w:pPr>
        <w:pStyle w:val="Normalpara"/>
        <w:rPr>
          <w:lang w:val="en-GB" w:eastAsia="en-US"/>
        </w:rPr>
      </w:pPr>
      <w:r w:rsidRPr="00074D54">
        <w:rPr>
          <w:lang w:val="en-GB" w:eastAsia="en-US"/>
        </w:rPr>
        <w:t xml:space="preserve">Payment mechanisms include any changes to the payment system or structure that are designed to encourage a change in requesting behaviour for diagnostic services. Examples include capitation/pay for performance </w:t>
      </w:r>
      <w:r w:rsidRPr="00074D54">
        <w:t>(where payment is linked to the achievement of certain predetermined criteria)</w:t>
      </w:r>
      <w:r w:rsidRPr="00074D54">
        <w:rPr>
          <w:lang w:val="en-GB" w:eastAsia="en-US"/>
        </w:rPr>
        <w:t xml:space="preserve">, risk-sharing (where </w:t>
      </w:r>
      <w:r w:rsidRPr="00074D54">
        <w:t>fixed payments are made to providers regardless of the volume of services rendered)</w:t>
      </w:r>
      <w:r w:rsidRPr="00074D54">
        <w:rPr>
          <w:lang w:val="en-GB" w:eastAsia="en-US"/>
        </w:rPr>
        <w:t xml:space="preserve"> and differential co-payments. </w:t>
      </w:r>
    </w:p>
    <w:p w14:paraId="02A2C4F6" w14:textId="77777777" w:rsidR="00106FA6" w:rsidRPr="00074D54" w:rsidRDefault="00106FA6" w:rsidP="00106FA6">
      <w:pPr>
        <w:pStyle w:val="Normalpara"/>
      </w:pPr>
      <w:r w:rsidRPr="00074D54">
        <w:t>The Committee considered three reviews that investigated pay for performance, insurer restrictions and risk-sharing. There was some limited evidence to suggest that payment systems can improve the appropriateness and clinical utility of diagnostic imaging and pathology tests requested by clinicians. However, the Committee noted that pay-for-performance interventions must be carefully stratified to minimise any risk of reduction in appropriate care. It also noted that risk-sharing has been incompletely tested for low-value care, and that further research is needed on the effectiveness of pay for performance, insurer restrictions and risk-sharing.</w:t>
      </w:r>
    </w:p>
    <w:p w14:paraId="396AB2B6" w14:textId="77777777" w:rsidR="00106FA6" w:rsidRPr="00074D54" w:rsidRDefault="00106FA6" w:rsidP="002818C3">
      <w:pPr>
        <w:pStyle w:val="Heading2"/>
        <w:ind w:left="567" w:hanging="567"/>
        <w:rPr>
          <w:lang w:val="en-GB"/>
        </w:rPr>
      </w:pPr>
      <w:bookmarkStart w:id="172" w:name="_Toc520212304"/>
      <w:bookmarkStart w:id="173" w:name="_Toc522396637"/>
      <w:bookmarkStart w:id="174" w:name="_Toc525816078"/>
      <w:r w:rsidRPr="00074D54">
        <w:rPr>
          <w:lang w:val="en-GB"/>
        </w:rPr>
        <w:lastRenderedPageBreak/>
        <w:t>Clinical decision support</w:t>
      </w:r>
      <w:r w:rsidR="00151388">
        <w:rPr>
          <w:lang w:val="en-GB"/>
        </w:rPr>
        <w:t xml:space="preserve"> (CDS)</w:t>
      </w:r>
      <w:r w:rsidRPr="00074D54">
        <w:rPr>
          <w:lang w:val="en-GB"/>
        </w:rPr>
        <w:t xml:space="preserve"> for better requesting of diagnostic services</w:t>
      </w:r>
      <w:bookmarkEnd w:id="172"/>
      <w:bookmarkEnd w:id="173"/>
      <w:bookmarkEnd w:id="174"/>
    </w:p>
    <w:p w14:paraId="4D56C370" w14:textId="77777777" w:rsidR="00A206CB" w:rsidRDefault="00106FA6" w:rsidP="00612ADD">
      <w:pPr>
        <w:pStyle w:val="Normalpara"/>
        <w:rPr>
          <w:lang w:val="en-GB"/>
        </w:rPr>
      </w:pPr>
      <w:r w:rsidRPr="00074D54">
        <w:rPr>
          <w:lang w:val="en-GB"/>
        </w:rPr>
        <w:t xml:space="preserve">After reviewing the evidence, the Committee agreed that CDS appeared to be the most effective of the nine mechanisms for supporting better requesting of pathology and diagnostic imaging items. For this reason, it spent a significant amount of time developing recommendations </w:t>
      </w:r>
      <w:r w:rsidR="00612ADD">
        <w:rPr>
          <w:lang w:val="en-GB"/>
        </w:rPr>
        <w:t>to</w:t>
      </w:r>
      <w:r w:rsidR="00612ADD" w:rsidRPr="00074D54">
        <w:rPr>
          <w:lang w:val="en-GB"/>
        </w:rPr>
        <w:t xml:space="preserve"> </w:t>
      </w:r>
      <w:r w:rsidRPr="00074D54">
        <w:rPr>
          <w:lang w:val="en-GB"/>
        </w:rPr>
        <w:t xml:space="preserve">introduce CDS for </w:t>
      </w:r>
      <w:r w:rsidR="006731B4">
        <w:rPr>
          <w:lang w:val="en-GB"/>
        </w:rPr>
        <w:t>diagnostic imaging in Australia</w:t>
      </w:r>
      <w:r w:rsidR="00A206CB">
        <w:t>.</w:t>
      </w:r>
      <w:r w:rsidR="006731B4">
        <w:t xml:space="preserve"> I</w:t>
      </w:r>
      <w:r w:rsidR="006731B4">
        <w:rPr>
          <w:lang w:val="en-GB"/>
        </w:rPr>
        <w:t>t should be noted that the Committee’s application of CDS to pathology items was limited, due to a lack of sufficiently widespread use of functional CDS system models for these items at the time of the review.  Thus, the Committee prioritised alternative mechanisms for the pathology items but strongly supported future uptake and use of CDS.</w:t>
      </w:r>
    </w:p>
    <w:p w14:paraId="14948FEF" w14:textId="77777777" w:rsidR="00106FA6" w:rsidRPr="00074D54" w:rsidRDefault="00A17514" w:rsidP="00106FA6">
      <w:pPr>
        <w:pStyle w:val="Normalpara"/>
        <w:rPr>
          <w:lang w:val="en-GB"/>
        </w:rPr>
      </w:pPr>
      <w:r>
        <w:t>T</w:t>
      </w:r>
      <w:r w:rsidR="00C71388">
        <w:t xml:space="preserve">he </w:t>
      </w:r>
      <w:r>
        <w:t xml:space="preserve">Committee </w:t>
      </w:r>
      <w:r w:rsidR="00C71388">
        <w:t xml:space="preserve">felt that </w:t>
      </w:r>
      <w:r>
        <w:t>diagnostic imaging items offered a promising opportunity to pilot the CDS mechanism because they have relatively low service volumes but</w:t>
      </w:r>
      <w:r w:rsidR="00C71388">
        <w:t xml:space="preserve"> a</w:t>
      </w:r>
      <w:r>
        <w:t xml:space="preserve"> significant impact on consumers.</w:t>
      </w:r>
      <w:r w:rsidR="00612ADD" w:rsidRPr="00074D54">
        <w:rPr>
          <w:lang w:val="en-GB"/>
        </w:rPr>
        <w:t xml:space="preserve"> Additional and alternative considerations will be necessary when expanding CDS to pathology or other areas.</w:t>
      </w:r>
      <w:r w:rsidR="00A66C8D">
        <w:rPr>
          <w:lang w:val="en-GB"/>
        </w:rPr>
        <w:t xml:space="preserve"> </w:t>
      </w:r>
      <w:r w:rsidR="00106FA6" w:rsidRPr="00074D54">
        <w:rPr>
          <w:lang w:val="en-GB"/>
        </w:rPr>
        <w:t xml:space="preserve">This section of the report provides an overview of CDS and the Committee’s recommendations, an illustration of how CDS may work in Australia, and a discussion of other important factors that need to be considered when introducing a CDS system.  </w:t>
      </w:r>
    </w:p>
    <w:p w14:paraId="22627B0C" w14:textId="77777777" w:rsidR="00106FA6" w:rsidRPr="00074D54" w:rsidRDefault="00106FA6" w:rsidP="003E15AA">
      <w:pPr>
        <w:pStyle w:val="Heading3Numbered0"/>
      </w:pPr>
      <w:bookmarkStart w:id="175" w:name="_Toc520212305"/>
      <w:bookmarkStart w:id="176" w:name="_Toc522396639"/>
      <w:bookmarkStart w:id="177" w:name="_Toc525816079"/>
      <w:r w:rsidRPr="00074D54">
        <w:t xml:space="preserve">Overview of </w:t>
      </w:r>
      <w:r w:rsidR="0017625E">
        <w:t>Electronic</w:t>
      </w:r>
      <w:r w:rsidR="00612ADD">
        <w:t xml:space="preserve"> </w:t>
      </w:r>
      <w:r w:rsidRPr="00074D54">
        <w:t>Clinical Decision S</w:t>
      </w:r>
      <w:bookmarkEnd w:id="175"/>
      <w:r w:rsidRPr="00074D54">
        <w:t xml:space="preserve">upport </w:t>
      </w:r>
      <w:bookmarkEnd w:id="176"/>
      <w:bookmarkEnd w:id="177"/>
    </w:p>
    <w:p w14:paraId="3717502E" w14:textId="77777777" w:rsidR="00106FA6" w:rsidRPr="00074D54" w:rsidRDefault="00106FA6" w:rsidP="00106FA6">
      <w:pPr>
        <w:pStyle w:val="Normalpara"/>
      </w:pPr>
      <w:r w:rsidRPr="00074D54">
        <w:rPr>
          <w:lang w:val="en-GB"/>
        </w:rPr>
        <w:t>For the purposes of its review, the Committee defined CDS as ‘the provision of advice at the point of care (when decisions are being made by the medical professional) that is tailored to the clinical context of the specific patient.’ Among the evidence reviewed by the Committee (Appe</w:t>
      </w:r>
      <w:r w:rsidR="009B42B8">
        <w:rPr>
          <w:lang w:val="en-GB"/>
        </w:rPr>
        <w:t>ndix C</w:t>
      </w:r>
      <w:r w:rsidRPr="00074D54">
        <w:rPr>
          <w:lang w:val="en-GB"/>
        </w:rPr>
        <w:t>), meta-</w:t>
      </w:r>
      <w:r w:rsidRPr="00074D54">
        <w:t>analyses of heterogeneous studies suggested that CDS systems improve morbidity, preventive care services, the ordering or completion of clinical studies, and the ordering of appropriate treatment, with no significant effect on mortality or adverse events. This evidence and analysis forms the basis and rationale for the recommendations outlined in Section 4.3.2.</w:t>
      </w:r>
    </w:p>
    <w:p w14:paraId="146BBFDE" w14:textId="77777777" w:rsidR="00106FA6" w:rsidRPr="00074D54" w:rsidRDefault="00106FA6" w:rsidP="00106FA6">
      <w:pPr>
        <w:pStyle w:val="Normalpara"/>
        <w:rPr>
          <w:lang w:val="en-GB"/>
        </w:rPr>
      </w:pPr>
      <w:r w:rsidRPr="00074D54">
        <w:rPr>
          <w:lang w:val="en-GB"/>
        </w:rPr>
        <w:t>In recommending the introduction of mandatory CDS, the Committee’s intention is to enhance high-value advanced imaging requests, reduce inappropriate overuse and misuse, and provide a source of clinical knowledge for requesting clinicians.</w:t>
      </w:r>
    </w:p>
    <w:p w14:paraId="04AC623F" w14:textId="77777777" w:rsidR="00106FA6" w:rsidRPr="00074D54" w:rsidRDefault="00106FA6" w:rsidP="00106FA6">
      <w:pPr>
        <w:pStyle w:val="Normalpara"/>
        <w:rPr>
          <w:lang w:val="en-GB"/>
        </w:rPr>
      </w:pPr>
      <w:r w:rsidRPr="00074D54">
        <w:rPr>
          <w:lang w:val="en-GB"/>
        </w:rPr>
        <w:t xml:space="preserve">At present, there is no mandatory CDS in the Australian health system, although the Committee noted the existence of DIP—a WA Health initiative that provides clinical indication-based pathways for diagnostic imaging. The Committee recommended implementing a CDS system Australia-wide, with requirements for mandatory CDS attached to rebates for selected diagnostic imaging items. </w:t>
      </w:r>
    </w:p>
    <w:p w14:paraId="6441C002" w14:textId="77777777" w:rsidR="00106FA6" w:rsidRPr="00074D54" w:rsidRDefault="00106FA6" w:rsidP="003E15AA">
      <w:pPr>
        <w:pStyle w:val="Heading3Numbered0"/>
      </w:pPr>
      <w:bookmarkStart w:id="178" w:name="_Toc520212306"/>
      <w:bookmarkStart w:id="179" w:name="_Toc522396640"/>
      <w:bookmarkStart w:id="180" w:name="_Toc525816080"/>
      <w:r w:rsidRPr="00074D54">
        <w:t>Recommendations</w:t>
      </w:r>
      <w:bookmarkEnd w:id="178"/>
      <w:bookmarkEnd w:id="179"/>
      <w:bookmarkEnd w:id="180"/>
    </w:p>
    <w:p w14:paraId="4970049D" w14:textId="77777777" w:rsidR="0060352A" w:rsidRDefault="0060352A" w:rsidP="0060352A">
      <w:pPr>
        <w:pStyle w:val="NormalBulleted"/>
      </w:pPr>
      <w:r>
        <w:t>The Australian Government should increasingly facilitate appropriate clinical use of MBS rebates through several mechanisms, including development of CDS.</w:t>
      </w:r>
    </w:p>
    <w:p w14:paraId="696DC67C" w14:textId="6F2645AE" w:rsidR="0060352A" w:rsidRDefault="0060352A" w:rsidP="0060352A">
      <w:pPr>
        <w:pStyle w:val="NormalBulleted"/>
      </w:pPr>
      <w:r>
        <w:t>Australia should introduce CDS systems to support improved requesting of imaging and eventually pathology items. Mandatory CDS should be applied to selected items in the next 24 months, beginning with priority diagnostic imaging and pathology items, and expanding to pathology and other areas.</w:t>
      </w:r>
    </w:p>
    <w:p w14:paraId="2A4C1235" w14:textId="21111501" w:rsidR="002818C3" w:rsidRDefault="002818C3">
      <w:pPr>
        <w:spacing w:before="0" w:after="0" w:line="240" w:lineRule="auto"/>
        <w:rPr>
          <w:rFonts w:cs="Calibri"/>
          <w:lang w:val="en-US"/>
        </w:rPr>
      </w:pPr>
      <w:r>
        <w:br w:type="page"/>
      </w:r>
    </w:p>
    <w:p w14:paraId="33647FE1" w14:textId="77777777" w:rsidR="0060352A" w:rsidRDefault="0060352A" w:rsidP="0060352A">
      <w:pPr>
        <w:pStyle w:val="NormalBulleted"/>
      </w:pPr>
      <w:r>
        <w:lastRenderedPageBreak/>
        <w:t>Mandatory CDS should be limited to high priority items only. It should require clinicians to participate in the CDS process, but not mandate adherence to the CDS recommendation. There must always be a provision for clinicians to exercise clinical judgement to override CDS recommendations, provided that the reasons for doing so are recorded.</w:t>
      </w:r>
    </w:p>
    <w:p w14:paraId="318AA5BE" w14:textId="77777777" w:rsidR="0060352A" w:rsidRDefault="0060352A" w:rsidP="0060352A">
      <w:pPr>
        <w:pStyle w:val="NormalBulleted"/>
      </w:pPr>
      <w:r>
        <w:t>Appropriate governance systems should be established for the development and ongoing management of the AUC and the CDS systems. Although there should be extensive cross-departmental collaboration in the development of such systems, there should also be a clear system owner. The AUC ownership and governance must be independent with adequate expertise, good clinical governance and feedback mechanisms.</w:t>
      </w:r>
    </w:p>
    <w:p w14:paraId="2F053D0C" w14:textId="77777777" w:rsidR="0060352A" w:rsidRDefault="0060352A" w:rsidP="0060352A">
      <w:pPr>
        <w:pStyle w:val="NormalBulleted"/>
      </w:pPr>
      <w:r>
        <w:t xml:space="preserve">The CDS system should be seamlessly integrated with workflows including clinical software platforms and common standards will need to be developed. </w:t>
      </w:r>
    </w:p>
    <w:p w14:paraId="68E7D249" w14:textId="44BB5D20" w:rsidR="00106FA6" w:rsidRPr="00074D54" w:rsidRDefault="0060352A" w:rsidP="002818C3">
      <w:pPr>
        <w:pStyle w:val="NormalBulleted"/>
        <w:numPr>
          <w:ilvl w:val="0"/>
          <w:numId w:val="0"/>
        </w:numPr>
        <w:rPr>
          <w:lang w:eastAsia="en-US"/>
        </w:rPr>
      </w:pPr>
      <w:r>
        <w:t>It must be recognised that development and implementation of an electronic CDS is a complex process that will require significant investment of both time and expertise and should build on existing work where possible.</w:t>
      </w:r>
    </w:p>
    <w:p w14:paraId="207B200D" w14:textId="77777777" w:rsidR="00106FA6" w:rsidRPr="001A14A8" w:rsidRDefault="00106FA6" w:rsidP="001A14A8">
      <w:pPr>
        <w:pStyle w:val="Heading3Numbered0"/>
      </w:pPr>
      <w:bookmarkStart w:id="181" w:name="_Toc520212307"/>
      <w:bookmarkStart w:id="182" w:name="_Toc522396641"/>
      <w:bookmarkStart w:id="183" w:name="_Toc525816081"/>
      <w:r w:rsidRPr="00074D54">
        <w:t>Illustration of Diagnostic Imaging</w:t>
      </w:r>
      <w:r w:rsidRPr="00854013">
        <w:t xml:space="preserve"> CDS in Australia</w:t>
      </w:r>
      <w:bookmarkEnd w:id="181"/>
      <w:bookmarkEnd w:id="182"/>
      <w:bookmarkEnd w:id="183"/>
    </w:p>
    <w:p w14:paraId="2E894AEC" w14:textId="77777777" w:rsidR="00106FA6" w:rsidRPr="00360531" w:rsidRDefault="00106FA6" w:rsidP="00106FA6">
      <w:pPr>
        <w:pStyle w:val="Normalpara"/>
      </w:pPr>
      <w:r w:rsidRPr="00854013">
        <w:t xml:space="preserve">This section expands on the above recommendations to illustrate how CDS could potentially improve requesting in the national Medicare system. It discusses how Australia could promote wider adoption of CDS in requesting, how mandatory CDS for priority items could be introduced, how such a program could be implemented effectively and how to develop AUC. It also considers the governance required for such a system. </w:t>
      </w:r>
    </w:p>
    <w:p w14:paraId="640BFC0D" w14:textId="77777777" w:rsidR="00106FA6" w:rsidRPr="00074D54" w:rsidRDefault="00106FA6" w:rsidP="00106FA6">
      <w:pPr>
        <w:pStyle w:val="Item"/>
        <w:rPr>
          <w:lang w:eastAsia="en-US"/>
        </w:rPr>
      </w:pPr>
      <w:r w:rsidRPr="00074D54">
        <w:rPr>
          <w:lang w:eastAsia="en-US"/>
        </w:rPr>
        <w:t>Introducing an Australia-wide CDS</w:t>
      </w:r>
      <w:bookmarkStart w:id="184" w:name="_Ref493785523"/>
      <w:r w:rsidRPr="00074D54">
        <w:rPr>
          <w:lang w:eastAsia="en-US"/>
        </w:rPr>
        <w:t xml:space="preserve"> system</w:t>
      </w:r>
    </w:p>
    <w:p w14:paraId="3AD16107" w14:textId="77777777" w:rsidR="00106FA6" w:rsidRPr="00074D54" w:rsidRDefault="00106FA6" w:rsidP="00106FA6">
      <w:pPr>
        <w:pStyle w:val="Normalpara"/>
      </w:pPr>
      <w:r w:rsidRPr="00074D54">
        <w:t xml:space="preserve">When considering how to successfully promote at-scale use of CDS nationwide, the Committee discussed several significant issues, which are detailed below. (The list is not intended to be exhaustive.) </w:t>
      </w:r>
    </w:p>
    <w:p w14:paraId="0D842F60" w14:textId="77777777" w:rsidR="00106FA6" w:rsidRPr="00074D54" w:rsidRDefault="00106FA6" w:rsidP="001A14A8">
      <w:pPr>
        <w:pStyle w:val="NormalBulleted"/>
        <w:rPr>
          <w:lang w:val="en-AU"/>
        </w:rPr>
      </w:pPr>
      <w:r w:rsidRPr="00074D54">
        <w:t xml:space="preserve">Financial support could be offered to </w:t>
      </w:r>
      <w:r w:rsidR="006C31FB">
        <w:t>requester</w:t>
      </w:r>
      <w:r w:rsidRPr="00074D54">
        <w:t>s and providers for installation of CDS to facilitate Australia-wide adoption.</w:t>
      </w:r>
    </w:p>
    <w:p w14:paraId="231A2395" w14:textId="77777777" w:rsidR="00106FA6" w:rsidRPr="00074D54" w:rsidRDefault="00106FA6" w:rsidP="001A14A8">
      <w:pPr>
        <w:pStyle w:val="NormalBulleted"/>
        <w:rPr>
          <w:lang w:val="en-AU"/>
        </w:rPr>
      </w:pPr>
      <w:r w:rsidRPr="00074D54">
        <w:rPr>
          <w:lang w:val="en-AU"/>
        </w:rPr>
        <w:t xml:space="preserve">The CDS platform should be leveraged to provide clinician and consumer education. For example, it could provide information to consumers on the tests that their clinicians are considering for them. </w:t>
      </w:r>
    </w:p>
    <w:p w14:paraId="3CD3DD53" w14:textId="77777777" w:rsidR="00106FA6" w:rsidRPr="00074D54" w:rsidRDefault="00106FA6" w:rsidP="001A14A8">
      <w:pPr>
        <w:pStyle w:val="NormalBulleted"/>
        <w:rPr>
          <w:lang w:val="en-AU"/>
        </w:rPr>
      </w:pPr>
      <w:r w:rsidRPr="00074D54">
        <w:rPr>
          <w:lang w:val="en-GB"/>
        </w:rPr>
        <w:t>The Committee acknowledged current variation in the terminology used for diagnostic tests. It may be necessary to standardise terminology in the course of implementing CDS.</w:t>
      </w:r>
    </w:p>
    <w:p w14:paraId="26DE9CF5" w14:textId="77777777" w:rsidR="00106FA6" w:rsidRPr="00074D54" w:rsidRDefault="00106FA6" w:rsidP="001A14A8">
      <w:pPr>
        <w:pStyle w:val="NormalBulleted"/>
        <w:rPr>
          <w:lang w:val="en-AU"/>
        </w:rPr>
      </w:pPr>
      <w:r w:rsidRPr="00074D54">
        <w:t xml:space="preserve">The Committee recognised that clinicians’ responses to the implementation of CDS will be contingent on the level of disruption to their workflow. To reduce disruption over time, a vendor-neutral interface could be created that integrates the AUC for CDS-mandatory MBS items into the Electronic Medical Record (EMR) or other CDS platforms. To achieve this, early and sustained interaction with electronic health software vendors is essential. </w:t>
      </w:r>
    </w:p>
    <w:p w14:paraId="45383ABF" w14:textId="77777777" w:rsidR="00106FA6" w:rsidRPr="00074D54" w:rsidRDefault="00106FA6" w:rsidP="001A14A8">
      <w:pPr>
        <w:pStyle w:val="NormalBulleted"/>
      </w:pPr>
      <w:r w:rsidRPr="00074D54">
        <w:t xml:space="preserve">When engaging with software architecture, there should be two possible starting points for requesting clinicians: the patient’s clinical presentation and the </w:t>
      </w:r>
      <w:r w:rsidR="006C31FB">
        <w:t>requester</w:t>
      </w:r>
      <w:r w:rsidRPr="00074D54">
        <w:t xml:space="preserve">’s initial intended test. </w:t>
      </w:r>
    </w:p>
    <w:p w14:paraId="19327FC4" w14:textId="77777777" w:rsidR="00106FA6" w:rsidRPr="00074D54" w:rsidRDefault="00106FA6" w:rsidP="001A14A8">
      <w:pPr>
        <w:pStyle w:val="NormalBulleted"/>
        <w:rPr>
          <w:color w:val="000000" w:themeColor="text1"/>
        </w:rPr>
      </w:pPr>
      <w:r w:rsidRPr="00074D54">
        <w:lastRenderedPageBreak/>
        <w:t xml:space="preserve">Development of the CDS system could allow for increased authority in the requesting of tests, with a streamlined system similar to the existing ‘streamlined authority’ for specific medication. </w:t>
      </w:r>
    </w:p>
    <w:p w14:paraId="415C3587" w14:textId="77777777" w:rsidR="00106FA6" w:rsidRPr="00074D54" w:rsidRDefault="00106FA6" w:rsidP="001A14A8">
      <w:pPr>
        <w:pStyle w:val="NormalBulleted"/>
      </w:pPr>
      <w:r w:rsidRPr="00074D54">
        <w:t>IT support for CDS should be easily accessible for clinicians and expedient in troubleshooting any issues, especially in the trial phase.</w:t>
      </w:r>
    </w:p>
    <w:p w14:paraId="097E6625" w14:textId="77777777" w:rsidR="00106FA6" w:rsidRPr="00074D54" w:rsidRDefault="00106FA6" w:rsidP="00106FA6">
      <w:pPr>
        <w:pStyle w:val="Item"/>
        <w:rPr>
          <w:lang w:eastAsia="en-US"/>
        </w:rPr>
      </w:pPr>
      <w:r w:rsidRPr="00074D54">
        <w:rPr>
          <w:lang w:eastAsia="en-US"/>
        </w:rPr>
        <w:t>Linking MBS payments to mandatory CDS usage for select items</w:t>
      </w:r>
    </w:p>
    <w:p w14:paraId="512154B5" w14:textId="77777777" w:rsidR="00106FA6" w:rsidRPr="001A14A8" w:rsidRDefault="00106FA6" w:rsidP="001A14A8">
      <w:pPr>
        <w:pStyle w:val="Normalpara"/>
      </w:pPr>
      <w:r w:rsidRPr="001A14A8">
        <w:t>The above recommendation to predicate MBS item rebates on CDS usage for select items requires careful planning and design. The Committee discussed three potential measures to illustrate how this could be enacted:</w:t>
      </w:r>
    </w:p>
    <w:p w14:paraId="06BB9799" w14:textId="77777777" w:rsidR="00106FA6" w:rsidRPr="00400796" w:rsidRDefault="00106FA6" w:rsidP="00400796">
      <w:pPr>
        <w:pStyle w:val="NormalBulleted"/>
      </w:pPr>
      <w:r w:rsidRPr="00074D54">
        <w:t xml:space="preserve">MBS payments to providers for items where mandatory CDS is recommended could be made contingent on proof of </w:t>
      </w:r>
      <w:r w:rsidR="006C31FB">
        <w:t>requester</w:t>
      </w:r>
      <w:r w:rsidRPr="00074D54">
        <w:t>s’ use of CDS.</w:t>
      </w:r>
    </w:p>
    <w:p w14:paraId="65B37503" w14:textId="77777777" w:rsidR="00106FA6" w:rsidRPr="00400796" w:rsidRDefault="00106FA6" w:rsidP="00400796">
      <w:pPr>
        <w:pStyle w:val="NormalBulleted"/>
      </w:pPr>
      <w:r w:rsidRPr="00400796">
        <w:t xml:space="preserve">The CDS system should be able to determine whether tests are eligible for an MBS rebate based on the clinical indications, and to advise clinicians when an MBS rebate will not be available. </w:t>
      </w:r>
    </w:p>
    <w:p w14:paraId="309CE947" w14:textId="77777777" w:rsidR="00106FA6" w:rsidRPr="00400796" w:rsidRDefault="00106FA6" w:rsidP="00400796">
      <w:pPr>
        <w:pStyle w:val="NormalBulleted"/>
      </w:pPr>
      <w:r w:rsidRPr="00074D54">
        <w:t xml:space="preserve">For priority items, </w:t>
      </w:r>
      <w:r w:rsidR="006C31FB">
        <w:t>requester</w:t>
      </w:r>
      <w:r w:rsidRPr="00074D54">
        <w:t>s could be required to sign or complete electronic declarations confirming that they have honestly and fully complied with CDS.</w:t>
      </w:r>
      <w:bookmarkEnd w:id="184"/>
    </w:p>
    <w:p w14:paraId="0EAE25EF" w14:textId="77777777" w:rsidR="00106FA6" w:rsidRPr="00074D54" w:rsidRDefault="00106FA6" w:rsidP="00106FA6">
      <w:pPr>
        <w:pStyle w:val="Item"/>
      </w:pPr>
      <w:r w:rsidRPr="00074D54">
        <w:t>Development and successful implementation of CDS</w:t>
      </w:r>
    </w:p>
    <w:p w14:paraId="49F1ECD5" w14:textId="77777777" w:rsidR="00106FA6" w:rsidRPr="00074D54" w:rsidRDefault="00106FA6" w:rsidP="00106FA6">
      <w:pPr>
        <w:pStyle w:val="Normalpara"/>
      </w:pPr>
      <w:r w:rsidRPr="00074D54">
        <w:t xml:space="preserve">Based on its discussions, the Committee provided a number of suggestions for ensuring successful implementation of CDS. These suggestions are intended to provide guidance during the implementation phase. </w:t>
      </w:r>
    </w:p>
    <w:p w14:paraId="61178B4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proposed that in order to ensure timely implementation the development of mandatory CDS should take place in two phases, with development of the AUC and education efforts running parallel to the development of the CDS software system (</w:t>
      </w:r>
      <w:r w:rsidR="00AB56DF">
        <w:rPr>
          <w:rFonts w:cs="Calibri"/>
          <w:szCs w:val="24"/>
          <w:lang w:eastAsia="en-AU"/>
        </w:rPr>
        <w:fldChar w:fldCharType="begin"/>
      </w:r>
      <w:r w:rsidR="00AB56DF">
        <w:rPr>
          <w:rFonts w:cs="Calibri"/>
          <w:szCs w:val="24"/>
          <w:lang w:eastAsia="en-AU"/>
        </w:rPr>
        <w:instrText xml:space="preserve"> REF _Ref491248730 </w:instrText>
      </w:r>
      <w:r w:rsidR="00AB56DF">
        <w:rPr>
          <w:rFonts w:cs="Calibri"/>
          <w:szCs w:val="24"/>
          <w:lang w:eastAsia="en-AU"/>
        </w:rPr>
        <w:fldChar w:fldCharType="separate"/>
      </w:r>
      <w:r w:rsidR="00763A89">
        <w:t xml:space="preserve">Figure </w:t>
      </w:r>
      <w:r w:rsidR="00763A89">
        <w:rPr>
          <w:noProof/>
        </w:rPr>
        <w:t>4</w:t>
      </w:r>
      <w:r w:rsidR="00AB56DF">
        <w:rPr>
          <w:rFonts w:cs="Calibri"/>
          <w:szCs w:val="24"/>
          <w:lang w:eastAsia="en-AU"/>
        </w:rPr>
        <w:fldChar w:fldCharType="end"/>
      </w:r>
      <w:r w:rsidRPr="00400796">
        <w:rPr>
          <w:rFonts w:cs="Calibri"/>
          <w:szCs w:val="24"/>
          <w:lang w:eastAsia="en-AU"/>
        </w:rPr>
        <w:t xml:space="preserve">).  </w:t>
      </w:r>
    </w:p>
    <w:p w14:paraId="5F4641AF" w14:textId="77777777" w:rsidR="00106FA6" w:rsidRPr="00074D54" w:rsidRDefault="00C86F3D" w:rsidP="00C86F3D">
      <w:pPr>
        <w:pStyle w:val="Caption"/>
      </w:pPr>
      <w:bookmarkStart w:id="185" w:name="_Ref491248730"/>
      <w:bookmarkStart w:id="186" w:name="_Ref495671074"/>
      <w:bookmarkStart w:id="187" w:name="_Toc492628798"/>
      <w:bookmarkStart w:id="188" w:name="_Toc495499106"/>
      <w:bookmarkStart w:id="189" w:name="_Toc498084446"/>
      <w:bookmarkStart w:id="190" w:name="_Toc525739681"/>
      <w:r>
        <w:lastRenderedPageBreak/>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4</w:t>
      </w:r>
      <w:r w:rsidR="00AF6A7F">
        <w:rPr>
          <w:noProof/>
        </w:rPr>
        <w:fldChar w:fldCharType="end"/>
      </w:r>
      <w:bookmarkEnd w:id="185"/>
      <w:bookmarkEnd w:id="186"/>
      <w:r w:rsidR="00106FA6" w:rsidRPr="00074D54">
        <w:rPr>
          <w:lang w:val="en-GB"/>
        </w:rPr>
        <w:t xml:space="preserve">: </w:t>
      </w:r>
      <w:bookmarkEnd w:id="187"/>
      <w:r w:rsidR="00106FA6" w:rsidRPr="00074D54">
        <w:rPr>
          <w:lang w:val="en-GB"/>
        </w:rPr>
        <w:t>Recommended process for CDS implementation</w:t>
      </w:r>
      <w:bookmarkEnd w:id="188"/>
      <w:bookmarkEnd w:id="189"/>
      <w:bookmarkEnd w:id="190"/>
    </w:p>
    <w:tbl>
      <w:tblPr>
        <w:tblW w:w="5000" w:type="pct"/>
        <w:tblInd w:w="8" w:type="dxa"/>
        <w:tblBorders>
          <w:top w:val="single" w:sz="4" w:space="0" w:color="auto"/>
          <w:bottom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Caption w:val="Figure 4"/>
        <w:tblDescription w:val="This figure is a flow diagram outlining process for development and deployment of mandatory clinical decision support."/>
      </w:tblPr>
      <w:tblGrid>
        <w:gridCol w:w="8312"/>
      </w:tblGrid>
      <w:tr w:rsidR="00106FA6" w:rsidRPr="00074D54" w14:paraId="73B07CDD" w14:textId="77777777" w:rsidTr="00106FA6">
        <w:trPr>
          <w:cantSplit/>
        </w:trPr>
        <w:tc>
          <w:tcPr>
            <w:tcW w:w="5000" w:type="pct"/>
          </w:tcPr>
          <w:p w14:paraId="2552C732" w14:textId="77777777" w:rsidR="00106FA6" w:rsidRPr="00074D54" w:rsidRDefault="00106FA6" w:rsidP="00106FA6">
            <w:pPr>
              <w:pStyle w:val="70exhtblnormal"/>
              <w:spacing w:before="20" w:after="20"/>
              <w:ind w:left="0" w:right="0"/>
              <w:outlineLvl w:val="5"/>
              <w:rPr>
                <w:rFonts w:eastAsiaTheme="minorHAnsi" w:cs="Arial"/>
                <w:b/>
                <w:bCs/>
                <w:i/>
                <w:lang w:val="en-GB"/>
              </w:rPr>
            </w:pPr>
            <w:r w:rsidRPr="00074D54">
              <w:rPr>
                <w:noProof/>
                <w:lang w:val="en-AU" w:eastAsia="en-AU"/>
              </w:rPr>
              <w:drawing>
                <wp:inline distT="0" distB="0" distL="0" distR="0" wp14:anchorId="5BD8285E" wp14:editId="0E9190CB">
                  <wp:extent cx="5695950" cy="4250055"/>
                  <wp:effectExtent l="0" t="0" r="0" b="0"/>
                  <wp:docPr id="79" name="Picture 79" descr="The figure presents the process for devlopment and deployment of mandatory clinical decision support. On the left, it indicates the steps from developing appropriate use criteria, to pilot education, to national education to a clinical decision support system. On the right, it indicates the steps from development of clinical decision support, to trial of clinical decision support to a clinical decision support system." title="Figure 4: Recommended process for CDS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950" cy="4250055"/>
                          </a:xfrm>
                          <a:prstGeom prst="rect">
                            <a:avLst/>
                          </a:prstGeom>
                        </pic:spPr>
                      </pic:pic>
                    </a:graphicData>
                  </a:graphic>
                </wp:inline>
              </w:drawing>
            </w:r>
          </w:p>
        </w:tc>
      </w:tr>
    </w:tbl>
    <w:p w14:paraId="54B310DC" w14:textId="77777777" w:rsidR="00106FA6" w:rsidRPr="00074D54" w:rsidRDefault="00106FA6" w:rsidP="00106FA6">
      <w:pPr>
        <w:pStyle w:val="Normalpara"/>
      </w:pPr>
    </w:p>
    <w:p w14:paraId="749ABB6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agreed that the following steps would need to be taken when establishing CDS in Australia. The steps are not listed in any particular order.</w:t>
      </w:r>
    </w:p>
    <w:p w14:paraId="6F139B48"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Institute regulatory changes </w:t>
      </w:r>
      <w:r w:rsidRPr="00074D54">
        <w:t xml:space="preserve">that make </w:t>
      </w:r>
      <w:r w:rsidR="006C31FB">
        <w:t>requester</w:t>
      </w:r>
      <w:r w:rsidRPr="00074D54">
        <w:t>s’ use of CDS compulsory for specific item groups and/or clinical scenarios.</w:t>
      </w:r>
    </w:p>
    <w:p w14:paraId="5E38FC96"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Engage </w:t>
      </w:r>
      <w:r w:rsidRPr="00074D54">
        <w:t>with peak medical bodies (local group ‘champions’).</w:t>
      </w:r>
    </w:p>
    <w:p w14:paraId="4B3EE1D4"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Secure </w:t>
      </w:r>
      <w:r w:rsidRPr="00074D54">
        <w:rPr>
          <w:bCs/>
        </w:rPr>
        <w:t>funding</w:t>
      </w:r>
      <w:r w:rsidRPr="00074D54">
        <w:t xml:space="preserve"> for CDS implementation.</w:t>
      </w:r>
    </w:p>
    <w:p w14:paraId="466A6BF7"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Formulate </w:t>
      </w:r>
      <w:r w:rsidRPr="00074D54">
        <w:rPr>
          <w:bCs/>
        </w:rPr>
        <w:t>AUC</w:t>
      </w:r>
      <w:r w:rsidRPr="00074D54">
        <w:t xml:space="preserve"> for use in CDS.</w:t>
      </w:r>
    </w:p>
    <w:p w14:paraId="7BBCB66C" w14:textId="77777777" w:rsidR="00106FA6" w:rsidRPr="00074D54" w:rsidRDefault="00106FA6" w:rsidP="004C1369">
      <w:pPr>
        <w:pStyle w:val="02dash"/>
        <w:numPr>
          <w:ilvl w:val="1"/>
          <w:numId w:val="17"/>
        </w:numPr>
        <w:spacing w:before="0" w:line="240" w:lineRule="auto"/>
        <w:ind w:left="641" w:right="0"/>
        <w:rPr>
          <w:lang w:val="en-AU"/>
        </w:rPr>
      </w:pPr>
      <w:r w:rsidRPr="00074D54">
        <w:t>Specify CDS design choices and create or source a vendor-neutral software platform.</w:t>
      </w:r>
    </w:p>
    <w:p w14:paraId="11AF4952" w14:textId="77777777" w:rsidR="00106FA6" w:rsidRPr="00074D54" w:rsidRDefault="00106FA6" w:rsidP="004C1369">
      <w:pPr>
        <w:pStyle w:val="02dash"/>
        <w:numPr>
          <w:ilvl w:val="1"/>
          <w:numId w:val="17"/>
        </w:numPr>
        <w:spacing w:before="0" w:line="240" w:lineRule="auto"/>
        <w:ind w:left="641" w:right="0"/>
        <w:rPr>
          <w:lang w:val="en-AU"/>
        </w:rPr>
      </w:pPr>
      <w:r w:rsidRPr="00074D54">
        <w:t>Trial and evaluate CDS implementation (with rapid modification as needed), then implement at-scale rollout, with ongoing improvement activity based on feedback from end-users.</w:t>
      </w:r>
    </w:p>
    <w:p w14:paraId="0C9C7A7A"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Provide education</w:t>
      </w:r>
      <w:r w:rsidRPr="00074D54">
        <w:t xml:space="preserve"> for </w:t>
      </w:r>
      <w:r w:rsidR="006C31FB">
        <w:t>requester</w:t>
      </w:r>
      <w:r w:rsidRPr="00074D54">
        <w:t xml:space="preserve">s and test providers on how to use CDS, and to explain the rationale underpinning its introduction. This should be accompanied by a </w:t>
      </w:r>
      <w:r w:rsidRPr="00074D54">
        <w:rPr>
          <w:bCs/>
        </w:rPr>
        <w:t xml:space="preserve">public campaign </w:t>
      </w:r>
      <w:r w:rsidRPr="00074D54">
        <w:t xml:space="preserve">to inform consumers about the change. Education should commence as early as is appropriate in order to achieve better stewardship of finite healthcare resources from a national standpoint. </w:t>
      </w:r>
    </w:p>
    <w:p w14:paraId="6A1349D3"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Ensure </w:t>
      </w:r>
      <w:r w:rsidRPr="00074D54">
        <w:rPr>
          <w:bCs/>
        </w:rPr>
        <w:t>compliance</w:t>
      </w:r>
      <w:r w:rsidRPr="00074D54">
        <w:t xml:space="preserve"> by establishing monitoring and audit functions.</w:t>
      </w:r>
    </w:p>
    <w:p w14:paraId="010403A4" w14:textId="77777777" w:rsidR="00106FA6" w:rsidRPr="00074D54" w:rsidRDefault="00106FA6" w:rsidP="00106FA6">
      <w:pPr>
        <w:pStyle w:val="01squarebullet"/>
        <w:numPr>
          <w:ilvl w:val="0"/>
          <w:numId w:val="0"/>
        </w:numPr>
        <w:ind w:left="720" w:right="142"/>
        <w:rPr>
          <w:lang w:val="en-GB"/>
        </w:rPr>
      </w:pPr>
    </w:p>
    <w:p w14:paraId="120C51D8" w14:textId="77777777" w:rsidR="00106FA6" w:rsidRPr="00074D54" w:rsidRDefault="00106FA6" w:rsidP="00106FA6">
      <w:pPr>
        <w:pStyle w:val="Item"/>
        <w:rPr>
          <w:lang w:eastAsia="en-US"/>
        </w:rPr>
      </w:pPr>
      <w:r w:rsidRPr="00074D54">
        <w:rPr>
          <w:lang w:eastAsia="en-US"/>
        </w:rPr>
        <w:lastRenderedPageBreak/>
        <w:t>Development of appropriate use criteria</w:t>
      </w:r>
    </w:p>
    <w:p w14:paraId="7DAC85D6" w14:textId="77777777" w:rsidR="00106FA6" w:rsidRPr="00074D54" w:rsidRDefault="00106FA6" w:rsidP="00106FA6">
      <w:pPr>
        <w:pStyle w:val="Normalpara"/>
        <w:rPr>
          <w:lang w:eastAsia="en-US"/>
        </w:rPr>
      </w:pPr>
      <w:r w:rsidRPr="00074D54">
        <w:rPr>
          <w:lang w:eastAsia="en-US"/>
        </w:rPr>
        <w:t>The Committee agreed on the following guidance with regards to the development of AUC for initial mandatory CDS system for selected diagnostic imaging items.</w:t>
      </w:r>
    </w:p>
    <w:p w14:paraId="5E975B30"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suggested that it may be helpful to use an existing database or existing AUC as a starting point for the creation of the Australian AUC. This would then need to be adapted to the Australian context by a multidisciplinary body, with representation from relevant peak medical bodies and the Department of Health. </w:t>
      </w:r>
    </w:p>
    <w:p w14:paraId="6F922D0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also suggested that the Department of Health appoint an organisation similar to the NPS Medicine Wise to assume ongoing responsibility for maintenance of the AUC. The designated third party should also play a role in coordinating input from the organisations that initially create the content, peak medical colleges (including the RACGP, RANZCR, and RCPA) and the team that created the WA Health DIP. </w:t>
      </w:r>
    </w:p>
    <w:p w14:paraId="55D5872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Clinical rationale for clinicians requesting exceptions for mandatory items should be collected, analysed and used to review and refine the AUC on an ongoing basis. </w:t>
      </w:r>
    </w:p>
    <w:p w14:paraId="7BAE0248" w14:textId="77777777" w:rsidR="00106FA6" w:rsidRPr="00074D54" w:rsidRDefault="00106FA6" w:rsidP="00106FA6">
      <w:pPr>
        <w:pStyle w:val="Item"/>
        <w:rPr>
          <w:lang w:eastAsia="en-US"/>
        </w:rPr>
      </w:pPr>
      <w:r w:rsidRPr="00074D54">
        <w:rPr>
          <w:lang w:eastAsia="en-US"/>
        </w:rPr>
        <w:t>Governance</w:t>
      </w:r>
    </w:p>
    <w:p w14:paraId="5D9A89AD" w14:textId="77777777" w:rsidR="00106FA6" w:rsidRPr="00074D54" w:rsidRDefault="00106FA6" w:rsidP="00106FA6">
      <w:pPr>
        <w:pStyle w:val="Normalpara"/>
        <w:rPr>
          <w:lang w:eastAsia="en-US"/>
        </w:rPr>
      </w:pPr>
      <w:r w:rsidRPr="00074D54">
        <w:rPr>
          <w:lang w:eastAsia="en-US"/>
        </w:rPr>
        <w:t xml:space="preserve">The Committee acknowledged the importance of governance in the implementation and ongoing execution of a CDS system and has provided the following guidance.  </w:t>
      </w:r>
    </w:p>
    <w:p w14:paraId="0CA0A611"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agreed that the Department of Health should develop a governance structure that includes AUC oversight, as well as audit and compliance. It has been suggested that the Digital Health Authority may be an appropriate body for overseeing the CDS software structure, and that the MSAC could be suitable for determining which items require mandatory CDS.</w:t>
      </w:r>
    </w:p>
    <w:p w14:paraId="0A0F8317"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governance structure should include processes for data management. The Committee agreed that data should be owned and protected by the Department of Health.</w:t>
      </w:r>
    </w:p>
    <w:p w14:paraId="1024C394"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Compliance oversight should include regular checks to identify </w:t>
      </w:r>
      <w:r w:rsidR="006C31FB">
        <w:rPr>
          <w:rFonts w:cs="Calibri"/>
          <w:szCs w:val="24"/>
          <w:lang w:eastAsia="en-AU"/>
        </w:rPr>
        <w:t>requester</w:t>
      </w:r>
      <w:r w:rsidRPr="00400796">
        <w:rPr>
          <w:rFonts w:cs="Calibri"/>
          <w:szCs w:val="24"/>
          <w:lang w:eastAsia="en-AU"/>
        </w:rPr>
        <w:t xml:space="preserve">s who are outliers in their requesting patterns, and to provide them with targeted feedback. </w:t>
      </w:r>
    </w:p>
    <w:p w14:paraId="6D6FBD69"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A structure should be implemented that allows </w:t>
      </w:r>
      <w:r w:rsidR="006C31FB">
        <w:rPr>
          <w:rFonts w:cs="Calibri"/>
          <w:szCs w:val="24"/>
          <w:lang w:eastAsia="en-AU"/>
        </w:rPr>
        <w:t>requester</w:t>
      </w:r>
      <w:r w:rsidRPr="00400796">
        <w:rPr>
          <w:rFonts w:cs="Calibri"/>
          <w:szCs w:val="24"/>
          <w:lang w:eastAsia="en-AU"/>
        </w:rPr>
        <w:t>s to easily provide feedback to the body responsible for the CDS system.</w:t>
      </w:r>
    </w:p>
    <w:p w14:paraId="72C24B45"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suggested that the governing body should oversee the CDS as a piece of critical health infrastructure and invest accordingly in fail-safes. Preventing system failure is essential to clinician buy-in. </w:t>
      </w:r>
    </w:p>
    <w:p w14:paraId="22CE8616" w14:textId="77777777" w:rsidR="00106FA6" w:rsidRPr="00074D54" w:rsidRDefault="00106FA6" w:rsidP="00106FA6">
      <w:pPr>
        <w:pStyle w:val="Item"/>
      </w:pPr>
      <w:r w:rsidRPr="00074D54">
        <w:t xml:space="preserve">Other key considerations </w:t>
      </w:r>
    </w:p>
    <w:p w14:paraId="67FAC2BF" w14:textId="77777777" w:rsidR="00106FA6" w:rsidRPr="00074D54" w:rsidRDefault="00106FA6" w:rsidP="00106FA6">
      <w:pPr>
        <w:pStyle w:val="Normalpara"/>
      </w:pPr>
      <w:r w:rsidRPr="00074D54">
        <w:t>In the Committee’s numerous discussions about CDS, several other issues were deemed worthy of consideration when designing a far-reaching CDS program to improve requesting.  These include:</w:t>
      </w:r>
    </w:p>
    <w:p w14:paraId="1A0E018A"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Remote access: The Committee noted that consideration should be given to ensuring appropriate access to CDS for </w:t>
      </w:r>
      <w:r w:rsidR="006C31FB">
        <w:rPr>
          <w:rFonts w:cs="Calibri"/>
          <w:szCs w:val="24"/>
          <w:lang w:eastAsia="en-AU"/>
        </w:rPr>
        <w:t>requester</w:t>
      </w:r>
      <w:r w:rsidRPr="00400796">
        <w:rPr>
          <w:rFonts w:cs="Calibri"/>
          <w:szCs w:val="24"/>
          <w:lang w:eastAsia="en-AU"/>
        </w:rPr>
        <w:t xml:space="preserve">s in remote and rural areas. </w:t>
      </w:r>
    </w:p>
    <w:p w14:paraId="265DD10B"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E-health: The Committee noted that an e-health platform that allows clinicians to access information on which tests patients have previously undertaken would assist greatly in the use of CDS and the prevention of duplicate ordering. </w:t>
      </w:r>
    </w:p>
    <w:p w14:paraId="78295887"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lastRenderedPageBreak/>
        <w:t>Potential challenges: The Committee noted the following potential challenges, which should be mitigated to ensure successful rollout of the system.</w:t>
      </w:r>
    </w:p>
    <w:p w14:paraId="65362276"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Stakeholder resistance</w:t>
      </w:r>
      <w:r w:rsidRPr="00074D54">
        <w:t xml:space="preserve"> due to a lack of engagement among consumers, clinical bodies and the clinicians using the CDS system.</w:t>
      </w:r>
    </w:p>
    <w:p w14:paraId="68D4E69A"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Poor-quality AUC,</w:t>
      </w:r>
      <w:r w:rsidRPr="00074D54">
        <w:rPr>
          <w:lang w:val="en-AU"/>
        </w:rPr>
        <w:t xml:space="preserve"> or the </w:t>
      </w:r>
      <w:r w:rsidRPr="00074D54">
        <w:rPr>
          <w:bCs/>
        </w:rPr>
        <w:t xml:space="preserve">choice of an existing AUC database </w:t>
      </w:r>
      <w:r w:rsidRPr="00074D54">
        <w:t>that does not meet Australia’s specific needs.</w:t>
      </w:r>
    </w:p>
    <w:p w14:paraId="4A9F84B3" w14:textId="77777777" w:rsidR="00106FA6" w:rsidRPr="00074D54" w:rsidRDefault="00106FA6" w:rsidP="004C1369">
      <w:pPr>
        <w:pStyle w:val="02dash"/>
        <w:numPr>
          <w:ilvl w:val="1"/>
          <w:numId w:val="17"/>
        </w:numPr>
        <w:spacing w:before="0" w:line="240" w:lineRule="auto"/>
        <w:ind w:left="641" w:right="0"/>
        <w:rPr>
          <w:lang w:val="en-AU"/>
        </w:rPr>
      </w:pPr>
      <w:r w:rsidRPr="00074D54">
        <w:t xml:space="preserve">Failure to adequately allow for exceptions to the mandatory AUC. </w:t>
      </w:r>
    </w:p>
    <w:p w14:paraId="64B2B04D"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Lack of ‘beta-testing’ </w:t>
      </w:r>
      <w:r w:rsidRPr="00074D54">
        <w:t>through trial program</w:t>
      </w:r>
      <w:r w:rsidR="002576AA">
        <w:t>s</w:t>
      </w:r>
      <w:r w:rsidRPr="00074D54">
        <w:t>.</w:t>
      </w:r>
    </w:p>
    <w:p w14:paraId="36225BAE" w14:textId="77777777" w:rsidR="00106FA6" w:rsidRPr="00074D54" w:rsidRDefault="00106FA6" w:rsidP="004C1369">
      <w:pPr>
        <w:pStyle w:val="02dash"/>
        <w:numPr>
          <w:ilvl w:val="1"/>
          <w:numId w:val="17"/>
        </w:numPr>
        <w:spacing w:before="0" w:line="240" w:lineRule="auto"/>
        <w:ind w:left="641" w:right="0"/>
        <w:rPr>
          <w:lang w:val="en-AU"/>
        </w:rPr>
      </w:pPr>
      <w:r w:rsidRPr="00074D54">
        <w:t>End-user rejection due to poor-quality software platforms and/or integration with the AUC.</w:t>
      </w:r>
    </w:p>
    <w:p w14:paraId="5F23F6A7"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Failure to update the AUC</w:t>
      </w:r>
      <w:r w:rsidRPr="00074D54">
        <w:t xml:space="preserve"> in response to changes in clinical practice and appropriate exceptions logged by </w:t>
      </w:r>
      <w:r w:rsidR="006C31FB">
        <w:t>requester</w:t>
      </w:r>
      <w:r w:rsidRPr="00074D54">
        <w:t>s.</w:t>
      </w:r>
    </w:p>
    <w:p w14:paraId="01BA59B6" w14:textId="77777777" w:rsidR="00106FA6" w:rsidRPr="00074D54" w:rsidRDefault="00106FA6" w:rsidP="004C1369">
      <w:pPr>
        <w:pStyle w:val="02dash"/>
        <w:numPr>
          <w:ilvl w:val="1"/>
          <w:numId w:val="17"/>
        </w:numPr>
        <w:spacing w:before="0" w:line="240" w:lineRule="auto"/>
        <w:ind w:left="641" w:right="0"/>
        <w:rPr>
          <w:lang w:val="en-AU"/>
        </w:rPr>
      </w:pPr>
      <w:r w:rsidRPr="00074D54">
        <w:rPr>
          <w:bCs/>
        </w:rPr>
        <w:t xml:space="preserve">Legal </w:t>
      </w:r>
      <w:r w:rsidRPr="00074D54">
        <w:t>considerations around AUC copyright, ownership of CDS usage data and patient data protection not being addressed.</w:t>
      </w:r>
    </w:p>
    <w:p w14:paraId="651043F4"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Expansion of CDS beyond diagnostic imaging: The Committee believes that in the long term, CDS will be appropriate beyond diagnostic imaging, potentially supporting better requesting of pathology and other services. </w:t>
      </w:r>
      <w:r w:rsidR="00AB56DF">
        <w:rPr>
          <w:rFonts w:cs="Calibri"/>
          <w:szCs w:val="24"/>
          <w:lang w:eastAsia="en-AU"/>
        </w:rPr>
        <w:t>This is consistent with t</w:t>
      </w:r>
      <w:r w:rsidR="00AB56DF">
        <w:t xml:space="preserve">he </w:t>
      </w:r>
      <w:r w:rsidR="00441EAB">
        <w:t>previous (</w:t>
      </w:r>
      <w:r w:rsidR="002E1559">
        <w:t>2011</w:t>
      </w:r>
      <w:r w:rsidR="008841DC">
        <w:rPr>
          <w:rFonts w:cstheme="minorHAnsi"/>
        </w:rPr>
        <w:t>–</w:t>
      </w:r>
      <w:r w:rsidR="002E1559">
        <w:t>2016</w:t>
      </w:r>
      <w:r w:rsidR="00441EAB">
        <w:t>)</w:t>
      </w:r>
      <w:r w:rsidR="00DB38F0">
        <w:t xml:space="preserve"> funding</w:t>
      </w:r>
      <w:r w:rsidR="002E1559">
        <w:t xml:space="preserve"> </w:t>
      </w:r>
      <w:r w:rsidR="00AB56DF">
        <w:t xml:space="preserve">agreement between the </w:t>
      </w:r>
      <w:r w:rsidR="002E1559">
        <w:t>Australian</w:t>
      </w:r>
      <w:r w:rsidR="00AB56DF">
        <w:t xml:space="preserve"> Government and the pathology</w:t>
      </w:r>
      <w:r w:rsidR="002E1559">
        <w:t xml:space="preserve"> sector</w:t>
      </w:r>
      <w:r w:rsidR="00AB56DF">
        <w:t xml:space="preserve"> </w:t>
      </w:r>
      <w:r w:rsidR="002E1559">
        <w:t>which</w:t>
      </w:r>
      <w:r w:rsidR="00AB56DF">
        <w:t xml:space="preserve"> included a requirement to begin development of decision support tools for pathology requesting</w:t>
      </w:r>
      <w:r w:rsidR="00DB38F0">
        <w:t xml:space="preserve"> </w:t>
      </w:r>
      <w:sdt>
        <w:sdtPr>
          <w:id w:val="1243690729"/>
          <w:citation/>
        </w:sdtPr>
        <w:sdtEndPr/>
        <w:sdtContent>
          <w:r w:rsidR="00DB38F0">
            <w:fldChar w:fldCharType="begin"/>
          </w:r>
          <w:r w:rsidR="00DB38F0">
            <w:rPr>
              <w:lang w:val="en-AU"/>
            </w:rPr>
            <w:instrText xml:space="preserve"> CITATION Aus111 \l 3081 </w:instrText>
          </w:r>
          <w:r w:rsidR="00DB38F0">
            <w:fldChar w:fldCharType="separate"/>
          </w:r>
          <w:r w:rsidR="00B66BE1" w:rsidRPr="00B66BE1">
            <w:rPr>
              <w:noProof/>
              <w:lang w:val="en-AU"/>
            </w:rPr>
            <w:t>(12)</w:t>
          </w:r>
          <w:r w:rsidR="00DB38F0">
            <w:fldChar w:fldCharType="end"/>
          </w:r>
        </w:sdtContent>
      </w:sdt>
      <w:r w:rsidR="00DB38F0">
        <w:t xml:space="preserve"> </w:t>
      </w:r>
      <w:r w:rsidR="00AB56DF">
        <w:t>.</w:t>
      </w:r>
    </w:p>
    <w:p w14:paraId="3C0BC14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Clinical discretion: Clinicians should be able to override the CDS system’s recommendations if they provide clinical information and a rationale for their decision, which would be recorded by the system and audited for appropriateness. </w:t>
      </w:r>
    </w:p>
    <w:p w14:paraId="2A01D4C0"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Consumer education: Any CDS system should be integrated with consumer education tools, allowing clinicians to print off or share with patient’s details about the test(s) being ordered. </w:t>
      </w:r>
    </w:p>
    <w:p w14:paraId="227D26D4" w14:textId="77777777" w:rsidR="00106FA6" w:rsidRPr="00074D54" w:rsidRDefault="00106FA6" w:rsidP="002818C3">
      <w:pPr>
        <w:pStyle w:val="Heading3Numbered0"/>
        <w:spacing w:before="240"/>
      </w:pPr>
      <w:bookmarkStart w:id="191" w:name="_Toc520212308"/>
      <w:bookmarkStart w:id="192" w:name="_Toc522396642"/>
      <w:bookmarkStart w:id="193" w:name="_Toc525816082"/>
      <w:r w:rsidRPr="00074D54">
        <w:t>Bridging solutions before at-scale implementation of CDS</w:t>
      </w:r>
      <w:bookmarkEnd w:id="191"/>
      <w:bookmarkEnd w:id="192"/>
      <w:bookmarkEnd w:id="193"/>
      <w:r w:rsidRPr="00074D54">
        <w:t xml:space="preserve"> </w:t>
      </w:r>
    </w:p>
    <w:p w14:paraId="3647694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Committee acknowledged the extensive timeline required for at-scale CDS implementation in Australia, but it noted that it is imperative that the process commences as early as possible, ideally with a two-year rollout plan. </w:t>
      </w:r>
    </w:p>
    <w:p w14:paraId="6C9DE570"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The Committee suggested implementing bridging solutions throughout this period with the intention of:</w:t>
      </w:r>
    </w:p>
    <w:p w14:paraId="0077D913" w14:textId="77777777" w:rsidR="00106FA6" w:rsidRPr="00074D54" w:rsidRDefault="00106FA6" w:rsidP="004C1369">
      <w:pPr>
        <w:pStyle w:val="02dash"/>
        <w:numPr>
          <w:ilvl w:val="1"/>
          <w:numId w:val="17"/>
        </w:numPr>
        <w:spacing w:before="0" w:line="240" w:lineRule="auto"/>
        <w:ind w:left="567" w:right="0" w:hanging="567"/>
      </w:pPr>
      <w:r w:rsidRPr="00074D54">
        <w:t>Demonstrating the feasibility of a CDS system in Australia.</w:t>
      </w:r>
    </w:p>
    <w:p w14:paraId="10CF6A39" w14:textId="77777777" w:rsidR="00106FA6" w:rsidRPr="00074D54" w:rsidRDefault="00106FA6" w:rsidP="004C1369">
      <w:pPr>
        <w:pStyle w:val="02dash"/>
        <w:numPr>
          <w:ilvl w:val="1"/>
          <w:numId w:val="17"/>
        </w:numPr>
        <w:spacing w:before="0" w:line="240" w:lineRule="auto"/>
        <w:ind w:left="567" w:right="0" w:hanging="567"/>
      </w:pPr>
      <w:r w:rsidRPr="00074D54">
        <w:t xml:space="preserve">Stress-testing development, integration and ongoing improvement protocols for both the AUC and the software delivery platforms. </w:t>
      </w:r>
    </w:p>
    <w:p w14:paraId="002AC8A8" w14:textId="77777777" w:rsidR="00106FA6" w:rsidRPr="00074D54" w:rsidRDefault="00106FA6" w:rsidP="004C1369">
      <w:pPr>
        <w:pStyle w:val="02dash"/>
        <w:numPr>
          <w:ilvl w:val="1"/>
          <w:numId w:val="17"/>
        </w:numPr>
        <w:spacing w:before="0" w:line="240" w:lineRule="auto"/>
        <w:ind w:left="567" w:right="0" w:hanging="567"/>
      </w:pPr>
      <w:r w:rsidRPr="00074D54">
        <w:t xml:space="preserve">Increasing engagement among test </w:t>
      </w:r>
      <w:r w:rsidR="006C31FB">
        <w:t>requester</w:t>
      </w:r>
      <w:r w:rsidRPr="00074D54">
        <w:t>s, providers and software vendors.</w:t>
      </w:r>
    </w:p>
    <w:p w14:paraId="046079A3"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This bridging solution should be limited in its initial scope by:</w:t>
      </w:r>
    </w:p>
    <w:p w14:paraId="04271E93" w14:textId="77777777" w:rsidR="00106FA6" w:rsidRPr="00074D54" w:rsidRDefault="00106FA6" w:rsidP="004C1369">
      <w:pPr>
        <w:pStyle w:val="02dash"/>
        <w:numPr>
          <w:ilvl w:val="1"/>
          <w:numId w:val="17"/>
        </w:numPr>
        <w:spacing w:before="0" w:line="240" w:lineRule="auto"/>
        <w:ind w:left="567" w:right="0" w:hanging="567"/>
      </w:pPr>
      <w:r w:rsidRPr="00074D54">
        <w:t>Targeting one (or at most, two) item groups based on known low-value requesting practices, such as knee MRI and imaging for lower back pain.</w:t>
      </w:r>
    </w:p>
    <w:p w14:paraId="6BCCA804" w14:textId="77777777" w:rsidR="00106FA6" w:rsidRPr="00074D54" w:rsidRDefault="00106FA6" w:rsidP="004C1369">
      <w:pPr>
        <w:pStyle w:val="02dash"/>
        <w:numPr>
          <w:ilvl w:val="1"/>
          <w:numId w:val="17"/>
        </w:numPr>
        <w:spacing w:before="0" w:line="240" w:lineRule="auto"/>
        <w:ind w:left="567" w:right="0" w:hanging="567"/>
      </w:pPr>
      <w:r w:rsidRPr="00074D54">
        <w:t>Initially only requiring AUC to be developed for these targeted item groups.</w:t>
      </w:r>
    </w:p>
    <w:p w14:paraId="2556A316" w14:textId="77777777" w:rsidR="00106FA6" w:rsidRPr="00074D54" w:rsidRDefault="00106FA6" w:rsidP="004C1369">
      <w:pPr>
        <w:pStyle w:val="02dash"/>
        <w:numPr>
          <w:ilvl w:val="1"/>
          <w:numId w:val="17"/>
        </w:numPr>
        <w:spacing w:before="0" w:line="240" w:lineRule="auto"/>
        <w:ind w:left="567" w:right="0" w:hanging="567"/>
      </w:pPr>
      <w:r w:rsidRPr="00074D54">
        <w:t xml:space="preserve">Focusing on developing the standalone platform for delivering these limited AUC. </w:t>
      </w:r>
    </w:p>
    <w:p w14:paraId="07BB4741" w14:textId="77777777" w:rsidR="00106FA6" w:rsidRPr="00074D54" w:rsidRDefault="00106FA6" w:rsidP="004C1369">
      <w:pPr>
        <w:pStyle w:val="02dash"/>
        <w:numPr>
          <w:ilvl w:val="1"/>
          <w:numId w:val="17"/>
        </w:numPr>
        <w:spacing w:before="0" w:line="240" w:lineRule="auto"/>
        <w:ind w:left="567" w:right="0" w:hanging="567"/>
      </w:pPr>
      <w:r w:rsidRPr="00074D54">
        <w:t>Limiting the geographical area (for example, to one Primary Health Network [PHN] or a group of GP practices).</w:t>
      </w:r>
    </w:p>
    <w:p w14:paraId="36A94E4C"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lastRenderedPageBreak/>
        <w:t xml:space="preserve">The Committee noted that any bridging solution should be designed </w:t>
      </w:r>
      <w:r w:rsidR="00484CA7">
        <w:rPr>
          <w:rFonts w:cs="Calibri"/>
          <w:szCs w:val="24"/>
          <w:lang w:eastAsia="en-AU"/>
        </w:rPr>
        <w:t>to</w:t>
      </w:r>
      <w:r w:rsidR="00484CA7" w:rsidRPr="00400796">
        <w:rPr>
          <w:rFonts w:cs="Calibri"/>
          <w:szCs w:val="24"/>
          <w:lang w:eastAsia="en-AU"/>
        </w:rPr>
        <w:t xml:space="preserve"> </w:t>
      </w:r>
      <w:r w:rsidRPr="00400796">
        <w:rPr>
          <w:rFonts w:cs="Calibri"/>
          <w:szCs w:val="24"/>
          <w:lang w:eastAsia="en-AU"/>
        </w:rPr>
        <w:t>minimise disruption to workflow.</w:t>
      </w:r>
    </w:p>
    <w:p w14:paraId="182D909B"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An education campaign should also be commenced as soon as a decision is made to pursue CDS in Australia. This will allow </w:t>
      </w:r>
      <w:r w:rsidR="006C31FB">
        <w:rPr>
          <w:rFonts w:cs="Calibri"/>
          <w:szCs w:val="24"/>
          <w:lang w:eastAsia="en-AU"/>
        </w:rPr>
        <w:t>requester</w:t>
      </w:r>
      <w:r w:rsidRPr="00400796">
        <w:rPr>
          <w:rFonts w:cs="Calibri"/>
          <w:szCs w:val="24"/>
          <w:lang w:eastAsia="en-AU"/>
        </w:rPr>
        <w:t xml:space="preserve">s, providers and software vendor’s time to adapt and respond. Ideally, these groups should have a minimum of one year to prepare. </w:t>
      </w:r>
    </w:p>
    <w:p w14:paraId="2711395E"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Leadership from the colleges and peak medical bodies should be engaged early in the process and equipped to become champions of this change to their respective members. This engagement should focus on the long-term goal of improving the value of imaging studies.</w:t>
      </w:r>
    </w:p>
    <w:p w14:paraId="5AD28152" w14:textId="77777777" w:rsidR="00106FA6" w:rsidRPr="00400796" w:rsidRDefault="00106FA6" w:rsidP="0029574B">
      <w:pPr>
        <w:pStyle w:val="01squarebullet"/>
        <w:numPr>
          <w:ilvl w:val="0"/>
          <w:numId w:val="96"/>
        </w:numPr>
        <w:rPr>
          <w:rFonts w:cs="Calibri"/>
          <w:szCs w:val="24"/>
          <w:lang w:eastAsia="en-AU"/>
        </w:rPr>
      </w:pPr>
      <w:r w:rsidRPr="00400796">
        <w:rPr>
          <w:rFonts w:cs="Calibri"/>
          <w:szCs w:val="24"/>
          <w:lang w:eastAsia="en-AU"/>
        </w:rPr>
        <w:t xml:space="preserve">The following bridging options were also discussed but were not favoured by the Committee, partly because of the disproportionate workflow disruption that clinicians would likely experience: </w:t>
      </w:r>
    </w:p>
    <w:p w14:paraId="58B80D24" w14:textId="77777777" w:rsidR="00106FA6" w:rsidRPr="00074D54" w:rsidRDefault="00106FA6" w:rsidP="00EA019E">
      <w:pPr>
        <w:pStyle w:val="02dash"/>
        <w:numPr>
          <w:ilvl w:val="1"/>
          <w:numId w:val="65"/>
        </w:numPr>
        <w:spacing w:before="0" w:line="240" w:lineRule="auto"/>
        <w:ind w:right="0"/>
      </w:pPr>
      <w:r w:rsidRPr="00074D54">
        <w:t>Phone call authorisation (similar to what is in place for PBS authority prescriptions).</w:t>
      </w:r>
    </w:p>
    <w:p w14:paraId="27DCFC91" w14:textId="77777777" w:rsidR="00106FA6" w:rsidRPr="00074D54" w:rsidRDefault="00106FA6" w:rsidP="00EA019E">
      <w:pPr>
        <w:pStyle w:val="02dash"/>
        <w:numPr>
          <w:ilvl w:val="1"/>
          <w:numId w:val="65"/>
        </w:numPr>
        <w:spacing w:before="0" w:line="240" w:lineRule="auto"/>
        <w:ind w:right="0"/>
      </w:pPr>
      <w:r w:rsidRPr="00074D54">
        <w:t>Structured requests forms.</w:t>
      </w:r>
    </w:p>
    <w:p w14:paraId="63D1FC06" w14:textId="77777777" w:rsidR="00106FA6" w:rsidRPr="00074D54" w:rsidRDefault="00106FA6" w:rsidP="003F1969">
      <w:pPr>
        <w:rPr>
          <w:lang w:val="en-GB" w:eastAsia="en-US"/>
        </w:rPr>
      </w:pPr>
    </w:p>
    <w:p w14:paraId="09BE589C" w14:textId="77777777" w:rsidR="00BE40E6" w:rsidRPr="00074D54" w:rsidRDefault="00BE40E6">
      <w:pPr>
        <w:spacing w:before="0" w:after="0" w:line="240" w:lineRule="auto"/>
        <w:rPr>
          <w:lang w:val="en-GB" w:eastAsia="en-US"/>
        </w:rPr>
      </w:pPr>
      <w:r w:rsidRPr="00074D54">
        <w:rPr>
          <w:lang w:val="en-GB" w:eastAsia="en-US"/>
        </w:rPr>
        <w:br w:type="page"/>
      </w:r>
    </w:p>
    <w:p w14:paraId="665A17C2" w14:textId="77777777" w:rsidR="00BE40E6" w:rsidRPr="00074D54" w:rsidRDefault="003F1969" w:rsidP="000B2FBB">
      <w:pPr>
        <w:pStyle w:val="Heading1"/>
        <w:rPr>
          <w:sz w:val="32"/>
          <w:szCs w:val="28"/>
        </w:rPr>
      </w:pPr>
      <w:r w:rsidRPr="00074D54">
        <w:rPr>
          <w:sz w:val="22"/>
          <w:lang w:val="en-GB"/>
        </w:rPr>
        <w:lastRenderedPageBreak/>
        <w:t xml:space="preserve"> </w:t>
      </w:r>
      <w:bookmarkStart w:id="194" w:name="_Toc522396643"/>
      <w:bookmarkStart w:id="195" w:name="_Toc525816083"/>
      <w:r w:rsidR="00BE40E6" w:rsidRPr="00074D54">
        <w:t>Pathology item recommendations</w:t>
      </w:r>
      <w:bookmarkEnd w:id="194"/>
      <w:bookmarkEnd w:id="195"/>
    </w:p>
    <w:p w14:paraId="294E6B6F" w14:textId="77777777" w:rsidR="00BE40E6" w:rsidRPr="00074D54" w:rsidRDefault="00BE40E6" w:rsidP="002818C3">
      <w:pPr>
        <w:pStyle w:val="Heading2"/>
        <w:ind w:firstLine="417"/>
      </w:pPr>
      <w:r w:rsidRPr="00074D54">
        <w:t>Introduction</w:t>
      </w:r>
    </w:p>
    <w:p w14:paraId="407C41C3" w14:textId="77777777" w:rsidR="00BE40E6" w:rsidRDefault="00BE40E6" w:rsidP="003E15AA">
      <w:pPr>
        <w:spacing w:before="200" w:line="240" w:lineRule="auto"/>
        <w:rPr>
          <w:lang w:val="en-GB"/>
        </w:rPr>
      </w:pPr>
      <w:r w:rsidRPr="00074D54">
        <w:rPr>
          <w:lang w:val="en-GB"/>
        </w:rPr>
        <w:t>Between March and August 2017, the Committee considered six referred pathology item groups which accounted for 119 million services and $335 million in benefits paid in 2015</w:t>
      </w:r>
      <w:r w:rsidR="00746AE4">
        <w:rPr>
          <w:lang w:val="en-GB"/>
        </w:rPr>
        <w:noBreakHyphen/>
      </w:r>
      <w:r w:rsidRPr="00074D54">
        <w:rPr>
          <w:lang w:val="en-GB"/>
        </w:rPr>
        <w:t xml:space="preserve">16. Recommendations are based on </w:t>
      </w:r>
      <w:r w:rsidR="0029520B">
        <w:rPr>
          <w:lang w:val="en-GB"/>
        </w:rPr>
        <w:t xml:space="preserve">rapid </w:t>
      </w:r>
      <w:r w:rsidRPr="00074D54">
        <w:rPr>
          <w:lang w:val="en-GB"/>
        </w:rPr>
        <w:t>evidence</w:t>
      </w:r>
      <w:r w:rsidR="0029520B">
        <w:rPr>
          <w:lang w:val="en-GB"/>
        </w:rPr>
        <w:t xml:space="preserve"> review</w:t>
      </w:r>
      <w:r w:rsidRPr="00074D54">
        <w:rPr>
          <w:lang w:val="en-GB"/>
        </w:rPr>
        <w:t xml:space="preserve"> and the clinical expertise of the Committee. </w:t>
      </w:r>
    </w:p>
    <w:p w14:paraId="79F3B7C5" w14:textId="77777777" w:rsidR="00CC1D2F" w:rsidRPr="00074D54" w:rsidRDefault="00CC1D2F" w:rsidP="003E15AA">
      <w:pPr>
        <w:spacing w:before="200" w:line="240" w:lineRule="auto"/>
        <w:rPr>
          <w:lang w:val="en-GB"/>
        </w:rPr>
      </w:pPr>
      <w:r w:rsidRPr="00074D54">
        <w:t>The Committee’s recommendations</w:t>
      </w:r>
      <w:r>
        <w:t xml:space="preserve"> </w:t>
      </w:r>
      <w:r w:rsidR="0029520B">
        <w:t xml:space="preserve">to the Taskforce </w:t>
      </w:r>
      <w:r>
        <w:t>on pathology items</w:t>
      </w:r>
      <w:r>
        <w:rPr>
          <w:rStyle w:val="CommentReference"/>
        </w:rPr>
        <w:t xml:space="preserve"> </w:t>
      </w:r>
      <w:r w:rsidRPr="00074D54">
        <w:t>are that eleven items should be changed and six items should remain unchanged. The</w:t>
      </w:r>
      <w:r>
        <w:t>se recommendations</w:t>
      </w:r>
      <w:r w:rsidRPr="00074D54">
        <w:t xml:space="preserve"> focus on encouraging best practice, modernising the MBS to reflect contemporary practice, and ensuring that MBS services provide value for the consumer and the healthcare system.</w:t>
      </w:r>
    </w:p>
    <w:p w14:paraId="15DDE9EB" w14:textId="77777777" w:rsidR="00746AE4" w:rsidRPr="00074D54" w:rsidRDefault="00CC1D2F" w:rsidP="00CB6978">
      <w:pPr>
        <w:pStyle w:val="N1"/>
      </w:pPr>
      <w:r>
        <w:t>In order to achieve these goals, t</w:t>
      </w:r>
      <w:r w:rsidR="00BE40E6" w:rsidRPr="00074D54">
        <w:t>he Committee made multifaceted item-level recommendation</w:t>
      </w:r>
      <w:r w:rsidR="00484CA7">
        <w:t>s</w:t>
      </w:r>
      <w:r w:rsidR="00BE40E6" w:rsidRPr="00074D54">
        <w:t xml:space="preserve"> involving CDS, modified requesting processes and education strategies for </w:t>
      </w:r>
      <w:r w:rsidR="006C31FB">
        <w:t>requester</w:t>
      </w:r>
      <w:r w:rsidR="00BE40E6" w:rsidRPr="00074D54">
        <w:t xml:space="preserve">s. </w:t>
      </w:r>
      <w:r>
        <w:t>The Committee</w:t>
      </w:r>
      <w:r w:rsidR="00BE40E6" w:rsidRPr="00074D54">
        <w:t xml:space="preserve"> </w:t>
      </w:r>
      <w:r>
        <w:t xml:space="preserve">recognised the </w:t>
      </w:r>
      <w:r w:rsidR="00BE40E6" w:rsidRPr="00074D54">
        <w:t xml:space="preserve">superiority of CDS to improve requesting of MBS </w:t>
      </w:r>
      <w:r>
        <w:t>diagnostic</w:t>
      </w:r>
      <w:r w:rsidR="00BE40E6" w:rsidRPr="00074D54">
        <w:t xml:space="preserve"> services</w:t>
      </w:r>
      <w:r>
        <w:t>; however, a</w:t>
      </w:r>
      <w:r w:rsidR="00BE40E6" w:rsidRPr="00074D54">
        <w:t xml:space="preserve">t the time of the review Committee members were </w:t>
      </w:r>
      <w:r>
        <w:t>not</w:t>
      </w:r>
      <w:r w:rsidRPr="00074D54">
        <w:t xml:space="preserve"> </w:t>
      </w:r>
      <w:r w:rsidR="00BE40E6" w:rsidRPr="00074D54">
        <w:t xml:space="preserve">aware of </w:t>
      </w:r>
      <w:r>
        <w:t xml:space="preserve">any </w:t>
      </w:r>
      <w:r w:rsidR="00BE40E6" w:rsidRPr="00074D54">
        <w:t xml:space="preserve">CDS system applicable to </w:t>
      </w:r>
      <w:r>
        <w:t>pathology items</w:t>
      </w:r>
      <w:r w:rsidR="00BE40E6" w:rsidRPr="00074D54">
        <w:t>. Therefore, the Committee was limited in its capacity to delve into details of a CDS system for pathology requesting.</w:t>
      </w:r>
    </w:p>
    <w:p w14:paraId="7D639ED4" w14:textId="77777777" w:rsidR="00BE40E6" w:rsidRDefault="00BE40E6" w:rsidP="00AB56DF">
      <w:pPr>
        <w:pStyle w:val="N1"/>
      </w:pPr>
      <w:r w:rsidRPr="00CB6978">
        <w:t xml:space="preserve">The Committee also recognised the significant contribution of the consumer and their influence on requesting behaviour. Therefore, the Committee recommended new explanatory notes or modification of notes to provide information for both the </w:t>
      </w:r>
      <w:r w:rsidR="006C31FB">
        <w:t>requester</w:t>
      </w:r>
      <w:r w:rsidRPr="00CB6978">
        <w:t xml:space="preserve"> and the consumer. </w:t>
      </w:r>
      <w:r w:rsidR="00746AE4">
        <w:t xml:space="preserve"> Whilst it is acknowledged that the majority of consumers may not engage with the explanatory notes, the</w:t>
      </w:r>
      <w:r w:rsidRPr="00CB6978">
        <w:t xml:space="preserve"> notes </w:t>
      </w:r>
      <w:r w:rsidR="00746AE4">
        <w:t>are another reference that consumers can access to guide</w:t>
      </w:r>
      <w:r w:rsidRPr="00CB6978">
        <w:t xml:space="preserve"> healthcare choices. </w:t>
      </w:r>
    </w:p>
    <w:p w14:paraId="71D12FA3" w14:textId="77777777" w:rsidR="00CB6978" w:rsidRPr="00074D54" w:rsidRDefault="00CB6978" w:rsidP="00CB6978">
      <w:pPr>
        <w:pStyle w:val="N1"/>
      </w:pPr>
      <w:r w:rsidRPr="00074D54">
        <w:t xml:space="preserve">In addition to </w:t>
      </w:r>
      <w:r>
        <w:t>recommendations based on</w:t>
      </w:r>
      <w:r w:rsidRPr="00074D54">
        <w:t xml:space="preserve"> mechanisms</w:t>
      </w:r>
      <w:r>
        <w:t xml:space="preserve"> </w:t>
      </w:r>
      <w:r w:rsidRPr="00074D54">
        <w:rPr>
          <w:lang w:eastAsia="en-US"/>
        </w:rPr>
        <w:t>to support better requesting of diagnostic services</w:t>
      </w:r>
      <w:r w:rsidRPr="00074D54">
        <w:t xml:space="preserve"> </w:t>
      </w:r>
      <w:r>
        <w:t>(</w:t>
      </w:r>
      <w:r w:rsidR="00080829">
        <w:t xml:space="preserve">as </w:t>
      </w:r>
      <w:r w:rsidRPr="00074D54">
        <w:t>discussed in Section 4</w:t>
      </w:r>
      <w:r>
        <w:t>) the Committee made</w:t>
      </w:r>
      <w:r w:rsidR="00E34F4C">
        <w:t xml:space="preserve"> item-level </w:t>
      </w:r>
      <w:r>
        <w:t xml:space="preserve">recommendations </w:t>
      </w:r>
      <w:r w:rsidR="00E34F4C">
        <w:t xml:space="preserve">to </w:t>
      </w:r>
      <w:r w:rsidRPr="00074D54">
        <w:t>achiev</w:t>
      </w:r>
      <w:r w:rsidR="00E34F4C">
        <w:t>e</w:t>
      </w:r>
      <w:r w:rsidRPr="00074D54">
        <w:t xml:space="preserve"> the goals </w:t>
      </w:r>
      <w:r w:rsidR="00E34F4C">
        <w:t xml:space="preserve">of the MBS Review Taskforce, </w:t>
      </w:r>
      <w:r w:rsidRPr="00074D54">
        <w:t>includ</w:t>
      </w:r>
      <w:r w:rsidR="00E34F4C">
        <w:t>ing</w:t>
      </w:r>
      <w:r w:rsidRPr="00074D54">
        <w:t>:</w:t>
      </w:r>
    </w:p>
    <w:p w14:paraId="011D6D8A" w14:textId="77777777" w:rsidR="00CB6978" w:rsidRPr="00484CA7" w:rsidRDefault="00CB6978" w:rsidP="00CB6978">
      <w:pPr>
        <w:pStyle w:val="NormalBulleted"/>
      </w:pPr>
      <w:r w:rsidRPr="00484CA7">
        <w:t>Deleting items that are obsolete.</w:t>
      </w:r>
    </w:p>
    <w:p w14:paraId="60FFFB35" w14:textId="77777777" w:rsidR="00CB6978" w:rsidRPr="00484CA7" w:rsidRDefault="00CB6978" w:rsidP="00CB6978">
      <w:pPr>
        <w:pStyle w:val="NormalBulleted"/>
      </w:pPr>
      <w:r w:rsidRPr="00484CA7">
        <w:t>Consolidating or splitting items to reflect contemporary practice.</w:t>
      </w:r>
    </w:p>
    <w:p w14:paraId="5755034F" w14:textId="77777777" w:rsidR="00CB6978" w:rsidRPr="00484CA7" w:rsidRDefault="00CB6978" w:rsidP="00CB6978">
      <w:pPr>
        <w:pStyle w:val="NormalBulleted"/>
      </w:pPr>
      <w:r w:rsidRPr="00484CA7">
        <w:t>Modernising item descriptors to reflect best practice.</w:t>
      </w:r>
    </w:p>
    <w:p w14:paraId="736CD7F2" w14:textId="77777777" w:rsidR="00CB6978" w:rsidRPr="00E34F4C" w:rsidRDefault="00CB6978" w:rsidP="0017625E">
      <w:pPr>
        <w:pStyle w:val="NormalBulleted"/>
      </w:pPr>
      <w:r w:rsidRPr="00484CA7">
        <w:t>Providing clinical guidance for appropriate use through explanatory notes.</w:t>
      </w:r>
    </w:p>
    <w:p w14:paraId="31A54E7C" w14:textId="77777777" w:rsidR="00BE40E6" w:rsidRPr="00074D54" w:rsidRDefault="00BE40E6" w:rsidP="003E15AA">
      <w:pPr>
        <w:pStyle w:val="N1"/>
      </w:pPr>
      <w:r w:rsidRPr="00854013">
        <w:t xml:space="preserve">The item-level recommendations are described below. A list of the Committee’s recommendations can be found in the consumer summary table in </w:t>
      </w:r>
      <w:r w:rsidR="00055192">
        <w:rPr>
          <w:b/>
        </w:rPr>
        <w:t>Appendix A</w:t>
      </w:r>
      <w:r w:rsidRPr="00074D54">
        <w:t xml:space="preserve">. </w:t>
      </w:r>
    </w:p>
    <w:p w14:paraId="2DC0B05B" w14:textId="77777777" w:rsidR="00BE40E6" w:rsidRPr="00484CA7" w:rsidRDefault="00BE40E6" w:rsidP="00CC1D2F">
      <w:pPr>
        <w:pStyle w:val="N1"/>
      </w:pPr>
    </w:p>
    <w:p w14:paraId="543A6D92" w14:textId="77777777" w:rsidR="00BE40E6" w:rsidRPr="00074D54" w:rsidRDefault="00BE40E6" w:rsidP="003E15AA">
      <w:pPr>
        <w:spacing w:line="240" w:lineRule="auto"/>
        <w:rPr>
          <w:rFonts w:eastAsiaTheme="minorHAnsi" w:cs="Arial"/>
          <w:b/>
          <w:bCs/>
          <w:iCs/>
          <w:color w:val="01653F"/>
          <w:sz w:val="28"/>
          <w:szCs w:val="22"/>
          <w:lang w:val="en-GB" w:eastAsia="en-US"/>
        </w:rPr>
      </w:pPr>
      <w:r w:rsidRPr="00074D54">
        <w:rPr>
          <w:lang w:val="en-GB"/>
        </w:rPr>
        <w:br w:type="page"/>
      </w:r>
    </w:p>
    <w:p w14:paraId="608A6410" w14:textId="77777777" w:rsidR="00BE40E6" w:rsidRPr="00074D54" w:rsidRDefault="00BE40E6" w:rsidP="002818C3">
      <w:pPr>
        <w:pStyle w:val="Heading2"/>
        <w:ind w:firstLine="417"/>
        <w:rPr>
          <w:sz w:val="28"/>
          <w:szCs w:val="22"/>
        </w:rPr>
      </w:pPr>
      <w:bookmarkStart w:id="196" w:name="_Toc522396644"/>
      <w:bookmarkStart w:id="197" w:name="_Toc525816084"/>
      <w:r w:rsidRPr="00074D54">
        <w:lastRenderedPageBreak/>
        <w:t>Vitamin B12 item group</w:t>
      </w:r>
      <w:bookmarkEnd w:id="196"/>
      <w:bookmarkEnd w:id="197"/>
      <w:r w:rsidRPr="00074D54">
        <w:t xml:space="preserve"> </w:t>
      </w:r>
    </w:p>
    <w:p w14:paraId="382D947A" w14:textId="77777777" w:rsidR="00BE40E6" w:rsidRPr="00074D54" w:rsidRDefault="00BE40E6" w:rsidP="00B42913">
      <w:pPr>
        <w:pStyle w:val="Heading3Numbered0"/>
        <w:rPr>
          <w:lang w:val="en-GB"/>
        </w:rPr>
      </w:pPr>
      <w:bookmarkStart w:id="198" w:name="_Toc522396645"/>
      <w:bookmarkStart w:id="199" w:name="_Toc525816085"/>
      <w:r w:rsidRPr="00074D54">
        <w:rPr>
          <w:lang w:val="en-GB"/>
        </w:rPr>
        <w:t>Vitamin B12 items</w:t>
      </w:r>
      <w:bookmarkEnd w:id="198"/>
      <w:bookmarkEnd w:id="199"/>
    </w:p>
    <w:p w14:paraId="47A5DDEB" w14:textId="77777777" w:rsidR="00BE40E6" w:rsidRPr="00074D54" w:rsidRDefault="00EB0974" w:rsidP="00EB0974">
      <w:pPr>
        <w:pStyle w:val="Caption"/>
        <w:rPr>
          <w:lang w:val="en-GB"/>
        </w:rPr>
      </w:pPr>
      <w:bookmarkStart w:id="200" w:name="_Ref525806185"/>
      <w:bookmarkStart w:id="201" w:name="_Toc525816959"/>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3</w:t>
      </w:r>
      <w:r w:rsidR="00AF6A7F">
        <w:rPr>
          <w:noProof/>
        </w:rPr>
        <w:fldChar w:fldCharType="end"/>
      </w:r>
      <w:bookmarkEnd w:id="200"/>
      <w:r w:rsidR="00BE40E6" w:rsidRPr="00074D54">
        <w:t xml:space="preserve">: </w:t>
      </w:r>
      <w:r w:rsidR="00746AE4">
        <w:rPr>
          <w:lang w:val="en-GB"/>
        </w:rPr>
        <w:t xml:space="preserve"> Services and benefits data for items 66538 and 66839</w:t>
      </w:r>
      <w:bookmarkEnd w:id="201"/>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 Item introduction table for items 66838 and 66839"/>
        <w:tblDescription w:val="Table 3 shows services and benefits data for serum B12 test (item 66838) and quantification of vitamin B12 markers (item 66839): the schedule fee for each item, the total number of services and total amount paid in benefits for each item for the financial year 2015-16."/>
      </w:tblPr>
      <w:tblGrid>
        <w:gridCol w:w="682"/>
        <w:gridCol w:w="3567"/>
        <w:gridCol w:w="904"/>
        <w:gridCol w:w="966"/>
        <w:gridCol w:w="1075"/>
        <w:gridCol w:w="1108"/>
      </w:tblGrid>
      <w:tr w:rsidR="00BE40E6" w:rsidRPr="00074D54" w14:paraId="5156683A" w14:textId="77777777" w:rsidTr="00BE40E6">
        <w:trPr>
          <w:tblHeader/>
        </w:trPr>
        <w:tc>
          <w:tcPr>
            <w:tcW w:w="716"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13F52CB"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4111"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5580818"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D3B4C1A"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99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6E32A95" w14:textId="77777777" w:rsidR="00BE40E6" w:rsidRPr="00074D54" w:rsidRDefault="00BE40E6" w:rsidP="00746AE4">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2015/16</w:t>
            </w:r>
          </w:p>
        </w:tc>
        <w:tc>
          <w:tcPr>
            <w:tcW w:w="1080"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3E56541" w14:textId="77777777" w:rsidR="00BE40E6" w:rsidRPr="00074D54" w:rsidRDefault="00BE40E6" w:rsidP="00746AE4">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2015/16</w:t>
            </w:r>
          </w:p>
        </w:tc>
        <w:tc>
          <w:tcPr>
            <w:tcW w:w="1195"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26A4142"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098208CA" w14:textId="77777777" w:rsidTr="00DA51D1">
        <w:tc>
          <w:tcPr>
            <w:tcW w:w="716" w:type="dxa"/>
            <w:tcBorders>
              <w:top w:val="single" w:sz="4" w:space="0" w:color="808080"/>
              <w:left w:val="single" w:sz="4" w:space="0" w:color="808080"/>
              <w:bottom w:val="single" w:sz="4" w:space="0" w:color="808080"/>
              <w:right w:val="single" w:sz="4" w:space="0" w:color="808080"/>
            </w:tcBorders>
            <w:vAlign w:val="center"/>
            <w:hideMark/>
          </w:tcPr>
          <w:p w14:paraId="7AE95E7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66838</w:t>
            </w:r>
          </w:p>
        </w:tc>
        <w:tc>
          <w:tcPr>
            <w:tcW w:w="4111" w:type="dxa"/>
            <w:tcBorders>
              <w:top w:val="single" w:sz="4" w:space="0" w:color="808080"/>
              <w:left w:val="single" w:sz="4" w:space="0" w:color="808080"/>
              <w:bottom w:val="single" w:sz="4" w:space="0" w:color="808080"/>
              <w:right w:val="single" w:sz="4" w:space="0" w:color="808080"/>
            </w:tcBorders>
            <w:hideMark/>
          </w:tcPr>
          <w:p w14:paraId="65D93266"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Serum vitamin B12 test</w:t>
            </w:r>
            <w:r w:rsidRPr="00074D54">
              <w:rPr>
                <w:rFonts w:ascii="Arial" w:eastAsiaTheme="minorHAnsi" w:hAnsi="Arial" w:cs="Arial"/>
                <w:sz w:val="18"/>
                <w:szCs w:val="18"/>
                <w:lang w:val="en-GB" w:eastAsia="en-US"/>
              </w:rPr>
              <w:br/>
              <w:t>*NB: item is subject to Rule 25: for any particular patient, this item is applicable not more than once in a 12-month period</w:t>
            </w:r>
          </w:p>
        </w:tc>
        <w:tc>
          <w:tcPr>
            <w:tcW w:w="917" w:type="dxa"/>
            <w:tcBorders>
              <w:top w:val="single" w:sz="4" w:space="0" w:color="808080"/>
              <w:left w:val="single" w:sz="4" w:space="0" w:color="808080"/>
              <w:bottom w:val="single" w:sz="4" w:space="0" w:color="808080"/>
              <w:right w:val="single" w:sz="4" w:space="0" w:color="808080"/>
            </w:tcBorders>
            <w:hideMark/>
          </w:tcPr>
          <w:p w14:paraId="586F5DF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$23.60</w:t>
            </w:r>
          </w:p>
        </w:tc>
        <w:tc>
          <w:tcPr>
            <w:tcW w:w="997" w:type="dxa"/>
            <w:tcBorders>
              <w:top w:val="single" w:sz="4" w:space="0" w:color="808080"/>
              <w:left w:val="single" w:sz="4" w:space="0" w:color="808080"/>
              <w:bottom w:val="single" w:sz="4" w:space="0" w:color="808080"/>
              <w:right w:val="single" w:sz="4" w:space="0" w:color="808080"/>
            </w:tcBorders>
            <w:hideMark/>
          </w:tcPr>
          <w:p w14:paraId="43752161" w14:textId="77777777" w:rsidR="00BE40E6" w:rsidRPr="00074D54" w:rsidRDefault="00BE40E6" w:rsidP="00DA51D1">
            <w:pPr>
              <w:spacing w:before="20" w:after="20"/>
              <w:rPr>
                <w:rFonts w:ascii="Arial" w:eastAsiaTheme="minorHAnsi" w:hAnsi="Arial" w:cs="Arial"/>
                <w:color w:val="FF0000"/>
                <w:sz w:val="18"/>
                <w:szCs w:val="18"/>
                <w:lang w:val="en-GB" w:eastAsia="en-US"/>
              </w:rPr>
            </w:pPr>
            <w:r w:rsidRPr="00074D54">
              <w:rPr>
                <w:rFonts w:ascii="Arial" w:eastAsiaTheme="minorHAnsi" w:hAnsi="Arial" w:cs="Arial"/>
                <w:sz w:val="18"/>
                <w:szCs w:val="18"/>
                <w:lang w:val="en-GB" w:eastAsia="en-US"/>
              </w:rPr>
              <w:t>1,203,254</w:t>
            </w:r>
          </w:p>
        </w:tc>
        <w:tc>
          <w:tcPr>
            <w:tcW w:w="1080" w:type="dxa"/>
            <w:tcBorders>
              <w:top w:val="single" w:sz="4" w:space="0" w:color="808080"/>
              <w:left w:val="single" w:sz="4" w:space="0" w:color="808080"/>
              <w:bottom w:val="single" w:sz="4" w:space="0" w:color="808080"/>
              <w:right w:val="single" w:sz="4" w:space="0" w:color="808080"/>
            </w:tcBorders>
          </w:tcPr>
          <w:p w14:paraId="7F8E4CBE" w14:textId="77777777" w:rsidR="00BE40E6" w:rsidRPr="00DA51D1" w:rsidRDefault="00DA51D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$24,186,933</w:t>
            </w:r>
          </w:p>
        </w:tc>
        <w:tc>
          <w:tcPr>
            <w:tcW w:w="1195" w:type="dxa"/>
            <w:tcBorders>
              <w:top w:val="single" w:sz="4" w:space="0" w:color="808080"/>
              <w:left w:val="single" w:sz="4" w:space="0" w:color="808080"/>
              <w:bottom w:val="single" w:sz="4" w:space="0" w:color="808080"/>
              <w:right w:val="single" w:sz="4" w:space="0" w:color="808080"/>
            </w:tcBorders>
            <w:hideMark/>
          </w:tcPr>
          <w:p w14:paraId="1123124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r w:rsidR="00BE40E6" w:rsidRPr="00074D54" w14:paraId="6E4D75AC" w14:textId="77777777" w:rsidTr="00DA51D1">
        <w:tc>
          <w:tcPr>
            <w:tcW w:w="716" w:type="dxa"/>
            <w:tcBorders>
              <w:top w:val="single" w:sz="4" w:space="0" w:color="808080"/>
              <w:left w:val="single" w:sz="4" w:space="0" w:color="808080"/>
              <w:bottom w:val="single" w:sz="4" w:space="0" w:color="808080"/>
              <w:right w:val="single" w:sz="4" w:space="0" w:color="808080"/>
            </w:tcBorders>
            <w:vAlign w:val="center"/>
            <w:hideMark/>
          </w:tcPr>
          <w:p w14:paraId="5C97E7A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66839</w:t>
            </w:r>
          </w:p>
        </w:tc>
        <w:tc>
          <w:tcPr>
            <w:tcW w:w="4111" w:type="dxa"/>
            <w:tcBorders>
              <w:top w:val="single" w:sz="4" w:space="0" w:color="808080"/>
              <w:left w:val="single" w:sz="4" w:space="0" w:color="808080"/>
              <w:bottom w:val="single" w:sz="4" w:space="0" w:color="808080"/>
              <w:right w:val="single" w:sz="4" w:space="0" w:color="808080"/>
            </w:tcBorders>
            <w:hideMark/>
          </w:tcPr>
          <w:p w14:paraId="4A9FBDD3"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Quantification of vitamin B12 markers such as holotranscobalamin or methylmalonic acid, where initial serum vitamin B12 result is low or equivocal</w:t>
            </w:r>
          </w:p>
        </w:tc>
        <w:tc>
          <w:tcPr>
            <w:tcW w:w="917" w:type="dxa"/>
            <w:tcBorders>
              <w:top w:val="single" w:sz="4" w:space="0" w:color="808080"/>
              <w:left w:val="single" w:sz="4" w:space="0" w:color="808080"/>
              <w:bottom w:val="single" w:sz="4" w:space="0" w:color="808080"/>
              <w:right w:val="single" w:sz="4" w:space="0" w:color="808080"/>
            </w:tcBorders>
            <w:hideMark/>
          </w:tcPr>
          <w:p w14:paraId="6D4229A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$42.95</w:t>
            </w:r>
          </w:p>
        </w:tc>
        <w:tc>
          <w:tcPr>
            <w:tcW w:w="997" w:type="dxa"/>
            <w:tcBorders>
              <w:top w:val="single" w:sz="4" w:space="0" w:color="808080"/>
              <w:left w:val="single" w:sz="4" w:space="0" w:color="808080"/>
              <w:bottom w:val="single" w:sz="4" w:space="0" w:color="808080"/>
              <w:right w:val="single" w:sz="4" w:space="0" w:color="808080"/>
            </w:tcBorders>
          </w:tcPr>
          <w:p w14:paraId="1E45025A" w14:textId="77777777" w:rsidR="00BE40E6" w:rsidRPr="008B1065" w:rsidRDefault="00DA51D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1,432,484</w:t>
            </w:r>
          </w:p>
        </w:tc>
        <w:tc>
          <w:tcPr>
            <w:tcW w:w="1080" w:type="dxa"/>
            <w:tcBorders>
              <w:top w:val="single" w:sz="4" w:space="0" w:color="808080"/>
              <w:left w:val="single" w:sz="4" w:space="0" w:color="808080"/>
              <w:bottom w:val="single" w:sz="4" w:space="0" w:color="808080"/>
              <w:right w:val="single" w:sz="4" w:space="0" w:color="808080"/>
            </w:tcBorders>
          </w:tcPr>
          <w:p w14:paraId="5877F4F6" w14:textId="77777777" w:rsidR="00BE40E6" w:rsidRPr="00DA51D1" w:rsidRDefault="00DA51D1" w:rsidP="00DA51D1">
            <w:pPr>
              <w:spacing w:before="20" w:after="20"/>
              <w:rPr>
                <w:rFonts w:ascii="Arial" w:eastAsiaTheme="minorHAnsi" w:hAnsi="Arial" w:cs="Arial"/>
                <w:sz w:val="18"/>
                <w:szCs w:val="18"/>
                <w:lang w:val="en-GB" w:eastAsia="en-US"/>
              </w:rPr>
            </w:pPr>
            <w:r>
              <w:rPr>
                <w:rFonts w:ascii="Arial" w:eastAsiaTheme="minorHAnsi" w:hAnsi="Arial" w:cs="Arial"/>
                <w:sz w:val="18"/>
                <w:szCs w:val="18"/>
                <w:lang w:val="en-GB" w:eastAsia="en-US"/>
              </w:rPr>
              <w:t>$52,498,041</w:t>
            </w:r>
          </w:p>
        </w:tc>
        <w:tc>
          <w:tcPr>
            <w:tcW w:w="1195" w:type="dxa"/>
            <w:tcBorders>
              <w:top w:val="single" w:sz="4" w:space="0" w:color="808080"/>
              <w:left w:val="single" w:sz="4" w:space="0" w:color="808080"/>
              <w:bottom w:val="single" w:sz="4" w:space="0" w:color="808080"/>
              <w:right w:val="single" w:sz="4" w:space="0" w:color="808080"/>
            </w:tcBorders>
            <w:hideMark/>
          </w:tcPr>
          <w:p w14:paraId="0CFD5909"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bl>
    <w:p w14:paraId="2CA84BA9" w14:textId="77777777" w:rsidR="00BE40E6" w:rsidRPr="00074D54" w:rsidRDefault="00BE40E6" w:rsidP="00BE40E6">
      <w:pPr>
        <w:pStyle w:val="Boldtext"/>
      </w:pPr>
      <w:r w:rsidRPr="00074D54">
        <w:t>Recommendations</w:t>
      </w:r>
    </w:p>
    <w:p w14:paraId="4F6B55C1" w14:textId="77777777" w:rsidR="00BE40E6" w:rsidRPr="00074D54" w:rsidRDefault="00BE40E6" w:rsidP="00EA019E">
      <w:pPr>
        <w:pStyle w:val="NormalBulleted"/>
        <w:numPr>
          <w:ilvl w:val="0"/>
          <w:numId w:val="75"/>
        </w:numPr>
        <w:rPr>
          <w:lang w:val="en-GB"/>
        </w:rPr>
      </w:pPr>
      <w:r w:rsidRPr="00074D54">
        <w:rPr>
          <w:lang w:val="en-GB"/>
        </w:rPr>
        <w:t xml:space="preserve">Apply a 12-month frequency restriction to item 66839 (quantification of vitamin B12 markers) to match the restriction that is already in place for item 66838 (serum vitamin B12 test). </w:t>
      </w:r>
    </w:p>
    <w:p w14:paraId="63C5B244" w14:textId="04F94401" w:rsidR="00BE40E6" w:rsidRDefault="00E346CE" w:rsidP="00EA019E">
      <w:pPr>
        <w:pStyle w:val="NormalBulleted"/>
        <w:numPr>
          <w:ilvl w:val="0"/>
          <w:numId w:val="75"/>
        </w:numPr>
        <w:rPr>
          <w:lang w:val="en-GB"/>
        </w:rPr>
      </w:pPr>
      <w:r>
        <w:rPr>
          <w:lang w:val="en-GB"/>
        </w:rPr>
        <w:t>Change</w:t>
      </w:r>
      <w:r w:rsidR="00BE40E6" w:rsidRPr="00074D54">
        <w:rPr>
          <w:lang w:val="en-GB"/>
        </w:rPr>
        <w:t xml:space="preserve"> the descriptor for item 66839</w:t>
      </w:r>
      <w:r>
        <w:rPr>
          <w:lang w:val="en-GB"/>
        </w:rPr>
        <w:t>. The proposed descriptor is as follows:</w:t>
      </w:r>
    </w:p>
    <w:p w14:paraId="3254BCC9" w14:textId="77777777" w:rsidR="00E346CE" w:rsidRPr="00E346CE" w:rsidRDefault="00E346CE" w:rsidP="00671F7C">
      <w:pPr>
        <w:pStyle w:val="NormalBulleted"/>
        <w:numPr>
          <w:ilvl w:val="0"/>
          <w:numId w:val="0"/>
        </w:numPr>
        <w:ind w:left="431"/>
        <w:rPr>
          <w:lang w:val="en-GB"/>
        </w:rPr>
      </w:pPr>
      <w:r w:rsidRPr="00E346CE">
        <w:rPr>
          <w:lang w:val="en-GB"/>
        </w:rPr>
        <w:t xml:space="preserve">Quantification of vitamin B12 markers such as holotranscobalamin or methylmalonic acid, where initial serum vitamin B12 result is low or equivocal </w:t>
      </w:r>
    </w:p>
    <w:p w14:paraId="77DB3BF0" w14:textId="77777777" w:rsidR="00E346CE" w:rsidRPr="00074D54" w:rsidRDefault="00E346CE" w:rsidP="00671F7C">
      <w:pPr>
        <w:pStyle w:val="NormalBulleted"/>
        <w:numPr>
          <w:ilvl w:val="0"/>
          <w:numId w:val="0"/>
        </w:numPr>
        <w:ind w:left="431"/>
        <w:rPr>
          <w:lang w:val="en-GB"/>
        </w:rPr>
      </w:pPr>
      <w:r w:rsidRPr="00E346CE">
        <w:rPr>
          <w:lang w:val="en-GB"/>
        </w:rPr>
        <w:t>*NB: item is subject to Rule 25: for any particular patient, this item is applicable not more than once in a 12-month period unless the previous test was abnormal that is below the laboratory reference limits for Vitamin B12 (in order to confirm Vitamin B12 deficiency when an initial Vitamin B12 result is low).</w:t>
      </w:r>
    </w:p>
    <w:p w14:paraId="30976CFC" w14:textId="77777777" w:rsidR="00BE40E6" w:rsidRPr="00074D54" w:rsidRDefault="00BE40E6" w:rsidP="00EA019E">
      <w:pPr>
        <w:pStyle w:val="NormalBulleted"/>
        <w:numPr>
          <w:ilvl w:val="0"/>
          <w:numId w:val="75"/>
        </w:numPr>
        <w:rPr>
          <w:lang w:val="en-GB"/>
        </w:rPr>
      </w:pPr>
      <w:r w:rsidRPr="00074D54">
        <w:rPr>
          <w:lang w:val="en-GB"/>
        </w:rPr>
        <w:t>Add an explanatory note for item</w:t>
      </w:r>
      <w:r w:rsidR="002E1559">
        <w:rPr>
          <w:lang w:val="en-GB"/>
        </w:rPr>
        <w:t xml:space="preserve">s 66838 and </w:t>
      </w:r>
      <w:r w:rsidRPr="00074D54">
        <w:rPr>
          <w:lang w:val="en-GB"/>
        </w:rPr>
        <w:t xml:space="preserve">66839 </w:t>
      </w:r>
      <w:r w:rsidR="005110E4">
        <w:rPr>
          <w:lang w:val="en-GB"/>
        </w:rPr>
        <w:t>to</w:t>
      </w:r>
      <w:r w:rsidRPr="00074D54">
        <w:rPr>
          <w:lang w:val="en-GB"/>
        </w:rPr>
        <w:t>:</w:t>
      </w:r>
    </w:p>
    <w:p w14:paraId="3C3CD0B2" w14:textId="77777777" w:rsidR="00BE40E6" w:rsidRPr="00074D54" w:rsidRDefault="005110E4" w:rsidP="00AB3AC3">
      <w:pPr>
        <w:pStyle w:val="02dash"/>
        <w:numPr>
          <w:ilvl w:val="1"/>
          <w:numId w:val="64"/>
        </w:numPr>
        <w:spacing w:line="240" w:lineRule="auto"/>
        <w:ind w:right="0"/>
      </w:pPr>
      <w:r>
        <w:t>Reflect</w:t>
      </w:r>
      <w:r w:rsidR="00BE40E6" w:rsidRPr="00074D54">
        <w:t xml:space="preserve"> the amended item descriptor, stipulating that pathology laboratories that bill for quantification of vitamin B12 markers must perform this test on the same pathology episode that returned the initial low or equivocal serum vitamin B12 result.</w:t>
      </w:r>
    </w:p>
    <w:p w14:paraId="041F0BA4" w14:textId="77777777" w:rsidR="00BE40E6" w:rsidRPr="00074D54" w:rsidRDefault="00BE40E6" w:rsidP="00AB3AC3">
      <w:pPr>
        <w:pStyle w:val="02dash"/>
        <w:numPr>
          <w:ilvl w:val="1"/>
          <w:numId w:val="64"/>
        </w:numPr>
        <w:spacing w:line="240" w:lineRule="auto"/>
        <w:ind w:right="0"/>
        <w:rPr>
          <w:lang w:val="en-GB"/>
        </w:rPr>
      </w:pPr>
      <w:r w:rsidRPr="00074D54">
        <w:t>Clarif</w:t>
      </w:r>
      <w:r w:rsidR="00B55E29">
        <w:t>y</w:t>
      </w:r>
      <w:r w:rsidRPr="00074D54">
        <w:t xml:space="preserve"> </w:t>
      </w:r>
      <w:r w:rsidRPr="00074D54">
        <w:rPr>
          <w:lang w:val="en-GB"/>
        </w:rPr>
        <w:t>that lethargy/tiredness alone is not an adequate or appropriate indication for any form of vitamin B12 testing without</w:t>
      </w:r>
      <w:r w:rsidR="00FB629F">
        <w:rPr>
          <w:lang w:val="en-GB"/>
        </w:rPr>
        <w:t xml:space="preserve"> the presence of </w:t>
      </w:r>
      <w:r w:rsidRPr="00074D54">
        <w:rPr>
          <w:lang w:val="en-GB"/>
        </w:rPr>
        <w:t>neuropsychiatric symptoms,</w:t>
      </w:r>
      <w:r w:rsidRPr="00074D54">
        <w:rPr>
          <w:szCs w:val="24"/>
          <w:lang w:val="en-GB"/>
        </w:rPr>
        <w:t xml:space="preserve"> certain haematological disorders or </w:t>
      </w:r>
      <w:r w:rsidR="00FB629F">
        <w:rPr>
          <w:szCs w:val="24"/>
          <w:lang w:val="en-GB"/>
        </w:rPr>
        <w:t xml:space="preserve">abnormal </w:t>
      </w:r>
      <w:r w:rsidRPr="00074D54">
        <w:rPr>
          <w:szCs w:val="24"/>
          <w:lang w:val="en-GB"/>
        </w:rPr>
        <w:t>full blood examination findings, or malabsorption</w:t>
      </w:r>
      <w:r w:rsidR="005110E4">
        <w:rPr>
          <w:szCs w:val="24"/>
          <w:lang w:val="en-GB"/>
        </w:rPr>
        <w:t xml:space="preserve"> </w:t>
      </w:r>
      <w:sdt>
        <w:sdtPr>
          <w:rPr>
            <w:szCs w:val="24"/>
            <w:lang w:val="en-GB"/>
          </w:rPr>
          <w:id w:val="-1657760178"/>
          <w:citation/>
        </w:sdtPr>
        <w:sdtEndPr/>
        <w:sdtContent>
          <w:r w:rsidR="00EE5963">
            <w:rPr>
              <w:szCs w:val="24"/>
              <w:lang w:val="en-GB"/>
            </w:rPr>
            <w:fldChar w:fldCharType="begin"/>
          </w:r>
          <w:r w:rsidR="00146272">
            <w:rPr>
              <w:szCs w:val="24"/>
              <w:lang w:val="en-AU"/>
            </w:rPr>
            <w:instrText xml:space="preserve">CITATION Roy2 \l 3081 </w:instrText>
          </w:r>
          <w:r w:rsidR="00EE5963">
            <w:rPr>
              <w:szCs w:val="24"/>
              <w:lang w:val="en-GB"/>
            </w:rPr>
            <w:fldChar w:fldCharType="separate"/>
          </w:r>
          <w:r w:rsidR="00B66BE1" w:rsidRPr="00B66BE1">
            <w:rPr>
              <w:noProof/>
              <w:szCs w:val="24"/>
              <w:lang w:val="en-AU"/>
            </w:rPr>
            <w:t>(13)</w:t>
          </w:r>
          <w:r w:rsidR="00EE5963">
            <w:rPr>
              <w:szCs w:val="24"/>
              <w:lang w:val="en-GB"/>
            </w:rPr>
            <w:fldChar w:fldCharType="end"/>
          </w:r>
        </w:sdtContent>
      </w:sdt>
      <w:r w:rsidRPr="00074D54">
        <w:rPr>
          <w:lang w:val="en-GB"/>
        </w:rPr>
        <w:t>.</w:t>
      </w:r>
    </w:p>
    <w:p w14:paraId="360E574A" w14:textId="77777777" w:rsidR="005110E4" w:rsidRDefault="005110E4" w:rsidP="00EA019E">
      <w:pPr>
        <w:pStyle w:val="NormalBulleted"/>
        <w:numPr>
          <w:ilvl w:val="0"/>
          <w:numId w:val="76"/>
        </w:numPr>
        <w:rPr>
          <w:lang w:val="en-GB"/>
        </w:rPr>
      </w:pPr>
      <w:r>
        <w:rPr>
          <w:lang w:val="en-GB"/>
        </w:rPr>
        <w:t>In addition the Committee recommended:</w:t>
      </w:r>
    </w:p>
    <w:p w14:paraId="5F377B03" w14:textId="77777777" w:rsidR="00BE40E6" w:rsidRPr="005110E4" w:rsidRDefault="00BE40E6" w:rsidP="005110E4">
      <w:pPr>
        <w:pStyle w:val="02dash"/>
        <w:numPr>
          <w:ilvl w:val="1"/>
          <w:numId w:val="64"/>
        </w:numPr>
        <w:spacing w:line="240" w:lineRule="auto"/>
        <w:ind w:right="0"/>
      </w:pPr>
      <w:r w:rsidRPr="005110E4">
        <w:t>Establish</w:t>
      </w:r>
      <w:r w:rsidR="00146272">
        <w:t>ing</w:t>
      </w:r>
      <w:r w:rsidRPr="005110E4">
        <w:t xml:space="preserve"> national harmonised serum vitamin B12 decision limits</w:t>
      </w:r>
      <w:r w:rsidR="001A0E75" w:rsidRPr="005110E4">
        <w:t xml:space="preserve"> (or </w:t>
      </w:r>
      <w:r w:rsidR="00AB3933" w:rsidRPr="005110E4">
        <w:t>cut-offs</w:t>
      </w:r>
      <w:r w:rsidR="001A0E75" w:rsidRPr="005110E4">
        <w:t>)</w:t>
      </w:r>
      <w:r w:rsidRPr="005110E4">
        <w:t xml:space="preserve"> to provide a consistent definition of what constitutes a low or equivocal serum vitamin B12 result, triggering the quantification of vitamin B12 markers. The Committee </w:t>
      </w:r>
      <w:r w:rsidR="00C67FB1">
        <w:t xml:space="preserve">recognised that this would be difficult; however, it </w:t>
      </w:r>
      <w:r w:rsidRPr="005110E4">
        <w:t xml:space="preserve">recommended that the Taskforce approach the Royal College of Pathologists of Australasia (RCPA) to establish </w:t>
      </w:r>
      <w:r w:rsidR="001A0E75" w:rsidRPr="005110E4">
        <w:t xml:space="preserve">harmonised </w:t>
      </w:r>
      <w:r w:rsidR="006526C6" w:rsidRPr="005110E4">
        <w:t>clinical decision limits</w:t>
      </w:r>
      <w:r w:rsidRPr="005110E4">
        <w:t xml:space="preserve">. </w:t>
      </w:r>
      <w:r w:rsidR="008A5B60">
        <w:t>I</w:t>
      </w:r>
      <w:r w:rsidR="00A35B61" w:rsidRPr="005110E4">
        <w:t xml:space="preserve">f </w:t>
      </w:r>
      <w:r w:rsidRPr="005110E4">
        <w:t xml:space="preserve">national harmonised </w:t>
      </w:r>
      <w:r w:rsidR="008C7660" w:rsidRPr="005110E4">
        <w:t>decision limits</w:t>
      </w:r>
      <w:r w:rsidRPr="005110E4">
        <w:t xml:space="preserve"> for serum vitamin </w:t>
      </w:r>
      <w:r w:rsidR="002B0E31" w:rsidRPr="005110E4">
        <w:t xml:space="preserve">B12 </w:t>
      </w:r>
      <w:r w:rsidR="00A35B61" w:rsidRPr="005110E4">
        <w:t>or</w:t>
      </w:r>
      <w:r w:rsidRPr="005110E4">
        <w:t xml:space="preserve"> </w:t>
      </w:r>
      <w:r w:rsidR="004E0013" w:rsidRPr="005110E4">
        <w:t>h</w:t>
      </w:r>
      <w:r w:rsidR="00DF7AFF" w:rsidRPr="005110E4">
        <w:t>olo</w:t>
      </w:r>
      <w:r w:rsidR="004E0013" w:rsidRPr="005110E4">
        <w:t>transcobalamin (</w:t>
      </w:r>
      <w:r w:rsidRPr="005110E4">
        <w:t>HoloTC</w:t>
      </w:r>
      <w:r w:rsidR="004E0013" w:rsidRPr="005110E4">
        <w:t>)</w:t>
      </w:r>
      <w:r w:rsidR="00D07B7B" w:rsidRPr="005110E4">
        <w:t xml:space="preserve"> levels</w:t>
      </w:r>
      <w:r w:rsidRPr="005110E4">
        <w:t xml:space="preserve"> ha</w:t>
      </w:r>
      <w:r w:rsidR="00A35B61" w:rsidRPr="005110E4">
        <w:t>ve</w:t>
      </w:r>
      <w:r w:rsidRPr="005110E4">
        <w:t xml:space="preserve"> not been </w:t>
      </w:r>
      <w:r w:rsidR="004E0013" w:rsidRPr="005110E4">
        <w:t xml:space="preserve">determined </w:t>
      </w:r>
      <w:r w:rsidRPr="005110E4">
        <w:t xml:space="preserve">12 </w:t>
      </w:r>
      <w:r w:rsidRPr="005110E4">
        <w:lastRenderedPageBreak/>
        <w:t>months after the submission of this report, this recommendation should be reviewed, including whether pathologist-determinable testing is still appropriate.</w:t>
      </w:r>
    </w:p>
    <w:p w14:paraId="6E7706B7" w14:textId="77777777" w:rsidR="00D902B4" w:rsidRDefault="005110E4" w:rsidP="005110E4">
      <w:pPr>
        <w:pStyle w:val="02dash"/>
        <w:numPr>
          <w:ilvl w:val="1"/>
          <w:numId w:val="64"/>
        </w:numPr>
        <w:spacing w:line="240" w:lineRule="auto"/>
        <w:ind w:right="0"/>
      </w:pPr>
      <w:r>
        <w:t>Providing</w:t>
      </w:r>
      <w:r w:rsidR="00BE40E6" w:rsidRPr="00FC4BA6">
        <w:t xml:space="preserve"> </w:t>
      </w:r>
      <w:r w:rsidR="006C31FB">
        <w:t>requester</w:t>
      </w:r>
      <w:r w:rsidR="00BE40E6" w:rsidRPr="00FC4BA6">
        <w:t xml:space="preserve"> education on appropriate testing frequency. </w:t>
      </w:r>
    </w:p>
    <w:p w14:paraId="67499882" w14:textId="77777777" w:rsidR="00BE40E6" w:rsidRPr="00FC4BA6" w:rsidRDefault="005110E4" w:rsidP="005110E4">
      <w:pPr>
        <w:pStyle w:val="02dash"/>
        <w:numPr>
          <w:ilvl w:val="1"/>
          <w:numId w:val="64"/>
        </w:numPr>
        <w:spacing w:line="240" w:lineRule="auto"/>
        <w:ind w:right="0"/>
      </w:pPr>
      <w:r>
        <w:t>Stipulating</w:t>
      </w:r>
      <w:r w:rsidR="00104D7C">
        <w:t xml:space="preserve"> that p</w:t>
      </w:r>
      <w:r w:rsidR="00D902B4" w:rsidRPr="00FC4BA6">
        <w:t xml:space="preserve">athology reports should provide to advice </w:t>
      </w:r>
      <w:r w:rsidR="006C31FB">
        <w:t>requester</w:t>
      </w:r>
      <w:r w:rsidR="00D902B4" w:rsidRPr="00FC4BA6">
        <w:t xml:space="preserve">s that </w:t>
      </w:r>
      <w:r w:rsidR="00D902B4">
        <w:t>a full blood examination</w:t>
      </w:r>
      <w:r w:rsidR="00D902B4" w:rsidRPr="00FC4BA6">
        <w:t xml:space="preserve"> is the appropriate test </w:t>
      </w:r>
      <w:r w:rsidR="00196D11">
        <w:t>to monitor</w:t>
      </w:r>
      <w:r w:rsidR="00D902B4" w:rsidRPr="00FC4BA6">
        <w:t xml:space="preserve"> patients receiving oral vitamin B12 supplementation. </w:t>
      </w:r>
    </w:p>
    <w:p w14:paraId="0D6CA126" w14:textId="77777777" w:rsidR="00BE40E6" w:rsidRPr="005110E4" w:rsidRDefault="005110E4" w:rsidP="005110E4">
      <w:pPr>
        <w:pStyle w:val="02dash"/>
        <w:numPr>
          <w:ilvl w:val="1"/>
          <w:numId w:val="64"/>
        </w:numPr>
        <w:spacing w:line="240" w:lineRule="auto"/>
        <w:ind w:right="0"/>
      </w:pPr>
      <w:r>
        <w:t>Providing</w:t>
      </w:r>
      <w:r w:rsidR="00BE40E6" w:rsidRPr="005110E4">
        <w:t xml:space="preserve"> consumer education on the above changes. </w:t>
      </w:r>
    </w:p>
    <w:p w14:paraId="1B6EF431" w14:textId="77777777" w:rsidR="008B1065" w:rsidRPr="005110E4" w:rsidRDefault="00D564B9" w:rsidP="005110E4">
      <w:pPr>
        <w:pStyle w:val="02dash"/>
        <w:numPr>
          <w:ilvl w:val="1"/>
          <w:numId w:val="64"/>
        </w:numPr>
        <w:spacing w:line="240" w:lineRule="auto"/>
        <w:ind w:right="0"/>
      </w:pPr>
      <w:r w:rsidRPr="005110E4">
        <w:t xml:space="preserve">Review </w:t>
      </w:r>
      <w:r w:rsidR="005110E4">
        <w:t xml:space="preserve">of </w:t>
      </w:r>
      <w:r w:rsidR="00DF7AFF" w:rsidRPr="005110E4">
        <w:t xml:space="preserve">these items after </w:t>
      </w:r>
      <w:r w:rsidRPr="005110E4">
        <w:t xml:space="preserve">24 months </w:t>
      </w:r>
      <w:r w:rsidR="00DF7AFF" w:rsidRPr="005110E4">
        <w:t>to assess the effect of the recommendations listed above. I</w:t>
      </w:r>
      <w:r w:rsidRPr="005110E4">
        <w:t>f</w:t>
      </w:r>
      <w:r w:rsidR="00BE40E6" w:rsidRPr="005110E4">
        <w:t xml:space="preserve"> the</w:t>
      </w:r>
      <w:r w:rsidR="005E16C5" w:rsidRPr="005110E4">
        <w:t>se</w:t>
      </w:r>
      <w:r w:rsidR="00BE40E6" w:rsidRPr="005110E4">
        <w:t xml:space="preserve"> combined</w:t>
      </w:r>
      <w:r w:rsidR="00297A56" w:rsidRPr="005110E4">
        <w:t xml:space="preserve"> strategies</w:t>
      </w:r>
      <w:r w:rsidR="00904AC2" w:rsidRPr="005110E4">
        <w:t xml:space="preserve"> </w:t>
      </w:r>
      <w:r w:rsidR="00BE40E6" w:rsidRPr="005110E4">
        <w:t>prove insufficient</w:t>
      </w:r>
      <w:r w:rsidR="00270957" w:rsidRPr="005110E4">
        <w:t xml:space="preserve"> to change behaviour</w:t>
      </w:r>
      <w:r w:rsidR="00BE40E6" w:rsidRPr="005110E4">
        <w:t xml:space="preserve"> then </w:t>
      </w:r>
      <w:r w:rsidR="00DF7AFF" w:rsidRPr="005110E4">
        <w:t xml:space="preserve">the introduction </w:t>
      </w:r>
      <w:r w:rsidR="00904AC2" w:rsidRPr="005110E4">
        <w:t xml:space="preserve">of </w:t>
      </w:r>
      <w:r w:rsidR="00BE40E6" w:rsidRPr="005110E4">
        <w:t xml:space="preserve">CDS </w:t>
      </w:r>
      <w:r w:rsidR="00DF7AFF" w:rsidRPr="005110E4">
        <w:t xml:space="preserve">to support better </w:t>
      </w:r>
      <w:r w:rsidR="00BE40E6" w:rsidRPr="005110E4">
        <w:t>requesting of vitamin B</w:t>
      </w:r>
      <w:r w:rsidR="00DF7AFF" w:rsidRPr="005110E4">
        <w:t>12</w:t>
      </w:r>
      <w:r w:rsidR="00BE40E6" w:rsidRPr="005110E4">
        <w:t xml:space="preserve"> test</w:t>
      </w:r>
      <w:r w:rsidR="00DF7AFF" w:rsidRPr="005110E4">
        <w:t>s</w:t>
      </w:r>
      <w:r w:rsidR="005E16C5" w:rsidRPr="005110E4">
        <w:t xml:space="preserve"> should be considered</w:t>
      </w:r>
      <w:r w:rsidR="00BE40E6" w:rsidRPr="005110E4">
        <w:t>.</w:t>
      </w:r>
    </w:p>
    <w:p w14:paraId="0A9AB6EC" w14:textId="77777777" w:rsidR="00BE40E6" w:rsidRPr="00854013" w:rsidRDefault="00BE40E6" w:rsidP="00BE40E6">
      <w:pPr>
        <w:pStyle w:val="Boldtext"/>
      </w:pPr>
      <w:r w:rsidRPr="00854013">
        <w:t>Rationale</w:t>
      </w:r>
    </w:p>
    <w:p w14:paraId="6C683B45" w14:textId="77777777" w:rsidR="00B55E29" w:rsidRDefault="00BE40E6" w:rsidP="00EA019E">
      <w:pPr>
        <w:pStyle w:val="NormalBulleted"/>
        <w:numPr>
          <w:ilvl w:val="0"/>
          <w:numId w:val="77"/>
        </w:numPr>
        <w:rPr>
          <w:lang w:val="en-GB" w:eastAsia="en-US"/>
        </w:rPr>
      </w:pPr>
      <w:r w:rsidRPr="00854013">
        <w:rPr>
          <w:lang w:val="en-GB" w:eastAsia="en-US"/>
        </w:rPr>
        <w:t xml:space="preserve">The Committee found that overall use of vitamin B12 testing was high. Of particular concern </w:t>
      </w:r>
      <w:r w:rsidR="005F03D7">
        <w:rPr>
          <w:lang w:val="en-GB" w:eastAsia="en-US"/>
        </w:rPr>
        <w:t xml:space="preserve">to the Committee </w:t>
      </w:r>
      <w:r w:rsidRPr="00854013">
        <w:rPr>
          <w:lang w:val="en-GB" w:eastAsia="en-US"/>
        </w:rPr>
        <w:t xml:space="preserve">was the </w:t>
      </w:r>
      <w:r w:rsidR="00E93F0F">
        <w:rPr>
          <w:lang w:val="en-GB" w:eastAsia="en-US"/>
        </w:rPr>
        <w:t>volume</w:t>
      </w:r>
      <w:r w:rsidR="00E93F0F" w:rsidRPr="00854013">
        <w:rPr>
          <w:lang w:val="en-GB" w:eastAsia="en-US"/>
        </w:rPr>
        <w:t xml:space="preserve"> </w:t>
      </w:r>
      <w:r w:rsidRPr="00854013">
        <w:rPr>
          <w:lang w:val="en-GB" w:eastAsia="en-US"/>
        </w:rPr>
        <w:t>of the serum tests compared to the marker test</w:t>
      </w:r>
      <w:r w:rsidR="007A02E1">
        <w:rPr>
          <w:lang w:val="en-GB" w:eastAsia="en-US"/>
        </w:rPr>
        <w:t>s</w:t>
      </w:r>
      <w:r w:rsidRPr="00854013">
        <w:rPr>
          <w:lang w:val="en-GB" w:eastAsia="en-US"/>
        </w:rPr>
        <w:t>.</w:t>
      </w:r>
    </w:p>
    <w:p w14:paraId="75B6C777" w14:textId="77777777" w:rsidR="00B55E29" w:rsidRDefault="00BE40E6" w:rsidP="00EA019E">
      <w:pPr>
        <w:pStyle w:val="NormalBulleted"/>
        <w:numPr>
          <w:ilvl w:val="0"/>
          <w:numId w:val="77"/>
        </w:numPr>
        <w:rPr>
          <w:lang w:val="en-GB" w:eastAsia="en-US"/>
        </w:rPr>
      </w:pPr>
      <w:r w:rsidRPr="00854013">
        <w:rPr>
          <w:lang w:val="en-GB" w:eastAsia="en-US"/>
        </w:rPr>
        <w:t>From November 2014, a two test strategy for determining vitamin B12 deficiency was introduced into the MBS. Item 66838 covers serum B12 testing and i</w:t>
      </w:r>
      <w:r w:rsidRPr="00360531">
        <w:rPr>
          <w:lang w:val="en-GB" w:eastAsia="en-US"/>
        </w:rPr>
        <w:t>s available annually. Item 66839 covers holotranscobolamin quantification (marker testing) for patients where the initial B12 test is ‘low or equivocal’. There is no annual limit and this test is pathologist determinable</w:t>
      </w:r>
      <w:r w:rsidR="00AC491D">
        <w:rPr>
          <w:lang w:val="en-GB" w:eastAsia="en-US"/>
        </w:rPr>
        <w:t xml:space="preserve"> (i.e. a </w:t>
      </w:r>
      <w:r w:rsidR="008B1065" w:rsidRPr="00BF0A4F">
        <w:rPr>
          <w:lang w:val="en-GB" w:eastAsia="en-US"/>
        </w:rPr>
        <w:t>patho</w:t>
      </w:r>
      <w:r w:rsidR="007A02E1">
        <w:rPr>
          <w:lang w:val="en-GB" w:eastAsia="en-US"/>
        </w:rPr>
        <w:t xml:space="preserve">logy </w:t>
      </w:r>
      <w:r w:rsidR="00AC491D">
        <w:rPr>
          <w:lang w:val="en-GB" w:eastAsia="en-US"/>
        </w:rPr>
        <w:t>test</w:t>
      </w:r>
      <w:r w:rsidR="008B1065" w:rsidRPr="00BF0A4F">
        <w:rPr>
          <w:lang w:val="en-GB" w:eastAsia="en-US"/>
        </w:rPr>
        <w:t xml:space="preserve"> </w:t>
      </w:r>
      <w:r w:rsidR="00AC491D">
        <w:rPr>
          <w:lang w:val="en-GB" w:eastAsia="en-US"/>
        </w:rPr>
        <w:t>that is</w:t>
      </w:r>
      <w:r w:rsidR="008B1065" w:rsidRPr="00BF0A4F">
        <w:rPr>
          <w:lang w:val="en-GB" w:eastAsia="en-US"/>
        </w:rPr>
        <w:t xml:space="preserve"> </w:t>
      </w:r>
      <w:r w:rsidR="002721C8">
        <w:rPr>
          <w:lang w:val="en-GB" w:eastAsia="en-US"/>
        </w:rPr>
        <w:t xml:space="preserve">eligible for Medicare benefits despite </w:t>
      </w:r>
      <w:r w:rsidR="008B1065" w:rsidRPr="00BF0A4F">
        <w:rPr>
          <w:lang w:val="en-GB" w:eastAsia="en-US"/>
        </w:rPr>
        <w:t>no</w:t>
      </w:r>
      <w:r w:rsidR="00AC491D">
        <w:rPr>
          <w:lang w:val="en-GB" w:eastAsia="en-US"/>
        </w:rPr>
        <w:t xml:space="preserve">t </w:t>
      </w:r>
      <w:r w:rsidR="002721C8">
        <w:rPr>
          <w:lang w:val="en-GB" w:eastAsia="en-US"/>
        </w:rPr>
        <w:t xml:space="preserve">being </w:t>
      </w:r>
      <w:r w:rsidR="00AC491D">
        <w:rPr>
          <w:lang w:val="en-GB" w:eastAsia="en-US"/>
        </w:rPr>
        <w:t>requested</w:t>
      </w:r>
      <w:r w:rsidR="002721C8">
        <w:rPr>
          <w:lang w:val="en-GB" w:eastAsia="en-US"/>
        </w:rPr>
        <w:t xml:space="preserve"> by the patient’s medical practitioner</w:t>
      </w:r>
      <w:r w:rsidR="005E16C5">
        <w:rPr>
          <w:lang w:val="en-GB" w:eastAsia="en-US"/>
        </w:rPr>
        <w:t>,</w:t>
      </w:r>
      <w:r w:rsidR="008B1065" w:rsidRPr="00BF0A4F">
        <w:rPr>
          <w:lang w:val="en-GB" w:eastAsia="en-US"/>
        </w:rPr>
        <w:t xml:space="preserve"> but performed on the basis of information learned from an originally requested service</w:t>
      </w:r>
      <w:r w:rsidR="008B1065" w:rsidRPr="008B1065">
        <w:rPr>
          <w:lang w:val="en-GB" w:eastAsia="en-US"/>
        </w:rPr>
        <w:t>)</w:t>
      </w:r>
      <w:r w:rsidR="00AC491D">
        <w:rPr>
          <w:lang w:val="en-GB" w:eastAsia="en-US"/>
        </w:rPr>
        <w:t>.</w:t>
      </w:r>
    </w:p>
    <w:p w14:paraId="000F14C0" w14:textId="77777777" w:rsidR="00BE40E6" w:rsidRPr="008B1065" w:rsidRDefault="00BE40E6" w:rsidP="00EA019E">
      <w:pPr>
        <w:pStyle w:val="NormalBulleted"/>
        <w:numPr>
          <w:ilvl w:val="0"/>
          <w:numId w:val="77"/>
        </w:numPr>
        <w:rPr>
          <w:lang w:val="en-GB" w:eastAsia="en-US"/>
        </w:rPr>
      </w:pPr>
      <w:r w:rsidRPr="008B1065">
        <w:rPr>
          <w:lang w:val="en-GB" w:eastAsia="en-US"/>
        </w:rPr>
        <w:t>The Committee found sufficient evidence to conclude that the comparative use of serum vitamin B12 testing and vitamin B12 marker testing is not as expected.</w:t>
      </w:r>
    </w:p>
    <w:p w14:paraId="5D9BA83F" w14:textId="77777777" w:rsidR="00BE40E6" w:rsidRPr="00074D54" w:rsidRDefault="00BE40E6" w:rsidP="00AB3AC3">
      <w:pPr>
        <w:pStyle w:val="02dash"/>
        <w:numPr>
          <w:ilvl w:val="1"/>
          <w:numId w:val="64"/>
        </w:numPr>
        <w:spacing w:line="240" w:lineRule="auto"/>
        <w:ind w:right="0"/>
        <w:rPr>
          <w:lang w:val="en-GB"/>
        </w:rPr>
      </w:pPr>
      <w:r w:rsidRPr="00074D54">
        <w:rPr>
          <w:lang w:val="en-GB"/>
        </w:rPr>
        <w:t>In 2015–16, the number of vitamin B12 marker tests (1.4 million) exceeded the number of serum vitamin B12 tests (1.2 million)</w:t>
      </w:r>
      <w:r w:rsidR="000C3378">
        <w:rPr>
          <w:lang w:val="en-GB"/>
        </w:rPr>
        <w:t xml:space="preserve"> (</w:t>
      </w:r>
      <w:r w:rsidR="000C3378">
        <w:rPr>
          <w:lang w:val="en-GB"/>
        </w:rPr>
        <w:fldChar w:fldCharType="begin"/>
      </w:r>
      <w:r w:rsidR="000C3378">
        <w:rPr>
          <w:lang w:val="en-GB"/>
        </w:rPr>
        <w:instrText xml:space="preserve"> REF _Ref525806185 </w:instrText>
      </w:r>
      <w:r w:rsidR="000C3378">
        <w:rPr>
          <w:lang w:val="en-GB"/>
        </w:rPr>
        <w:fldChar w:fldCharType="separate"/>
      </w:r>
      <w:r w:rsidR="000C3378">
        <w:t xml:space="preserve">Table </w:t>
      </w:r>
      <w:r w:rsidR="000C3378">
        <w:rPr>
          <w:noProof/>
        </w:rPr>
        <w:t>3</w:t>
      </w:r>
      <w:r w:rsidR="000C3378">
        <w:rPr>
          <w:lang w:val="en-GB"/>
        </w:rPr>
        <w:fldChar w:fldCharType="end"/>
      </w:r>
      <w:r w:rsidR="000C3378">
        <w:rPr>
          <w:lang w:val="en-GB"/>
        </w:rPr>
        <w:t>)</w:t>
      </w:r>
      <w:r w:rsidRPr="00074D54">
        <w:rPr>
          <w:lang w:val="en-GB"/>
        </w:rPr>
        <w:t xml:space="preserve">, and was </w:t>
      </w:r>
      <w:r w:rsidR="005F03D7">
        <w:rPr>
          <w:lang w:val="en-GB"/>
        </w:rPr>
        <w:t xml:space="preserve">greater than </w:t>
      </w:r>
      <w:r w:rsidRPr="00074D54">
        <w:rPr>
          <w:lang w:val="en-GB"/>
        </w:rPr>
        <w:t xml:space="preserve">the </w:t>
      </w:r>
      <w:r w:rsidR="00297A56">
        <w:rPr>
          <w:lang w:val="en-GB"/>
        </w:rPr>
        <w:t>usage</w:t>
      </w:r>
      <w:r w:rsidRPr="00074D54">
        <w:rPr>
          <w:lang w:val="en-GB"/>
        </w:rPr>
        <w:t xml:space="preserve"> predicted</w:t>
      </w:r>
      <w:r w:rsidR="00297A56">
        <w:rPr>
          <w:lang w:val="en-GB"/>
        </w:rPr>
        <w:t xml:space="preserve"> by MSAC</w:t>
      </w:r>
      <w:r w:rsidRPr="00074D54">
        <w:rPr>
          <w:lang w:val="en-GB"/>
        </w:rPr>
        <w:t xml:space="preserve">. </w:t>
      </w:r>
    </w:p>
    <w:p w14:paraId="37924FF5" w14:textId="77777777" w:rsidR="00BE40E6" w:rsidRPr="00074D54" w:rsidRDefault="000C3378" w:rsidP="00AB3AC3">
      <w:pPr>
        <w:pStyle w:val="02dash"/>
        <w:numPr>
          <w:ilvl w:val="1"/>
          <w:numId w:val="64"/>
        </w:numPr>
        <w:spacing w:line="240" w:lineRule="auto"/>
        <w:ind w:right="0"/>
        <w:rPr>
          <w:lang w:val="en-GB"/>
        </w:rPr>
      </w:pPr>
      <w:r>
        <w:rPr>
          <w:lang w:val="en-GB"/>
        </w:rPr>
        <w:t>MBS data show</w:t>
      </w:r>
      <w:r w:rsidR="005F03D7">
        <w:rPr>
          <w:lang w:val="en-GB"/>
        </w:rPr>
        <w:t xml:space="preserve"> that t</w:t>
      </w:r>
      <w:r w:rsidR="00BE40E6" w:rsidRPr="00074D54">
        <w:rPr>
          <w:lang w:val="en-GB"/>
        </w:rPr>
        <w:t>he growth in service volume for vitam</w:t>
      </w:r>
      <w:r w:rsidR="00092416">
        <w:rPr>
          <w:lang w:val="en-GB"/>
        </w:rPr>
        <w:t>in B12 marker testing is high (</w:t>
      </w:r>
      <w:r w:rsidR="00BE40E6" w:rsidRPr="00074D54">
        <w:rPr>
          <w:lang w:val="en-GB"/>
        </w:rPr>
        <w:t>46 per cent per year) and does not match the trend in service volume for serum vitamin B12 testing.</w:t>
      </w:r>
    </w:p>
    <w:p w14:paraId="03122DAB" w14:textId="77777777" w:rsidR="00BE40E6" w:rsidRPr="00854013" w:rsidRDefault="005F03D7" w:rsidP="00AB3AC3">
      <w:pPr>
        <w:numPr>
          <w:ilvl w:val="1"/>
          <w:numId w:val="64"/>
        </w:numPr>
        <w:spacing w:before="120" w:line="240" w:lineRule="auto"/>
        <w:ind w:right="142"/>
        <w:rPr>
          <w:rFonts w:eastAsiaTheme="minorHAnsi"/>
          <w:szCs w:val="20"/>
          <w:lang w:val="en-GB" w:eastAsia="en-US"/>
        </w:rPr>
      </w:pPr>
      <w:r>
        <w:rPr>
          <w:rFonts w:eastAsiaTheme="minorHAnsi"/>
          <w:szCs w:val="20"/>
          <w:lang w:val="en-GB" w:eastAsia="en-US"/>
        </w:rPr>
        <w:t xml:space="preserve">MBS data </w:t>
      </w:r>
      <w:r w:rsidR="000C3378">
        <w:rPr>
          <w:rFonts w:eastAsiaTheme="minorHAnsi"/>
          <w:szCs w:val="20"/>
          <w:lang w:val="en-GB" w:eastAsia="en-US"/>
        </w:rPr>
        <w:t>from 2015-16 to 2016-17 indicate</w:t>
      </w:r>
      <w:r>
        <w:rPr>
          <w:rFonts w:eastAsiaTheme="minorHAnsi"/>
          <w:szCs w:val="20"/>
          <w:lang w:val="en-GB" w:eastAsia="en-US"/>
        </w:rPr>
        <w:t xml:space="preserve"> that a</w:t>
      </w:r>
      <w:r w:rsidR="00BE40E6" w:rsidRPr="00074D54">
        <w:rPr>
          <w:rFonts w:eastAsiaTheme="minorHAnsi"/>
          <w:szCs w:val="20"/>
          <w:lang w:val="en-GB" w:eastAsia="en-US"/>
        </w:rPr>
        <w:t xml:space="preserve">pproximately </w:t>
      </w:r>
      <w:r w:rsidR="006D151E">
        <w:rPr>
          <w:rFonts w:eastAsiaTheme="minorHAnsi"/>
          <w:szCs w:val="20"/>
          <w:lang w:val="en-GB" w:eastAsia="en-US"/>
        </w:rPr>
        <w:t>30</w:t>
      </w:r>
      <w:r w:rsidR="00BE40E6" w:rsidRPr="00074D54">
        <w:rPr>
          <w:rFonts w:eastAsiaTheme="minorHAnsi"/>
          <w:szCs w:val="20"/>
          <w:lang w:val="en-GB" w:eastAsia="en-US"/>
        </w:rPr>
        <w:t xml:space="preserve"> per cent of vitamin B12 </w:t>
      </w:r>
      <w:r w:rsidR="001479CB">
        <w:rPr>
          <w:rFonts w:eastAsiaTheme="minorHAnsi"/>
          <w:szCs w:val="20"/>
          <w:lang w:val="en-GB" w:eastAsia="en-US"/>
        </w:rPr>
        <w:t xml:space="preserve">marker </w:t>
      </w:r>
      <w:r w:rsidR="00BE40E6" w:rsidRPr="00074D54">
        <w:rPr>
          <w:rFonts w:eastAsiaTheme="minorHAnsi"/>
          <w:szCs w:val="20"/>
          <w:lang w:val="en-GB" w:eastAsia="en-US"/>
        </w:rPr>
        <w:t>tests were repeated in less than 12 months.</w:t>
      </w:r>
    </w:p>
    <w:p w14:paraId="6B6EAD6B" w14:textId="77777777" w:rsidR="00BE40E6" w:rsidRPr="00854013" w:rsidRDefault="00BE40E6" w:rsidP="00EA019E">
      <w:pPr>
        <w:pStyle w:val="NormalBulleted"/>
        <w:numPr>
          <w:ilvl w:val="0"/>
          <w:numId w:val="78"/>
        </w:numPr>
        <w:rPr>
          <w:lang w:val="en-GB" w:eastAsia="en-US"/>
        </w:rPr>
      </w:pPr>
      <w:r w:rsidRPr="00854013">
        <w:rPr>
          <w:lang w:val="en-GB" w:eastAsia="en-US"/>
        </w:rPr>
        <w:t>The Committee agreed the following factors were possibly contributing to the high usage rates for vitamin B12 marker testing:</w:t>
      </w:r>
    </w:p>
    <w:p w14:paraId="0FFFD9D6" w14:textId="77777777" w:rsidR="00BE40E6" w:rsidRPr="00854013" w:rsidRDefault="00BE40E6" w:rsidP="00AB3AC3">
      <w:pPr>
        <w:pStyle w:val="02dash"/>
        <w:numPr>
          <w:ilvl w:val="1"/>
          <w:numId w:val="64"/>
        </w:numPr>
        <w:spacing w:line="240" w:lineRule="auto"/>
        <w:ind w:right="0"/>
        <w:rPr>
          <w:lang w:val="en-GB"/>
        </w:rPr>
      </w:pPr>
      <w:r w:rsidRPr="00854013">
        <w:rPr>
          <w:lang w:val="en-GB"/>
        </w:rPr>
        <w:t>Low GP awareness of the MBS annual restriction on vitamin B12 testing is likely to be contributing to frequent vitamin B12</w:t>
      </w:r>
      <w:r w:rsidR="001479CB">
        <w:rPr>
          <w:lang w:val="en-GB"/>
        </w:rPr>
        <w:t xml:space="preserve"> marker</w:t>
      </w:r>
      <w:r w:rsidRPr="00854013">
        <w:rPr>
          <w:lang w:val="en-GB"/>
        </w:rPr>
        <w:t xml:space="preserve"> testing (that is, more than once every 12</w:t>
      </w:r>
      <w:r w:rsidR="001479CB">
        <w:rPr>
          <w:lang w:val="en-GB"/>
        </w:rPr>
        <w:t> </w:t>
      </w:r>
      <w:r w:rsidRPr="00854013">
        <w:rPr>
          <w:lang w:val="en-GB"/>
        </w:rPr>
        <w:t>months).</w:t>
      </w:r>
    </w:p>
    <w:p w14:paraId="6554A9CD" w14:textId="77777777" w:rsidR="00BE40E6" w:rsidRPr="00074D54" w:rsidRDefault="00BE40E6" w:rsidP="00AB3AC3">
      <w:pPr>
        <w:pStyle w:val="02dash"/>
        <w:numPr>
          <w:ilvl w:val="1"/>
          <w:numId w:val="64"/>
        </w:numPr>
        <w:spacing w:line="240" w:lineRule="auto"/>
        <w:ind w:right="0"/>
        <w:rPr>
          <w:lang w:val="en-GB"/>
        </w:rPr>
      </w:pPr>
      <w:r w:rsidRPr="00360531">
        <w:rPr>
          <w:lang w:val="en-GB"/>
        </w:rPr>
        <w:t>A small group of clinicians may be directly requesting the vitamin B12 marker</w:t>
      </w:r>
      <w:r w:rsidR="005E16C5">
        <w:rPr>
          <w:lang w:val="en-GB"/>
        </w:rPr>
        <w:t>s</w:t>
      </w:r>
      <w:r w:rsidRPr="00360531">
        <w:rPr>
          <w:lang w:val="en-GB"/>
        </w:rPr>
        <w:t xml:space="preserve"> test for patients (even though the MBS </w:t>
      </w:r>
      <w:r w:rsidR="00092416">
        <w:rPr>
          <w:lang w:val="en-GB"/>
        </w:rPr>
        <w:t xml:space="preserve">currently </w:t>
      </w:r>
      <w:r w:rsidRPr="00360531">
        <w:rPr>
          <w:lang w:val="en-GB"/>
        </w:rPr>
        <w:t xml:space="preserve">indicates it is </w:t>
      </w:r>
      <w:r w:rsidRPr="00074D54">
        <w:rPr>
          <w:lang w:val="en-GB"/>
        </w:rPr>
        <w:t>not the first-line test).</w:t>
      </w:r>
    </w:p>
    <w:p w14:paraId="7C030D1D"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When clinicians incorrectly request a repeat serum vitamin B12 test less than a year after the most recent serum vitamin B12 test (with the intention of requesting another serum vitamin B12 test; item 66838), laboratories may perform the vitamin B12 marker test (item 66839), which has no annual limit. In some cases, this may be </w:t>
      </w:r>
      <w:r w:rsidRPr="00074D54">
        <w:rPr>
          <w:lang w:val="en-GB"/>
        </w:rPr>
        <w:lastRenderedPageBreak/>
        <w:t>undertaken due to a previous ‘low or equivocal’ vitamin B12 result. In other cases, it may be because item 66839 is unrestricted.</w:t>
      </w:r>
    </w:p>
    <w:p w14:paraId="1C1B041A" w14:textId="77777777" w:rsidR="00BE40E6" w:rsidRPr="00074D54" w:rsidRDefault="00BE40E6" w:rsidP="00AB3AC3">
      <w:pPr>
        <w:pStyle w:val="02dash"/>
        <w:numPr>
          <w:ilvl w:val="1"/>
          <w:numId w:val="64"/>
        </w:numPr>
        <w:spacing w:line="240" w:lineRule="auto"/>
        <w:ind w:right="0"/>
        <w:rPr>
          <w:lang w:val="en-GB"/>
        </w:rPr>
      </w:pPr>
      <w:r w:rsidRPr="00074D54">
        <w:rPr>
          <w:bCs/>
          <w:lang w:val="en-GB"/>
        </w:rPr>
        <w:t xml:space="preserve">Reference </w:t>
      </w:r>
      <w:r w:rsidR="008C7660">
        <w:rPr>
          <w:bCs/>
          <w:lang w:val="en-GB"/>
        </w:rPr>
        <w:t>limits</w:t>
      </w:r>
      <w:r w:rsidR="008C7660" w:rsidRPr="00074D54">
        <w:rPr>
          <w:bCs/>
          <w:lang w:val="en-GB"/>
        </w:rPr>
        <w:t xml:space="preserve"> </w:t>
      </w:r>
      <w:r w:rsidRPr="00074D54">
        <w:rPr>
          <w:lang w:val="en-GB"/>
        </w:rPr>
        <w:t>for serum vitamin B12 tests and vitamin B12 marker tests vary and are currently independently determined by each pathology laboratory. If the cut-</w:t>
      </w:r>
      <w:r w:rsidRPr="004F79F3">
        <w:rPr>
          <w:lang w:val="en-GB"/>
        </w:rPr>
        <w:t>offs are set at too high a value, this would increase the number of ‘low or equivocal’</w:t>
      </w:r>
      <w:r w:rsidRPr="00074D54">
        <w:rPr>
          <w:lang w:val="en-GB"/>
        </w:rPr>
        <w:t xml:space="preserve"> results, and consequently the number of repeat vitamin B12 marker tests. </w:t>
      </w:r>
    </w:p>
    <w:p w14:paraId="537928F2" w14:textId="77777777" w:rsidR="00BE40E6" w:rsidRPr="00074D54" w:rsidRDefault="00BE40E6" w:rsidP="00EA019E">
      <w:pPr>
        <w:pStyle w:val="NormalBulleted"/>
        <w:numPr>
          <w:ilvl w:val="0"/>
          <w:numId w:val="79"/>
        </w:numPr>
        <w:rPr>
          <w:lang w:val="en-GB"/>
        </w:rPr>
      </w:pPr>
      <w:r w:rsidRPr="00074D54">
        <w:rPr>
          <w:lang w:val="en-GB"/>
        </w:rPr>
        <w:t xml:space="preserve">The Committee agreed that the 12-month frequency restriction </w:t>
      </w:r>
      <w:r w:rsidR="003371CB">
        <w:rPr>
          <w:lang w:val="en-GB"/>
        </w:rPr>
        <w:t xml:space="preserve">currently in place </w:t>
      </w:r>
      <w:r w:rsidRPr="00074D54">
        <w:rPr>
          <w:lang w:val="en-GB"/>
        </w:rPr>
        <w:t xml:space="preserve">for </w:t>
      </w:r>
      <w:r w:rsidR="003371CB">
        <w:rPr>
          <w:lang w:val="en-GB"/>
        </w:rPr>
        <w:t xml:space="preserve">serum </w:t>
      </w:r>
      <w:r w:rsidRPr="00074D54">
        <w:rPr>
          <w:lang w:val="en-GB"/>
        </w:rPr>
        <w:t xml:space="preserve">vitamin B12 </w:t>
      </w:r>
      <w:r w:rsidR="003371CB">
        <w:rPr>
          <w:lang w:val="en-GB"/>
        </w:rPr>
        <w:t xml:space="preserve">testing </w:t>
      </w:r>
      <w:r w:rsidRPr="00074D54">
        <w:rPr>
          <w:lang w:val="en-GB"/>
        </w:rPr>
        <w:t>was also appropriate for vitamin B12 marker testing to reduc</w:t>
      </w:r>
      <w:r w:rsidR="00D564B9" w:rsidRPr="00074D54">
        <w:rPr>
          <w:lang w:val="en-GB"/>
        </w:rPr>
        <w:t>e inappropriate testing</w:t>
      </w:r>
      <w:r w:rsidRPr="00074D54">
        <w:rPr>
          <w:lang w:val="en-GB"/>
        </w:rPr>
        <w:t>, given that:</w:t>
      </w:r>
    </w:p>
    <w:p w14:paraId="6A249B09" w14:textId="77777777" w:rsidR="00BE40E6" w:rsidRPr="00074D54" w:rsidRDefault="00BE40E6" w:rsidP="00AB3AC3">
      <w:pPr>
        <w:pStyle w:val="Bullet2"/>
        <w:numPr>
          <w:ilvl w:val="1"/>
          <w:numId w:val="31"/>
        </w:numPr>
        <w:spacing w:line="240" w:lineRule="auto"/>
        <w:ind w:left="717" w:right="0"/>
        <w:rPr>
          <w:lang w:val="en-GB"/>
        </w:rPr>
      </w:pPr>
      <w:r w:rsidRPr="00074D54">
        <w:rPr>
          <w:lang w:val="en-GB"/>
        </w:rPr>
        <w:t xml:space="preserve">MSAC’s intention in developing a two test strategy was for vitamin B12 marker testing to be used as a second-line test in a </w:t>
      </w:r>
      <w:r w:rsidRPr="00074D54">
        <w:rPr>
          <w:bCs/>
          <w:lang w:val="en-GB"/>
        </w:rPr>
        <w:t>minority of cases</w:t>
      </w:r>
      <w:r w:rsidR="000C3378">
        <w:rPr>
          <w:bCs/>
          <w:lang w:val="en-GB"/>
        </w:rPr>
        <w:t xml:space="preserve"> </w:t>
      </w:r>
      <w:sdt>
        <w:sdtPr>
          <w:rPr>
            <w:bCs/>
            <w:lang w:val="en-GB"/>
          </w:rPr>
          <w:id w:val="-458646527"/>
          <w:citation/>
        </w:sdtPr>
        <w:sdtEndPr/>
        <w:sdtContent>
          <w:r w:rsidR="000C3378">
            <w:rPr>
              <w:bCs/>
              <w:lang w:val="en-GB"/>
            </w:rPr>
            <w:fldChar w:fldCharType="begin"/>
          </w:r>
          <w:r w:rsidR="000C3378">
            <w:rPr>
              <w:bCs/>
              <w:lang w:val="en-AU"/>
            </w:rPr>
            <w:instrText xml:space="preserve"> CITATION Med141 \l 3081 </w:instrText>
          </w:r>
          <w:r w:rsidR="000C3378">
            <w:rPr>
              <w:bCs/>
              <w:lang w:val="en-GB"/>
            </w:rPr>
            <w:fldChar w:fldCharType="separate"/>
          </w:r>
          <w:r w:rsidR="00B66BE1" w:rsidRPr="00B66BE1">
            <w:rPr>
              <w:noProof/>
              <w:lang w:val="en-AU"/>
            </w:rPr>
            <w:t>(14)</w:t>
          </w:r>
          <w:r w:rsidR="000C3378">
            <w:rPr>
              <w:bCs/>
              <w:lang w:val="en-GB"/>
            </w:rPr>
            <w:fldChar w:fldCharType="end"/>
          </w:r>
        </w:sdtContent>
      </w:sdt>
      <w:r w:rsidR="000C3378">
        <w:rPr>
          <w:bCs/>
          <w:lang w:val="en-GB"/>
        </w:rPr>
        <w:t xml:space="preserve"> However, at</w:t>
      </w:r>
      <w:r w:rsidRPr="00074D54">
        <w:rPr>
          <w:lang w:val="en-GB"/>
        </w:rPr>
        <w:t xml:space="preserve"> present, </w:t>
      </w:r>
      <w:r w:rsidR="000C3378">
        <w:rPr>
          <w:lang w:val="en-GB"/>
        </w:rPr>
        <w:t xml:space="preserve">MBS data show that </w:t>
      </w:r>
      <w:r w:rsidRPr="00074D54">
        <w:rPr>
          <w:lang w:val="en-GB"/>
        </w:rPr>
        <w:t>vitamin B12 marker testing outstrips serum vitamin B12 testing</w:t>
      </w:r>
      <w:r w:rsidR="009E1331">
        <w:rPr>
          <w:lang w:val="en-GB"/>
        </w:rPr>
        <w:t xml:space="preserve"> (</w:t>
      </w:r>
      <w:r w:rsidR="009E1331">
        <w:rPr>
          <w:lang w:val="en-GB"/>
        </w:rPr>
        <w:fldChar w:fldCharType="begin"/>
      </w:r>
      <w:r w:rsidR="009E1331">
        <w:rPr>
          <w:lang w:val="en-GB"/>
        </w:rPr>
        <w:instrText xml:space="preserve"> REF _Ref525806185 \h </w:instrText>
      </w:r>
      <w:r w:rsidR="009E1331">
        <w:rPr>
          <w:lang w:val="en-GB"/>
        </w:rPr>
      </w:r>
      <w:r w:rsidR="009E1331">
        <w:rPr>
          <w:lang w:val="en-GB"/>
        </w:rPr>
        <w:fldChar w:fldCharType="separate"/>
      </w:r>
      <w:r w:rsidR="009E1331">
        <w:t xml:space="preserve">Table </w:t>
      </w:r>
      <w:r w:rsidR="009E1331">
        <w:rPr>
          <w:noProof/>
        </w:rPr>
        <w:t>3</w:t>
      </w:r>
      <w:r w:rsidR="009E1331">
        <w:rPr>
          <w:lang w:val="en-GB"/>
        </w:rPr>
        <w:fldChar w:fldCharType="end"/>
      </w:r>
      <w:r w:rsidR="009E1331">
        <w:rPr>
          <w:lang w:val="en-GB"/>
        </w:rPr>
        <w:t>)</w:t>
      </w:r>
      <w:r w:rsidR="000C3378">
        <w:rPr>
          <w:lang w:val="en-GB"/>
        </w:rPr>
        <w:t>. T</w:t>
      </w:r>
      <w:r w:rsidR="009E1331">
        <w:rPr>
          <w:lang w:val="en-GB"/>
        </w:rPr>
        <w:t xml:space="preserve">he Committee felt that this </w:t>
      </w:r>
      <w:r w:rsidR="000C3378">
        <w:rPr>
          <w:lang w:val="en-GB"/>
        </w:rPr>
        <w:t>may be</w:t>
      </w:r>
      <w:r w:rsidRPr="00074D54">
        <w:rPr>
          <w:lang w:val="en-GB"/>
        </w:rPr>
        <w:t xml:space="preserve"> partly because the vitamin B12 marker test is not subject to a frequency restriction.</w:t>
      </w:r>
    </w:p>
    <w:p w14:paraId="195CA148" w14:textId="77777777" w:rsidR="00BE40E6" w:rsidRPr="0090307D" w:rsidRDefault="00BE40E6" w:rsidP="00441EAB">
      <w:pPr>
        <w:pStyle w:val="Bullet2"/>
        <w:numPr>
          <w:ilvl w:val="1"/>
          <w:numId w:val="31"/>
        </w:numPr>
        <w:spacing w:line="240" w:lineRule="auto"/>
        <w:ind w:left="717" w:right="0"/>
        <w:rPr>
          <w:lang w:val="en-GB"/>
        </w:rPr>
      </w:pPr>
      <w:r w:rsidRPr="00074D54">
        <w:rPr>
          <w:lang w:val="en-GB"/>
        </w:rPr>
        <w:t xml:space="preserve">No guidelines exist to support repeat vitamin B12 testing more frequently than annually. </w:t>
      </w:r>
      <w:r w:rsidR="00231835">
        <w:rPr>
          <w:lang w:val="en-GB"/>
        </w:rPr>
        <w:t xml:space="preserve">A review by MSAC found that there </w:t>
      </w:r>
      <w:r w:rsidRPr="00074D54">
        <w:rPr>
          <w:lang w:val="en-GB"/>
        </w:rPr>
        <w:t xml:space="preserve">is no obvious merit in rechecking levels during vitamin B12 replacement </w:t>
      </w:r>
      <w:r w:rsidR="00E93F0F">
        <w:rPr>
          <w:lang w:val="en-GB"/>
        </w:rPr>
        <w:t xml:space="preserve">therapy </w:t>
      </w:r>
      <w:r w:rsidR="004F01B7">
        <w:rPr>
          <w:lang w:val="en-GB"/>
        </w:rPr>
        <w:t xml:space="preserve">as it does not </w:t>
      </w:r>
      <w:r w:rsidR="004F01B7">
        <w:rPr>
          <w:lang w:val="en-AU"/>
        </w:rPr>
        <w:t>contribute to patient management</w:t>
      </w:r>
      <w:r w:rsidR="004F01B7" w:rsidRPr="00074D54">
        <w:rPr>
          <w:lang w:val="en-GB"/>
        </w:rPr>
        <w:t xml:space="preserve"> </w:t>
      </w:r>
      <w:r w:rsidRPr="00074D54">
        <w:rPr>
          <w:lang w:val="en-GB"/>
        </w:rPr>
        <w:t>(unless lack of compliance is suspected or anaemia recurs</w:t>
      </w:r>
      <w:r w:rsidRPr="00854013">
        <w:rPr>
          <w:lang w:val="en-GB"/>
        </w:rPr>
        <w:t>)</w:t>
      </w:r>
      <w:r w:rsidR="00231835">
        <w:rPr>
          <w:lang w:val="en-GB"/>
        </w:rPr>
        <w:t xml:space="preserve"> </w:t>
      </w:r>
      <w:sdt>
        <w:sdtPr>
          <w:rPr>
            <w:lang w:val="en-GB"/>
          </w:rPr>
          <w:id w:val="1429776877"/>
          <w:citation/>
        </w:sdtPr>
        <w:sdtEndPr/>
        <w:sdtContent>
          <w:r w:rsidR="00231835">
            <w:rPr>
              <w:lang w:val="en-GB"/>
            </w:rPr>
            <w:fldChar w:fldCharType="begin"/>
          </w:r>
          <w:r w:rsidR="00231835">
            <w:rPr>
              <w:lang w:val="en-AU"/>
            </w:rPr>
            <w:instrText xml:space="preserve"> CITATION Aus14 \l 3081 </w:instrText>
          </w:r>
          <w:r w:rsidR="00231835">
            <w:rPr>
              <w:lang w:val="en-GB"/>
            </w:rPr>
            <w:fldChar w:fldCharType="separate"/>
          </w:r>
          <w:r w:rsidR="00B66BE1" w:rsidRPr="00B66BE1">
            <w:rPr>
              <w:noProof/>
              <w:lang w:val="en-AU"/>
            </w:rPr>
            <w:t>(15)</w:t>
          </w:r>
          <w:r w:rsidR="00231835">
            <w:rPr>
              <w:lang w:val="en-GB"/>
            </w:rPr>
            <w:fldChar w:fldCharType="end"/>
          </w:r>
        </w:sdtContent>
      </w:sdt>
      <w:r w:rsidRPr="00854013">
        <w:rPr>
          <w:lang w:val="en-GB"/>
        </w:rPr>
        <w:t>.</w:t>
      </w:r>
      <w:r w:rsidR="003A55B2">
        <w:rPr>
          <w:lang w:val="en-GB"/>
        </w:rPr>
        <w:t xml:space="preserve"> Committee members noted that some specific circumstances may require more frequent monitoring </w:t>
      </w:r>
      <w:r w:rsidR="0090307D">
        <w:rPr>
          <w:lang w:val="en-GB"/>
        </w:rPr>
        <w:t xml:space="preserve">of response to treatment </w:t>
      </w:r>
      <w:r w:rsidR="00441EAB">
        <w:rPr>
          <w:lang w:val="en-GB"/>
        </w:rPr>
        <w:t>but</w:t>
      </w:r>
      <w:r w:rsidR="00702B97">
        <w:rPr>
          <w:lang w:val="en-GB"/>
        </w:rPr>
        <w:t xml:space="preserve"> considered </w:t>
      </w:r>
      <w:r w:rsidR="0090307D">
        <w:rPr>
          <w:lang w:val="en-GB"/>
        </w:rPr>
        <w:t>a full blood examination</w:t>
      </w:r>
      <w:r w:rsidR="00A67A52">
        <w:rPr>
          <w:lang w:val="en-GB"/>
        </w:rPr>
        <w:t xml:space="preserve"> (FBE)</w:t>
      </w:r>
      <w:r w:rsidR="0090307D">
        <w:rPr>
          <w:lang w:val="en-GB"/>
        </w:rPr>
        <w:t xml:space="preserve"> </w:t>
      </w:r>
      <w:r w:rsidR="0090307D" w:rsidRPr="0006489F">
        <w:rPr>
          <w:lang w:val="en-GB"/>
        </w:rPr>
        <w:t>the appropriate follow-up test</w:t>
      </w:r>
      <w:r w:rsidR="00B60D52">
        <w:rPr>
          <w:lang w:val="en-GB"/>
        </w:rPr>
        <w:t xml:space="preserve"> </w:t>
      </w:r>
      <w:r w:rsidR="00D902B4">
        <w:rPr>
          <w:lang w:val="en-GB"/>
        </w:rPr>
        <w:t>instead of</w:t>
      </w:r>
      <w:r w:rsidR="00B60D52">
        <w:rPr>
          <w:lang w:val="en-GB"/>
        </w:rPr>
        <w:t xml:space="preserve"> repeat serum vitamin B12</w:t>
      </w:r>
      <w:r w:rsidR="00A17024">
        <w:rPr>
          <w:lang w:val="en-GB"/>
        </w:rPr>
        <w:t xml:space="preserve"> testing</w:t>
      </w:r>
      <w:r w:rsidR="0090307D" w:rsidRPr="0090307D">
        <w:rPr>
          <w:lang w:val="en-GB"/>
        </w:rPr>
        <w:t>.</w:t>
      </w:r>
    </w:p>
    <w:p w14:paraId="11A4080C" w14:textId="77777777" w:rsidR="00DF7AFF" w:rsidRPr="00BF611E" w:rsidRDefault="00DF7AFF" w:rsidP="00D955CF">
      <w:pPr>
        <w:pStyle w:val="NormalBulleted"/>
        <w:numPr>
          <w:ilvl w:val="0"/>
          <w:numId w:val="80"/>
        </w:numPr>
      </w:pPr>
      <w:r w:rsidRPr="00BF611E">
        <w:t>The Committee was of the view that</w:t>
      </w:r>
      <w:r w:rsidR="00D955CF">
        <w:t xml:space="preserve"> as MSAC</w:t>
      </w:r>
      <w:r w:rsidR="00852226">
        <w:t xml:space="preserve"> approved the </w:t>
      </w:r>
      <w:r w:rsidR="00D955CF">
        <w:t>use</w:t>
      </w:r>
      <w:r w:rsidR="00852226">
        <w:t xml:space="preserve"> of item 66839 for ‘</w:t>
      </w:r>
      <w:r w:rsidR="00D955CF" w:rsidRPr="00D955CF">
        <w:t>quantification of vitamin B12 markers such as holoTranscobalamin or methylmalonic acid when the initial serum vitamin B12 test is low or equivocal</w:t>
      </w:r>
      <w:r w:rsidR="00852226">
        <w:t>’ in its 2014 decision</w:t>
      </w:r>
      <w:r w:rsidR="008805DF">
        <w:t xml:space="preserve"> </w:t>
      </w:r>
      <w:sdt>
        <w:sdtPr>
          <w:id w:val="337514416"/>
          <w:citation/>
        </w:sdtPr>
        <w:sdtEndPr/>
        <w:sdtContent>
          <w:r w:rsidR="008805DF">
            <w:fldChar w:fldCharType="begin"/>
          </w:r>
          <w:r w:rsidR="008805DF">
            <w:rPr>
              <w:lang w:val="en-AU"/>
            </w:rPr>
            <w:instrText xml:space="preserve"> CITATION Med141 \l 3081 </w:instrText>
          </w:r>
          <w:r w:rsidR="008805DF">
            <w:fldChar w:fldCharType="separate"/>
          </w:r>
          <w:r w:rsidR="00B66BE1" w:rsidRPr="00B66BE1">
            <w:rPr>
              <w:noProof/>
              <w:lang w:val="en-AU"/>
            </w:rPr>
            <w:t>(14)</w:t>
          </w:r>
          <w:r w:rsidR="008805DF">
            <w:fldChar w:fldCharType="end"/>
          </w:r>
        </w:sdtContent>
      </w:sdt>
      <w:r w:rsidR="00852226">
        <w:t>,</w:t>
      </w:r>
      <w:r w:rsidRPr="00BF611E">
        <w:t xml:space="preserve"> </w:t>
      </w:r>
      <w:r w:rsidR="00D955CF">
        <w:t xml:space="preserve">they could not recommend </w:t>
      </w:r>
      <w:r w:rsidRPr="00BF611E">
        <w:t xml:space="preserve">serum vitamin B12 testing be </w:t>
      </w:r>
      <w:r w:rsidR="003A55B2">
        <w:t>replaced by</w:t>
      </w:r>
      <w:r w:rsidRPr="00BF611E">
        <w:t xml:space="preserve"> vitamin B12 marker testing without MSAC </w:t>
      </w:r>
      <w:r w:rsidR="00852226">
        <w:t xml:space="preserve">first </w:t>
      </w:r>
      <w:r w:rsidRPr="00BF611E">
        <w:t xml:space="preserve">conducting an updated evaluation of the </w:t>
      </w:r>
      <w:r w:rsidR="00DC3A6A">
        <w:t xml:space="preserve">vitamin </w:t>
      </w:r>
      <w:r w:rsidRPr="00BF611E">
        <w:t>B12 marker</w:t>
      </w:r>
      <w:r w:rsidR="00964D4F">
        <w:t>s</w:t>
      </w:r>
      <w:r w:rsidRPr="00BF611E">
        <w:t xml:space="preserve"> test as a first</w:t>
      </w:r>
      <w:r w:rsidR="00BF611E">
        <w:t>-</w:t>
      </w:r>
      <w:r w:rsidRPr="00BF611E">
        <w:t>line test</w:t>
      </w:r>
      <w:r w:rsidR="00852226">
        <w:t xml:space="preserve"> -</w:t>
      </w:r>
      <w:r w:rsidR="00D955CF">
        <w:t xml:space="preserve"> </w:t>
      </w:r>
      <w:r w:rsidRPr="00BF611E">
        <w:t>which could be triggered if important new evidence became available.</w:t>
      </w:r>
      <w:r w:rsidR="00DC3A6A">
        <w:t xml:space="preserve"> </w:t>
      </w:r>
    </w:p>
    <w:p w14:paraId="5CD5735F" w14:textId="77777777" w:rsidR="00BE40E6" w:rsidRPr="00854013" w:rsidRDefault="00BE40E6" w:rsidP="00EA019E">
      <w:pPr>
        <w:pStyle w:val="NormalBulleted"/>
        <w:numPr>
          <w:ilvl w:val="0"/>
          <w:numId w:val="80"/>
        </w:numPr>
      </w:pPr>
      <w:r w:rsidRPr="00854013">
        <w:t>The recommend</w:t>
      </w:r>
      <w:r w:rsidR="00BF611E">
        <w:t>ation</w:t>
      </w:r>
      <w:r w:rsidRPr="00854013">
        <w:t xml:space="preserve"> </w:t>
      </w:r>
      <w:r w:rsidR="00BF611E">
        <w:t xml:space="preserve">that vitamin B12 </w:t>
      </w:r>
      <w:r w:rsidRPr="00854013">
        <w:t>marker test</w:t>
      </w:r>
      <w:r w:rsidR="00BF611E">
        <w:t>ing</w:t>
      </w:r>
      <w:r w:rsidRPr="00854013">
        <w:t xml:space="preserve"> be undertaken on the same </w:t>
      </w:r>
      <w:r w:rsidR="00C95961" w:rsidRPr="00074D54">
        <w:t xml:space="preserve">pathology episode that returned the initial low or equivocal serum vitamin B12 </w:t>
      </w:r>
      <w:r w:rsidR="00C95961">
        <w:t>result</w:t>
      </w:r>
      <w:r w:rsidR="00C95961" w:rsidRPr="00854013">
        <w:t xml:space="preserve"> </w:t>
      </w:r>
      <w:r w:rsidR="00BF611E">
        <w:t>was made</w:t>
      </w:r>
      <w:r w:rsidRPr="00854013">
        <w:t xml:space="preserve"> to ensure that this item is </w:t>
      </w:r>
      <w:r w:rsidR="00964D4F">
        <w:t>used</w:t>
      </w:r>
      <w:r w:rsidR="00964D4F" w:rsidRPr="00854013">
        <w:t xml:space="preserve"> </w:t>
      </w:r>
      <w:r w:rsidRPr="00854013">
        <w:t>as intended</w:t>
      </w:r>
      <w:r w:rsidR="00964D4F">
        <w:t>,</w:t>
      </w:r>
      <w:r w:rsidR="00BF611E" w:rsidRPr="00854013">
        <w:t xml:space="preserve"> </w:t>
      </w:r>
      <w:r w:rsidRPr="00854013">
        <w:t xml:space="preserve">as a </w:t>
      </w:r>
      <w:r w:rsidR="00BF611E">
        <w:t>second-line</w:t>
      </w:r>
      <w:r w:rsidR="00BF611E" w:rsidRPr="00854013">
        <w:t xml:space="preserve"> </w:t>
      </w:r>
      <w:r w:rsidRPr="00854013">
        <w:t xml:space="preserve">test when the B12 serum test has returned a low or equivocal result. </w:t>
      </w:r>
    </w:p>
    <w:p w14:paraId="03B7FA80" w14:textId="77777777" w:rsidR="0082487B" w:rsidRDefault="00D955CF" w:rsidP="00FE1900">
      <w:pPr>
        <w:pStyle w:val="NormalBulleted"/>
        <w:numPr>
          <w:ilvl w:val="0"/>
          <w:numId w:val="80"/>
        </w:numPr>
      </w:pPr>
      <w:r>
        <w:t>In line with the 2014 MSAC evaluation, t</w:t>
      </w:r>
      <w:r w:rsidR="00BE40E6" w:rsidRPr="00360531">
        <w:t>here was consensus that lethargy and tiredness alone were not suitable indicators for requesting of B12 testing and that this should be expressed in the explanatory note for these items.</w:t>
      </w:r>
      <w:r w:rsidR="00FE1900" w:rsidRPr="00074D54">
        <w:t xml:space="preserve"> </w:t>
      </w:r>
    </w:p>
    <w:p w14:paraId="4411C50F" w14:textId="77777777" w:rsidR="00D564B9" w:rsidRPr="00074D54" w:rsidRDefault="0082487B" w:rsidP="00FE1900">
      <w:pPr>
        <w:pStyle w:val="NormalBulleted"/>
        <w:numPr>
          <w:ilvl w:val="0"/>
          <w:numId w:val="80"/>
        </w:numPr>
      </w:pPr>
      <w:r>
        <w:t xml:space="preserve">Subsequent to further consideration of stakeholder feedback and this recommendation, the Committee recommends that a repeat test is allowed if the previous test is abnormal. </w:t>
      </w:r>
      <w:r w:rsidR="00D564B9" w:rsidRPr="00074D54">
        <w:br w:type="page"/>
      </w:r>
    </w:p>
    <w:p w14:paraId="78C1B201" w14:textId="77777777" w:rsidR="00BE40E6" w:rsidRPr="00074D54" w:rsidRDefault="00BE40E6" w:rsidP="00814D8F">
      <w:pPr>
        <w:pStyle w:val="Heading2"/>
        <w:keepLines/>
        <w:spacing w:before="280" w:line="240" w:lineRule="auto"/>
        <w:ind w:left="284" w:hanging="284"/>
        <w:rPr>
          <w:lang w:val="en-GB"/>
        </w:rPr>
      </w:pPr>
      <w:bookmarkStart w:id="202" w:name="_Toc522396646"/>
      <w:bookmarkStart w:id="203" w:name="_Toc525816086"/>
      <w:r w:rsidRPr="00074D54">
        <w:rPr>
          <w:lang w:val="en-GB"/>
        </w:rPr>
        <w:lastRenderedPageBreak/>
        <w:t>Iron studies and ferritin testing item group</w:t>
      </w:r>
      <w:bookmarkEnd w:id="202"/>
      <w:bookmarkEnd w:id="203"/>
    </w:p>
    <w:p w14:paraId="39D6BD3C" w14:textId="77777777" w:rsidR="00BE40E6" w:rsidRPr="00074D54" w:rsidRDefault="00BE40E6" w:rsidP="00B42913">
      <w:pPr>
        <w:pStyle w:val="Heading3Numbered0"/>
        <w:rPr>
          <w:lang w:val="en-GB"/>
        </w:rPr>
      </w:pPr>
      <w:bookmarkStart w:id="204" w:name="_Toc522396647"/>
      <w:bookmarkStart w:id="205" w:name="_Toc525816087"/>
      <w:r w:rsidRPr="00074D54">
        <w:rPr>
          <w:lang w:val="en-GB"/>
        </w:rPr>
        <w:t>Items 66596 and 66593</w:t>
      </w:r>
      <w:bookmarkEnd w:id="204"/>
      <w:bookmarkEnd w:id="205"/>
    </w:p>
    <w:p w14:paraId="7E267DC9" w14:textId="77777777" w:rsidR="00BE40E6" w:rsidRPr="00074D54" w:rsidRDefault="00EB0974" w:rsidP="00EB0974">
      <w:pPr>
        <w:pStyle w:val="Caption"/>
        <w:rPr>
          <w:lang w:val="en-GB"/>
        </w:rPr>
      </w:pPr>
      <w:bookmarkStart w:id="206" w:name="_Ref525806233"/>
      <w:bookmarkStart w:id="207" w:name="_Toc525816960"/>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4</w:t>
      </w:r>
      <w:r w:rsidR="00AF6A7F">
        <w:rPr>
          <w:noProof/>
        </w:rPr>
        <w:fldChar w:fldCharType="end"/>
      </w:r>
      <w:bookmarkEnd w:id="206"/>
      <w:r w:rsidR="00BE40E6" w:rsidRPr="00074D54">
        <w:t xml:space="preserve">: </w:t>
      </w:r>
      <w:r w:rsidR="000028AB">
        <w:rPr>
          <w:lang w:val="en-GB"/>
        </w:rPr>
        <w:t>Services and benefits data for items</w:t>
      </w:r>
      <w:r w:rsidR="000028AB" w:rsidRPr="00074D54">
        <w:rPr>
          <w:lang w:val="en-GB"/>
        </w:rPr>
        <w:t xml:space="preserve"> </w:t>
      </w:r>
      <w:r w:rsidR="00BE40E6" w:rsidRPr="00074D54">
        <w:rPr>
          <w:lang w:val="en-GB"/>
        </w:rPr>
        <w:t>66596 and 66593</w:t>
      </w:r>
      <w:bookmarkEnd w:id="207"/>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 introduction table for items 66596 and 66593"/>
        <w:tblDescription w:val="Table 4 shows the standard data for iron studies (item 66596) and quantification of ferritin (item 66593): the schedule fee of each item, the total number of services and total amount paid in benefits for each item for the financial year 2015-16, as well as the value for average growth in services over five years."/>
      </w:tblPr>
      <w:tblGrid>
        <w:gridCol w:w="679"/>
        <w:gridCol w:w="3390"/>
        <w:gridCol w:w="903"/>
        <w:gridCol w:w="1071"/>
        <w:gridCol w:w="1158"/>
        <w:gridCol w:w="1101"/>
      </w:tblGrid>
      <w:tr w:rsidR="00BE40E6" w:rsidRPr="00074D54" w14:paraId="5CF75CB3" w14:textId="77777777" w:rsidTr="00BE40E6">
        <w:trPr>
          <w:tblHeader/>
        </w:trPr>
        <w:tc>
          <w:tcPr>
            <w:tcW w:w="70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5B483CE"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39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9312C03"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E722F15"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3"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D84F0C0"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1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014D177"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7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39B4824B"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5975B156"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18AC2442"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66596</w:t>
            </w:r>
          </w:p>
        </w:tc>
        <w:tc>
          <w:tcPr>
            <w:tcW w:w="3958" w:type="dxa"/>
            <w:tcBorders>
              <w:top w:val="single" w:sz="4" w:space="0" w:color="808080"/>
              <w:left w:val="single" w:sz="4" w:space="0" w:color="808080"/>
              <w:bottom w:val="single" w:sz="4" w:space="0" w:color="808080"/>
              <w:right w:val="single" w:sz="4" w:space="0" w:color="808080"/>
            </w:tcBorders>
            <w:hideMark/>
          </w:tcPr>
          <w:p w14:paraId="1EF7BAA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bCs/>
                <w:sz w:val="18"/>
                <w:szCs w:val="18"/>
                <w:lang w:val="en-GB" w:eastAsia="en-US"/>
              </w:rPr>
              <w:t>Iron studies</w:t>
            </w:r>
            <w:r w:rsidRPr="00074D54">
              <w:rPr>
                <w:rFonts w:ascii="Arial" w:eastAsiaTheme="minorHAnsi" w:hAnsi="Arial" w:cs="Arial"/>
                <w:sz w:val="18"/>
                <w:szCs w:val="18"/>
                <w:lang w:val="en-GB" w:eastAsia="en-US"/>
              </w:rPr>
              <w:t>, consisting of quantitation of:</w:t>
            </w:r>
          </w:p>
          <w:p w14:paraId="20C0D89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serum iron; and</w:t>
            </w:r>
          </w:p>
          <w:p w14:paraId="2140C6C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(b) transferrin or iron binding capacity; and</w:t>
            </w:r>
          </w:p>
          <w:p w14:paraId="4D15CE07"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(c) ferritin</w:t>
            </w:r>
          </w:p>
        </w:tc>
        <w:tc>
          <w:tcPr>
            <w:tcW w:w="914" w:type="dxa"/>
            <w:tcBorders>
              <w:top w:val="single" w:sz="4" w:space="0" w:color="808080"/>
              <w:left w:val="single" w:sz="4" w:space="0" w:color="808080"/>
              <w:bottom w:val="single" w:sz="4" w:space="0" w:color="808080"/>
              <w:right w:val="single" w:sz="4" w:space="0" w:color="808080"/>
            </w:tcBorders>
            <w:hideMark/>
          </w:tcPr>
          <w:p w14:paraId="588DBC4E"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$32.55</w:t>
            </w:r>
          </w:p>
        </w:tc>
        <w:tc>
          <w:tcPr>
            <w:tcW w:w="1103" w:type="dxa"/>
            <w:tcBorders>
              <w:top w:val="single" w:sz="4" w:space="0" w:color="808080"/>
              <w:left w:val="single" w:sz="4" w:space="0" w:color="808080"/>
              <w:bottom w:val="single" w:sz="4" w:space="0" w:color="808080"/>
              <w:right w:val="single" w:sz="4" w:space="0" w:color="808080"/>
            </w:tcBorders>
            <w:hideMark/>
          </w:tcPr>
          <w:p w14:paraId="507DED67"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5,381,062</w:t>
            </w:r>
          </w:p>
        </w:tc>
        <w:tc>
          <w:tcPr>
            <w:tcW w:w="1158" w:type="dxa"/>
            <w:tcBorders>
              <w:top w:val="single" w:sz="4" w:space="0" w:color="808080"/>
              <w:left w:val="single" w:sz="4" w:space="0" w:color="808080"/>
              <w:bottom w:val="single" w:sz="4" w:space="0" w:color="808080"/>
              <w:right w:val="single" w:sz="4" w:space="0" w:color="808080"/>
            </w:tcBorders>
            <w:hideMark/>
          </w:tcPr>
          <w:p w14:paraId="0A0965E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$149,229,387</w:t>
            </w:r>
          </w:p>
        </w:tc>
        <w:tc>
          <w:tcPr>
            <w:tcW w:w="1174" w:type="dxa"/>
            <w:tcBorders>
              <w:top w:val="single" w:sz="4" w:space="0" w:color="808080"/>
              <w:left w:val="single" w:sz="4" w:space="0" w:color="808080"/>
              <w:bottom w:val="single" w:sz="4" w:space="0" w:color="808080"/>
              <w:right w:val="single" w:sz="4" w:space="0" w:color="808080"/>
            </w:tcBorders>
            <w:hideMark/>
          </w:tcPr>
          <w:p w14:paraId="2598295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+9.2%</w:t>
            </w:r>
          </w:p>
        </w:tc>
      </w:tr>
      <w:tr w:rsidR="00BE40E6" w:rsidRPr="00074D54" w14:paraId="60F8D8AB"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132110D4"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66593</w:t>
            </w:r>
          </w:p>
        </w:tc>
        <w:tc>
          <w:tcPr>
            <w:tcW w:w="3958" w:type="dxa"/>
            <w:tcBorders>
              <w:top w:val="single" w:sz="4" w:space="0" w:color="808080"/>
              <w:left w:val="single" w:sz="4" w:space="0" w:color="808080"/>
              <w:bottom w:val="single" w:sz="4" w:space="0" w:color="808080"/>
              <w:right w:val="single" w:sz="4" w:space="0" w:color="808080"/>
            </w:tcBorders>
          </w:tcPr>
          <w:p w14:paraId="768F4DA9"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Ferritin - quantitation, except if requested as part of iron studies</w:t>
            </w:r>
          </w:p>
          <w:p w14:paraId="72A33285" w14:textId="77777777" w:rsidR="00BE40E6" w:rsidRPr="00074D54" w:rsidRDefault="00BE40E6" w:rsidP="00DA51D1">
            <w:pPr>
              <w:spacing w:before="20" w:after="20"/>
              <w:rPr>
                <w:rFonts w:ascii="Arial" w:eastAsiaTheme="minorHAnsi" w:hAnsi="Arial" w:cs="Arial"/>
                <w:b/>
                <w:bCs/>
                <w:sz w:val="18"/>
                <w:szCs w:val="18"/>
                <w:lang w:val="en-GB" w:eastAsia="en-US"/>
              </w:rPr>
            </w:pPr>
          </w:p>
        </w:tc>
        <w:tc>
          <w:tcPr>
            <w:tcW w:w="914" w:type="dxa"/>
            <w:tcBorders>
              <w:top w:val="single" w:sz="4" w:space="0" w:color="808080"/>
              <w:left w:val="single" w:sz="4" w:space="0" w:color="808080"/>
              <w:bottom w:val="single" w:sz="4" w:space="0" w:color="808080"/>
              <w:right w:val="single" w:sz="4" w:space="0" w:color="808080"/>
            </w:tcBorders>
            <w:hideMark/>
          </w:tcPr>
          <w:p w14:paraId="79D6085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$18.00</w:t>
            </w:r>
          </w:p>
        </w:tc>
        <w:tc>
          <w:tcPr>
            <w:tcW w:w="1103" w:type="dxa"/>
            <w:tcBorders>
              <w:top w:val="single" w:sz="4" w:space="0" w:color="808080"/>
              <w:left w:val="single" w:sz="4" w:space="0" w:color="808080"/>
              <w:bottom w:val="single" w:sz="4" w:space="0" w:color="808080"/>
              <w:right w:val="single" w:sz="4" w:space="0" w:color="808080"/>
            </w:tcBorders>
            <w:hideMark/>
          </w:tcPr>
          <w:p w14:paraId="230A940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588,357</w:t>
            </w:r>
          </w:p>
        </w:tc>
        <w:tc>
          <w:tcPr>
            <w:tcW w:w="1158" w:type="dxa"/>
            <w:tcBorders>
              <w:top w:val="single" w:sz="4" w:space="0" w:color="808080"/>
              <w:left w:val="single" w:sz="4" w:space="0" w:color="808080"/>
              <w:bottom w:val="single" w:sz="4" w:space="0" w:color="808080"/>
              <w:right w:val="single" w:sz="4" w:space="0" w:color="808080"/>
            </w:tcBorders>
            <w:hideMark/>
          </w:tcPr>
          <w:p w14:paraId="67DC85DC"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$9,020,341</w:t>
            </w:r>
          </w:p>
        </w:tc>
        <w:tc>
          <w:tcPr>
            <w:tcW w:w="1174" w:type="dxa"/>
            <w:tcBorders>
              <w:top w:val="single" w:sz="4" w:space="0" w:color="808080"/>
              <w:left w:val="single" w:sz="4" w:space="0" w:color="808080"/>
              <w:bottom w:val="single" w:sz="4" w:space="0" w:color="808080"/>
              <w:right w:val="single" w:sz="4" w:space="0" w:color="808080"/>
            </w:tcBorders>
            <w:hideMark/>
          </w:tcPr>
          <w:p w14:paraId="12083C2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+8.2%</w:t>
            </w:r>
          </w:p>
        </w:tc>
      </w:tr>
    </w:tbl>
    <w:p w14:paraId="459D07EA" w14:textId="77777777" w:rsidR="00BE40E6" w:rsidRPr="006E404A" w:rsidRDefault="00BE40E6" w:rsidP="006E404A">
      <w:pPr>
        <w:pStyle w:val="Boldtext"/>
      </w:pPr>
      <w:r w:rsidRPr="006E404A">
        <w:t>Recommendation</w:t>
      </w:r>
      <w:r w:rsidR="006E404A">
        <w:t>s</w:t>
      </w:r>
      <w:r w:rsidRPr="006E404A">
        <w:t xml:space="preserve"> </w:t>
      </w:r>
    </w:p>
    <w:p w14:paraId="184C769A" w14:textId="6BB0F11D" w:rsidR="00EF0641" w:rsidRPr="00074D54" w:rsidRDefault="009173A1" w:rsidP="0029574B">
      <w:pPr>
        <w:pStyle w:val="NormalBulleted"/>
        <w:numPr>
          <w:ilvl w:val="0"/>
          <w:numId w:val="105"/>
        </w:numPr>
        <w:rPr>
          <w:lang w:val="en-GB"/>
        </w:rPr>
      </w:pPr>
      <w:r>
        <w:rPr>
          <w:lang w:val="en-GB"/>
        </w:rPr>
        <w:t>Change the item name and item descriptor f</w:t>
      </w:r>
      <w:r w:rsidR="00FA4920" w:rsidRPr="00074D54">
        <w:rPr>
          <w:lang w:val="en-GB"/>
        </w:rPr>
        <w:t>or item 66593</w:t>
      </w:r>
      <w:r>
        <w:rPr>
          <w:lang w:val="en-GB"/>
        </w:rPr>
        <w:t>. The proposed item name is</w:t>
      </w:r>
      <w:r w:rsidR="00EF0641" w:rsidRPr="00074D54">
        <w:rPr>
          <w:lang w:val="en-GB"/>
        </w:rPr>
        <w:t xml:space="preserve"> ‘iron deficiency stud</w:t>
      </w:r>
      <w:r w:rsidR="00EF0641">
        <w:rPr>
          <w:lang w:val="en-GB"/>
        </w:rPr>
        <w:t>ies</w:t>
      </w:r>
      <w:r w:rsidR="00EF0641" w:rsidRPr="00074D54">
        <w:rPr>
          <w:lang w:val="en-GB"/>
        </w:rPr>
        <w:t>’</w:t>
      </w:r>
      <w:r w:rsidR="00EF0641">
        <w:rPr>
          <w:lang w:val="en-GB"/>
        </w:rPr>
        <w:t>.</w:t>
      </w:r>
      <w:r w:rsidR="00EF0641" w:rsidRPr="00074D54">
        <w:rPr>
          <w:lang w:val="en-GB"/>
        </w:rPr>
        <w:t xml:space="preserve"> The proposed item descriptor is as follows:</w:t>
      </w:r>
    </w:p>
    <w:p w14:paraId="486EBAED" w14:textId="77777777" w:rsidR="0065315D" w:rsidRDefault="0092638D" w:rsidP="00FA4920">
      <w:pPr>
        <w:pStyle w:val="02dash"/>
        <w:numPr>
          <w:ilvl w:val="1"/>
          <w:numId w:val="64"/>
        </w:numPr>
        <w:spacing w:line="240" w:lineRule="auto"/>
        <w:ind w:right="0"/>
        <w:rPr>
          <w:lang w:val="en-GB"/>
        </w:rPr>
      </w:pPr>
      <w:r>
        <w:rPr>
          <w:lang w:val="en-GB"/>
        </w:rPr>
        <w:t>Item 66593:</w:t>
      </w:r>
      <w:r w:rsidR="00FA4920">
        <w:rPr>
          <w:lang w:val="en-GB"/>
        </w:rPr>
        <w:t xml:space="preserve"> </w:t>
      </w:r>
      <w:r w:rsidR="00EF0641" w:rsidRPr="00EF0641">
        <w:rPr>
          <w:lang w:val="en-GB"/>
        </w:rPr>
        <w:t>Iron deficiency studies—ferritin—quantitation</w:t>
      </w:r>
      <w:r>
        <w:rPr>
          <w:lang w:val="en-GB"/>
        </w:rPr>
        <w:t>.</w:t>
      </w:r>
      <w:r w:rsidR="00120FDE">
        <w:rPr>
          <w:lang w:val="en-GB"/>
        </w:rPr>
        <w:t xml:space="preserve"> </w:t>
      </w:r>
    </w:p>
    <w:p w14:paraId="5B05ECCA" w14:textId="77777777" w:rsidR="0065315D" w:rsidRPr="00074D54" w:rsidRDefault="0065315D" w:rsidP="00671F7C">
      <w:pPr>
        <w:pStyle w:val="NormalBulleted"/>
        <w:numPr>
          <w:ilvl w:val="0"/>
          <w:numId w:val="0"/>
        </w:numPr>
        <w:ind w:left="360"/>
        <w:rPr>
          <w:lang w:val="en-GB"/>
        </w:rPr>
      </w:pPr>
      <w:r>
        <w:rPr>
          <w:lang w:val="en-GB"/>
        </w:rPr>
        <w:t xml:space="preserve">The proposed </w:t>
      </w:r>
      <w:r w:rsidRPr="00074D54">
        <w:rPr>
          <w:bCs/>
          <w:lang w:val="en-GB"/>
        </w:rPr>
        <w:t xml:space="preserve">Explanatory Note </w:t>
      </w:r>
      <w:r w:rsidRPr="004F79F3">
        <w:rPr>
          <w:bCs/>
          <w:lang w:val="en-GB"/>
        </w:rPr>
        <w:t>P</w:t>
      </w:r>
      <w:r>
        <w:rPr>
          <w:bCs/>
          <w:lang w:val="en-GB"/>
        </w:rPr>
        <w:t>N.0.15</w:t>
      </w:r>
      <w:r w:rsidRPr="00074D54">
        <w:rPr>
          <w:bCs/>
          <w:lang w:val="en-GB"/>
        </w:rPr>
        <w:t xml:space="preserve"> in </w:t>
      </w:r>
      <w:r w:rsidRPr="00074D54">
        <w:rPr>
          <w:lang w:val="en-GB"/>
        </w:rPr>
        <w:t>Category 6 of the MBS</w:t>
      </w:r>
      <w:r>
        <w:rPr>
          <w:lang w:val="en-GB"/>
        </w:rPr>
        <w:t xml:space="preserve"> is</w:t>
      </w:r>
      <w:r w:rsidRPr="00074D54">
        <w:rPr>
          <w:lang w:val="en-GB"/>
        </w:rPr>
        <w:t xml:space="preserve"> as follows:</w:t>
      </w:r>
      <w:r>
        <w:rPr>
          <w:lang w:val="en-GB"/>
        </w:rPr>
        <w:t xml:space="preserve"> </w:t>
      </w:r>
    </w:p>
    <w:p w14:paraId="0D59E14B" w14:textId="77777777" w:rsidR="0065315D" w:rsidRPr="0033180B" w:rsidRDefault="0065315D" w:rsidP="0065315D">
      <w:pPr>
        <w:pStyle w:val="02dash"/>
        <w:numPr>
          <w:ilvl w:val="1"/>
          <w:numId w:val="64"/>
        </w:numPr>
        <w:spacing w:line="240" w:lineRule="auto"/>
        <w:ind w:right="0"/>
        <w:rPr>
          <w:i/>
          <w:lang w:val="en-GB"/>
        </w:rPr>
      </w:pPr>
      <w:r w:rsidRPr="0033180B">
        <w:rPr>
          <w:i/>
          <w:lang w:val="en-GB"/>
        </w:rPr>
        <w:t>Where a request includes ‘iron studies, ‘IS’, ‘Fe’, or ‘iron’ the relevant item</w:t>
      </w:r>
      <w:r>
        <w:rPr>
          <w:i/>
          <w:lang w:val="en-GB"/>
        </w:rPr>
        <w:t xml:space="preserve"> is 66593 (</w:t>
      </w:r>
      <w:r w:rsidRPr="0033180B">
        <w:rPr>
          <w:i/>
          <w:lang w:val="en-GB"/>
        </w:rPr>
        <w:t>iron deficiency studies</w:t>
      </w:r>
      <w:r>
        <w:rPr>
          <w:i/>
          <w:lang w:val="en-GB"/>
        </w:rPr>
        <w:t>)</w:t>
      </w:r>
      <w:r w:rsidRPr="0033180B">
        <w:rPr>
          <w:i/>
          <w:lang w:val="en-GB"/>
        </w:rPr>
        <w:t>, unless the request either specifies ‘iron overload study’ or contains clinical notes to indicate that the test is to check for iron overload.</w:t>
      </w:r>
    </w:p>
    <w:p w14:paraId="4C24C0E7" w14:textId="77777777" w:rsidR="0065315D" w:rsidRPr="0033180B" w:rsidRDefault="0065315D" w:rsidP="0065315D">
      <w:pPr>
        <w:pStyle w:val="02dash"/>
        <w:numPr>
          <w:ilvl w:val="0"/>
          <w:numId w:val="0"/>
        </w:numPr>
        <w:spacing w:line="240" w:lineRule="auto"/>
        <w:ind w:left="644" w:right="0"/>
        <w:rPr>
          <w:i/>
          <w:lang w:val="en-GB"/>
        </w:rPr>
      </w:pPr>
      <w:r w:rsidRPr="0033180B">
        <w:rPr>
          <w:i/>
          <w:lang w:val="en-GB"/>
        </w:rPr>
        <w:t>A serum ferritin alone is usually sufficient for diagnosing iron deficiency; full iron studies are only necessary when iron overload is suspected. Ferritin is the most accurate test in suspected iron deficiency; serum iron adds little other than a potential misinterpretation of low levels that may lead to a misdiagnosis of iron deficiency.</w:t>
      </w:r>
    </w:p>
    <w:p w14:paraId="390942C6" w14:textId="77777777" w:rsidR="0065315D" w:rsidRPr="0033180B" w:rsidRDefault="0065315D" w:rsidP="0065315D">
      <w:pPr>
        <w:pStyle w:val="02dash"/>
        <w:numPr>
          <w:ilvl w:val="0"/>
          <w:numId w:val="0"/>
        </w:numPr>
        <w:spacing w:line="240" w:lineRule="auto"/>
        <w:ind w:left="644" w:right="0"/>
        <w:rPr>
          <w:i/>
          <w:lang w:val="en-GB"/>
        </w:rPr>
      </w:pPr>
      <w:r w:rsidRPr="0033180B">
        <w:rPr>
          <w:i/>
          <w:lang w:val="en-GB"/>
        </w:rPr>
        <w:t xml:space="preserve">When inflammation or infection is present, both iron studies and ferritin are unreliable indicators of iron status. </w:t>
      </w:r>
    </w:p>
    <w:p w14:paraId="33536C23" w14:textId="77777777" w:rsidR="0065315D" w:rsidRPr="0033180B" w:rsidRDefault="0065315D" w:rsidP="0065315D">
      <w:pPr>
        <w:pStyle w:val="02dash"/>
        <w:numPr>
          <w:ilvl w:val="0"/>
          <w:numId w:val="0"/>
        </w:numPr>
        <w:spacing w:line="240" w:lineRule="auto"/>
        <w:ind w:left="644" w:right="0"/>
        <w:rPr>
          <w:i/>
          <w:lang w:val="en-GB"/>
        </w:rPr>
      </w:pPr>
      <w:r w:rsidRPr="0033180B">
        <w:rPr>
          <w:i/>
          <w:lang w:val="en-GB"/>
        </w:rPr>
        <w:t>Re-testing of ferritin within 3 months of commencing oral iron treatment or following iron infusion is unreliable and unnecessary.</w:t>
      </w:r>
    </w:p>
    <w:p w14:paraId="22685C20" w14:textId="77777777" w:rsidR="0065315D" w:rsidRPr="0033180B" w:rsidRDefault="0065315D" w:rsidP="0065315D">
      <w:pPr>
        <w:pStyle w:val="02dash"/>
        <w:numPr>
          <w:ilvl w:val="0"/>
          <w:numId w:val="0"/>
        </w:numPr>
        <w:spacing w:line="240" w:lineRule="auto"/>
        <w:ind w:left="644" w:right="0"/>
        <w:rPr>
          <w:i/>
          <w:lang w:val="en-GB"/>
        </w:rPr>
      </w:pPr>
      <w:r w:rsidRPr="0033180B">
        <w:rPr>
          <w:i/>
          <w:lang w:val="en-GB"/>
        </w:rPr>
        <w:t>If:</w:t>
      </w:r>
    </w:p>
    <w:p w14:paraId="18A2F033" w14:textId="7E1EE4FC" w:rsidR="0065315D" w:rsidRPr="0033180B" w:rsidRDefault="005C6B1F" w:rsidP="002818C3">
      <w:pPr>
        <w:pStyle w:val="ListParagraph"/>
        <w:numPr>
          <w:ilvl w:val="0"/>
          <w:numId w:val="107"/>
        </w:numPr>
        <w:spacing w:before="0" w:after="0" w:line="240" w:lineRule="auto"/>
        <w:rPr>
          <w:i/>
          <w:szCs w:val="20"/>
          <w:lang w:val="en-GB" w:eastAsia="en-US"/>
        </w:rPr>
      </w:pPr>
      <w:r w:rsidRPr="0033180B">
        <w:rPr>
          <w:i/>
          <w:szCs w:val="20"/>
          <w:lang w:val="en-GB" w:eastAsia="en-US"/>
        </w:rPr>
        <w:t>Ferritin</w:t>
      </w:r>
      <w:r w:rsidR="0065315D" w:rsidRPr="0033180B">
        <w:rPr>
          <w:i/>
          <w:szCs w:val="20"/>
          <w:lang w:val="en-GB" w:eastAsia="en-US"/>
        </w:rPr>
        <w:t xml:space="preserve"> or iron studies is requested, and testing indicates low ferritin (less than 30 μg/L), then item 66593 (iron deficiency studies ) should be claimed and only ferritin levels reported.</w:t>
      </w:r>
    </w:p>
    <w:p w14:paraId="3DE58D53" w14:textId="77777777" w:rsidR="0065315D" w:rsidRPr="0033180B" w:rsidRDefault="0065315D" w:rsidP="002818C3">
      <w:pPr>
        <w:pStyle w:val="ListParagraph"/>
        <w:numPr>
          <w:ilvl w:val="0"/>
          <w:numId w:val="107"/>
        </w:numPr>
        <w:spacing w:before="0" w:after="0" w:line="240" w:lineRule="auto"/>
        <w:rPr>
          <w:i/>
          <w:szCs w:val="20"/>
          <w:lang w:val="en-GB" w:eastAsia="en-US"/>
        </w:rPr>
      </w:pPr>
      <w:r w:rsidRPr="0033180B">
        <w:rPr>
          <w:i/>
          <w:szCs w:val="20"/>
          <w:lang w:val="en-GB" w:eastAsia="en-US"/>
        </w:rPr>
        <w:t>Ferritin or iron studies is requested, and test</w:t>
      </w:r>
      <w:r>
        <w:rPr>
          <w:i/>
          <w:szCs w:val="20"/>
          <w:lang w:val="en-GB" w:eastAsia="en-US"/>
        </w:rPr>
        <w:t xml:space="preserve">ing indicates a ferritin level </w:t>
      </w:r>
      <w:r w:rsidRPr="0033180B">
        <w:rPr>
          <w:i/>
          <w:szCs w:val="20"/>
          <w:lang w:val="en-GB" w:eastAsia="en-US"/>
        </w:rPr>
        <w:t>above 300 μg/L, then item 66596 should be claimed and full iron studies should be performed and reported.</w:t>
      </w:r>
    </w:p>
    <w:p w14:paraId="2A6B76DB" w14:textId="024396B4" w:rsidR="0065315D" w:rsidRPr="0033180B" w:rsidRDefault="005C6B1F" w:rsidP="002818C3">
      <w:pPr>
        <w:pStyle w:val="ListParagraph"/>
        <w:numPr>
          <w:ilvl w:val="0"/>
          <w:numId w:val="107"/>
        </w:numPr>
        <w:spacing w:before="0" w:after="0" w:line="240" w:lineRule="auto"/>
        <w:rPr>
          <w:i/>
          <w:szCs w:val="20"/>
          <w:lang w:val="en-GB" w:eastAsia="en-US"/>
        </w:rPr>
      </w:pPr>
      <w:r>
        <w:rPr>
          <w:i/>
          <w:szCs w:val="20"/>
          <w:lang w:val="en-GB" w:eastAsia="en-US"/>
        </w:rPr>
        <w:t>F</w:t>
      </w:r>
      <w:r w:rsidR="0065315D" w:rsidRPr="0033180B">
        <w:rPr>
          <w:i/>
          <w:szCs w:val="20"/>
          <w:lang w:val="en-GB" w:eastAsia="en-US"/>
        </w:rPr>
        <w:t xml:space="preserve">erritin or iron studies is requested, and testing indicates a ferritin level between 30 μg/L and </w:t>
      </w:r>
      <w:r w:rsidR="0065315D">
        <w:rPr>
          <w:i/>
          <w:szCs w:val="20"/>
          <w:lang w:val="en-GB" w:eastAsia="en-US"/>
        </w:rPr>
        <w:t>1</w:t>
      </w:r>
      <w:r w:rsidR="0065315D" w:rsidRPr="0033180B">
        <w:rPr>
          <w:i/>
          <w:szCs w:val="20"/>
          <w:lang w:val="en-GB" w:eastAsia="en-US"/>
        </w:rPr>
        <w:t>00 μg/L, only item 66593 should be billed and only ferritin reported except where there</w:t>
      </w:r>
      <w:r w:rsidR="0065315D">
        <w:rPr>
          <w:i/>
          <w:szCs w:val="20"/>
          <w:lang w:val="en-GB" w:eastAsia="en-US"/>
        </w:rPr>
        <w:t xml:space="preserve"> is</w:t>
      </w:r>
      <w:r w:rsidR="0065315D" w:rsidRPr="0033180B">
        <w:rPr>
          <w:i/>
          <w:szCs w:val="20"/>
          <w:lang w:val="en-GB" w:eastAsia="en-US"/>
        </w:rPr>
        <w:t xml:space="preserve"> laboratory or clinical evidence that ferritin is an unreliable test (e.g. infection or inflammation is present) then item 665</w:t>
      </w:r>
      <w:r w:rsidR="0065315D">
        <w:rPr>
          <w:i/>
          <w:szCs w:val="20"/>
          <w:lang w:val="en-GB" w:eastAsia="en-US"/>
        </w:rPr>
        <w:t>XX</w:t>
      </w:r>
      <w:r w:rsidR="0065315D" w:rsidRPr="0033180B">
        <w:rPr>
          <w:i/>
          <w:szCs w:val="20"/>
          <w:lang w:val="en-GB" w:eastAsia="en-US"/>
        </w:rPr>
        <w:t xml:space="preserve"> should be claimed and full iron studies performed an</w:t>
      </w:r>
      <w:r w:rsidR="0065315D">
        <w:rPr>
          <w:i/>
          <w:szCs w:val="20"/>
          <w:lang w:val="en-GB" w:eastAsia="en-US"/>
        </w:rPr>
        <w:t>d</w:t>
      </w:r>
      <w:r w:rsidR="0065315D" w:rsidRPr="0033180B">
        <w:rPr>
          <w:i/>
          <w:szCs w:val="20"/>
          <w:lang w:val="en-GB" w:eastAsia="en-US"/>
        </w:rPr>
        <w:t xml:space="preserve"> reported</w:t>
      </w:r>
      <w:r w:rsidR="0065315D">
        <w:rPr>
          <w:i/>
          <w:szCs w:val="20"/>
          <w:lang w:val="en-GB" w:eastAsia="en-US"/>
        </w:rPr>
        <w:t>.</w:t>
      </w:r>
    </w:p>
    <w:p w14:paraId="77BB70E5" w14:textId="3BA3E6A1" w:rsidR="00EF0641" w:rsidRPr="00EF0641" w:rsidRDefault="00EF0641" w:rsidP="00671F7C">
      <w:pPr>
        <w:pStyle w:val="02dash"/>
        <w:numPr>
          <w:ilvl w:val="0"/>
          <w:numId w:val="0"/>
        </w:numPr>
        <w:spacing w:line="240" w:lineRule="auto"/>
        <w:ind w:left="360" w:right="0"/>
        <w:rPr>
          <w:lang w:val="en-GB"/>
        </w:rPr>
      </w:pPr>
    </w:p>
    <w:p w14:paraId="6CE6EA04" w14:textId="5FD2CF4E" w:rsidR="00BE40E6" w:rsidRPr="00074D54" w:rsidRDefault="0065315D" w:rsidP="0029574B">
      <w:pPr>
        <w:pStyle w:val="NormalBulleted"/>
        <w:numPr>
          <w:ilvl w:val="0"/>
          <w:numId w:val="106"/>
        </w:numPr>
        <w:rPr>
          <w:lang w:val="en-GB"/>
        </w:rPr>
      </w:pPr>
      <w:r>
        <w:rPr>
          <w:lang w:val="en-GB"/>
        </w:rPr>
        <w:t>Change the item name and item descriptor f</w:t>
      </w:r>
      <w:r w:rsidR="00FA4920">
        <w:rPr>
          <w:lang w:val="en-GB"/>
        </w:rPr>
        <w:t>or</w:t>
      </w:r>
      <w:r w:rsidR="00FA4920" w:rsidRPr="00074D54">
        <w:rPr>
          <w:lang w:val="en-GB"/>
        </w:rPr>
        <w:t xml:space="preserve"> item 66596</w:t>
      </w:r>
      <w:r>
        <w:rPr>
          <w:lang w:val="en-GB"/>
        </w:rPr>
        <w:t>. The proposed item name is</w:t>
      </w:r>
      <w:r w:rsidR="00BE40E6" w:rsidRPr="00074D54">
        <w:rPr>
          <w:lang w:val="en-GB"/>
        </w:rPr>
        <w:t xml:space="preserve"> ‘iron overload stud</w:t>
      </w:r>
      <w:r w:rsidR="00104D7C">
        <w:rPr>
          <w:lang w:val="en-GB"/>
        </w:rPr>
        <w:t>ies</w:t>
      </w:r>
      <w:r w:rsidR="0092638D">
        <w:rPr>
          <w:lang w:val="en-GB"/>
        </w:rPr>
        <w:t>’</w:t>
      </w:r>
      <w:r w:rsidR="001A4A4C">
        <w:rPr>
          <w:lang w:val="en-GB"/>
        </w:rPr>
        <w:t>.</w:t>
      </w:r>
      <w:r w:rsidR="00BE40E6" w:rsidRPr="00074D54">
        <w:rPr>
          <w:lang w:val="en-GB"/>
        </w:rPr>
        <w:t xml:space="preserve"> The proposed item descriptor is as follows:</w:t>
      </w:r>
    </w:p>
    <w:p w14:paraId="71AC79C9" w14:textId="77777777" w:rsidR="00BE40E6" w:rsidRPr="00074D54" w:rsidRDefault="0092638D" w:rsidP="0052325B">
      <w:pPr>
        <w:pStyle w:val="02dash"/>
        <w:numPr>
          <w:ilvl w:val="1"/>
          <w:numId w:val="64"/>
        </w:numPr>
        <w:spacing w:before="0" w:after="0" w:line="240" w:lineRule="auto"/>
        <w:ind w:right="0"/>
        <w:rPr>
          <w:lang w:val="en-GB"/>
        </w:rPr>
      </w:pPr>
      <w:r>
        <w:rPr>
          <w:lang w:val="en-GB"/>
        </w:rPr>
        <w:t>Item 66596:</w:t>
      </w:r>
      <w:r w:rsidR="00FA4920">
        <w:rPr>
          <w:lang w:val="en-GB"/>
        </w:rPr>
        <w:t xml:space="preserve"> </w:t>
      </w:r>
      <w:r w:rsidR="00BE40E6" w:rsidRPr="00074D54">
        <w:rPr>
          <w:lang w:val="en-GB"/>
        </w:rPr>
        <w:t>Iron overload studies, consisting of quantitation of:</w:t>
      </w:r>
    </w:p>
    <w:p w14:paraId="00C9083D" w14:textId="77777777" w:rsidR="00BE40E6" w:rsidRPr="00074D54" w:rsidRDefault="00BE40E6" w:rsidP="0052325B">
      <w:pPr>
        <w:spacing w:before="0" w:after="0"/>
        <w:ind w:firstLine="644"/>
        <w:rPr>
          <w:lang w:val="en-GB"/>
        </w:rPr>
      </w:pPr>
      <w:r w:rsidRPr="00074D54">
        <w:rPr>
          <w:lang w:val="en-GB"/>
        </w:rPr>
        <w:t>(a) serum iron; and,</w:t>
      </w:r>
    </w:p>
    <w:p w14:paraId="3B4DB526" w14:textId="77777777" w:rsidR="00BE40E6" w:rsidRPr="00074D54" w:rsidRDefault="00BE40E6" w:rsidP="0052325B">
      <w:pPr>
        <w:spacing w:before="0" w:after="0"/>
        <w:ind w:firstLine="644"/>
        <w:rPr>
          <w:lang w:val="en-GB"/>
        </w:rPr>
      </w:pPr>
      <w:r w:rsidRPr="00074D54">
        <w:rPr>
          <w:lang w:val="en-GB"/>
        </w:rPr>
        <w:t>(b) transferrin or iron binding capacity; and,</w:t>
      </w:r>
    </w:p>
    <w:p w14:paraId="2F2B33FF" w14:textId="77777777" w:rsidR="00BE40E6" w:rsidRDefault="00BE40E6" w:rsidP="0052325B">
      <w:pPr>
        <w:spacing w:before="0" w:after="0"/>
        <w:ind w:firstLine="644"/>
        <w:rPr>
          <w:lang w:val="en-GB"/>
        </w:rPr>
      </w:pPr>
      <w:r w:rsidRPr="00074D54">
        <w:rPr>
          <w:lang w:val="en-GB"/>
        </w:rPr>
        <w:t>(c) ferritin.</w:t>
      </w:r>
    </w:p>
    <w:p w14:paraId="27767DA1" w14:textId="77777777" w:rsidR="00EF0641" w:rsidRPr="009E2435" w:rsidRDefault="0013789F" w:rsidP="00FA4920">
      <w:pPr>
        <w:tabs>
          <w:tab w:val="left" w:pos="1701"/>
        </w:tabs>
        <w:ind w:left="709"/>
      </w:pPr>
      <w:r>
        <w:t xml:space="preserve">This item </w:t>
      </w:r>
      <w:r w:rsidR="00FA4920">
        <w:t>will</w:t>
      </w:r>
      <w:r>
        <w:t xml:space="preserve"> be pathologist</w:t>
      </w:r>
      <w:r w:rsidR="00AC5D97">
        <w:t>-</w:t>
      </w:r>
      <w:r>
        <w:t xml:space="preserve">determinable if </w:t>
      </w:r>
      <w:r w:rsidR="00EF0641">
        <w:t>ferritin is &gt;300 μg/L.</w:t>
      </w:r>
    </w:p>
    <w:p w14:paraId="07BE419D" w14:textId="3567C2A5" w:rsidR="00227753" w:rsidRDefault="00227753" w:rsidP="0029574B">
      <w:pPr>
        <w:pStyle w:val="NormalBulleted"/>
        <w:numPr>
          <w:ilvl w:val="0"/>
          <w:numId w:val="106"/>
        </w:numPr>
        <w:rPr>
          <w:lang w:val="en-GB"/>
        </w:rPr>
      </w:pPr>
      <w:r w:rsidRPr="001A4A4C">
        <w:rPr>
          <w:lang w:val="en-GB"/>
        </w:rPr>
        <w:t>Create a new item</w:t>
      </w:r>
      <w:r w:rsidR="00C77DC3">
        <w:rPr>
          <w:lang w:val="en-GB"/>
        </w:rPr>
        <w:t xml:space="preserve"> 665XX</w:t>
      </w:r>
      <w:r>
        <w:rPr>
          <w:lang w:val="en-GB"/>
        </w:rPr>
        <w:t xml:space="preserve"> for ‘exception</w:t>
      </w:r>
      <w:r w:rsidRPr="001A4A4C">
        <w:rPr>
          <w:lang w:val="en-GB"/>
        </w:rPr>
        <w:t xml:space="preserve"> iron studies’ to allow testing of full iron studies</w:t>
      </w:r>
      <w:r>
        <w:rPr>
          <w:lang w:val="en-GB"/>
        </w:rPr>
        <w:t xml:space="preserve"> (</w:t>
      </w:r>
      <w:r w:rsidR="0065315D">
        <w:rPr>
          <w:lang w:val="en-GB"/>
        </w:rPr>
        <w:t>i.e.</w:t>
      </w:r>
      <w:r>
        <w:rPr>
          <w:lang w:val="en-GB"/>
        </w:rPr>
        <w:t xml:space="preserve"> item 66596; iron overload studies)</w:t>
      </w:r>
      <w:r w:rsidRPr="001A4A4C">
        <w:rPr>
          <w:lang w:val="en-GB"/>
        </w:rPr>
        <w:t xml:space="preserve"> </w:t>
      </w:r>
      <w:r>
        <w:rPr>
          <w:lang w:val="en-GB"/>
        </w:rPr>
        <w:t xml:space="preserve">when there is </w:t>
      </w:r>
      <w:r w:rsidR="00FA4920">
        <w:rPr>
          <w:lang w:val="en-GB"/>
        </w:rPr>
        <w:t xml:space="preserve">laboratory or clinical </w:t>
      </w:r>
      <w:r>
        <w:rPr>
          <w:lang w:val="en-GB"/>
        </w:rPr>
        <w:t>evidence t</w:t>
      </w:r>
      <w:r w:rsidRPr="001A4A4C">
        <w:rPr>
          <w:lang w:val="en-GB"/>
        </w:rPr>
        <w:t xml:space="preserve">hat ferritin alone </w:t>
      </w:r>
      <w:r>
        <w:rPr>
          <w:lang w:val="en-GB"/>
        </w:rPr>
        <w:t>is</w:t>
      </w:r>
      <w:r w:rsidRPr="001A4A4C">
        <w:rPr>
          <w:lang w:val="en-GB"/>
        </w:rPr>
        <w:t xml:space="preserve"> an unreliable indicator of iron </w:t>
      </w:r>
      <w:r>
        <w:rPr>
          <w:lang w:val="en-GB"/>
        </w:rPr>
        <w:t>status</w:t>
      </w:r>
      <w:r w:rsidRPr="001A4A4C">
        <w:rPr>
          <w:lang w:val="en-GB"/>
        </w:rPr>
        <w:t>.</w:t>
      </w:r>
      <w:r w:rsidRPr="00935AA0">
        <w:rPr>
          <w:lang w:val="en-GB"/>
        </w:rPr>
        <w:t xml:space="preserve"> </w:t>
      </w:r>
      <w:r w:rsidRPr="00074D54">
        <w:rPr>
          <w:lang w:val="en-GB"/>
        </w:rPr>
        <w:t>The proposed item descriptor is as follows:</w:t>
      </w:r>
    </w:p>
    <w:p w14:paraId="28E7D963" w14:textId="77777777" w:rsidR="00D35E4F" w:rsidRPr="00D35E4F" w:rsidRDefault="0092638D" w:rsidP="00D35E4F">
      <w:pPr>
        <w:pStyle w:val="02dash"/>
        <w:numPr>
          <w:ilvl w:val="1"/>
          <w:numId w:val="64"/>
        </w:numPr>
        <w:spacing w:line="240" w:lineRule="auto"/>
        <w:ind w:right="0"/>
        <w:rPr>
          <w:lang w:val="en-GB"/>
        </w:rPr>
      </w:pPr>
      <w:r>
        <w:rPr>
          <w:lang w:val="en-GB"/>
        </w:rPr>
        <w:t>Item 665XX:</w:t>
      </w:r>
      <w:r w:rsidR="00FA4920">
        <w:rPr>
          <w:lang w:val="en-GB"/>
        </w:rPr>
        <w:t xml:space="preserve"> </w:t>
      </w:r>
      <w:r w:rsidR="00D35E4F">
        <w:rPr>
          <w:lang w:val="en-GB"/>
        </w:rPr>
        <w:t>Exception</w:t>
      </w:r>
      <w:r w:rsidR="00D35E4F" w:rsidRPr="00D35E4F">
        <w:rPr>
          <w:lang w:val="en-GB"/>
        </w:rPr>
        <w:t xml:space="preserve"> iron studies, consisting of quantitation of: </w:t>
      </w:r>
    </w:p>
    <w:p w14:paraId="618B6B07" w14:textId="2E7931A8" w:rsidR="00D35E4F" w:rsidRPr="00D35E4F" w:rsidRDefault="00B01BAF" w:rsidP="00B01BAF">
      <w:pPr>
        <w:spacing w:before="0" w:after="0"/>
        <w:ind w:firstLine="644"/>
        <w:rPr>
          <w:lang w:val="en-GB"/>
        </w:rPr>
      </w:pPr>
      <w:r>
        <w:rPr>
          <w:szCs w:val="20"/>
          <w:lang w:val="en-GB"/>
        </w:rPr>
        <w:t xml:space="preserve">(a) </w:t>
      </w:r>
      <w:r w:rsidR="00D35E4F" w:rsidRPr="00D35E4F">
        <w:rPr>
          <w:lang w:val="en-GB"/>
        </w:rPr>
        <w:t xml:space="preserve">serum iron; and </w:t>
      </w:r>
    </w:p>
    <w:p w14:paraId="3C95D0FF" w14:textId="2B25EE31" w:rsidR="00D35E4F" w:rsidRPr="00D35E4F" w:rsidRDefault="00B01BAF" w:rsidP="0052325B">
      <w:pPr>
        <w:spacing w:before="0" w:after="0"/>
        <w:ind w:firstLine="644"/>
        <w:rPr>
          <w:lang w:val="en-GB"/>
        </w:rPr>
      </w:pPr>
      <w:r>
        <w:rPr>
          <w:lang w:val="en-GB"/>
        </w:rPr>
        <w:t xml:space="preserve">(b) </w:t>
      </w:r>
      <w:r w:rsidR="00D35E4F" w:rsidRPr="00D35E4F">
        <w:rPr>
          <w:lang w:val="en-GB"/>
        </w:rPr>
        <w:t xml:space="preserve">transferrin or iron binding capacity; and </w:t>
      </w:r>
    </w:p>
    <w:p w14:paraId="5A7F9E3A" w14:textId="382108D8" w:rsidR="00D35E4F" w:rsidRPr="00D35E4F" w:rsidRDefault="00B01BAF" w:rsidP="0052325B">
      <w:pPr>
        <w:spacing w:before="0" w:after="0"/>
        <w:ind w:firstLine="644"/>
        <w:rPr>
          <w:lang w:val="en-GB"/>
        </w:rPr>
      </w:pPr>
      <w:r>
        <w:rPr>
          <w:lang w:val="en-GB"/>
        </w:rPr>
        <w:t xml:space="preserve">(c) </w:t>
      </w:r>
      <w:r w:rsidR="00D35E4F" w:rsidRPr="00D35E4F">
        <w:rPr>
          <w:lang w:val="en-GB"/>
        </w:rPr>
        <w:t>ferritin</w:t>
      </w:r>
      <w:r w:rsidR="0065315D">
        <w:rPr>
          <w:lang w:val="en-GB"/>
        </w:rPr>
        <w:t>.</w:t>
      </w:r>
    </w:p>
    <w:p w14:paraId="6CE5FDDF" w14:textId="77777777" w:rsidR="00D35E4F" w:rsidRPr="00D35E4F" w:rsidRDefault="0013789F" w:rsidP="00FA4920">
      <w:pPr>
        <w:tabs>
          <w:tab w:val="left" w:pos="1701"/>
        </w:tabs>
        <w:ind w:left="709"/>
      </w:pPr>
      <w:r>
        <w:t xml:space="preserve">This item </w:t>
      </w:r>
      <w:r w:rsidR="00FA4920">
        <w:t>will</w:t>
      </w:r>
      <w:r w:rsidR="00AC5D97">
        <w:t xml:space="preserve"> be pathologist-</w:t>
      </w:r>
      <w:r>
        <w:t>determinable if</w:t>
      </w:r>
      <w:r w:rsidR="00D35E4F">
        <w:t>:</w:t>
      </w:r>
    </w:p>
    <w:p w14:paraId="4E4935F1" w14:textId="241237D6" w:rsidR="00D35E4F" w:rsidRPr="00EE7ADD" w:rsidRDefault="00D35E4F" w:rsidP="002818C3">
      <w:pPr>
        <w:pStyle w:val="ListParagraph"/>
        <w:numPr>
          <w:ilvl w:val="0"/>
          <w:numId w:val="113"/>
        </w:numPr>
        <w:spacing w:before="0" w:after="0"/>
        <w:rPr>
          <w:lang w:val="en-GB"/>
        </w:rPr>
      </w:pPr>
      <w:r w:rsidRPr="00EE7ADD">
        <w:rPr>
          <w:lang w:val="en-GB"/>
        </w:rPr>
        <w:t>ferritin is &gt;30 μg/L</w:t>
      </w:r>
      <w:r w:rsidR="006B7A51">
        <w:rPr>
          <w:lang w:val="en-GB"/>
        </w:rPr>
        <w:t>; and</w:t>
      </w:r>
    </w:p>
    <w:p w14:paraId="69A747F9" w14:textId="77777777" w:rsidR="00A54A63" w:rsidRDefault="00D35E4F" w:rsidP="002818C3">
      <w:pPr>
        <w:pStyle w:val="ListParagraph"/>
        <w:numPr>
          <w:ilvl w:val="0"/>
          <w:numId w:val="113"/>
        </w:numPr>
        <w:spacing w:before="0" w:after="0"/>
        <w:rPr>
          <w:lang w:val="en-GB"/>
        </w:rPr>
      </w:pPr>
      <w:r w:rsidRPr="00EE7ADD">
        <w:rPr>
          <w:lang w:val="en-GB"/>
        </w:rPr>
        <w:t>there is laboratory or clinical evidence that ferritin</w:t>
      </w:r>
      <w:r w:rsidR="0065315D">
        <w:rPr>
          <w:lang w:val="en-GB"/>
        </w:rPr>
        <w:t xml:space="preserve"> alone</w:t>
      </w:r>
      <w:r w:rsidRPr="00EE7ADD">
        <w:rPr>
          <w:lang w:val="en-GB"/>
        </w:rPr>
        <w:t xml:space="preserve"> is an unreliable test</w:t>
      </w:r>
      <w:r w:rsidR="0065315D">
        <w:rPr>
          <w:lang w:val="en-GB"/>
        </w:rPr>
        <w:t>.</w:t>
      </w:r>
      <w:r w:rsidRPr="00EE7ADD">
        <w:rPr>
          <w:lang w:val="en-GB"/>
        </w:rPr>
        <w:t xml:space="preserve"> </w:t>
      </w:r>
    </w:p>
    <w:p w14:paraId="51810B19" w14:textId="792301FD" w:rsidR="0065315D" w:rsidRPr="00671F7C" w:rsidRDefault="00A54A63" w:rsidP="006751CA">
      <w:pPr>
        <w:pStyle w:val="NormalBulleted"/>
        <w:numPr>
          <w:ilvl w:val="0"/>
          <w:numId w:val="0"/>
        </w:numPr>
        <w:rPr>
          <w:lang w:val="en-GB"/>
        </w:rPr>
      </w:pPr>
      <w:r>
        <w:rPr>
          <w:lang w:val="en-GB"/>
        </w:rPr>
        <w:t>The proposed explanatory note for</w:t>
      </w:r>
      <w:r w:rsidR="0065315D" w:rsidRPr="00671F7C">
        <w:rPr>
          <w:lang w:val="en-GB"/>
        </w:rPr>
        <w:t xml:space="preserve"> item 665XX </w:t>
      </w:r>
      <w:r>
        <w:rPr>
          <w:lang w:val="en-GB"/>
        </w:rPr>
        <w:t>would aim to</w:t>
      </w:r>
      <w:r w:rsidR="0065315D" w:rsidRPr="00671F7C">
        <w:rPr>
          <w:lang w:val="en-GB"/>
        </w:rPr>
        <w:t xml:space="preserve"> clarify that </w:t>
      </w:r>
      <w:r w:rsidR="0065315D" w:rsidRPr="006751CA">
        <w:rPr>
          <w:lang w:val="en-GB"/>
        </w:rPr>
        <w:t>the initial ferritin level determines whether further testing should be performed.</w:t>
      </w:r>
      <w:r w:rsidR="0065315D" w:rsidRPr="00671F7C">
        <w:rPr>
          <w:lang w:val="en-GB"/>
        </w:rPr>
        <w:t xml:space="preserve"> If testing indicates low ferritin levels (less than 30 μg/L), only ferritin level would be reported and only item 66593 would be claimable. However, if testing indicates a ferritin level of </w:t>
      </w:r>
      <w:r w:rsidRPr="00671F7C">
        <w:rPr>
          <w:lang w:val="en-GB"/>
        </w:rPr>
        <w:t xml:space="preserve">more than </w:t>
      </w:r>
      <w:r w:rsidR="0065315D" w:rsidRPr="00671F7C">
        <w:rPr>
          <w:lang w:val="en-GB"/>
        </w:rPr>
        <w:t xml:space="preserve">30 μg/L </w:t>
      </w:r>
      <w:r w:rsidR="0065315D" w:rsidRPr="006751CA">
        <w:rPr>
          <w:lang w:val="en-GB"/>
        </w:rPr>
        <w:t>and</w:t>
      </w:r>
      <w:r w:rsidR="0065315D" w:rsidRPr="00671F7C">
        <w:rPr>
          <w:lang w:val="en-GB"/>
        </w:rPr>
        <w:t xml:space="preserve"> there is laboratory or clinical evidence of inflammation or infection to suggest ferritin alone </w:t>
      </w:r>
      <w:r w:rsidRPr="00671F7C">
        <w:rPr>
          <w:lang w:val="en-GB"/>
        </w:rPr>
        <w:t xml:space="preserve">is </w:t>
      </w:r>
      <w:r w:rsidR="0065315D" w:rsidRPr="00671F7C">
        <w:rPr>
          <w:lang w:val="en-GB"/>
        </w:rPr>
        <w:t xml:space="preserve">an unreliable indicator of iron status, the full iron studies test would be performed and the exception item should be claimable </w:t>
      </w:r>
      <w:sdt>
        <w:sdtPr>
          <w:rPr>
            <w:lang w:val="en-GB"/>
          </w:rPr>
          <w:id w:val="-1291743938"/>
          <w:citation/>
        </w:sdtPr>
        <w:sdtEndPr/>
        <w:sdtContent>
          <w:r w:rsidR="0065315D" w:rsidRPr="00671F7C">
            <w:rPr>
              <w:lang w:val="en-GB"/>
            </w:rPr>
            <w:fldChar w:fldCharType="begin"/>
          </w:r>
          <w:r w:rsidR="0065315D" w:rsidRPr="006751CA">
            <w:rPr>
              <w:lang w:val="en-GB"/>
            </w:rPr>
            <w:instrText xml:space="preserve"> CITATION Pas10 \l 3081 </w:instrText>
          </w:r>
          <w:r w:rsidR="0065315D" w:rsidRPr="00671F7C">
            <w:rPr>
              <w:lang w:val="en-GB"/>
            </w:rPr>
            <w:fldChar w:fldCharType="separate"/>
          </w:r>
          <w:r w:rsidR="0065315D" w:rsidRPr="006751CA">
            <w:rPr>
              <w:lang w:val="en-GB"/>
            </w:rPr>
            <w:t>(16)</w:t>
          </w:r>
          <w:r w:rsidR="0065315D" w:rsidRPr="00671F7C">
            <w:rPr>
              <w:lang w:val="en-GB"/>
            </w:rPr>
            <w:fldChar w:fldCharType="end"/>
          </w:r>
        </w:sdtContent>
      </w:sdt>
      <w:sdt>
        <w:sdtPr>
          <w:rPr>
            <w:lang w:val="en-GB"/>
          </w:rPr>
          <w:id w:val="-291832741"/>
          <w:citation/>
        </w:sdtPr>
        <w:sdtEndPr/>
        <w:sdtContent>
          <w:r w:rsidR="0065315D" w:rsidRPr="00671F7C">
            <w:rPr>
              <w:lang w:val="en-GB"/>
            </w:rPr>
            <w:fldChar w:fldCharType="begin"/>
          </w:r>
          <w:r w:rsidR="0065315D" w:rsidRPr="006751CA">
            <w:rPr>
              <w:lang w:val="en-GB"/>
            </w:rPr>
            <w:instrText xml:space="preserve"> CITATION Bai16 \l 3081 </w:instrText>
          </w:r>
          <w:r w:rsidR="0065315D" w:rsidRPr="00671F7C">
            <w:rPr>
              <w:lang w:val="en-GB"/>
            </w:rPr>
            <w:fldChar w:fldCharType="separate"/>
          </w:r>
          <w:r w:rsidR="0065315D" w:rsidRPr="006751CA">
            <w:rPr>
              <w:lang w:val="en-GB"/>
            </w:rPr>
            <w:t xml:space="preserve"> (17)</w:t>
          </w:r>
          <w:r w:rsidR="0065315D" w:rsidRPr="00671F7C">
            <w:rPr>
              <w:lang w:val="en-GB"/>
            </w:rPr>
            <w:fldChar w:fldCharType="end"/>
          </w:r>
        </w:sdtContent>
      </w:sdt>
      <w:r w:rsidR="0065315D" w:rsidRPr="00671F7C">
        <w:rPr>
          <w:lang w:val="en-GB"/>
        </w:rPr>
        <w:t>.</w:t>
      </w:r>
    </w:p>
    <w:p w14:paraId="3E5BA156" w14:textId="77777777" w:rsidR="006C114B" w:rsidRDefault="006C114B" w:rsidP="00671F7C">
      <w:pPr>
        <w:pStyle w:val="NormalBulleted"/>
        <w:numPr>
          <w:ilvl w:val="0"/>
          <w:numId w:val="0"/>
        </w:numPr>
        <w:rPr>
          <w:lang w:val="en-GB"/>
        </w:rPr>
      </w:pPr>
      <w:r w:rsidRPr="006C114B">
        <w:rPr>
          <w:lang w:val="en-GB"/>
        </w:rPr>
        <w:t xml:space="preserve">The Department seek advice from stakeholders on </w:t>
      </w:r>
      <w:r>
        <w:rPr>
          <w:lang w:val="en-GB"/>
        </w:rPr>
        <w:t>circumstances</w:t>
      </w:r>
      <w:r w:rsidRPr="006C114B">
        <w:rPr>
          <w:lang w:val="en-GB"/>
        </w:rPr>
        <w:t xml:space="preserve"> </w:t>
      </w:r>
      <w:r>
        <w:rPr>
          <w:lang w:val="en-GB"/>
        </w:rPr>
        <w:t xml:space="preserve">in which </w:t>
      </w:r>
      <w:r w:rsidRPr="006C114B">
        <w:rPr>
          <w:lang w:val="en-GB"/>
        </w:rPr>
        <w:t xml:space="preserve">ferritin may be unreliable </w:t>
      </w:r>
      <w:r>
        <w:rPr>
          <w:lang w:val="en-GB"/>
        </w:rPr>
        <w:t>but</w:t>
      </w:r>
      <w:r w:rsidRPr="006C114B">
        <w:rPr>
          <w:lang w:val="en-GB"/>
        </w:rPr>
        <w:t xml:space="preserve"> iron studies (transferrin, iron binding capacity) </w:t>
      </w:r>
      <w:r w:rsidR="004059A8">
        <w:rPr>
          <w:lang w:val="en-GB"/>
        </w:rPr>
        <w:t xml:space="preserve">can </w:t>
      </w:r>
      <w:r w:rsidRPr="006C114B">
        <w:rPr>
          <w:lang w:val="en-GB"/>
        </w:rPr>
        <w:t>add incremental benefit</w:t>
      </w:r>
      <w:r w:rsidR="006C5B59">
        <w:rPr>
          <w:lang w:val="en-GB"/>
        </w:rPr>
        <w:t xml:space="preserve"> and then add these scenarios </w:t>
      </w:r>
      <w:r w:rsidR="00B27595">
        <w:rPr>
          <w:lang w:val="en-GB"/>
        </w:rPr>
        <w:t>to the explanatory notes</w:t>
      </w:r>
      <w:r w:rsidR="00C77DC3">
        <w:rPr>
          <w:lang w:val="en-GB"/>
        </w:rPr>
        <w:t xml:space="preserve"> for item 665XX</w:t>
      </w:r>
      <w:r>
        <w:rPr>
          <w:lang w:val="en-GB"/>
        </w:rPr>
        <w:t>.</w:t>
      </w:r>
    </w:p>
    <w:p w14:paraId="5C493AE7" w14:textId="4CA90D1C" w:rsidR="00065250" w:rsidRDefault="00065250" w:rsidP="00671F7C">
      <w:pPr>
        <w:pStyle w:val="NormalBulleted"/>
        <w:numPr>
          <w:ilvl w:val="0"/>
          <w:numId w:val="0"/>
        </w:numPr>
      </w:pPr>
      <w:r w:rsidRPr="00074D54">
        <w:t xml:space="preserve">It is recommended that changes to </w:t>
      </w:r>
      <w:r>
        <w:t>the</w:t>
      </w:r>
      <w:r w:rsidRPr="00074D54">
        <w:t xml:space="preserve"> explanatory note</w:t>
      </w:r>
      <w:r>
        <w:t>s</w:t>
      </w:r>
      <w:r w:rsidRPr="00074D54">
        <w:t xml:space="preserve"> be made as soon as possible, to provide a foundation </w:t>
      </w:r>
      <w:r>
        <w:t>for</w:t>
      </w:r>
      <w:r w:rsidRPr="00074D54">
        <w:t xml:space="preserve"> an education campaign and </w:t>
      </w:r>
      <w:r>
        <w:t xml:space="preserve">any required changes to </w:t>
      </w:r>
      <w:r w:rsidRPr="00074D54">
        <w:t>practice software</w:t>
      </w:r>
      <w:r>
        <w:t>.</w:t>
      </w:r>
    </w:p>
    <w:p w14:paraId="0C68B953" w14:textId="77777777" w:rsidR="006751CA" w:rsidRPr="00065250" w:rsidRDefault="006751CA" w:rsidP="00671F7C">
      <w:pPr>
        <w:pStyle w:val="NormalBulleted"/>
        <w:numPr>
          <w:ilvl w:val="0"/>
          <w:numId w:val="0"/>
        </w:numPr>
        <w:rPr>
          <w:lang w:val="en-GB"/>
        </w:rPr>
      </w:pPr>
    </w:p>
    <w:p w14:paraId="0065A7E2" w14:textId="113C5950" w:rsidR="00227753" w:rsidRPr="00A83200" w:rsidRDefault="00C77DC3" w:rsidP="00A83200">
      <w:pPr>
        <w:pStyle w:val="NormalBulleted"/>
        <w:numPr>
          <w:ilvl w:val="0"/>
          <w:numId w:val="0"/>
        </w:numPr>
        <w:rPr>
          <w:b/>
          <w:lang w:val="en-GB"/>
        </w:rPr>
      </w:pPr>
      <w:r>
        <w:rPr>
          <w:b/>
          <w:lang w:val="en-GB"/>
        </w:rPr>
        <w:t>M</w:t>
      </w:r>
      <w:r w:rsidR="00227753" w:rsidRPr="00A83200">
        <w:rPr>
          <w:b/>
          <w:lang w:val="en-GB"/>
        </w:rPr>
        <w:t>easures to support appropriate requesting</w:t>
      </w:r>
      <w:r w:rsidR="00227753">
        <w:rPr>
          <w:b/>
          <w:lang w:val="en-GB"/>
        </w:rPr>
        <w:t xml:space="preserve"> and implementation</w:t>
      </w:r>
    </w:p>
    <w:p w14:paraId="56E63529" w14:textId="1CA635E8" w:rsidR="00BE40E6" w:rsidRPr="00074D54" w:rsidRDefault="00BE40E6" w:rsidP="00EA019E">
      <w:pPr>
        <w:pStyle w:val="NormalBulleted"/>
        <w:numPr>
          <w:ilvl w:val="0"/>
          <w:numId w:val="81"/>
        </w:numPr>
        <w:rPr>
          <w:lang w:val="en-GB"/>
        </w:rPr>
      </w:pPr>
      <w:r w:rsidRPr="00074D54">
        <w:rPr>
          <w:lang w:val="en-GB"/>
        </w:rPr>
        <w:t>Prior to making any necessary regulation change (including amending the item</w:t>
      </w:r>
      <w:r w:rsidR="00C76ABF">
        <w:rPr>
          <w:lang w:val="en-GB"/>
        </w:rPr>
        <w:t xml:space="preserve"> name</w:t>
      </w:r>
      <w:r w:rsidRPr="00074D54">
        <w:rPr>
          <w:lang w:val="en-GB"/>
        </w:rPr>
        <w:t xml:space="preserve">s), provide an education program for </w:t>
      </w:r>
      <w:r w:rsidR="006C31FB">
        <w:rPr>
          <w:lang w:val="en-GB"/>
        </w:rPr>
        <w:t>requester</w:t>
      </w:r>
      <w:r w:rsidRPr="00074D54">
        <w:rPr>
          <w:lang w:val="en-GB"/>
        </w:rPr>
        <w:t xml:space="preserve">s. </w:t>
      </w:r>
      <w:r w:rsidR="00147EBE">
        <w:rPr>
          <w:lang w:val="en-GB"/>
        </w:rPr>
        <w:t>It is anticipated that t</w:t>
      </w:r>
      <w:r w:rsidRPr="00074D54">
        <w:rPr>
          <w:lang w:val="en-GB"/>
        </w:rPr>
        <w:t xml:space="preserve">he program </w:t>
      </w:r>
      <w:r w:rsidR="00147EBE">
        <w:rPr>
          <w:lang w:val="en-GB"/>
        </w:rPr>
        <w:t>would</w:t>
      </w:r>
      <w:r w:rsidRPr="00074D54">
        <w:rPr>
          <w:lang w:val="en-GB"/>
        </w:rPr>
        <w:t xml:space="preserve">: </w:t>
      </w:r>
    </w:p>
    <w:p w14:paraId="5892383E" w14:textId="77777777" w:rsidR="00BE40E6" w:rsidRPr="00074D54" w:rsidRDefault="00BE40E6" w:rsidP="00AB3AC3">
      <w:pPr>
        <w:pStyle w:val="02dash"/>
        <w:numPr>
          <w:ilvl w:val="1"/>
          <w:numId w:val="64"/>
        </w:numPr>
        <w:spacing w:line="240" w:lineRule="auto"/>
        <w:ind w:right="0"/>
        <w:rPr>
          <w:lang w:val="en-GB"/>
        </w:rPr>
      </w:pPr>
      <w:r w:rsidRPr="00074D54">
        <w:rPr>
          <w:lang w:val="en-GB"/>
        </w:rPr>
        <w:t>Clearly explain why the change is occurring.</w:t>
      </w:r>
    </w:p>
    <w:p w14:paraId="7C847C49" w14:textId="77777777" w:rsidR="00BE40E6" w:rsidRPr="00074D54" w:rsidRDefault="00BE40E6" w:rsidP="00AB3AC3">
      <w:pPr>
        <w:pStyle w:val="02dash"/>
        <w:numPr>
          <w:ilvl w:val="1"/>
          <w:numId w:val="64"/>
        </w:numPr>
        <w:spacing w:line="240" w:lineRule="auto"/>
        <w:ind w:right="0"/>
        <w:rPr>
          <w:lang w:val="en-GB"/>
        </w:rPr>
      </w:pPr>
      <w:r w:rsidRPr="00074D54">
        <w:rPr>
          <w:lang w:val="en-GB"/>
        </w:rPr>
        <w:lastRenderedPageBreak/>
        <w:t xml:space="preserve">Ensure </w:t>
      </w:r>
      <w:r w:rsidR="006C31FB">
        <w:rPr>
          <w:lang w:val="en-GB"/>
        </w:rPr>
        <w:t>requester</w:t>
      </w:r>
      <w:r w:rsidRPr="00074D54">
        <w:rPr>
          <w:lang w:val="en-GB"/>
        </w:rPr>
        <w:t>s are aware that a ferritin-only item exists on the MBS and should be chosen for the investigation of suspected iron deficiency (using the new item descriptor terminology of ‘iron deficiency stud</w:t>
      </w:r>
      <w:r w:rsidR="004059A8">
        <w:rPr>
          <w:lang w:val="en-GB"/>
        </w:rPr>
        <w:t>ies</w:t>
      </w:r>
      <w:r w:rsidRPr="00074D54">
        <w:rPr>
          <w:lang w:val="en-GB"/>
        </w:rPr>
        <w:t>’).</w:t>
      </w:r>
    </w:p>
    <w:p w14:paraId="01A0ED97" w14:textId="77777777" w:rsidR="00BE364B" w:rsidRDefault="00BE40E6" w:rsidP="008A517B">
      <w:pPr>
        <w:pStyle w:val="02dash"/>
        <w:numPr>
          <w:ilvl w:val="1"/>
          <w:numId w:val="64"/>
        </w:numPr>
        <w:spacing w:line="240" w:lineRule="auto"/>
        <w:ind w:right="0"/>
        <w:rPr>
          <w:lang w:val="en-GB"/>
        </w:rPr>
      </w:pPr>
      <w:r w:rsidRPr="00074D54">
        <w:rPr>
          <w:lang w:val="en-GB"/>
        </w:rPr>
        <w:t>Inform clinicians that both ferritin testing and iron studies are</w:t>
      </w:r>
      <w:r w:rsidR="0020352E">
        <w:rPr>
          <w:lang w:val="en-GB"/>
        </w:rPr>
        <w:t xml:space="preserve"> less</w:t>
      </w:r>
      <w:r w:rsidRPr="00074D54">
        <w:rPr>
          <w:lang w:val="en-GB"/>
        </w:rPr>
        <w:t xml:space="preserve"> reliable in patients with conditions that will likely confound the results. </w:t>
      </w:r>
      <w:r w:rsidR="006C31FB">
        <w:rPr>
          <w:lang w:val="en-GB"/>
        </w:rPr>
        <w:t>In the Committee</w:t>
      </w:r>
      <w:r w:rsidR="009A1C5F">
        <w:rPr>
          <w:lang w:val="en-GB"/>
        </w:rPr>
        <w:t>’s</w:t>
      </w:r>
      <w:r w:rsidR="006C31FB">
        <w:rPr>
          <w:lang w:val="en-GB"/>
        </w:rPr>
        <w:t xml:space="preserve"> clinical </w:t>
      </w:r>
      <w:r w:rsidR="008805DF">
        <w:rPr>
          <w:lang w:val="en-GB"/>
        </w:rPr>
        <w:t>opinion</w:t>
      </w:r>
      <w:r w:rsidR="006C31FB">
        <w:rPr>
          <w:lang w:val="en-GB"/>
        </w:rPr>
        <w:t xml:space="preserve"> t</w:t>
      </w:r>
      <w:r w:rsidRPr="00074D54">
        <w:rPr>
          <w:lang w:val="en-GB"/>
        </w:rPr>
        <w:t>hese conditions include</w:t>
      </w:r>
      <w:r w:rsidR="00A76AE8">
        <w:rPr>
          <w:lang w:val="en-GB"/>
        </w:rPr>
        <w:t xml:space="preserve"> acute or chronic</w:t>
      </w:r>
      <w:r w:rsidR="009B7D4E">
        <w:rPr>
          <w:lang w:val="en-GB"/>
        </w:rPr>
        <w:t xml:space="preserve"> inflammation, infections, autoimmunity, </w:t>
      </w:r>
      <w:r w:rsidR="00AC5D97">
        <w:rPr>
          <w:lang w:val="en-GB"/>
        </w:rPr>
        <w:t xml:space="preserve">liver or </w:t>
      </w:r>
      <w:r w:rsidR="009B7D4E">
        <w:rPr>
          <w:lang w:val="en-GB"/>
        </w:rPr>
        <w:t>kidney disease and certain malignancies</w:t>
      </w:r>
      <w:sdt>
        <w:sdtPr>
          <w:rPr>
            <w:lang w:val="en-GB"/>
          </w:rPr>
          <w:id w:val="158656836"/>
          <w:citation/>
        </w:sdtPr>
        <w:sdtEndPr/>
        <w:sdtContent>
          <w:r w:rsidR="00A76AE8">
            <w:rPr>
              <w:lang w:val="en-GB"/>
            </w:rPr>
            <w:fldChar w:fldCharType="begin"/>
          </w:r>
          <w:r w:rsidR="00A76AE8">
            <w:rPr>
              <w:lang w:val="en-AU"/>
            </w:rPr>
            <w:instrText xml:space="preserve"> CITATION Pas10 \l 3081 </w:instrText>
          </w:r>
          <w:r w:rsidR="00A76AE8">
            <w:rPr>
              <w:lang w:val="en-GB"/>
            </w:rPr>
            <w:fldChar w:fldCharType="separate"/>
          </w:r>
          <w:r w:rsidR="00B66BE1">
            <w:rPr>
              <w:noProof/>
              <w:lang w:val="en-AU"/>
            </w:rPr>
            <w:t xml:space="preserve"> </w:t>
          </w:r>
          <w:r w:rsidR="00B66BE1" w:rsidRPr="00B66BE1">
            <w:rPr>
              <w:noProof/>
              <w:lang w:val="en-AU"/>
            </w:rPr>
            <w:t>(16)</w:t>
          </w:r>
          <w:r w:rsidR="00A76AE8">
            <w:rPr>
              <w:lang w:val="en-GB"/>
            </w:rPr>
            <w:fldChar w:fldCharType="end"/>
          </w:r>
        </w:sdtContent>
      </w:sdt>
      <w:sdt>
        <w:sdtPr>
          <w:rPr>
            <w:lang w:val="en-GB"/>
          </w:rPr>
          <w:id w:val="1941483237"/>
          <w:citation/>
        </w:sdtPr>
        <w:sdtEndPr/>
        <w:sdtContent>
          <w:r w:rsidR="00A76AE8">
            <w:rPr>
              <w:lang w:val="en-GB"/>
            </w:rPr>
            <w:fldChar w:fldCharType="begin"/>
          </w:r>
          <w:r w:rsidR="00A76AE8">
            <w:rPr>
              <w:lang w:val="en-AU"/>
            </w:rPr>
            <w:instrText xml:space="preserve"> CITATION Bai16 \l 3081 </w:instrText>
          </w:r>
          <w:r w:rsidR="00A76AE8">
            <w:rPr>
              <w:lang w:val="en-GB"/>
            </w:rPr>
            <w:fldChar w:fldCharType="separate"/>
          </w:r>
          <w:r w:rsidR="00B66BE1">
            <w:rPr>
              <w:noProof/>
              <w:lang w:val="en-AU"/>
            </w:rPr>
            <w:t xml:space="preserve"> </w:t>
          </w:r>
          <w:r w:rsidR="00B66BE1" w:rsidRPr="00B66BE1">
            <w:rPr>
              <w:noProof/>
              <w:lang w:val="en-AU"/>
            </w:rPr>
            <w:t>(17)</w:t>
          </w:r>
          <w:r w:rsidR="00A76AE8">
            <w:rPr>
              <w:lang w:val="en-GB"/>
            </w:rPr>
            <w:fldChar w:fldCharType="end"/>
          </w:r>
        </w:sdtContent>
      </w:sdt>
      <w:sdt>
        <w:sdtPr>
          <w:rPr>
            <w:lang w:val="en-GB"/>
          </w:rPr>
          <w:id w:val="-705328136"/>
          <w:citation/>
        </w:sdtPr>
        <w:sdtEndPr/>
        <w:sdtContent>
          <w:r w:rsidR="00A76AE8">
            <w:rPr>
              <w:lang w:val="en-GB"/>
            </w:rPr>
            <w:fldChar w:fldCharType="begin"/>
          </w:r>
          <w:r w:rsidR="00A76AE8">
            <w:rPr>
              <w:lang w:val="en-AU"/>
            </w:rPr>
            <w:instrText xml:space="preserve"> CITATION Dig18 \l 3081 </w:instrText>
          </w:r>
          <w:r w:rsidR="00A76AE8">
            <w:rPr>
              <w:lang w:val="en-GB"/>
            </w:rPr>
            <w:fldChar w:fldCharType="separate"/>
          </w:r>
          <w:r w:rsidR="00B66BE1">
            <w:rPr>
              <w:noProof/>
              <w:lang w:val="en-AU"/>
            </w:rPr>
            <w:t xml:space="preserve"> </w:t>
          </w:r>
          <w:r w:rsidR="00B66BE1" w:rsidRPr="00B66BE1">
            <w:rPr>
              <w:noProof/>
              <w:lang w:val="en-AU"/>
            </w:rPr>
            <w:t>(18)</w:t>
          </w:r>
          <w:r w:rsidR="00A76AE8">
            <w:rPr>
              <w:lang w:val="en-GB"/>
            </w:rPr>
            <w:fldChar w:fldCharType="end"/>
          </w:r>
        </w:sdtContent>
      </w:sdt>
      <w:sdt>
        <w:sdtPr>
          <w:rPr>
            <w:lang w:val="en-GB"/>
          </w:rPr>
          <w:id w:val="-2140643050"/>
          <w:citation/>
        </w:sdtPr>
        <w:sdtEndPr/>
        <w:sdtContent>
          <w:r w:rsidR="00A76AE8">
            <w:rPr>
              <w:lang w:val="en-GB"/>
            </w:rPr>
            <w:fldChar w:fldCharType="begin"/>
          </w:r>
          <w:r w:rsidR="00A76AE8">
            <w:rPr>
              <w:lang w:val="en-AU"/>
            </w:rPr>
            <w:instrText xml:space="preserve"> CITATION The13 \l 3081 </w:instrText>
          </w:r>
          <w:r w:rsidR="00A76AE8">
            <w:rPr>
              <w:lang w:val="en-GB"/>
            </w:rPr>
            <w:fldChar w:fldCharType="separate"/>
          </w:r>
          <w:r w:rsidR="00B66BE1">
            <w:rPr>
              <w:noProof/>
              <w:lang w:val="en-AU"/>
            </w:rPr>
            <w:t xml:space="preserve"> </w:t>
          </w:r>
          <w:r w:rsidR="00B66BE1" w:rsidRPr="00B66BE1">
            <w:rPr>
              <w:noProof/>
              <w:lang w:val="en-AU"/>
            </w:rPr>
            <w:t>(19)</w:t>
          </w:r>
          <w:r w:rsidR="00A76AE8">
            <w:rPr>
              <w:lang w:val="en-GB"/>
            </w:rPr>
            <w:fldChar w:fldCharType="end"/>
          </w:r>
        </w:sdtContent>
      </w:sdt>
      <w:sdt>
        <w:sdtPr>
          <w:rPr>
            <w:lang w:val="en-GB"/>
          </w:rPr>
          <w:id w:val="345528685"/>
          <w:citation/>
        </w:sdtPr>
        <w:sdtEndPr/>
        <w:sdtContent>
          <w:r w:rsidR="00A76AE8">
            <w:rPr>
              <w:lang w:val="en-GB"/>
            </w:rPr>
            <w:fldChar w:fldCharType="begin"/>
          </w:r>
          <w:r w:rsidR="00A76AE8">
            <w:rPr>
              <w:lang w:val="en-AU"/>
            </w:rPr>
            <w:instrText xml:space="preserve">CITATION Gas \l 3081 </w:instrText>
          </w:r>
          <w:r w:rsidR="00A76AE8">
            <w:rPr>
              <w:lang w:val="en-GB"/>
            </w:rPr>
            <w:fldChar w:fldCharType="separate"/>
          </w:r>
          <w:r w:rsidR="00B66BE1">
            <w:rPr>
              <w:noProof/>
              <w:lang w:val="en-AU"/>
            </w:rPr>
            <w:t xml:space="preserve"> </w:t>
          </w:r>
          <w:r w:rsidR="00B66BE1" w:rsidRPr="00B66BE1">
            <w:rPr>
              <w:noProof/>
              <w:lang w:val="en-AU"/>
            </w:rPr>
            <w:t>(20)</w:t>
          </w:r>
          <w:r w:rsidR="00A76AE8">
            <w:rPr>
              <w:lang w:val="en-GB"/>
            </w:rPr>
            <w:fldChar w:fldCharType="end"/>
          </w:r>
        </w:sdtContent>
      </w:sdt>
      <w:r w:rsidR="00A76AE8">
        <w:rPr>
          <w:lang w:val="en-GB"/>
        </w:rPr>
        <w:t>.</w:t>
      </w:r>
      <w:r w:rsidR="00BE364B">
        <w:rPr>
          <w:lang w:val="en-GB"/>
        </w:rPr>
        <w:t xml:space="preserve"> </w:t>
      </w:r>
    </w:p>
    <w:p w14:paraId="15C77115" w14:textId="052B20E9" w:rsidR="00BE40E6" w:rsidRPr="00074D54" w:rsidRDefault="00BE40E6" w:rsidP="00EA019E">
      <w:pPr>
        <w:pStyle w:val="NormalBulleted"/>
        <w:numPr>
          <w:ilvl w:val="0"/>
          <w:numId w:val="82"/>
        </w:numPr>
        <w:rPr>
          <w:lang w:val="en-GB"/>
        </w:rPr>
      </w:pPr>
      <w:r w:rsidRPr="00074D54">
        <w:rPr>
          <w:lang w:val="en-GB"/>
        </w:rPr>
        <w:t xml:space="preserve">The Committee </w:t>
      </w:r>
      <w:r w:rsidR="00A54A63">
        <w:rPr>
          <w:lang w:val="en-GB"/>
        </w:rPr>
        <w:t>noted</w:t>
      </w:r>
      <w:r w:rsidRPr="00074D54">
        <w:rPr>
          <w:lang w:val="en-GB"/>
        </w:rPr>
        <w:t xml:space="preserve"> pathology providers and the RCPA are important partners in any education program that aims to improve the clinical value of pathology requests. The Committee recommend</w:t>
      </w:r>
      <w:r w:rsidR="006F21C7">
        <w:rPr>
          <w:lang w:val="en-GB"/>
        </w:rPr>
        <w:t>ed</w:t>
      </w:r>
      <w:r w:rsidRPr="00074D54">
        <w:rPr>
          <w:lang w:val="en-GB"/>
        </w:rPr>
        <w:t xml:space="preserve"> pathology providers </w:t>
      </w:r>
      <w:r w:rsidR="00F35D54">
        <w:rPr>
          <w:lang w:val="en-GB"/>
        </w:rPr>
        <w:t>offer</w:t>
      </w:r>
      <w:r w:rsidR="00F35D54" w:rsidRPr="00074D54">
        <w:rPr>
          <w:lang w:val="en-GB"/>
        </w:rPr>
        <w:t xml:space="preserve"> </w:t>
      </w:r>
      <w:r w:rsidRPr="00074D54">
        <w:rPr>
          <w:lang w:val="en-GB"/>
        </w:rPr>
        <w:t xml:space="preserve">standardised feedback to </w:t>
      </w:r>
      <w:r w:rsidR="006C31FB">
        <w:rPr>
          <w:lang w:val="en-GB"/>
        </w:rPr>
        <w:t>requester</w:t>
      </w:r>
      <w:r w:rsidRPr="00074D54">
        <w:rPr>
          <w:lang w:val="en-GB"/>
        </w:rPr>
        <w:t xml:space="preserve">s that supports the desired change in </w:t>
      </w:r>
      <w:r w:rsidR="006C31FB">
        <w:rPr>
          <w:lang w:val="en-GB"/>
        </w:rPr>
        <w:t>requester</w:t>
      </w:r>
      <w:r w:rsidRPr="00074D54">
        <w:rPr>
          <w:lang w:val="en-GB"/>
        </w:rPr>
        <w:t xml:space="preserve"> behaviour and promotes clinically targeted ferritin and iron studies requesting. For example, feedback could be provided in the comments section of pathology reports to inform requesting clinicians that: </w:t>
      </w:r>
    </w:p>
    <w:p w14:paraId="1F49E117" w14:textId="77777777" w:rsidR="00BE40E6" w:rsidRPr="00074D54" w:rsidRDefault="00BE40E6" w:rsidP="00AB3AC3">
      <w:pPr>
        <w:pStyle w:val="02dash"/>
        <w:numPr>
          <w:ilvl w:val="1"/>
          <w:numId w:val="64"/>
        </w:numPr>
        <w:spacing w:line="240" w:lineRule="auto"/>
        <w:ind w:right="0"/>
        <w:rPr>
          <w:lang w:val="en-GB"/>
        </w:rPr>
      </w:pPr>
      <w:r w:rsidRPr="00074D54">
        <w:rPr>
          <w:lang w:val="en-GB"/>
        </w:rPr>
        <w:t>From a specific date, requests for ferritin testing and iron studies need to conform to the new iron deficiency and iron overload item descriptors respectively.</w:t>
      </w:r>
    </w:p>
    <w:p w14:paraId="704CDFA5"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Ferritin testing will be performed unless the request specifies ‘iron overload study’ or clearly indicates a clinical concern for iron overload, as per the updated Explanatory Note </w:t>
      </w:r>
      <w:r w:rsidR="004F79F3">
        <w:t>PN.0.15</w:t>
      </w:r>
      <w:r w:rsidRPr="00074D54">
        <w:rPr>
          <w:lang w:val="en-GB"/>
        </w:rPr>
        <w:t xml:space="preserve">. </w:t>
      </w:r>
    </w:p>
    <w:p w14:paraId="502CAC8C" w14:textId="77777777" w:rsidR="00BE40E6" w:rsidRPr="00074D54" w:rsidRDefault="00BE40E6" w:rsidP="00AB3AC3">
      <w:pPr>
        <w:pStyle w:val="02dash"/>
        <w:numPr>
          <w:ilvl w:val="1"/>
          <w:numId w:val="64"/>
        </w:numPr>
        <w:spacing w:line="240" w:lineRule="auto"/>
        <w:ind w:right="0"/>
        <w:rPr>
          <w:lang w:val="en-GB"/>
        </w:rPr>
      </w:pPr>
      <w:r w:rsidRPr="00074D54">
        <w:rPr>
          <w:lang w:val="en-GB"/>
        </w:rPr>
        <w:t>When a ferritin test or iron deficiency study returns a low result, the patient can commence iron supplementation. Further re-testing would be unnecessary for at least three months or while the patient is receiving iron supplementation, whichever is longer.</w:t>
      </w:r>
    </w:p>
    <w:p w14:paraId="5CE452CC"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Full panel iron studies are not </w:t>
      </w:r>
      <w:r w:rsidR="008A517B">
        <w:rPr>
          <w:lang w:val="en-GB"/>
        </w:rPr>
        <w:t xml:space="preserve">necessary or </w:t>
      </w:r>
      <w:r w:rsidRPr="00074D54">
        <w:rPr>
          <w:lang w:val="en-GB"/>
        </w:rPr>
        <w:t>appropriate for investigating suspected iron deficiency</w:t>
      </w:r>
      <w:sdt>
        <w:sdtPr>
          <w:rPr>
            <w:lang w:val="en-GB"/>
          </w:rPr>
          <w:id w:val="-717363270"/>
          <w:citation/>
        </w:sdtPr>
        <w:sdtEndPr/>
        <w:sdtContent>
          <w:r w:rsidR="00E85516">
            <w:rPr>
              <w:lang w:val="en-GB"/>
            </w:rPr>
            <w:fldChar w:fldCharType="begin"/>
          </w:r>
          <w:r w:rsidR="00E85516">
            <w:rPr>
              <w:lang w:val="en-AU"/>
            </w:rPr>
            <w:instrText xml:space="preserve"> CITATION Guy \l 3081 </w:instrText>
          </w:r>
          <w:r w:rsidR="00E85516">
            <w:rPr>
              <w:lang w:val="en-GB"/>
            </w:rPr>
            <w:fldChar w:fldCharType="separate"/>
          </w:r>
          <w:r w:rsidR="00B66BE1">
            <w:rPr>
              <w:noProof/>
              <w:lang w:val="en-AU"/>
            </w:rPr>
            <w:t xml:space="preserve"> </w:t>
          </w:r>
          <w:r w:rsidR="00B66BE1" w:rsidRPr="00B66BE1">
            <w:rPr>
              <w:noProof/>
              <w:lang w:val="en-AU"/>
            </w:rPr>
            <w:t>(21)</w:t>
          </w:r>
          <w:r w:rsidR="00E85516">
            <w:rPr>
              <w:lang w:val="en-GB"/>
            </w:rPr>
            <w:fldChar w:fldCharType="end"/>
          </w:r>
        </w:sdtContent>
      </w:sdt>
      <w:r w:rsidRPr="00074D54">
        <w:rPr>
          <w:lang w:val="en-GB"/>
        </w:rPr>
        <w:t>.</w:t>
      </w:r>
    </w:p>
    <w:p w14:paraId="3E493114" w14:textId="77777777" w:rsidR="006F21C7" w:rsidRPr="006F21C7" w:rsidRDefault="00D564B9" w:rsidP="00EA019E">
      <w:pPr>
        <w:pStyle w:val="NormalBulleted"/>
        <w:numPr>
          <w:ilvl w:val="0"/>
          <w:numId w:val="83"/>
        </w:numPr>
        <w:rPr>
          <w:lang w:val="en-GB"/>
        </w:rPr>
      </w:pPr>
      <w:r w:rsidRPr="00074D54">
        <w:rPr>
          <w:lang w:val="en-GB"/>
        </w:rPr>
        <w:t xml:space="preserve">Review </w:t>
      </w:r>
      <w:r w:rsidR="006F21C7">
        <w:t xml:space="preserve">these items after </w:t>
      </w:r>
      <w:r w:rsidRPr="00074D54">
        <w:rPr>
          <w:lang w:val="en-GB"/>
        </w:rPr>
        <w:t xml:space="preserve">24 months </w:t>
      </w:r>
      <w:r w:rsidR="006F21C7">
        <w:rPr>
          <w:lang w:val="en-GB"/>
        </w:rPr>
        <w:t>t</w:t>
      </w:r>
      <w:r w:rsidR="006F21C7">
        <w:t xml:space="preserve">o assess the effect of the recommendations listed above </w:t>
      </w:r>
      <w:r w:rsidRPr="00074D54">
        <w:rPr>
          <w:lang w:val="en-GB"/>
        </w:rPr>
        <w:t xml:space="preserve">and if the current approaches are unsuccessful </w:t>
      </w:r>
      <w:r w:rsidR="00155CB6">
        <w:rPr>
          <w:lang w:val="en-GB"/>
        </w:rPr>
        <w:t xml:space="preserve">to change behaviour </w:t>
      </w:r>
      <w:r w:rsidRPr="00074D54">
        <w:rPr>
          <w:lang w:val="en-GB"/>
        </w:rPr>
        <w:t>then c</w:t>
      </w:r>
      <w:r w:rsidR="00FC1A6A" w:rsidRPr="00074D54">
        <w:rPr>
          <w:lang w:val="en-GB"/>
        </w:rPr>
        <w:t xml:space="preserve">onsider </w:t>
      </w:r>
      <w:r w:rsidR="003E297F">
        <w:rPr>
          <w:lang w:val="en-GB"/>
        </w:rPr>
        <w:t xml:space="preserve">strengthening </w:t>
      </w:r>
      <w:r w:rsidR="00FC1A6A" w:rsidRPr="00074D54">
        <w:rPr>
          <w:lang w:val="en-GB"/>
        </w:rPr>
        <w:t>CDS</w:t>
      </w:r>
      <w:r w:rsidR="003E297F">
        <w:rPr>
          <w:lang w:val="en-GB"/>
        </w:rPr>
        <w:t xml:space="preserve"> measures</w:t>
      </w:r>
      <w:r w:rsidR="00FC1A6A" w:rsidRPr="00074D54">
        <w:rPr>
          <w:lang w:val="en-GB"/>
        </w:rPr>
        <w:t xml:space="preserve"> for requesting of ferritin and iron studies items.</w:t>
      </w:r>
    </w:p>
    <w:p w14:paraId="18ECA55C" w14:textId="77777777" w:rsidR="00BE40E6" w:rsidRPr="00854013" w:rsidRDefault="00BE40E6" w:rsidP="00BE40E6">
      <w:pPr>
        <w:pStyle w:val="Boldtext"/>
      </w:pPr>
      <w:r w:rsidRPr="006E404A">
        <w:t>Rationale</w:t>
      </w:r>
    </w:p>
    <w:p w14:paraId="49906CC6" w14:textId="77777777" w:rsidR="0065315D" w:rsidRDefault="0065315D" w:rsidP="0065315D">
      <w:pPr>
        <w:pStyle w:val="NormalBulleted"/>
        <w:numPr>
          <w:ilvl w:val="0"/>
          <w:numId w:val="84"/>
        </w:numPr>
        <w:rPr>
          <w:lang w:val="en-GB"/>
        </w:rPr>
      </w:pPr>
      <w:r>
        <w:rPr>
          <w:lang w:val="en-GB"/>
        </w:rPr>
        <w:t>The Committee recommended that i</w:t>
      </w:r>
      <w:r w:rsidRPr="00074D54">
        <w:rPr>
          <w:lang w:val="en-GB"/>
        </w:rPr>
        <w:t>ron deficiency stud</w:t>
      </w:r>
      <w:r>
        <w:rPr>
          <w:lang w:val="en-GB"/>
        </w:rPr>
        <w:t>ies (item 66593)</w:t>
      </w:r>
      <w:r w:rsidRPr="00074D54">
        <w:rPr>
          <w:lang w:val="en-GB"/>
        </w:rPr>
        <w:t xml:space="preserve"> should be </w:t>
      </w:r>
      <w:r>
        <w:rPr>
          <w:lang w:val="en-GB"/>
        </w:rPr>
        <w:t xml:space="preserve">the default iron test, </w:t>
      </w:r>
      <w:r w:rsidRPr="00074D54">
        <w:rPr>
          <w:lang w:val="en-GB"/>
        </w:rPr>
        <w:t>unless the request form indicates that the clinical suspicion is iron overload.</w:t>
      </w:r>
    </w:p>
    <w:p w14:paraId="44A9C42B" w14:textId="77777777" w:rsidR="00BE40E6" w:rsidRPr="00854013" w:rsidRDefault="00BE40E6" w:rsidP="00EA019E">
      <w:pPr>
        <w:pStyle w:val="NormalBulleted"/>
        <w:numPr>
          <w:ilvl w:val="0"/>
          <w:numId w:val="84"/>
        </w:numPr>
        <w:rPr>
          <w:lang w:val="en-GB"/>
        </w:rPr>
      </w:pPr>
      <w:r w:rsidRPr="00854013">
        <w:rPr>
          <w:lang w:val="en-GB"/>
        </w:rPr>
        <w:t>The Committee found sufficient evidence to conclude there is overuse of iron studies and hold particular concern about the relative use of full panel iron studies compared to serum ferritin testing.</w:t>
      </w:r>
    </w:p>
    <w:p w14:paraId="3FD7701A" w14:textId="77777777" w:rsidR="00BE40E6" w:rsidRPr="00360531" w:rsidRDefault="00BE40E6" w:rsidP="00AB3AC3">
      <w:pPr>
        <w:pStyle w:val="02dash"/>
        <w:numPr>
          <w:ilvl w:val="1"/>
          <w:numId w:val="64"/>
        </w:numPr>
        <w:spacing w:line="240" w:lineRule="auto"/>
        <w:ind w:right="0"/>
        <w:rPr>
          <w:lang w:val="en-GB"/>
        </w:rPr>
      </w:pPr>
      <w:r w:rsidRPr="00854013">
        <w:rPr>
          <w:lang w:val="en-GB"/>
        </w:rPr>
        <w:t>MBS data for FY2015–16 (by date of servicing) showed that 5.37 million iron studie</w:t>
      </w:r>
      <w:r w:rsidR="004B661C">
        <w:rPr>
          <w:lang w:val="en-GB"/>
        </w:rPr>
        <w:t>s (item 66596) were performed; t</w:t>
      </w:r>
      <w:r w:rsidRPr="00854013">
        <w:rPr>
          <w:lang w:val="en-GB"/>
        </w:rPr>
        <w:t>his outstrips the 0.59 million ferritin tests (item 66593) that were performed in the same period</w:t>
      </w:r>
      <w:r w:rsidR="000F1311">
        <w:rPr>
          <w:lang w:val="en-GB"/>
        </w:rPr>
        <w:t xml:space="preserve"> (</w:t>
      </w:r>
      <w:r w:rsidR="000F1311">
        <w:rPr>
          <w:lang w:val="en-GB"/>
        </w:rPr>
        <w:fldChar w:fldCharType="begin"/>
      </w:r>
      <w:r w:rsidR="000F1311">
        <w:rPr>
          <w:lang w:val="en-GB"/>
        </w:rPr>
        <w:instrText xml:space="preserve"> REF _Ref525806233 \h </w:instrText>
      </w:r>
      <w:r w:rsidR="000F1311">
        <w:rPr>
          <w:lang w:val="en-GB"/>
        </w:rPr>
      </w:r>
      <w:r w:rsidR="000F1311">
        <w:rPr>
          <w:lang w:val="en-GB"/>
        </w:rPr>
        <w:fldChar w:fldCharType="separate"/>
      </w:r>
      <w:r w:rsidR="000F1311">
        <w:t xml:space="preserve">Table </w:t>
      </w:r>
      <w:r w:rsidR="000F1311">
        <w:rPr>
          <w:noProof/>
        </w:rPr>
        <w:t>4</w:t>
      </w:r>
      <w:r w:rsidR="000F1311">
        <w:rPr>
          <w:lang w:val="en-GB"/>
        </w:rPr>
        <w:fldChar w:fldCharType="end"/>
      </w:r>
      <w:r w:rsidR="00B45B10">
        <w:rPr>
          <w:lang w:val="en-GB"/>
        </w:rPr>
        <w:t>)</w:t>
      </w:r>
      <w:r w:rsidRPr="00854013">
        <w:rPr>
          <w:lang w:val="en-GB"/>
        </w:rPr>
        <w:t xml:space="preserve">. </w:t>
      </w:r>
    </w:p>
    <w:p w14:paraId="784A59C8" w14:textId="77777777" w:rsidR="006751CA" w:rsidRDefault="006C31FB" w:rsidP="00AB3AC3">
      <w:pPr>
        <w:pStyle w:val="02dash"/>
        <w:numPr>
          <w:ilvl w:val="1"/>
          <w:numId w:val="64"/>
        </w:numPr>
        <w:spacing w:line="240" w:lineRule="auto"/>
        <w:ind w:right="0"/>
        <w:rPr>
          <w:lang w:val="en-GB"/>
        </w:rPr>
      </w:pPr>
      <w:r>
        <w:rPr>
          <w:lang w:val="en-GB"/>
        </w:rPr>
        <w:t>MBS data indicate that t</w:t>
      </w:r>
      <w:r w:rsidRPr="00074D54">
        <w:rPr>
          <w:lang w:val="en-GB"/>
        </w:rPr>
        <w:t xml:space="preserve">he </w:t>
      </w:r>
      <w:r w:rsidR="00BE40E6" w:rsidRPr="00074D54">
        <w:rPr>
          <w:lang w:val="en-GB"/>
        </w:rPr>
        <w:t>majority (83%) of iron studies performed in 2015</w:t>
      </w:r>
      <w:r w:rsidR="00E54208">
        <w:rPr>
          <w:rFonts w:cstheme="minorHAnsi"/>
          <w:lang w:val="en-GB"/>
        </w:rPr>
        <w:t>–</w:t>
      </w:r>
      <w:r w:rsidR="00BE40E6" w:rsidRPr="00074D54">
        <w:rPr>
          <w:lang w:val="en-GB"/>
        </w:rPr>
        <w:t>16 were at the request of GPs, while specialists were more likely (1.5</w:t>
      </w:r>
      <w:r w:rsidR="00BE40E6" w:rsidRPr="00074D54">
        <w:rPr>
          <w:rFonts w:cstheme="minorHAnsi"/>
          <w:lang w:val="en-GB"/>
        </w:rPr>
        <w:t>×</w:t>
      </w:r>
      <w:r w:rsidR="00BE40E6" w:rsidRPr="00074D54">
        <w:rPr>
          <w:lang w:val="en-GB"/>
        </w:rPr>
        <w:t xml:space="preserve">) to request </w:t>
      </w:r>
      <w:r w:rsidR="00A83200">
        <w:rPr>
          <w:lang w:val="en-GB"/>
        </w:rPr>
        <w:t>a specifically</w:t>
      </w:r>
      <w:r w:rsidR="00DE4BE0">
        <w:rPr>
          <w:lang w:val="en-GB"/>
        </w:rPr>
        <w:t xml:space="preserve"> </w:t>
      </w:r>
      <w:r w:rsidR="00BE40E6" w:rsidRPr="00074D54">
        <w:rPr>
          <w:lang w:val="en-GB"/>
        </w:rPr>
        <w:t>ferritin test.</w:t>
      </w:r>
    </w:p>
    <w:p w14:paraId="46F45E0D" w14:textId="0A9103C5" w:rsidR="00BE40E6" w:rsidRPr="00074D54" w:rsidRDefault="00BE40E6" w:rsidP="006751CA">
      <w:pPr>
        <w:pStyle w:val="02dash"/>
        <w:numPr>
          <w:ilvl w:val="0"/>
          <w:numId w:val="0"/>
        </w:numPr>
        <w:spacing w:line="240" w:lineRule="auto"/>
        <w:ind w:left="360" w:right="0"/>
        <w:rPr>
          <w:lang w:val="en-GB"/>
        </w:rPr>
      </w:pPr>
      <w:r w:rsidRPr="00074D54">
        <w:rPr>
          <w:lang w:val="en-GB"/>
        </w:rPr>
        <w:t xml:space="preserve"> </w:t>
      </w:r>
    </w:p>
    <w:p w14:paraId="27C8F2F0" w14:textId="77777777" w:rsidR="000F1311" w:rsidRPr="000F1311" w:rsidRDefault="00BE40E6" w:rsidP="00AB3AC3">
      <w:pPr>
        <w:pStyle w:val="02dash"/>
        <w:numPr>
          <w:ilvl w:val="1"/>
          <w:numId w:val="64"/>
        </w:numPr>
        <w:spacing w:line="240" w:lineRule="auto"/>
        <w:ind w:right="0"/>
        <w:rPr>
          <w:lang w:val="en-GB"/>
        </w:rPr>
      </w:pPr>
      <w:r w:rsidRPr="00074D54">
        <w:rPr>
          <w:lang w:val="en-GB"/>
        </w:rPr>
        <w:lastRenderedPageBreak/>
        <w:t>This contrasts sharply with national and international practice guidelines which recommend ferritin as first</w:t>
      </w:r>
      <w:r w:rsidR="00DE4BE0">
        <w:rPr>
          <w:lang w:val="en-GB"/>
        </w:rPr>
        <w:t>-</w:t>
      </w:r>
      <w:r w:rsidRPr="00074D54">
        <w:rPr>
          <w:lang w:val="en-GB"/>
        </w:rPr>
        <w:t>line test in the detection of iron</w:t>
      </w:r>
      <w:r w:rsidR="00DE4BE0">
        <w:rPr>
          <w:lang w:val="en-GB"/>
        </w:rPr>
        <w:t xml:space="preserve"> </w:t>
      </w:r>
      <w:r w:rsidRPr="00074D54">
        <w:rPr>
          <w:lang w:val="en-GB"/>
        </w:rPr>
        <w:t xml:space="preserve">deficiency. </w:t>
      </w:r>
      <w:r w:rsidR="00DE4BE0">
        <w:rPr>
          <w:lang w:val="en-GB"/>
        </w:rPr>
        <w:t xml:space="preserve">A literature review has shown that </w:t>
      </w:r>
      <w:r w:rsidR="00DE4BE0">
        <w:rPr>
          <w:bCs/>
          <w:lang w:val="en-GB"/>
        </w:rPr>
        <w:t>f</w:t>
      </w:r>
      <w:r w:rsidRPr="00074D54">
        <w:rPr>
          <w:bCs/>
          <w:lang w:val="en-GB"/>
        </w:rPr>
        <w:t>erritin testing was recommended in 22 guidelines worldwide due to its high specificity and accuracy</w:t>
      </w:r>
      <w:r w:rsidR="00DE4BE0">
        <w:rPr>
          <w:bCs/>
          <w:lang w:val="en-GB"/>
        </w:rPr>
        <w:t>, while t</w:t>
      </w:r>
      <w:r w:rsidRPr="00074D54">
        <w:rPr>
          <w:bCs/>
          <w:lang w:val="en-GB"/>
        </w:rPr>
        <w:t>ransferrin saturation was proposed as an alternative or complementary diagnostic test for iron deficiency by 45% of guidelines (10 of 22)</w:t>
      </w:r>
      <w:sdt>
        <w:sdtPr>
          <w:rPr>
            <w:bCs/>
            <w:lang w:val="en-GB"/>
          </w:rPr>
          <w:id w:val="969480353"/>
          <w:citation/>
        </w:sdtPr>
        <w:sdtEndPr/>
        <w:sdtContent>
          <w:r w:rsidR="00582CE3">
            <w:rPr>
              <w:bCs/>
              <w:lang w:val="en-GB"/>
            </w:rPr>
            <w:fldChar w:fldCharType="begin"/>
          </w:r>
          <w:r w:rsidR="007C024E">
            <w:rPr>
              <w:bCs/>
            </w:rPr>
            <w:instrText xml:space="preserve">CITATION Pey \l 1033 </w:instrText>
          </w:r>
          <w:r w:rsidR="00582CE3">
            <w:rPr>
              <w:bCs/>
              <w:lang w:val="en-GB"/>
            </w:rPr>
            <w:fldChar w:fldCharType="separate"/>
          </w:r>
          <w:r w:rsidR="00B66BE1">
            <w:rPr>
              <w:bCs/>
              <w:noProof/>
            </w:rPr>
            <w:t xml:space="preserve"> </w:t>
          </w:r>
          <w:r w:rsidR="00B66BE1">
            <w:rPr>
              <w:noProof/>
            </w:rPr>
            <w:t>(22)</w:t>
          </w:r>
          <w:r w:rsidR="00582CE3">
            <w:rPr>
              <w:bCs/>
              <w:lang w:val="en-GB"/>
            </w:rPr>
            <w:fldChar w:fldCharType="end"/>
          </w:r>
        </w:sdtContent>
      </w:sdt>
      <w:r w:rsidR="00F7463C">
        <w:rPr>
          <w:bCs/>
          <w:lang w:val="en-GB"/>
        </w:rPr>
        <w:t>.</w:t>
      </w:r>
    </w:p>
    <w:p w14:paraId="631CAF56" w14:textId="77777777" w:rsidR="00BE40E6" w:rsidRPr="009E1864" w:rsidRDefault="00B75411" w:rsidP="00AB3AC3">
      <w:pPr>
        <w:pStyle w:val="02dash"/>
        <w:numPr>
          <w:ilvl w:val="1"/>
          <w:numId w:val="64"/>
        </w:numPr>
        <w:spacing w:line="240" w:lineRule="auto"/>
        <w:ind w:right="0"/>
        <w:rPr>
          <w:lang w:val="en-GB"/>
        </w:rPr>
      </w:pPr>
      <w:r>
        <w:rPr>
          <w:lang w:val="en-AU"/>
        </w:rPr>
        <w:t>MBS</w:t>
      </w:r>
      <w:r w:rsidR="00BB0E70">
        <w:rPr>
          <w:lang w:val="en-AU"/>
        </w:rPr>
        <w:t xml:space="preserve"> data indicate iron studies are commonly co-claimed with full blood counts.</w:t>
      </w:r>
    </w:p>
    <w:p w14:paraId="5E7F6163" w14:textId="77777777" w:rsidR="00BE40E6" w:rsidRPr="00074D54" w:rsidRDefault="00BE40E6" w:rsidP="00EA019E">
      <w:pPr>
        <w:pStyle w:val="NormalBulleted"/>
        <w:numPr>
          <w:ilvl w:val="0"/>
          <w:numId w:val="84"/>
        </w:numPr>
        <w:rPr>
          <w:lang w:val="en-GB"/>
        </w:rPr>
      </w:pPr>
      <w:r w:rsidRPr="00074D54">
        <w:rPr>
          <w:lang w:val="en-GB"/>
        </w:rPr>
        <w:t xml:space="preserve">There are many reasons why a disproportionate number of iron studies are being requested in comparison to ferritin tests. The Committee agreed that these reasons include the following: </w:t>
      </w:r>
    </w:p>
    <w:p w14:paraId="57C8096D"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Many GPs are unaware that a ferritin-only MBS item exists, and that the ferritin-only item is less expensive than iron studies. </w:t>
      </w:r>
    </w:p>
    <w:p w14:paraId="301E7B1B" w14:textId="77777777" w:rsidR="00BE40E6" w:rsidRPr="00074D54" w:rsidRDefault="00BE40E6" w:rsidP="00AB3AC3">
      <w:pPr>
        <w:pStyle w:val="02dash"/>
        <w:numPr>
          <w:ilvl w:val="1"/>
          <w:numId w:val="64"/>
        </w:numPr>
        <w:spacing w:line="240" w:lineRule="auto"/>
        <w:ind w:right="0"/>
        <w:rPr>
          <w:lang w:val="en-GB"/>
        </w:rPr>
      </w:pPr>
      <w:r w:rsidRPr="00074D54">
        <w:rPr>
          <w:lang w:val="en-GB"/>
        </w:rPr>
        <w:t>There is a widespread and entrenched habit of simply requesting ‘iron studies,’ even when ferritin quantitation would be the clinically indicated test for patients with lethargy or suspected iron deficiency.</w:t>
      </w:r>
    </w:p>
    <w:p w14:paraId="1C6592DA"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Some clinical management software includes iron studies as the default investigation for iron deficiency. </w:t>
      </w:r>
      <w:r w:rsidR="001D3697">
        <w:rPr>
          <w:lang w:val="en-GB"/>
        </w:rPr>
        <w:t>Clinicians</w:t>
      </w:r>
      <w:r w:rsidR="00837BED">
        <w:rPr>
          <w:lang w:val="en-GB"/>
        </w:rPr>
        <w:t xml:space="preserve"> can also designate iron studies within the software as one of their favourite tests making it easier to request than ferritin</w:t>
      </w:r>
      <w:r w:rsidR="00B75411">
        <w:rPr>
          <w:lang w:val="en-GB"/>
        </w:rPr>
        <w:t xml:space="preserve"> quantitation</w:t>
      </w:r>
      <w:r w:rsidR="00837BED">
        <w:rPr>
          <w:lang w:val="en-GB"/>
        </w:rPr>
        <w:t>.</w:t>
      </w:r>
    </w:p>
    <w:p w14:paraId="7FBF7914" w14:textId="77777777" w:rsidR="00BE40E6" w:rsidRPr="00074D54" w:rsidRDefault="00BE40E6" w:rsidP="00AB3AC3">
      <w:pPr>
        <w:pStyle w:val="02dash"/>
        <w:numPr>
          <w:ilvl w:val="1"/>
          <w:numId w:val="64"/>
        </w:numPr>
        <w:spacing w:line="240" w:lineRule="auto"/>
        <w:ind w:right="0"/>
        <w:rPr>
          <w:lang w:val="en-GB"/>
        </w:rPr>
      </w:pPr>
      <w:r w:rsidRPr="00074D54">
        <w:rPr>
          <w:lang w:val="en-GB"/>
        </w:rPr>
        <w:t>The current explanatory note (</w:t>
      </w:r>
      <w:r w:rsidR="009E1864">
        <w:t>PN.0.15</w:t>
      </w:r>
      <w:r w:rsidRPr="00074D54">
        <w:rPr>
          <w:lang w:val="en-GB"/>
        </w:rPr>
        <w:t>) may result in inappropriate use of full panel iron studies when the requesting clinician may actually be suspicious of iron deficiency.</w:t>
      </w:r>
    </w:p>
    <w:p w14:paraId="6F94E3D5" w14:textId="77777777" w:rsidR="00BE40E6" w:rsidRPr="00074D54" w:rsidRDefault="00BE40E6" w:rsidP="00EA019E">
      <w:pPr>
        <w:pStyle w:val="NormalBulleted"/>
        <w:numPr>
          <w:ilvl w:val="0"/>
          <w:numId w:val="85"/>
        </w:numPr>
        <w:rPr>
          <w:lang w:val="en-GB"/>
        </w:rPr>
      </w:pPr>
      <w:r w:rsidRPr="00074D54">
        <w:rPr>
          <w:lang w:val="en-GB"/>
        </w:rPr>
        <w:t>The Committee agreed on the following:</w:t>
      </w:r>
    </w:p>
    <w:p w14:paraId="3DF54E0D" w14:textId="77777777" w:rsidR="00BE40E6" w:rsidRPr="00074D54" w:rsidRDefault="00BE40E6" w:rsidP="00AB3AC3">
      <w:pPr>
        <w:pStyle w:val="02dash"/>
        <w:numPr>
          <w:ilvl w:val="1"/>
          <w:numId w:val="64"/>
        </w:numPr>
        <w:spacing w:line="240" w:lineRule="auto"/>
        <w:ind w:right="0"/>
        <w:rPr>
          <w:lang w:val="en-GB"/>
        </w:rPr>
      </w:pPr>
      <w:r w:rsidRPr="00074D54">
        <w:rPr>
          <w:lang w:val="en-GB"/>
        </w:rPr>
        <w:t>Ferritin quantitation is the preferred test for suspected iron deficiency.</w:t>
      </w:r>
    </w:p>
    <w:p w14:paraId="06C02351" w14:textId="77777777" w:rsidR="00BE40E6" w:rsidRPr="00074D54" w:rsidRDefault="00BE40E6" w:rsidP="00AB3AC3">
      <w:pPr>
        <w:pStyle w:val="02dash"/>
        <w:numPr>
          <w:ilvl w:val="1"/>
          <w:numId w:val="64"/>
        </w:numPr>
        <w:spacing w:line="240" w:lineRule="auto"/>
        <w:ind w:right="0"/>
        <w:rPr>
          <w:lang w:val="en-GB"/>
        </w:rPr>
      </w:pPr>
      <w:r w:rsidRPr="00074D54">
        <w:rPr>
          <w:bCs/>
          <w:lang w:val="en-GB"/>
        </w:rPr>
        <w:t xml:space="preserve">Guidelines </w:t>
      </w:r>
      <w:r w:rsidR="00582CE3">
        <w:rPr>
          <w:bCs/>
          <w:lang w:val="en-GB"/>
        </w:rPr>
        <w:t>r</w:t>
      </w:r>
      <w:r w:rsidRPr="00074D54">
        <w:rPr>
          <w:bCs/>
          <w:lang w:val="en-GB"/>
        </w:rPr>
        <w:t>ecommend ferritin in the detection of iron</w:t>
      </w:r>
      <w:r w:rsidR="00383582">
        <w:rPr>
          <w:bCs/>
          <w:lang w:val="en-GB"/>
        </w:rPr>
        <w:t xml:space="preserve"> </w:t>
      </w:r>
      <w:r w:rsidRPr="00074D54">
        <w:rPr>
          <w:bCs/>
          <w:lang w:val="en-GB"/>
        </w:rPr>
        <w:t>deficiency, due to its high sensit</w:t>
      </w:r>
      <w:r w:rsidRPr="00074D54">
        <w:rPr>
          <w:lang w:val="en-GB"/>
        </w:rPr>
        <w:t>ivity and specificity</w:t>
      </w:r>
      <w:r w:rsidR="00582CE3">
        <w:rPr>
          <w:lang w:val="en-GB"/>
        </w:rPr>
        <w:t xml:space="preserve"> </w:t>
      </w:r>
      <w:sdt>
        <w:sdtPr>
          <w:rPr>
            <w:lang w:val="en-GB"/>
          </w:rPr>
          <w:id w:val="239227593"/>
          <w:citation/>
        </w:sdtPr>
        <w:sdtEndPr/>
        <w:sdtContent>
          <w:r w:rsidR="00BB5038">
            <w:rPr>
              <w:lang w:val="en-GB"/>
            </w:rPr>
            <w:fldChar w:fldCharType="begin"/>
          </w:r>
          <w:r w:rsidR="00BB5038">
            <w:instrText xml:space="preserve"> CITATION Roy \l 1033 </w:instrText>
          </w:r>
          <w:r w:rsidR="00BB5038">
            <w:rPr>
              <w:lang w:val="en-GB"/>
            </w:rPr>
            <w:fldChar w:fldCharType="separate"/>
          </w:r>
          <w:r w:rsidR="00B66BE1">
            <w:rPr>
              <w:noProof/>
            </w:rPr>
            <w:t>(23)</w:t>
          </w:r>
          <w:r w:rsidR="00BB5038">
            <w:rPr>
              <w:lang w:val="en-GB"/>
            </w:rPr>
            <w:fldChar w:fldCharType="end"/>
          </w:r>
        </w:sdtContent>
      </w:sdt>
      <w:sdt>
        <w:sdtPr>
          <w:rPr>
            <w:lang w:val="en-GB"/>
          </w:rPr>
          <w:id w:val="-571046949"/>
          <w:citation/>
        </w:sdtPr>
        <w:sdtEndPr/>
        <w:sdtContent>
          <w:r w:rsidR="00BB5038">
            <w:rPr>
              <w:lang w:val="en-GB"/>
            </w:rPr>
            <w:fldChar w:fldCharType="begin"/>
          </w:r>
          <w:r w:rsidR="00BB5038">
            <w:instrText xml:space="preserve"> CITATION ati \l 1033 </w:instrText>
          </w:r>
          <w:r w:rsidR="00BB5038">
            <w:rPr>
              <w:lang w:val="en-GB"/>
            </w:rPr>
            <w:fldChar w:fldCharType="separate"/>
          </w:r>
          <w:r w:rsidR="00B66BE1">
            <w:rPr>
              <w:noProof/>
            </w:rPr>
            <w:t xml:space="preserve"> (24)</w:t>
          </w:r>
          <w:r w:rsidR="00BB5038">
            <w:rPr>
              <w:lang w:val="en-GB"/>
            </w:rPr>
            <w:fldChar w:fldCharType="end"/>
          </w:r>
        </w:sdtContent>
      </w:sdt>
      <w:sdt>
        <w:sdtPr>
          <w:rPr>
            <w:lang w:val="en-GB"/>
          </w:rPr>
          <w:id w:val="-431828496"/>
          <w:citation/>
        </w:sdtPr>
        <w:sdtEndPr/>
        <w:sdtContent>
          <w:r w:rsidR="00BB5038">
            <w:rPr>
              <w:lang w:val="en-GB"/>
            </w:rPr>
            <w:fldChar w:fldCharType="begin"/>
          </w:r>
          <w:r w:rsidR="00F027EC">
            <w:instrText xml:space="preserve">CITATION Guy \l 1033 </w:instrText>
          </w:r>
          <w:r w:rsidR="00BB5038">
            <w:rPr>
              <w:lang w:val="en-GB"/>
            </w:rPr>
            <w:fldChar w:fldCharType="separate"/>
          </w:r>
          <w:r w:rsidR="00B66BE1">
            <w:rPr>
              <w:noProof/>
            </w:rPr>
            <w:t xml:space="preserve"> (21)</w:t>
          </w:r>
          <w:r w:rsidR="00BB5038">
            <w:rPr>
              <w:lang w:val="en-GB"/>
            </w:rPr>
            <w:fldChar w:fldCharType="end"/>
          </w:r>
        </w:sdtContent>
      </w:sdt>
      <w:sdt>
        <w:sdtPr>
          <w:rPr>
            <w:lang w:val="en-GB"/>
          </w:rPr>
          <w:id w:val="-2032559822"/>
          <w:citation/>
        </w:sdtPr>
        <w:sdtEndPr/>
        <w:sdtContent>
          <w:r w:rsidR="00BB5038">
            <w:rPr>
              <w:lang w:val="en-GB"/>
            </w:rPr>
            <w:fldChar w:fldCharType="begin"/>
          </w:r>
          <w:r w:rsidR="007C024E">
            <w:instrText xml:space="preserve">CITATION GGu \l 1033 </w:instrText>
          </w:r>
          <w:r w:rsidR="00BB5038">
            <w:rPr>
              <w:lang w:val="en-GB"/>
            </w:rPr>
            <w:fldChar w:fldCharType="separate"/>
          </w:r>
          <w:r w:rsidR="00B66BE1">
            <w:rPr>
              <w:noProof/>
            </w:rPr>
            <w:t xml:space="preserve"> (25)</w:t>
          </w:r>
          <w:r w:rsidR="00BB5038">
            <w:rPr>
              <w:lang w:val="en-GB"/>
            </w:rPr>
            <w:fldChar w:fldCharType="end"/>
          </w:r>
        </w:sdtContent>
      </w:sdt>
      <w:r w:rsidRPr="00074D54">
        <w:rPr>
          <w:lang w:val="en-GB"/>
        </w:rPr>
        <w:t xml:space="preserve">. </w:t>
      </w:r>
    </w:p>
    <w:p w14:paraId="14177EB2" w14:textId="77777777" w:rsidR="00BE40E6" w:rsidRDefault="00BE40E6" w:rsidP="00AB3AC3">
      <w:pPr>
        <w:pStyle w:val="02dash"/>
        <w:numPr>
          <w:ilvl w:val="1"/>
          <w:numId w:val="64"/>
        </w:numPr>
        <w:spacing w:line="240" w:lineRule="auto"/>
        <w:ind w:right="0"/>
        <w:rPr>
          <w:lang w:val="en-GB"/>
        </w:rPr>
      </w:pPr>
      <w:r w:rsidRPr="00074D54">
        <w:rPr>
          <w:lang w:val="en-GB"/>
        </w:rPr>
        <w:t>Low ferritin levels confirm iron deficiency.</w:t>
      </w:r>
    </w:p>
    <w:p w14:paraId="646422D7" w14:textId="77777777" w:rsidR="00BB0E70" w:rsidRPr="00074D54" w:rsidRDefault="00BB0E70" w:rsidP="00AB3AC3">
      <w:pPr>
        <w:pStyle w:val="02dash"/>
        <w:numPr>
          <w:ilvl w:val="1"/>
          <w:numId w:val="64"/>
        </w:numPr>
        <w:spacing w:line="240" w:lineRule="auto"/>
        <w:ind w:right="0"/>
        <w:rPr>
          <w:lang w:val="en-GB"/>
        </w:rPr>
      </w:pPr>
      <w:r>
        <w:rPr>
          <w:lang w:val="en-AU"/>
        </w:rPr>
        <w:t>There is weak evidence that treating patients with fatigue (but no proven anaemia) may be beneficial</w:t>
      </w:r>
      <w:r w:rsidR="00823C70">
        <w:rPr>
          <w:lang w:val="en-AU"/>
        </w:rPr>
        <w:t xml:space="preserve"> </w:t>
      </w:r>
      <w:sdt>
        <w:sdtPr>
          <w:rPr>
            <w:lang w:val="en-AU"/>
          </w:rPr>
          <w:id w:val="745379494"/>
          <w:citation/>
        </w:sdtPr>
        <w:sdtEndPr/>
        <w:sdtContent>
          <w:r w:rsidR="00823C70">
            <w:rPr>
              <w:lang w:val="en-AU"/>
            </w:rPr>
            <w:fldChar w:fldCharType="begin"/>
          </w:r>
          <w:r w:rsidR="00823C70">
            <w:rPr>
              <w:lang w:val="en-AU"/>
            </w:rPr>
            <w:instrText xml:space="preserve"> CITATION Cam15 \l 3081 </w:instrText>
          </w:r>
          <w:r w:rsidR="00823C70">
            <w:rPr>
              <w:lang w:val="en-AU"/>
            </w:rPr>
            <w:fldChar w:fldCharType="separate"/>
          </w:r>
          <w:r w:rsidR="00B66BE1" w:rsidRPr="00B66BE1">
            <w:rPr>
              <w:noProof/>
              <w:lang w:val="en-AU"/>
            </w:rPr>
            <w:t>(26)</w:t>
          </w:r>
          <w:r w:rsidR="00823C70">
            <w:rPr>
              <w:lang w:val="en-AU"/>
            </w:rPr>
            <w:fldChar w:fldCharType="end"/>
          </w:r>
        </w:sdtContent>
      </w:sdt>
      <w:r>
        <w:rPr>
          <w:lang w:val="en-AU"/>
        </w:rPr>
        <w:t>, but there are no guidelines for the monitoring of these patients.</w:t>
      </w:r>
    </w:p>
    <w:p w14:paraId="70998A70"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Ferritin </w:t>
      </w:r>
      <w:r w:rsidR="00383582">
        <w:rPr>
          <w:lang w:val="en-GB"/>
        </w:rPr>
        <w:t xml:space="preserve">testing </w:t>
      </w:r>
      <w:r w:rsidRPr="00074D54">
        <w:rPr>
          <w:lang w:val="en-GB"/>
        </w:rPr>
        <w:t>can provide useful information in patients with inflammatory conditions, if interpreted appropriately</w:t>
      </w:r>
      <w:r w:rsidR="00383582">
        <w:rPr>
          <w:lang w:val="en-GB"/>
        </w:rPr>
        <w:t xml:space="preserve">. For example, </w:t>
      </w:r>
      <w:r w:rsidRPr="00074D54">
        <w:rPr>
          <w:lang w:val="en-GB"/>
        </w:rPr>
        <w:t>a ferritin</w:t>
      </w:r>
      <w:r w:rsidR="00383582">
        <w:rPr>
          <w:lang w:val="en-GB"/>
        </w:rPr>
        <w:t xml:space="preserve"> level</w:t>
      </w:r>
      <w:r w:rsidRPr="00074D54">
        <w:rPr>
          <w:lang w:val="en-GB"/>
        </w:rPr>
        <w:t xml:space="preserve"> of 50</w:t>
      </w:r>
      <w:r w:rsidR="00383582">
        <w:rPr>
          <w:lang w:val="en-GB"/>
        </w:rPr>
        <w:t xml:space="preserve"> </w:t>
      </w:r>
      <w:r w:rsidR="0027685D" w:rsidRPr="00D35E4F">
        <w:rPr>
          <w:lang w:val="en-GB"/>
        </w:rPr>
        <w:t>μ</w:t>
      </w:r>
      <w:r w:rsidRPr="00074D54">
        <w:rPr>
          <w:lang w:val="en-GB"/>
        </w:rPr>
        <w:t>g/L increase</w:t>
      </w:r>
      <w:r w:rsidR="00383582">
        <w:rPr>
          <w:lang w:val="en-GB"/>
        </w:rPr>
        <w:t>s</w:t>
      </w:r>
      <w:r w:rsidRPr="00074D54">
        <w:rPr>
          <w:lang w:val="en-GB"/>
        </w:rPr>
        <w:t xml:space="preserve"> the probability of iron deficiency in a patient with inflammatory disease but not in the general population</w:t>
      </w:r>
      <w:r w:rsidR="00BB5038">
        <w:rPr>
          <w:lang w:val="en-GB"/>
        </w:rPr>
        <w:t xml:space="preserve"> </w:t>
      </w:r>
      <w:sdt>
        <w:sdtPr>
          <w:rPr>
            <w:lang w:val="en-GB"/>
          </w:rPr>
          <w:id w:val="-922644427"/>
          <w:citation/>
        </w:sdtPr>
        <w:sdtEndPr/>
        <w:sdtContent>
          <w:r w:rsidR="00BB5038">
            <w:rPr>
              <w:lang w:val="en-GB"/>
            </w:rPr>
            <w:fldChar w:fldCharType="begin"/>
          </w:r>
          <w:r w:rsidR="00F027EC">
            <w:instrText xml:space="preserve">CITATION Guy \l 1033 </w:instrText>
          </w:r>
          <w:r w:rsidR="00BB5038">
            <w:rPr>
              <w:lang w:val="en-GB"/>
            </w:rPr>
            <w:fldChar w:fldCharType="separate"/>
          </w:r>
          <w:r w:rsidR="00B66BE1">
            <w:rPr>
              <w:noProof/>
            </w:rPr>
            <w:t>(21)</w:t>
          </w:r>
          <w:r w:rsidR="00BB5038">
            <w:rPr>
              <w:lang w:val="en-GB"/>
            </w:rPr>
            <w:fldChar w:fldCharType="end"/>
          </w:r>
        </w:sdtContent>
      </w:sdt>
      <w:r w:rsidRPr="00074D54">
        <w:rPr>
          <w:lang w:val="en-GB"/>
        </w:rPr>
        <w:t xml:space="preserve">. </w:t>
      </w:r>
      <w:r w:rsidR="00383582">
        <w:rPr>
          <w:lang w:val="en-GB"/>
        </w:rPr>
        <w:t>In addition, h</w:t>
      </w:r>
      <w:r w:rsidR="00383582" w:rsidRPr="00074D54">
        <w:rPr>
          <w:lang w:val="en-GB"/>
        </w:rPr>
        <w:t xml:space="preserve">igher </w:t>
      </w:r>
      <w:r w:rsidR="00383582">
        <w:rPr>
          <w:lang w:val="en-GB"/>
        </w:rPr>
        <w:t xml:space="preserve">ferritin </w:t>
      </w:r>
      <w:r w:rsidR="002B0E31" w:rsidRPr="00074D54">
        <w:rPr>
          <w:lang w:val="en-GB"/>
        </w:rPr>
        <w:t>cut-off</w:t>
      </w:r>
      <w:r w:rsidRPr="00074D54">
        <w:rPr>
          <w:lang w:val="en-GB"/>
        </w:rPr>
        <w:t xml:space="preserve"> levels can</w:t>
      </w:r>
      <w:r w:rsidR="00383582">
        <w:rPr>
          <w:lang w:val="en-GB"/>
        </w:rPr>
        <w:t xml:space="preserve"> also</w:t>
      </w:r>
      <w:r w:rsidRPr="00074D54">
        <w:rPr>
          <w:lang w:val="en-GB"/>
        </w:rPr>
        <w:t xml:space="preserve"> be used to predict </w:t>
      </w:r>
      <w:r w:rsidR="00383582">
        <w:rPr>
          <w:lang w:val="en-GB"/>
        </w:rPr>
        <w:t xml:space="preserve">the </w:t>
      </w:r>
      <w:r w:rsidRPr="00074D54">
        <w:rPr>
          <w:lang w:val="en-GB"/>
        </w:rPr>
        <w:t>presence of iron deficiency in other conditions such as chronic kidney disease and heart failure</w:t>
      </w:r>
      <w:r w:rsidR="00BB5038">
        <w:rPr>
          <w:lang w:val="en-GB"/>
        </w:rPr>
        <w:t xml:space="preserve"> </w:t>
      </w:r>
      <w:sdt>
        <w:sdtPr>
          <w:rPr>
            <w:lang w:val="en-GB"/>
          </w:rPr>
          <w:id w:val="1519038763"/>
          <w:citation/>
        </w:sdtPr>
        <w:sdtEndPr/>
        <w:sdtContent>
          <w:r w:rsidR="00BB5038">
            <w:rPr>
              <w:lang w:val="en-GB"/>
            </w:rPr>
            <w:fldChar w:fldCharType="begin"/>
          </w:r>
          <w:r w:rsidR="00823C70">
            <w:instrText xml:space="preserve">CITATION Cam15 \l 1033 </w:instrText>
          </w:r>
          <w:r w:rsidR="00BB5038">
            <w:rPr>
              <w:lang w:val="en-GB"/>
            </w:rPr>
            <w:fldChar w:fldCharType="separate"/>
          </w:r>
          <w:r w:rsidR="00B66BE1">
            <w:rPr>
              <w:noProof/>
            </w:rPr>
            <w:t>(26)</w:t>
          </w:r>
          <w:r w:rsidR="00BB5038">
            <w:rPr>
              <w:lang w:val="en-GB"/>
            </w:rPr>
            <w:fldChar w:fldCharType="end"/>
          </w:r>
        </w:sdtContent>
      </w:sdt>
      <w:r w:rsidRPr="00074D54">
        <w:rPr>
          <w:lang w:val="en-GB"/>
        </w:rPr>
        <w:t xml:space="preserve">. </w:t>
      </w:r>
    </w:p>
    <w:p w14:paraId="4D60DFF3" w14:textId="77777777" w:rsidR="00BB5038" w:rsidRDefault="00BE40E6" w:rsidP="00AB3AC3">
      <w:pPr>
        <w:pStyle w:val="02dash"/>
        <w:numPr>
          <w:ilvl w:val="1"/>
          <w:numId w:val="64"/>
        </w:numPr>
        <w:spacing w:line="240" w:lineRule="auto"/>
        <w:ind w:right="0"/>
        <w:rPr>
          <w:lang w:val="en-GB"/>
        </w:rPr>
      </w:pPr>
      <w:r w:rsidRPr="00074D54">
        <w:rPr>
          <w:lang w:val="en-GB"/>
        </w:rPr>
        <w:t xml:space="preserve">Despite concerted efforts by pathologists and </w:t>
      </w:r>
      <w:r w:rsidR="00383582">
        <w:rPr>
          <w:lang w:val="en-GB"/>
        </w:rPr>
        <w:t xml:space="preserve">the </w:t>
      </w:r>
      <w:r w:rsidRPr="00074D54">
        <w:rPr>
          <w:lang w:val="en-GB"/>
        </w:rPr>
        <w:t>RCPA, low serum iron levels are frequently mistaken by non-pathologists as a sign of iron deficiency despite normal or high ferritin levels</w:t>
      </w:r>
      <w:r w:rsidR="00383582">
        <w:rPr>
          <w:lang w:val="en-GB"/>
        </w:rPr>
        <w:t>,</w:t>
      </w:r>
      <w:r w:rsidRPr="00074D54">
        <w:rPr>
          <w:lang w:val="en-GB"/>
        </w:rPr>
        <w:t xml:space="preserve"> resulting </w:t>
      </w:r>
      <w:r w:rsidR="00383582">
        <w:rPr>
          <w:lang w:val="en-GB"/>
        </w:rPr>
        <w:t>in</w:t>
      </w:r>
      <w:r w:rsidR="00526E24">
        <w:rPr>
          <w:lang w:val="en-GB"/>
        </w:rPr>
        <w:t xml:space="preserve"> patients being</w:t>
      </w:r>
      <w:r w:rsidR="00383582">
        <w:rPr>
          <w:lang w:val="en-GB"/>
        </w:rPr>
        <w:t xml:space="preserve"> </w:t>
      </w:r>
      <w:r w:rsidRPr="00074D54">
        <w:rPr>
          <w:lang w:val="en-GB"/>
        </w:rPr>
        <w:t>inappropriate</w:t>
      </w:r>
      <w:r w:rsidR="00526E24">
        <w:rPr>
          <w:lang w:val="en-GB"/>
        </w:rPr>
        <w:t>ly</w:t>
      </w:r>
      <w:r w:rsidRPr="00074D54">
        <w:rPr>
          <w:lang w:val="en-GB"/>
        </w:rPr>
        <w:t xml:space="preserve"> referr</w:t>
      </w:r>
      <w:r w:rsidR="00526E24">
        <w:rPr>
          <w:lang w:val="en-GB"/>
        </w:rPr>
        <w:t>ed</w:t>
      </w:r>
      <w:r w:rsidRPr="00074D54">
        <w:rPr>
          <w:lang w:val="en-GB"/>
        </w:rPr>
        <w:t xml:space="preserve"> to specialists for endoscopy </w:t>
      </w:r>
      <w:r w:rsidR="00383582">
        <w:rPr>
          <w:lang w:val="en-GB"/>
        </w:rPr>
        <w:t xml:space="preserve">or </w:t>
      </w:r>
      <w:r w:rsidR="00526E24">
        <w:rPr>
          <w:lang w:val="en-GB"/>
        </w:rPr>
        <w:t xml:space="preserve">prescribed </w:t>
      </w:r>
      <w:r w:rsidRPr="00074D54">
        <w:rPr>
          <w:lang w:val="en-GB"/>
        </w:rPr>
        <w:t>unjustified treatment with iron supplements</w:t>
      </w:r>
      <w:r w:rsidR="00BB5038">
        <w:rPr>
          <w:lang w:val="en-GB"/>
        </w:rPr>
        <w:t xml:space="preserve">. </w:t>
      </w:r>
    </w:p>
    <w:p w14:paraId="187C5176" w14:textId="77777777" w:rsidR="00BE40E6" w:rsidRPr="00074D54" w:rsidRDefault="00BB5038" w:rsidP="00AB3AC3">
      <w:pPr>
        <w:pStyle w:val="02dash"/>
        <w:numPr>
          <w:ilvl w:val="1"/>
          <w:numId w:val="64"/>
        </w:numPr>
        <w:spacing w:line="240" w:lineRule="auto"/>
        <w:ind w:right="0"/>
        <w:rPr>
          <w:lang w:val="en-GB"/>
        </w:rPr>
      </w:pPr>
      <w:r>
        <w:rPr>
          <w:lang w:val="en-GB"/>
        </w:rPr>
        <w:t xml:space="preserve">In a submission to the MBS Review </w:t>
      </w:r>
      <w:r>
        <w:t>Blood Authority Members suggested that a request for ‘Iron studies’ should generate a ferritin level as the initial test performed and reported by the laboratory. Further iron studies (done on the same sample) should only be rebatable if the ferritin level is outside the laboratory reference ranges</w:t>
      </w:r>
      <w:r w:rsidR="00BE40E6" w:rsidRPr="00074D54">
        <w:rPr>
          <w:lang w:val="en-GB"/>
        </w:rPr>
        <w:t>.</w:t>
      </w:r>
      <w:r w:rsidRPr="00074D54" w:rsidDel="00BB5038">
        <w:rPr>
          <w:rStyle w:val="FootnoteReference"/>
          <w:lang w:val="en-GB"/>
        </w:rPr>
        <w:t xml:space="preserve"> </w:t>
      </w:r>
    </w:p>
    <w:p w14:paraId="744DC9B8" w14:textId="77777777" w:rsidR="00BE40E6" w:rsidRPr="00526E24" w:rsidRDefault="00BE40E6" w:rsidP="00AB3AC3">
      <w:pPr>
        <w:pStyle w:val="02dash"/>
        <w:numPr>
          <w:ilvl w:val="1"/>
          <w:numId w:val="64"/>
        </w:numPr>
        <w:spacing w:line="240" w:lineRule="auto"/>
        <w:ind w:right="0"/>
        <w:rPr>
          <w:lang w:val="en-GB"/>
        </w:rPr>
      </w:pPr>
      <w:r w:rsidRPr="00074D54">
        <w:rPr>
          <w:lang w:val="en-GB"/>
        </w:rPr>
        <w:lastRenderedPageBreak/>
        <w:t>The diagnostic ability of other biomarkers such as transferrin may be nearly equal  to that of ferritin, but do not appear to add further discriminant ability once the ferritin result is available</w:t>
      </w:r>
      <w:r w:rsidR="00BB5038">
        <w:rPr>
          <w:lang w:val="en-GB"/>
        </w:rPr>
        <w:t xml:space="preserve"> </w:t>
      </w:r>
      <w:sdt>
        <w:sdtPr>
          <w:rPr>
            <w:lang w:val="en-GB"/>
          </w:rPr>
          <w:id w:val="868651154"/>
          <w:citation/>
        </w:sdtPr>
        <w:sdtEndPr/>
        <w:sdtContent>
          <w:r w:rsidR="00BB5038">
            <w:rPr>
              <w:lang w:val="en-GB"/>
            </w:rPr>
            <w:fldChar w:fldCharType="begin"/>
          </w:r>
          <w:r w:rsidR="007C024E">
            <w:instrText xml:space="preserve">CITATION GGu \l 1033 </w:instrText>
          </w:r>
          <w:r w:rsidR="00BB5038">
            <w:rPr>
              <w:lang w:val="en-GB"/>
            </w:rPr>
            <w:fldChar w:fldCharType="separate"/>
          </w:r>
          <w:r w:rsidR="00B66BE1">
            <w:rPr>
              <w:noProof/>
            </w:rPr>
            <w:t>(25)</w:t>
          </w:r>
          <w:r w:rsidR="00BB5038">
            <w:rPr>
              <w:lang w:val="en-GB"/>
            </w:rPr>
            <w:fldChar w:fldCharType="end"/>
          </w:r>
        </w:sdtContent>
      </w:sdt>
      <w:r w:rsidR="00526E24">
        <w:rPr>
          <w:lang w:val="en-GB"/>
        </w:rPr>
        <w:t>.</w:t>
      </w:r>
      <w:r w:rsidR="0081492E">
        <w:rPr>
          <w:lang w:val="en-GB"/>
        </w:rPr>
        <w:t xml:space="preserve"> However,</w:t>
      </w:r>
      <w:r w:rsidR="00526E24">
        <w:rPr>
          <w:lang w:val="en-GB"/>
        </w:rPr>
        <w:t xml:space="preserve"> s</w:t>
      </w:r>
      <w:r w:rsidRPr="00526E24">
        <w:rPr>
          <w:lang w:val="en-GB"/>
        </w:rPr>
        <w:t>oluble transferrin receptor may have a diagnostic advan</w:t>
      </w:r>
      <w:r w:rsidR="00823C70">
        <w:rPr>
          <w:lang w:val="en-GB"/>
        </w:rPr>
        <w:t xml:space="preserve">tage over ferritin because it appears less </w:t>
      </w:r>
      <w:r w:rsidRPr="00526E24">
        <w:rPr>
          <w:lang w:val="en-GB"/>
        </w:rPr>
        <w:t>affected by</w:t>
      </w:r>
      <w:r w:rsidR="00526E24">
        <w:rPr>
          <w:lang w:val="en-GB"/>
        </w:rPr>
        <w:t xml:space="preserve"> the presence of</w:t>
      </w:r>
      <w:r w:rsidRPr="00526E24">
        <w:rPr>
          <w:lang w:val="en-GB"/>
        </w:rPr>
        <w:t xml:space="preserve"> inflammation</w:t>
      </w:r>
      <w:r w:rsidR="00526E24">
        <w:rPr>
          <w:lang w:val="en-GB"/>
        </w:rPr>
        <w:t>.</w:t>
      </w:r>
      <w:r w:rsidR="00526E24" w:rsidRPr="00526E24">
        <w:rPr>
          <w:lang w:val="en-GB"/>
        </w:rPr>
        <w:t xml:space="preserve"> </w:t>
      </w:r>
      <w:r w:rsidRPr="00526E24">
        <w:rPr>
          <w:lang w:val="en-GB"/>
        </w:rPr>
        <w:t xml:space="preserve">The Committee was advised of a current MSAC application to list </w:t>
      </w:r>
      <w:r w:rsidR="00526E24">
        <w:rPr>
          <w:lang w:val="en-GB"/>
        </w:rPr>
        <w:t>s</w:t>
      </w:r>
      <w:r w:rsidRPr="00526E24">
        <w:rPr>
          <w:lang w:val="en-GB"/>
        </w:rPr>
        <w:t>oluble transferrin receptor on the MBS.</w:t>
      </w:r>
    </w:p>
    <w:p w14:paraId="67409E57" w14:textId="77777777" w:rsidR="00BE40E6" w:rsidRPr="00074D54" w:rsidRDefault="00BE40E6" w:rsidP="00AB3AC3">
      <w:pPr>
        <w:pStyle w:val="02dash"/>
        <w:numPr>
          <w:ilvl w:val="1"/>
          <w:numId w:val="64"/>
        </w:numPr>
        <w:spacing w:line="240" w:lineRule="auto"/>
        <w:ind w:right="0"/>
        <w:rPr>
          <w:lang w:val="en-GB"/>
        </w:rPr>
      </w:pPr>
      <w:r w:rsidRPr="00074D54">
        <w:rPr>
          <w:lang w:val="en-GB"/>
        </w:rPr>
        <w:t>Elevated ferritin levels can be investigated for iron overload if appropriate.</w:t>
      </w:r>
    </w:p>
    <w:p w14:paraId="35074B3E" w14:textId="77777777" w:rsidR="00BE40E6" w:rsidRPr="00074D54" w:rsidRDefault="00BE40E6" w:rsidP="00AB3AC3">
      <w:pPr>
        <w:pStyle w:val="02dash"/>
        <w:numPr>
          <w:ilvl w:val="1"/>
          <w:numId w:val="64"/>
        </w:numPr>
        <w:spacing w:line="240" w:lineRule="auto"/>
        <w:ind w:right="0"/>
        <w:rPr>
          <w:lang w:val="en-GB"/>
        </w:rPr>
      </w:pPr>
      <w:r w:rsidRPr="00074D54">
        <w:rPr>
          <w:lang w:val="en-GB"/>
        </w:rPr>
        <w:t>Suspected iron overload is the only clinical situation where iron studies are clearly needed.</w:t>
      </w:r>
    </w:p>
    <w:p w14:paraId="73DE68FB" w14:textId="77777777" w:rsidR="00BE40E6" w:rsidRPr="00074D54" w:rsidRDefault="00BE40E6" w:rsidP="00AB3AC3">
      <w:pPr>
        <w:pStyle w:val="02dash"/>
        <w:numPr>
          <w:ilvl w:val="1"/>
          <w:numId w:val="64"/>
        </w:numPr>
        <w:spacing w:line="240" w:lineRule="auto"/>
        <w:ind w:right="0"/>
        <w:rPr>
          <w:lang w:val="en-GB"/>
        </w:rPr>
      </w:pPr>
      <w:r w:rsidRPr="00074D54">
        <w:rPr>
          <w:lang w:val="en-GB"/>
        </w:rPr>
        <w:t>If patients have a febrile illness, inflammation or possible acute phase response, the results of both ferritin quantitation and iron studies will be affected. As a result, iron testing should be avoided because clinical interpretation of such tests will be difficult in these patients.</w:t>
      </w:r>
    </w:p>
    <w:p w14:paraId="366E4EC2" w14:textId="77777777" w:rsidR="00BE40E6" w:rsidRPr="00074D54" w:rsidRDefault="00BE40E6" w:rsidP="00AB3AC3">
      <w:pPr>
        <w:pStyle w:val="02dash"/>
        <w:numPr>
          <w:ilvl w:val="1"/>
          <w:numId w:val="64"/>
        </w:numPr>
        <w:spacing w:line="240" w:lineRule="auto"/>
        <w:ind w:right="0"/>
        <w:rPr>
          <w:lang w:val="en-GB"/>
        </w:rPr>
      </w:pPr>
      <w:r w:rsidRPr="00074D54">
        <w:rPr>
          <w:lang w:val="en-GB"/>
        </w:rPr>
        <w:t>Although genetic predisposition to haemochromatosis is common, clinical disease</w:t>
      </w:r>
      <w:r w:rsidR="00A51F95">
        <w:rPr>
          <w:lang w:val="en-GB"/>
        </w:rPr>
        <w:t xml:space="preserve"> that requires treatment</w:t>
      </w:r>
      <w:r w:rsidRPr="00074D54">
        <w:rPr>
          <w:lang w:val="en-GB"/>
        </w:rPr>
        <w:t xml:space="preserve"> is </w:t>
      </w:r>
      <w:r w:rsidR="00823C70">
        <w:rPr>
          <w:lang w:val="en-GB"/>
        </w:rPr>
        <w:t xml:space="preserve">less </w:t>
      </w:r>
      <w:r w:rsidRPr="00074D54">
        <w:rPr>
          <w:lang w:val="en-GB"/>
        </w:rPr>
        <w:t>common</w:t>
      </w:r>
      <w:r w:rsidR="00823C70">
        <w:rPr>
          <w:lang w:val="en-GB"/>
        </w:rPr>
        <w:t xml:space="preserve"> (about 1 in 300</w:t>
      </w:r>
      <w:r w:rsidR="00A51F95">
        <w:rPr>
          <w:lang w:val="en-GB"/>
        </w:rPr>
        <w:t xml:space="preserve"> in Australia</w:t>
      </w:r>
      <w:r w:rsidR="00823C70">
        <w:rPr>
          <w:lang w:val="en-GB"/>
        </w:rPr>
        <w:t xml:space="preserve">) </w:t>
      </w:r>
      <w:sdt>
        <w:sdtPr>
          <w:rPr>
            <w:lang w:val="en-GB"/>
          </w:rPr>
          <w:id w:val="1814299731"/>
          <w:citation/>
        </w:sdtPr>
        <w:sdtEndPr/>
        <w:sdtContent>
          <w:r w:rsidR="00A51F95">
            <w:rPr>
              <w:lang w:val="en-GB"/>
            </w:rPr>
            <w:fldChar w:fldCharType="begin"/>
          </w:r>
          <w:r w:rsidR="00A51F95">
            <w:rPr>
              <w:lang w:val="en-AU"/>
            </w:rPr>
            <w:instrText xml:space="preserve"> CITATION Leg90 \l 3081 </w:instrText>
          </w:r>
          <w:r w:rsidR="00A51F95">
            <w:rPr>
              <w:lang w:val="en-GB"/>
            </w:rPr>
            <w:fldChar w:fldCharType="separate"/>
          </w:r>
          <w:r w:rsidR="00B66BE1" w:rsidRPr="00B66BE1">
            <w:rPr>
              <w:noProof/>
              <w:lang w:val="en-AU"/>
            </w:rPr>
            <w:t>(27)</w:t>
          </w:r>
          <w:r w:rsidR="00A51F95">
            <w:rPr>
              <w:lang w:val="en-GB"/>
            </w:rPr>
            <w:fldChar w:fldCharType="end"/>
          </w:r>
        </w:sdtContent>
      </w:sdt>
      <w:r w:rsidRPr="00074D54">
        <w:rPr>
          <w:lang w:val="en-GB"/>
        </w:rPr>
        <w:t>. The Committee held the view that screening populations for conditions of iron overload (for example, haemochromatosis) using iron-related tests was not clinically indicated.</w:t>
      </w:r>
      <w:r w:rsidR="00BB0E70">
        <w:rPr>
          <w:lang w:val="en-GB"/>
        </w:rPr>
        <w:t xml:space="preserve"> However, when haemochromatosis is suspected</w:t>
      </w:r>
      <w:r w:rsidR="00BB0E70" w:rsidRPr="00527B38">
        <w:rPr>
          <w:lang w:val="en-GB"/>
        </w:rPr>
        <w:t xml:space="preserve"> full iron studies (</w:t>
      </w:r>
      <w:r w:rsidR="00BB0E70" w:rsidRPr="00074D54">
        <w:rPr>
          <w:lang w:val="en-GB"/>
        </w:rPr>
        <w:t>iron overload stud</w:t>
      </w:r>
      <w:r w:rsidR="00BB0E70">
        <w:rPr>
          <w:lang w:val="en-GB"/>
        </w:rPr>
        <w:t>ies</w:t>
      </w:r>
      <w:r w:rsidR="00BB0E70" w:rsidRPr="00527B38">
        <w:rPr>
          <w:lang w:val="en-GB"/>
        </w:rPr>
        <w:t xml:space="preserve">) should be performed. </w:t>
      </w:r>
    </w:p>
    <w:p w14:paraId="40D03FC5" w14:textId="77777777" w:rsidR="00527B38" w:rsidRPr="00527B38" w:rsidRDefault="00527B38" w:rsidP="00EA019E">
      <w:pPr>
        <w:pStyle w:val="NormalBulleted"/>
        <w:numPr>
          <w:ilvl w:val="0"/>
          <w:numId w:val="86"/>
        </w:numPr>
        <w:rPr>
          <w:lang w:val="en-GB"/>
        </w:rPr>
      </w:pPr>
      <w:r w:rsidRPr="00074D54">
        <w:rPr>
          <w:lang w:val="en-GB"/>
        </w:rPr>
        <w:t>Th</w:t>
      </w:r>
      <w:r>
        <w:rPr>
          <w:lang w:val="en-GB"/>
        </w:rPr>
        <w:t xml:space="preserve">e above </w:t>
      </w:r>
      <w:r w:rsidRPr="00074D54">
        <w:rPr>
          <w:lang w:val="en-GB"/>
        </w:rPr>
        <w:t>recommendation</w:t>
      </w:r>
      <w:r>
        <w:rPr>
          <w:lang w:val="en-GB"/>
        </w:rPr>
        <w:t>s</w:t>
      </w:r>
      <w:r w:rsidRPr="00074D54">
        <w:rPr>
          <w:lang w:val="en-GB"/>
        </w:rPr>
        <w:t xml:space="preserve"> </w:t>
      </w:r>
      <w:r>
        <w:rPr>
          <w:lang w:val="en-GB"/>
        </w:rPr>
        <w:t>are</w:t>
      </w:r>
      <w:r w:rsidRPr="00074D54">
        <w:rPr>
          <w:lang w:val="en-GB"/>
        </w:rPr>
        <w:t xml:space="preserve"> a</w:t>
      </w:r>
      <w:r>
        <w:rPr>
          <w:lang w:val="en-GB"/>
        </w:rPr>
        <w:t xml:space="preserve">n </w:t>
      </w:r>
      <w:r w:rsidRPr="00074D54">
        <w:rPr>
          <w:lang w:val="en-GB"/>
        </w:rPr>
        <w:t xml:space="preserve">adaptation of </w:t>
      </w:r>
      <w:r>
        <w:rPr>
          <w:lang w:val="en-GB"/>
        </w:rPr>
        <w:t xml:space="preserve">the </w:t>
      </w:r>
      <w:r w:rsidRPr="00074D54">
        <w:rPr>
          <w:lang w:val="en-GB"/>
        </w:rPr>
        <w:t>GPPCCC’s proposal to the Committee to make ferritin the default test for the investigation of suspected iron deficiency</w:t>
      </w:r>
      <w:r>
        <w:rPr>
          <w:lang w:val="en-GB"/>
        </w:rPr>
        <w:t>, a</w:t>
      </w:r>
      <w:r w:rsidRPr="00074D54">
        <w:rPr>
          <w:lang w:val="en-GB"/>
        </w:rPr>
        <w:t xml:space="preserve"> position supported by the Blood Products </w:t>
      </w:r>
      <w:r>
        <w:rPr>
          <w:lang w:val="en-GB"/>
        </w:rPr>
        <w:t>W</w:t>
      </w:r>
      <w:r w:rsidRPr="00074D54">
        <w:rPr>
          <w:lang w:val="en-GB"/>
        </w:rPr>
        <w:t xml:space="preserve">orking </w:t>
      </w:r>
      <w:r>
        <w:rPr>
          <w:lang w:val="en-GB"/>
        </w:rPr>
        <w:t>G</w:t>
      </w:r>
      <w:r w:rsidRPr="00074D54">
        <w:rPr>
          <w:lang w:val="en-GB"/>
        </w:rPr>
        <w:t>roup and</w:t>
      </w:r>
      <w:r>
        <w:rPr>
          <w:lang w:val="en-GB"/>
        </w:rPr>
        <w:t xml:space="preserve"> the</w:t>
      </w:r>
      <w:r w:rsidRPr="00074D54">
        <w:rPr>
          <w:lang w:val="en-GB"/>
        </w:rPr>
        <w:t xml:space="preserve"> Patient Blood Management Steering Committee National Blood Authority, 2015</w:t>
      </w:r>
      <w:r w:rsidR="00BB5038">
        <w:rPr>
          <w:lang w:val="en-GB"/>
        </w:rPr>
        <w:t xml:space="preserve"> </w:t>
      </w:r>
      <w:sdt>
        <w:sdtPr>
          <w:rPr>
            <w:lang w:val="en-GB"/>
          </w:rPr>
          <w:id w:val="-732226673"/>
          <w:citation/>
        </w:sdtPr>
        <w:sdtEndPr/>
        <w:sdtContent>
          <w:r w:rsidR="00BB5038">
            <w:rPr>
              <w:lang w:val="en-GB"/>
            </w:rPr>
            <w:fldChar w:fldCharType="begin"/>
          </w:r>
          <w:r w:rsidR="00BB5038">
            <w:instrText xml:space="preserve"> CITATION ati \l 1033 </w:instrText>
          </w:r>
          <w:r w:rsidR="00BB5038">
            <w:rPr>
              <w:lang w:val="en-GB"/>
            </w:rPr>
            <w:fldChar w:fldCharType="separate"/>
          </w:r>
          <w:r w:rsidR="00B66BE1">
            <w:rPr>
              <w:noProof/>
            </w:rPr>
            <w:t>(24)</w:t>
          </w:r>
          <w:r w:rsidR="00BB5038">
            <w:rPr>
              <w:lang w:val="en-GB"/>
            </w:rPr>
            <w:fldChar w:fldCharType="end"/>
          </w:r>
        </w:sdtContent>
      </w:sdt>
      <w:r>
        <w:rPr>
          <w:lang w:val="en-GB"/>
        </w:rPr>
        <w:t>.</w:t>
      </w:r>
    </w:p>
    <w:p w14:paraId="102B337F" w14:textId="77777777" w:rsidR="00BE40E6" w:rsidRPr="00074D54" w:rsidRDefault="00BE40E6" w:rsidP="00EA019E">
      <w:pPr>
        <w:pStyle w:val="NormalBulleted"/>
        <w:numPr>
          <w:ilvl w:val="0"/>
          <w:numId w:val="86"/>
        </w:numPr>
        <w:rPr>
          <w:lang w:val="en-GB"/>
        </w:rPr>
      </w:pPr>
      <w:r w:rsidRPr="00074D54">
        <w:rPr>
          <w:lang w:val="en-GB"/>
        </w:rPr>
        <w:t>Regarding the item descriptor changes for items 66593 and 66596, the Committee agreed that:</w:t>
      </w:r>
    </w:p>
    <w:p w14:paraId="64635B30" w14:textId="77777777" w:rsidR="007E7AF6" w:rsidRDefault="00A31C8C" w:rsidP="00AB3AC3">
      <w:pPr>
        <w:pStyle w:val="02dash"/>
        <w:numPr>
          <w:ilvl w:val="1"/>
          <w:numId w:val="64"/>
        </w:numPr>
        <w:spacing w:line="240" w:lineRule="auto"/>
        <w:ind w:right="0"/>
        <w:rPr>
          <w:lang w:val="en-GB"/>
        </w:rPr>
      </w:pPr>
      <w:r>
        <w:rPr>
          <w:lang w:val="en-GB"/>
        </w:rPr>
        <w:t>Simply ch</w:t>
      </w:r>
      <w:r w:rsidR="007E7AF6">
        <w:rPr>
          <w:lang w:val="en-GB"/>
        </w:rPr>
        <w:t xml:space="preserve">anging </w:t>
      </w:r>
      <w:r>
        <w:rPr>
          <w:lang w:val="en-GB"/>
        </w:rPr>
        <w:t>the names</w:t>
      </w:r>
      <w:r w:rsidR="007E7AF6">
        <w:rPr>
          <w:lang w:val="en-GB"/>
        </w:rPr>
        <w:t xml:space="preserve"> of the tests </w:t>
      </w:r>
      <w:r>
        <w:rPr>
          <w:lang w:val="en-GB"/>
        </w:rPr>
        <w:t xml:space="preserve">in the item descriptors may </w:t>
      </w:r>
      <w:r>
        <w:rPr>
          <w:lang w:val="en-AU"/>
        </w:rPr>
        <w:t>modify</w:t>
      </w:r>
      <w:r w:rsidR="00BB0E70">
        <w:rPr>
          <w:lang w:val="en-AU"/>
        </w:rPr>
        <w:t xml:space="preserve"> </w:t>
      </w:r>
      <w:r w:rsidR="006C31FB">
        <w:rPr>
          <w:lang w:val="en-AU"/>
        </w:rPr>
        <w:t>requester</w:t>
      </w:r>
      <w:r w:rsidR="00BB0E70">
        <w:rPr>
          <w:lang w:val="en-AU"/>
        </w:rPr>
        <w:t xml:space="preserve"> behaviour</w:t>
      </w:r>
      <w:r>
        <w:rPr>
          <w:lang w:val="en-AU"/>
        </w:rPr>
        <w:t xml:space="preserve"> by</w:t>
      </w:r>
      <w:r w:rsidR="00BB0E70">
        <w:rPr>
          <w:lang w:val="en-AU"/>
        </w:rPr>
        <w:t xml:space="preserve"> </w:t>
      </w:r>
      <w:r>
        <w:rPr>
          <w:lang w:val="en-AU"/>
        </w:rPr>
        <w:t>intrinsically providing education regarding the selection of the appropriate test given the clinical context, and</w:t>
      </w:r>
      <w:r w:rsidR="00BB0E70">
        <w:rPr>
          <w:lang w:val="en-AU"/>
        </w:rPr>
        <w:t xml:space="preserve"> </w:t>
      </w:r>
      <w:r>
        <w:rPr>
          <w:lang w:val="en-AU"/>
        </w:rPr>
        <w:t xml:space="preserve">therefore </w:t>
      </w:r>
      <w:r w:rsidR="00DD1D99">
        <w:rPr>
          <w:lang w:val="en-AU"/>
        </w:rPr>
        <w:t xml:space="preserve">should </w:t>
      </w:r>
      <w:r w:rsidR="00BB0E70">
        <w:rPr>
          <w:lang w:val="en-AU"/>
        </w:rPr>
        <w:t xml:space="preserve">increase the </w:t>
      </w:r>
      <w:r>
        <w:rPr>
          <w:lang w:val="en-AU"/>
        </w:rPr>
        <w:t>requesting</w:t>
      </w:r>
      <w:r w:rsidR="00BB0E70">
        <w:rPr>
          <w:lang w:val="en-AU"/>
        </w:rPr>
        <w:t xml:space="preserve"> of ferritin</w:t>
      </w:r>
      <w:r>
        <w:rPr>
          <w:lang w:val="en-AU"/>
        </w:rPr>
        <w:t xml:space="preserve"> testing</w:t>
      </w:r>
      <w:r w:rsidR="00BB0E70">
        <w:rPr>
          <w:lang w:val="en-AU"/>
        </w:rPr>
        <w:t xml:space="preserve"> over full iron studies, where clinically appropriate.</w:t>
      </w:r>
    </w:p>
    <w:p w14:paraId="52AE284A" w14:textId="77777777" w:rsidR="00FD6957" w:rsidRPr="00FD6957" w:rsidRDefault="00FD6957" w:rsidP="00AB3AC3">
      <w:pPr>
        <w:pStyle w:val="02dash"/>
        <w:numPr>
          <w:ilvl w:val="1"/>
          <w:numId w:val="64"/>
        </w:numPr>
        <w:spacing w:line="240" w:lineRule="auto"/>
        <w:ind w:right="0"/>
        <w:rPr>
          <w:lang w:val="en-AU"/>
        </w:rPr>
      </w:pPr>
      <w:r>
        <w:t xml:space="preserve">These proposed changes will </w:t>
      </w:r>
      <w:r w:rsidRPr="00FD6957">
        <w:t>address</w:t>
      </w:r>
      <w:r>
        <w:t xml:space="preserve"> the Committee’s </w:t>
      </w:r>
      <w:r w:rsidRPr="00FD6957">
        <w:t xml:space="preserve">primary </w:t>
      </w:r>
      <w:r>
        <w:t xml:space="preserve">concern </w:t>
      </w:r>
      <w:r w:rsidRPr="00FD6957">
        <w:t>of clinicians requesting full iron studies when ferritin alone would be more appropriate and</w:t>
      </w:r>
      <w:r>
        <w:t xml:space="preserve"> then</w:t>
      </w:r>
      <w:r w:rsidRPr="00FD6957">
        <w:t xml:space="preserve"> misinterpreting the result result</w:t>
      </w:r>
      <w:r>
        <w:t>ing</w:t>
      </w:r>
      <w:r w:rsidRPr="00FD6957">
        <w:t xml:space="preserve"> in </w:t>
      </w:r>
      <w:r>
        <w:t>over</w:t>
      </w:r>
      <w:r w:rsidRPr="00FD6957">
        <w:t xml:space="preserve">treatment for patients. </w:t>
      </w:r>
    </w:p>
    <w:p w14:paraId="7E4C6F47" w14:textId="77777777" w:rsidR="00BE40E6" w:rsidRPr="00074D54" w:rsidRDefault="00BE40E6" w:rsidP="00AB3AC3">
      <w:pPr>
        <w:pStyle w:val="02dash"/>
        <w:numPr>
          <w:ilvl w:val="1"/>
          <w:numId w:val="64"/>
        </w:numPr>
        <w:spacing w:line="240" w:lineRule="auto"/>
        <w:ind w:right="0"/>
        <w:rPr>
          <w:lang w:val="en-GB"/>
        </w:rPr>
      </w:pPr>
      <w:r w:rsidRPr="00074D54">
        <w:rPr>
          <w:lang w:val="en-GB"/>
        </w:rPr>
        <w:t>Suspected iron overload is the only appropriate clinical indication for full panel iron studies (to be referred to as ‘iron overload stud</w:t>
      </w:r>
      <w:r w:rsidR="0081492E">
        <w:rPr>
          <w:lang w:val="en-GB"/>
        </w:rPr>
        <w:t>ies</w:t>
      </w:r>
      <w:r w:rsidRPr="00074D54">
        <w:rPr>
          <w:lang w:val="en-GB"/>
        </w:rPr>
        <w:t xml:space="preserve">’ if the proposed item descriptors are introduced). </w:t>
      </w:r>
    </w:p>
    <w:p w14:paraId="5555F32C" w14:textId="77777777" w:rsidR="00BE40E6" w:rsidRPr="00074D54" w:rsidRDefault="00BE40E6" w:rsidP="00EA019E">
      <w:pPr>
        <w:pStyle w:val="NormalBulleted"/>
        <w:numPr>
          <w:ilvl w:val="0"/>
          <w:numId w:val="87"/>
        </w:numPr>
        <w:rPr>
          <w:lang w:val="en-GB"/>
        </w:rPr>
      </w:pPr>
      <w:r w:rsidRPr="00074D54">
        <w:rPr>
          <w:lang w:val="en-GB"/>
        </w:rPr>
        <w:t xml:space="preserve">Regarding the change to regulation and supporting Explanatory Note </w:t>
      </w:r>
      <w:r w:rsidR="00632A22">
        <w:t>PN.0.15</w:t>
      </w:r>
      <w:r w:rsidRPr="00074D54">
        <w:rPr>
          <w:lang w:val="en-GB"/>
        </w:rPr>
        <w:t>, the Committee agreed that:</w:t>
      </w:r>
    </w:p>
    <w:p w14:paraId="5D5ECCE7" w14:textId="77777777" w:rsidR="00BE40E6" w:rsidRPr="00074D54" w:rsidRDefault="00BE40E6" w:rsidP="00AB3AC3">
      <w:pPr>
        <w:pStyle w:val="02dash"/>
        <w:numPr>
          <w:ilvl w:val="1"/>
          <w:numId w:val="64"/>
        </w:numPr>
        <w:spacing w:line="240" w:lineRule="auto"/>
        <w:ind w:right="0"/>
        <w:rPr>
          <w:lang w:val="en-GB"/>
        </w:rPr>
      </w:pPr>
      <w:r w:rsidRPr="00074D54">
        <w:rPr>
          <w:bCs/>
          <w:lang w:val="en-GB"/>
        </w:rPr>
        <w:t xml:space="preserve">The current note is misleading because it </w:t>
      </w:r>
      <w:r w:rsidRPr="00074D54">
        <w:rPr>
          <w:lang w:val="en-GB"/>
        </w:rPr>
        <w:t>guides clinicians to use full panel iron studies as the default iron test in cases of ambiguous requests. This may be contributing to high (and potentially inappropriate) use of item 66596.</w:t>
      </w:r>
    </w:p>
    <w:p w14:paraId="18E7A5AB" w14:textId="77777777" w:rsidR="00BE40E6" w:rsidRPr="00074D54" w:rsidRDefault="00BE40E6" w:rsidP="00AB3AC3">
      <w:pPr>
        <w:pStyle w:val="02dash"/>
        <w:numPr>
          <w:ilvl w:val="1"/>
          <w:numId w:val="64"/>
        </w:numPr>
        <w:spacing w:line="240" w:lineRule="auto"/>
        <w:ind w:right="0"/>
        <w:rPr>
          <w:lang w:val="en-GB"/>
        </w:rPr>
      </w:pPr>
      <w:r w:rsidRPr="00074D54">
        <w:rPr>
          <w:lang w:val="en-GB"/>
        </w:rPr>
        <w:t>The proposed change should result in ferritin quantitation being performed more often and accounting for a greater proportion of iron-related tests. The ferritin result would be useful regardless of whether the patient actually has iron deficiency or iron overload. An iron overload study (currently referred to as full panel iron studies) can be requested subsequently on the same sample, if clinically needed.</w:t>
      </w:r>
    </w:p>
    <w:p w14:paraId="09CB4C3E" w14:textId="77777777" w:rsidR="00BE40E6" w:rsidRPr="00074D54" w:rsidRDefault="00BE40E6" w:rsidP="00EA019E">
      <w:pPr>
        <w:pStyle w:val="NormalBulleted"/>
        <w:numPr>
          <w:ilvl w:val="0"/>
          <w:numId w:val="88"/>
        </w:numPr>
        <w:rPr>
          <w:lang w:val="en-GB"/>
        </w:rPr>
      </w:pPr>
      <w:r w:rsidRPr="00074D54">
        <w:rPr>
          <w:lang w:val="en-GB"/>
        </w:rPr>
        <w:lastRenderedPageBreak/>
        <w:t>Regarding the three-month frequency restriction in cases of suspected/confirmed iron deficiency, the Committee agreed:</w:t>
      </w:r>
    </w:p>
    <w:p w14:paraId="5738A610"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There is no clinical indication for re-testing a patient while they are receiving iron replacement or within three months of an iron infusion. </w:t>
      </w:r>
    </w:p>
    <w:p w14:paraId="33478EDA" w14:textId="77777777" w:rsidR="00BE40E6" w:rsidRPr="00074D54" w:rsidRDefault="00BE40E6" w:rsidP="00AB3AC3">
      <w:pPr>
        <w:pStyle w:val="02dash"/>
        <w:numPr>
          <w:ilvl w:val="1"/>
          <w:numId w:val="64"/>
        </w:numPr>
        <w:spacing w:line="240" w:lineRule="auto"/>
        <w:ind w:right="0"/>
        <w:rPr>
          <w:lang w:val="en-GB"/>
        </w:rPr>
      </w:pPr>
      <w:r w:rsidRPr="00074D54">
        <w:rPr>
          <w:lang w:val="en-GB"/>
        </w:rPr>
        <w:t>The three-month restriction period allows adequate time for the trial of iron replacement to replenish the patient’s iron stores</w:t>
      </w:r>
      <w:sdt>
        <w:sdtPr>
          <w:rPr>
            <w:lang w:val="en-GB"/>
          </w:rPr>
          <w:id w:val="1850828796"/>
          <w:citation/>
        </w:sdtPr>
        <w:sdtEndPr/>
        <w:sdtContent>
          <w:r w:rsidR="00BB5038">
            <w:rPr>
              <w:lang w:val="en-GB"/>
            </w:rPr>
            <w:fldChar w:fldCharType="begin"/>
          </w:r>
          <w:r w:rsidR="00A76AE8">
            <w:instrText xml:space="preserve">CITATION Gas \l 1033 </w:instrText>
          </w:r>
          <w:r w:rsidR="00BB5038">
            <w:rPr>
              <w:lang w:val="en-GB"/>
            </w:rPr>
            <w:fldChar w:fldCharType="separate"/>
          </w:r>
          <w:r w:rsidR="00B66BE1">
            <w:rPr>
              <w:noProof/>
            </w:rPr>
            <w:t xml:space="preserve"> (20)</w:t>
          </w:r>
          <w:r w:rsidR="00BB5038">
            <w:rPr>
              <w:lang w:val="en-GB"/>
            </w:rPr>
            <w:fldChar w:fldCharType="end"/>
          </w:r>
        </w:sdtContent>
      </w:sdt>
      <w:r w:rsidRPr="00074D54">
        <w:rPr>
          <w:lang w:val="en-GB"/>
        </w:rPr>
        <w:t>.</w:t>
      </w:r>
      <w:r w:rsidR="00A51F95">
        <w:rPr>
          <w:lang w:val="en-GB"/>
        </w:rPr>
        <w:t xml:space="preserve"> Indeed, it is recommended that therapy be provided for three months, then stopped for two weeks, before repeat testing is performed</w:t>
      </w:r>
      <w:sdt>
        <w:sdtPr>
          <w:rPr>
            <w:lang w:val="en-GB"/>
          </w:rPr>
          <w:id w:val="-10533852"/>
          <w:citation/>
        </w:sdtPr>
        <w:sdtEndPr/>
        <w:sdtContent>
          <w:r w:rsidR="00BC4704">
            <w:rPr>
              <w:lang w:val="en-GB"/>
            </w:rPr>
            <w:fldChar w:fldCharType="begin"/>
          </w:r>
          <w:r w:rsidR="00A76AE8">
            <w:rPr>
              <w:lang w:val="en-AU"/>
            </w:rPr>
            <w:instrText xml:space="preserve">CITATION Gas \l 3081 </w:instrText>
          </w:r>
          <w:r w:rsidR="00BC4704">
            <w:rPr>
              <w:lang w:val="en-GB"/>
            </w:rPr>
            <w:fldChar w:fldCharType="separate"/>
          </w:r>
          <w:r w:rsidR="00B66BE1">
            <w:rPr>
              <w:noProof/>
              <w:lang w:val="en-AU"/>
            </w:rPr>
            <w:t xml:space="preserve"> </w:t>
          </w:r>
          <w:r w:rsidR="00B66BE1" w:rsidRPr="00B66BE1">
            <w:rPr>
              <w:noProof/>
              <w:lang w:val="en-AU"/>
            </w:rPr>
            <w:t>(20)</w:t>
          </w:r>
          <w:r w:rsidR="00BC4704">
            <w:rPr>
              <w:lang w:val="en-GB"/>
            </w:rPr>
            <w:fldChar w:fldCharType="end"/>
          </w:r>
        </w:sdtContent>
      </w:sdt>
      <w:r w:rsidR="00A51F95">
        <w:rPr>
          <w:lang w:val="en-GB"/>
        </w:rPr>
        <w:t xml:space="preserve">. </w:t>
      </w:r>
      <w:r w:rsidRPr="00074D54">
        <w:rPr>
          <w:vertAlign w:val="superscript"/>
          <w:lang w:val="en-GB"/>
        </w:rPr>
        <w:t xml:space="preserve"> </w:t>
      </w:r>
      <w:r w:rsidRPr="00074D54">
        <w:rPr>
          <w:lang w:val="en-GB"/>
        </w:rPr>
        <w:t>Tests performed in a shorter time period would not be a true reflection of iron status because results are likely to be artificially elevated by supplementation.</w:t>
      </w:r>
    </w:p>
    <w:p w14:paraId="5B400F45" w14:textId="77777777" w:rsidR="00BE40E6" w:rsidRPr="00074D54" w:rsidRDefault="00BE40E6" w:rsidP="00AB3AC3">
      <w:pPr>
        <w:pStyle w:val="02dash"/>
        <w:numPr>
          <w:ilvl w:val="1"/>
          <w:numId w:val="64"/>
        </w:numPr>
        <w:spacing w:line="240" w:lineRule="auto"/>
        <w:ind w:right="0"/>
        <w:rPr>
          <w:lang w:val="en-GB"/>
        </w:rPr>
      </w:pPr>
      <w:r w:rsidRPr="00074D54">
        <w:rPr>
          <w:lang w:val="en-GB"/>
        </w:rPr>
        <w:t>A full blood examination (FBE) is the appropriate test if the requesting clinician wishes to assess response to therapy in an anaemic patient (looking for increased reticulocytes).</w:t>
      </w:r>
    </w:p>
    <w:p w14:paraId="4396AE3F" w14:textId="77777777" w:rsidR="00BE40E6" w:rsidRPr="00074D54" w:rsidRDefault="00BE40E6" w:rsidP="00EA019E">
      <w:pPr>
        <w:pStyle w:val="NormalBulleted"/>
        <w:numPr>
          <w:ilvl w:val="0"/>
          <w:numId w:val="89"/>
        </w:numPr>
        <w:rPr>
          <w:lang w:val="en-GB"/>
        </w:rPr>
      </w:pPr>
      <w:r w:rsidRPr="00074D54">
        <w:rPr>
          <w:lang w:val="en-GB"/>
        </w:rPr>
        <w:t>Regarding the recommendations that iron testing should not be requested in patients with conditions that artificially elevate ferritin, the Committee agreed:</w:t>
      </w:r>
    </w:p>
    <w:p w14:paraId="06A77B1C" w14:textId="77777777" w:rsidR="00BE40E6" w:rsidRPr="00074D54" w:rsidRDefault="00BE40E6" w:rsidP="00AB3AC3">
      <w:pPr>
        <w:pStyle w:val="02dash"/>
        <w:numPr>
          <w:ilvl w:val="1"/>
          <w:numId w:val="64"/>
        </w:numPr>
        <w:spacing w:line="240" w:lineRule="auto"/>
        <w:ind w:right="0"/>
        <w:rPr>
          <w:lang w:val="en-GB"/>
        </w:rPr>
      </w:pPr>
      <w:r w:rsidRPr="00074D54">
        <w:rPr>
          <w:lang w:val="en-GB"/>
        </w:rPr>
        <w:t>RCPA guidelines</w:t>
      </w:r>
      <w:r w:rsidR="00221F03">
        <w:rPr>
          <w:lang w:val="en-GB"/>
        </w:rPr>
        <w:t xml:space="preserve"> </w:t>
      </w:r>
      <w:sdt>
        <w:sdtPr>
          <w:rPr>
            <w:lang w:val="en-GB"/>
          </w:rPr>
          <w:id w:val="662820877"/>
          <w:citation/>
        </w:sdtPr>
        <w:sdtEndPr/>
        <w:sdtContent>
          <w:r w:rsidR="00221F03">
            <w:rPr>
              <w:lang w:val="en-GB"/>
            </w:rPr>
            <w:fldChar w:fldCharType="begin"/>
          </w:r>
          <w:r w:rsidR="00221F03">
            <w:instrText xml:space="preserve"> CITATION Roy \l 1033 </w:instrText>
          </w:r>
          <w:r w:rsidR="00221F03">
            <w:rPr>
              <w:lang w:val="en-GB"/>
            </w:rPr>
            <w:fldChar w:fldCharType="separate"/>
          </w:r>
          <w:r w:rsidR="00B66BE1">
            <w:rPr>
              <w:noProof/>
            </w:rPr>
            <w:t>(23)</w:t>
          </w:r>
          <w:r w:rsidR="00221F03">
            <w:rPr>
              <w:lang w:val="en-GB"/>
            </w:rPr>
            <w:fldChar w:fldCharType="end"/>
          </w:r>
        </w:sdtContent>
      </w:sdt>
      <w:r w:rsidRPr="00074D54">
        <w:rPr>
          <w:lang w:val="en-GB"/>
        </w:rPr>
        <w:t xml:space="preserve"> </w:t>
      </w:r>
      <w:r w:rsidR="003E297F">
        <w:rPr>
          <w:lang w:val="en-GB"/>
        </w:rPr>
        <w:t>advise</w:t>
      </w:r>
      <w:r w:rsidRPr="00074D54">
        <w:rPr>
          <w:lang w:val="en-GB"/>
        </w:rPr>
        <w:t xml:space="preserve"> that ferritin quantitation should only be repeated when the inflammation (one cause </w:t>
      </w:r>
      <w:r w:rsidR="00A67A52">
        <w:rPr>
          <w:lang w:val="en-GB"/>
        </w:rPr>
        <w:t>of</w:t>
      </w:r>
      <w:r w:rsidR="00A67A52" w:rsidRPr="00074D54">
        <w:rPr>
          <w:lang w:val="en-GB"/>
        </w:rPr>
        <w:t xml:space="preserve"> </w:t>
      </w:r>
      <w:r w:rsidRPr="00074D54">
        <w:rPr>
          <w:lang w:val="en-GB"/>
        </w:rPr>
        <w:t xml:space="preserve">artificial elevation of ferritin) has resolved. </w:t>
      </w:r>
    </w:p>
    <w:p w14:paraId="622A9AF1" w14:textId="77777777" w:rsidR="00BE40E6" w:rsidRPr="00074D54" w:rsidRDefault="00BE40E6" w:rsidP="00EA019E">
      <w:pPr>
        <w:pStyle w:val="NormalBulleted"/>
        <w:numPr>
          <w:ilvl w:val="0"/>
          <w:numId w:val="90"/>
        </w:numPr>
        <w:rPr>
          <w:lang w:val="en-GB"/>
        </w:rPr>
      </w:pPr>
      <w:r w:rsidRPr="00074D54">
        <w:rPr>
          <w:lang w:val="en-GB"/>
        </w:rPr>
        <w:t>Additional measures to reinforce the introduction of the new item descriptors (for example, those that enable ferritin quantitation to be the default test) are required because:</w:t>
      </w:r>
    </w:p>
    <w:p w14:paraId="1786EB1E" w14:textId="77777777" w:rsidR="00BE40E6" w:rsidRPr="00074D54" w:rsidRDefault="00BE40E6" w:rsidP="00AB3AC3">
      <w:pPr>
        <w:pStyle w:val="02dash"/>
        <w:numPr>
          <w:ilvl w:val="1"/>
          <w:numId w:val="64"/>
        </w:numPr>
        <w:spacing w:line="240" w:lineRule="auto"/>
        <w:ind w:right="0"/>
        <w:rPr>
          <w:lang w:val="en-GB"/>
        </w:rPr>
      </w:pPr>
      <w:r w:rsidRPr="00074D54">
        <w:rPr>
          <w:lang w:val="en-GB"/>
        </w:rPr>
        <w:t>The implementation timeframe for the new item descriptors may be prolonged.</w:t>
      </w:r>
    </w:p>
    <w:p w14:paraId="2DF69007"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Requesting clinicians may not </w:t>
      </w:r>
      <w:r w:rsidR="00E652A7">
        <w:t>be guided by</w:t>
      </w:r>
      <w:r w:rsidR="00E652A7" w:rsidRPr="00074D54">
        <w:rPr>
          <w:lang w:val="en-GB"/>
        </w:rPr>
        <w:t xml:space="preserve"> </w:t>
      </w:r>
      <w:r w:rsidRPr="00074D54">
        <w:rPr>
          <w:lang w:val="en-GB"/>
        </w:rPr>
        <w:t>the new item descriptor terminology for the following reasons:</w:t>
      </w:r>
    </w:p>
    <w:p w14:paraId="670023DF" w14:textId="77777777" w:rsidR="00BE40E6" w:rsidRPr="00074D54" w:rsidRDefault="00BE40E6" w:rsidP="00AB3AC3">
      <w:pPr>
        <w:pStyle w:val="Bullet3"/>
        <w:numPr>
          <w:ilvl w:val="2"/>
          <w:numId w:val="64"/>
        </w:numPr>
        <w:spacing w:before="120"/>
        <w:rPr>
          <w:lang w:val="en-GB"/>
        </w:rPr>
      </w:pPr>
      <w:r w:rsidRPr="00074D54">
        <w:rPr>
          <w:lang w:val="en-GB"/>
        </w:rPr>
        <w:t>They may override iron studies recommendations offered by their electronic medical software.</w:t>
      </w:r>
    </w:p>
    <w:p w14:paraId="0B6D1F38" w14:textId="77777777" w:rsidR="00BE40E6" w:rsidRPr="00074D54" w:rsidRDefault="00BE40E6" w:rsidP="00AB3AC3">
      <w:pPr>
        <w:pStyle w:val="Bullet3"/>
        <w:numPr>
          <w:ilvl w:val="2"/>
          <w:numId w:val="64"/>
        </w:numPr>
        <w:spacing w:before="120"/>
        <w:rPr>
          <w:lang w:val="en-GB"/>
        </w:rPr>
      </w:pPr>
      <w:r w:rsidRPr="00074D54">
        <w:rPr>
          <w:lang w:val="en-GB"/>
        </w:rPr>
        <w:t>Some may use free-text methods (for example, handwritten request forms).</w:t>
      </w:r>
    </w:p>
    <w:p w14:paraId="74536ED3" w14:textId="77777777" w:rsidR="00BE40E6" w:rsidRPr="00074D54" w:rsidRDefault="00BE40E6" w:rsidP="00AB3AC3">
      <w:pPr>
        <w:pStyle w:val="Bullet3"/>
        <w:numPr>
          <w:ilvl w:val="2"/>
          <w:numId w:val="64"/>
        </w:numPr>
        <w:spacing w:before="120"/>
        <w:rPr>
          <w:lang w:val="en-GB"/>
        </w:rPr>
      </w:pPr>
      <w:r w:rsidRPr="00074D54">
        <w:rPr>
          <w:lang w:val="en-GB"/>
        </w:rPr>
        <w:t>They may ignore or forget about the change.</w:t>
      </w:r>
    </w:p>
    <w:p w14:paraId="3FCF796E" w14:textId="77777777" w:rsidR="00BE40E6" w:rsidRPr="00074D54" w:rsidRDefault="00BE40E6" w:rsidP="00AB3AC3">
      <w:pPr>
        <w:pStyle w:val="Bullet3"/>
        <w:numPr>
          <w:ilvl w:val="2"/>
          <w:numId w:val="64"/>
        </w:numPr>
        <w:spacing w:before="120"/>
        <w:rPr>
          <w:lang w:val="en-GB"/>
        </w:rPr>
      </w:pPr>
      <w:r w:rsidRPr="00074D54">
        <w:rPr>
          <w:lang w:val="en-GB"/>
        </w:rPr>
        <w:t>They may not update their list of favourite/commonly requested iron tests.</w:t>
      </w:r>
    </w:p>
    <w:p w14:paraId="157256A4" w14:textId="77777777" w:rsidR="00BE40E6" w:rsidRPr="00074D54" w:rsidRDefault="00BE40E6" w:rsidP="00AB3AC3">
      <w:pPr>
        <w:pStyle w:val="02dash"/>
        <w:numPr>
          <w:ilvl w:val="1"/>
          <w:numId w:val="64"/>
        </w:numPr>
        <w:spacing w:line="240" w:lineRule="auto"/>
        <w:ind w:right="0"/>
        <w:rPr>
          <w:lang w:val="en-GB"/>
        </w:rPr>
      </w:pPr>
      <w:r w:rsidRPr="00074D54">
        <w:rPr>
          <w:lang w:val="en-GB"/>
        </w:rPr>
        <w:t>Software vendors may not fully and/or correctly implement the item descriptor updates.</w:t>
      </w:r>
    </w:p>
    <w:p w14:paraId="5E7297B6" w14:textId="77777777" w:rsidR="00BE40E6" w:rsidRPr="00F67BDB" w:rsidRDefault="00F67BDB" w:rsidP="00EA019E">
      <w:pPr>
        <w:pStyle w:val="NormalBulleted"/>
        <w:numPr>
          <w:ilvl w:val="0"/>
          <w:numId w:val="90"/>
        </w:numPr>
        <w:rPr>
          <w:szCs w:val="20"/>
          <w:lang w:val="en-GB"/>
        </w:rPr>
      </w:pPr>
      <w:r>
        <w:t>The c</w:t>
      </w:r>
      <w:r w:rsidR="00BD4515">
        <w:t>reat</w:t>
      </w:r>
      <w:r>
        <w:t>ion of a</w:t>
      </w:r>
      <w:r w:rsidR="00BD4515">
        <w:t xml:space="preserve"> </w:t>
      </w:r>
      <w:r>
        <w:t>new</w:t>
      </w:r>
      <w:r w:rsidR="00BD4515">
        <w:t xml:space="preserve"> item (665X</w:t>
      </w:r>
      <w:r w:rsidR="00BC4704">
        <w:t>X</w:t>
      </w:r>
      <w:r w:rsidR="00BD4515">
        <w:t>)</w:t>
      </w:r>
      <w:r>
        <w:t xml:space="preserve"> </w:t>
      </w:r>
      <w:r w:rsidR="00BC4704">
        <w:rPr>
          <w:lang w:val="en-GB"/>
        </w:rPr>
        <w:t>for ‘exception</w:t>
      </w:r>
      <w:r w:rsidRPr="00F67BDB">
        <w:rPr>
          <w:lang w:val="en-GB"/>
        </w:rPr>
        <w:t xml:space="preserve"> iron studies’</w:t>
      </w:r>
      <w:r w:rsidR="00BD4515">
        <w:t xml:space="preserve"> </w:t>
      </w:r>
      <w:r>
        <w:t>to allow</w:t>
      </w:r>
      <w:r w:rsidR="00BD4515">
        <w:t xml:space="preserve"> </w:t>
      </w:r>
      <w:r>
        <w:t>testing</w:t>
      </w:r>
      <w:r w:rsidR="00BD4515">
        <w:t xml:space="preserve"> of full iron studies</w:t>
      </w:r>
      <w:r>
        <w:t xml:space="preserve"> in situations when ferritin alone is an unreliable indicator of iron status will </w:t>
      </w:r>
      <w:r w:rsidR="00BD4515">
        <w:t>require</w:t>
      </w:r>
      <w:r>
        <w:t xml:space="preserve"> </w:t>
      </w:r>
      <w:r w:rsidR="006C31FB">
        <w:t>requester</w:t>
      </w:r>
      <w:r>
        <w:t>s</w:t>
      </w:r>
      <w:r w:rsidR="00BD4515">
        <w:t xml:space="preserve"> to consider the</w:t>
      </w:r>
      <w:r>
        <w:t>ir</w:t>
      </w:r>
      <w:r w:rsidR="00BD4515">
        <w:t xml:space="preserve"> reasons for requesting </w:t>
      </w:r>
      <w:r>
        <w:t>full iron studies</w:t>
      </w:r>
      <w:r w:rsidR="00BD4515">
        <w:t xml:space="preserve"> over ferritin alone</w:t>
      </w:r>
      <w:r w:rsidR="00FD6957">
        <w:t xml:space="preserve"> and </w:t>
      </w:r>
      <w:r w:rsidR="00FD6957">
        <w:rPr>
          <w:lang w:val="en-AU"/>
        </w:rPr>
        <w:t>provide evidence</w:t>
      </w:r>
      <w:r w:rsidR="006C5B59">
        <w:rPr>
          <w:lang w:val="en-AU"/>
        </w:rPr>
        <w:t xml:space="preserve"> indicating ferritin alone may be an unreliable indicator of iron status and that there would be </w:t>
      </w:r>
      <w:r w:rsidR="00FD6957">
        <w:rPr>
          <w:lang w:val="en-AU"/>
        </w:rPr>
        <w:t>an incremental benefit to performing full iron studies as opposed to ferritin alone</w:t>
      </w:r>
      <w:r w:rsidR="00BD4515">
        <w:t>.</w:t>
      </w:r>
      <w:r w:rsidR="00BD4515" w:rsidRPr="00F67BDB" w:rsidDel="00BD4515">
        <w:rPr>
          <w:lang w:val="en-GB"/>
        </w:rPr>
        <w:t xml:space="preserve"> </w:t>
      </w:r>
    </w:p>
    <w:p w14:paraId="6D32FB8E" w14:textId="77777777" w:rsidR="002576AA" w:rsidRDefault="002576AA">
      <w:pPr>
        <w:spacing w:before="0" w:after="0" w:line="240" w:lineRule="auto"/>
        <w:rPr>
          <w:rFonts w:eastAsiaTheme="minorHAnsi" w:cs="Arial"/>
          <w:b/>
          <w:bCs/>
          <w:iCs/>
          <w:color w:val="01653F"/>
          <w:sz w:val="26"/>
          <w:szCs w:val="26"/>
          <w:lang w:val="en-GB" w:eastAsia="en-US"/>
        </w:rPr>
      </w:pPr>
      <w:bookmarkStart w:id="208" w:name="_Toc522396648"/>
      <w:r>
        <w:rPr>
          <w:lang w:val="en-GB"/>
        </w:rPr>
        <w:br w:type="page"/>
      </w:r>
    </w:p>
    <w:p w14:paraId="57E959A4" w14:textId="77777777" w:rsidR="00BE40E6" w:rsidRPr="00074D54" w:rsidRDefault="00BE40E6" w:rsidP="00990089">
      <w:pPr>
        <w:pStyle w:val="Heading2"/>
        <w:keepLines/>
        <w:spacing w:before="280" w:line="240" w:lineRule="auto"/>
        <w:ind w:left="284" w:hanging="284"/>
        <w:rPr>
          <w:sz w:val="28"/>
          <w:szCs w:val="22"/>
          <w:lang w:val="en-GB"/>
        </w:rPr>
      </w:pPr>
      <w:bookmarkStart w:id="209" w:name="_Toc525816088"/>
      <w:r w:rsidRPr="00074D54">
        <w:rPr>
          <w:lang w:val="en-GB"/>
        </w:rPr>
        <w:lastRenderedPageBreak/>
        <w:t>Folate</w:t>
      </w:r>
      <w:bookmarkEnd w:id="208"/>
      <w:bookmarkEnd w:id="209"/>
      <w:r w:rsidRPr="00074D54">
        <w:rPr>
          <w:lang w:val="en-GB"/>
        </w:rPr>
        <w:t xml:space="preserve"> </w:t>
      </w:r>
    </w:p>
    <w:p w14:paraId="2E20C784" w14:textId="77777777" w:rsidR="00BE40E6" w:rsidRPr="00074D54" w:rsidRDefault="00BE40E6" w:rsidP="00B42913">
      <w:pPr>
        <w:pStyle w:val="Heading3Numbered0"/>
        <w:rPr>
          <w:lang w:val="en-GB"/>
        </w:rPr>
      </w:pPr>
      <w:bookmarkStart w:id="210" w:name="_Toc522396649"/>
      <w:bookmarkStart w:id="211" w:name="_Toc525816089"/>
      <w:r w:rsidRPr="00074D54">
        <w:rPr>
          <w:lang w:val="en-GB"/>
        </w:rPr>
        <w:t>Item 66840</w:t>
      </w:r>
      <w:bookmarkEnd w:id="210"/>
      <w:bookmarkEnd w:id="211"/>
    </w:p>
    <w:p w14:paraId="3A92CBC0" w14:textId="77777777" w:rsidR="00BE40E6" w:rsidRPr="00074D54" w:rsidRDefault="00EB0974" w:rsidP="00EB0974">
      <w:pPr>
        <w:pStyle w:val="Caption"/>
        <w:rPr>
          <w:lang w:val="en-GB"/>
        </w:rPr>
      </w:pPr>
      <w:bookmarkStart w:id="212" w:name="_Toc525816961"/>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5</w:t>
      </w:r>
      <w:r w:rsidR="00AF6A7F">
        <w:rPr>
          <w:noProof/>
        </w:rPr>
        <w:fldChar w:fldCharType="end"/>
      </w:r>
      <w:r w:rsidR="00BE40E6" w:rsidRPr="00074D54">
        <w:t xml:space="preserve">: </w:t>
      </w:r>
      <w:r w:rsidR="000028AB">
        <w:rPr>
          <w:lang w:val="en-GB"/>
        </w:rPr>
        <w:t>Services and benefits data for items</w:t>
      </w:r>
      <w:r w:rsidR="00BE40E6" w:rsidRPr="00074D54">
        <w:rPr>
          <w:lang w:val="en-GB"/>
        </w:rPr>
        <w:t xml:space="preserve"> 66840</w:t>
      </w:r>
      <w:bookmarkEnd w:id="212"/>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 item introduction table for item 66840"/>
        <w:tblDescription w:val="Table 5 shows the standard data for serum folate testing (item 66840), including the Schedule fee, the total service volume (736,137) and the total benefits paid ($14,667,967) for the financial year 2015-16."/>
      </w:tblPr>
      <w:tblGrid>
        <w:gridCol w:w="679"/>
        <w:gridCol w:w="3412"/>
        <w:gridCol w:w="903"/>
        <w:gridCol w:w="1070"/>
        <w:gridCol w:w="1138"/>
        <w:gridCol w:w="1100"/>
      </w:tblGrid>
      <w:tr w:rsidR="00BE40E6" w:rsidRPr="00074D54" w14:paraId="1CDBAC2D" w14:textId="77777777" w:rsidTr="00BE40E6">
        <w:trPr>
          <w:tblHeader/>
        </w:trPr>
        <w:tc>
          <w:tcPr>
            <w:tcW w:w="70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C9F5274"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39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72AED7A"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4E54A25"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3"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B5A4BC7"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1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219DF12"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7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58F7DD8"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0DA46A4F"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3268F29F"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66840</w:t>
            </w:r>
          </w:p>
        </w:tc>
        <w:tc>
          <w:tcPr>
            <w:tcW w:w="3958" w:type="dxa"/>
            <w:tcBorders>
              <w:top w:val="single" w:sz="4" w:space="0" w:color="808080"/>
              <w:left w:val="single" w:sz="4" w:space="0" w:color="808080"/>
              <w:bottom w:val="single" w:sz="4" w:space="0" w:color="808080"/>
              <w:right w:val="single" w:sz="4" w:space="0" w:color="808080"/>
            </w:tcBorders>
            <w:vAlign w:val="bottom"/>
          </w:tcPr>
          <w:p w14:paraId="7F30810B"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bCs/>
                <w:sz w:val="18"/>
                <w:szCs w:val="18"/>
                <w:lang w:val="en-GB" w:eastAsia="en-US"/>
              </w:rPr>
              <w:t xml:space="preserve">Serum folate test and, if required, red cell folate test for a patient at risk of folate deficiency, including patients with malabsorption conditions, macrocytic anaemia or coeliac disease </w:t>
            </w:r>
          </w:p>
          <w:p w14:paraId="02D3878C" w14:textId="77777777" w:rsidR="00BE40E6" w:rsidRPr="00074D54" w:rsidRDefault="00BE40E6">
            <w:pPr>
              <w:spacing w:before="20" w:after="20"/>
              <w:rPr>
                <w:rFonts w:ascii="Arial" w:eastAsiaTheme="minorHAnsi" w:hAnsi="Arial" w:cs="Arial"/>
                <w:sz w:val="18"/>
                <w:szCs w:val="18"/>
                <w:lang w:val="en-GB" w:eastAsia="en-US"/>
              </w:rPr>
            </w:pPr>
          </w:p>
        </w:tc>
        <w:tc>
          <w:tcPr>
            <w:tcW w:w="914" w:type="dxa"/>
            <w:tcBorders>
              <w:top w:val="single" w:sz="4" w:space="0" w:color="808080"/>
              <w:left w:val="single" w:sz="4" w:space="0" w:color="808080"/>
              <w:bottom w:val="single" w:sz="4" w:space="0" w:color="808080"/>
              <w:right w:val="single" w:sz="4" w:space="0" w:color="808080"/>
            </w:tcBorders>
            <w:hideMark/>
          </w:tcPr>
          <w:p w14:paraId="0803C5C7"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$23.60</w:t>
            </w:r>
          </w:p>
        </w:tc>
        <w:tc>
          <w:tcPr>
            <w:tcW w:w="1103" w:type="dxa"/>
            <w:tcBorders>
              <w:top w:val="single" w:sz="4" w:space="0" w:color="808080"/>
              <w:left w:val="single" w:sz="4" w:space="0" w:color="808080"/>
              <w:bottom w:val="single" w:sz="4" w:space="0" w:color="808080"/>
              <w:right w:val="single" w:sz="4" w:space="0" w:color="808080"/>
            </w:tcBorders>
            <w:hideMark/>
          </w:tcPr>
          <w:p w14:paraId="13C7147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736,137</w:t>
            </w:r>
          </w:p>
        </w:tc>
        <w:tc>
          <w:tcPr>
            <w:tcW w:w="1158" w:type="dxa"/>
            <w:tcBorders>
              <w:top w:val="single" w:sz="4" w:space="0" w:color="808080"/>
              <w:left w:val="single" w:sz="4" w:space="0" w:color="808080"/>
              <w:bottom w:val="single" w:sz="4" w:space="0" w:color="808080"/>
              <w:right w:val="single" w:sz="4" w:space="0" w:color="808080"/>
            </w:tcBorders>
            <w:hideMark/>
          </w:tcPr>
          <w:p w14:paraId="5768503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$14,667,967</w:t>
            </w:r>
          </w:p>
        </w:tc>
        <w:tc>
          <w:tcPr>
            <w:tcW w:w="1174" w:type="dxa"/>
            <w:tcBorders>
              <w:top w:val="single" w:sz="4" w:space="0" w:color="808080"/>
              <w:left w:val="single" w:sz="4" w:space="0" w:color="808080"/>
              <w:bottom w:val="single" w:sz="4" w:space="0" w:color="808080"/>
              <w:right w:val="single" w:sz="4" w:space="0" w:color="808080"/>
            </w:tcBorders>
            <w:hideMark/>
          </w:tcPr>
          <w:p w14:paraId="57DB2843"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bl>
    <w:p w14:paraId="778F159D" w14:textId="77777777" w:rsidR="00BE40E6" w:rsidRPr="00074D54" w:rsidRDefault="00BE40E6" w:rsidP="00BE40E6">
      <w:pPr>
        <w:pStyle w:val="N1"/>
      </w:pPr>
      <w:r w:rsidRPr="00074D54">
        <w:t xml:space="preserve">Note: Until 1 November 2014, folate testing was coupled with vitamin B12 testing under a joint item number on the MBS. </w:t>
      </w:r>
    </w:p>
    <w:p w14:paraId="473D1BB9" w14:textId="77777777" w:rsidR="00BE40E6" w:rsidRPr="00074D54" w:rsidRDefault="00BE40E6" w:rsidP="00BE40E6">
      <w:pPr>
        <w:pStyle w:val="Boldtext"/>
      </w:pPr>
      <w:r w:rsidRPr="00074D54">
        <w:t>Recommendation</w:t>
      </w:r>
      <w:r w:rsidR="006E404A">
        <w:t>s</w:t>
      </w:r>
      <w:r w:rsidRPr="00074D54">
        <w:t xml:space="preserve"> </w:t>
      </w:r>
    </w:p>
    <w:p w14:paraId="0E5D736F" w14:textId="77777777" w:rsidR="00BE40E6" w:rsidRPr="00074D54" w:rsidRDefault="00BE40E6" w:rsidP="00EA019E">
      <w:pPr>
        <w:pStyle w:val="NormalBulleted"/>
        <w:numPr>
          <w:ilvl w:val="0"/>
          <w:numId w:val="91"/>
        </w:numPr>
        <w:rPr>
          <w:lang w:val="en-GB"/>
        </w:rPr>
      </w:pPr>
      <w:r w:rsidRPr="00074D54">
        <w:rPr>
          <w:lang w:val="en-GB"/>
        </w:rPr>
        <w:t>Change the item descriptor for item 66840 (serum folate test) to provide greater clarity. The proposed item descriptor is as follows:</w:t>
      </w:r>
    </w:p>
    <w:p w14:paraId="32221A07" w14:textId="77777777" w:rsidR="00BE40E6" w:rsidRPr="00074D54" w:rsidRDefault="00BE40E6" w:rsidP="00AB3AC3">
      <w:pPr>
        <w:pStyle w:val="02dash"/>
        <w:numPr>
          <w:ilvl w:val="1"/>
          <w:numId w:val="64"/>
        </w:numPr>
        <w:spacing w:line="240" w:lineRule="auto"/>
        <w:ind w:right="0"/>
        <w:rPr>
          <w:lang w:val="en-GB"/>
        </w:rPr>
      </w:pPr>
      <w:r w:rsidRPr="00074D54">
        <w:rPr>
          <w:lang w:val="en-GB"/>
        </w:rPr>
        <w:t>Serum folate test and, if required, red cell folate test for patient</w:t>
      </w:r>
      <w:r w:rsidR="00461DD4">
        <w:rPr>
          <w:lang w:val="en-GB"/>
        </w:rPr>
        <w:t>s</w:t>
      </w:r>
      <w:r w:rsidRPr="00074D54">
        <w:rPr>
          <w:lang w:val="en-GB"/>
        </w:rPr>
        <w:t xml:space="preserve"> with malabsorption conditions</w:t>
      </w:r>
      <w:r w:rsidR="007F6995">
        <w:rPr>
          <w:lang w:val="en-GB"/>
        </w:rPr>
        <w:t>, or malnutrition</w:t>
      </w:r>
      <w:r w:rsidRPr="00074D54">
        <w:rPr>
          <w:lang w:val="en-GB"/>
        </w:rPr>
        <w:t xml:space="preserve"> or </w:t>
      </w:r>
      <w:r w:rsidR="00BF0013" w:rsidRPr="00074D54">
        <w:rPr>
          <w:lang w:val="en-GB"/>
        </w:rPr>
        <w:t>macrocyt</w:t>
      </w:r>
      <w:r w:rsidR="00BF0013">
        <w:rPr>
          <w:lang w:val="en-GB"/>
        </w:rPr>
        <w:t>osis</w:t>
      </w:r>
      <w:r w:rsidRPr="00074D54">
        <w:rPr>
          <w:lang w:val="en-GB"/>
        </w:rPr>
        <w:t xml:space="preserve">. </w:t>
      </w:r>
    </w:p>
    <w:p w14:paraId="614D5AEE" w14:textId="77777777" w:rsidR="00631CCF" w:rsidRDefault="00BE40E6" w:rsidP="00EA019E">
      <w:pPr>
        <w:pStyle w:val="NormalBulleted"/>
        <w:numPr>
          <w:ilvl w:val="0"/>
          <w:numId w:val="91"/>
        </w:numPr>
        <w:rPr>
          <w:lang w:val="en-GB"/>
        </w:rPr>
      </w:pPr>
      <w:r w:rsidRPr="00074D54">
        <w:rPr>
          <w:lang w:val="en-GB"/>
        </w:rPr>
        <w:t>Apply a 12-month frequency restriction to item 66840</w:t>
      </w:r>
      <w:r w:rsidR="002E0AF0">
        <w:rPr>
          <w:lang w:val="en-GB"/>
        </w:rPr>
        <w:t xml:space="preserve">; however, </w:t>
      </w:r>
      <w:r w:rsidR="002E0AF0" w:rsidRPr="002E0AF0">
        <w:rPr>
          <w:lang w:val="en-GB"/>
        </w:rPr>
        <w:t>repeat test</w:t>
      </w:r>
      <w:r w:rsidR="002E0AF0">
        <w:rPr>
          <w:lang w:val="en-GB"/>
        </w:rPr>
        <w:t>ing</w:t>
      </w:r>
      <w:r w:rsidR="002E0AF0" w:rsidRPr="002E0AF0">
        <w:rPr>
          <w:lang w:val="en-GB"/>
        </w:rPr>
        <w:t xml:space="preserve"> within 12 months </w:t>
      </w:r>
      <w:r w:rsidR="007E5C0B">
        <w:rPr>
          <w:lang w:val="en-GB"/>
        </w:rPr>
        <w:t>may</w:t>
      </w:r>
      <w:r w:rsidR="002E0AF0">
        <w:rPr>
          <w:lang w:val="en-GB"/>
        </w:rPr>
        <w:t xml:space="preserve"> be allowed if the result of the </w:t>
      </w:r>
      <w:r w:rsidR="007E5C0B">
        <w:rPr>
          <w:lang w:val="en-GB"/>
        </w:rPr>
        <w:t>previous</w:t>
      </w:r>
      <w:r w:rsidR="002E0AF0">
        <w:rPr>
          <w:lang w:val="en-GB"/>
        </w:rPr>
        <w:t xml:space="preserve"> </w:t>
      </w:r>
      <w:r w:rsidR="002E0AF0" w:rsidRPr="002E0AF0">
        <w:rPr>
          <w:lang w:val="en-GB"/>
        </w:rPr>
        <w:t>test was outside of the</w:t>
      </w:r>
      <w:r w:rsidR="00101DFA">
        <w:rPr>
          <w:lang w:val="en-GB"/>
        </w:rPr>
        <w:t xml:space="preserve"> </w:t>
      </w:r>
      <w:r w:rsidR="002E0AF0" w:rsidRPr="002E0AF0">
        <w:rPr>
          <w:lang w:val="en-GB"/>
        </w:rPr>
        <w:t xml:space="preserve">95% laboratory </w:t>
      </w:r>
      <w:r w:rsidR="002E0AF0">
        <w:rPr>
          <w:lang w:val="en-GB"/>
        </w:rPr>
        <w:t xml:space="preserve">reference </w:t>
      </w:r>
      <w:r w:rsidR="001F736E">
        <w:rPr>
          <w:lang w:val="en-GB"/>
        </w:rPr>
        <w:t xml:space="preserve">limit </w:t>
      </w:r>
      <w:r w:rsidR="00101DFA">
        <w:rPr>
          <w:lang w:val="en-GB"/>
        </w:rPr>
        <w:t>for folate testing</w:t>
      </w:r>
      <w:r w:rsidR="002E0AF0">
        <w:rPr>
          <w:lang w:val="en-GB"/>
        </w:rPr>
        <w:t xml:space="preserve"> (in order </w:t>
      </w:r>
      <w:r w:rsidR="002E0AF0" w:rsidRPr="002E0AF0">
        <w:rPr>
          <w:lang w:val="en-GB"/>
        </w:rPr>
        <w:t>to confirm folate deficiency when an initial folate result is low</w:t>
      </w:r>
      <w:r w:rsidR="002E0AF0">
        <w:rPr>
          <w:lang w:val="en-GB"/>
        </w:rPr>
        <w:t>)</w:t>
      </w:r>
      <w:r w:rsidRPr="00074D54">
        <w:rPr>
          <w:lang w:val="en-GB"/>
        </w:rPr>
        <w:t xml:space="preserve">. </w:t>
      </w:r>
    </w:p>
    <w:p w14:paraId="6FA634E0" w14:textId="77777777" w:rsidR="00BE40E6" w:rsidRPr="00854013" w:rsidRDefault="00BE40E6" w:rsidP="00EA019E">
      <w:pPr>
        <w:pStyle w:val="NormalBulleted"/>
        <w:numPr>
          <w:ilvl w:val="0"/>
          <w:numId w:val="91"/>
        </w:numPr>
        <w:rPr>
          <w:lang w:val="en-GB"/>
        </w:rPr>
      </w:pPr>
      <w:r w:rsidRPr="00854013">
        <w:rPr>
          <w:lang w:val="en-GB"/>
        </w:rPr>
        <w:t>Add an explanatory note to item 66840 t</w:t>
      </w:r>
      <w:r w:rsidR="009720E7">
        <w:rPr>
          <w:lang w:val="en-GB"/>
        </w:rPr>
        <w:t>hat</w:t>
      </w:r>
      <w:r w:rsidRPr="00854013">
        <w:rPr>
          <w:lang w:val="en-GB"/>
        </w:rPr>
        <w:t xml:space="preserve"> clarif</w:t>
      </w:r>
      <w:r w:rsidR="009720E7">
        <w:rPr>
          <w:lang w:val="en-GB"/>
        </w:rPr>
        <w:t>ies</w:t>
      </w:r>
      <w:r w:rsidRPr="00854013">
        <w:rPr>
          <w:lang w:val="en-GB"/>
        </w:rPr>
        <w:t xml:space="preserve"> wh</w:t>
      </w:r>
      <w:r w:rsidR="009720E7">
        <w:rPr>
          <w:lang w:val="en-GB"/>
        </w:rPr>
        <w:t>ich patients</w:t>
      </w:r>
      <w:r w:rsidRPr="00854013">
        <w:rPr>
          <w:lang w:val="en-GB"/>
        </w:rPr>
        <w:t xml:space="preserve"> may require folate testing. The proposed explanatory note is as follows: </w:t>
      </w:r>
    </w:p>
    <w:p w14:paraId="56475C1A" w14:textId="77777777" w:rsidR="00BE40E6" w:rsidRPr="00854013" w:rsidRDefault="00BE40E6" w:rsidP="00BE40E6">
      <w:pPr>
        <w:pStyle w:val="01squarebullet"/>
        <w:numPr>
          <w:ilvl w:val="0"/>
          <w:numId w:val="0"/>
        </w:numPr>
        <w:ind w:left="357"/>
        <w:rPr>
          <w:lang w:val="en-GB"/>
        </w:rPr>
      </w:pPr>
      <w:r w:rsidRPr="00854013">
        <w:rPr>
          <w:i/>
          <w:lang w:val="en-GB"/>
        </w:rPr>
        <w:t xml:space="preserve">Folate testing is only required for patients with </w:t>
      </w:r>
      <w:r w:rsidR="00875279" w:rsidRPr="00803FA5">
        <w:rPr>
          <w:i/>
          <w:lang w:val="en-GB"/>
        </w:rPr>
        <w:t>macrocytosis</w:t>
      </w:r>
      <w:r w:rsidR="007F6995">
        <w:rPr>
          <w:i/>
          <w:lang w:val="en-GB"/>
        </w:rPr>
        <w:t>, malnutrition</w:t>
      </w:r>
      <w:r w:rsidR="00875279" w:rsidRPr="00854013" w:rsidDel="00875279">
        <w:rPr>
          <w:i/>
          <w:lang w:val="en-GB"/>
        </w:rPr>
        <w:t xml:space="preserve"> </w:t>
      </w:r>
      <w:r w:rsidRPr="00854013">
        <w:rPr>
          <w:i/>
          <w:lang w:val="en-GB"/>
        </w:rPr>
        <w:t>or malabsorption issues such as coeliac disease and other small bowel pathology.</w:t>
      </w:r>
    </w:p>
    <w:p w14:paraId="0AA52C7D" w14:textId="77777777" w:rsidR="00BE40E6" w:rsidRPr="00360531" w:rsidRDefault="00BE40E6" w:rsidP="00BE40E6">
      <w:pPr>
        <w:pStyle w:val="02dash"/>
        <w:numPr>
          <w:ilvl w:val="0"/>
          <w:numId w:val="0"/>
        </w:numPr>
        <w:tabs>
          <w:tab w:val="left" w:pos="720"/>
        </w:tabs>
        <w:ind w:left="644"/>
        <w:rPr>
          <w:i/>
          <w:lang w:val="en-GB"/>
        </w:rPr>
      </w:pPr>
      <w:r w:rsidRPr="00854013">
        <w:rPr>
          <w:i/>
          <w:lang w:val="en-GB"/>
        </w:rPr>
        <w:t xml:space="preserve">The following groups of patients should </w:t>
      </w:r>
      <w:r w:rsidR="009720E7">
        <w:rPr>
          <w:i/>
          <w:lang w:val="en-GB"/>
        </w:rPr>
        <w:t>receive f</w:t>
      </w:r>
      <w:r w:rsidRPr="00854013">
        <w:rPr>
          <w:i/>
          <w:lang w:val="en-GB"/>
        </w:rPr>
        <w:t>olate</w:t>
      </w:r>
      <w:r w:rsidR="009720E7">
        <w:rPr>
          <w:i/>
          <w:lang w:val="en-GB"/>
        </w:rPr>
        <w:t xml:space="preserve"> supplementation</w:t>
      </w:r>
      <w:r w:rsidRPr="00854013">
        <w:rPr>
          <w:i/>
          <w:lang w:val="en-GB"/>
        </w:rPr>
        <w:t xml:space="preserve"> and do not require testing:</w:t>
      </w:r>
    </w:p>
    <w:p w14:paraId="7DA85F1E" w14:textId="77777777" w:rsidR="00BE40E6" w:rsidRPr="00074D54" w:rsidRDefault="009720E7" w:rsidP="00AB3AC3">
      <w:pPr>
        <w:pStyle w:val="Bullet3"/>
        <w:numPr>
          <w:ilvl w:val="2"/>
          <w:numId w:val="64"/>
        </w:numPr>
        <w:spacing w:before="120"/>
        <w:rPr>
          <w:i/>
        </w:rPr>
      </w:pPr>
      <w:r>
        <w:rPr>
          <w:i/>
        </w:rPr>
        <w:t>Pregnant w</w:t>
      </w:r>
      <w:r w:rsidR="00BE40E6" w:rsidRPr="00074D54">
        <w:rPr>
          <w:i/>
        </w:rPr>
        <w:t>omen or</w:t>
      </w:r>
      <w:r>
        <w:rPr>
          <w:i/>
        </w:rPr>
        <w:t xml:space="preserve"> those</w:t>
      </w:r>
      <w:r w:rsidR="00BE40E6" w:rsidRPr="00074D54">
        <w:rPr>
          <w:i/>
        </w:rPr>
        <w:t xml:space="preserve"> planning pregnancy</w:t>
      </w:r>
    </w:p>
    <w:p w14:paraId="3F560C71" w14:textId="77777777" w:rsidR="00BE40E6" w:rsidRPr="00074D54" w:rsidRDefault="009720E7" w:rsidP="00AB3AC3">
      <w:pPr>
        <w:pStyle w:val="Bullet3"/>
        <w:numPr>
          <w:ilvl w:val="2"/>
          <w:numId w:val="64"/>
        </w:numPr>
        <w:spacing w:before="120"/>
        <w:rPr>
          <w:i/>
        </w:rPr>
      </w:pPr>
      <w:r>
        <w:rPr>
          <w:i/>
        </w:rPr>
        <w:t>Patients</w:t>
      </w:r>
      <w:r w:rsidRPr="00074D54">
        <w:rPr>
          <w:i/>
        </w:rPr>
        <w:t xml:space="preserve"> </w:t>
      </w:r>
      <w:r w:rsidR="00101DFA">
        <w:rPr>
          <w:i/>
        </w:rPr>
        <w:t>receiving</w:t>
      </w:r>
      <w:r w:rsidR="00101DFA" w:rsidRPr="00074D54">
        <w:rPr>
          <w:i/>
        </w:rPr>
        <w:t xml:space="preserve"> </w:t>
      </w:r>
      <w:r w:rsidR="00BE40E6" w:rsidRPr="00074D54">
        <w:rPr>
          <w:i/>
        </w:rPr>
        <w:t>methotrexate</w:t>
      </w:r>
      <w:r w:rsidR="00101DFA">
        <w:rPr>
          <w:i/>
        </w:rPr>
        <w:t xml:space="preserve"> therapy</w:t>
      </w:r>
      <w:r w:rsidR="00BE40E6" w:rsidRPr="00074D54">
        <w:rPr>
          <w:i/>
        </w:rPr>
        <w:t xml:space="preserve">. </w:t>
      </w:r>
    </w:p>
    <w:p w14:paraId="63281F58" w14:textId="77777777" w:rsidR="00174A70" w:rsidRPr="00174A70" w:rsidRDefault="00174A70" w:rsidP="00EA019E">
      <w:pPr>
        <w:pStyle w:val="NormalBulleted"/>
        <w:numPr>
          <w:ilvl w:val="0"/>
          <w:numId w:val="92"/>
        </w:numPr>
        <w:rPr>
          <w:lang w:val="en-GB"/>
        </w:rPr>
      </w:pPr>
      <w:r>
        <w:rPr>
          <w:lang w:val="en-GB"/>
        </w:rPr>
        <w:t>In addition the Committee recommended:</w:t>
      </w:r>
    </w:p>
    <w:p w14:paraId="15475A13" w14:textId="77777777" w:rsidR="00BE40E6" w:rsidRPr="00074D54" w:rsidRDefault="00242CF5" w:rsidP="00174A70">
      <w:pPr>
        <w:pStyle w:val="02dash"/>
        <w:numPr>
          <w:ilvl w:val="1"/>
          <w:numId w:val="64"/>
        </w:numPr>
        <w:spacing w:line="240" w:lineRule="auto"/>
        <w:ind w:right="0"/>
        <w:rPr>
          <w:lang w:val="en-GB"/>
        </w:rPr>
      </w:pPr>
      <w:r>
        <w:rPr>
          <w:lang w:val="en-GB"/>
        </w:rPr>
        <w:t xml:space="preserve">Provide education to </w:t>
      </w:r>
      <w:r w:rsidR="00BE40E6" w:rsidRPr="00074D54">
        <w:rPr>
          <w:lang w:val="en-GB"/>
        </w:rPr>
        <w:t>requesting clinician</w:t>
      </w:r>
      <w:r>
        <w:rPr>
          <w:lang w:val="en-GB"/>
        </w:rPr>
        <w:t>s</w:t>
      </w:r>
      <w:r w:rsidR="00BE40E6" w:rsidRPr="00074D54">
        <w:rPr>
          <w:lang w:val="en-GB"/>
        </w:rPr>
        <w:t xml:space="preserve"> that communicates details of the changed item descriptor. </w:t>
      </w:r>
      <w:r w:rsidR="008F63B0">
        <w:rPr>
          <w:lang w:val="en-GB"/>
        </w:rPr>
        <w:t>The Committee recommended that p</w:t>
      </w:r>
      <w:r w:rsidR="00BE40E6" w:rsidRPr="00074D54">
        <w:rPr>
          <w:lang w:val="en-GB"/>
        </w:rPr>
        <w:t xml:space="preserve">athology laboratories should include a standard message </w:t>
      </w:r>
      <w:r w:rsidR="008F63B0">
        <w:rPr>
          <w:lang w:val="en-GB"/>
        </w:rPr>
        <w:t>encouraging</w:t>
      </w:r>
      <w:r w:rsidR="008F63B0" w:rsidRPr="00074D54">
        <w:rPr>
          <w:lang w:val="en-GB"/>
        </w:rPr>
        <w:t xml:space="preserve"> </w:t>
      </w:r>
      <w:r w:rsidR="00BE40E6" w:rsidRPr="00074D54">
        <w:rPr>
          <w:lang w:val="en-GB"/>
        </w:rPr>
        <w:t xml:space="preserve">appropriate folate testing on pathology reports </w:t>
      </w:r>
      <w:r>
        <w:rPr>
          <w:lang w:val="en-GB"/>
        </w:rPr>
        <w:t>provided</w:t>
      </w:r>
      <w:r w:rsidR="00BE40E6" w:rsidRPr="00074D54">
        <w:rPr>
          <w:lang w:val="en-GB"/>
        </w:rPr>
        <w:t xml:space="preserve"> to requesting clinicians. The Committee recommended the RCPA develop this message. </w:t>
      </w:r>
    </w:p>
    <w:p w14:paraId="6D573BFA" w14:textId="77777777" w:rsidR="00BE40E6" w:rsidRPr="00074D54" w:rsidRDefault="008A5B60" w:rsidP="00174A70">
      <w:pPr>
        <w:pStyle w:val="02dash"/>
        <w:numPr>
          <w:ilvl w:val="1"/>
          <w:numId w:val="64"/>
        </w:numPr>
        <w:spacing w:line="240" w:lineRule="auto"/>
        <w:ind w:right="0"/>
        <w:rPr>
          <w:lang w:val="en-GB"/>
        </w:rPr>
      </w:pPr>
      <w:r>
        <w:rPr>
          <w:lang w:val="en-GB"/>
        </w:rPr>
        <w:t>Although difficult, e</w:t>
      </w:r>
      <w:r w:rsidR="00BE40E6" w:rsidRPr="00074D54">
        <w:rPr>
          <w:lang w:val="en-GB"/>
        </w:rPr>
        <w:t xml:space="preserve">stablish nationally harmonised serum folate reference </w:t>
      </w:r>
      <w:r w:rsidR="001F736E">
        <w:rPr>
          <w:lang w:val="en-GB"/>
        </w:rPr>
        <w:t>limits</w:t>
      </w:r>
      <w:r w:rsidR="001F736E" w:rsidRPr="00074D54">
        <w:rPr>
          <w:lang w:val="en-GB"/>
        </w:rPr>
        <w:t xml:space="preserve"> </w:t>
      </w:r>
      <w:r w:rsidR="00BE40E6" w:rsidRPr="00074D54">
        <w:rPr>
          <w:lang w:val="en-GB"/>
        </w:rPr>
        <w:t xml:space="preserve">to provide </w:t>
      </w:r>
      <w:r w:rsidR="008F63B0">
        <w:rPr>
          <w:lang w:val="en-GB"/>
        </w:rPr>
        <w:t xml:space="preserve">a </w:t>
      </w:r>
      <w:r w:rsidR="00BE40E6" w:rsidRPr="00074D54">
        <w:rPr>
          <w:lang w:val="en-GB"/>
        </w:rPr>
        <w:t>consistent definition of what constitute</w:t>
      </w:r>
      <w:r w:rsidR="008F63B0">
        <w:rPr>
          <w:lang w:val="en-GB"/>
        </w:rPr>
        <w:t>s</w:t>
      </w:r>
      <w:r w:rsidR="00BE40E6" w:rsidRPr="00074D54">
        <w:rPr>
          <w:lang w:val="en-GB"/>
        </w:rPr>
        <w:t xml:space="preserve"> a low or equivocal serum folate result. </w:t>
      </w:r>
    </w:p>
    <w:p w14:paraId="46A4E50C" w14:textId="77777777" w:rsidR="00BE40E6" w:rsidRPr="00854013" w:rsidRDefault="00BE40E6" w:rsidP="00174A70">
      <w:pPr>
        <w:pStyle w:val="02dash"/>
        <w:numPr>
          <w:ilvl w:val="1"/>
          <w:numId w:val="64"/>
        </w:numPr>
        <w:spacing w:line="240" w:lineRule="auto"/>
        <w:ind w:right="0"/>
        <w:rPr>
          <w:lang w:val="en-GB"/>
        </w:rPr>
      </w:pPr>
      <w:r w:rsidRPr="00854013">
        <w:rPr>
          <w:lang w:val="en-GB"/>
        </w:rPr>
        <w:lastRenderedPageBreak/>
        <w:t xml:space="preserve">Review the impact of the above recommendations 12 months after implementation. In the event of no/minimal </w:t>
      </w:r>
      <w:r w:rsidR="00174A70">
        <w:rPr>
          <w:lang w:val="en-GB"/>
        </w:rPr>
        <w:t>change in requesting behaviour</w:t>
      </w:r>
      <w:r w:rsidRPr="00854013">
        <w:rPr>
          <w:lang w:val="en-GB"/>
        </w:rPr>
        <w:t>, the Committee recommended:</w:t>
      </w:r>
    </w:p>
    <w:p w14:paraId="3EF3E7AF" w14:textId="03DB2584" w:rsidR="00BE40E6" w:rsidRPr="00854013" w:rsidRDefault="00BE40E6" w:rsidP="00174A70">
      <w:pPr>
        <w:pStyle w:val="Bullet3"/>
        <w:numPr>
          <w:ilvl w:val="2"/>
          <w:numId w:val="64"/>
        </w:numPr>
        <w:spacing w:before="120"/>
        <w:rPr>
          <w:lang w:val="en-GB"/>
        </w:rPr>
      </w:pPr>
      <w:r w:rsidRPr="00854013">
        <w:rPr>
          <w:lang w:val="en-GB"/>
        </w:rPr>
        <w:t>Mandating that requesting clinicians specify the reason for their request (that is, malabsorption</w:t>
      </w:r>
      <w:r w:rsidR="00BD6572">
        <w:rPr>
          <w:lang w:val="en-GB"/>
        </w:rPr>
        <w:t>, malnutrition</w:t>
      </w:r>
      <w:r w:rsidRPr="00854013">
        <w:rPr>
          <w:lang w:val="en-GB"/>
        </w:rPr>
        <w:t xml:space="preserve"> or </w:t>
      </w:r>
      <w:r w:rsidR="00875279" w:rsidRPr="00174A70">
        <w:rPr>
          <w:lang w:val="en-GB"/>
        </w:rPr>
        <w:t>macrocytosis</w:t>
      </w:r>
      <w:r w:rsidRPr="00854013">
        <w:rPr>
          <w:lang w:val="en-GB"/>
        </w:rPr>
        <w:t xml:space="preserve">) through a mandatory electronic decision support system or structured pathology request form. It is acknowledged that any form of mandatory decision support must allow clinicians to request unsupported tests, however justification must be provided and such requests should be subject to audit. </w:t>
      </w:r>
    </w:p>
    <w:p w14:paraId="2E0BF4C0" w14:textId="77777777" w:rsidR="00BE40E6" w:rsidRPr="00360531" w:rsidRDefault="00BE40E6" w:rsidP="00174A70">
      <w:pPr>
        <w:pStyle w:val="Bullet3"/>
        <w:numPr>
          <w:ilvl w:val="2"/>
          <w:numId w:val="64"/>
        </w:numPr>
        <w:spacing w:before="120"/>
        <w:rPr>
          <w:lang w:val="en-GB"/>
        </w:rPr>
      </w:pPr>
      <w:r w:rsidRPr="00854013">
        <w:rPr>
          <w:lang w:val="en-GB"/>
        </w:rPr>
        <w:t>Consider</w:t>
      </w:r>
      <w:r w:rsidR="008F63B0">
        <w:rPr>
          <w:lang w:val="en-GB"/>
        </w:rPr>
        <w:t>ation of</w:t>
      </w:r>
      <w:r w:rsidRPr="00854013">
        <w:rPr>
          <w:lang w:val="en-GB"/>
        </w:rPr>
        <w:t xml:space="preserve"> further</w:t>
      </w:r>
      <w:r w:rsidRPr="00360531">
        <w:rPr>
          <w:lang w:val="en-GB"/>
        </w:rPr>
        <w:t xml:space="preserve"> requesting restrictions.</w:t>
      </w:r>
    </w:p>
    <w:p w14:paraId="1BB92ADD" w14:textId="77777777" w:rsidR="00BE40E6" w:rsidRPr="00854013" w:rsidRDefault="00BE40E6" w:rsidP="006751CA">
      <w:pPr>
        <w:pStyle w:val="Boldtext"/>
        <w:spacing w:before="160"/>
      </w:pPr>
      <w:r w:rsidRPr="00854013">
        <w:t>Rationale</w:t>
      </w:r>
    </w:p>
    <w:p w14:paraId="29AE3435" w14:textId="77777777" w:rsidR="00BE40E6" w:rsidRPr="00360531" w:rsidRDefault="00BE40E6" w:rsidP="0029574B">
      <w:pPr>
        <w:pStyle w:val="NormalBulleted"/>
        <w:numPr>
          <w:ilvl w:val="0"/>
          <w:numId w:val="93"/>
        </w:numPr>
        <w:rPr>
          <w:lang w:val="en-GB"/>
        </w:rPr>
      </w:pPr>
      <w:r w:rsidRPr="00854013">
        <w:rPr>
          <w:lang w:val="en-GB"/>
        </w:rPr>
        <w:t>The Committee found sufficient evidence to conclude that inappropriate overuse of folate testing is occurring.</w:t>
      </w:r>
    </w:p>
    <w:p w14:paraId="1B159984" w14:textId="77777777" w:rsidR="00BE40E6" w:rsidRPr="00A67563" w:rsidRDefault="00BE40E6" w:rsidP="00AB3AC3">
      <w:pPr>
        <w:pStyle w:val="02dash"/>
        <w:numPr>
          <w:ilvl w:val="1"/>
          <w:numId w:val="64"/>
        </w:numPr>
        <w:spacing w:line="240" w:lineRule="auto"/>
        <w:ind w:right="0"/>
        <w:rPr>
          <w:lang w:val="en-GB"/>
        </w:rPr>
      </w:pPr>
      <w:r w:rsidRPr="00074D54">
        <w:rPr>
          <w:lang w:val="en-GB"/>
        </w:rPr>
        <w:t>Folate deficiency is rare in Australia</w:t>
      </w:r>
      <w:r w:rsidR="00E72728">
        <w:rPr>
          <w:lang w:val="en-GB"/>
        </w:rPr>
        <w:t xml:space="preserve"> </w:t>
      </w:r>
      <w:sdt>
        <w:sdtPr>
          <w:rPr>
            <w:lang w:val="en-GB"/>
          </w:rPr>
          <w:id w:val="-1820728282"/>
          <w:citation/>
        </w:sdtPr>
        <w:sdtEndPr/>
        <w:sdtContent>
          <w:r w:rsidR="00E72728">
            <w:rPr>
              <w:lang w:val="en-GB"/>
            </w:rPr>
            <w:fldChar w:fldCharType="begin"/>
          </w:r>
          <w:r w:rsidR="00E72728">
            <w:rPr>
              <w:lang w:val="en-AU"/>
            </w:rPr>
            <w:instrText xml:space="preserve"> CITATION Aus13 \l 3081 </w:instrText>
          </w:r>
          <w:r w:rsidR="00E72728">
            <w:rPr>
              <w:lang w:val="en-GB"/>
            </w:rPr>
            <w:fldChar w:fldCharType="separate"/>
          </w:r>
          <w:r w:rsidR="00B66BE1" w:rsidRPr="00B66BE1">
            <w:rPr>
              <w:noProof/>
              <w:lang w:val="en-AU"/>
            </w:rPr>
            <w:t>(28)</w:t>
          </w:r>
          <w:r w:rsidR="00E72728">
            <w:rPr>
              <w:lang w:val="en-GB"/>
            </w:rPr>
            <w:fldChar w:fldCharType="end"/>
          </w:r>
        </w:sdtContent>
      </w:sdt>
      <w:r w:rsidRPr="00074D54">
        <w:rPr>
          <w:lang w:val="en-GB"/>
        </w:rPr>
        <w:t xml:space="preserve"> because of</w:t>
      </w:r>
      <w:r w:rsidR="009B4B66">
        <w:rPr>
          <w:lang w:val="en-GB"/>
        </w:rPr>
        <w:t xml:space="preserve"> mandatory </w:t>
      </w:r>
      <w:r w:rsidRPr="00074D54">
        <w:rPr>
          <w:lang w:val="en-GB"/>
        </w:rPr>
        <w:t>folate fortification of wheat flour</w:t>
      </w:r>
      <w:r w:rsidR="00C84F9E">
        <w:rPr>
          <w:lang w:val="en-GB"/>
        </w:rPr>
        <w:t xml:space="preserve"> </w:t>
      </w:r>
      <w:sdt>
        <w:sdtPr>
          <w:rPr>
            <w:lang w:val="en-GB"/>
          </w:rPr>
          <w:id w:val="580252009"/>
          <w:citation/>
        </w:sdtPr>
        <w:sdtEndPr/>
        <w:sdtContent>
          <w:r w:rsidR="00C84F9E">
            <w:rPr>
              <w:lang w:val="en-GB"/>
            </w:rPr>
            <w:fldChar w:fldCharType="begin"/>
          </w:r>
          <w:r w:rsidR="00C84F9E">
            <w:rPr>
              <w:lang w:val="en-AU"/>
            </w:rPr>
            <w:instrText xml:space="preserve"> CITATION Bro \l 3081 </w:instrText>
          </w:r>
          <w:r w:rsidR="00C84F9E">
            <w:rPr>
              <w:lang w:val="en-GB"/>
            </w:rPr>
            <w:fldChar w:fldCharType="separate"/>
          </w:r>
          <w:r w:rsidR="00B66BE1" w:rsidRPr="00B66BE1">
            <w:rPr>
              <w:noProof/>
              <w:lang w:val="en-AU"/>
            </w:rPr>
            <w:t>(29)</w:t>
          </w:r>
          <w:r w:rsidR="00C84F9E">
            <w:rPr>
              <w:lang w:val="en-GB"/>
            </w:rPr>
            <w:fldChar w:fldCharType="end"/>
          </w:r>
        </w:sdtContent>
      </w:sdt>
      <w:r w:rsidRPr="00074D54">
        <w:rPr>
          <w:lang w:val="en-GB"/>
        </w:rPr>
        <w:t>.</w:t>
      </w:r>
      <w:r w:rsidR="00A67563" w:rsidRPr="00A67563">
        <w:rPr>
          <w:lang w:val="en-GB"/>
        </w:rPr>
        <w:t xml:space="preserve"> </w:t>
      </w:r>
    </w:p>
    <w:p w14:paraId="26AF22A3" w14:textId="77777777" w:rsidR="00BE40E6" w:rsidRPr="00074D54" w:rsidRDefault="00BE40E6" w:rsidP="00AB3AC3">
      <w:pPr>
        <w:pStyle w:val="02dash"/>
        <w:numPr>
          <w:ilvl w:val="1"/>
          <w:numId w:val="64"/>
        </w:numPr>
        <w:spacing w:line="240" w:lineRule="auto"/>
        <w:ind w:right="0"/>
        <w:rPr>
          <w:lang w:val="en-GB"/>
        </w:rPr>
      </w:pPr>
      <w:r w:rsidRPr="00074D54">
        <w:rPr>
          <w:lang w:val="en-GB"/>
        </w:rPr>
        <w:t>Twenty-eight per cent of tests are conducted within 12 months of an initial test</w:t>
      </w:r>
      <w:r w:rsidR="008F63B0">
        <w:rPr>
          <w:lang w:val="en-GB"/>
        </w:rPr>
        <w:t>,</w:t>
      </w:r>
      <w:r w:rsidRPr="00074D54">
        <w:rPr>
          <w:lang w:val="en-GB"/>
        </w:rPr>
        <w:t xml:space="preserve"> despite there being no need for repeating folate quantification once treatment is </w:t>
      </w:r>
      <w:r w:rsidR="008F63B0">
        <w:rPr>
          <w:lang w:val="en-GB"/>
        </w:rPr>
        <w:t>commenced</w:t>
      </w:r>
      <w:r w:rsidR="008F63B0" w:rsidRPr="00074D54">
        <w:rPr>
          <w:lang w:val="en-GB"/>
        </w:rPr>
        <w:t xml:space="preserve"> </w:t>
      </w:r>
      <w:r w:rsidRPr="00074D54">
        <w:rPr>
          <w:lang w:val="en-GB"/>
        </w:rPr>
        <w:t>unless the patient remains symptomatic or if anaemia reoccurs</w:t>
      </w:r>
      <w:r w:rsidR="00221F03">
        <w:rPr>
          <w:lang w:val="en-GB"/>
        </w:rPr>
        <w:t xml:space="preserve"> </w:t>
      </w:r>
      <w:sdt>
        <w:sdtPr>
          <w:rPr>
            <w:lang w:val="en-GB"/>
          </w:rPr>
          <w:id w:val="-968742736"/>
          <w:citation/>
        </w:sdtPr>
        <w:sdtEndPr/>
        <w:sdtContent>
          <w:r w:rsidR="00221F03">
            <w:rPr>
              <w:lang w:val="en-GB"/>
            </w:rPr>
            <w:fldChar w:fldCharType="begin"/>
          </w:r>
          <w:r w:rsidR="00F027EC">
            <w:instrText xml:space="preserve">CITATION Dep14 \l 1033 </w:instrText>
          </w:r>
          <w:r w:rsidR="00221F03">
            <w:rPr>
              <w:lang w:val="en-GB"/>
            </w:rPr>
            <w:fldChar w:fldCharType="separate"/>
          </w:r>
          <w:r w:rsidR="00B66BE1">
            <w:rPr>
              <w:noProof/>
            </w:rPr>
            <w:t>(10)</w:t>
          </w:r>
          <w:r w:rsidR="00221F03">
            <w:rPr>
              <w:lang w:val="en-GB"/>
            </w:rPr>
            <w:fldChar w:fldCharType="end"/>
          </w:r>
        </w:sdtContent>
      </w:sdt>
      <w:r w:rsidRPr="00074D54">
        <w:rPr>
          <w:lang w:val="en-GB"/>
        </w:rPr>
        <w:t>.</w:t>
      </w:r>
    </w:p>
    <w:p w14:paraId="27D09E35"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Despite a review by MSAC and an item descriptor change in 2014, </w:t>
      </w:r>
      <w:r w:rsidR="00E70882">
        <w:rPr>
          <w:lang w:val="en-GB"/>
        </w:rPr>
        <w:t xml:space="preserve">MBS data shows </w:t>
      </w:r>
      <w:r w:rsidRPr="00074D54">
        <w:rPr>
          <w:lang w:val="en-GB"/>
        </w:rPr>
        <w:t xml:space="preserve">annual growth in </w:t>
      </w:r>
      <w:r w:rsidR="008F63B0">
        <w:rPr>
          <w:lang w:val="en-GB"/>
        </w:rPr>
        <w:t xml:space="preserve">folate </w:t>
      </w:r>
      <w:r w:rsidRPr="00074D54">
        <w:rPr>
          <w:lang w:val="en-GB"/>
        </w:rPr>
        <w:t>testing continu</w:t>
      </w:r>
      <w:r w:rsidR="008F63B0">
        <w:rPr>
          <w:lang w:val="en-GB"/>
        </w:rPr>
        <w:t>es</w:t>
      </w:r>
      <w:r w:rsidRPr="00074D54">
        <w:rPr>
          <w:lang w:val="en-GB"/>
        </w:rPr>
        <w:t xml:space="preserve"> to increase.</w:t>
      </w:r>
    </w:p>
    <w:p w14:paraId="09522CAD" w14:textId="77777777" w:rsidR="00BE40E6" w:rsidRPr="00074D54" w:rsidRDefault="00B06001" w:rsidP="00AB3AC3">
      <w:pPr>
        <w:pStyle w:val="02dash"/>
        <w:numPr>
          <w:ilvl w:val="1"/>
          <w:numId w:val="64"/>
        </w:numPr>
        <w:spacing w:line="240" w:lineRule="auto"/>
        <w:ind w:right="0"/>
        <w:rPr>
          <w:lang w:val="en-GB"/>
        </w:rPr>
      </w:pPr>
      <w:r>
        <w:rPr>
          <w:lang w:val="en-GB"/>
        </w:rPr>
        <w:t>MBS data shows that 88</w:t>
      </w:r>
      <w:r w:rsidR="00BE40E6" w:rsidRPr="00074D54">
        <w:rPr>
          <w:lang w:val="en-GB"/>
        </w:rPr>
        <w:t xml:space="preserve"> per cent of tests are co-claimed with either iron or vitamin B12 testing, and 67 per cent are co-claimed with vitamin B12 testing</w:t>
      </w:r>
      <w:r w:rsidR="00641DF3">
        <w:rPr>
          <w:lang w:val="en-GB"/>
        </w:rPr>
        <w:t>,</w:t>
      </w:r>
      <w:r w:rsidR="00BE40E6" w:rsidRPr="00074D54">
        <w:rPr>
          <w:lang w:val="en-GB"/>
        </w:rPr>
        <w:t xml:space="preserve"> and</w:t>
      </w:r>
      <w:r w:rsidR="00641DF3">
        <w:rPr>
          <w:lang w:val="en-GB"/>
        </w:rPr>
        <w:t xml:space="preserve"> therefore</w:t>
      </w:r>
      <w:r w:rsidR="00BE40E6" w:rsidRPr="00074D54">
        <w:rPr>
          <w:lang w:val="en-GB"/>
        </w:rPr>
        <w:t xml:space="preserve"> may be requested out of habit rather than clinical necessity</w:t>
      </w:r>
      <w:r w:rsidR="00C84F9E">
        <w:rPr>
          <w:lang w:val="en-GB"/>
        </w:rPr>
        <w:t xml:space="preserve"> (</w:t>
      </w:r>
      <w:r w:rsidR="00C84F9E">
        <w:rPr>
          <w:lang w:val="en-GB"/>
        </w:rPr>
        <w:fldChar w:fldCharType="begin"/>
      </w:r>
      <w:r w:rsidR="00C84F9E">
        <w:rPr>
          <w:lang w:val="en-GB"/>
        </w:rPr>
        <w:instrText xml:space="preserve"> REF _Ref522838048 \h </w:instrText>
      </w:r>
      <w:r w:rsidR="00C84F9E">
        <w:rPr>
          <w:lang w:val="en-GB"/>
        </w:rPr>
      </w:r>
      <w:r w:rsidR="00C84F9E">
        <w:rPr>
          <w:lang w:val="en-GB"/>
        </w:rPr>
        <w:fldChar w:fldCharType="separate"/>
      </w:r>
      <w:r w:rsidR="00763A89">
        <w:t xml:space="preserve">Figure </w:t>
      </w:r>
      <w:r w:rsidR="00763A89">
        <w:rPr>
          <w:noProof/>
        </w:rPr>
        <w:t>5</w:t>
      </w:r>
      <w:r w:rsidR="00C84F9E">
        <w:rPr>
          <w:lang w:val="en-GB"/>
        </w:rPr>
        <w:fldChar w:fldCharType="end"/>
      </w:r>
      <w:r>
        <w:rPr>
          <w:lang w:val="en-GB"/>
        </w:rPr>
        <w:t>).</w:t>
      </w:r>
    </w:p>
    <w:p w14:paraId="30889F06" w14:textId="77777777" w:rsidR="00BE40E6" w:rsidRPr="00074D54" w:rsidRDefault="00C86F3D" w:rsidP="00C86F3D">
      <w:pPr>
        <w:pStyle w:val="Caption"/>
        <w:rPr>
          <w:lang w:val="en-GB"/>
        </w:rPr>
      </w:pPr>
      <w:bookmarkStart w:id="213" w:name="_Ref522838048"/>
      <w:bookmarkStart w:id="214" w:name="_Toc525739682"/>
      <w:r>
        <w:t xml:space="preserve">Figure </w:t>
      </w:r>
      <w:r w:rsidR="00AF6A7F">
        <w:rPr>
          <w:noProof/>
        </w:rPr>
        <w:fldChar w:fldCharType="begin"/>
      </w:r>
      <w:r w:rsidR="00AF6A7F">
        <w:rPr>
          <w:noProof/>
        </w:rPr>
        <w:instrText xml:space="preserve"> SEQ Figure \* ARABIC </w:instrText>
      </w:r>
      <w:r w:rsidR="00AF6A7F">
        <w:rPr>
          <w:noProof/>
        </w:rPr>
        <w:fldChar w:fldCharType="separate"/>
      </w:r>
      <w:r w:rsidR="00763A89">
        <w:rPr>
          <w:noProof/>
        </w:rPr>
        <w:t>5</w:t>
      </w:r>
      <w:r w:rsidR="00AF6A7F">
        <w:rPr>
          <w:noProof/>
        </w:rPr>
        <w:fldChar w:fldCharType="end"/>
      </w:r>
      <w:bookmarkEnd w:id="213"/>
      <w:r w:rsidR="00BE40E6" w:rsidRPr="00074D54">
        <w:rPr>
          <w:lang w:val="en-GB"/>
        </w:rPr>
        <w:t>: Rates of folate co-ordering with iron and vitamin B12</w:t>
      </w:r>
      <w:bookmarkEnd w:id="214"/>
    </w:p>
    <w:tbl>
      <w:tblPr>
        <w:tblW w:w="5000" w:type="pct"/>
        <w:tblInd w:w="8" w:type="dxa"/>
        <w:tblBorders>
          <w:top w:val="single" w:sz="4" w:space="0" w:color="auto"/>
          <w:bottom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Caption w:val="Figure 4: Rates of folate co-ordering with iron and vitamin B12"/>
        <w:tblDescription w:val="This figure shows 88 percent of all foalte tests are co-cordered with either iron or vitamin B12 or both and only 12 percent of folates tests are ordered in absence of iron or vitamin B12"/>
      </w:tblPr>
      <w:tblGrid>
        <w:gridCol w:w="8816"/>
      </w:tblGrid>
      <w:tr w:rsidR="00BE40E6" w:rsidRPr="00074D54" w14:paraId="0F54751C" w14:textId="77777777" w:rsidTr="00BE40E6">
        <w:trPr>
          <w:cantSplit/>
        </w:trPr>
        <w:tc>
          <w:tcPr>
            <w:tcW w:w="5000" w:type="pct"/>
            <w:tcBorders>
              <w:top w:val="single" w:sz="4" w:space="0" w:color="auto"/>
              <w:left w:val="nil"/>
              <w:bottom w:val="single" w:sz="4" w:space="0" w:color="auto"/>
              <w:right w:val="nil"/>
            </w:tcBorders>
            <w:hideMark/>
          </w:tcPr>
          <w:p w14:paraId="0449692C" w14:textId="77777777" w:rsidR="00BE40E6" w:rsidRPr="00074D54" w:rsidRDefault="00BE40E6">
            <w:pPr>
              <w:pStyle w:val="70exhtblnormal"/>
              <w:spacing w:before="20" w:after="20"/>
              <w:ind w:left="0" w:right="0"/>
              <w:outlineLvl w:val="5"/>
              <w:rPr>
                <w:rFonts w:eastAsiaTheme="minorHAnsi" w:cs="Arial"/>
                <w:b/>
                <w:bCs/>
                <w:i/>
              </w:rPr>
            </w:pPr>
            <w:r w:rsidRPr="00074D54">
              <w:rPr>
                <w:noProof/>
                <w:lang w:val="en-AU" w:eastAsia="en-AU"/>
              </w:rPr>
              <w:drawing>
                <wp:inline distT="0" distB="0" distL="0" distR="0" wp14:anchorId="016C6BC7" wp14:editId="5034E5A7">
                  <wp:extent cx="5559900" cy="3427013"/>
                  <wp:effectExtent l="0" t="0" r="3175" b="2540"/>
                  <wp:docPr id="10" name="Picture 10" descr="This is a bar graph showing each of the rates as follows: total episodes (733 or 100%); not co-claimed with Iron or B12, (88 or 12 %); co-claimed with Iron and B12 (244 or 33%); co-claimed with Iron (155 or 21%); Co-Claimed with B12 (246 or 34%)&#10;" title="Figure 5: Rates of folate co-ordering with iron and vitamin 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485" cy="3437852"/>
                          </a:xfrm>
                          <a:prstGeom prst="rect">
                            <a:avLst/>
                          </a:prstGeom>
                          <a:noFill/>
                          <a:ln>
                            <a:noFill/>
                          </a:ln>
                        </pic:spPr>
                      </pic:pic>
                    </a:graphicData>
                  </a:graphic>
                </wp:inline>
              </w:drawing>
            </w:r>
          </w:p>
        </w:tc>
      </w:tr>
    </w:tbl>
    <w:p w14:paraId="361D6886" w14:textId="77777777" w:rsidR="00BE40E6" w:rsidRPr="00074D54" w:rsidRDefault="00BE40E6" w:rsidP="00BE40E6">
      <w:pPr>
        <w:pStyle w:val="ListParagraph"/>
        <w:ind w:left="360"/>
        <w:rPr>
          <w:rFonts w:eastAsiaTheme="minorHAnsi" w:cs="Arial"/>
          <w:lang w:val="en-US"/>
        </w:rPr>
      </w:pPr>
      <w:r w:rsidRPr="00074D54">
        <w:rPr>
          <w:b/>
        </w:rPr>
        <w:t>Source:</w:t>
      </w:r>
      <w:r w:rsidRPr="00074D54">
        <w:t xml:space="preserve"> MBS data FY 15/16. Date of servicing</w:t>
      </w:r>
    </w:p>
    <w:p w14:paraId="213F9CBF" w14:textId="77777777" w:rsidR="009720E7" w:rsidRPr="009720E7" w:rsidRDefault="009720E7" w:rsidP="0029574B">
      <w:pPr>
        <w:pStyle w:val="NormalBulleted"/>
        <w:numPr>
          <w:ilvl w:val="0"/>
          <w:numId w:val="94"/>
        </w:numPr>
        <w:rPr>
          <w:lang w:val="en-GB"/>
        </w:rPr>
      </w:pPr>
      <w:r w:rsidRPr="00074D54">
        <w:rPr>
          <w:lang w:val="en-GB"/>
        </w:rPr>
        <w:lastRenderedPageBreak/>
        <w:t>The Committee agreed on the following:</w:t>
      </w:r>
    </w:p>
    <w:p w14:paraId="206D0A7B" w14:textId="77777777" w:rsidR="00242CF5" w:rsidRDefault="009720E7" w:rsidP="00AB3AC3">
      <w:pPr>
        <w:pStyle w:val="02dash"/>
        <w:numPr>
          <w:ilvl w:val="1"/>
          <w:numId w:val="64"/>
        </w:numPr>
        <w:spacing w:line="240" w:lineRule="auto"/>
        <w:ind w:right="0"/>
        <w:rPr>
          <w:lang w:val="en-GB"/>
        </w:rPr>
      </w:pPr>
      <w:r>
        <w:rPr>
          <w:lang w:val="en-GB"/>
        </w:rPr>
        <w:t>B</w:t>
      </w:r>
      <w:r w:rsidR="00BE40E6" w:rsidRPr="00074D54">
        <w:rPr>
          <w:lang w:val="en-GB"/>
        </w:rPr>
        <w:t xml:space="preserve">reaking the connection between vitamin B12 and folate testing is essential to reduce overuse of folate testing. Except in the context of proven </w:t>
      </w:r>
      <w:r w:rsidR="00875279">
        <w:rPr>
          <w:lang w:val="en-AU"/>
        </w:rPr>
        <w:t>macrocytosis</w:t>
      </w:r>
      <w:r w:rsidR="00BE40E6" w:rsidRPr="00074D54">
        <w:rPr>
          <w:lang w:val="en-GB"/>
        </w:rPr>
        <w:t>, the clinical indications for testing B12 and folate are quite different.</w:t>
      </w:r>
    </w:p>
    <w:p w14:paraId="1237C1EA" w14:textId="77777777" w:rsidR="00641DF3" w:rsidRDefault="00242CF5" w:rsidP="00AB3AC3">
      <w:pPr>
        <w:pStyle w:val="02dash"/>
        <w:numPr>
          <w:ilvl w:val="1"/>
          <w:numId w:val="64"/>
        </w:numPr>
        <w:spacing w:line="240" w:lineRule="auto"/>
        <w:ind w:right="0"/>
        <w:rPr>
          <w:lang w:val="en-GB"/>
        </w:rPr>
      </w:pPr>
      <w:r>
        <w:rPr>
          <w:lang w:val="en-GB"/>
        </w:rPr>
        <w:t>T</w:t>
      </w:r>
      <w:r w:rsidR="00BE40E6" w:rsidRPr="00242CF5">
        <w:rPr>
          <w:lang w:val="en-GB"/>
        </w:rPr>
        <w:t xml:space="preserve">here is no clinical requirement for folate testing to be repeated within 12 months of initial testing. </w:t>
      </w:r>
      <w:r w:rsidR="00641DF3">
        <w:rPr>
          <w:lang w:val="en-AU"/>
        </w:rPr>
        <w:t xml:space="preserve">Patients with </w:t>
      </w:r>
      <w:r w:rsidR="00875279">
        <w:rPr>
          <w:lang w:val="en-AU"/>
        </w:rPr>
        <w:t>macrocytosis</w:t>
      </w:r>
      <w:r w:rsidR="00641DF3">
        <w:rPr>
          <w:lang w:val="en-AU"/>
        </w:rPr>
        <w:t xml:space="preserve"> do not benefit from repeat folate testing, instead a full blood examination (</w:t>
      </w:r>
      <w:r w:rsidR="00641DF3" w:rsidRPr="00803FA5">
        <w:t xml:space="preserve">FBE) including mean cell volume (MCV) </w:t>
      </w:r>
      <w:r w:rsidR="00641DF3">
        <w:rPr>
          <w:lang w:val="en-AU"/>
        </w:rPr>
        <w:t>adequate.</w:t>
      </w:r>
    </w:p>
    <w:p w14:paraId="0016EE73" w14:textId="77777777" w:rsidR="00242CF5" w:rsidRPr="00641DF3" w:rsidRDefault="00641DF3" w:rsidP="00AB3AC3">
      <w:pPr>
        <w:pStyle w:val="02dash"/>
        <w:numPr>
          <w:ilvl w:val="1"/>
          <w:numId w:val="64"/>
        </w:numPr>
        <w:spacing w:line="240" w:lineRule="auto"/>
        <w:ind w:right="0"/>
        <w:rPr>
          <w:lang w:val="en-GB"/>
        </w:rPr>
      </w:pPr>
      <w:r w:rsidRPr="00242CF5">
        <w:rPr>
          <w:lang w:val="en-AU"/>
        </w:rPr>
        <w:t>Once folate deficiency is confirmed, treatment should be commenced</w:t>
      </w:r>
      <w:r>
        <w:rPr>
          <w:lang w:val="en-AU"/>
        </w:rPr>
        <w:t>; h</w:t>
      </w:r>
      <w:r w:rsidRPr="00242CF5">
        <w:rPr>
          <w:lang w:val="en-AU"/>
        </w:rPr>
        <w:t xml:space="preserve">owever, repeat folate testing to </w:t>
      </w:r>
      <w:r>
        <w:rPr>
          <w:lang w:val="en-AU"/>
        </w:rPr>
        <w:t>monitor</w:t>
      </w:r>
      <w:r w:rsidRPr="00242CF5">
        <w:rPr>
          <w:lang w:val="en-AU"/>
        </w:rPr>
        <w:t xml:space="preserve"> response to treatment is not clinically necessary and rarely contributes to patient management</w:t>
      </w:r>
      <w:r w:rsidR="00924EBF">
        <w:rPr>
          <w:lang w:val="en-AU"/>
        </w:rPr>
        <w:t xml:space="preserve"> </w:t>
      </w:r>
      <w:sdt>
        <w:sdtPr>
          <w:rPr>
            <w:lang w:val="en-AU"/>
          </w:rPr>
          <w:id w:val="1764038367"/>
          <w:citation/>
        </w:sdtPr>
        <w:sdtEndPr/>
        <w:sdtContent>
          <w:r w:rsidR="00924EBF">
            <w:rPr>
              <w:lang w:val="en-AU"/>
            </w:rPr>
            <w:fldChar w:fldCharType="begin"/>
          </w:r>
          <w:r w:rsidR="00924EBF">
            <w:rPr>
              <w:lang w:val="en-AU"/>
            </w:rPr>
            <w:instrText xml:space="preserve"> CITATION Dep14 \l 3081 </w:instrText>
          </w:r>
          <w:r w:rsidR="00924EBF">
            <w:rPr>
              <w:lang w:val="en-AU"/>
            </w:rPr>
            <w:fldChar w:fldCharType="separate"/>
          </w:r>
          <w:r w:rsidR="00B66BE1" w:rsidRPr="00B66BE1">
            <w:rPr>
              <w:noProof/>
              <w:lang w:val="en-AU"/>
            </w:rPr>
            <w:t>(10)</w:t>
          </w:r>
          <w:r w:rsidR="00924EBF">
            <w:rPr>
              <w:lang w:val="en-AU"/>
            </w:rPr>
            <w:fldChar w:fldCharType="end"/>
          </w:r>
        </w:sdtContent>
      </w:sdt>
      <w:r w:rsidRPr="00242CF5">
        <w:rPr>
          <w:lang w:val="en-AU"/>
        </w:rPr>
        <w:t>.</w:t>
      </w:r>
    </w:p>
    <w:p w14:paraId="0AC66D59" w14:textId="77777777" w:rsidR="00BE40E6" w:rsidRPr="00242CF5" w:rsidRDefault="00242CF5" w:rsidP="00AB3AC3">
      <w:pPr>
        <w:pStyle w:val="02dash"/>
        <w:numPr>
          <w:ilvl w:val="1"/>
          <w:numId w:val="64"/>
        </w:numPr>
        <w:spacing w:line="240" w:lineRule="auto"/>
        <w:ind w:right="0"/>
        <w:rPr>
          <w:lang w:val="en-GB"/>
        </w:rPr>
      </w:pPr>
      <w:r>
        <w:rPr>
          <w:lang w:val="en-GB"/>
        </w:rPr>
        <w:t>F</w:t>
      </w:r>
      <w:r w:rsidR="00BE40E6" w:rsidRPr="00242CF5">
        <w:rPr>
          <w:lang w:val="en-GB"/>
        </w:rPr>
        <w:t>olate testing s</w:t>
      </w:r>
      <w:r w:rsidR="00924EBF">
        <w:rPr>
          <w:lang w:val="en-GB"/>
        </w:rPr>
        <w:t>hould be limited to specific at-</w:t>
      </w:r>
      <w:r w:rsidR="00BE40E6" w:rsidRPr="00242CF5">
        <w:rPr>
          <w:lang w:val="en-GB"/>
        </w:rPr>
        <w:t xml:space="preserve">risk populations or when </w:t>
      </w:r>
      <w:r w:rsidR="00875279">
        <w:rPr>
          <w:lang w:val="en-AU"/>
        </w:rPr>
        <w:t>macrocytosis</w:t>
      </w:r>
      <w:r w:rsidR="00BE40E6" w:rsidRPr="00242CF5">
        <w:rPr>
          <w:lang w:val="en-GB"/>
        </w:rPr>
        <w:t xml:space="preserve"> is proven. However, the current item restrictions which reflect this appear to have had little impact on the practices of requesting clinicians.</w:t>
      </w:r>
      <w:r w:rsidR="00641DF3">
        <w:rPr>
          <w:lang w:val="en-GB"/>
        </w:rPr>
        <w:t xml:space="preserve"> </w:t>
      </w:r>
      <w:r w:rsidR="00641DF3" w:rsidRPr="00074D54">
        <w:rPr>
          <w:lang w:val="en-GB"/>
        </w:rPr>
        <w:t>The Committee recommended removing</w:t>
      </w:r>
      <w:r w:rsidR="00641DF3">
        <w:rPr>
          <w:lang w:val="en-GB"/>
        </w:rPr>
        <w:t xml:space="preserve"> the phrase</w:t>
      </w:r>
      <w:r w:rsidR="00641DF3" w:rsidRPr="00074D54">
        <w:rPr>
          <w:lang w:val="en-GB"/>
        </w:rPr>
        <w:t xml:space="preserve"> ‘at risk of folate deficiency’ from the </w:t>
      </w:r>
      <w:r w:rsidR="00641DF3">
        <w:rPr>
          <w:lang w:val="en-GB"/>
        </w:rPr>
        <w:t>current item descriptor because it may</w:t>
      </w:r>
      <w:r w:rsidR="00641DF3" w:rsidRPr="00074D54">
        <w:rPr>
          <w:lang w:val="en-GB"/>
        </w:rPr>
        <w:t xml:space="preserve"> le</w:t>
      </w:r>
      <w:r w:rsidR="00641DF3">
        <w:rPr>
          <w:lang w:val="en-GB"/>
        </w:rPr>
        <w:t>ad</w:t>
      </w:r>
      <w:r w:rsidR="00641DF3" w:rsidRPr="00074D54">
        <w:rPr>
          <w:lang w:val="en-GB"/>
        </w:rPr>
        <w:t xml:space="preserve"> to over-testing</w:t>
      </w:r>
      <w:r w:rsidR="00E70882">
        <w:rPr>
          <w:lang w:val="en-GB"/>
        </w:rPr>
        <w:t xml:space="preserve"> and felt that</w:t>
      </w:r>
      <w:r w:rsidR="00641DF3">
        <w:rPr>
          <w:lang w:val="en-GB"/>
        </w:rPr>
        <w:t xml:space="preserve"> o</w:t>
      </w:r>
      <w:r w:rsidR="00641DF3" w:rsidRPr="00074D54">
        <w:rPr>
          <w:lang w:val="en-GB"/>
        </w:rPr>
        <w:t xml:space="preserve">nly patients with </w:t>
      </w:r>
      <w:r w:rsidR="00875279">
        <w:rPr>
          <w:lang w:val="en-AU"/>
        </w:rPr>
        <w:t>macrocytosis</w:t>
      </w:r>
      <w:r w:rsidR="00875279" w:rsidRPr="00074D54">
        <w:rPr>
          <w:lang w:val="en-GB"/>
        </w:rPr>
        <w:t xml:space="preserve"> </w:t>
      </w:r>
      <w:r w:rsidR="00641DF3" w:rsidRPr="00074D54">
        <w:rPr>
          <w:lang w:val="en-GB"/>
        </w:rPr>
        <w:t>or malabsor</w:t>
      </w:r>
      <w:r w:rsidR="00641DF3">
        <w:rPr>
          <w:lang w:val="en-GB"/>
        </w:rPr>
        <w:t>ption conditions should be tested.</w:t>
      </w:r>
    </w:p>
    <w:p w14:paraId="795DB251" w14:textId="77777777" w:rsidR="00BE40E6" w:rsidRPr="00074D54" w:rsidRDefault="00F01545" w:rsidP="00AB3AC3">
      <w:pPr>
        <w:pStyle w:val="02dash"/>
        <w:numPr>
          <w:ilvl w:val="1"/>
          <w:numId w:val="64"/>
        </w:numPr>
        <w:spacing w:line="240" w:lineRule="auto"/>
        <w:ind w:right="0"/>
        <w:rPr>
          <w:lang w:val="en-GB"/>
        </w:rPr>
      </w:pPr>
      <w:r>
        <w:rPr>
          <w:lang w:val="en-GB"/>
        </w:rPr>
        <w:t xml:space="preserve">Folate </w:t>
      </w:r>
      <w:r w:rsidR="00BE40E6" w:rsidRPr="00074D54">
        <w:rPr>
          <w:lang w:val="en-GB"/>
        </w:rPr>
        <w:t xml:space="preserve">supplementation is recommended for all </w:t>
      </w:r>
      <w:r>
        <w:rPr>
          <w:lang w:val="en-GB"/>
        </w:rPr>
        <w:t xml:space="preserve">pregnant women </w:t>
      </w:r>
      <w:r w:rsidRPr="00074D54">
        <w:rPr>
          <w:lang w:val="en-GB"/>
        </w:rPr>
        <w:t>in the first trimester</w:t>
      </w:r>
      <w:r>
        <w:rPr>
          <w:lang w:val="en-GB"/>
        </w:rPr>
        <w:t xml:space="preserve"> and even for </w:t>
      </w:r>
      <w:r w:rsidRPr="00875279">
        <w:rPr>
          <w:lang w:val="en-GB"/>
        </w:rPr>
        <w:t>those planning pregnancy</w:t>
      </w:r>
      <w:r>
        <w:rPr>
          <w:lang w:val="en-GB"/>
        </w:rPr>
        <w:t xml:space="preserve"> making</w:t>
      </w:r>
      <w:r w:rsidR="00BE40E6" w:rsidRPr="00074D54">
        <w:rPr>
          <w:lang w:val="en-GB"/>
        </w:rPr>
        <w:t xml:space="preserve"> testing unnecessary. </w:t>
      </w:r>
    </w:p>
    <w:p w14:paraId="1A8EC3C2" w14:textId="77777777" w:rsidR="00BE40E6" w:rsidRPr="00074D54" w:rsidRDefault="00BE40E6" w:rsidP="000B2FBB">
      <w:pPr>
        <w:rPr>
          <w:lang w:val="en-GB"/>
        </w:rPr>
      </w:pPr>
      <w:r w:rsidRPr="00074D54">
        <w:rPr>
          <w:lang w:val="en-GB"/>
        </w:rPr>
        <w:br w:type="page"/>
      </w:r>
    </w:p>
    <w:p w14:paraId="71F8B454" w14:textId="77777777" w:rsidR="00BE40E6" w:rsidRPr="00074D54" w:rsidRDefault="00BE40E6" w:rsidP="00291FF0">
      <w:pPr>
        <w:pStyle w:val="Heading2"/>
        <w:keepLines/>
        <w:spacing w:before="280" w:line="240" w:lineRule="auto"/>
        <w:ind w:left="0" w:firstLine="0"/>
        <w:rPr>
          <w:lang w:val="en-GB"/>
        </w:rPr>
      </w:pPr>
      <w:bookmarkStart w:id="215" w:name="_Toc522396650"/>
      <w:bookmarkStart w:id="216" w:name="_Toc525816090"/>
      <w:r w:rsidRPr="00074D54">
        <w:rPr>
          <w:lang w:val="en-GB"/>
        </w:rPr>
        <w:lastRenderedPageBreak/>
        <w:t>Urine testing item group</w:t>
      </w:r>
      <w:bookmarkEnd w:id="215"/>
      <w:bookmarkEnd w:id="216"/>
    </w:p>
    <w:p w14:paraId="6D2AE5F6" w14:textId="77777777" w:rsidR="00BE40E6" w:rsidRPr="00074D54" w:rsidRDefault="00BE40E6" w:rsidP="00B42913">
      <w:pPr>
        <w:pStyle w:val="Heading3Numbered0"/>
        <w:rPr>
          <w:lang w:val="en-GB"/>
        </w:rPr>
      </w:pPr>
      <w:bookmarkStart w:id="217" w:name="_Toc522396651"/>
      <w:bookmarkStart w:id="218" w:name="_Toc525816091"/>
      <w:r w:rsidRPr="00074D54">
        <w:rPr>
          <w:lang w:val="en-GB"/>
        </w:rPr>
        <w:t>Items 69300, 69333 and 73085</w:t>
      </w:r>
      <w:bookmarkEnd w:id="217"/>
      <w:bookmarkEnd w:id="218"/>
    </w:p>
    <w:p w14:paraId="21C4FA7E" w14:textId="77777777" w:rsidR="00BE40E6" w:rsidRPr="00074D54" w:rsidRDefault="00EB0974" w:rsidP="00EB0974">
      <w:pPr>
        <w:pStyle w:val="Caption"/>
        <w:rPr>
          <w:lang w:val="en-GB"/>
        </w:rPr>
      </w:pPr>
      <w:bookmarkStart w:id="219" w:name="_Toc525816962"/>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6</w:t>
      </w:r>
      <w:r w:rsidR="00AF6A7F">
        <w:rPr>
          <w:noProof/>
        </w:rPr>
        <w:fldChar w:fldCharType="end"/>
      </w:r>
      <w:r w:rsidR="00BE40E6" w:rsidRPr="00074D54">
        <w:t xml:space="preserve">: </w:t>
      </w:r>
      <w:r w:rsidR="000028AB">
        <w:rPr>
          <w:lang w:val="en-GB"/>
        </w:rPr>
        <w:t>Services and benefits data for items</w:t>
      </w:r>
      <w:r w:rsidR="00BE40E6" w:rsidRPr="00074D54">
        <w:rPr>
          <w:lang w:val="en-GB"/>
        </w:rPr>
        <w:t xml:space="preserve"> 69300, 69333 and 73085</w:t>
      </w:r>
      <w:bookmarkEnd w:id="219"/>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 Item introduction table for items 69300, 69333 and 73085"/>
        <w:tblDescription w:val="Table 6 shows the standara data for urine microscopy (item 69300), urine examination (item 69333) and microscopy of urine (item 73805). Included is the Schedule fee for each item, the total number of services and total amount of benefits paid for the items over the financial year 2014-15, as well the value for average growth over the preceding five years."/>
      </w:tblPr>
      <w:tblGrid>
        <w:gridCol w:w="679"/>
        <w:gridCol w:w="3418"/>
        <w:gridCol w:w="902"/>
        <w:gridCol w:w="1069"/>
        <w:gridCol w:w="1137"/>
        <w:gridCol w:w="1097"/>
      </w:tblGrid>
      <w:tr w:rsidR="00BE40E6" w:rsidRPr="00074D54" w14:paraId="00452626" w14:textId="77777777" w:rsidTr="00BE40E6">
        <w:trPr>
          <w:tblHeader/>
        </w:trPr>
        <w:tc>
          <w:tcPr>
            <w:tcW w:w="70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CCA6B73"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39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C88CCAF"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7210800"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3"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93CCB34"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158"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C4C769D"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74"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6C6F2E03"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6B3E95EE"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77D5396C"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69300</w:t>
            </w:r>
          </w:p>
        </w:tc>
        <w:tc>
          <w:tcPr>
            <w:tcW w:w="3958" w:type="dxa"/>
            <w:tcBorders>
              <w:top w:val="single" w:sz="4" w:space="0" w:color="808080"/>
              <w:left w:val="single" w:sz="4" w:space="0" w:color="808080"/>
              <w:bottom w:val="single" w:sz="4" w:space="0" w:color="808080"/>
              <w:right w:val="single" w:sz="4" w:space="0" w:color="808080"/>
            </w:tcBorders>
            <w:vAlign w:val="bottom"/>
            <w:hideMark/>
          </w:tcPr>
          <w:p w14:paraId="4A08D839"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Microscopy of wet film material other than blood, from 1 or more sites, obtained directly from a patient (not cultures) including:</w:t>
            </w:r>
            <w:r w:rsidRPr="00074D54">
              <w:rPr>
                <w:rFonts w:ascii="Arial" w:eastAsiaTheme="minorHAnsi" w:hAnsi="Arial" w:cs="Arial"/>
                <w:bCs/>
                <w:sz w:val="18"/>
                <w:szCs w:val="18"/>
                <w:lang w:val="en-GB" w:eastAsia="en-US"/>
              </w:rPr>
              <w:br/>
            </w:r>
            <w:r w:rsidRPr="00074D54">
              <w:rPr>
                <w:rFonts w:ascii="Arial" w:eastAsiaTheme="minorHAnsi" w:hAnsi="Arial" w:cs="Arial"/>
                <w:sz w:val="18"/>
                <w:szCs w:val="18"/>
                <w:lang w:val="en-GB" w:eastAsia="en-US"/>
              </w:rPr>
              <w:t>a) differential cell count (if performed); or</w:t>
            </w:r>
            <w:r w:rsidRPr="00074D54">
              <w:rPr>
                <w:rFonts w:ascii="Arial" w:eastAsiaTheme="minorHAnsi" w:hAnsi="Arial" w:cs="Arial"/>
                <w:sz w:val="18"/>
                <w:szCs w:val="18"/>
                <w:lang w:val="en-GB" w:eastAsia="en-US"/>
              </w:rPr>
              <w:br/>
              <w:t>b) examination for dermatophytes; or</w:t>
            </w:r>
            <w:r w:rsidRPr="00074D54">
              <w:rPr>
                <w:rFonts w:ascii="Arial" w:eastAsiaTheme="minorHAnsi" w:hAnsi="Arial" w:cs="Arial"/>
                <w:sz w:val="18"/>
                <w:szCs w:val="18"/>
                <w:lang w:val="en-GB" w:eastAsia="en-US"/>
              </w:rPr>
              <w:br/>
              <w:t>c) dark ground illumination; or</w:t>
            </w:r>
            <w:r w:rsidRPr="00074D54">
              <w:rPr>
                <w:rFonts w:ascii="Arial" w:eastAsiaTheme="minorHAnsi" w:hAnsi="Arial" w:cs="Arial"/>
                <w:sz w:val="18"/>
                <w:szCs w:val="18"/>
                <w:lang w:val="en-GB" w:eastAsia="en-US"/>
              </w:rPr>
              <w:br/>
              <w:t>d) stained preparation or preparations using any relevant stain or stains’</w:t>
            </w:r>
          </w:p>
          <w:p w14:paraId="505BF1D3" w14:textId="77777777" w:rsidR="00BE40E6" w:rsidRPr="00074D54" w:rsidRDefault="00BE40E6">
            <w:pPr>
              <w:spacing w:before="200"/>
              <w:rPr>
                <w:lang w:val="en-GB" w:eastAsia="en-US"/>
              </w:rPr>
            </w:pPr>
            <w:r w:rsidRPr="00074D54">
              <w:rPr>
                <w:rFonts w:ascii="Arial" w:eastAsiaTheme="minorHAnsi" w:hAnsi="Arial" w:cs="Arial"/>
                <w:sz w:val="18"/>
                <w:szCs w:val="18"/>
                <w:lang w:val="en-GB" w:eastAsia="en-US"/>
              </w:rPr>
              <w:t>1 or more tests</w:t>
            </w:r>
          </w:p>
        </w:tc>
        <w:tc>
          <w:tcPr>
            <w:tcW w:w="914" w:type="dxa"/>
            <w:tcBorders>
              <w:top w:val="single" w:sz="4" w:space="0" w:color="808080"/>
              <w:left w:val="single" w:sz="4" w:space="0" w:color="808080"/>
              <w:bottom w:val="single" w:sz="4" w:space="0" w:color="808080"/>
              <w:right w:val="single" w:sz="4" w:space="0" w:color="808080"/>
            </w:tcBorders>
            <w:hideMark/>
          </w:tcPr>
          <w:p w14:paraId="725913C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$12.50</w:t>
            </w:r>
          </w:p>
        </w:tc>
        <w:tc>
          <w:tcPr>
            <w:tcW w:w="1103" w:type="dxa"/>
            <w:tcBorders>
              <w:top w:val="single" w:sz="4" w:space="0" w:color="808080"/>
              <w:left w:val="single" w:sz="4" w:space="0" w:color="808080"/>
              <w:bottom w:val="single" w:sz="4" w:space="0" w:color="808080"/>
              <w:right w:val="single" w:sz="4" w:space="0" w:color="808080"/>
            </w:tcBorders>
            <w:hideMark/>
          </w:tcPr>
          <w:p w14:paraId="5E598BBE"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22,239</w:t>
            </w:r>
          </w:p>
        </w:tc>
        <w:tc>
          <w:tcPr>
            <w:tcW w:w="1158" w:type="dxa"/>
            <w:tcBorders>
              <w:top w:val="single" w:sz="4" w:space="0" w:color="808080"/>
              <w:left w:val="single" w:sz="4" w:space="0" w:color="808080"/>
              <w:bottom w:val="single" w:sz="4" w:space="0" w:color="808080"/>
              <w:right w:val="single" w:sz="4" w:space="0" w:color="808080"/>
            </w:tcBorders>
            <w:hideMark/>
          </w:tcPr>
          <w:p w14:paraId="2C52E3F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$231,054</w:t>
            </w:r>
          </w:p>
        </w:tc>
        <w:tc>
          <w:tcPr>
            <w:tcW w:w="1174" w:type="dxa"/>
            <w:tcBorders>
              <w:top w:val="single" w:sz="4" w:space="0" w:color="808080"/>
              <w:left w:val="single" w:sz="4" w:space="0" w:color="808080"/>
              <w:bottom w:val="single" w:sz="4" w:space="0" w:color="808080"/>
              <w:right w:val="single" w:sz="4" w:space="0" w:color="808080"/>
            </w:tcBorders>
            <w:hideMark/>
          </w:tcPr>
          <w:p w14:paraId="03017DA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9.2%</w:t>
            </w:r>
          </w:p>
        </w:tc>
      </w:tr>
      <w:tr w:rsidR="00BE40E6" w:rsidRPr="00074D54" w14:paraId="5E77C0FE"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5B0ACDFD"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69333</w:t>
            </w:r>
          </w:p>
        </w:tc>
        <w:tc>
          <w:tcPr>
            <w:tcW w:w="3958" w:type="dxa"/>
            <w:tcBorders>
              <w:top w:val="single" w:sz="4" w:space="0" w:color="808080"/>
              <w:left w:val="single" w:sz="4" w:space="0" w:color="808080"/>
              <w:bottom w:val="single" w:sz="4" w:space="0" w:color="808080"/>
              <w:right w:val="single" w:sz="4" w:space="0" w:color="808080"/>
            </w:tcBorders>
            <w:vAlign w:val="bottom"/>
            <w:hideMark/>
          </w:tcPr>
          <w:p w14:paraId="488D3D80"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Urine examination (including serial examination) by any means other than simple culture by dip slide, including:</w:t>
            </w:r>
          </w:p>
          <w:p w14:paraId="6D7D2220"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a) cell count; and</w:t>
            </w:r>
          </w:p>
          <w:p w14:paraId="74932287"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b) culture; and</w:t>
            </w:r>
          </w:p>
          <w:p w14:paraId="4BA08D74"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c) colony count; and</w:t>
            </w:r>
          </w:p>
          <w:p w14:paraId="695F7115"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d) (if performed) stained preparations; and</w:t>
            </w:r>
          </w:p>
          <w:p w14:paraId="0D821995"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e) (if performed) identification of cultured pathogens; and</w:t>
            </w:r>
          </w:p>
          <w:p w14:paraId="531C32A2"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f) (if performed) antibiotic susceptibility testing; and</w:t>
            </w:r>
          </w:p>
          <w:p w14:paraId="7BCF51F5"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g) (if performed) examination for pH, specific gravity, blood, protein, urobilinogen, sugar, acetone or bile salts</w:t>
            </w:r>
          </w:p>
        </w:tc>
        <w:tc>
          <w:tcPr>
            <w:tcW w:w="914" w:type="dxa"/>
            <w:tcBorders>
              <w:top w:val="single" w:sz="4" w:space="0" w:color="808080"/>
              <w:left w:val="single" w:sz="4" w:space="0" w:color="808080"/>
              <w:bottom w:val="single" w:sz="4" w:space="0" w:color="808080"/>
              <w:right w:val="single" w:sz="4" w:space="0" w:color="808080"/>
            </w:tcBorders>
            <w:hideMark/>
          </w:tcPr>
          <w:p w14:paraId="5B880D6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$20.55</w:t>
            </w:r>
          </w:p>
        </w:tc>
        <w:tc>
          <w:tcPr>
            <w:tcW w:w="1103" w:type="dxa"/>
            <w:tcBorders>
              <w:top w:val="single" w:sz="4" w:space="0" w:color="808080"/>
              <w:left w:val="single" w:sz="4" w:space="0" w:color="808080"/>
              <w:bottom w:val="single" w:sz="4" w:space="0" w:color="808080"/>
              <w:right w:val="single" w:sz="4" w:space="0" w:color="808080"/>
            </w:tcBorders>
            <w:hideMark/>
          </w:tcPr>
          <w:p w14:paraId="0D77FE5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4,520,369</w:t>
            </w:r>
          </w:p>
        </w:tc>
        <w:tc>
          <w:tcPr>
            <w:tcW w:w="1158" w:type="dxa"/>
            <w:tcBorders>
              <w:top w:val="single" w:sz="4" w:space="0" w:color="808080"/>
              <w:left w:val="single" w:sz="4" w:space="0" w:color="808080"/>
              <w:bottom w:val="single" w:sz="4" w:space="0" w:color="808080"/>
              <w:right w:val="single" w:sz="4" w:space="0" w:color="808080"/>
            </w:tcBorders>
            <w:hideMark/>
          </w:tcPr>
          <w:p w14:paraId="4F643C9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$78,614,348</w:t>
            </w:r>
          </w:p>
        </w:tc>
        <w:tc>
          <w:tcPr>
            <w:tcW w:w="1174" w:type="dxa"/>
            <w:tcBorders>
              <w:top w:val="single" w:sz="4" w:space="0" w:color="808080"/>
              <w:left w:val="single" w:sz="4" w:space="0" w:color="808080"/>
              <w:bottom w:val="single" w:sz="4" w:space="0" w:color="808080"/>
              <w:right w:val="single" w:sz="4" w:space="0" w:color="808080"/>
            </w:tcBorders>
            <w:hideMark/>
          </w:tcPr>
          <w:p w14:paraId="537584E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4.8%</w:t>
            </w:r>
          </w:p>
        </w:tc>
      </w:tr>
      <w:tr w:rsidR="00BE40E6" w:rsidRPr="00074D54" w14:paraId="04227C2F" w14:textId="77777777" w:rsidTr="00DA51D1">
        <w:tc>
          <w:tcPr>
            <w:tcW w:w="709" w:type="dxa"/>
            <w:tcBorders>
              <w:top w:val="single" w:sz="4" w:space="0" w:color="808080"/>
              <w:left w:val="single" w:sz="4" w:space="0" w:color="808080"/>
              <w:bottom w:val="single" w:sz="4" w:space="0" w:color="808080"/>
              <w:right w:val="single" w:sz="4" w:space="0" w:color="808080"/>
            </w:tcBorders>
            <w:vAlign w:val="center"/>
            <w:hideMark/>
          </w:tcPr>
          <w:p w14:paraId="3333C9E2"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73805</w:t>
            </w:r>
          </w:p>
        </w:tc>
        <w:tc>
          <w:tcPr>
            <w:tcW w:w="3958" w:type="dxa"/>
            <w:tcBorders>
              <w:top w:val="single" w:sz="4" w:space="0" w:color="808080"/>
              <w:left w:val="single" w:sz="4" w:space="0" w:color="808080"/>
              <w:bottom w:val="single" w:sz="4" w:space="0" w:color="808080"/>
              <w:right w:val="single" w:sz="4" w:space="0" w:color="808080"/>
            </w:tcBorders>
            <w:vAlign w:val="bottom"/>
            <w:hideMark/>
          </w:tcPr>
          <w:p w14:paraId="64D4B55F"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Microscopy of urine, whether stained or not, or catalase test</w:t>
            </w:r>
            <w:r w:rsidRPr="00074D54">
              <w:rPr>
                <w:rFonts w:ascii="Arial" w:eastAsiaTheme="minorHAnsi" w:hAnsi="Arial" w:cs="Arial"/>
                <w:bCs/>
                <w:sz w:val="18"/>
                <w:szCs w:val="18"/>
                <w:lang w:val="en-GB" w:eastAsia="en-US"/>
              </w:rPr>
              <w:br/>
            </w:r>
          </w:p>
          <w:p w14:paraId="4F3EE849" w14:textId="77777777" w:rsidR="00BE40E6" w:rsidRPr="00074D54" w:rsidRDefault="00BE40E6">
            <w:pPr>
              <w:spacing w:before="20" w:after="20"/>
              <w:rPr>
                <w:rFonts w:ascii="Arial" w:eastAsiaTheme="minorHAnsi" w:hAnsi="Arial" w:cs="Arial"/>
                <w:bCs/>
                <w:sz w:val="18"/>
                <w:szCs w:val="18"/>
                <w:lang w:val="en-GB" w:eastAsia="en-US"/>
              </w:rPr>
            </w:pPr>
            <w:r w:rsidRPr="00074D54">
              <w:rPr>
                <w:rFonts w:ascii="Arial" w:eastAsiaTheme="minorHAnsi" w:hAnsi="Arial" w:cs="Arial"/>
                <w:bCs/>
                <w:sz w:val="18"/>
                <w:szCs w:val="18"/>
                <w:lang w:val="en-GB" w:eastAsia="en-US"/>
              </w:rPr>
              <w:t>NB: Group P9 – Simple Basic Pathology Tests - These are simple basic pathology services which are included in Group P9 and may be performed by a medical practitioner in the practitioner's surgery without the need to obtain Approved Pathology Authority, Approved Pathology Practitioner or Accredited Pathology Laboratory status.</w:t>
            </w:r>
          </w:p>
        </w:tc>
        <w:tc>
          <w:tcPr>
            <w:tcW w:w="914" w:type="dxa"/>
            <w:tcBorders>
              <w:top w:val="single" w:sz="4" w:space="0" w:color="808080"/>
              <w:left w:val="single" w:sz="4" w:space="0" w:color="808080"/>
              <w:bottom w:val="single" w:sz="4" w:space="0" w:color="808080"/>
              <w:right w:val="single" w:sz="4" w:space="0" w:color="808080"/>
            </w:tcBorders>
            <w:hideMark/>
          </w:tcPr>
          <w:p w14:paraId="3B620C2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$4.55</w:t>
            </w:r>
          </w:p>
        </w:tc>
        <w:tc>
          <w:tcPr>
            <w:tcW w:w="1103" w:type="dxa"/>
            <w:tcBorders>
              <w:top w:val="single" w:sz="4" w:space="0" w:color="808080"/>
              <w:left w:val="single" w:sz="4" w:space="0" w:color="808080"/>
              <w:bottom w:val="single" w:sz="4" w:space="0" w:color="808080"/>
              <w:right w:val="single" w:sz="4" w:space="0" w:color="808080"/>
            </w:tcBorders>
            <w:hideMark/>
          </w:tcPr>
          <w:p w14:paraId="3B788FD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134,481</w:t>
            </w:r>
          </w:p>
        </w:tc>
        <w:tc>
          <w:tcPr>
            <w:tcW w:w="1158" w:type="dxa"/>
            <w:tcBorders>
              <w:top w:val="single" w:sz="4" w:space="0" w:color="808080"/>
              <w:left w:val="single" w:sz="4" w:space="0" w:color="808080"/>
              <w:bottom w:val="single" w:sz="4" w:space="0" w:color="808080"/>
              <w:right w:val="single" w:sz="4" w:space="0" w:color="808080"/>
            </w:tcBorders>
            <w:hideMark/>
          </w:tcPr>
          <w:p w14:paraId="1B328E3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$525,844</w:t>
            </w:r>
          </w:p>
        </w:tc>
        <w:tc>
          <w:tcPr>
            <w:tcW w:w="1174" w:type="dxa"/>
            <w:tcBorders>
              <w:top w:val="single" w:sz="4" w:space="0" w:color="808080"/>
              <w:left w:val="single" w:sz="4" w:space="0" w:color="808080"/>
              <w:bottom w:val="single" w:sz="4" w:space="0" w:color="808080"/>
              <w:right w:val="single" w:sz="4" w:space="0" w:color="808080"/>
            </w:tcBorders>
            <w:hideMark/>
          </w:tcPr>
          <w:p w14:paraId="7D85769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1.2%</w:t>
            </w:r>
          </w:p>
        </w:tc>
      </w:tr>
    </w:tbl>
    <w:p w14:paraId="3A02D2F1" w14:textId="77777777" w:rsidR="00BE40E6" w:rsidRPr="00074D54" w:rsidRDefault="00BE40E6" w:rsidP="00BE40E6">
      <w:pPr>
        <w:keepNext/>
        <w:keepLines/>
        <w:spacing w:before="240"/>
        <w:rPr>
          <w:b/>
          <w:szCs w:val="22"/>
          <w:lang w:val="en-GB"/>
        </w:rPr>
      </w:pPr>
      <w:r w:rsidRPr="00074D54">
        <w:rPr>
          <w:b/>
          <w:szCs w:val="22"/>
          <w:lang w:val="en-GB"/>
        </w:rPr>
        <w:lastRenderedPageBreak/>
        <w:t>Recommendation</w:t>
      </w:r>
      <w:r w:rsidR="006E404A">
        <w:rPr>
          <w:b/>
          <w:szCs w:val="22"/>
          <w:lang w:val="en-GB"/>
        </w:rPr>
        <w:t>s</w:t>
      </w:r>
      <w:r w:rsidRPr="00074D54">
        <w:rPr>
          <w:b/>
          <w:szCs w:val="22"/>
          <w:lang w:val="en-GB"/>
        </w:rPr>
        <w:t xml:space="preserve"> </w:t>
      </w:r>
    </w:p>
    <w:p w14:paraId="1963466A" w14:textId="77777777" w:rsidR="00BE40E6" w:rsidRPr="00632ED6" w:rsidRDefault="00BE40E6" w:rsidP="002818C3">
      <w:pPr>
        <w:pStyle w:val="NormalBulleted"/>
        <w:numPr>
          <w:ilvl w:val="0"/>
          <w:numId w:val="108"/>
        </w:numPr>
        <w:rPr>
          <w:lang w:val="en-GB"/>
        </w:rPr>
      </w:pPr>
      <w:r w:rsidRPr="00632ED6">
        <w:rPr>
          <w:lang w:val="en-GB"/>
        </w:rPr>
        <w:t>Change the descriptor</w:t>
      </w:r>
      <w:r w:rsidR="00632ED6">
        <w:rPr>
          <w:lang w:val="en-GB"/>
        </w:rPr>
        <w:t xml:space="preserve"> of item 69333</w:t>
      </w:r>
      <w:r w:rsidRPr="00632ED6">
        <w:rPr>
          <w:lang w:val="en-GB"/>
        </w:rPr>
        <w:t xml:space="preserve"> to reflect the Committee’s position that the urine of asymptomatic patients should not be tested, with the exception of:</w:t>
      </w:r>
    </w:p>
    <w:p w14:paraId="10910257" w14:textId="77777777" w:rsidR="00BE40E6" w:rsidRPr="00632ED6" w:rsidRDefault="00BE40E6" w:rsidP="00632ED6">
      <w:pPr>
        <w:pStyle w:val="02dash"/>
        <w:numPr>
          <w:ilvl w:val="1"/>
          <w:numId w:val="64"/>
        </w:numPr>
        <w:spacing w:line="240" w:lineRule="auto"/>
        <w:ind w:right="0"/>
        <w:rPr>
          <w:lang w:val="en-GB"/>
        </w:rPr>
      </w:pPr>
      <w:r w:rsidRPr="00632ED6">
        <w:rPr>
          <w:lang w:val="en-GB"/>
        </w:rPr>
        <w:tab/>
        <w:t>Pregnant women</w:t>
      </w:r>
    </w:p>
    <w:p w14:paraId="26136F11" w14:textId="77777777" w:rsidR="00BE40E6" w:rsidRPr="002C2397" w:rsidRDefault="00BE40E6" w:rsidP="00632ED6">
      <w:pPr>
        <w:pStyle w:val="02dash"/>
        <w:numPr>
          <w:ilvl w:val="1"/>
          <w:numId w:val="64"/>
        </w:numPr>
        <w:spacing w:line="240" w:lineRule="auto"/>
        <w:ind w:right="0"/>
        <w:rPr>
          <w:lang w:val="en-GB"/>
        </w:rPr>
      </w:pPr>
      <w:r w:rsidRPr="002C2397">
        <w:rPr>
          <w:lang w:val="en-GB"/>
        </w:rPr>
        <w:t>Children (under the age of 16)</w:t>
      </w:r>
    </w:p>
    <w:p w14:paraId="5298A023" w14:textId="77777777" w:rsidR="00BE40E6" w:rsidRPr="002C2397" w:rsidRDefault="00BE40E6" w:rsidP="00632ED6">
      <w:pPr>
        <w:pStyle w:val="02dash"/>
        <w:numPr>
          <w:ilvl w:val="1"/>
          <w:numId w:val="64"/>
        </w:numPr>
        <w:spacing w:line="240" w:lineRule="auto"/>
        <w:ind w:right="0"/>
        <w:rPr>
          <w:lang w:val="en-GB"/>
        </w:rPr>
      </w:pPr>
      <w:r w:rsidRPr="002C2397">
        <w:rPr>
          <w:lang w:val="en-GB"/>
        </w:rPr>
        <w:t>Patients undergoing urinary tract instrumentation or urological procedures</w:t>
      </w:r>
      <w:r w:rsidR="00AF0179">
        <w:rPr>
          <w:lang w:val="en-GB"/>
        </w:rPr>
        <w:t xml:space="preserve">, including for </w:t>
      </w:r>
      <w:r w:rsidR="00AF0179" w:rsidRPr="002C2397">
        <w:rPr>
          <w:lang w:val="en-GB"/>
        </w:rPr>
        <w:t xml:space="preserve">stone disease </w:t>
      </w:r>
      <w:r w:rsidR="00AF0179">
        <w:rPr>
          <w:lang w:val="en-GB"/>
        </w:rPr>
        <w:t>such as</w:t>
      </w:r>
      <w:r w:rsidR="00AF0179" w:rsidRPr="002C2397">
        <w:rPr>
          <w:lang w:val="en-GB"/>
        </w:rPr>
        <w:t xml:space="preserve"> urolithiasis and nephrolithiasis</w:t>
      </w:r>
    </w:p>
    <w:p w14:paraId="44444B10" w14:textId="77777777" w:rsidR="00BE40E6" w:rsidRPr="00074D54" w:rsidRDefault="00BE40E6" w:rsidP="00632ED6">
      <w:pPr>
        <w:pStyle w:val="02dash"/>
        <w:numPr>
          <w:ilvl w:val="1"/>
          <w:numId w:val="64"/>
        </w:numPr>
        <w:spacing w:line="240" w:lineRule="auto"/>
        <w:ind w:right="0"/>
        <w:rPr>
          <w:lang w:val="en-GB"/>
        </w:rPr>
      </w:pPr>
      <w:r w:rsidRPr="00074D54">
        <w:rPr>
          <w:lang w:val="en-GB"/>
        </w:rPr>
        <w:t>Men undergoing transurethral resection of the prostate</w:t>
      </w:r>
    </w:p>
    <w:p w14:paraId="0B007151" w14:textId="77777777" w:rsidR="00BE40E6" w:rsidRPr="002C2397" w:rsidRDefault="00BE40E6" w:rsidP="00632ED6">
      <w:pPr>
        <w:pStyle w:val="02dash"/>
        <w:numPr>
          <w:ilvl w:val="1"/>
          <w:numId w:val="64"/>
        </w:numPr>
        <w:spacing w:line="240" w:lineRule="auto"/>
        <w:ind w:right="0"/>
        <w:rPr>
          <w:lang w:val="en-GB"/>
        </w:rPr>
      </w:pPr>
      <w:r w:rsidRPr="002C2397">
        <w:rPr>
          <w:lang w:val="en-GB"/>
        </w:rPr>
        <w:t>R</w:t>
      </w:r>
      <w:r w:rsidR="00DD5673" w:rsidRPr="002C2397">
        <w:rPr>
          <w:lang w:val="en-GB"/>
        </w:rPr>
        <w:t>ecipients of r</w:t>
      </w:r>
      <w:r w:rsidRPr="002C2397">
        <w:rPr>
          <w:lang w:val="en-GB"/>
        </w:rPr>
        <w:t>enal transplant</w:t>
      </w:r>
      <w:r w:rsidR="00DD5673" w:rsidRPr="002C2397">
        <w:rPr>
          <w:lang w:val="en-GB"/>
        </w:rPr>
        <w:t>s</w:t>
      </w:r>
    </w:p>
    <w:p w14:paraId="2B07F55D" w14:textId="77777777" w:rsidR="00BE40E6" w:rsidRDefault="00BE40E6" w:rsidP="00632ED6">
      <w:pPr>
        <w:pStyle w:val="02dash"/>
        <w:numPr>
          <w:ilvl w:val="1"/>
          <w:numId w:val="64"/>
        </w:numPr>
        <w:spacing w:line="240" w:lineRule="auto"/>
        <w:ind w:right="0"/>
        <w:rPr>
          <w:lang w:val="en-GB"/>
        </w:rPr>
      </w:pPr>
      <w:r w:rsidRPr="002C2397">
        <w:rPr>
          <w:lang w:val="en-GB"/>
        </w:rPr>
        <w:t xml:space="preserve">Patients undergoing haemodialysis for chronic kidney disease </w:t>
      </w:r>
    </w:p>
    <w:p w14:paraId="6B5CA874" w14:textId="77777777" w:rsidR="007F6995" w:rsidRPr="00632ED6" w:rsidRDefault="007F6995" w:rsidP="00632ED6">
      <w:pPr>
        <w:pStyle w:val="02dash"/>
        <w:numPr>
          <w:ilvl w:val="1"/>
          <w:numId w:val="64"/>
        </w:numPr>
        <w:spacing w:line="240" w:lineRule="auto"/>
        <w:ind w:right="0"/>
        <w:rPr>
          <w:lang w:val="en-GB"/>
        </w:rPr>
      </w:pPr>
      <w:r>
        <w:rPr>
          <w:lang w:val="en-GB"/>
        </w:rPr>
        <w:t xml:space="preserve">Patients with delirium with fever. </w:t>
      </w:r>
    </w:p>
    <w:p w14:paraId="5CB768C5" w14:textId="77777777" w:rsidR="00BE40E6" w:rsidRPr="00074D54" w:rsidRDefault="00632ED6" w:rsidP="002818C3">
      <w:pPr>
        <w:pStyle w:val="02dash"/>
        <w:numPr>
          <w:ilvl w:val="0"/>
          <w:numId w:val="108"/>
        </w:numPr>
        <w:spacing w:line="240" w:lineRule="auto"/>
        <w:ind w:right="0"/>
        <w:rPr>
          <w:lang w:val="en-GB"/>
        </w:rPr>
      </w:pPr>
      <w:r>
        <w:rPr>
          <w:lang w:val="en-GB"/>
        </w:rPr>
        <w:t>Add</w:t>
      </w:r>
      <w:r w:rsidR="00BE40E6" w:rsidRPr="00074D54">
        <w:rPr>
          <w:lang w:val="en-GB"/>
        </w:rPr>
        <w:t xml:space="preserve"> the following text to the descriptor</w:t>
      </w:r>
      <w:r>
        <w:rPr>
          <w:lang w:val="en-GB"/>
        </w:rPr>
        <w:t xml:space="preserve"> of item 69333</w:t>
      </w:r>
      <w:r w:rsidR="00BE40E6" w:rsidRPr="00074D54">
        <w:rPr>
          <w:lang w:val="en-GB"/>
        </w:rPr>
        <w:t>:</w:t>
      </w:r>
      <w:r w:rsidR="00BE40E6" w:rsidRPr="00074D54">
        <w:rPr>
          <w:lang w:val="en-GB"/>
        </w:rPr>
        <w:tab/>
      </w:r>
    </w:p>
    <w:p w14:paraId="033B2683" w14:textId="77777777" w:rsidR="00BE40E6" w:rsidRPr="00074D54" w:rsidRDefault="00BE40E6" w:rsidP="00632ED6">
      <w:pPr>
        <w:pStyle w:val="02dash"/>
        <w:numPr>
          <w:ilvl w:val="1"/>
          <w:numId w:val="64"/>
        </w:numPr>
        <w:spacing w:line="240" w:lineRule="auto"/>
        <w:ind w:right="0"/>
        <w:rPr>
          <w:lang w:val="en-GB"/>
        </w:rPr>
      </w:pPr>
      <w:r w:rsidRPr="00074D54">
        <w:rPr>
          <w:lang w:val="en-GB"/>
        </w:rPr>
        <w:t>This item is limited to</w:t>
      </w:r>
      <w:r w:rsidR="00584DEA">
        <w:rPr>
          <w:lang w:val="en-GB"/>
        </w:rPr>
        <w:t>:</w:t>
      </w:r>
      <w:r w:rsidRPr="00074D54">
        <w:rPr>
          <w:lang w:val="en-GB"/>
        </w:rPr>
        <w:t xml:space="preserve"> </w:t>
      </w:r>
      <w:r w:rsidR="00584DEA">
        <w:rPr>
          <w:lang w:val="en-GB"/>
        </w:rPr>
        <w:t xml:space="preserve">(a) </w:t>
      </w:r>
      <w:r w:rsidRPr="00074D54">
        <w:rPr>
          <w:lang w:val="en-GB"/>
        </w:rPr>
        <w:t xml:space="preserve">patients who have symptoms of a urinary tract infection </w:t>
      </w:r>
      <w:r w:rsidR="00AF0179">
        <w:rPr>
          <w:lang w:val="en-GB"/>
        </w:rPr>
        <w:t>or</w:t>
      </w:r>
      <w:r w:rsidR="001D0278">
        <w:rPr>
          <w:lang w:val="en-GB"/>
        </w:rPr>
        <w:t>:</w:t>
      </w:r>
      <w:r w:rsidR="00975F3A">
        <w:rPr>
          <w:lang w:val="en-GB"/>
        </w:rPr>
        <w:t xml:space="preserve"> </w:t>
      </w:r>
      <w:r w:rsidR="001D0278">
        <w:rPr>
          <w:lang w:val="en-GB"/>
        </w:rPr>
        <w:t>(</w:t>
      </w:r>
      <w:r w:rsidR="00DC62B3">
        <w:rPr>
          <w:lang w:val="en-GB"/>
        </w:rPr>
        <w:t>b</w:t>
      </w:r>
      <w:r w:rsidR="001D0278">
        <w:rPr>
          <w:lang w:val="en-GB"/>
        </w:rPr>
        <w:t>)</w:t>
      </w:r>
      <w:r w:rsidR="00046ECC">
        <w:rPr>
          <w:lang w:val="en-GB"/>
        </w:rPr>
        <w:t xml:space="preserve"> </w:t>
      </w:r>
      <w:r w:rsidRPr="00074D54">
        <w:rPr>
          <w:lang w:val="en-GB"/>
        </w:rPr>
        <w:t>pregnant</w:t>
      </w:r>
      <w:r w:rsidR="00AF0179">
        <w:rPr>
          <w:lang w:val="en-GB"/>
        </w:rPr>
        <w:t xml:space="preserve"> women</w:t>
      </w:r>
      <w:r w:rsidR="00046ECC">
        <w:rPr>
          <w:lang w:val="en-GB"/>
        </w:rPr>
        <w:t>; or</w:t>
      </w:r>
      <w:r w:rsidRPr="00074D54">
        <w:rPr>
          <w:lang w:val="en-GB"/>
        </w:rPr>
        <w:t xml:space="preserve"> </w:t>
      </w:r>
      <w:r w:rsidR="00046ECC">
        <w:rPr>
          <w:lang w:val="en-GB"/>
        </w:rPr>
        <w:t>(</w:t>
      </w:r>
      <w:r w:rsidR="0059336A">
        <w:rPr>
          <w:lang w:val="en-GB"/>
        </w:rPr>
        <w:t>c</w:t>
      </w:r>
      <w:r w:rsidR="00046ECC">
        <w:rPr>
          <w:lang w:val="en-GB"/>
        </w:rPr>
        <w:t xml:space="preserve">) </w:t>
      </w:r>
      <w:r w:rsidR="00AF0179">
        <w:rPr>
          <w:lang w:val="en-GB"/>
        </w:rPr>
        <w:t xml:space="preserve">children </w:t>
      </w:r>
      <w:r w:rsidRPr="00074D54">
        <w:rPr>
          <w:lang w:val="en-GB"/>
        </w:rPr>
        <w:t>aged less than 16 years</w:t>
      </w:r>
      <w:r w:rsidR="00046ECC">
        <w:rPr>
          <w:lang w:val="en-GB"/>
        </w:rPr>
        <w:t xml:space="preserve">; or </w:t>
      </w:r>
      <w:r w:rsidR="00AF0179">
        <w:rPr>
          <w:lang w:val="en-GB"/>
        </w:rPr>
        <w:t xml:space="preserve">those who have </w:t>
      </w:r>
      <w:r w:rsidR="00046ECC">
        <w:rPr>
          <w:lang w:val="en-GB"/>
        </w:rPr>
        <w:t>(</w:t>
      </w:r>
      <w:r w:rsidR="0059336A">
        <w:rPr>
          <w:lang w:val="en-GB"/>
        </w:rPr>
        <w:t>d</w:t>
      </w:r>
      <w:r w:rsidR="00046ECC">
        <w:rPr>
          <w:lang w:val="en-GB"/>
        </w:rPr>
        <w:t>)</w:t>
      </w:r>
      <w:r w:rsidRPr="00074D54">
        <w:rPr>
          <w:lang w:val="en-GB"/>
        </w:rPr>
        <w:t xml:space="preserve"> </w:t>
      </w:r>
      <w:r w:rsidR="002C2397">
        <w:rPr>
          <w:lang w:val="en-GB"/>
        </w:rPr>
        <w:t>received a</w:t>
      </w:r>
      <w:r w:rsidR="002C2397" w:rsidRPr="00074D54">
        <w:rPr>
          <w:lang w:val="en-GB"/>
        </w:rPr>
        <w:t xml:space="preserve"> </w:t>
      </w:r>
      <w:r w:rsidRPr="00074D54">
        <w:rPr>
          <w:lang w:val="en-GB"/>
        </w:rPr>
        <w:t>renal transplant</w:t>
      </w:r>
      <w:r w:rsidR="00046ECC">
        <w:rPr>
          <w:lang w:val="en-GB"/>
        </w:rPr>
        <w:t>; or</w:t>
      </w:r>
      <w:r w:rsidRPr="00074D54">
        <w:rPr>
          <w:lang w:val="en-GB"/>
        </w:rPr>
        <w:t xml:space="preserve"> </w:t>
      </w:r>
      <w:r w:rsidR="00046ECC">
        <w:rPr>
          <w:lang w:val="en-GB"/>
        </w:rPr>
        <w:t>(</w:t>
      </w:r>
      <w:r w:rsidR="0059336A">
        <w:rPr>
          <w:lang w:val="en-GB"/>
        </w:rPr>
        <w:t>e</w:t>
      </w:r>
      <w:r w:rsidR="00046ECC">
        <w:rPr>
          <w:lang w:val="en-GB"/>
        </w:rPr>
        <w:t>) or</w:t>
      </w:r>
      <w:r w:rsidR="00AF0179">
        <w:rPr>
          <w:lang w:val="en-GB"/>
        </w:rPr>
        <w:t xml:space="preserve"> those who are undergoing: </w:t>
      </w:r>
      <w:r w:rsidR="00046ECC">
        <w:rPr>
          <w:lang w:val="en-GB"/>
        </w:rPr>
        <w:t>(</w:t>
      </w:r>
      <w:r w:rsidR="0059336A">
        <w:rPr>
          <w:lang w:val="en-GB"/>
        </w:rPr>
        <w:t>f</w:t>
      </w:r>
      <w:r w:rsidR="00046ECC">
        <w:rPr>
          <w:lang w:val="en-GB"/>
        </w:rPr>
        <w:t>)</w:t>
      </w:r>
      <w:r w:rsidRPr="00074D54">
        <w:rPr>
          <w:lang w:val="en-GB"/>
        </w:rPr>
        <w:t xml:space="preserve"> haemodialysis for chronic kidney disease</w:t>
      </w:r>
      <w:r w:rsidR="00046ECC">
        <w:rPr>
          <w:lang w:val="en-GB"/>
        </w:rPr>
        <w:t>; or</w:t>
      </w:r>
      <w:r w:rsidRPr="00074D54">
        <w:rPr>
          <w:lang w:val="en-GB"/>
        </w:rPr>
        <w:t xml:space="preserve"> </w:t>
      </w:r>
      <w:r w:rsidR="00046ECC">
        <w:rPr>
          <w:lang w:val="en-GB"/>
        </w:rPr>
        <w:t>(</w:t>
      </w:r>
      <w:r w:rsidR="0059336A">
        <w:rPr>
          <w:lang w:val="en-GB"/>
        </w:rPr>
        <w:t>g</w:t>
      </w:r>
      <w:r w:rsidR="00046ECC">
        <w:rPr>
          <w:lang w:val="en-GB"/>
        </w:rPr>
        <w:t xml:space="preserve">) </w:t>
      </w:r>
      <w:r w:rsidRPr="00074D54">
        <w:rPr>
          <w:lang w:val="en-GB"/>
        </w:rPr>
        <w:t>urinary tract instrumentation or other urological procedures</w:t>
      </w:r>
      <w:r w:rsidR="00DC73C4">
        <w:rPr>
          <w:lang w:val="en-GB"/>
        </w:rPr>
        <w:t xml:space="preserve">, including for stone disease such as </w:t>
      </w:r>
      <w:r w:rsidR="00DC73C4" w:rsidRPr="002C2397">
        <w:rPr>
          <w:lang w:val="en-GB"/>
        </w:rPr>
        <w:t>urolithiasis and nephrolithiasis</w:t>
      </w:r>
      <w:r w:rsidR="00046ECC">
        <w:rPr>
          <w:lang w:val="en-GB"/>
        </w:rPr>
        <w:t>; or</w:t>
      </w:r>
      <w:r w:rsidR="002C2397">
        <w:rPr>
          <w:lang w:val="en-GB"/>
        </w:rPr>
        <w:t xml:space="preserve"> </w:t>
      </w:r>
      <w:r w:rsidR="00046ECC">
        <w:rPr>
          <w:lang w:val="en-GB"/>
        </w:rPr>
        <w:t>(</w:t>
      </w:r>
      <w:r w:rsidR="0059336A">
        <w:rPr>
          <w:lang w:val="en-GB"/>
        </w:rPr>
        <w:t>h</w:t>
      </w:r>
      <w:r w:rsidR="00046ECC">
        <w:rPr>
          <w:lang w:val="en-GB"/>
        </w:rPr>
        <w:t xml:space="preserve">) </w:t>
      </w:r>
      <w:r w:rsidR="00CB53D7" w:rsidRPr="00074D54">
        <w:rPr>
          <w:lang w:val="en-GB"/>
        </w:rPr>
        <w:t>transurethral resection of the prostate</w:t>
      </w:r>
      <w:r w:rsidRPr="00074D54">
        <w:rPr>
          <w:lang w:val="en-GB"/>
        </w:rPr>
        <w:t>. No microscopy or culture should be undertaken for patients who are asymptomatic</w:t>
      </w:r>
      <w:r w:rsidR="00DC73C4">
        <w:rPr>
          <w:lang w:val="en-GB"/>
        </w:rPr>
        <w:t>, except those as noted above</w:t>
      </w:r>
      <w:r w:rsidRPr="00074D54">
        <w:rPr>
          <w:lang w:val="en-GB"/>
        </w:rPr>
        <w:t>.</w:t>
      </w:r>
    </w:p>
    <w:p w14:paraId="0F411402" w14:textId="77777777" w:rsidR="00BE40E6" w:rsidRPr="00074D54" w:rsidRDefault="00BE40E6" w:rsidP="002818C3">
      <w:pPr>
        <w:pStyle w:val="02dash"/>
        <w:numPr>
          <w:ilvl w:val="0"/>
          <w:numId w:val="108"/>
        </w:numPr>
        <w:spacing w:line="240" w:lineRule="auto"/>
        <w:ind w:right="0"/>
        <w:rPr>
          <w:lang w:val="en-GB"/>
        </w:rPr>
      </w:pPr>
      <w:r w:rsidRPr="00074D54">
        <w:rPr>
          <w:lang w:val="en-GB"/>
        </w:rPr>
        <w:t>Add an explanatory note to provide further clarification on the recommendation that the urine of asymptomatic patients should not be tested. The proposed explanatory note is as follows:</w:t>
      </w:r>
      <w:r w:rsidRPr="00074D54">
        <w:rPr>
          <w:lang w:val="en-GB"/>
        </w:rPr>
        <w:tab/>
      </w:r>
    </w:p>
    <w:p w14:paraId="4EA94ED8" w14:textId="77777777" w:rsidR="00BE40E6" w:rsidRPr="00632ED6" w:rsidRDefault="00BE40E6" w:rsidP="00632ED6">
      <w:pPr>
        <w:pStyle w:val="02dash"/>
        <w:numPr>
          <w:ilvl w:val="1"/>
          <w:numId w:val="64"/>
        </w:numPr>
        <w:spacing w:line="240" w:lineRule="auto"/>
        <w:ind w:right="0"/>
        <w:rPr>
          <w:i/>
          <w:lang w:val="en-GB"/>
        </w:rPr>
      </w:pPr>
      <w:r w:rsidRPr="00632ED6">
        <w:rPr>
          <w:i/>
          <w:lang w:val="en-GB"/>
        </w:rPr>
        <w:t xml:space="preserve">Urine microscopy and culture using Item 69333 should only be undertaken for patients with symptoms of a urinary tract infection, or when clinically indicated for </w:t>
      </w:r>
      <w:r w:rsidR="00B3691B" w:rsidRPr="00632ED6">
        <w:rPr>
          <w:i/>
          <w:lang w:val="en-GB"/>
        </w:rPr>
        <w:t xml:space="preserve">the following </w:t>
      </w:r>
      <w:r w:rsidRPr="00632ED6">
        <w:rPr>
          <w:i/>
          <w:lang w:val="en-GB"/>
        </w:rPr>
        <w:t>asymptomatic patients:</w:t>
      </w:r>
    </w:p>
    <w:p w14:paraId="50429533" w14:textId="77777777" w:rsidR="00BE40E6" w:rsidRPr="00632ED6" w:rsidRDefault="00BE40E6" w:rsidP="00632ED6">
      <w:pPr>
        <w:pStyle w:val="Bullet3"/>
        <w:numPr>
          <w:ilvl w:val="2"/>
          <w:numId w:val="64"/>
        </w:numPr>
        <w:spacing w:before="120"/>
        <w:rPr>
          <w:i/>
          <w:iCs/>
          <w:lang w:val="en-GB"/>
        </w:rPr>
      </w:pPr>
      <w:r w:rsidRPr="00074D54">
        <w:rPr>
          <w:i/>
          <w:iCs/>
          <w:lang w:val="en-GB"/>
        </w:rPr>
        <w:t>Pregnant women</w:t>
      </w:r>
    </w:p>
    <w:p w14:paraId="2562B27A" w14:textId="77777777" w:rsidR="00BE40E6" w:rsidRPr="00632ED6" w:rsidRDefault="00BE40E6" w:rsidP="00632ED6">
      <w:pPr>
        <w:pStyle w:val="Bullet3"/>
        <w:numPr>
          <w:ilvl w:val="2"/>
          <w:numId w:val="64"/>
        </w:numPr>
        <w:spacing w:before="120"/>
        <w:rPr>
          <w:i/>
          <w:iCs/>
          <w:lang w:val="en-GB"/>
        </w:rPr>
      </w:pPr>
      <w:r w:rsidRPr="00074D54">
        <w:rPr>
          <w:i/>
          <w:iCs/>
          <w:lang w:val="en-GB"/>
        </w:rPr>
        <w:t xml:space="preserve">Children (under age 16 year olds) </w:t>
      </w:r>
    </w:p>
    <w:p w14:paraId="5665A9D7" w14:textId="77777777" w:rsidR="00BE40E6" w:rsidRPr="00632ED6" w:rsidRDefault="00BE40E6" w:rsidP="00632ED6">
      <w:pPr>
        <w:pStyle w:val="Bullet3"/>
        <w:numPr>
          <w:ilvl w:val="2"/>
          <w:numId w:val="64"/>
        </w:numPr>
        <w:spacing w:before="120"/>
        <w:rPr>
          <w:i/>
          <w:iCs/>
          <w:lang w:val="en-GB"/>
        </w:rPr>
      </w:pPr>
      <w:r w:rsidRPr="00074D54">
        <w:rPr>
          <w:i/>
          <w:iCs/>
          <w:lang w:val="en-GB"/>
        </w:rPr>
        <w:t>Patients undergoing urinary tract instrumentation or urological procedures</w:t>
      </w:r>
      <w:r w:rsidR="00B3691B">
        <w:rPr>
          <w:i/>
          <w:iCs/>
          <w:lang w:val="en-GB"/>
        </w:rPr>
        <w:t xml:space="preserve">, including for </w:t>
      </w:r>
      <w:r w:rsidR="00B3691B" w:rsidRPr="00632ED6">
        <w:rPr>
          <w:i/>
          <w:iCs/>
          <w:lang w:val="en-GB"/>
        </w:rPr>
        <w:t>stone disease such as urolithiasis and nephrolithiasis</w:t>
      </w:r>
    </w:p>
    <w:p w14:paraId="15318DCD" w14:textId="77777777" w:rsidR="00B3691B" w:rsidRPr="00632ED6" w:rsidRDefault="00B3691B" w:rsidP="00632ED6">
      <w:pPr>
        <w:pStyle w:val="Bullet3"/>
        <w:numPr>
          <w:ilvl w:val="2"/>
          <w:numId w:val="64"/>
        </w:numPr>
        <w:spacing w:before="120"/>
        <w:rPr>
          <w:i/>
          <w:iCs/>
          <w:lang w:val="en-GB"/>
        </w:rPr>
      </w:pPr>
      <w:r w:rsidRPr="00632ED6">
        <w:rPr>
          <w:i/>
          <w:iCs/>
          <w:lang w:val="en-GB"/>
        </w:rPr>
        <w:t>Men undergoing transurethral resection of the prostate</w:t>
      </w:r>
    </w:p>
    <w:p w14:paraId="2919AC25" w14:textId="77777777" w:rsidR="00BE40E6" w:rsidRPr="00632ED6" w:rsidRDefault="00BE40E6" w:rsidP="00632ED6">
      <w:pPr>
        <w:pStyle w:val="Bullet3"/>
        <w:numPr>
          <w:ilvl w:val="2"/>
          <w:numId w:val="64"/>
        </w:numPr>
        <w:spacing w:before="120"/>
        <w:rPr>
          <w:i/>
          <w:iCs/>
          <w:lang w:val="en-GB"/>
        </w:rPr>
      </w:pPr>
      <w:r w:rsidRPr="00632ED6">
        <w:rPr>
          <w:i/>
          <w:iCs/>
          <w:lang w:val="en-GB"/>
        </w:rPr>
        <w:t>R</w:t>
      </w:r>
      <w:r w:rsidR="00B3691B" w:rsidRPr="00632ED6">
        <w:rPr>
          <w:i/>
          <w:iCs/>
          <w:lang w:val="en-GB"/>
        </w:rPr>
        <w:t>ecipients of r</w:t>
      </w:r>
      <w:r w:rsidRPr="00632ED6">
        <w:rPr>
          <w:i/>
          <w:iCs/>
          <w:lang w:val="en-GB"/>
        </w:rPr>
        <w:t>enal transplants</w:t>
      </w:r>
    </w:p>
    <w:p w14:paraId="58EDC388" w14:textId="77777777" w:rsidR="00BE40E6" w:rsidRPr="00632ED6" w:rsidRDefault="00BE40E6" w:rsidP="00632ED6">
      <w:pPr>
        <w:pStyle w:val="Bullet3"/>
        <w:numPr>
          <w:ilvl w:val="2"/>
          <w:numId w:val="64"/>
        </w:numPr>
        <w:spacing w:before="120"/>
        <w:rPr>
          <w:i/>
          <w:iCs/>
          <w:lang w:val="en-GB"/>
        </w:rPr>
      </w:pPr>
      <w:r w:rsidRPr="00632ED6">
        <w:rPr>
          <w:i/>
          <w:iCs/>
          <w:lang w:val="en-GB"/>
        </w:rPr>
        <w:t>Patients undergoing haemodialysis for chronic kidney disease</w:t>
      </w:r>
    </w:p>
    <w:p w14:paraId="34732C2C" w14:textId="77777777" w:rsidR="00BE40E6" w:rsidRPr="00074D54" w:rsidRDefault="00BE40E6" w:rsidP="00BE40E6">
      <w:pPr>
        <w:spacing w:before="200"/>
        <w:ind w:left="720"/>
        <w:rPr>
          <w:lang w:val="en-GB"/>
        </w:rPr>
      </w:pPr>
      <w:r w:rsidRPr="00074D54">
        <w:rPr>
          <w:i/>
          <w:iCs/>
          <w:lang w:val="en-GB"/>
        </w:rPr>
        <w:t>Abnormalities on urine dipstick testing are not ‘symptoms’ and should not of themselves lead to urine culture using MBS item 69333.</w:t>
      </w:r>
    </w:p>
    <w:p w14:paraId="41725FD0" w14:textId="68512BEA" w:rsidR="00BE40E6" w:rsidRDefault="00BE40E6" w:rsidP="00BE40E6">
      <w:pPr>
        <w:spacing w:before="200"/>
        <w:ind w:left="720"/>
        <w:rPr>
          <w:i/>
          <w:iCs/>
          <w:lang w:val="en-GB"/>
        </w:rPr>
      </w:pPr>
      <w:r w:rsidRPr="00074D54">
        <w:rPr>
          <w:i/>
          <w:iCs/>
          <w:lang w:val="en-GB"/>
        </w:rPr>
        <w:t>Urine microscopy and culture should not be performed to check clearance of infection in the absence of continuing symptoms.</w:t>
      </w:r>
    </w:p>
    <w:p w14:paraId="0D0EA234" w14:textId="0399615A" w:rsidR="006751CA" w:rsidRDefault="006751CA" w:rsidP="00BE40E6">
      <w:pPr>
        <w:spacing w:before="200"/>
        <w:ind w:left="720"/>
        <w:rPr>
          <w:i/>
          <w:iCs/>
          <w:lang w:val="en-GB"/>
        </w:rPr>
      </w:pPr>
    </w:p>
    <w:p w14:paraId="2E386468" w14:textId="77777777" w:rsidR="006751CA" w:rsidRPr="00074D54" w:rsidRDefault="006751CA" w:rsidP="00BE40E6">
      <w:pPr>
        <w:spacing w:before="200"/>
        <w:ind w:left="720"/>
        <w:rPr>
          <w:rFonts w:eastAsiaTheme="minorHAnsi"/>
          <w:szCs w:val="20"/>
          <w:lang w:val="en-GB" w:eastAsia="en-US"/>
        </w:rPr>
      </w:pPr>
    </w:p>
    <w:p w14:paraId="5BD28182" w14:textId="77777777" w:rsidR="00632ED6" w:rsidRDefault="00632ED6" w:rsidP="0029574B">
      <w:pPr>
        <w:pStyle w:val="NormalBulleted"/>
        <w:numPr>
          <w:ilvl w:val="0"/>
          <w:numId w:val="93"/>
        </w:numPr>
        <w:rPr>
          <w:lang w:val="en-GB"/>
        </w:rPr>
      </w:pPr>
      <w:r>
        <w:rPr>
          <w:lang w:val="en-GB"/>
        </w:rPr>
        <w:lastRenderedPageBreak/>
        <w:t>In addition, the Committee recommended:</w:t>
      </w:r>
    </w:p>
    <w:p w14:paraId="35BF34FD" w14:textId="77777777" w:rsidR="00BE40E6" w:rsidRPr="00DA44C6" w:rsidRDefault="00DA44C6" w:rsidP="00DA44C6">
      <w:pPr>
        <w:pStyle w:val="02dash"/>
        <w:numPr>
          <w:ilvl w:val="1"/>
          <w:numId w:val="64"/>
        </w:numPr>
        <w:spacing w:line="240" w:lineRule="auto"/>
        <w:ind w:right="0"/>
        <w:rPr>
          <w:lang w:val="en-GB"/>
        </w:rPr>
      </w:pPr>
      <w:r>
        <w:rPr>
          <w:lang w:val="en-GB"/>
        </w:rPr>
        <w:t>The l</w:t>
      </w:r>
      <w:r w:rsidR="00BE40E6" w:rsidRPr="00074D54">
        <w:rPr>
          <w:lang w:val="en-GB"/>
        </w:rPr>
        <w:t>aunch</w:t>
      </w:r>
      <w:r>
        <w:rPr>
          <w:lang w:val="en-GB"/>
        </w:rPr>
        <w:t xml:space="preserve"> of</w:t>
      </w:r>
      <w:r w:rsidR="00BE40E6" w:rsidRPr="00074D54">
        <w:rPr>
          <w:lang w:val="en-GB"/>
        </w:rPr>
        <w:t xml:space="preserve"> an education campaign with the aim of changing requesting habits around item 69333. The campaign should target:</w:t>
      </w:r>
    </w:p>
    <w:p w14:paraId="0360A2CF" w14:textId="77777777" w:rsidR="00BE40E6" w:rsidRPr="00074D54" w:rsidRDefault="00BE40E6" w:rsidP="00AB3AC3">
      <w:pPr>
        <w:pStyle w:val="Bullet3"/>
        <w:numPr>
          <w:ilvl w:val="2"/>
          <w:numId w:val="64"/>
        </w:numPr>
        <w:spacing w:before="120"/>
        <w:rPr>
          <w:lang w:val="en-GB"/>
        </w:rPr>
      </w:pPr>
      <w:r w:rsidRPr="00074D54">
        <w:rPr>
          <w:lang w:val="en-GB"/>
        </w:rPr>
        <w:t>Requesting clinicians through their respective peak post-graduate medical colleges (such as Royal Australian College of General Practitioners [RACGP], Royal Australasian College of Physicians [RACP] and Royal Australian College of Surgeons [RACS]).</w:t>
      </w:r>
    </w:p>
    <w:p w14:paraId="2D528AF5" w14:textId="77777777" w:rsidR="00BE40E6" w:rsidRPr="00074D54" w:rsidRDefault="00BE40E6" w:rsidP="00AB3AC3">
      <w:pPr>
        <w:pStyle w:val="Bullet3"/>
        <w:numPr>
          <w:ilvl w:val="2"/>
          <w:numId w:val="64"/>
        </w:numPr>
        <w:spacing w:before="120"/>
        <w:rPr>
          <w:lang w:val="en-GB"/>
        </w:rPr>
      </w:pPr>
      <w:r w:rsidRPr="00074D54">
        <w:rPr>
          <w:lang w:val="en-GB"/>
        </w:rPr>
        <w:t xml:space="preserve">Staff working in aged care facilities, with the message that routine urine screening in elderly patients is inappropriate and likely to cause harm. Education should include information on how to identify symptoms in elderly patients. </w:t>
      </w:r>
    </w:p>
    <w:p w14:paraId="52A9B5D7" w14:textId="77777777" w:rsidR="00BE40E6" w:rsidRPr="00074D54" w:rsidRDefault="00BE40E6" w:rsidP="00AB3AC3">
      <w:pPr>
        <w:pStyle w:val="Bullet3"/>
        <w:numPr>
          <w:ilvl w:val="2"/>
          <w:numId w:val="64"/>
        </w:numPr>
        <w:spacing w:before="120"/>
        <w:rPr>
          <w:lang w:val="en-GB"/>
        </w:rPr>
      </w:pPr>
      <w:r w:rsidRPr="00074D54">
        <w:rPr>
          <w:lang w:val="en-GB"/>
        </w:rPr>
        <w:t>Nurses, nurse practitioners, nursing assistants and patient care assistants in all healthcare facilities.</w:t>
      </w:r>
    </w:p>
    <w:p w14:paraId="53B1D4F7" w14:textId="77777777" w:rsidR="00BE40E6" w:rsidRPr="00074D54" w:rsidRDefault="00BE40E6" w:rsidP="00AB3AC3">
      <w:pPr>
        <w:pStyle w:val="Bullet3"/>
        <w:numPr>
          <w:ilvl w:val="2"/>
          <w:numId w:val="64"/>
        </w:numPr>
        <w:spacing w:before="120"/>
        <w:rPr>
          <w:lang w:val="en-GB"/>
        </w:rPr>
      </w:pPr>
      <w:r w:rsidRPr="00074D54">
        <w:rPr>
          <w:lang w:val="en-GB"/>
        </w:rPr>
        <w:t xml:space="preserve">Clinicians </w:t>
      </w:r>
      <w:r w:rsidR="009D2F9E">
        <w:rPr>
          <w:lang w:val="en-GB"/>
        </w:rPr>
        <w:t>who</w:t>
      </w:r>
      <w:r w:rsidRPr="00074D54">
        <w:rPr>
          <w:lang w:val="en-GB"/>
        </w:rPr>
        <w:t xml:space="preserve"> request at rates significantly higher than the average. </w:t>
      </w:r>
    </w:p>
    <w:p w14:paraId="6843FC18" w14:textId="29018A08" w:rsidR="009D2F9E" w:rsidRPr="009D2F9E" w:rsidRDefault="009D2F9E" w:rsidP="009D2F9E">
      <w:pPr>
        <w:pStyle w:val="02dash"/>
        <w:numPr>
          <w:ilvl w:val="1"/>
          <w:numId w:val="64"/>
        </w:numPr>
        <w:spacing w:line="240" w:lineRule="auto"/>
        <w:ind w:right="0"/>
        <w:rPr>
          <w:lang w:val="en-GB"/>
        </w:rPr>
      </w:pPr>
      <w:r>
        <w:rPr>
          <w:lang w:val="en-GB"/>
        </w:rPr>
        <w:t>Provide software providers</w:t>
      </w:r>
      <w:r w:rsidRPr="00074D54">
        <w:rPr>
          <w:lang w:val="en-GB"/>
        </w:rPr>
        <w:t xml:space="preserve"> with</w:t>
      </w:r>
      <w:r>
        <w:rPr>
          <w:lang w:val="en-GB"/>
        </w:rPr>
        <w:t xml:space="preserve"> clinical indication</w:t>
      </w:r>
      <w:r w:rsidRPr="00074D54">
        <w:rPr>
          <w:lang w:val="en-GB"/>
        </w:rPr>
        <w:t xml:space="preserve"> information </w:t>
      </w:r>
      <w:r>
        <w:rPr>
          <w:lang w:val="en-GB"/>
        </w:rPr>
        <w:t xml:space="preserve">that can be </w:t>
      </w:r>
      <w:r w:rsidRPr="00074D54">
        <w:rPr>
          <w:lang w:val="en-GB"/>
        </w:rPr>
        <w:t>ea</w:t>
      </w:r>
      <w:r>
        <w:rPr>
          <w:lang w:val="en-GB"/>
        </w:rPr>
        <w:t>sily and accurately transferred</w:t>
      </w:r>
      <w:r w:rsidRPr="00074D54">
        <w:rPr>
          <w:lang w:val="en-GB"/>
        </w:rPr>
        <w:t xml:space="preserve"> into codes </w:t>
      </w:r>
      <w:r>
        <w:rPr>
          <w:lang w:val="en-GB"/>
        </w:rPr>
        <w:t>and</w:t>
      </w:r>
      <w:r w:rsidRPr="00074D54">
        <w:rPr>
          <w:lang w:val="en-GB"/>
        </w:rPr>
        <w:t xml:space="preserve"> specific wording for </w:t>
      </w:r>
      <w:r>
        <w:rPr>
          <w:lang w:val="en-GB"/>
        </w:rPr>
        <w:t>GP</w:t>
      </w:r>
      <w:r w:rsidRPr="00074D54">
        <w:rPr>
          <w:lang w:val="en-GB"/>
        </w:rPr>
        <w:t xml:space="preserve"> </w:t>
      </w:r>
      <w:r w:rsidR="00151388">
        <w:rPr>
          <w:lang w:val="en-GB"/>
        </w:rPr>
        <w:t>CDS</w:t>
      </w:r>
      <w:r>
        <w:rPr>
          <w:lang w:val="en-GB"/>
        </w:rPr>
        <w:t xml:space="preserve"> </w:t>
      </w:r>
      <w:r w:rsidRPr="00074D54">
        <w:rPr>
          <w:lang w:val="en-GB"/>
        </w:rPr>
        <w:t xml:space="preserve">software. </w:t>
      </w:r>
    </w:p>
    <w:p w14:paraId="132B01EF" w14:textId="77777777" w:rsidR="00BE40E6" w:rsidRPr="00074D54" w:rsidRDefault="00BE40E6" w:rsidP="00AB3AC3">
      <w:pPr>
        <w:pStyle w:val="02dash"/>
        <w:numPr>
          <w:ilvl w:val="1"/>
          <w:numId w:val="64"/>
        </w:numPr>
        <w:spacing w:line="240" w:lineRule="auto"/>
        <w:ind w:right="0"/>
        <w:rPr>
          <w:lang w:val="en-GB"/>
        </w:rPr>
      </w:pPr>
      <w:r w:rsidRPr="00074D54">
        <w:rPr>
          <w:lang w:val="en-GB"/>
        </w:rPr>
        <w:t>Provide consumer education to raise awareness about the methods used to collect urine sample and the importance of minimising the possibility of contamination.</w:t>
      </w:r>
    </w:p>
    <w:p w14:paraId="73F5DFCC" w14:textId="77777777" w:rsidR="00CD2B50" w:rsidRPr="00CD2B50" w:rsidRDefault="00D564B9" w:rsidP="00AB3AC3">
      <w:pPr>
        <w:pStyle w:val="02dash"/>
        <w:numPr>
          <w:ilvl w:val="1"/>
          <w:numId w:val="64"/>
        </w:numPr>
        <w:spacing w:line="240" w:lineRule="auto"/>
        <w:ind w:right="0"/>
        <w:rPr>
          <w:lang w:val="en-GB"/>
        </w:rPr>
      </w:pPr>
      <w:r w:rsidRPr="00074D54">
        <w:rPr>
          <w:lang w:val="en-GB"/>
        </w:rPr>
        <w:t xml:space="preserve">Review </w:t>
      </w:r>
      <w:r w:rsidR="00CD2B50">
        <w:rPr>
          <w:lang w:val="en-GB"/>
        </w:rPr>
        <w:t>this item after</w:t>
      </w:r>
      <w:r w:rsidRPr="00074D54">
        <w:rPr>
          <w:lang w:val="en-GB"/>
        </w:rPr>
        <w:t xml:space="preserve"> 24 months </w:t>
      </w:r>
      <w:r w:rsidR="00CD2B50">
        <w:rPr>
          <w:lang w:val="en-GB"/>
        </w:rPr>
        <w:t xml:space="preserve">to assess the effect of the recommendations listed above </w:t>
      </w:r>
      <w:r w:rsidRPr="00074D54">
        <w:rPr>
          <w:lang w:val="en-GB"/>
        </w:rPr>
        <w:t xml:space="preserve">and if the </w:t>
      </w:r>
      <w:r w:rsidR="00CD2B50">
        <w:rPr>
          <w:lang w:val="en-GB"/>
        </w:rPr>
        <w:t>recommended changes are</w:t>
      </w:r>
      <w:r w:rsidRPr="00074D54">
        <w:rPr>
          <w:lang w:val="en-GB"/>
        </w:rPr>
        <w:t xml:space="preserve"> unsuccessful </w:t>
      </w:r>
      <w:r w:rsidR="00803FA5">
        <w:rPr>
          <w:lang w:val="en-GB"/>
        </w:rPr>
        <w:t xml:space="preserve">in changing behaviour </w:t>
      </w:r>
      <w:r w:rsidRPr="00074D54">
        <w:rPr>
          <w:lang w:val="en-GB"/>
        </w:rPr>
        <w:t xml:space="preserve">then consider </w:t>
      </w:r>
      <w:r w:rsidR="00CC7350">
        <w:rPr>
          <w:lang w:val="en-GB"/>
        </w:rPr>
        <w:t>further changes</w:t>
      </w:r>
      <w:r w:rsidRPr="00074D54">
        <w:rPr>
          <w:lang w:val="en-GB"/>
        </w:rPr>
        <w:t xml:space="preserve"> for </w:t>
      </w:r>
      <w:r w:rsidR="00CC7350">
        <w:rPr>
          <w:lang w:val="en-GB"/>
        </w:rPr>
        <w:t xml:space="preserve">the </w:t>
      </w:r>
      <w:r w:rsidRPr="00074D54">
        <w:rPr>
          <w:lang w:val="en-GB"/>
        </w:rPr>
        <w:t xml:space="preserve">requesting of urine </w:t>
      </w:r>
      <w:r w:rsidR="00CD2B50">
        <w:rPr>
          <w:lang w:val="en-GB"/>
        </w:rPr>
        <w:t>testing</w:t>
      </w:r>
      <w:r w:rsidRPr="00074D54">
        <w:rPr>
          <w:lang w:val="en-GB"/>
        </w:rPr>
        <w:t>.</w:t>
      </w:r>
    </w:p>
    <w:p w14:paraId="3A979B3B" w14:textId="77777777" w:rsidR="00BE40E6" w:rsidRPr="00854013" w:rsidRDefault="00BE40E6" w:rsidP="00BE40E6">
      <w:pPr>
        <w:pStyle w:val="NormalBulleted"/>
        <w:ind w:left="357" w:hanging="357"/>
        <w:rPr>
          <w:lang w:val="en-GB"/>
        </w:rPr>
      </w:pPr>
      <w:r w:rsidRPr="00854013">
        <w:rPr>
          <w:lang w:val="en-GB"/>
        </w:rPr>
        <w:t>Items 69300 and 73805: No change.</w:t>
      </w:r>
    </w:p>
    <w:p w14:paraId="652B05AA" w14:textId="77777777" w:rsidR="00BE40E6" w:rsidRPr="00854013" w:rsidRDefault="00BE40E6" w:rsidP="00BE40E6">
      <w:pPr>
        <w:keepNext/>
        <w:keepLines/>
        <w:spacing w:before="240"/>
        <w:rPr>
          <w:b/>
          <w:szCs w:val="22"/>
          <w:lang w:val="en-GB"/>
        </w:rPr>
      </w:pPr>
      <w:r w:rsidRPr="00854013">
        <w:rPr>
          <w:b/>
          <w:szCs w:val="22"/>
          <w:lang w:val="en-GB"/>
        </w:rPr>
        <w:t>Rationale</w:t>
      </w:r>
    </w:p>
    <w:p w14:paraId="3E8545CA" w14:textId="77777777" w:rsidR="00BE40E6" w:rsidRPr="00360531" w:rsidRDefault="00BE40E6" w:rsidP="00BE40E6">
      <w:pPr>
        <w:pStyle w:val="NormalBulleted"/>
        <w:ind w:left="357" w:hanging="357"/>
        <w:rPr>
          <w:lang w:val="en-GB"/>
        </w:rPr>
      </w:pPr>
      <w:r w:rsidRPr="00854013">
        <w:rPr>
          <w:lang w:val="en-GB"/>
        </w:rPr>
        <w:t>The Committee noted that inappropriate overuse of urine testing is almost certainly occurring for the following reasons:</w:t>
      </w:r>
    </w:p>
    <w:p w14:paraId="19D339F7" w14:textId="77777777" w:rsidR="00BE40E6" w:rsidRPr="00074D54" w:rsidRDefault="00BE40E6" w:rsidP="00AB3AC3">
      <w:pPr>
        <w:pStyle w:val="02dash"/>
        <w:numPr>
          <w:ilvl w:val="1"/>
          <w:numId w:val="64"/>
        </w:numPr>
        <w:spacing w:line="240" w:lineRule="auto"/>
        <w:ind w:right="0"/>
        <w:rPr>
          <w:lang w:val="en-GB"/>
        </w:rPr>
      </w:pPr>
      <w:r w:rsidRPr="00360531">
        <w:rPr>
          <w:lang w:val="en-GB"/>
        </w:rPr>
        <w:t>Some clinicians (both GPs and specialists) routinely request urine tests for many asymptomatic patients.</w:t>
      </w:r>
    </w:p>
    <w:p w14:paraId="57637B91" w14:textId="77777777" w:rsidR="00BE40E6" w:rsidRPr="00074D54" w:rsidRDefault="00BE40E6" w:rsidP="00AB3AC3">
      <w:pPr>
        <w:pStyle w:val="02dash"/>
        <w:numPr>
          <w:ilvl w:val="1"/>
          <w:numId w:val="64"/>
        </w:numPr>
        <w:spacing w:line="240" w:lineRule="auto"/>
        <w:ind w:right="0"/>
        <w:rPr>
          <w:lang w:val="en-GB"/>
        </w:rPr>
      </w:pPr>
      <w:r w:rsidRPr="00074D54">
        <w:rPr>
          <w:lang w:val="en-GB"/>
        </w:rPr>
        <w:t>In aged care facilities, it is common practice to regularly screen residents’ urine.</w:t>
      </w:r>
    </w:p>
    <w:p w14:paraId="1E88446B" w14:textId="77777777" w:rsidR="00BE40E6" w:rsidRPr="00074D54" w:rsidRDefault="00BE40E6" w:rsidP="00AB3AC3">
      <w:pPr>
        <w:pStyle w:val="02dash"/>
        <w:numPr>
          <w:ilvl w:val="1"/>
          <w:numId w:val="64"/>
        </w:numPr>
        <w:spacing w:line="240" w:lineRule="auto"/>
        <w:ind w:right="0"/>
        <w:rPr>
          <w:lang w:val="en-GB"/>
        </w:rPr>
      </w:pPr>
      <w:r w:rsidRPr="00074D54">
        <w:rPr>
          <w:lang w:val="en-GB"/>
        </w:rPr>
        <w:t>Health screens often include some form of urine testing.</w:t>
      </w:r>
    </w:p>
    <w:p w14:paraId="6CB56F12" w14:textId="77777777" w:rsidR="00BE40E6" w:rsidRPr="00074D54" w:rsidRDefault="00BE40E6" w:rsidP="00AB3AC3">
      <w:pPr>
        <w:pStyle w:val="02dash"/>
        <w:numPr>
          <w:ilvl w:val="1"/>
          <w:numId w:val="64"/>
        </w:numPr>
        <w:spacing w:line="240" w:lineRule="auto"/>
        <w:ind w:right="0"/>
        <w:rPr>
          <w:lang w:val="en-GB"/>
        </w:rPr>
      </w:pPr>
      <w:r w:rsidRPr="00074D54">
        <w:rPr>
          <w:lang w:val="en-GB"/>
        </w:rPr>
        <w:t xml:space="preserve">Tests are at times repeated </w:t>
      </w:r>
      <w:r w:rsidR="00CD2B50">
        <w:rPr>
          <w:lang w:val="en-GB"/>
        </w:rPr>
        <w:t>for</w:t>
      </w:r>
      <w:r w:rsidRPr="00074D54">
        <w:rPr>
          <w:lang w:val="en-GB"/>
        </w:rPr>
        <w:t xml:space="preserve"> some patients for ‘proof of cure/successful treatment’ which is not clinically necessary.</w:t>
      </w:r>
    </w:p>
    <w:p w14:paraId="0772FA35" w14:textId="77777777" w:rsidR="00BE40E6" w:rsidRPr="00074D54" w:rsidRDefault="00BE40E6" w:rsidP="00AB3AC3">
      <w:pPr>
        <w:pStyle w:val="02dash"/>
        <w:numPr>
          <w:ilvl w:val="1"/>
          <w:numId w:val="64"/>
        </w:numPr>
        <w:spacing w:line="240" w:lineRule="auto"/>
        <w:ind w:right="0"/>
        <w:rPr>
          <w:lang w:val="en-GB"/>
        </w:rPr>
      </w:pPr>
      <w:r w:rsidRPr="00074D54">
        <w:rPr>
          <w:lang w:val="en-GB"/>
        </w:rPr>
        <w:t>Some clinicians inappropriately investigate urinary incontinence using urine testing.</w:t>
      </w:r>
    </w:p>
    <w:p w14:paraId="60F56FAF" w14:textId="77777777" w:rsidR="00BE40E6" w:rsidRPr="00074D54" w:rsidRDefault="00BE40E6" w:rsidP="00AB3AC3">
      <w:pPr>
        <w:pStyle w:val="02dash"/>
        <w:numPr>
          <w:ilvl w:val="1"/>
          <w:numId w:val="64"/>
        </w:numPr>
        <w:spacing w:line="240" w:lineRule="auto"/>
        <w:ind w:right="0"/>
        <w:rPr>
          <w:lang w:val="en-GB"/>
        </w:rPr>
      </w:pPr>
      <w:r w:rsidRPr="00074D54">
        <w:rPr>
          <w:lang w:val="en-GB"/>
        </w:rPr>
        <w:t>MBS</w:t>
      </w:r>
      <w:r w:rsidR="00E70882">
        <w:rPr>
          <w:lang w:val="en-GB"/>
        </w:rPr>
        <w:t xml:space="preserve"> data shows that</w:t>
      </w:r>
      <w:r w:rsidRPr="00074D54">
        <w:rPr>
          <w:lang w:val="en-GB"/>
        </w:rPr>
        <w:t xml:space="preserve"> urine examination (culture) is used 28 times more often than the microscopy item alone, and its usage is growing, while usage of the microscopy-only item declines. </w:t>
      </w:r>
    </w:p>
    <w:p w14:paraId="42CA81C3" w14:textId="77777777" w:rsidR="00BE40E6" w:rsidRPr="00074D54" w:rsidRDefault="00E70882" w:rsidP="00AB3AC3">
      <w:pPr>
        <w:pStyle w:val="02dash"/>
        <w:numPr>
          <w:ilvl w:val="1"/>
          <w:numId w:val="64"/>
        </w:numPr>
        <w:spacing w:line="240" w:lineRule="auto"/>
        <w:ind w:right="0"/>
        <w:rPr>
          <w:lang w:val="en-GB"/>
        </w:rPr>
      </w:pPr>
      <w:r>
        <w:rPr>
          <w:lang w:val="en-GB"/>
        </w:rPr>
        <w:t>MBS data also shows that a</w:t>
      </w:r>
      <w:r w:rsidR="00BE40E6" w:rsidRPr="00074D54">
        <w:rPr>
          <w:lang w:val="en-GB"/>
        </w:rPr>
        <w:t xml:space="preserve">pproximately 93,000 patients (3.4 per cent of total patients receiving this test within one year), receive at least one repeat test within 7 days of the first test. </w:t>
      </w:r>
    </w:p>
    <w:p w14:paraId="6DE0F2F9" w14:textId="77777777" w:rsidR="00BE40E6" w:rsidRPr="00074D54" w:rsidRDefault="00BE40E6" w:rsidP="0029574B">
      <w:pPr>
        <w:pStyle w:val="NormalBulleted"/>
        <w:numPr>
          <w:ilvl w:val="0"/>
          <w:numId w:val="95"/>
        </w:numPr>
        <w:rPr>
          <w:lang w:val="en-GB"/>
        </w:rPr>
      </w:pPr>
      <w:r w:rsidRPr="00074D54">
        <w:rPr>
          <w:lang w:val="en-GB"/>
        </w:rPr>
        <w:t>The Committee’s position is that there is no benefit to treating patients with asymptomatic bacteriuria</w:t>
      </w:r>
      <w:r w:rsidR="009D2F9E">
        <w:rPr>
          <w:lang w:val="en-GB"/>
        </w:rPr>
        <w:t xml:space="preserve"> </w:t>
      </w:r>
      <w:r w:rsidR="009D2F9E" w:rsidRPr="00074D54">
        <w:rPr>
          <w:lang w:val="en-GB"/>
        </w:rPr>
        <w:t>(except for the groups of patients noted above)</w:t>
      </w:r>
      <w:r w:rsidRPr="00074D54">
        <w:rPr>
          <w:lang w:val="en-GB"/>
        </w:rPr>
        <w:t>, and therefore no reason for investigating with urine testing. This position is supported by multiple Australian and international guidelines and publication</w:t>
      </w:r>
      <w:r w:rsidR="00221F03">
        <w:rPr>
          <w:lang w:val="en-GB"/>
        </w:rPr>
        <w:t xml:space="preserve">s </w:t>
      </w:r>
      <w:sdt>
        <w:sdtPr>
          <w:rPr>
            <w:lang w:val="en-GB"/>
          </w:rPr>
          <w:id w:val="1141307769"/>
          <w:citation/>
        </w:sdtPr>
        <w:sdtEndPr/>
        <w:sdtContent>
          <w:r w:rsidR="00221F03">
            <w:rPr>
              <w:lang w:val="en-GB"/>
            </w:rPr>
            <w:fldChar w:fldCharType="begin"/>
          </w:r>
          <w:r w:rsidR="00221F03">
            <w:instrText xml:space="preserve">CITATION Roy1 \l 1033 </w:instrText>
          </w:r>
          <w:r w:rsidR="00221F03">
            <w:rPr>
              <w:lang w:val="en-GB"/>
            </w:rPr>
            <w:fldChar w:fldCharType="separate"/>
          </w:r>
          <w:r w:rsidR="00B66BE1">
            <w:rPr>
              <w:noProof/>
            </w:rPr>
            <w:t>(30)</w:t>
          </w:r>
          <w:r w:rsidR="00221F03">
            <w:rPr>
              <w:lang w:val="en-GB"/>
            </w:rPr>
            <w:fldChar w:fldCharType="end"/>
          </w:r>
        </w:sdtContent>
      </w:sdt>
      <w:sdt>
        <w:sdtPr>
          <w:rPr>
            <w:lang w:val="en-GB"/>
          </w:rPr>
          <w:id w:val="357638916"/>
          <w:citation/>
        </w:sdtPr>
        <w:sdtEndPr/>
        <w:sdtContent>
          <w:r w:rsidR="00221F03">
            <w:rPr>
              <w:lang w:val="en-GB"/>
            </w:rPr>
            <w:fldChar w:fldCharType="begin"/>
          </w:r>
          <w:r w:rsidR="00F027EC">
            <w:instrText xml:space="preserve">CITATION Lin \l 1033 </w:instrText>
          </w:r>
          <w:r w:rsidR="00221F03">
            <w:rPr>
              <w:lang w:val="en-GB"/>
            </w:rPr>
            <w:fldChar w:fldCharType="separate"/>
          </w:r>
          <w:r w:rsidR="00B66BE1">
            <w:rPr>
              <w:noProof/>
            </w:rPr>
            <w:t xml:space="preserve"> (31)</w:t>
          </w:r>
          <w:r w:rsidR="00221F03">
            <w:rPr>
              <w:lang w:val="en-GB"/>
            </w:rPr>
            <w:fldChar w:fldCharType="end"/>
          </w:r>
        </w:sdtContent>
      </w:sdt>
      <w:sdt>
        <w:sdtPr>
          <w:rPr>
            <w:lang w:val="en-GB"/>
          </w:rPr>
          <w:id w:val="-2100560173"/>
          <w:citation/>
        </w:sdtPr>
        <w:sdtEndPr/>
        <w:sdtContent>
          <w:r w:rsidR="00221F03">
            <w:rPr>
              <w:lang w:val="en-GB"/>
            </w:rPr>
            <w:fldChar w:fldCharType="begin"/>
          </w:r>
          <w:r w:rsidR="00221F03">
            <w:instrText xml:space="preserve">CITATION Aus \l 1033 </w:instrText>
          </w:r>
          <w:r w:rsidR="00221F03">
            <w:rPr>
              <w:lang w:val="en-GB"/>
            </w:rPr>
            <w:fldChar w:fldCharType="separate"/>
          </w:r>
          <w:r w:rsidR="00B66BE1">
            <w:rPr>
              <w:noProof/>
            </w:rPr>
            <w:t xml:space="preserve"> (32)</w:t>
          </w:r>
          <w:r w:rsidR="00221F03">
            <w:rPr>
              <w:lang w:val="en-GB"/>
            </w:rPr>
            <w:fldChar w:fldCharType="end"/>
          </w:r>
        </w:sdtContent>
      </w:sdt>
      <w:sdt>
        <w:sdtPr>
          <w:rPr>
            <w:lang w:val="en-GB"/>
          </w:rPr>
          <w:id w:val="1927920225"/>
          <w:citation/>
        </w:sdtPr>
        <w:sdtEndPr/>
        <w:sdtContent>
          <w:r w:rsidR="00221F03">
            <w:rPr>
              <w:lang w:val="en-GB"/>
            </w:rPr>
            <w:fldChar w:fldCharType="begin"/>
          </w:r>
          <w:r w:rsidR="007C024E">
            <w:instrText xml:space="preserve">CITATION NIc \l 1033 </w:instrText>
          </w:r>
          <w:r w:rsidR="00221F03">
            <w:rPr>
              <w:lang w:val="en-GB"/>
            </w:rPr>
            <w:fldChar w:fldCharType="separate"/>
          </w:r>
          <w:r w:rsidR="00B66BE1">
            <w:rPr>
              <w:noProof/>
            </w:rPr>
            <w:t xml:space="preserve"> (33)</w:t>
          </w:r>
          <w:r w:rsidR="00221F03">
            <w:rPr>
              <w:lang w:val="en-GB"/>
            </w:rPr>
            <w:fldChar w:fldCharType="end"/>
          </w:r>
        </w:sdtContent>
      </w:sdt>
      <w:r w:rsidRPr="00074D54">
        <w:rPr>
          <w:lang w:val="en-GB"/>
        </w:rPr>
        <w:t>.</w:t>
      </w:r>
    </w:p>
    <w:p w14:paraId="69D63231" w14:textId="77777777" w:rsidR="00BE40E6" w:rsidRPr="00074D54" w:rsidRDefault="00BE40E6" w:rsidP="0029574B">
      <w:pPr>
        <w:pStyle w:val="NormalBulleted"/>
        <w:numPr>
          <w:ilvl w:val="0"/>
          <w:numId w:val="95"/>
        </w:numPr>
        <w:rPr>
          <w:lang w:val="en-GB"/>
        </w:rPr>
      </w:pPr>
      <w:r w:rsidRPr="00074D54">
        <w:rPr>
          <w:lang w:val="en-GB"/>
        </w:rPr>
        <w:lastRenderedPageBreak/>
        <w:t>The Committee noted that urine culture in a patient without symptoms of a urinary tract infection may reveal asymptomatic bacteriuria. This may lead to antibiotic treatment, despite evidence showing that antibiotic treatment provides no benefit (except for the groups of patients noted above). The Committee further noted that this treatment represents poor antibiotic stewardship, posing risks to the individual patient and the community by increasing antibiotic resistance.</w:t>
      </w:r>
    </w:p>
    <w:p w14:paraId="595065D4" w14:textId="77777777" w:rsidR="00BE40E6" w:rsidRPr="00074D54" w:rsidRDefault="00BE40E6" w:rsidP="0029574B">
      <w:pPr>
        <w:pStyle w:val="NormalBulleted"/>
        <w:numPr>
          <w:ilvl w:val="0"/>
          <w:numId w:val="95"/>
        </w:numPr>
        <w:rPr>
          <w:lang w:val="en-GB"/>
        </w:rPr>
      </w:pPr>
      <w:r w:rsidRPr="00074D54">
        <w:rPr>
          <w:lang w:val="en-GB"/>
        </w:rPr>
        <w:t>The patient subgroups listed as exceptions in the new explanatory note and item descriptor for item 69333 are high-risk groups</w:t>
      </w:r>
      <w:r w:rsidR="00B6740E">
        <w:rPr>
          <w:lang w:val="en-GB"/>
        </w:rPr>
        <w:t xml:space="preserve"> </w:t>
      </w:r>
      <w:sdt>
        <w:sdtPr>
          <w:rPr>
            <w:lang w:val="en-GB"/>
          </w:rPr>
          <w:id w:val="556049223"/>
          <w:citation/>
        </w:sdtPr>
        <w:sdtEndPr/>
        <w:sdtContent>
          <w:r w:rsidR="00B6740E">
            <w:rPr>
              <w:lang w:val="en-GB"/>
            </w:rPr>
            <w:fldChar w:fldCharType="begin"/>
          </w:r>
          <w:r w:rsidR="007C024E">
            <w:instrText xml:space="preserve">CITATION AOi \l 1033 </w:instrText>
          </w:r>
          <w:r w:rsidR="00B6740E">
            <w:rPr>
              <w:lang w:val="en-GB"/>
            </w:rPr>
            <w:fldChar w:fldCharType="separate"/>
          </w:r>
          <w:r w:rsidR="00B66BE1">
            <w:rPr>
              <w:noProof/>
            </w:rPr>
            <w:t>(34)</w:t>
          </w:r>
          <w:r w:rsidR="00B6740E">
            <w:rPr>
              <w:lang w:val="en-GB"/>
            </w:rPr>
            <w:fldChar w:fldCharType="end"/>
          </w:r>
        </w:sdtContent>
      </w:sdt>
      <w:sdt>
        <w:sdtPr>
          <w:rPr>
            <w:lang w:val="en-GB"/>
          </w:rPr>
          <w:id w:val="316844600"/>
          <w:citation/>
        </w:sdtPr>
        <w:sdtEndPr/>
        <w:sdtContent>
          <w:r w:rsidR="00B6740E">
            <w:rPr>
              <w:lang w:val="en-GB"/>
            </w:rPr>
            <w:fldChar w:fldCharType="begin"/>
          </w:r>
          <w:r w:rsidR="007C024E">
            <w:instrText xml:space="preserve">CITATION AOi1 \l 1033 </w:instrText>
          </w:r>
          <w:r w:rsidR="00B6740E">
            <w:rPr>
              <w:lang w:val="en-GB"/>
            </w:rPr>
            <w:fldChar w:fldCharType="separate"/>
          </w:r>
          <w:r w:rsidR="00B66BE1">
            <w:rPr>
              <w:noProof/>
            </w:rPr>
            <w:t xml:space="preserve"> (35)</w:t>
          </w:r>
          <w:r w:rsidR="00B6740E">
            <w:rPr>
              <w:lang w:val="en-GB"/>
            </w:rPr>
            <w:fldChar w:fldCharType="end"/>
          </w:r>
        </w:sdtContent>
      </w:sdt>
      <w:sdt>
        <w:sdtPr>
          <w:rPr>
            <w:lang w:val="en-GB"/>
          </w:rPr>
          <w:id w:val="208923570"/>
          <w:citation/>
        </w:sdtPr>
        <w:sdtEndPr/>
        <w:sdtContent>
          <w:r w:rsidR="00B6740E">
            <w:rPr>
              <w:lang w:val="en-GB"/>
            </w:rPr>
            <w:fldChar w:fldCharType="begin"/>
          </w:r>
          <w:r w:rsidR="00614E5F">
            <w:instrText xml:space="preserve">CITATION Placeholder1 \l 1033 </w:instrText>
          </w:r>
          <w:r w:rsidR="00B6740E">
            <w:rPr>
              <w:lang w:val="en-GB"/>
            </w:rPr>
            <w:fldChar w:fldCharType="separate"/>
          </w:r>
          <w:r w:rsidR="00B66BE1">
            <w:rPr>
              <w:noProof/>
            </w:rPr>
            <w:t xml:space="preserve"> (36)</w:t>
          </w:r>
          <w:r w:rsidR="00B6740E">
            <w:rPr>
              <w:lang w:val="en-GB"/>
            </w:rPr>
            <w:fldChar w:fldCharType="end"/>
          </w:r>
        </w:sdtContent>
      </w:sdt>
      <w:sdt>
        <w:sdtPr>
          <w:rPr>
            <w:lang w:val="en-GB"/>
          </w:rPr>
          <w:id w:val="-1672245604"/>
          <w:citation/>
        </w:sdtPr>
        <w:sdtEndPr/>
        <w:sdtContent>
          <w:r w:rsidR="00B6740E">
            <w:rPr>
              <w:lang w:val="en-GB"/>
            </w:rPr>
            <w:fldChar w:fldCharType="begin"/>
          </w:r>
          <w:r w:rsidR="007C024E">
            <w:instrText xml:space="preserve">CITATION Sch17 \l 1033 </w:instrText>
          </w:r>
          <w:r w:rsidR="00B6740E">
            <w:rPr>
              <w:lang w:val="en-GB"/>
            </w:rPr>
            <w:fldChar w:fldCharType="separate"/>
          </w:r>
          <w:r w:rsidR="00B66BE1">
            <w:rPr>
              <w:noProof/>
            </w:rPr>
            <w:t xml:space="preserve"> (37)</w:t>
          </w:r>
          <w:r w:rsidR="00B6740E">
            <w:rPr>
              <w:lang w:val="en-GB"/>
            </w:rPr>
            <w:fldChar w:fldCharType="end"/>
          </w:r>
        </w:sdtContent>
      </w:sdt>
      <w:sdt>
        <w:sdtPr>
          <w:rPr>
            <w:lang w:val="en-GB"/>
          </w:rPr>
          <w:id w:val="1550341750"/>
          <w:citation/>
        </w:sdtPr>
        <w:sdtEndPr/>
        <w:sdtContent>
          <w:r w:rsidR="00B6740E">
            <w:rPr>
              <w:lang w:val="en-GB"/>
            </w:rPr>
            <w:fldChar w:fldCharType="begin"/>
          </w:r>
          <w:r w:rsidR="007C024E">
            <w:instrText xml:space="preserve">CITATION Yac11 \l 1033 </w:instrText>
          </w:r>
          <w:r w:rsidR="00B6740E">
            <w:rPr>
              <w:lang w:val="en-GB"/>
            </w:rPr>
            <w:fldChar w:fldCharType="separate"/>
          </w:r>
          <w:r w:rsidR="00B66BE1">
            <w:rPr>
              <w:noProof/>
            </w:rPr>
            <w:t xml:space="preserve"> (38)</w:t>
          </w:r>
          <w:r w:rsidR="00B6740E">
            <w:rPr>
              <w:lang w:val="en-GB"/>
            </w:rPr>
            <w:fldChar w:fldCharType="end"/>
          </w:r>
        </w:sdtContent>
      </w:sdt>
      <w:sdt>
        <w:sdtPr>
          <w:rPr>
            <w:lang w:val="en-GB"/>
          </w:rPr>
          <w:id w:val="-597952230"/>
          <w:citation/>
        </w:sdtPr>
        <w:sdtEndPr/>
        <w:sdtContent>
          <w:r w:rsidR="00B6740E">
            <w:rPr>
              <w:lang w:val="en-GB"/>
            </w:rPr>
            <w:fldChar w:fldCharType="begin"/>
          </w:r>
          <w:r w:rsidR="00614E5F">
            <w:instrText xml:space="preserve">CITATION Nic \l 1033 </w:instrText>
          </w:r>
          <w:r w:rsidR="00B6740E">
            <w:rPr>
              <w:lang w:val="en-GB"/>
            </w:rPr>
            <w:fldChar w:fldCharType="separate"/>
          </w:r>
          <w:r w:rsidR="00B66BE1">
            <w:rPr>
              <w:noProof/>
            </w:rPr>
            <w:t xml:space="preserve"> (39)</w:t>
          </w:r>
          <w:r w:rsidR="00B6740E">
            <w:rPr>
              <w:lang w:val="en-GB"/>
            </w:rPr>
            <w:fldChar w:fldCharType="end"/>
          </w:r>
        </w:sdtContent>
      </w:sdt>
      <w:r w:rsidR="00B6740E">
        <w:rPr>
          <w:lang w:val="en-GB"/>
        </w:rPr>
        <w:t xml:space="preserve"> </w:t>
      </w:r>
      <w:r w:rsidRPr="00074D54">
        <w:rPr>
          <w:lang w:val="en-GB"/>
        </w:rPr>
        <w:t>for whom the finding of bacteriuria—even in the apparent absence of clinical symptoms—may warrant treatment to avoid potentially serious consequences. For example, children may have structural renal or urinary tract abnormalities that may predispose them to serious infections.</w:t>
      </w:r>
    </w:p>
    <w:p w14:paraId="7C5F62A9" w14:textId="77777777" w:rsidR="00BE40E6" w:rsidRPr="00074D54" w:rsidRDefault="00BE40E6" w:rsidP="00BE40E6">
      <w:pPr>
        <w:pStyle w:val="NormalBulleted"/>
        <w:ind w:left="357" w:hanging="357"/>
        <w:rPr>
          <w:lang w:val="en-GB"/>
        </w:rPr>
      </w:pPr>
      <w:r w:rsidRPr="00074D54">
        <w:rPr>
          <w:lang w:val="en-GB"/>
        </w:rPr>
        <w:t>The Committee acknowledged that poor collection of the urine sample, particularly contamination by skin flora, was a factor in repeat testing which would need to be addressed through further education activities.</w:t>
      </w:r>
    </w:p>
    <w:p w14:paraId="7258D5C4" w14:textId="77777777" w:rsidR="00BE40E6" w:rsidRPr="00074D54" w:rsidRDefault="00BE40E6" w:rsidP="00BE40E6">
      <w:pPr>
        <w:rPr>
          <w:lang w:val="en-GB"/>
        </w:rPr>
      </w:pPr>
      <w:r w:rsidRPr="00074D54">
        <w:rPr>
          <w:rFonts w:ascii="Times New Roman" w:hAnsi="Times New Roman"/>
          <w:sz w:val="24"/>
          <w:lang w:val="en-GB"/>
        </w:rPr>
        <w:br w:type="page"/>
      </w:r>
    </w:p>
    <w:p w14:paraId="550DC174" w14:textId="77777777" w:rsidR="00BE40E6" w:rsidRPr="00074D54" w:rsidRDefault="00BE40E6" w:rsidP="000B2FBB">
      <w:pPr>
        <w:pStyle w:val="NormalBulleted"/>
        <w:numPr>
          <w:ilvl w:val="0"/>
          <w:numId w:val="0"/>
        </w:numPr>
        <w:rPr>
          <w:lang w:val="en-GB"/>
        </w:rPr>
      </w:pPr>
    </w:p>
    <w:p w14:paraId="0BC365B9" w14:textId="77777777" w:rsidR="00BE40E6" w:rsidRPr="00074D54" w:rsidRDefault="00BE40E6" w:rsidP="00990089">
      <w:pPr>
        <w:pStyle w:val="Heading2"/>
        <w:keepLines/>
        <w:spacing w:before="280" w:line="240" w:lineRule="auto"/>
        <w:ind w:left="284" w:hanging="284"/>
        <w:rPr>
          <w:lang w:val="en-GB"/>
        </w:rPr>
      </w:pPr>
      <w:bookmarkStart w:id="220" w:name="_Toc522396652"/>
      <w:bookmarkStart w:id="221" w:name="_Toc525816092"/>
      <w:r w:rsidRPr="00074D54">
        <w:rPr>
          <w:lang w:val="en-GB"/>
        </w:rPr>
        <w:t>Vitamin D item group</w:t>
      </w:r>
      <w:bookmarkEnd w:id="220"/>
      <w:bookmarkEnd w:id="221"/>
      <w:r w:rsidRPr="00074D54">
        <w:rPr>
          <w:lang w:val="en-GB"/>
        </w:rPr>
        <w:t xml:space="preserve">  </w:t>
      </w:r>
    </w:p>
    <w:p w14:paraId="622210DE" w14:textId="77777777" w:rsidR="00BE40E6" w:rsidRPr="00074D54" w:rsidRDefault="00BE40E6" w:rsidP="00B42913">
      <w:pPr>
        <w:pStyle w:val="Heading3Numbered0"/>
        <w:rPr>
          <w:lang w:val="en-GB"/>
        </w:rPr>
      </w:pPr>
      <w:bookmarkStart w:id="222" w:name="_Toc522396653"/>
      <w:bookmarkStart w:id="223" w:name="_Toc525816093"/>
      <w:r w:rsidRPr="00074D54">
        <w:rPr>
          <w:lang w:val="en-GB"/>
        </w:rPr>
        <w:t>Vitamin D items</w:t>
      </w:r>
      <w:bookmarkEnd w:id="222"/>
      <w:bookmarkEnd w:id="223"/>
    </w:p>
    <w:p w14:paraId="4FEE0A5C" w14:textId="77777777" w:rsidR="00BE40E6" w:rsidRPr="00074D54" w:rsidRDefault="00EB0974" w:rsidP="00EB0974">
      <w:pPr>
        <w:pStyle w:val="Caption"/>
        <w:rPr>
          <w:color w:val="FF0000"/>
          <w:lang w:val="en-GB"/>
        </w:rPr>
      </w:pPr>
      <w:bookmarkStart w:id="224" w:name="_Toc525816963"/>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7</w:t>
      </w:r>
      <w:r w:rsidR="00AF6A7F">
        <w:rPr>
          <w:noProof/>
        </w:rPr>
        <w:fldChar w:fldCharType="end"/>
      </w:r>
      <w:r w:rsidR="00BE40E6" w:rsidRPr="00074D54">
        <w:rPr>
          <w:lang w:val="en-GB"/>
        </w:rPr>
        <w:t xml:space="preserve">: </w:t>
      </w:r>
      <w:r w:rsidR="000028AB">
        <w:rPr>
          <w:lang w:val="en-GB"/>
        </w:rPr>
        <w:t>Services and benefits data for items</w:t>
      </w:r>
      <w:r w:rsidR="000028AB" w:rsidRPr="00074D54">
        <w:rPr>
          <w:lang w:val="en-GB"/>
        </w:rPr>
        <w:t xml:space="preserve"> </w:t>
      </w:r>
      <w:r w:rsidR="00BE40E6" w:rsidRPr="00074D54">
        <w:rPr>
          <w:lang w:val="en-GB"/>
        </w:rPr>
        <w:t>66833, 66835, 66836, 66834 and 66837</w:t>
      </w:r>
      <w:bookmarkEnd w:id="224"/>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7: Services and benefits data for items 66833, 66835, 66836, 66834 and 66837"/>
        <w:tblDescription w:val="Table 7 shows the standard data for vitamin D items. For each of the items, the table shows the descriptor, the Schedule fee, the total number of services and total amount of benefits paid for the financial year 2015-16, as well as the average annual growth over the preceding five years."/>
      </w:tblPr>
      <w:tblGrid>
        <w:gridCol w:w="676"/>
        <w:gridCol w:w="3573"/>
        <w:gridCol w:w="902"/>
        <w:gridCol w:w="982"/>
        <w:gridCol w:w="1074"/>
        <w:gridCol w:w="1095"/>
      </w:tblGrid>
      <w:tr w:rsidR="00BE40E6" w:rsidRPr="00074D54" w14:paraId="34014FDB" w14:textId="77777777" w:rsidTr="00BE40E6">
        <w:trPr>
          <w:tblHeader/>
        </w:trPr>
        <w:tc>
          <w:tcPr>
            <w:tcW w:w="716"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A1052F8"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4111"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5F4BF558"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010178D"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99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46422E4"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080"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109B2DD2"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95"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C3979C5"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594254E9"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31614B4B"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66833</w:t>
            </w:r>
          </w:p>
        </w:tc>
        <w:tc>
          <w:tcPr>
            <w:tcW w:w="4111" w:type="dxa"/>
            <w:tcBorders>
              <w:top w:val="single" w:sz="4" w:space="0" w:color="808080"/>
              <w:left w:val="single" w:sz="4" w:space="0" w:color="808080"/>
              <w:bottom w:val="single" w:sz="4" w:space="0" w:color="808080"/>
              <w:right w:val="single" w:sz="4" w:space="0" w:color="808080"/>
            </w:tcBorders>
          </w:tcPr>
          <w:p w14:paraId="7C9241B4" w14:textId="77777777"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25-hydroxyvitamin D, quantification in serum, for the investigation of a patient who:</w:t>
            </w:r>
          </w:p>
          <w:p w14:paraId="11EF7ED8" w14:textId="17773A1B" w:rsidR="00BE40E6" w:rsidRPr="00074D54" w:rsidRDefault="00C03421" w:rsidP="00B01BAF">
            <w:pPr>
              <w:rPr>
                <w:rFonts w:ascii="Arial" w:eastAsiaTheme="minorHAnsi" w:hAnsi="Arial" w:cs="Arial"/>
                <w:sz w:val="18"/>
                <w:szCs w:val="18"/>
                <w:lang w:val="en-GB" w:eastAsia="en-US"/>
              </w:rPr>
            </w:pPr>
            <w:r>
              <w:rPr>
                <w:rFonts w:ascii="Arial" w:eastAsiaTheme="minorHAnsi" w:hAnsi="Arial" w:cs="Arial"/>
                <w:sz w:val="18"/>
                <w:szCs w:val="18"/>
                <w:lang w:val="en-GB" w:eastAsia="en-US"/>
              </w:rPr>
              <w:t xml:space="preserve">(a) </w:t>
            </w:r>
            <w:r w:rsidR="00BE40E6" w:rsidRPr="00074D54">
              <w:rPr>
                <w:rFonts w:ascii="Arial" w:eastAsiaTheme="minorHAnsi" w:hAnsi="Arial" w:cs="Arial"/>
                <w:sz w:val="18"/>
                <w:szCs w:val="18"/>
                <w:lang w:val="en-GB" w:eastAsia="en-US"/>
              </w:rPr>
              <w:t>has signs or symptoms of osteoporosis or osteomalacia; or</w:t>
            </w:r>
          </w:p>
          <w:p w14:paraId="2BE1E00A" w14:textId="795581FF"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 xml:space="preserve">(b) </w:t>
            </w:r>
            <w:r w:rsidR="00BE40E6" w:rsidRPr="00074D54">
              <w:rPr>
                <w:rFonts w:ascii="Arial" w:eastAsiaTheme="minorHAnsi" w:hAnsi="Arial" w:cs="Arial"/>
                <w:sz w:val="18"/>
                <w:szCs w:val="18"/>
                <w:lang w:val="en-GB" w:eastAsia="en-US"/>
              </w:rPr>
              <w:t>has increased alkaline phosphatase and otherwise normal liver function tests; or</w:t>
            </w:r>
          </w:p>
          <w:p w14:paraId="135CA29F" w14:textId="3F04E0FB"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 xml:space="preserve">(c) </w:t>
            </w:r>
            <w:r w:rsidR="00BE40E6" w:rsidRPr="00074D54">
              <w:rPr>
                <w:rFonts w:ascii="Arial" w:eastAsiaTheme="minorHAnsi" w:hAnsi="Arial" w:cs="Arial"/>
                <w:sz w:val="18"/>
                <w:szCs w:val="18"/>
                <w:lang w:val="en-GB" w:eastAsia="en-US"/>
              </w:rPr>
              <w:t>has hyperparathyroidism, hypo- or hypercalcaemia, or hypophosphataemia; or</w:t>
            </w:r>
          </w:p>
          <w:p w14:paraId="63D77012" w14:textId="4D750818"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 xml:space="preserve">(d) </w:t>
            </w:r>
            <w:r w:rsidR="00BE40E6" w:rsidRPr="00074D54">
              <w:rPr>
                <w:rFonts w:ascii="Arial" w:eastAsiaTheme="minorHAnsi" w:hAnsi="Arial" w:cs="Arial"/>
                <w:sz w:val="18"/>
                <w:szCs w:val="18"/>
                <w:lang w:val="en-GB" w:eastAsia="en-US"/>
              </w:rPr>
              <w:t>is suffering from malabsorption (for example, because the patient has cystic fibrosis, short bowel syndrome, inflammatory bowel disease or untreated coeliac disease, or has had bariatric surgery); or</w:t>
            </w:r>
          </w:p>
          <w:p w14:paraId="5AF35939" w14:textId="1731FCB8" w:rsidR="00BE40E6" w:rsidRPr="00074D54" w:rsidRDefault="00BE40E6">
            <w:pPr>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(e)</w:t>
            </w:r>
            <w:r w:rsidR="00C03421">
              <w:rPr>
                <w:rFonts w:ascii="Arial" w:eastAsiaTheme="minorHAnsi" w:hAnsi="Arial" w:cs="Arial"/>
                <w:sz w:val="18"/>
                <w:szCs w:val="18"/>
                <w:lang w:val="en-GB" w:eastAsia="en-US"/>
              </w:rPr>
              <w:t xml:space="preserve"> </w:t>
            </w:r>
            <w:r w:rsidRPr="00074D54">
              <w:rPr>
                <w:rFonts w:ascii="Arial" w:eastAsiaTheme="minorHAnsi" w:hAnsi="Arial" w:cs="Arial"/>
                <w:sz w:val="18"/>
                <w:szCs w:val="18"/>
                <w:lang w:val="en-GB" w:eastAsia="en-US"/>
              </w:rPr>
              <w:t>has deeply pigmented skin, or chronic and severe lack of sun exposure for cultural, medical, occupational or residential reasons; or</w:t>
            </w:r>
          </w:p>
          <w:p w14:paraId="44B2D51F" w14:textId="3A8546C8"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 xml:space="preserve">(f) </w:t>
            </w:r>
            <w:r w:rsidR="00BE40E6" w:rsidRPr="00074D54">
              <w:rPr>
                <w:rFonts w:ascii="Arial" w:eastAsiaTheme="minorHAnsi" w:hAnsi="Arial" w:cs="Arial"/>
                <w:sz w:val="18"/>
                <w:szCs w:val="18"/>
                <w:lang w:val="en-GB" w:eastAsia="en-US"/>
              </w:rPr>
              <w:t>is taking medication known to decrease 25OH-D levels (for example, anticonvulsants); or</w:t>
            </w:r>
          </w:p>
          <w:p w14:paraId="1BA6D1F1" w14:textId="6FAB65F7"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(g) </w:t>
            </w:r>
            <w:r w:rsidR="00BE40E6" w:rsidRPr="00074D54">
              <w:rPr>
                <w:rFonts w:ascii="Arial" w:eastAsiaTheme="minorHAnsi" w:hAnsi="Arial" w:cs="Arial"/>
                <w:sz w:val="18"/>
                <w:szCs w:val="18"/>
                <w:lang w:val="en-GB" w:eastAsia="en-US"/>
              </w:rPr>
              <w:t>has chronic renal failure or is a renal transplant recipient; or</w:t>
            </w:r>
          </w:p>
          <w:p w14:paraId="69D0CF8F" w14:textId="4FE9693F"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(h) </w:t>
            </w:r>
            <w:r w:rsidR="00BE40E6" w:rsidRPr="00074D54">
              <w:rPr>
                <w:rFonts w:ascii="Arial" w:eastAsiaTheme="minorHAnsi" w:hAnsi="Arial" w:cs="Arial"/>
                <w:sz w:val="18"/>
                <w:szCs w:val="18"/>
                <w:lang w:val="en-GB" w:eastAsia="en-US"/>
              </w:rPr>
              <w:t>is less than 16 years of age and has signs or symptoms of rickets; or</w:t>
            </w:r>
          </w:p>
          <w:p w14:paraId="0AB785F5" w14:textId="5C5AC1E2"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(i) </w:t>
            </w:r>
            <w:r w:rsidR="00BE40E6" w:rsidRPr="00074D54">
              <w:rPr>
                <w:rFonts w:ascii="Arial" w:eastAsiaTheme="minorHAnsi" w:hAnsi="Arial" w:cs="Arial"/>
                <w:sz w:val="18"/>
                <w:szCs w:val="18"/>
                <w:lang w:val="en-GB" w:eastAsia="en-US"/>
              </w:rPr>
              <w:t>is an infant whose mother has established vitamin D deficiency; or</w:t>
            </w:r>
          </w:p>
          <w:p w14:paraId="3D9AB5C9" w14:textId="720CF2AB"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t>(j) </w:t>
            </w:r>
            <w:r w:rsidR="00BE40E6" w:rsidRPr="00074D54">
              <w:rPr>
                <w:rFonts w:ascii="Arial" w:eastAsiaTheme="minorHAnsi" w:hAnsi="Arial" w:cs="Arial"/>
                <w:sz w:val="18"/>
                <w:szCs w:val="18"/>
                <w:lang w:val="en-GB" w:eastAsia="en-US"/>
              </w:rPr>
              <w:t>is a exclusively breastfed baby and has at least one other risk factor mentioned in a paragraph in this item; or</w:t>
            </w:r>
          </w:p>
          <w:p w14:paraId="733CB92E" w14:textId="00B27DD6" w:rsidR="00BE40E6" w:rsidRPr="00074D54" w:rsidRDefault="00C03421">
            <w:pPr>
              <w:rPr>
                <w:rFonts w:ascii="Arial" w:eastAsiaTheme="minorHAnsi" w:hAnsi="Arial" w:cs="Arial"/>
                <w:sz w:val="18"/>
                <w:szCs w:val="18"/>
                <w:lang w:val="en-GB" w:eastAsia="en-US"/>
              </w:rPr>
            </w:pPr>
            <w:r>
              <w:rPr>
                <w:rFonts w:ascii="Arial" w:eastAsiaTheme="minorHAnsi" w:hAnsi="Arial" w:cs="Arial"/>
                <w:sz w:val="18"/>
                <w:szCs w:val="18"/>
                <w:lang w:val="en-GB" w:eastAsia="en-US"/>
              </w:rPr>
              <w:lastRenderedPageBreak/>
              <w:t>(k) </w:t>
            </w:r>
            <w:r w:rsidR="00BE40E6" w:rsidRPr="00074D54">
              <w:rPr>
                <w:rFonts w:ascii="Arial" w:eastAsiaTheme="minorHAnsi" w:hAnsi="Arial" w:cs="Arial"/>
                <w:sz w:val="18"/>
                <w:szCs w:val="18"/>
                <w:lang w:val="en-GB" w:eastAsia="en-US"/>
              </w:rPr>
              <w:t>has a sibling who is less than 16 years of age and has vitamin D deficiency</w:t>
            </w:r>
          </w:p>
          <w:p w14:paraId="7B991FC1" w14:textId="77777777" w:rsidR="00BE40E6" w:rsidRPr="00074D54" w:rsidRDefault="00BE40E6">
            <w:pPr>
              <w:spacing w:before="20" w:after="20"/>
              <w:rPr>
                <w:rFonts w:ascii="Arial" w:eastAsiaTheme="minorHAnsi" w:hAnsi="Arial" w:cs="Arial"/>
                <w:color w:val="FF0000"/>
                <w:sz w:val="18"/>
                <w:szCs w:val="18"/>
                <w:lang w:val="en-GB" w:eastAsia="en-US"/>
              </w:rPr>
            </w:pPr>
          </w:p>
        </w:tc>
        <w:tc>
          <w:tcPr>
            <w:tcW w:w="917" w:type="dxa"/>
            <w:tcBorders>
              <w:top w:val="single" w:sz="4" w:space="0" w:color="808080"/>
              <w:left w:val="single" w:sz="4" w:space="0" w:color="808080"/>
              <w:bottom w:val="single" w:sz="4" w:space="0" w:color="808080"/>
              <w:right w:val="single" w:sz="4" w:space="0" w:color="808080"/>
            </w:tcBorders>
            <w:hideMark/>
          </w:tcPr>
          <w:p w14:paraId="3C642DAB" w14:textId="77777777" w:rsidR="00BE40E6" w:rsidRPr="00074D54" w:rsidRDefault="00BE40E6" w:rsidP="00DA51D1">
            <w:pPr>
              <w:spacing w:before="20" w:after="20"/>
              <w:rPr>
                <w:rFonts w:ascii="Arial" w:eastAsiaTheme="minorHAnsi" w:hAnsi="Arial" w:cs="Arial"/>
                <w:color w:val="FF0000"/>
                <w:sz w:val="18"/>
                <w:szCs w:val="18"/>
                <w:lang w:val="en-GB" w:eastAsia="en-US"/>
              </w:rPr>
            </w:pPr>
            <w:r w:rsidRPr="00074D54">
              <w:rPr>
                <w:rFonts w:ascii="Arial" w:eastAsiaTheme="minorHAnsi" w:hAnsi="Arial" w:cs="Arial"/>
                <w:sz w:val="18"/>
                <w:szCs w:val="18"/>
                <w:lang w:val="en-GB" w:eastAsia="en-US"/>
              </w:rPr>
              <w:lastRenderedPageBreak/>
              <w:t>$30.05</w:t>
            </w:r>
          </w:p>
        </w:tc>
        <w:tc>
          <w:tcPr>
            <w:tcW w:w="997" w:type="dxa"/>
            <w:tcBorders>
              <w:top w:val="single" w:sz="4" w:space="0" w:color="808080"/>
              <w:left w:val="single" w:sz="4" w:space="0" w:color="808080"/>
              <w:bottom w:val="single" w:sz="4" w:space="0" w:color="808080"/>
              <w:right w:val="single" w:sz="4" w:space="0" w:color="808080"/>
            </w:tcBorders>
            <w:hideMark/>
          </w:tcPr>
          <w:p w14:paraId="6A38CB04"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2,889,151</w:t>
            </w:r>
          </w:p>
        </w:tc>
        <w:tc>
          <w:tcPr>
            <w:tcW w:w="1080" w:type="dxa"/>
            <w:tcBorders>
              <w:top w:val="single" w:sz="4" w:space="0" w:color="808080"/>
              <w:left w:val="single" w:sz="4" w:space="0" w:color="808080"/>
              <w:bottom w:val="single" w:sz="4" w:space="0" w:color="808080"/>
              <w:right w:val="single" w:sz="4" w:space="0" w:color="808080"/>
            </w:tcBorders>
            <w:hideMark/>
          </w:tcPr>
          <w:p w14:paraId="1FD146C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$73,920,683</w:t>
            </w:r>
          </w:p>
        </w:tc>
        <w:tc>
          <w:tcPr>
            <w:tcW w:w="1195" w:type="dxa"/>
            <w:tcBorders>
              <w:top w:val="single" w:sz="4" w:space="0" w:color="808080"/>
              <w:left w:val="single" w:sz="4" w:space="0" w:color="808080"/>
              <w:bottom w:val="single" w:sz="4" w:space="0" w:color="808080"/>
              <w:right w:val="single" w:sz="4" w:space="0" w:color="808080"/>
            </w:tcBorders>
            <w:hideMark/>
          </w:tcPr>
          <w:p w14:paraId="3A93F59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r w:rsidR="00BE40E6" w:rsidRPr="00074D54" w14:paraId="3EFE7916"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60C0566B"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66835</w:t>
            </w:r>
          </w:p>
        </w:tc>
        <w:tc>
          <w:tcPr>
            <w:tcW w:w="4111" w:type="dxa"/>
            <w:tcBorders>
              <w:top w:val="single" w:sz="4" w:space="0" w:color="808080"/>
              <w:left w:val="single" w:sz="4" w:space="0" w:color="808080"/>
              <w:bottom w:val="single" w:sz="4" w:space="0" w:color="808080"/>
              <w:right w:val="single" w:sz="4" w:space="0" w:color="808080"/>
            </w:tcBorders>
            <w:hideMark/>
          </w:tcPr>
          <w:p w14:paraId="4DC036AA"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 25-dihydroxyvitamin D - quantification in serum, if the request for the test is made by, or on advice of, the specialist or consultant physician managing the treatment of the patient</w:t>
            </w:r>
          </w:p>
        </w:tc>
        <w:tc>
          <w:tcPr>
            <w:tcW w:w="917" w:type="dxa"/>
            <w:tcBorders>
              <w:top w:val="single" w:sz="4" w:space="0" w:color="808080"/>
              <w:left w:val="single" w:sz="4" w:space="0" w:color="808080"/>
              <w:bottom w:val="single" w:sz="4" w:space="0" w:color="808080"/>
              <w:right w:val="single" w:sz="4" w:space="0" w:color="808080"/>
            </w:tcBorders>
            <w:hideMark/>
          </w:tcPr>
          <w:p w14:paraId="61FDF1E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$39.05</w:t>
            </w:r>
          </w:p>
        </w:tc>
        <w:tc>
          <w:tcPr>
            <w:tcW w:w="997" w:type="dxa"/>
            <w:tcBorders>
              <w:top w:val="single" w:sz="4" w:space="0" w:color="808080"/>
              <w:left w:val="single" w:sz="4" w:space="0" w:color="808080"/>
              <w:bottom w:val="single" w:sz="4" w:space="0" w:color="808080"/>
              <w:right w:val="single" w:sz="4" w:space="0" w:color="808080"/>
            </w:tcBorders>
            <w:hideMark/>
          </w:tcPr>
          <w:p w14:paraId="6635CBBC"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9,465</w:t>
            </w:r>
          </w:p>
        </w:tc>
        <w:tc>
          <w:tcPr>
            <w:tcW w:w="1080" w:type="dxa"/>
            <w:tcBorders>
              <w:top w:val="single" w:sz="4" w:space="0" w:color="808080"/>
              <w:left w:val="single" w:sz="4" w:space="0" w:color="808080"/>
              <w:bottom w:val="single" w:sz="4" w:space="0" w:color="808080"/>
              <w:right w:val="single" w:sz="4" w:space="0" w:color="808080"/>
            </w:tcBorders>
            <w:hideMark/>
          </w:tcPr>
          <w:p w14:paraId="38D5DA91"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$313,583</w:t>
            </w:r>
          </w:p>
        </w:tc>
        <w:tc>
          <w:tcPr>
            <w:tcW w:w="1195" w:type="dxa"/>
            <w:tcBorders>
              <w:top w:val="single" w:sz="4" w:space="0" w:color="808080"/>
              <w:left w:val="single" w:sz="4" w:space="0" w:color="808080"/>
              <w:bottom w:val="single" w:sz="4" w:space="0" w:color="808080"/>
              <w:right w:val="single" w:sz="4" w:space="0" w:color="808080"/>
            </w:tcBorders>
            <w:hideMark/>
          </w:tcPr>
          <w:p w14:paraId="7F2EBC6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N/A</w:t>
            </w:r>
          </w:p>
        </w:tc>
      </w:tr>
      <w:tr w:rsidR="00BE40E6" w:rsidRPr="00074D54" w14:paraId="3371FB3B"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4378075A"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66836</w:t>
            </w:r>
          </w:p>
        </w:tc>
        <w:tc>
          <w:tcPr>
            <w:tcW w:w="4111" w:type="dxa"/>
            <w:tcBorders>
              <w:top w:val="single" w:sz="4" w:space="0" w:color="808080"/>
              <w:left w:val="single" w:sz="4" w:space="0" w:color="808080"/>
              <w:bottom w:val="single" w:sz="4" w:space="0" w:color="808080"/>
              <w:right w:val="single" w:sz="4" w:space="0" w:color="808080"/>
            </w:tcBorders>
          </w:tcPr>
          <w:p w14:paraId="6EBED0AC" w14:textId="77777777" w:rsidR="00BE40E6" w:rsidRPr="00074D54" w:rsidRDefault="00BE40E6">
            <w:pPr>
              <w:shd w:val="clear" w:color="auto" w:fill="FBFBFB"/>
              <w:spacing w:after="240" w:line="300" w:lineRule="atLeast"/>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 25-dihydroxyvitamin D-quantification in serum, if:</w:t>
            </w:r>
          </w:p>
          <w:p w14:paraId="2958538B" w14:textId="143269A7" w:rsidR="00BE40E6" w:rsidRPr="00074D54" w:rsidRDefault="00C03421">
            <w:pPr>
              <w:shd w:val="clear" w:color="auto" w:fill="FBFBFB"/>
              <w:spacing w:after="240" w:line="300" w:lineRule="atLeast"/>
              <w:rPr>
                <w:rFonts w:ascii="Arial" w:eastAsiaTheme="minorHAnsi" w:hAnsi="Arial" w:cs="Arial"/>
                <w:sz w:val="18"/>
                <w:szCs w:val="18"/>
                <w:lang w:val="en-GB" w:eastAsia="en-US"/>
              </w:rPr>
            </w:pPr>
            <w:r>
              <w:rPr>
                <w:rFonts w:ascii="Arial" w:eastAsiaTheme="minorHAnsi" w:hAnsi="Arial" w:cs="Arial"/>
                <w:sz w:val="18"/>
                <w:szCs w:val="18"/>
                <w:lang w:val="en-GB" w:eastAsia="en-US"/>
              </w:rPr>
              <w:t>(a) </w:t>
            </w:r>
            <w:r w:rsidR="00BE40E6" w:rsidRPr="00074D54">
              <w:rPr>
                <w:rFonts w:ascii="Arial" w:eastAsiaTheme="minorHAnsi" w:hAnsi="Arial" w:cs="Arial"/>
                <w:sz w:val="18"/>
                <w:szCs w:val="18"/>
                <w:lang w:val="en-GB" w:eastAsia="en-US"/>
              </w:rPr>
              <w:t>the patient has hypercalcaemia; and</w:t>
            </w:r>
          </w:p>
          <w:p w14:paraId="3C89B51E" w14:textId="6424703C" w:rsidR="00BE40E6" w:rsidRPr="00074D54" w:rsidRDefault="00C03421">
            <w:pPr>
              <w:shd w:val="clear" w:color="auto" w:fill="FBFBFB"/>
              <w:spacing w:after="240" w:line="300" w:lineRule="atLeast"/>
              <w:rPr>
                <w:rFonts w:ascii="Arial" w:eastAsiaTheme="minorHAnsi" w:hAnsi="Arial" w:cs="Arial"/>
                <w:sz w:val="18"/>
                <w:szCs w:val="18"/>
                <w:lang w:val="en-GB" w:eastAsia="en-US"/>
              </w:rPr>
            </w:pPr>
            <w:r>
              <w:rPr>
                <w:rFonts w:ascii="Arial" w:eastAsiaTheme="minorHAnsi" w:hAnsi="Arial" w:cs="Arial"/>
                <w:sz w:val="18"/>
                <w:szCs w:val="18"/>
                <w:lang w:val="en-GB" w:eastAsia="en-US"/>
              </w:rPr>
              <w:t>(b) </w:t>
            </w:r>
            <w:r w:rsidR="00BE40E6" w:rsidRPr="00074D54">
              <w:rPr>
                <w:rFonts w:ascii="Arial" w:eastAsiaTheme="minorHAnsi" w:hAnsi="Arial" w:cs="Arial"/>
                <w:sz w:val="18"/>
                <w:szCs w:val="18"/>
                <w:lang w:val="en-GB" w:eastAsia="en-US"/>
              </w:rPr>
              <w:t>the request for the test is made by a general practitioner managing the treatment of the patient</w:t>
            </w:r>
          </w:p>
          <w:p w14:paraId="09F60D87" w14:textId="77777777" w:rsidR="00BE40E6" w:rsidRPr="00074D54" w:rsidRDefault="00BE40E6">
            <w:pPr>
              <w:spacing w:before="20" w:after="20"/>
              <w:rPr>
                <w:rFonts w:ascii="Arial" w:eastAsiaTheme="minorHAnsi" w:hAnsi="Arial" w:cs="Arial"/>
                <w:color w:val="FF0000"/>
                <w:sz w:val="18"/>
                <w:szCs w:val="18"/>
                <w:lang w:val="en-GB" w:eastAsia="en-US"/>
              </w:rPr>
            </w:pPr>
          </w:p>
        </w:tc>
        <w:tc>
          <w:tcPr>
            <w:tcW w:w="917" w:type="dxa"/>
            <w:tcBorders>
              <w:top w:val="single" w:sz="4" w:space="0" w:color="808080"/>
              <w:left w:val="single" w:sz="4" w:space="0" w:color="808080"/>
              <w:bottom w:val="single" w:sz="4" w:space="0" w:color="808080"/>
              <w:right w:val="single" w:sz="4" w:space="0" w:color="808080"/>
            </w:tcBorders>
            <w:hideMark/>
          </w:tcPr>
          <w:p w14:paraId="3F71AE6A"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$39.05</w:t>
            </w:r>
          </w:p>
        </w:tc>
        <w:tc>
          <w:tcPr>
            <w:tcW w:w="997" w:type="dxa"/>
            <w:tcBorders>
              <w:top w:val="single" w:sz="4" w:space="0" w:color="808080"/>
              <w:left w:val="single" w:sz="4" w:space="0" w:color="808080"/>
              <w:bottom w:val="single" w:sz="4" w:space="0" w:color="808080"/>
              <w:right w:val="single" w:sz="4" w:space="0" w:color="808080"/>
            </w:tcBorders>
            <w:hideMark/>
          </w:tcPr>
          <w:p w14:paraId="073CDF18"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160</w:t>
            </w:r>
          </w:p>
        </w:tc>
        <w:tc>
          <w:tcPr>
            <w:tcW w:w="1080" w:type="dxa"/>
            <w:tcBorders>
              <w:top w:val="single" w:sz="4" w:space="0" w:color="808080"/>
              <w:left w:val="single" w:sz="4" w:space="0" w:color="808080"/>
              <w:bottom w:val="single" w:sz="4" w:space="0" w:color="808080"/>
              <w:right w:val="single" w:sz="4" w:space="0" w:color="808080"/>
            </w:tcBorders>
            <w:hideMark/>
          </w:tcPr>
          <w:p w14:paraId="4547533E"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$5,172</w:t>
            </w:r>
          </w:p>
        </w:tc>
        <w:tc>
          <w:tcPr>
            <w:tcW w:w="1195" w:type="dxa"/>
            <w:tcBorders>
              <w:top w:val="single" w:sz="4" w:space="0" w:color="808080"/>
              <w:left w:val="single" w:sz="4" w:space="0" w:color="808080"/>
              <w:bottom w:val="single" w:sz="4" w:space="0" w:color="808080"/>
              <w:right w:val="single" w:sz="4" w:space="0" w:color="808080"/>
            </w:tcBorders>
            <w:hideMark/>
          </w:tcPr>
          <w:p w14:paraId="5C513BDA"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N/A</w:t>
            </w:r>
          </w:p>
        </w:tc>
      </w:tr>
      <w:tr w:rsidR="00BE40E6" w:rsidRPr="00074D54" w14:paraId="7F96E28B"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36BFC287"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66834</w:t>
            </w:r>
          </w:p>
        </w:tc>
        <w:tc>
          <w:tcPr>
            <w:tcW w:w="4111" w:type="dxa"/>
            <w:tcBorders>
              <w:top w:val="single" w:sz="4" w:space="0" w:color="808080"/>
              <w:left w:val="single" w:sz="4" w:space="0" w:color="808080"/>
              <w:bottom w:val="single" w:sz="4" w:space="0" w:color="808080"/>
              <w:right w:val="single" w:sz="4" w:space="0" w:color="808080"/>
            </w:tcBorders>
            <w:hideMark/>
          </w:tcPr>
          <w:p w14:paraId="75968271" w14:textId="77777777" w:rsidR="00BE40E6" w:rsidRPr="00074D54" w:rsidRDefault="00BE40E6">
            <w:pPr>
              <w:shd w:val="clear" w:color="auto" w:fill="FBFBFB"/>
              <w:spacing w:after="240" w:line="300" w:lineRule="atLeast"/>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test described in item 66833 if rendered by a receiving APP</w:t>
            </w:r>
          </w:p>
          <w:p w14:paraId="2A171B3E" w14:textId="77777777" w:rsidR="00BE40E6" w:rsidRPr="00074D54" w:rsidRDefault="00BE40E6">
            <w:pPr>
              <w:shd w:val="clear" w:color="auto" w:fill="FBFBFB"/>
              <w:spacing w:after="240" w:line="300" w:lineRule="atLeast"/>
              <w:rPr>
                <w:rFonts w:ascii="Helvetica" w:hAnsi="Helvetica" w:cs="Helvetica"/>
                <w:color w:val="222222"/>
                <w:sz w:val="20"/>
                <w:szCs w:val="20"/>
                <w:lang w:val="en-GB"/>
              </w:rPr>
            </w:pPr>
            <w:r w:rsidRPr="00074D54">
              <w:rPr>
                <w:rFonts w:ascii="Arial" w:eastAsiaTheme="minorHAnsi" w:hAnsi="Arial" w:cs="Arial"/>
                <w:sz w:val="18"/>
                <w:szCs w:val="18"/>
                <w:lang w:val="en-GB" w:eastAsia="en-US"/>
              </w:rPr>
              <w:t>(Item is subject to Rule 18)</w:t>
            </w:r>
          </w:p>
        </w:tc>
        <w:tc>
          <w:tcPr>
            <w:tcW w:w="917" w:type="dxa"/>
            <w:tcBorders>
              <w:top w:val="single" w:sz="4" w:space="0" w:color="808080"/>
              <w:left w:val="single" w:sz="4" w:space="0" w:color="808080"/>
              <w:bottom w:val="single" w:sz="4" w:space="0" w:color="808080"/>
              <w:right w:val="single" w:sz="4" w:space="0" w:color="808080"/>
            </w:tcBorders>
            <w:hideMark/>
          </w:tcPr>
          <w:p w14:paraId="537CEC78"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$30.05</w:t>
            </w:r>
          </w:p>
        </w:tc>
        <w:tc>
          <w:tcPr>
            <w:tcW w:w="997" w:type="dxa"/>
            <w:tcBorders>
              <w:top w:val="single" w:sz="4" w:space="0" w:color="808080"/>
              <w:left w:val="single" w:sz="4" w:space="0" w:color="808080"/>
              <w:bottom w:val="single" w:sz="4" w:space="0" w:color="808080"/>
              <w:right w:val="single" w:sz="4" w:space="0" w:color="808080"/>
            </w:tcBorders>
            <w:hideMark/>
          </w:tcPr>
          <w:p w14:paraId="7A88945A"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1,400</w:t>
            </w:r>
          </w:p>
        </w:tc>
        <w:tc>
          <w:tcPr>
            <w:tcW w:w="1080" w:type="dxa"/>
            <w:tcBorders>
              <w:top w:val="single" w:sz="4" w:space="0" w:color="808080"/>
              <w:left w:val="single" w:sz="4" w:space="0" w:color="808080"/>
              <w:bottom w:val="single" w:sz="4" w:space="0" w:color="808080"/>
              <w:right w:val="single" w:sz="4" w:space="0" w:color="808080"/>
            </w:tcBorders>
            <w:hideMark/>
          </w:tcPr>
          <w:p w14:paraId="64B03BF3"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35,473</w:t>
            </w:r>
          </w:p>
        </w:tc>
        <w:tc>
          <w:tcPr>
            <w:tcW w:w="1195" w:type="dxa"/>
            <w:tcBorders>
              <w:top w:val="single" w:sz="4" w:space="0" w:color="808080"/>
              <w:left w:val="single" w:sz="4" w:space="0" w:color="808080"/>
              <w:bottom w:val="single" w:sz="4" w:space="0" w:color="808080"/>
              <w:right w:val="single" w:sz="4" w:space="0" w:color="808080"/>
            </w:tcBorders>
            <w:hideMark/>
          </w:tcPr>
          <w:p w14:paraId="57F8D1D6"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N/A</w:t>
            </w:r>
          </w:p>
        </w:tc>
      </w:tr>
      <w:tr w:rsidR="00BE40E6" w:rsidRPr="00074D54" w14:paraId="4D310662" w14:textId="77777777" w:rsidTr="00DA51D1">
        <w:tc>
          <w:tcPr>
            <w:tcW w:w="716" w:type="dxa"/>
            <w:tcBorders>
              <w:top w:val="single" w:sz="4" w:space="0" w:color="808080"/>
              <w:left w:val="single" w:sz="4" w:space="0" w:color="808080"/>
              <w:bottom w:val="single" w:sz="4" w:space="0" w:color="808080"/>
              <w:right w:val="single" w:sz="4" w:space="0" w:color="808080"/>
            </w:tcBorders>
            <w:hideMark/>
          </w:tcPr>
          <w:p w14:paraId="5A7DEC99"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66837</w:t>
            </w:r>
          </w:p>
        </w:tc>
        <w:tc>
          <w:tcPr>
            <w:tcW w:w="4111" w:type="dxa"/>
            <w:tcBorders>
              <w:top w:val="single" w:sz="4" w:space="0" w:color="808080"/>
              <w:left w:val="single" w:sz="4" w:space="0" w:color="808080"/>
              <w:bottom w:val="single" w:sz="4" w:space="0" w:color="808080"/>
              <w:right w:val="single" w:sz="4" w:space="0" w:color="808080"/>
            </w:tcBorders>
            <w:hideMark/>
          </w:tcPr>
          <w:p w14:paraId="2BEA9E66"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A test described in item 66835 or 66836 if rendered by a receiving APP (Item is subject to Rule 18)</w:t>
            </w:r>
          </w:p>
        </w:tc>
        <w:tc>
          <w:tcPr>
            <w:tcW w:w="917" w:type="dxa"/>
            <w:tcBorders>
              <w:top w:val="single" w:sz="4" w:space="0" w:color="808080"/>
              <w:left w:val="single" w:sz="4" w:space="0" w:color="808080"/>
              <w:bottom w:val="single" w:sz="4" w:space="0" w:color="808080"/>
              <w:right w:val="single" w:sz="4" w:space="0" w:color="808080"/>
            </w:tcBorders>
            <w:hideMark/>
          </w:tcPr>
          <w:p w14:paraId="62CB6959"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$39.05</w:t>
            </w:r>
          </w:p>
        </w:tc>
        <w:tc>
          <w:tcPr>
            <w:tcW w:w="997" w:type="dxa"/>
            <w:tcBorders>
              <w:top w:val="single" w:sz="4" w:space="0" w:color="808080"/>
              <w:left w:val="single" w:sz="4" w:space="0" w:color="808080"/>
              <w:bottom w:val="single" w:sz="4" w:space="0" w:color="808080"/>
              <w:right w:val="single" w:sz="4" w:space="0" w:color="808080"/>
            </w:tcBorders>
            <w:hideMark/>
          </w:tcPr>
          <w:p w14:paraId="30956150"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2,111</w:t>
            </w:r>
          </w:p>
        </w:tc>
        <w:tc>
          <w:tcPr>
            <w:tcW w:w="1080" w:type="dxa"/>
            <w:tcBorders>
              <w:top w:val="single" w:sz="4" w:space="0" w:color="808080"/>
              <w:left w:val="single" w:sz="4" w:space="0" w:color="808080"/>
              <w:bottom w:val="single" w:sz="4" w:space="0" w:color="808080"/>
              <w:right w:val="single" w:sz="4" w:space="0" w:color="808080"/>
            </w:tcBorders>
            <w:hideMark/>
          </w:tcPr>
          <w:p w14:paraId="6DC2F5B4"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69,762</w:t>
            </w:r>
          </w:p>
        </w:tc>
        <w:tc>
          <w:tcPr>
            <w:tcW w:w="1195" w:type="dxa"/>
            <w:tcBorders>
              <w:top w:val="single" w:sz="4" w:space="0" w:color="808080"/>
              <w:left w:val="single" w:sz="4" w:space="0" w:color="808080"/>
              <w:bottom w:val="single" w:sz="4" w:space="0" w:color="808080"/>
              <w:right w:val="single" w:sz="4" w:space="0" w:color="808080"/>
            </w:tcBorders>
            <w:hideMark/>
          </w:tcPr>
          <w:p w14:paraId="6B58EAB5" w14:textId="77777777" w:rsidR="00BE40E6" w:rsidRPr="00DA51D1" w:rsidRDefault="00BE40E6" w:rsidP="00DA51D1">
            <w:pPr>
              <w:spacing w:before="20" w:after="20"/>
              <w:rPr>
                <w:rFonts w:ascii="Arial" w:eastAsiaTheme="minorHAnsi" w:hAnsi="Arial" w:cs="Arial"/>
                <w:sz w:val="18"/>
                <w:szCs w:val="18"/>
                <w:lang w:val="en-GB" w:eastAsia="en-US"/>
              </w:rPr>
            </w:pPr>
            <w:r w:rsidRPr="00DA51D1">
              <w:rPr>
                <w:rFonts w:ascii="Arial" w:eastAsiaTheme="minorHAnsi" w:hAnsi="Arial" w:cs="Arial"/>
                <w:sz w:val="18"/>
                <w:szCs w:val="18"/>
                <w:lang w:val="en-GB" w:eastAsia="en-US"/>
              </w:rPr>
              <w:t>N/A</w:t>
            </w:r>
          </w:p>
        </w:tc>
      </w:tr>
    </w:tbl>
    <w:p w14:paraId="6CCEB557" w14:textId="77777777" w:rsidR="00BE40E6" w:rsidRPr="00074D54" w:rsidRDefault="00BE40E6" w:rsidP="00BE40E6">
      <w:pPr>
        <w:pStyle w:val="Boldtext"/>
      </w:pPr>
      <w:r w:rsidRPr="00074D54">
        <w:t>Recommendations</w:t>
      </w:r>
    </w:p>
    <w:p w14:paraId="510FBF58" w14:textId="77777777" w:rsidR="00BE40E6" w:rsidRPr="00D73969" w:rsidRDefault="00BE40E6" w:rsidP="002818C3">
      <w:pPr>
        <w:pStyle w:val="NormalBulleted"/>
        <w:numPr>
          <w:ilvl w:val="0"/>
          <w:numId w:val="109"/>
        </w:numPr>
        <w:rPr>
          <w:lang w:val="en-GB"/>
        </w:rPr>
      </w:pPr>
      <w:r w:rsidRPr="00D73969">
        <w:rPr>
          <w:lang w:val="en-GB"/>
        </w:rPr>
        <w:t>Change the descriptor for item 66833 to simplify the information regarding the clinical circumstances in which the item should be requested, and to clarify that vitamin D testing is only required for a patient who has</w:t>
      </w:r>
      <w:r w:rsidR="001518D4" w:rsidRPr="00D73969">
        <w:rPr>
          <w:lang w:val="en-GB"/>
        </w:rPr>
        <w:t>,</w:t>
      </w:r>
      <w:r w:rsidRPr="00D73969">
        <w:rPr>
          <w:lang w:val="en-GB"/>
        </w:rPr>
        <w:t xml:space="preserve"> or is at risk of having</w:t>
      </w:r>
      <w:r w:rsidR="001518D4" w:rsidRPr="00D73969">
        <w:rPr>
          <w:lang w:val="en-GB"/>
        </w:rPr>
        <w:t>,</w:t>
      </w:r>
      <w:r w:rsidRPr="00D73969">
        <w:rPr>
          <w:lang w:val="en-GB"/>
        </w:rPr>
        <w:t xml:space="preserve"> both vitamin D deficiency and bone disease. The proposed item descriptor is as follows:</w:t>
      </w:r>
    </w:p>
    <w:p w14:paraId="642C6CCE" w14:textId="61553406" w:rsidR="00BE40E6" w:rsidRPr="00074D54" w:rsidRDefault="00BE40E6" w:rsidP="00AB3AC3">
      <w:pPr>
        <w:pStyle w:val="02dash"/>
        <w:numPr>
          <w:ilvl w:val="1"/>
          <w:numId w:val="64"/>
        </w:numPr>
        <w:spacing w:before="0" w:line="240" w:lineRule="auto"/>
        <w:ind w:left="641" w:right="0"/>
      </w:pPr>
      <w:r w:rsidRPr="00074D54">
        <w:t>25-hydroxyvitamin D, quantification in serum for the</w:t>
      </w:r>
      <w:r w:rsidR="002818C3">
        <w:t xml:space="preserve"> initial</w:t>
      </w:r>
      <w:r w:rsidRPr="00074D54">
        <w:t xml:space="preserve"> investigation of a patient who has</w:t>
      </w:r>
      <w:r w:rsidR="001518D4">
        <w:t>,</w:t>
      </w:r>
      <w:r w:rsidRPr="00074D54">
        <w:t xml:space="preserve"> or is at increased risk of having</w:t>
      </w:r>
      <w:r w:rsidR="001518D4">
        <w:t>,</w:t>
      </w:r>
      <w:r w:rsidRPr="00074D54">
        <w:t xml:space="preserve"> both vitamin D deficiency and bone disease. </w:t>
      </w:r>
    </w:p>
    <w:p w14:paraId="175712E0" w14:textId="77777777" w:rsidR="00BE40E6" w:rsidRPr="00074D54" w:rsidRDefault="00BE40E6" w:rsidP="002818C3">
      <w:pPr>
        <w:pStyle w:val="NormalBulleted"/>
        <w:numPr>
          <w:ilvl w:val="0"/>
          <w:numId w:val="109"/>
        </w:numPr>
        <w:rPr>
          <w:lang w:val="en-GB"/>
        </w:rPr>
      </w:pPr>
      <w:r w:rsidRPr="00074D54">
        <w:rPr>
          <w:lang w:val="en-GB"/>
        </w:rPr>
        <w:t>Create an explanatory note for item 66833 that explains who is at risk of bone disease and vitamin D deficiency. The proposed explanatory note is as follows:</w:t>
      </w:r>
    </w:p>
    <w:p w14:paraId="027BCE68" w14:textId="77777777" w:rsidR="00BE40E6" w:rsidRPr="0056678E" w:rsidRDefault="00BE40E6" w:rsidP="0056678E">
      <w:pPr>
        <w:pStyle w:val="N1"/>
        <w:ind w:firstLine="644"/>
        <w:rPr>
          <w:b/>
          <w:i/>
        </w:rPr>
      </w:pPr>
      <w:r w:rsidRPr="0056678E">
        <w:rPr>
          <w:b/>
          <w:i/>
        </w:rPr>
        <w:t>At risk of bone disease:</w:t>
      </w:r>
    </w:p>
    <w:p w14:paraId="62AA13A4" w14:textId="77777777" w:rsidR="00BE40E6" w:rsidRPr="00074D54" w:rsidRDefault="00BE40E6" w:rsidP="00C22FB9">
      <w:pPr>
        <w:pStyle w:val="N1"/>
        <w:ind w:left="567" w:firstLine="77"/>
        <w:rPr>
          <w:i/>
        </w:rPr>
      </w:pPr>
      <w:r w:rsidRPr="00074D54">
        <w:rPr>
          <w:i/>
        </w:rPr>
        <w:t xml:space="preserve">(a) Has signs or is at high risk of </w:t>
      </w:r>
      <w:r w:rsidRPr="00074D54">
        <w:rPr>
          <w:bCs/>
          <w:i/>
        </w:rPr>
        <w:t>osteoporosis or osteomalacia</w:t>
      </w:r>
      <w:r w:rsidR="00C22FB9">
        <w:rPr>
          <w:bCs/>
          <w:i/>
        </w:rPr>
        <w:t xml:space="preserve"> (such as family history)</w:t>
      </w:r>
      <w:r w:rsidRPr="00074D54">
        <w:rPr>
          <w:i/>
        </w:rPr>
        <w:t xml:space="preserve">; or </w:t>
      </w:r>
    </w:p>
    <w:p w14:paraId="31C06CB3" w14:textId="77777777" w:rsidR="00BE40E6" w:rsidRPr="00074D54" w:rsidRDefault="00BE40E6" w:rsidP="00BE40E6">
      <w:pPr>
        <w:pStyle w:val="N1"/>
        <w:ind w:firstLine="644"/>
        <w:rPr>
          <w:i/>
        </w:rPr>
      </w:pPr>
      <w:r w:rsidRPr="00074D54">
        <w:rPr>
          <w:i/>
        </w:rPr>
        <w:t xml:space="preserve">(b) Has </w:t>
      </w:r>
      <w:r w:rsidRPr="00074D54">
        <w:rPr>
          <w:bCs/>
          <w:i/>
        </w:rPr>
        <w:t xml:space="preserve">increased alkaline phosphatase </w:t>
      </w:r>
      <w:r w:rsidRPr="00074D54">
        <w:rPr>
          <w:i/>
        </w:rPr>
        <w:t xml:space="preserve">and otherwise normal liver function tests; or </w:t>
      </w:r>
    </w:p>
    <w:p w14:paraId="3E16CBA5" w14:textId="77777777" w:rsidR="00BE40E6" w:rsidRPr="00074D54" w:rsidRDefault="00BE40E6" w:rsidP="00BE40E6">
      <w:pPr>
        <w:pStyle w:val="N1"/>
        <w:ind w:firstLine="644"/>
        <w:rPr>
          <w:i/>
        </w:rPr>
      </w:pPr>
      <w:r w:rsidRPr="00074D54">
        <w:rPr>
          <w:i/>
        </w:rPr>
        <w:lastRenderedPageBreak/>
        <w:t xml:space="preserve">(c) Has hyperparathyroidism, hypo- or hypercalcaemia, or hypophosphatemia; or </w:t>
      </w:r>
    </w:p>
    <w:p w14:paraId="0B8F50C3" w14:textId="77777777" w:rsidR="00BE40E6" w:rsidRPr="00074D54" w:rsidRDefault="00BE40E6" w:rsidP="00BE40E6">
      <w:pPr>
        <w:pStyle w:val="N1"/>
        <w:ind w:left="644"/>
        <w:rPr>
          <w:i/>
        </w:rPr>
      </w:pPr>
      <w:r w:rsidRPr="00074D54">
        <w:rPr>
          <w:i/>
        </w:rPr>
        <w:t xml:space="preserve">(d) Is suffering from </w:t>
      </w:r>
      <w:r w:rsidRPr="00074D54">
        <w:rPr>
          <w:bCs/>
          <w:i/>
        </w:rPr>
        <w:t>malabsorption</w:t>
      </w:r>
      <w:r w:rsidRPr="00074D54">
        <w:rPr>
          <w:i/>
        </w:rPr>
        <w:t xml:space="preserve"> (for example, because the patient has cystic fibrosis, short bowel syndrome, inflammatory bowel disease or coeliac disease, or has had bariatric surgery); or </w:t>
      </w:r>
    </w:p>
    <w:p w14:paraId="1419F7D3" w14:textId="77777777" w:rsidR="00BE40E6" w:rsidRPr="00074D54" w:rsidRDefault="00BE40E6" w:rsidP="00BE40E6">
      <w:pPr>
        <w:pStyle w:val="N1"/>
        <w:ind w:firstLine="644"/>
        <w:rPr>
          <w:i/>
        </w:rPr>
      </w:pPr>
      <w:r w:rsidRPr="00074D54">
        <w:rPr>
          <w:i/>
        </w:rPr>
        <w:t xml:space="preserve">(e) Has chronic </w:t>
      </w:r>
      <w:r w:rsidRPr="00074D54">
        <w:rPr>
          <w:bCs/>
          <w:i/>
        </w:rPr>
        <w:t xml:space="preserve">renal failure </w:t>
      </w:r>
      <w:r w:rsidRPr="00074D54">
        <w:rPr>
          <w:i/>
        </w:rPr>
        <w:t xml:space="preserve">or is a </w:t>
      </w:r>
      <w:r w:rsidRPr="00074D54">
        <w:rPr>
          <w:bCs/>
          <w:i/>
        </w:rPr>
        <w:t xml:space="preserve">renal transplant </w:t>
      </w:r>
      <w:r w:rsidRPr="00074D54">
        <w:rPr>
          <w:i/>
        </w:rPr>
        <w:t xml:space="preserve">recipient; or </w:t>
      </w:r>
    </w:p>
    <w:p w14:paraId="434508DB" w14:textId="77777777" w:rsidR="00BE40E6" w:rsidRPr="00074D54" w:rsidRDefault="00BE40E6" w:rsidP="00BE40E6">
      <w:pPr>
        <w:pStyle w:val="N1"/>
        <w:ind w:firstLine="644"/>
        <w:rPr>
          <w:i/>
        </w:rPr>
      </w:pPr>
      <w:r w:rsidRPr="00074D54">
        <w:rPr>
          <w:i/>
        </w:rPr>
        <w:t xml:space="preserve">(f) Is less than 16 years of age and has signs or symptoms of </w:t>
      </w:r>
      <w:r w:rsidRPr="00074D54">
        <w:rPr>
          <w:bCs/>
          <w:i/>
        </w:rPr>
        <w:t>rickets.</w:t>
      </w:r>
    </w:p>
    <w:p w14:paraId="4A71A408" w14:textId="77777777" w:rsidR="00BE40E6" w:rsidRPr="00074D54" w:rsidRDefault="00BE40E6" w:rsidP="00BE40E6">
      <w:pPr>
        <w:pStyle w:val="N1"/>
        <w:ind w:firstLine="644"/>
        <w:rPr>
          <w:b/>
          <w:i/>
        </w:rPr>
      </w:pPr>
      <w:r w:rsidRPr="00074D54">
        <w:rPr>
          <w:b/>
          <w:i/>
        </w:rPr>
        <w:t xml:space="preserve">At risk of vitamin D deficiency: </w:t>
      </w:r>
    </w:p>
    <w:p w14:paraId="04AEA505" w14:textId="77777777" w:rsidR="00BE40E6" w:rsidRPr="00074D54" w:rsidRDefault="00BE40E6" w:rsidP="00BE40E6">
      <w:pPr>
        <w:pStyle w:val="N1"/>
        <w:ind w:left="644"/>
        <w:rPr>
          <w:i/>
        </w:rPr>
      </w:pPr>
      <w:r w:rsidRPr="00074D54">
        <w:rPr>
          <w:i/>
        </w:rPr>
        <w:t xml:space="preserve">(a) Has deeply </w:t>
      </w:r>
      <w:r w:rsidRPr="00074D54">
        <w:rPr>
          <w:bCs/>
          <w:i/>
        </w:rPr>
        <w:t>pigmented skin</w:t>
      </w:r>
      <w:r w:rsidRPr="00074D54">
        <w:rPr>
          <w:i/>
        </w:rPr>
        <w:t xml:space="preserve">, or chronic and </w:t>
      </w:r>
      <w:r w:rsidRPr="00074D54">
        <w:rPr>
          <w:bCs/>
          <w:i/>
        </w:rPr>
        <w:t xml:space="preserve">severe lack of sun exposure </w:t>
      </w:r>
      <w:r w:rsidRPr="00074D54">
        <w:rPr>
          <w:i/>
        </w:rPr>
        <w:t xml:space="preserve">for cultural, medical, occupational or residential reasons; or </w:t>
      </w:r>
    </w:p>
    <w:p w14:paraId="3AFD69B0" w14:textId="77777777" w:rsidR="00BE40E6" w:rsidRPr="00074D54" w:rsidRDefault="00BE40E6" w:rsidP="0056678E">
      <w:pPr>
        <w:pStyle w:val="N1"/>
        <w:ind w:left="567" w:firstLine="77"/>
        <w:rPr>
          <w:i/>
        </w:rPr>
      </w:pPr>
      <w:r w:rsidRPr="00074D54">
        <w:rPr>
          <w:i/>
        </w:rPr>
        <w:t xml:space="preserve">(b) Is taking </w:t>
      </w:r>
      <w:r w:rsidRPr="00074D54">
        <w:rPr>
          <w:bCs/>
          <w:i/>
        </w:rPr>
        <w:t>medication</w:t>
      </w:r>
      <w:r w:rsidRPr="00074D54">
        <w:rPr>
          <w:i/>
        </w:rPr>
        <w:t xml:space="preserve"> known to decrease 25OH-D concentrations (for example, anticonvulsants); or </w:t>
      </w:r>
    </w:p>
    <w:p w14:paraId="26CC599C" w14:textId="77777777" w:rsidR="00BE40E6" w:rsidRPr="00074D54" w:rsidRDefault="00BE40E6" w:rsidP="00BE40E6">
      <w:pPr>
        <w:pStyle w:val="N1"/>
        <w:ind w:firstLine="644"/>
        <w:rPr>
          <w:i/>
        </w:rPr>
      </w:pPr>
      <w:r w:rsidRPr="00074D54">
        <w:rPr>
          <w:i/>
        </w:rPr>
        <w:t>(c)</w:t>
      </w:r>
      <w:r w:rsidR="004B661C">
        <w:rPr>
          <w:i/>
        </w:rPr>
        <w:t xml:space="preserve"> Is an infant whose mother has </w:t>
      </w:r>
      <w:r w:rsidRPr="00074D54">
        <w:rPr>
          <w:i/>
        </w:rPr>
        <w:t xml:space="preserve">known vitamin D deficiency; or </w:t>
      </w:r>
    </w:p>
    <w:p w14:paraId="089672E4" w14:textId="77777777" w:rsidR="00BE40E6" w:rsidRPr="00074D54" w:rsidRDefault="00BE40E6" w:rsidP="00BE40E6">
      <w:pPr>
        <w:pStyle w:val="N1"/>
        <w:ind w:left="644"/>
        <w:rPr>
          <w:i/>
        </w:rPr>
      </w:pPr>
      <w:r w:rsidRPr="00074D54">
        <w:rPr>
          <w:i/>
        </w:rPr>
        <w:t xml:space="preserve">(d) Is an </w:t>
      </w:r>
      <w:r w:rsidRPr="00074D54">
        <w:rPr>
          <w:bCs/>
          <w:i/>
        </w:rPr>
        <w:t xml:space="preserve">exclusively breastfed baby </w:t>
      </w:r>
      <w:r w:rsidRPr="00074D54">
        <w:rPr>
          <w:i/>
        </w:rPr>
        <w:t xml:space="preserve">and has at least </w:t>
      </w:r>
      <w:r w:rsidRPr="00074D54">
        <w:rPr>
          <w:bCs/>
          <w:i/>
        </w:rPr>
        <w:t xml:space="preserve">one other risk factor </w:t>
      </w:r>
      <w:r w:rsidRPr="00074D54">
        <w:rPr>
          <w:i/>
        </w:rPr>
        <w:t>mentioned in a paragraph in this item; or</w:t>
      </w:r>
    </w:p>
    <w:p w14:paraId="0EC257AB" w14:textId="77777777" w:rsidR="00BE40E6" w:rsidRPr="00074D54" w:rsidRDefault="00BE40E6" w:rsidP="00BE40E6">
      <w:pPr>
        <w:pStyle w:val="N1"/>
        <w:ind w:firstLine="644"/>
        <w:rPr>
          <w:bCs/>
          <w:i/>
        </w:rPr>
      </w:pPr>
      <w:r w:rsidRPr="00074D54">
        <w:rPr>
          <w:i/>
        </w:rPr>
        <w:t xml:space="preserve">(e) Has a </w:t>
      </w:r>
      <w:r w:rsidRPr="00074D54">
        <w:rPr>
          <w:bCs/>
          <w:i/>
        </w:rPr>
        <w:t>sibling</w:t>
      </w:r>
      <w:r w:rsidRPr="00074D54">
        <w:rPr>
          <w:i/>
        </w:rPr>
        <w:t xml:space="preserve"> who is &lt; 16 years of age and </w:t>
      </w:r>
      <w:r w:rsidRPr="00074D54">
        <w:rPr>
          <w:bCs/>
          <w:i/>
        </w:rPr>
        <w:t>has vitamin D deficiency; or</w:t>
      </w:r>
    </w:p>
    <w:p w14:paraId="50A9EF7F" w14:textId="77777777" w:rsidR="00BE40E6" w:rsidRPr="00074D54" w:rsidRDefault="00BE40E6" w:rsidP="00BE40E6">
      <w:pPr>
        <w:pStyle w:val="N1"/>
        <w:ind w:firstLine="644"/>
        <w:rPr>
          <w:i/>
        </w:rPr>
      </w:pPr>
      <w:r w:rsidRPr="00074D54">
        <w:rPr>
          <w:i/>
        </w:rPr>
        <w:t xml:space="preserve">(f) Has </w:t>
      </w:r>
      <w:r w:rsidRPr="00074D54">
        <w:rPr>
          <w:bCs/>
          <w:i/>
        </w:rPr>
        <w:t>osteoporosis or osteomalacia</w:t>
      </w:r>
    </w:p>
    <w:p w14:paraId="2255B3B4" w14:textId="77777777" w:rsidR="00BE40E6" w:rsidRPr="00074D54" w:rsidRDefault="00BE40E6" w:rsidP="00BE40E6">
      <w:pPr>
        <w:pStyle w:val="N1"/>
        <w:ind w:firstLine="644"/>
        <w:rPr>
          <w:i/>
        </w:rPr>
      </w:pPr>
      <w:r w:rsidRPr="00074D54">
        <w:rPr>
          <w:bCs/>
          <w:i/>
        </w:rPr>
        <w:t xml:space="preserve">This test should </w:t>
      </w:r>
      <w:r w:rsidRPr="00074D54">
        <w:rPr>
          <w:i/>
        </w:rPr>
        <w:t xml:space="preserve">not be used for general screening or fatigue. </w:t>
      </w:r>
    </w:p>
    <w:p w14:paraId="4CDBCEB1" w14:textId="4C65EF96" w:rsidR="00BE40E6" w:rsidRPr="002818C3" w:rsidRDefault="00BE40E6" w:rsidP="002818C3">
      <w:pPr>
        <w:pStyle w:val="NormalBulleted"/>
        <w:numPr>
          <w:ilvl w:val="0"/>
          <w:numId w:val="109"/>
        </w:numPr>
        <w:rPr>
          <w:lang w:val="en-GB"/>
        </w:rPr>
      </w:pPr>
      <w:r w:rsidRPr="00074D54">
        <w:rPr>
          <w:lang w:val="en-GB"/>
        </w:rPr>
        <w:t>Apply a 12-month frequency restriction to item 66833 (25-hydroxyvitamin D – quantification in serum).</w:t>
      </w:r>
      <w:r w:rsidR="00147EBE">
        <w:rPr>
          <w:lang w:val="en-GB"/>
        </w:rPr>
        <w:t xml:space="preserve"> </w:t>
      </w:r>
      <w:r w:rsidR="00147EBE">
        <w:rPr>
          <w:lang w:val="en-AU"/>
        </w:rPr>
        <w:t xml:space="preserve">A repeat </w:t>
      </w:r>
      <w:r w:rsidR="00147EBE" w:rsidRPr="002818C3">
        <w:rPr>
          <w:lang w:val="en-AU"/>
        </w:rPr>
        <w:t xml:space="preserve">test </w:t>
      </w:r>
      <w:r w:rsidR="002818C3" w:rsidRPr="002818C3">
        <w:rPr>
          <w:lang w:val="en-AU"/>
        </w:rPr>
        <w:t>can be claimed und</w:t>
      </w:r>
      <w:r w:rsidR="005438A0">
        <w:rPr>
          <w:lang w:val="en-AU"/>
        </w:rPr>
        <w:t>er new item 668XX if the previous</w:t>
      </w:r>
      <w:r w:rsidR="002818C3" w:rsidRPr="002818C3">
        <w:rPr>
          <w:lang w:val="en-AU"/>
        </w:rPr>
        <w:t xml:space="preserve"> test is abnormal</w:t>
      </w:r>
      <w:r w:rsidR="002818C3">
        <w:rPr>
          <w:lang w:val="en-AU"/>
        </w:rPr>
        <w:t>.</w:t>
      </w:r>
    </w:p>
    <w:p w14:paraId="27952F06" w14:textId="29E06BAC" w:rsidR="00BE40E6" w:rsidRPr="00074D54" w:rsidRDefault="00BE40E6" w:rsidP="002818C3">
      <w:pPr>
        <w:pStyle w:val="NormalBulleted"/>
        <w:numPr>
          <w:ilvl w:val="0"/>
          <w:numId w:val="109"/>
        </w:numPr>
        <w:rPr>
          <w:lang w:val="en-GB"/>
        </w:rPr>
      </w:pPr>
      <w:r w:rsidRPr="00074D54">
        <w:rPr>
          <w:lang w:val="en-GB"/>
        </w:rPr>
        <w:t xml:space="preserve">Create a new item (668XX) to allow for quarterly </w:t>
      </w:r>
      <w:r w:rsidR="002818C3">
        <w:rPr>
          <w:lang w:val="en-GB"/>
        </w:rPr>
        <w:t xml:space="preserve">monitoring of </w:t>
      </w:r>
      <w:r w:rsidRPr="00074D54">
        <w:rPr>
          <w:lang w:val="en-GB"/>
        </w:rPr>
        <w:t>vitamin D</w:t>
      </w:r>
      <w:r w:rsidR="002818C3">
        <w:rPr>
          <w:lang w:val="en-GB"/>
        </w:rPr>
        <w:t xml:space="preserve"> testing in patients with both confirmed</w:t>
      </w:r>
      <w:r w:rsidRPr="00074D54">
        <w:rPr>
          <w:lang w:val="en-GB"/>
        </w:rPr>
        <w:t xml:space="preserve"> vitamin D deficiency and bone disease. This item should have a three-month frequency restrictor. The proposed item descriptor is as follows:</w:t>
      </w:r>
    </w:p>
    <w:p w14:paraId="2139C10A" w14:textId="2688ECAE" w:rsidR="00BE40E6" w:rsidRPr="00074D54" w:rsidRDefault="00BE40E6" w:rsidP="00AB3AC3">
      <w:pPr>
        <w:pStyle w:val="02dash"/>
        <w:numPr>
          <w:ilvl w:val="1"/>
          <w:numId w:val="64"/>
        </w:numPr>
        <w:spacing w:before="0" w:line="240" w:lineRule="auto"/>
        <w:ind w:left="641" w:right="0"/>
      </w:pPr>
      <w:r w:rsidRPr="00074D54">
        <w:t>25-hydroxyvitamin D, quantification in serum, for the investigation of a patient who has (1) vitamin D deficiency AND (2) has, or is at high risk of</w:t>
      </w:r>
      <w:r w:rsidR="001518D4">
        <w:t>,</w:t>
      </w:r>
      <w:r w:rsidRPr="00074D54">
        <w:t xml:space="preserve"> bone disease</w:t>
      </w:r>
      <w:r w:rsidR="002B0E31" w:rsidRPr="00074D54">
        <w:t>.</w:t>
      </w:r>
      <w:r w:rsidRPr="00074D54">
        <w:t xml:space="preserve"> Item is subject to rule 25 (f). </w:t>
      </w:r>
      <w:r w:rsidR="00346145" w:rsidRPr="00DB25D0">
        <w:rPr>
          <w:lang w:val="en-AU"/>
        </w:rPr>
        <w:t xml:space="preserve">*NB: item is subject to Rule 25: for any particular patient, this item is applicable not more than once in a 12-month period unless the previous test was abnormal that is below the laboratory reference limits for Vitamin </w:t>
      </w:r>
      <w:r w:rsidR="00346145">
        <w:rPr>
          <w:lang w:val="en-AU"/>
        </w:rPr>
        <w:t>D</w:t>
      </w:r>
      <w:r w:rsidR="00346145" w:rsidRPr="00DB25D0">
        <w:rPr>
          <w:lang w:val="en-AU"/>
        </w:rPr>
        <w:t xml:space="preserve"> </w:t>
      </w:r>
      <w:r w:rsidR="00346145">
        <w:rPr>
          <w:lang w:val="en-AU"/>
        </w:rPr>
        <w:t>(in order to confirm Vitamin D</w:t>
      </w:r>
      <w:r w:rsidR="00346145" w:rsidRPr="00DB25D0">
        <w:rPr>
          <w:lang w:val="en-AU"/>
        </w:rPr>
        <w:t xml:space="preserve"> defici</w:t>
      </w:r>
      <w:r w:rsidR="001017BA">
        <w:rPr>
          <w:lang w:val="en-AU"/>
        </w:rPr>
        <w:t>ency when a previous</w:t>
      </w:r>
      <w:r w:rsidR="00346145">
        <w:rPr>
          <w:lang w:val="en-AU"/>
        </w:rPr>
        <w:t xml:space="preserve"> Vitamin D</w:t>
      </w:r>
      <w:r w:rsidR="00346145" w:rsidRPr="00DB25D0">
        <w:rPr>
          <w:lang w:val="en-AU"/>
        </w:rPr>
        <w:t xml:space="preserve"> result is low).</w:t>
      </w:r>
    </w:p>
    <w:p w14:paraId="3FAF5787" w14:textId="77777777" w:rsidR="00D763B0" w:rsidRDefault="00D763B0" w:rsidP="00C559FA">
      <w:pPr>
        <w:pStyle w:val="NormalBulleted"/>
        <w:rPr>
          <w:lang w:val="en-GB"/>
        </w:rPr>
      </w:pPr>
      <w:r>
        <w:rPr>
          <w:lang w:val="en-GB"/>
        </w:rPr>
        <w:t xml:space="preserve">In addition the Committee recommended: </w:t>
      </w:r>
    </w:p>
    <w:p w14:paraId="44BDA70A" w14:textId="77777777" w:rsidR="00C559FA" w:rsidRPr="00D763B0" w:rsidRDefault="00D763B0" w:rsidP="00D763B0">
      <w:pPr>
        <w:pStyle w:val="02dash"/>
        <w:numPr>
          <w:ilvl w:val="1"/>
          <w:numId w:val="64"/>
        </w:numPr>
        <w:spacing w:before="0" w:line="240" w:lineRule="auto"/>
        <w:ind w:left="641" w:right="0"/>
      </w:pPr>
      <w:r>
        <w:t>The Department</w:t>
      </w:r>
      <w:r w:rsidR="009F739B" w:rsidRPr="00D763B0">
        <w:t xml:space="preserve"> </w:t>
      </w:r>
      <w:r w:rsidR="00C559FA" w:rsidRPr="00D763B0">
        <w:t>seek advice from stakeholders</w:t>
      </w:r>
      <w:r>
        <w:t xml:space="preserve"> or MSAC and</w:t>
      </w:r>
      <w:r w:rsidR="00CD281B" w:rsidRPr="00D763B0">
        <w:t xml:space="preserve"> systematically review the literature</w:t>
      </w:r>
      <w:r w:rsidR="00C559FA" w:rsidRPr="00D763B0">
        <w:t xml:space="preserve"> </w:t>
      </w:r>
      <w:r w:rsidR="00C22FB9" w:rsidRPr="00D763B0">
        <w:t xml:space="preserve">in order to </w:t>
      </w:r>
      <w:r w:rsidR="009F739B" w:rsidRPr="00D763B0">
        <w:t>develop</w:t>
      </w:r>
      <w:r w:rsidR="00C559FA" w:rsidRPr="00D763B0">
        <w:t xml:space="preserve"> </w:t>
      </w:r>
      <w:r w:rsidR="00C5356C">
        <w:t xml:space="preserve">clear </w:t>
      </w:r>
      <w:r w:rsidR="00813172" w:rsidRPr="00C559FA">
        <w:t>national standards</w:t>
      </w:r>
      <w:r w:rsidR="009F739B">
        <w:t xml:space="preserve"> for</w:t>
      </w:r>
      <w:r w:rsidR="00813172">
        <w:t xml:space="preserve"> d</w:t>
      </w:r>
      <w:r w:rsidR="00813172" w:rsidRPr="00C559FA">
        <w:t>efin</w:t>
      </w:r>
      <w:r w:rsidR="009F739B">
        <w:t>ing</w:t>
      </w:r>
      <w:r w:rsidR="00C22FB9">
        <w:t xml:space="preserve"> </w:t>
      </w:r>
      <w:r w:rsidR="00813172" w:rsidRPr="00C559FA">
        <w:t>vitamin D</w:t>
      </w:r>
      <w:r w:rsidR="00C22FB9">
        <w:t xml:space="preserve"> deficiency</w:t>
      </w:r>
      <w:r w:rsidR="00813172" w:rsidRPr="00C559FA">
        <w:t xml:space="preserve"> </w:t>
      </w:r>
      <w:r w:rsidR="00C22FB9">
        <w:t>by specific serum levels which would be used to</w:t>
      </w:r>
      <w:r w:rsidR="00813172">
        <w:t xml:space="preserve"> drive</w:t>
      </w:r>
      <w:r w:rsidR="00813172" w:rsidRPr="00C559FA">
        <w:t xml:space="preserve"> clinical treatment decision making</w:t>
      </w:r>
      <w:r w:rsidR="00813172">
        <w:t xml:space="preserve"> and the need for repeat testing</w:t>
      </w:r>
      <w:r>
        <w:t xml:space="preserve"> </w:t>
      </w:r>
      <w:sdt>
        <w:sdtPr>
          <w:id w:val="765116723"/>
          <w:citation/>
        </w:sdtPr>
        <w:sdtEndPr/>
        <w:sdtContent>
          <w:r>
            <w:fldChar w:fldCharType="begin"/>
          </w:r>
          <w:r>
            <w:rPr>
              <w:lang w:val="en-AU"/>
            </w:rPr>
            <w:instrText xml:space="preserve"> CITATION Now12 \l 3081 </w:instrText>
          </w:r>
          <w:r>
            <w:fldChar w:fldCharType="separate"/>
          </w:r>
          <w:r w:rsidR="00B66BE1" w:rsidRPr="00B66BE1">
            <w:rPr>
              <w:noProof/>
              <w:lang w:val="en-AU"/>
            </w:rPr>
            <w:t>(40)</w:t>
          </w:r>
          <w:r>
            <w:fldChar w:fldCharType="end"/>
          </w:r>
        </w:sdtContent>
      </w:sdt>
      <w:r w:rsidR="00C559FA" w:rsidRPr="00D763B0">
        <w:t>.</w:t>
      </w:r>
    </w:p>
    <w:p w14:paraId="3ABE1209" w14:textId="0F6C8BB0" w:rsidR="00373016" w:rsidRDefault="00BE40E6" w:rsidP="00D763B0">
      <w:pPr>
        <w:pStyle w:val="02dash"/>
        <w:numPr>
          <w:ilvl w:val="1"/>
          <w:numId w:val="64"/>
        </w:numPr>
        <w:spacing w:before="0" w:line="240" w:lineRule="auto"/>
        <w:ind w:left="641" w:right="0"/>
      </w:pPr>
      <w:r w:rsidRPr="00D763B0">
        <w:t xml:space="preserve">Provide </w:t>
      </w:r>
      <w:r w:rsidR="006C31FB">
        <w:t>requester</w:t>
      </w:r>
      <w:r w:rsidRPr="00D763B0">
        <w:t xml:space="preserve"> education on appropriate testing frequency. The Committee recommended that this include feedback from providers to </w:t>
      </w:r>
      <w:r w:rsidR="006C31FB">
        <w:t>requester</w:t>
      </w:r>
      <w:r w:rsidRPr="00D763B0">
        <w:t>s noting that Medicare does not cover testing more frequently than once every 12 months (item 66833), unless claimed under new item 668XX for patients with vitamin D deficiency and bone disease.</w:t>
      </w:r>
    </w:p>
    <w:p w14:paraId="52379C14" w14:textId="77777777" w:rsidR="00373016" w:rsidRDefault="00373016">
      <w:pPr>
        <w:spacing w:before="0" w:after="0" w:line="240" w:lineRule="auto"/>
        <w:rPr>
          <w:szCs w:val="20"/>
          <w:lang w:val="en-US" w:eastAsia="en-US"/>
        </w:rPr>
      </w:pPr>
      <w:r>
        <w:br w:type="page"/>
      </w:r>
    </w:p>
    <w:p w14:paraId="28C6B039" w14:textId="77777777" w:rsidR="00BE40E6" w:rsidRPr="00D763B0" w:rsidRDefault="00BE40E6" w:rsidP="00D763B0">
      <w:pPr>
        <w:pStyle w:val="02dash"/>
        <w:numPr>
          <w:ilvl w:val="1"/>
          <w:numId w:val="64"/>
        </w:numPr>
        <w:spacing w:before="0" w:line="240" w:lineRule="auto"/>
        <w:ind w:left="641" w:right="0"/>
      </w:pPr>
      <w:r w:rsidRPr="00D763B0">
        <w:lastRenderedPageBreak/>
        <w:t xml:space="preserve">Provide consumer education on the above changes. </w:t>
      </w:r>
      <w:r w:rsidR="006C31FB">
        <w:t>Requester</w:t>
      </w:r>
      <w:r w:rsidRPr="00D763B0">
        <w:t>s should be equipped to provide patients with information about why Medicare does not cover testing more frequently than once every 12 months (item 66833), unless claimed under new item 668XX.</w:t>
      </w:r>
    </w:p>
    <w:p w14:paraId="69634316" w14:textId="77777777" w:rsidR="00BE40E6" w:rsidRPr="00D763B0" w:rsidRDefault="00BE40E6" w:rsidP="00D763B0">
      <w:pPr>
        <w:pStyle w:val="02dash"/>
        <w:numPr>
          <w:ilvl w:val="1"/>
          <w:numId w:val="64"/>
        </w:numPr>
        <w:spacing w:before="0" w:line="240" w:lineRule="auto"/>
        <w:ind w:left="641" w:right="0"/>
      </w:pPr>
      <w:r w:rsidRPr="00D763B0">
        <w:t xml:space="preserve">The Committee acknowledged that the MSAC completed a review of vitamin D items in 2014, but it recommended a further review to gather up-to-date information on vitamin D testing requirements/necessity, with the intention of making subsequent recommendations. The </w:t>
      </w:r>
      <w:r w:rsidR="00B3254A" w:rsidRPr="00D763B0">
        <w:t xml:space="preserve">Committee felt the </w:t>
      </w:r>
      <w:r w:rsidRPr="00D763B0">
        <w:t>review should include</w:t>
      </w:r>
      <w:r w:rsidR="009F739B" w:rsidRPr="00D763B0">
        <w:t xml:space="preserve"> emerging clinical evidence regarding vitamin D deficiency, the role of repeat testing in its management and </w:t>
      </w:r>
      <w:r w:rsidRPr="00D763B0">
        <w:t>investigation of the following:</w:t>
      </w:r>
    </w:p>
    <w:p w14:paraId="20118EAB" w14:textId="77777777" w:rsidR="00BE40E6" w:rsidRPr="00D763B0" w:rsidRDefault="009F739B" w:rsidP="00D763B0">
      <w:pPr>
        <w:pStyle w:val="Bullet3"/>
        <w:numPr>
          <w:ilvl w:val="2"/>
          <w:numId w:val="64"/>
        </w:numPr>
        <w:spacing w:before="120"/>
        <w:rPr>
          <w:lang w:val="en-GB"/>
        </w:rPr>
      </w:pPr>
      <w:r w:rsidRPr="00D763B0">
        <w:rPr>
          <w:lang w:val="en-GB"/>
        </w:rPr>
        <w:t>Clinical t</w:t>
      </w:r>
      <w:r w:rsidR="00BE40E6" w:rsidRPr="00D763B0">
        <w:rPr>
          <w:lang w:val="en-GB"/>
        </w:rPr>
        <w:t xml:space="preserve">rials </w:t>
      </w:r>
      <w:r w:rsidRPr="00D763B0">
        <w:rPr>
          <w:lang w:val="en-GB"/>
        </w:rPr>
        <w:t>assessing the effect of vitamin D</w:t>
      </w:r>
      <w:r w:rsidR="00BE40E6" w:rsidRPr="00D763B0">
        <w:rPr>
          <w:lang w:val="en-GB"/>
        </w:rPr>
        <w:t xml:space="preserve"> supplementation </w:t>
      </w:r>
      <w:r w:rsidRPr="00D763B0">
        <w:rPr>
          <w:lang w:val="en-GB"/>
        </w:rPr>
        <w:t xml:space="preserve">and repeat testing </w:t>
      </w:r>
      <w:r w:rsidR="008A2DCD">
        <w:rPr>
          <w:lang w:val="en-GB"/>
        </w:rPr>
        <w:t>stratified</w:t>
      </w:r>
      <w:r w:rsidR="00BE40E6" w:rsidRPr="00D763B0">
        <w:rPr>
          <w:lang w:val="en-GB"/>
        </w:rPr>
        <w:t xml:space="preserve"> by </w:t>
      </w:r>
      <w:r w:rsidR="008A2DCD">
        <w:rPr>
          <w:lang w:val="en-GB"/>
        </w:rPr>
        <w:t xml:space="preserve">initial </w:t>
      </w:r>
      <w:r w:rsidR="00BE40E6" w:rsidRPr="00D763B0">
        <w:rPr>
          <w:lang w:val="en-GB"/>
        </w:rPr>
        <w:t>vitamin D blood concentrations (mild to moderate)</w:t>
      </w:r>
      <w:r w:rsidRPr="00D763B0">
        <w:rPr>
          <w:lang w:val="en-GB"/>
        </w:rPr>
        <w:t xml:space="preserve"> to establish </w:t>
      </w:r>
      <w:r w:rsidR="008A2DCD">
        <w:rPr>
          <w:lang w:val="en-GB"/>
        </w:rPr>
        <w:t xml:space="preserve">the value of supplementation and monitoring </w:t>
      </w:r>
      <w:r w:rsidR="00E70882">
        <w:rPr>
          <w:lang w:val="en-GB"/>
        </w:rPr>
        <w:t>for</w:t>
      </w:r>
      <w:r w:rsidR="008A2DCD">
        <w:rPr>
          <w:lang w:val="en-GB"/>
        </w:rPr>
        <w:t xml:space="preserve"> different levels of vitamin D </w:t>
      </w:r>
      <w:sdt>
        <w:sdtPr>
          <w:rPr>
            <w:lang w:val="en-GB"/>
          </w:rPr>
          <w:id w:val="1880586210"/>
          <w:citation/>
        </w:sdtPr>
        <w:sdtEndPr/>
        <w:sdtContent>
          <w:r w:rsidR="008A2DCD">
            <w:rPr>
              <w:lang w:val="en-GB"/>
            </w:rPr>
            <w:fldChar w:fldCharType="begin"/>
          </w:r>
          <w:r w:rsidR="008A2DCD">
            <w:rPr>
              <w:lang w:val="en-AU"/>
            </w:rPr>
            <w:instrText xml:space="preserve"> CITATION Ave14 \l 3081 </w:instrText>
          </w:r>
          <w:r w:rsidR="008A2DCD">
            <w:rPr>
              <w:lang w:val="en-GB"/>
            </w:rPr>
            <w:fldChar w:fldCharType="separate"/>
          </w:r>
          <w:r w:rsidR="00B66BE1" w:rsidRPr="00B66BE1">
            <w:rPr>
              <w:noProof/>
              <w:lang w:val="en-AU"/>
            </w:rPr>
            <w:t>(41)</w:t>
          </w:r>
          <w:r w:rsidR="008A2DCD">
            <w:rPr>
              <w:lang w:val="en-GB"/>
            </w:rPr>
            <w:fldChar w:fldCharType="end"/>
          </w:r>
        </w:sdtContent>
      </w:sdt>
      <w:sdt>
        <w:sdtPr>
          <w:rPr>
            <w:lang w:val="en-GB"/>
          </w:rPr>
          <w:id w:val="-930507253"/>
          <w:citation/>
        </w:sdtPr>
        <w:sdtEndPr/>
        <w:sdtContent>
          <w:r w:rsidR="008A2DCD">
            <w:rPr>
              <w:lang w:val="en-GB"/>
            </w:rPr>
            <w:fldChar w:fldCharType="begin"/>
          </w:r>
          <w:r w:rsidR="008A2DCD">
            <w:rPr>
              <w:lang w:val="en-AU"/>
            </w:rPr>
            <w:instrText xml:space="preserve"> CITATION Bol16 \l 3081 </w:instrText>
          </w:r>
          <w:r w:rsidR="008A2DCD">
            <w:rPr>
              <w:lang w:val="en-GB"/>
            </w:rPr>
            <w:fldChar w:fldCharType="separate"/>
          </w:r>
          <w:r w:rsidR="00B66BE1">
            <w:rPr>
              <w:noProof/>
              <w:lang w:val="en-AU"/>
            </w:rPr>
            <w:t xml:space="preserve"> </w:t>
          </w:r>
          <w:r w:rsidR="00B66BE1" w:rsidRPr="00B66BE1">
            <w:rPr>
              <w:noProof/>
              <w:lang w:val="en-AU"/>
            </w:rPr>
            <w:t>(42)</w:t>
          </w:r>
          <w:r w:rsidR="008A2DCD">
            <w:rPr>
              <w:lang w:val="en-GB"/>
            </w:rPr>
            <w:fldChar w:fldCharType="end"/>
          </w:r>
        </w:sdtContent>
      </w:sdt>
      <w:r w:rsidR="00BE40E6" w:rsidRPr="00D763B0">
        <w:rPr>
          <w:lang w:val="en-GB"/>
        </w:rPr>
        <w:t>.</w:t>
      </w:r>
    </w:p>
    <w:p w14:paraId="5C9AEA45" w14:textId="77777777" w:rsidR="00BE40E6" w:rsidRPr="00D763B0" w:rsidRDefault="00BE40E6" w:rsidP="00D763B0">
      <w:pPr>
        <w:pStyle w:val="Bullet3"/>
        <w:numPr>
          <w:ilvl w:val="2"/>
          <w:numId w:val="64"/>
        </w:numPr>
        <w:spacing w:before="120"/>
        <w:rPr>
          <w:lang w:val="en-GB"/>
        </w:rPr>
      </w:pPr>
      <w:r w:rsidRPr="00D763B0">
        <w:rPr>
          <w:lang w:val="en-GB"/>
        </w:rPr>
        <w:t>Health results associated with vitamin D, including falls, fatigue, osteoporosis, osteop</w:t>
      </w:r>
      <w:r w:rsidR="00604FC5" w:rsidRPr="00D763B0">
        <w:rPr>
          <w:lang w:val="en-GB"/>
        </w:rPr>
        <w:t>a</w:t>
      </w:r>
      <w:r w:rsidRPr="00D763B0">
        <w:rPr>
          <w:lang w:val="en-GB"/>
        </w:rPr>
        <w:t>enia, diabetes, autoimmune disease and malignancies.</w:t>
      </w:r>
    </w:p>
    <w:p w14:paraId="3E1A4317" w14:textId="77777777" w:rsidR="00BE40E6" w:rsidRPr="00D763B0" w:rsidRDefault="00BE40E6" w:rsidP="00D763B0">
      <w:pPr>
        <w:pStyle w:val="Bullet3"/>
        <w:numPr>
          <w:ilvl w:val="2"/>
          <w:numId w:val="64"/>
        </w:numPr>
        <w:spacing w:before="120"/>
        <w:rPr>
          <w:lang w:val="en-GB"/>
        </w:rPr>
      </w:pPr>
      <w:r w:rsidRPr="00D763B0">
        <w:rPr>
          <w:lang w:val="en-GB"/>
        </w:rPr>
        <w:t>Any evidence that testing within three months of starting treatment is beneficial, particularly considering annual/seasonal variations in levels.</w:t>
      </w:r>
    </w:p>
    <w:p w14:paraId="108CA406" w14:textId="77777777" w:rsidR="00BE40E6" w:rsidRPr="00D763B0" w:rsidRDefault="00BE40E6" w:rsidP="00D763B0">
      <w:pPr>
        <w:pStyle w:val="Bullet3"/>
        <w:numPr>
          <w:ilvl w:val="2"/>
          <w:numId w:val="64"/>
        </w:numPr>
        <w:spacing w:before="120"/>
        <w:rPr>
          <w:lang w:val="en-GB"/>
        </w:rPr>
      </w:pPr>
      <w:r w:rsidRPr="00D763B0">
        <w:rPr>
          <w:lang w:val="en-GB"/>
        </w:rPr>
        <w:t xml:space="preserve">Frequency of retesting if supplementation is not occurring. </w:t>
      </w:r>
    </w:p>
    <w:p w14:paraId="7E7D2569" w14:textId="77777777" w:rsidR="00BE40E6" w:rsidRDefault="004C1369" w:rsidP="002818C3">
      <w:pPr>
        <w:pStyle w:val="NormalBulleted"/>
        <w:numPr>
          <w:ilvl w:val="0"/>
          <w:numId w:val="109"/>
        </w:numPr>
        <w:rPr>
          <w:lang w:val="en-GB"/>
        </w:rPr>
      </w:pPr>
      <w:r w:rsidRPr="00074D54">
        <w:rPr>
          <w:lang w:val="en-GB"/>
        </w:rPr>
        <w:t xml:space="preserve">Review </w:t>
      </w:r>
      <w:r w:rsidR="00B3254A">
        <w:rPr>
          <w:lang w:val="en-GB"/>
        </w:rPr>
        <w:t>this item after</w:t>
      </w:r>
      <w:r w:rsidRPr="00074D54">
        <w:rPr>
          <w:lang w:val="en-GB"/>
        </w:rPr>
        <w:t xml:space="preserve"> 24 months</w:t>
      </w:r>
      <w:r w:rsidR="00B3254A">
        <w:rPr>
          <w:lang w:val="en-GB"/>
        </w:rPr>
        <w:t xml:space="preserve"> to assess the effect of the recommendations listed above </w:t>
      </w:r>
      <w:r w:rsidRPr="00074D54">
        <w:rPr>
          <w:lang w:val="en-GB"/>
        </w:rPr>
        <w:t xml:space="preserve">and if the </w:t>
      </w:r>
      <w:r w:rsidR="00B3254A">
        <w:rPr>
          <w:lang w:val="en-GB"/>
        </w:rPr>
        <w:t>recommended changes a</w:t>
      </w:r>
      <w:r w:rsidRPr="00074D54">
        <w:rPr>
          <w:lang w:val="en-GB"/>
        </w:rPr>
        <w:t xml:space="preserve">re unsuccessful </w:t>
      </w:r>
      <w:r w:rsidR="00803FA5">
        <w:rPr>
          <w:lang w:val="en-GB"/>
        </w:rPr>
        <w:t xml:space="preserve">in changing behaviour </w:t>
      </w:r>
      <w:r w:rsidRPr="00074D54">
        <w:rPr>
          <w:lang w:val="en-GB"/>
        </w:rPr>
        <w:t xml:space="preserve">then consider </w:t>
      </w:r>
      <w:r w:rsidR="00B3254A">
        <w:rPr>
          <w:lang w:val="en-GB"/>
        </w:rPr>
        <w:t xml:space="preserve">the introduction of </w:t>
      </w:r>
      <w:r w:rsidRPr="00074D54">
        <w:rPr>
          <w:lang w:val="en-GB"/>
        </w:rPr>
        <w:t>CDS for requesting of vitamin D</w:t>
      </w:r>
      <w:r w:rsidR="00B3254A">
        <w:rPr>
          <w:lang w:val="en-GB"/>
        </w:rPr>
        <w:t xml:space="preserve"> tests</w:t>
      </w:r>
      <w:r w:rsidRPr="00074D54">
        <w:rPr>
          <w:lang w:val="en-GB"/>
        </w:rPr>
        <w:t>.</w:t>
      </w:r>
    </w:p>
    <w:p w14:paraId="221125EE" w14:textId="77777777" w:rsidR="00BE40E6" w:rsidRPr="00074D54" w:rsidRDefault="00BE40E6" w:rsidP="00BE40E6">
      <w:pPr>
        <w:pStyle w:val="NormalBulleted"/>
        <w:rPr>
          <w:lang w:val="en-GB"/>
        </w:rPr>
      </w:pPr>
      <w:r w:rsidRPr="00074D54">
        <w:rPr>
          <w:lang w:val="en-GB"/>
        </w:rPr>
        <w:t>Items 66834, 66835, 66836 and 66837: No change.</w:t>
      </w:r>
    </w:p>
    <w:p w14:paraId="06E8EDD0" w14:textId="77777777" w:rsidR="00BE40E6" w:rsidRPr="00074D54" w:rsidRDefault="00BE40E6" w:rsidP="00BE40E6">
      <w:pPr>
        <w:pStyle w:val="Boldtext"/>
      </w:pPr>
      <w:r w:rsidRPr="00074D54">
        <w:t>Rationale</w:t>
      </w:r>
    </w:p>
    <w:p w14:paraId="30F7E994" w14:textId="77777777" w:rsidR="00BE40E6" w:rsidRPr="00074D54" w:rsidRDefault="00BE40E6" w:rsidP="00BE40E6">
      <w:pPr>
        <w:pStyle w:val="NormalBulleted"/>
        <w:rPr>
          <w:color w:val="FF0000"/>
          <w:lang w:val="en-GB"/>
        </w:rPr>
      </w:pPr>
      <w:r w:rsidRPr="00074D54">
        <w:rPr>
          <w:lang w:val="en-GB"/>
        </w:rPr>
        <w:t>A recent MSAC review (which concluded in 2014) resulted in item descriptor and pricing changes</w:t>
      </w:r>
      <w:r w:rsidR="00B3254A">
        <w:rPr>
          <w:lang w:val="en-GB"/>
        </w:rPr>
        <w:t xml:space="preserve"> which were</w:t>
      </w:r>
      <w:r w:rsidRPr="00074D54">
        <w:rPr>
          <w:lang w:val="en-GB"/>
        </w:rPr>
        <w:t xml:space="preserve"> intended to reduce the number of vitamin D tests conducted each year. However, the Committee found sufficient evidence to conclude that overall use of vitamin D testing is still higher than expected:</w:t>
      </w:r>
    </w:p>
    <w:p w14:paraId="31C8A244" w14:textId="77777777" w:rsidR="00BE40E6" w:rsidRPr="00854013" w:rsidRDefault="00E70882" w:rsidP="00AB3AC3">
      <w:pPr>
        <w:numPr>
          <w:ilvl w:val="1"/>
          <w:numId w:val="64"/>
        </w:numPr>
        <w:spacing w:before="120" w:line="240" w:lineRule="auto"/>
        <w:ind w:right="142"/>
        <w:rPr>
          <w:rFonts w:eastAsiaTheme="minorHAnsi"/>
          <w:szCs w:val="20"/>
          <w:lang w:val="en-GB" w:eastAsia="en-US"/>
        </w:rPr>
      </w:pPr>
      <w:r>
        <w:rPr>
          <w:rFonts w:eastAsiaTheme="minorHAnsi"/>
          <w:szCs w:val="20"/>
          <w:lang w:val="en-GB" w:eastAsia="en-US"/>
        </w:rPr>
        <w:t>MBS data shows that a</w:t>
      </w:r>
      <w:r w:rsidR="00BE40E6" w:rsidRPr="00074D54">
        <w:rPr>
          <w:rFonts w:eastAsiaTheme="minorHAnsi"/>
          <w:szCs w:val="20"/>
          <w:lang w:val="en-GB" w:eastAsia="en-US"/>
        </w:rPr>
        <w:t xml:space="preserve">pproximately 38 per cent of </w:t>
      </w:r>
      <w:r>
        <w:rPr>
          <w:rFonts w:eastAsiaTheme="minorHAnsi"/>
          <w:szCs w:val="20"/>
          <w:lang w:val="en-GB" w:eastAsia="en-US"/>
        </w:rPr>
        <w:t>MBS fund</w:t>
      </w:r>
      <w:r w:rsidR="00BE40E6" w:rsidRPr="00074D54">
        <w:rPr>
          <w:rFonts w:eastAsiaTheme="minorHAnsi"/>
          <w:szCs w:val="20"/>
          <w:lang w:val="en-GB" w:eastAsia="en-US"/>
        </w:rPr>
        <w:t>ed vitamin D tests were</w:t>
      </w:r>
      <w:r>
        <w:rPr>
          <w:rFonts w:eastAsiaTheme="minorHAnsi"/>
          <w:szCs w:val="20"/>
          <w:lang w:val="en-GB" w:eastAsia="en-US"/>
        </w:rPr>
        <w:t xml:space="preserve"> repeated in less than 12 months</w:t>
      </w:r>
      <w:r w:rsidR="001E0124">
        <w:t>. Furthermore, rates of repeat testing appear to be growing from year-to-year.</w:t>
      </w:r>
    </w:p>
    <w:p w14:paraId="7905D9D3" w14:textId="77777777" w:rsidR="00BE40E6" w:rsidRPr="00854013" w:rsidRDefault="00E70882" w:rsidP="00AB3AC3">
      <w:pPr>
        <w:pStyle w:val="02dash"/>
        <w:numPr>
          <w:ilvl w:val="1"/>
          <w:numId w:val="64"/>
        </w:numPr>
        <w:spacing w:before="0" w:line="240" w:lineRule="auto"/>
        <w:ind w:left="641" w:right="0"/>
        <w:rPr>
          <w:rFonts w:eastAsiaTheme="minorHAnsi"/>
          <w:szCs w:val="22"/>
        </w:rPr>
      </w:pPr>
      <w:r>
        <w:t>MBS data also shows that a</w:t>
      </w:r>
      <w:r w:rsidR="00BE40E6" w:rsidRPr="00854013">
        <w:t xml:space="preserve">lthough testing volumes initially declined following the introduction of new items with specific AUC in November 2014, testing volumes have started to stabilise and have even increased in recent months (compared to the previous year’s equivalent month). </w:t>
      </w:r>
    </w:p>
    <w:p w14:paraId="70826CA9" w14:textId="77777777" w:rsidR="00BE40E6" w:rsidRPr="00074D54" w:rsidRDefault="00E70882" w:rsidP="00AB3AC3">
      <w:pPr>
        <w:pStyle w:val="02dash"/>
        <w:numPr>
          <w:ilvl w:val="1"/>
          <w:numId w:val="64"/>
        </w:numPr>
        <w:spacing w:before="0" w:line="240" w:lineRule="auto"/>
        <w:ind w:left="641" w:right="0"/>
      </w:pPr>
      <w:r>
        <w:t>MBS data shows that t</w:t>
      </w:r>
      <w:r w:rsidR="00BE40E6" w:rsidRPr="00854013">
        <w:t xml:space="preserve">here is higher-volume testing in females, and a peak in testing </w:t>
      </w:r>
      <w:r w:rsidR="00B3254A">
        <w:t xml:space="preserve">for </w:t>
      </w:r>
      <w:r w:rsidR="00BE40E6" w:rsidRPr="00854013">
        <w:t>women aged 25</w:t>
      </w:r>
      <w:r w:rsidR="00BE40E6" w:rsidRPr="00854013">
        <w:softHyphen/>
        <w:t>–39 in particular</w:t>
      </w:r>
      <w:r>
        <w:t xml:space="preserve">; however, the Committee believe there is </w:t>
      </w:r>
      <w:r w:rsidR="00BE40E6" w:rsidRPr="00360531">
        <w:t>no apparent need for such a spike in testing rates.</w:t>
      </w:r>
    </w:p>
    <w:p w14:paraId="568F76B8" w14:textId="77777777" w:rsidR="00BE40E6" w:rsidRPr="00074D54" w:rsidRDefault="00BE40E6" w:rsidP="00BE40E6">
      <w:pPr>
        <w:pStyle w:val="NormalBulleted"/>
        <w:rPr>
          <w:lang w:val="en-GB"/>
        </w:rPr>
      </w:pPr>
      <w:r w:rsidRPr="00074D54">
        <w:rPr>
          <w:lang w:val="en-GB"/>
        </w:rPr>
        <w:t>The current literature demonstrates that vitamin D supplementation has limited clinical benefit, and only supports supplementation in at-risk patients</w:t>
      </w:r>
      <w:r w:rsidR="00D8464C">
        <w:rPr>
          <w:lang w:val="en-GB"/>
        </w:rPr>
        <w:t xml:space="preserve"> </w:t>
      </w:r>
      <w:sdt>
        <w:sdtPr>
          <w:rPr>
            <w:lang w:val="en-GB"/>
          </w:rPr>
          <w:id w:val="136377977"/>
          <w:citation/>
        </w:sdtPr>
        <w:sdtEndPr/>
        <w:sdtContent>
          <w:r w:rsidR="00D8464C">
            <w:rPr>
              <w:lang w:val="en-GB"/>
            </w:rPr>
            <w:fldChar w:fldCharType="begin"/>
          </w:r>
          <w:r w:rsidR="007C024E">
            <w:instrText xml:space="preserve">CITATION Bol16 \l 1033 </w:instrText>
          </w:r>
          <w:r w:rsidR="00D8464C">
            <w:rPr>
              <w:lang w:val="en-GB"/>
            </w:rPr>
            <w:fldChar w:fldCharType="separate"/>
          </w:r>
          <w:r w:rsidR="00B66BE1">
            <w:rPr>
              <w:noProof/>
            </w:rPr>
            <w:t>(42)</w:t>
          </w:r>
          <w:r w:rsidR="00D8464C">
            <w:rPr>
              <w:lang w:val="en-GB"/>
            </w:rPr>
            <w:fldChar w:fldCharType="end"/>
          </w:r>
        </w:sdtContent>
      </w:sdt>
      <w:sdt>
        <w:sdtPr>
          <w:rPr>
            <w:lang w:val="en-GB"/>
          </w:rPr>
          <w:id w:val="-1162920046"/>
          <w:citation/>
        </w:sdtPr>
        <w:sdtEndPr/>
        <w:sdtContent>
          <w:r w:rsidR="00D8464C">
            <w:rPr>
              <w:lang w:val="en-GB"/>
            </w:rPr>
            <w:fldChar w:fldCharType="begin"/>
          </w:r>
          <w:r w:rsidR="007C024E">
            <w:instrText xml:space="preserve">CITATION Ave14 \l 1033 </w:instrText>
          </w:r>
          <w:r w:rsidR="00D8464C">
            <w:rPr>
              <w:lang w:val="en-GB"/>
            </w:rPr>
            <w:fldChar w:fldCharType="separate"/>
          </w:r>
          <w:r w:rsidR="00B66BE1">
            <w:rPr>
              <w:noProof/>
            </w:rPr>
            <w:t xml:space="preserve"> (41)</w:t>
          </w:r>
          <w:r w:rsidR="00D8464C">
            <w:rPr>
              <w:lang w:val="en-GB"/>
            </w:rPr>
            <w:fldChar w:fldCharType="end"/>
          </w:r>
        </w:sdtContent>
      </w:sdt>
      <w:r w:rsidRPr="00074D54">
        <w:rPr>
          <w:lang w:val="en-GB"/>
        </w:rPr>
        <w:t>.</w:t>
      </w:r>
    </w:p>
    <w:p w14:paraId="58CA5D44" w14:textId="77777777" w:rsidR="00BE40E6" w:rsidRPr="00074D54" w:rsidRDefault="00BE40E6" w:rsidP="00BE40E6">
      <w:pPr>
        <w:pStyle w:val="NormalBulleted"/>
        <w:rPr>
          <w:lang w:val="en-GB"/>
        </w:rPr>
      </w:pPr>
      <w:r w:rsidRPr="00074D54">
        <w:rPr>
          <w:lang w:val="en-GB"/>
        </w:rPr>
        <w:t xml:space="preserve">There was consensus that the extensive list of inclusions for vitamin D testing in the current item descriptor (including non-specific clinical indicators) may be leading to confusion and over-testing of vitamin D levels. </w:t>
      </w:r>
    </w:p>
    <w:p w14:paraId="6668CD2C" w14:textId="77777777" w:rsidR="00BE40E6" w:rsidRPr="00074D54" w:rsidRDefault="00BE40E6" w:rsidP="00BE40E6">
      <w:pPr>
        <w:pStyle w:val="NormalBulleted"/>
        <w:rPr>
          <w:lang w:val="en-GB"/>
        </w:rPr>
      </w:pPr>
      <w:r w:rsidRPr="00074D54">
        <w:rPr>
          <w:lang w:val="en-GB"/>
        </w:rPr>
        <w:lastRenderedPageBreak/>
        <w:t>The Committee agreed that there is no clinical need to test vitamin D levels more than once every 12 months, unless patients have chronic kidney disease, osteoporosis, osteopaenia or rickets</w:t>
      </w:r>
      <w:r w:rsidR="008A2DCD">
        <w:rPr>
          <w:lang w:val="en-GB"/>
        </w:rPr>
        <w:t xml:space="preserve"> </w:t>
      </w:r>
      <w:sdt>
        <w:sdtPr>
          <w:rPr>
            <w:lang w:val="en-GB"/>
          </w:rPr>
          <w:id w:val="433707580"/>
          <w:citation/>
        </w:sdtPr>
        <w:sdtEndPr/>
        <w:sdtContent>
          <w:r w:rsidR="00700711">
            <w:rPr>
              <w:lang w:val="en-GB"/>
            </w:rPr>
            <w:fldChar w:fldCharType="begin"/>
          </w:r>
          <w:r w:rsidR="00700711">
            <w:rPr>
              <w:lang w:val="en-AU"/>
            </w:rPr>
            <w:instrText xml:space="preserve"> CITATION Nat14 \l 3081 </w:instrText>
          </w:r>
          <w:r w:rsidR="00700711">
            <w:rPr>
              <w:lang w:val="en-GB"/>
            </w:rPr>
            <w:fldChar w:fldCharType="separate"/>
          </w:r>
          <w:r w:rsidR="00B66BE1" w:rsidRPr="00B66BE1">
            <w:rPr>
              <w:noProof/>
              <w:lang w:val="en-AU"/>
            </w:rPr>
            <w:t>(43)</w:t>
          </w:r>
          <w:r w:rsidR="00700711">
            <w:rPr>
              <w:lang w:val="en-GB"/>
            </w:rPr>
            <w:fldChar w:fldCharType="end"/>
          </w:r>
        </w:sdtContent>
      </w:sdt>
      <w:r w:rsidRPr="00074D54">
        <w:rPr>
          <w:lang w:val="en-GB"/>
        </w:rPr>
        <w:t xml:space="preserve">. None of the current guidelines support more frequent testing in non-risk populations.  </w:t>
      </w:r>
    </w:p>
    <w:p w14:paraId="5D93F829" w14:textId="131F588C" w:rsidR="00BE40E6" w:rsidRPr="00074D54" w:rsidRDefault="00BE40E6" w:rsidP="00BE40E6">
      <w:pPr>
        <w:pStyle w:val="NormalBulleted"/>
      </w:pPr>
      <w:r w:rsidRPr="00074D54">
        <w:t xml:space="preserve">The clinical benefit of vitamin D supplementation appears to be limited, and the current literature only supports supplementation in at-risk patients </w:t>
      </w:r>
      <w:sdt>
        <w:sdtPr>
          <w:id w:val="1299878991"/>
          <w:citation/>
        </w:sdtPr>
        <w:sdtEndPr/>
        <w:sdtContent>
          <w:r w:rsidR="00D8464C">
            <w:fldChar w:fldCharType="begin"/>
          </w:r>
          <w:r w:rsidR="007C024E">
            <w:instrText xml:space="preserve">CITATION Bol16 \l 1033 </w:instrText>
          </w:r>
          <w:r w:rsidR="00D8464C">
            <w:fldChar w:fldCharType="separate"/>
          </w:r>
          <w:r w:rsidR="00B66BE1">
            <w:rPr>
              <w:noProof/>
            </w:rPr>
            <w:t>(42)</w:t>
          </w:r>
          <w:r w:rsidR="00D8464C">
            <w:fldChar w:fldCharType="end"/>
          </w:r>
        </w:sdtContent>
      </w:sdt>
      <w:sdt>
        <w:sdtPr>
          <w:id w:val="-123547509"/>
          <w:citation/>
        </w:sdtPr>
        <w:sdtEndPr/>
        <w:sdtContent>
          <w:r w:rsidR="00D8464C">
            <w:fldChar w:fldCharType="begin"/>
          </w:r>
          <w:r w:rsidR="007C024E">
            <w:instrText xml:space="preserve">CITATION Ave14 \l 1033 </w:instrText>
          </w:r>
          <w:r w:rsidR="00D8464C">
            <w:fldChar w:fldCharType="separate"/>
          </w:r>
          <w:r w:rsidR="00B66BE1">
            <w:rPr>
              <w:noProof/>
            </w:rPr>
            <w:t xml:space="preserve"> (41)</w:t>
          </w:r>
          <w:r w:rsidR="00D8464C">
            <w:fldChar w:fldCharType="end"/>
          </w:r>
        </w:sdtContent>
      </w:sdt>
      <w:r w:rsidRPr="00074D54">
        <w:t>. Even in this subpopulation, there is no clear guidance about the specific vitamin D blood concentrations that should be targeted by supplementation</w:t>
      </w:r>
      <w:r w:rsidR="00D8464C">
        <w:t xml:space="preserve"> </w:t>
      </w:r>
      <w:sdt>
        <w:sdtPr>
          <w:id w:val="238840041"/>
          <w:citation/>
        </w:sdtPr>
        <w:sdtEndPr/>
        <w:sdtContent>
          <w:r w:rsidR="00D8464C">
            <w:fldChar w:fldCharType="begin"/>
          </w:r>
          <w:r w:rsidR="007C024E">
            <w:instrText xml:space="preserve">CITATION Bje14 \l 1033 </w:instrText>
          </w:r>
          <w:r w:rsidR="00D8464C">
            <w:fldChar w:fldCharType="separate"/>
          </w:r>
          <w:r w:rsidR="00B66BE1">
            <w:rPr>
              <w:noProof/>
            </w:rPr>
            <w:t>(44)</w:t>
          </w:r>
          <w:r w:rsidR="00D8464C">
            <w:fldChar w:fldCharType="end"/>
          </w:r>
        </w:sdtContent>
      </w:sdt>
      <w:r w:rsidR="00D8464C">
        <w:t>.</w:t>
      </w:r>
      <w:r w:rsidRPr="00074D54">
        <w:t xml:space="preserve"> </w:t>
      </w:r>
      <w:r w:rsidR="00604FC5">
        <w:t>Furthermore, v</w:t>
      </w:r>
      <w:r w:rsidR="00373016">
        <w:t>itamin </w:t>
      </w:r>
      <w:r w:rsidRPr="00074D54">
        <w:t>D assays can vary by as much as 10–20 per cent, even when repeating the test in the same person at the same time</w:t>
      </w:r>
      <w:r w:rsidR="00D8464C">
        <w:t xml:space="preserve"> </w:t>
      </w:r>
      <w:sdt>
        <w:sdtPr>
          <w:id w:val="1178086703"/>
          <w:citation/>
        </w:sdtPr>
        <w:sdtEndPr/>
        <w:sdtContent>
          <w:r w:rsidR="00D8464C">
            <w:fldChar w:fldCharType="begin"/>
          </w:r>
          <w:r w:rsidR="007C024E">
            <w:instrText xml:space="preserve">CITATION All16 \l 1033 </w:instrText>
          </w:r>
          <w:r w:rsidR="00D8464C">
            <w:fldChar w:fldCharType="separate"/>
          </w:r>
          <w:r w:rsidR="00B66BE1">
            <w:rPr>
              <w:noProof/>
            </w:rPr>
            <w:t>(45)</w:t>
          </w:r>
          <w:r w:rsidR="00D8464C">
            <w:fldChar w:fldCharType="end"/>
          </w:r>
        </w:sdtContent>
      </w:sdt>
      <w:r w:rsidR="00604FC5">
        <w:t xml:space="preserve">, </w:t>
      </w:r>
      <w:r w:rsidRPr="00074D54">
        <w:t>mean</w:t>
      </w:r>
      <w:r w:rsidR="00604FC5">
        <w:t>ing</w:t>
      </w:r>
      <w:r w:rsidRPr="00074D54">
        <w:t xml:space="preserve"> that detecting variation in the effect of </w:t>
      </w:r>
      <w:r w:rsidR="00604FC5">
        <w:t xml:space="preserve">vitamin D </w:t>
      </w:r>
      <w:r w:rsidRPr="00074D54">
        <w:t xml:space="preserve">supplements can be problematic in some cases and that there is no clinical need to re-test more than once every 12 months. </w:t>
      </w:r>
    </w:p>
    <w:p w14:paraId="10A41B4F" w14:textId="77777777" w:rsidR="00BE40E6" w:rsidRPr="00074D54" w:rsidRDefault="00BE40E6" w:rsidP="00907A3E">
      <w:pPr>
        <w:pStyle w:val="NormalBulleted"/>
      </w:pPr>
      <w:r w:rsidRPr="00074D54">
        <w:t xml:space="preserve">Repeat testing should not be performed unless there has been a change in the patient’s risk factor profile. Despite this, </w:t>
      </w:r>
      <w:r w:rsidR="00E70882">
        <w:t xml:space="preserve">MBS data indicates </w:t>
      </w:r>
      <w:r w:rsidRPr="00074D54">
        <w:t>at least 490,000 patients received at least one repeat test within six to 12 months of an initial test in 2015-16.</w:t>
      </w:r>
    </w:p>
    <w:p w14:paraId="02B85415" w14:textId="77777777" w:rsidR="00BE40E6" w:rsidRDefault="00BE40E6" w:rsidP="00BE40E6">
      <w:pPr>
        <w:pStyle w:val="NormalBulleted"/>
      </w:pPr>
      <w:r w:rsidRPr="00074D54">
        <w:t>The most current systematic review shows that vitamin D possibly reduces</w:t>
      </w:r>
      <w:r w:rsidR="00604FC5">
        <w:t xml:space="preserve"> the rate of</w:t>
      </w:r>
      <w:r w:rsidRPr="00074D54">
        <w:t xml:space="preserve"> falls but only by a very small amount. However, for those with osteoporosis, the effect of vitamin D on bone mineral density coupled with the possible effect on falls is more significant</w:t>
      </w:r>
      <w:sdt>
        <w:sdtPr>
          <w:id w:val="1560275658"/>
          <w:citation/>
        </w:sdtPr>
        <w:sdtEndPr/>
        <w:sdtContent>
          <w:r w:rsidR="00D8464C">
            <w:fldChar w:fldCharType="begin"/>
          </w:r>
          <w:r w:rsidR="007C024E">
            <w:instrText xml:space="preserve">CITATION All16 \l 1033 </w:instrText>
          </w:r>
          <w:r w:rsidR="00D8464C">
            <w:fldChar w:fldCharType="separate"/>
          </w:r>
          <w:r w:rsidR="00B66BE1">
            <w:rPr>
              <w:noProof/>
            </w:rPr>
            <w:t xml:space="preserve"> (45)</w:t>
          </w:r>
          <w:r w:rsidR="00D8464C">
            <w:fldChar w:fldCharType="end"/>
          </w:r>
        </w:sdtContent>
      </w:sdt>
      <w:r w:rsidR="00D8464C">
        <w:t>.</w:t>
      </w:r>
    </w:p>
    <w:p w14:paraId="747E6DD0" w14:textId="77777777" w:rsidR="00AD031F" w:rsidRDefault="00AD031F" w:rsidP="00AD031F">
      <w:pPr>
        <w:pStyle w:val="NormalBulleted"/>
        <w:numPr>
          <w:ilvl w:val="0"/>
          <w:numId w:val="0"/>
        </w:numPr>
        <w:ind w:left="431"/>
      </w:pPr>
    </w:p>
    <w:p w14:paraId="3147A9A5" w14:textId="77777777" w:rsidR="00BE40E6" w:rsidRPr="00C559FA" w:rsidRDefault="00BE40E6" w:rsidP="00C559FA">
      <w:pPr>
        <w:pStyle w:val="NormalBulleted"/>
      </w:pPr>
      <w:r w:rsidRPr="00C559FA">
        <w:br w:type="page"/>
      </w:r>
    </w:p>
    <w:p w14:paraId="2543EAB2" w14:textId="77777777" w:rsidR="00BE40E6" w:rsidRPr="00990089" w:rsidRDefault="00BE40E6" w:rsidP="00990089">
      <w:pPr>
        <w:pStyle w:val="Heading2"/>
        <w:keepLines/>
        <w:spacing w:before="280" w:line="240" w:lineRule="auto"/>
        <w:ind w:left="284" w:hanging="284"/>
        <w:rPr>
          <w:lang w:val="en-GB"/>
        </w:rPr>
      </w:pPr>
      <w:bookmarkStart w:id="225" w:name="_Toc522396654"/>
      <w:bookmarkStart w:id="226" w:name="_Toc525816094"/>
      <w:r w:rsidRPr="00990089">
        <w:rPr>
          <w:lang w:val="en-GB"/>
        </w:rPr>
        <w:lastRenderedPageBreak/>
        <w:t>Prostate-specific antigen item group</w:t>
      </w:r>
      <w:bookmarkEnd w:id="225"/>
      <w:bookmarkEnd w:id="226"/>
    </w:p>
    <w:p w14:paraId="398F7AA4" w14:textId="77777777" w:rsidR="00BE40E6" w:rsidRPr="00074D54" w:rsidRDefault="00BE40E6" w:rsidP="00B42913">
      <w:pPr>
        <w:pStyle w:val="Heading3Numbered0"/>
        <w:rPr>
          <w:lang w:val="en-GB"/>
        </w:rPr>
      </w:pPr>
      <w:bookmarkStart w:id="227" w:name="_Toc522396655"/>
      <w:bookmarkStart w:id="228" w:name="_Toc525816095"/>
      <w:r w:rsidRPr="00074D54">
        <w:rPr>
          <w:lang w:val="en-GB"/>
        </w:rPr>
        <w:t>Items 66655, 66656, 66659 and 66660</w:t>
      </w:r>
      <w:bookmarkEnd w:id="227"/>
      <w:bookmarkEnd w:id="228"/>
    </w:p>
    <w:p w14:paraId="5060C676" w14:textId="77777777" w:rsidR="00BE40E6" w:rsidRPr="00074D54" w:rsidRDefault="00EB0974" w:rsidP="00EB0974">
      <w:pPr>
        <w:pStyle w:val="Caption"/>
        <w:rPr>
          <w:lang w:val="en-GB"/>
        </w:rPr>
      </w:pPr>
      <w:bookmarkStart w:id="229" w:name="_Toc525816964"/>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8</w:t>
      </w:r>
      <w:r w:rsidR="00AF6A7F">
        <w:rPr>
          <w:noProof/>
        </w:rPr>
        <w:fldChar w:fldCharType="end"/>
      </w:r>
      <w:r w:rsidR="00BE40E6" w:rsidRPr="00074D54">
        <w:rPr>
          <w:lang w:val="en-GB"/>
        </w:rPr>
        <w:t xml:space="preserve">: </w:t>
      </w:r>
      <w:r w:rsidR="000028AB">
        <w:rPr>
          <w:lang w:val="en-GB"/>
        </w:rPr>
        <w:t>Services and benefits data for items</w:t>
      </w:r>
      <w:r w:rsidR="000028AB" w:rsidRPr="00074D54">
        <w:rPr>
          <w:lang w:val="en-GB"/>
        </w:rPr>
        <w:t xml:space="preserve"> </w:t>
      </w:r>
      <w:r w:rsidR="00BE40E6" w:rsidRPr="00074D54">
        <w:rPr>
          <w:lang w:val="en-GB"/>
        </w:rPr>
        <w:t>66655, 66656, 66659 and 66600</w:t>
      </w:r>
      <w:bookmarkEnd w:id="229"/>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8: Services and benefits data for items 66655, 66656, 66659 and 66600"/>
        <w:tblDescription w:val="Table 8 shows the standard data for prostate-specific antigen items. For each item, the table shows the Schedule fee, the total number of services and total benefits paid for the financial year 2015-16, as well as the average annual growth over five years."/>
      </w:tblPr>
      <w:tblGrid>
        <w:gridCol w:w="683"/>
        <w:gridCol w:w="3455"/>
        <w:gridCol w:w="904"/>
        <w:gridCol w:w="1075"/>
        <w:gridCol w:w="1075"/>
        <w:gridCol w:w="1110"/>
      </w:tblGrid>
      <w:tr w:rsidR="00BE40E6" w:rsidRPr="00074D54" w14:paraId="2379CED9" w14:textId="77777777" w:rsidTr="00BE40E6">
        <w:trPr>
          <w:tblHeader/>
        </w:trPr>
        <w:tc>
          <w:tcPr>
            <w:tcW w:w="712"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BAA7163"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Item</w:t>
            </w:r>
          </w:p>
        </w:tc>
        <w:tc>
          <w:tcPr>
            <w:tcW w:w="4021"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4CCB89C"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Descriptor</w:t>
            </w:r>
          </w:p>
        </w:tc>
        <w:tc>
          <w:tcPr>
            <w:tcW w:w="915"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7CD303BF"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Schedule fee</w:t>
            </w:r>
          </w:p>
        </w:tc>
        <w:tc>
          <w:tcPr>
            <w:tcW w:w="1107"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4643B6BD"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FY2015/16</w:t>
            </w:r>
          </w:p>
        </w:tc>
        <w:tc>
          <w:tcPr>
            <w:tcW w:w="1079"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2EC65058"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Benefits FY2015/16</w:t>
            </w:r>
          </w:p>
        </w:tc>
        <w:tc>
          <w:tcPr>
            <w:tcW w:w="1182" w:type="dxa"/>
            <w:tcBorders>
              <w:top w:val="single" w:sz="4" w:space="0" w:color="808080"/>
              <w:left w:val="single" w:sz="4" w:space="0" w:color="808080"/>
              <w:bottom w:val="single" w:sz="4" w:space="0" w:color="808080"/>
              <w:right w:val="single" w:sz="4" w:space="0" w:color="808080"/>
            </w:tcBorders>
            <w:shd w:val="clear" w:color="auto" w:fill="F2F2F2"/>
            <w:vAlign w:val="bottom"/>
            <w:hideMark/>
          </w:tcPr>
          <w:p w14:paraId="09051817" w14:textId="77777777" w:rsidR="00BE40E6" w:rsidRPr="00074D54" w:rsidRDefault="00BE40E6">
            <w:pPr>
              <w:spacing w:before="100" w:beforeAutospacing="1" w:after="100" w:afterAutospacing="1"/>
              <w:rPr>
                <w:rFonts w:ascii="Arial" w:hAnsi="Arial" w:cs="Arial"/>
                <w:b/>
                <w:sz w:val="18"/>
                <w:szCs w:val="18"/>
                <w:lang w:val="en-GB"/>
              </w:rPr>
            </w:pPr>
            <w:r w:rsidRPr="00074D54">
              <w:rPr>
                <w:rFonts w:ascii="Arial" w:hAnsi="Arial" w:cs="Arial"/>
                <w:b/>
                <w:sz w:val="18"/>
                <w:szCs w:val="18"/>
                <w:lang w:val="en-GB"/>
              </w:rPr>
              <w:t>Services 5-year annual avg. growth</w:t>
            </w:r>
          </w:p>
        </w:tc>
      </w:tr>
      <w:tr w:rsidR="00BE40E6" w:rsidRPr="00074D54" w14:paraId="75A687D5"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13011FEB"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66655</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2D323FFB"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Prostate specific antigen - quantitation - 1 of this item in a 12 month period</w:t>
            </w:r>
          </w:p>
          <w:p w14:paraId="7BCD5034"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(Item is subject to rule 25)</w:t>
            </w:r>
          </w:p>
        </w:tc>
        <w:tc>
          <w:tcPr>
            <w:tcW w:w="915" w:type="dxa"/>
            <w:tcBorders>
              <w:top w:val="single" w:sz="4" w:space="0" w:color="808080"/>
              <w:left w:val="single" w:sz="4" w:space="0" w:color="808080"/>
              <w:bottom w:val="single" w:sz="4" w:space="0" w:color="808080"/>
              <w:right w:val="single" w:sz="4" w:space="0" w:color="808080"/>
            </w:tcBorders>
            <w:hideMark/>
          </w:tcPr>
          <w:p w14:paraId="0E8ADACC"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$20.15</w:t>
            </w:r>
          </w:p>
        </w:tc>
        <w:tc>
          <w:tcPr>
            <w:tcW w:w="1107" w:type="dxa"/>
            <w:tcBorders>
              <w:top w:val="single" w:sz="4" w:space="0" w:color="808080"/>
              <w:left w:val="single" w:sz="4" w:space="0" w:color="808080"/>
              <w:bottom w:val="single" w:sz="4" w:space="0" w:color="808080"/>
              <w:right w:val="single" w:sz="4" w:space="0" w:color="808080"/>
            </w:tcBorders>
            <w:hideMark/>
          </w:tcPr>
          <w:p w14:paraId="7FF879FB"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675,488</w:t>
            </w:r>
          </w:p>
        </w:tc>
        <w:tc>
          <w:tcPr>
            <w:tcW w:w="1079" w:type="dxa"/>
            <w:tcBorders>
              <w:top w:val="single" w:sz="4" w:space="0" w:color="808080"/>
              <w:left w:val="single" w:sz="4" w:space="0" w:color="808080"/>
              <w:bottom w:val="single" w:sz="4" w:space="0" w:color="808080"/>
              <w:right w:val="single" w:sz="4" w:space="0" w:color="808080"/>
            </w:tcBorders>
            <w:hideMark/>
          </w:tcPr>
          <w:p w14:paraId="7A6C8306"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$11,589,143</w:t>
            </w:r>
          </w:p>
        </w:tc>
        <w:tc>
          <w:tcPr>
            <w:tcW w:w="1182" w:type="dxa"/>
            <w:tcBorders>
              <w:top w:val="single" w:sz="4" w:space="0" w:color="808080"/>
              <w:left w:val="single" w:sz="4" w:space="0" w:color="808080"/>
              <w:bottom w:val="single" w:sz="4" w:space="0" w:color="808080"/>
              <w:right w:val="single" w:sz="4" w:space="0" w:color="808080"/>
            </w:tcBorders>
            <w:hideMark/>
          </w:tcPr>
          <w:p w14:paraId="2FEB6C4D"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-5.05%</w:t>
            </w:r>
          </w:p>
        </w:tc>
      </w:tr>
      <w:tr w:rsidR="00BE40E6" w:rsidRPr="00074D54" w14:paraId="6120D7E3"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10B5E99F"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66656</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2DD03A53"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Prostate specific antigen - quantitation in the monitoring of previously diagnosed prostatic disease (including a test described in item 66655)</w:t>
            </w:r>
          </w:p>
        </w:tc>
        <w:tc>
          <w:tcPr>
            <w:tcW w:w="915" w:type="dxa"/>
            <w:tcBorders>
              <w:top w:val="single" w:sz="4" w:space="0" w:color="808080"/>
              <w:left w:val="single" w:sz="4" w:space="0" w:color="808080"/>
              <w:bottom w:val="single" w:sz="4" w:space="0" w:color="808080"/>
              <w:right w:val="single" w:sz="4" w:space="0" w:color="808080"/>
            </w:tcBorders>
            <w:hideMark/>
          </w:tcPr>
          <w:p w14:paraId="285A598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$20.15</w:t>
            </w:r>
          </w:p>
        </w:tc>
        <w:tc>
          <w:tcPr>
            <w:tcW w:w="1107" w:type="dxa"/>
            <w:tcBorders>
              <w:top w:val="single" w:sz="4" w:space="0" w:color="808080"/>
              <w:left w:val="single" w:sz="4" w:space="0" w:color="808080"/>
              <w:bottom w:val="single" w:sz="4" w:space="0" w:color="808080"/>
              <w:right w:val="single" w:sz="4" w:space="0" w:color="808080"/>
            </w:tcBorders>
            <w:hideMark/>
          </w:tcPr>
          <w:p w14:paraId="2D291537"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796,476</w:t>
            </w:r>
          </w:p>
        </w:tc>
        <w:tc>
          <w:tcPr>
            <w:tcW w:w="1079" w:type="dxa"/>
            <w:tcBorders>
              <w:top w:val="single" w:sz="4" w:space="0" w:color="808080"/>
              <w:left w:val="single" w:sz="4" w:space="0" w:color="808080"/>
              <w:bottom w:val="single" w:sz="4" w:space="0" w:color="808080"/>
              <w:right w:val="single" w:sz="4" w:space="0" w:color="808080"/>
            </w:tcBorders>
            <w:hideMark/>
          </w:tcPr>
          <w:p w14:paraId="1C1FA6EA"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$13,680,453</w:t>
            </w:r>
          </w:p>
        </w:tc>
        <w:tc>
          <w:tcPr>
            <w:tcW w:w="1182" w:type="dxa"/>
            <w:tcBorders>
              <w:top w:val="single" w:sz="4" w:space="0" w:color="808080"/>
              <w:left w:val="single" w:sz="4" w:space="0" w:color="808080"/>
              <w:bottom w:val="single" w:sz="4" w:space="0" w:color="808080"/>
              <w:right w:val="single" w:sz="4" w:space="0" w:color="808080"/>
            </w:tcBorders>
            <w:hideMark/>
          </w:tcPr>
          <w:p w14:paraId="055320E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5.92%</w:t>
            </w:r>
          </w:p>
        </w:tc>
      </w:tr>
      <w:tr w:rsidR="00BE40E6" w:rsidRPr="00074D54" w14:paraId="43D55680"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4407073E"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66659</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5CAD9EF4" w14:textId="77777777" w:rsidR="00BE40E6" w:rsidRPr="00074D54" w:rsidRDefault="00BE40E6">
            <w:pPr>
              <w:shd w:val="clear" w:color="auto" w:fill="FBFBFB"/>
              <w:spacing w:after="24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Prostate specific antigen - quantitation of 2 or more fractions of PSA and any derived index including (if performed) a test described in item 66656, in the follow up of a PSA result that lies at or above the age related median but below the age related, method specific 97.5% reference limit - 1 of this item in a 12 month period</w:t>
            </w:r>
          </w:p>
          <w:p w14:paraId="0BB7D0C8" w14:textId="77777777" w:rsidR="00BE40E6" w:rsidRPr="00074D54" w:rsidRDefault="00BE40E6">
            <w:pPr>
              <w:shd w:val="clear" w:color="auto" w:fill="FBFBFB"/>
              <w:spacing w:after="24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(Item is subject to rule 25)</w:t>
            </w:r>
          </w:p>
        </w:tc>
        <w:tc>
          <w:tcPr>
            <w:tcW w:w="915" w:type="dxa"/>
            <w:tcBorders>
              <w:top w:val="single" w:sz="4" w:space="0" w:color="808080"/>
              <w:left w:val="single" w:sz="4" w:space="0" w:color="808080"/>
              <w:bottom w:val="single" w:sz="4" w:space="0" w:color="808080"/>
              <w:right w:val="single" w:sz="4" w:space="0" w:color="808080"/>
            </w:tcBorders>
            <w:hideMark/>
          </w:tcPr>
          <w:p w14:paraId="25D14FD7"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$37.30</w:t>
            </w:r>
          </w:p>
        </w:tc>
        <w:tc>
          <w:tcPr>
            <w:tcW w:w="1107" w:type="dxa"/>
            <w:tcBorders>
              <w:top w:val="single" w:sz="4" w:space="0" w:color="808080"/>
              <w:left w:val="single" w:sz="4" w:space="0" w:color="808080"/>
              <w:bottom w:val="single" w:sz="4" w:space="0" w:color="808080"/>
              <w:right w:val="single" w:sz="4" w:space="0" w:color="808080"/>
            </w:tcBorders>
            <w:hideMark/>
          </w:tcPr>
          <w:p w14:paraId="69F0B402"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112,825</w:t>
            </w:r>
          </w:p>
        </w:tc>
        <w:tc>
          <w:tcPr>
            <w:tcW w:w="1079" w:type="dxa"/>
            <w:tcBorders>
              <w:top w:val="single" w:sz="4" w:space="0" w:color="808080"/>
              <w:left w:val="single" w:sz="4" w:space="0" w:color="808080"/>
              <w:bottom w:val="single" w:sz="4" w:space="0" w:color="808080"/>
              <w:right w:val="single" w:sz="4" w:space="0" w:color="808080"/>
            </w:tcBorders>
            <w:hideMark/>
          </w:tcPr>
          <w:p w14:paraId="5236A6D0"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$3,590,005</w:t>
            </w:r>
          </w:p>
        </w:tc>
        <w:tc>
          <w:tcPr>
            <w:tcW w:w="1182" w:type="dxa"/>
            <w:tcBorders>
              <w:top w:val="single" w:sz="4" w:space="0" w:color="808080"/>
              <w:left w:val="single" w:sz="4" w:space="0" w:color="808080"/>
              <w:bottom w:val="single" w:sz="4" w:space="0" w:color="808080"/>
              <w:right w:val="single" w:sz="4" w:space="0" w:color="808080"/>
            </w:tcBorders>
            <w:hideMark/>
          </w:tcPr>
          <w:p w14:paraId="15AA5D98"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4.77%</w:t>
            </w:r>
          </w:p>
        </w:tc>
      </w:tr>
      <w:tr w:rsidR="00BE40E6" w:rsidRPr="00074D54" w14:paraId="023FD6A1" w14:textId="77777777" w:rsidTr="00DA51D1">
        <w:tc>
          <w:tcPr>
            <w:tcW w:w="712" w:type="dxa"/>
            <w:tcBorders>
              <w:top w:val="single" w:sz="4" w:space="0" w:color="808080"/>
              <w:left w:val="single" w:sz="4" w:space="0" w:color="808080"/>
              <w:bottom w:val="single" w:sz="4" w:space="0" w:color="808080"/>
              <w:right w:val="single" w:sz="4" w:space="0" w:color="808080"/>
            </w:tcBorders>
            <w:vAlign w:val="center"/>
            <w:hideMark/>
          </w:tcPr>
          <w:p w14:paraId="6A6454DF" w14:textId="77777777" w:rsidR="00BE40E6" w:rsidRPr="00074D54" w:rsidRDefault="00BE40E6">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66660</w:t>
            </w:r>
          </w:p>
        </w:tc>
        <w:tc>
          <w:tcPr>
            <w:tcW w:w="4021" w:type="dxa"/>
            <w:tcBorders>
              <w:top w:val="single" w:sz="4" w:space="0" w:color="808080"/>
              <w:left w:val="single" w:sz="4" w:space="0" w:color="808080"/>
              <w:bottom w:val="single" w:sz="4" w:space="0" w:color="808080"/>
              <w:right w:val="single" w:sz="4" w:space="0" w:color="808080"/>
            </w:tcBorders>
            <w:vAlign w:val="bottom"/>
            <w:hideMark/>
          </w:tcPr>
          <w:p w14:paraId="2618F031" w14:textId="77777777" w:rsidR="00BE40E6" w:rsidRPr="00074D54" w:rsidRDefault="00BE40E6">
            <w:pPr>
              <w:shd w:val="clear" w:color="auto" w:fill="FBFBFB"/>
              <w:spacing w:after="24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 xml:space="preserve">Prostate specific antigen - quantitation of 2 or more fractions of PSA and any derived index including (if performed) a test described in item 66656, in the follow up of a PSA result that lies at or above the age related, method specific 97.5% reference limit, but below a value of 10 </w:t>
            </w:r>
            <w:r w:rsidR="0027685D" w:rsidRPr="0027685D">
              <w:rPr>
                <w:rFonts w:ascii="Arial" w:eastAsiaTheme="minorHAnsi" w:hAnsi="Arial" w:cs="Arial"/>
                <w:sz w:val="18"/>
                <w:szCs w:val="18"/>
                <w:lang w:val="en-GB" w:eastAsia="en-US"/>
              </w:rPr>
              <w:t>μ</w:t>
            </w:r>
            <w:r w:rsidRPr="00074D54">
              <w:rPr>
                <w:rFonts w:ascii="Arial" w:eastAsiaTheme="minorHAnsi" w:hAnsi="Arial" w:cs="Arial"/>
                <w:sz w:val="18"/>
                <w:szCs w:val="18"/>
                <w:lang w:val="en-GB" w:eastAsia="en-US"/>
              </w:rPr>
              <w:t>g/L - 4 of this item in a 12 month period.</w:t>
            </w:r>
          </w:p>
          <w:p w14:paraId="25C340F9" w14:textId="77777777" w:rsidR="00BE40E6" w:rsidRPr="00074D54" w:rsidRDefault="00BE40E6">
            <w:pPr>
              <w:shd w:val="clear" w:color="auto" w:fill="FBFBFB"/>
              <w:spacing w:after="240"/>
              <w:rPr>
                <w:rFonts w:ascii="Helvetica" w:hAnsi="Helvetica" w:cs="Helvetica"/>
                <w:color w:val="222222"/>
                <w:sz w:val="20"/>
                <w:szCs w:val="20"/>
                <w:lang w:val="en-GB"/>
              </w:rPr>
            </w:pPr>
            <w:r w:rsidRPr="00074D54">
              <w:rPr>
                <w:rFonts w:ascii="Arial" w:eastAsiaTheme="minorHAnsi" w:hAnsi="Arial" w:cs="Arial"/>
                <w:sz w:val="18"/>
                <w:szCs w:val="18"/>
                <w:lang w:val="en-GB" w:eastAsia="en-US"/>
              </w:rPr>
              <w:t>(Item is subject to rule 25)</w:t>
            </w:r>
          </w:p>
        </w:tc>
        <w:tc>
          <w:tcPr>
            <w:tcW w:w="915" w:type="dxa"/>
            <w:tcBorders>
              <w:top w:val="single" w:sz="4" w:space="0" w:color="808080"/>
              <w:left w:val="single" w:sz="4" w:space="0" w:color="808080"/>
              <w:bottom w:val="single" w:sz="4" w:space="0" w:color="808080"/>
              <w:right w:val="single" w:sz="4" w:space="0" w:color="808080"/>
            </w:tcBorders>
            <w:hideMark/>
          </w:tcPr>
          <w:p w14:paraId="4EA05AA3"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$37.30</w:t>
            </w:r>
          </w:p>
        </w:tc>
        <w:tc>
          <w:tcPr>
            <w:tcW w:w="1107" w:type="dxa"/>
            <w:tcBorders>
              <w:top w:val="single" w:sz="4" w:space="0" w:color="808080"/>
              <w:left w:val="single" w:sz="4" w:space="0" w:color="808080"/>
              <w:bottom w:val="single" w:sz="4" w:space="0" w:color="808080"/>
              <w:right w:val="single" w:sz="4" w:space="0" w:color="808080"/>
            </w:tcBorders>
            <w:hideMark/>
          </w:tcPr>
          <w:p w14:paraId="78C1F24F"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1,683,449</w:t>
            </w:r>
          </w:p>
        </w:tc>
        <w:tc>
          <w:tcPr>
            <w:tcW w:w="1079" w:type="dxa"/>
            <w:tcBorders>
              <w:top w:val="single" w:sz="4" w:space="0" w:color="808080"/>
              <w:left w:val="single" w:sz="4" w:space="0" w:color="808080"/>
              <w:bottom w:val="single" w:sz="4" w:space="0" w:color="808080"/>
              <w:right w:val="single" w:sz="4" w:space="0" w:color="808080"/>
            </w:tcBorders>
            <w:hideMark/>
          </w:tcPr>
          <w:p w14:paraId="4379AB66"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$1,770,222</w:t>
            </w:r>
          </w:p>
        </w:tc>
        <w:tc>
          <w:tcPr>
            <w:tcW w:w="1182" w:type="dxa"/>
            <w:tcBorders>
              <w:top w:val="single" w:sz="4" w:space="0" w:color="808080"/>
              <w:left w:val="single" w:sz="4" w:space="0" w:color="808080"/>
              <w:bottom w:val="single" w:sz="4" w:space="0" w:color="808080"/>
              <w:right w:val="single" w:sz="4" w:space="0" w:color="808080"/>
            </w:tcBorders>
            <w:hideMark/>
          </w:tcPr>
          <w:p w14:paraId="2DB134B5" w14:textId="77777777" w:rsidR="00BE40E6" w:rsidRPr="00074D54" w:rsidRDefault="00BE40E6" w:rsidP="00DA51D1">
            <w:pPr>
              <w:spacing w:before="20" w:after="20"/>
              <w:rPr>
                <w:rFonts w:ascii="Arial" w:eastAsiaTheme="minorHAnsi" w:hAnsi="Arial" w:cs="Arial"/>
                <w:sz w:val="18"/>
                <w:szCs w:val="18"/>
                <w:lang w:val="en-GB" w:eastAsia="en-US"/>
              </w:rPr>
            </w:pPr>
            <w:r w:rsidRPr="00074D54">
              <w:rPr>
                <w:rFonts w:ascii="Arial" w:eastAsiaTheme="minorHAnsi" w:hAnsi="Arial" w:cs="Arial"/>
                <w:sz w:val="18"/>
                <w:szCs w:val="18"/>
                <w:lang w:val="en-GB" w:eastAsia="en-US"/>
              </w:rPr>
              <w:t>1.01%</w:t>
            </w:r>
          </w:p>
        </w:tc>
      </w:tr>
    </w:tbl>
    <w:p w14:paraId="66198DEA" w14:textId="77777777" w:rsidR="00BE40E6" w:rsidRPr="00074D54" w:rsidRDefault="00BE40E6" w:rsidP="00BE40E6">
      <w:pPr>
        <w:pStyle w:val="Item"/>
        <w:rPr>
          <w:lang w:val="en-GB"/>
        </w:rPr>
      </w:pPr>
      <w:r w:rsidRPr="00074D54">
        <w:rPr>
          <w:lang w:val="en-GB"/>
        </w:rPr>
        <w:t>Recommendation</w:t>
      </w:r>
      <w:r w:rsidR="006E404A">
        <w:rPr>
          <w:lang w:val="en-GB"/>
        </w:rPr>
        <w:t>s</w:t>
      </w:r>
      <w:r w:rsidRPr="00074D54">
        <w:rPr>
          <w:lang w:val="en-GB"/>
        </w:rPr>
        <w:t xml:space="preserve"> </w:t>
      </w:r>
    </w:p>
    <w:p w14:paraId="7D664963" w14:textId="77777777" w:rsidR="00BE40E6" w:rsidRPr="00074D54" w:rsidRDefault="00BE40E6" w:rsidP="002818C3">
      <w:pPr>
        <w:pStyle w:val="NormalBulleted"/>
        <w:numPr>
          <w:ilvl w:val="0"/>
          <w:numId w:val="110"/>
        </w:numPr>
        <w:rPr>
          <w:lang w:val="en-GB"/>
        </w:rPr>
      </w:pPr>
      <w:r w:rsidRPr="00E70882">
        <w:rPr>
          <w:b/>
          <w:lang w:val="en-GB"/>
        </w:rPr>
        <w:t>Change the frequency restrict</w:t>
      </w:r>
      <w:r w:rsidR="00385FA0" w:rsidRPr="00E70882">
        <w:rPr>
          <w:b/>
          <w:lang w:val="en-GB"/>
        </w:rPr>
        <w:t>ion</w:t>
      </w:r>
      <w:r w:rsidRPr="00E70882">
        <w:rPr>
          <w:b/>
          <w:lang w:val="en-GB"/>
        </w:rPr>
        <w:t xml:space="preserve"> for item 66655 to allow one PSA quantitation in a 23-month period.</w:t>
      </w:r>
      <w:r w:rsidRPr="00074D54">
        <w:rPr>
          <w:lang w:val="en-GB"/>
        </w:rPr>
        <w:t xml:space="preserve"> This aligns with the guidelines created by the Prostate Cancer Foundation and the Cancer Council of Australia</w:t>
      </w:r>
      <w:r w:rsidR="00973CFB">
        <w:rPr>
          <w:lang w:val="en-GB"/>
        </w:rPr>
        <w:t xml:space="preserve">, </w:t>
      </w:r>
      <w:r w:rsidR="00973CFB" w:rsidRPr="00074D54">
        <w:rPr>
          <w:lang w:val="en-GB"/>
        </w:rPr>
        <w:t>which have been endorsed by the NHMRC</w:t>
      </w:r>
      <w:r w:rsidR="00D8464C">
        <w:rPr>
          <w:lang w:val="en-GB"/>
        </w:rPr>
        <w:t xml:space="preserve"> </w:t>
      </w:r>
      <w:sdt>
        <w:sdtPr>
          <w:rPr>
            <w:lang w:val="en-GB"/>
          </w:rPr>
          <w:id w:val="1902168536"/>
          <w:citation/>
        </w:sdtPr>
        <w:sdtEndPr/>
        <w:sdtContent>
          <w:r w:rsidR="00D8464C">
            <w:rPr>
              <w:lang w:val="en-GB"/>
            </w:rPr>
            <w:fldChar w:fldCharType="begin"/>
          </w:r>
          <w:r w:rsidR="00614E5F" w:rsidRPr="00EA019E">
            <w:rPr>
              <w:lang w:val="en-GB"/>
            </w:rPr>
            <w:instrText xml:space="preserve">CITATION Can16 \l 1033 </w:instrText>
          </w:r>
          <w:r w:rsidR="00D8464C">
            <w:rPr>
              <w:lang w:val="en-GB"/>
            </w:rPr>
            <w:fldChar w:fldCharType="separate"/>
          </w:r>
          <w:r w:rsidR="00B66BE1" w:rsidRPr="00B66BE1">
            <w:rPr>
              <w:noProof/>
              <w:lang w:val="en-GB"/>
            </w:rPr>
            <w:t>(46)</w:t>
          </w:r>
          <w:r w:rsidR="00D8464C">
            <w:rPr>
              <w:lang w:val="en-GB"/>
            </w:rPr>
            <w:fldChar w:fldCharType="end"/>
          </w:r>
        </w:sdtContent>
      </w:sdt>
      <w:r w:rsidRPr="00074D54">
        <w:rPr>
          <w:lang w:val="en-GB"/>
        </w:rPr>
        <w:t>. The proposed item descriptor is as follows:</w:t>
      </w:r>
    </w:p>
    <w:p w14:paraId="581A43B7" w14:textId="3064CB50" w:rsidR="00BE40E6" w:rsidRPr="00074D54" w:rsidRDefault="00BE40E6" w:rsidP="00AB3AC3">
      <w:pPr>
        <w:pStyle w:val="02dash"/>
        <w:numPr>
          <w:ilvl w:val="1"/>
          <w:numId w:val="64"/>
        </w:numPr>
        <w:spacing w:before="0" w:line="240" w:lineRule="auto"/>
        <w:ind w:left="641" w:right="0"/>
      </w:pPr>
      <w:r w:rsidRPr="00074D54">
        <w:t>Prostate specific antigen – quantitation</w:t>
      </w:r>
      <w:r w:rsidR="003C73C7" w:rsidRPr="00833EA9">
        <w:rPr>
          <w:lang w:val="en-AU"/>
        </w:rPr>
        <w:t xml:space="preserve"> in the monitoring of previously diagnosed prostatic disease (including a</w:t>
      </w:r>
      <w:r w:rsidR="003C73C7">
        <w:rPr>
          <w:lang w:val="en-AU"/>
        </w:rPr>
        <w:t xml:space="preserve">n abnormal test described in item 66655) (see explanatory note) </w:t>
      </w:r>
      <w:r w:rsidRPr="00074D54">
        <w:t>– 1 of this item in a 23 month period.</w:t>
      </w:r>
    </w:p>
    <w:p w14:paraId="02A49AED" w14:textId="25D89514" w:rsidR="003C73C7" w:rsidRPr="003C73C7" w:rsidRDefault="003C73C7" w:rsidP="002818C3">
      <w:pPr>
        <w:pStyle w:val="ListParagraph"/>
        <w:numPr>
          <w:ilvl w:val="0"/>
          <w:numId w:val="110"/>
        </w:numPr>
        <w:rPr>
          <w:rFonts w:cs="Calibri"/>
          <w:lang w:val="en-GB"/>
        </w:rPr>
      </w:pPr>
      <w:r w:rsidRPr="003C73C7">
        <w:rPr>
          <w:rFonts w:cs="Calibri"/>
          <w:lang w:val="en-GB"/>
        </w:rPr>
        <w:lastRenderedPageBreak/>
        <w:t xml:space="preserve">For item 66656, Add 97.5% to explanatory note regarding abnormal PSA (i.e. </w:t>
      </w:r>
      <w:r w:rsidR="005C6B1F" w:rsidRPr="003C73C7">
        <w:rPr>
          <w:rFonts w:cs="Calibri"/>
          <w:lang w:val="en-GB"/>
        </w:rPr>
        <w:t>previously</w:t>
      </w:r>
      <w:r w:rsidRPr="003C73C7">
        <w:rPr>
          <w:rFonts w:cs="Calibri"/>
          <w:lang w:val="en-GB"/>
        </w:rPr>
        <w:t xml:space="preserve"> diagnosed prostate disease includes prostate cancer, prostatitis and premalignant conditions such as atypical small acinar proliferation. Elevated PSA levels (above the 97.5th age related upper reference limit) can be monitored using this item. This item is not to be used for monitoring of benign prostatic hypertrophy.)</w:t>
      </w:r>
    </w:p>
    <w:p w14:paraId="7FD82899" w14:textId="77777777" w:rsidR="003C73C7" w:rsidRPr="003C73C7" w:rsidRDefault="003C73C7" w:rsidP="002818C3">
      <w:pPr>
        <w:pStyle w:val="ListParagraph"/>
        <w:numPr>
          <w:ilvl w:val="0"/>
          <w:numId w:val="110"/>
        </w:numPr>
        <w:rPr>
          <w:rFonts w:cs="Calibri"/>
          <w:lang w:val="en-GB"/>
        </w:rPr>
      </w:pPr>
      <w:r w:rsidRPr="003C73C7">
        <w:rPr>
          <w:rFonts w:cs="Calibri"/>
          <w:lang w:val="en-GB"/>
        </w:rPr>
        <w:t>For item 66659, Prostate specific antigen – quantitation of 2 or more fractions of PSA and any derived index in the follow up of previous PSA result in 66655 that is greater than 3.0 μg/L and up to 5.5 μg/L. Note: a lower threshold may be applied to men with twice or more the average risk. See explanatory note.</w:t>
      </w:r>
    </w:p>
    <w:p w14:paraId="229A5FC3" w14:textId="77777777" w:rsidR="00BE40E6" w:rsidRPr="00C95B06" w:rsidRDefault="00BE40E6" w:rsidP="002818C3">
      <w:pPr>
        <w:pStyle w:val="NormalBulleted"/>
        <w:numPr>
          <w:ilvl w:val="0"/>
          <w:numId w:val="110"/>
        </w:numPr>
        <w:rPr>
          <w:lang w:val="en-GB"/>
        </w:rPr>
      </w:pPr>
      <w:r w:rsidRPr="00E70882">
        <w:rPr>
          <w:b/>
          <w:lang w:val="en-GB"/>
        </w:rPr>
        <w:t xml:space="preserve">Change the descriptor for item 66659 and clarify that this test should be requested when following up a previous PSA result (item 66655) that is greater than 3.0 </w:t>
      </w:r>
      <w:r w:rsidR="0027685D" w:rsidRPr="00E70882">
        <w:rPr>
          <w:b/>
          <w:lang w:val="en-GB"/>
        </w:rPr>
        <w:t>μ</w:t>
      </w:r>
      <w:r w:rsidRPr="00E70882">
        <w:rPr>
          <w:b/>
          <w:lang w:val="en-GB"/>
        </w:rPr>
        <w:t xml:space="preserve">g/L and up to 5.5 </w:t>
      </w:r>
      <w:r w:rsidR="0027685D" w:rsidRPr="00E70882">
        <w:rPr>
          <w:b/>
          <w:lang w:val="en-GB"/>
        </w:rPr>
        <w:t>μ</w:t>
      </w:r>
      <w:r w:rsidRPr="00E70882">
        <w:rPr>
          <w:b/>
          <w:lang w:val="en-GB"/>
        </w:rPr>
        <w:t>g/L</w:t>
      </w:r>
      <w:r w:rsidR="00EA019E">
        <w:rPr>
          <w:lang w:val="en-GB"/>
        </w:rPr>
        <w:t xml:space="preserve"> </w:t>
      </w:r>
      <w:r w:rsidR="00EA019E" w:rsidRPr="00074D54">
        <w:rPr>
          <w:lang w:val="en-GB"/>
        </w:rPr>
        <w:t>to align with the Prostate Cancer Foundation and Cancer Council of Australia guidelines</w:t>
      </w:r>
      <w:r w:rsidRPr="00074D54">
        <w:rPr>
          <w:lang w:val="en-GB"/>
        </w:rPr>
        <w:t xml:space="preserve">. The item descriptor should also note that a lower threshold of 2.0 </w:t>
      </w:r>
      <w:r w:rsidR="0027685D" w:rsidRPr="00D35E4F">
        <w:rPr>
          <w:lang w:val="en-GB"/>
        </w:rPr>
        <w:t>μ</w:t>
      </w:r>
      <w:r w:rsidRPr="00074D54">
        <w:rPr>
          <w:lang w:val="en-GB"/>
        </w:rPr>
        <w:t>g/L may apply to men with twice the average risk, and it should refer to the Prostate Cancer Foundation and Cancer Council of Australia guidelines included in the explanatory note</w:t>
      </w:r>
      <w:r w:rsidR="00C95B06">
        <w:rPr>
          <w:lang w:val="en-GB"/>
        </w:rPr>
        <w:t xml:space="preserve">. </w:t>
      </w:r>
      <w:r w:rsidRPr="00C95B06">
        <w:rPr>
          <w:lang w:val="en-GB"/>
        </w:rPr>
        <w:t>The proposed item descriptor is as follows:</w:t>
      </w:r>
    </w:p>
    <w:p w14:paraId="17586EB8" w14:textId="77777777" w:rsidR="00BE40E6" w:rsidRPr="00074D54" w:rsidRDefault="00BE40E6" w:rsidP="00AB3AC3">
      <w:pPr>
        <w:pStyle w:val="02dash"/>
        <w:numPr>
          <w:ilvl w:val="1"/>
          <w:numId w:val="64"/>
        </w:numPr>
        <w:spacing w:before="0" w:line="240" w:lineRule="auto"/>
        <w:ind w:left="641" w:right="0"/>
      </w:pPr>
      <w:r w:rsidRPr="00074D54">
        <w:t xml:space="preserve">Prostate specific antigen – quantitation of 2 or more fractions of PSA and any derived index in the follow up of previous PSA result in 66655 that is greater than 3.0 </w:t>
      </w:r>
      <w:r w:rsidR="0027685D" w:rsidRPr="00D35E4F">
        <w:rPr>
          <w:lang w:val="en-GB"/>
        </w:rPr>
        <w:t>μ</w:t>
      </w:r>
      <w:r w:rsidRPr="00074D54">
        <w:t xml:space="preserve">g/L and up to 5.5 </w:t>
      </w:r>
      <w:r w:rsidR="0027685D" w:rsidRPr="00D35E4F">
        <w:rPr>
          <w:lang w:val="en-GB"/>
        </w:rPr>
        <w:t>μ</w:t>
      </w:r>
      <w:r w:rsidRPr="00074D54">
        <w:t xml:space="preserve">g/L. Note: a lower threshold of 2.0 </w:t>
      </w:r>
      <w:r w:rsidR="0027685D" w:rsidRPr="00D35E4F">
        <w:rPr>
          <w:lang w:val="en-GB"/>
        </w:rPr>
        <w:t>μ</w:t>
      </w:r>
      <w:r w:rsidRPr="00074D54">
        <w:t xml:space="preserve">g/L may be applied to men with twice the average risk. See the </w:t>
      </w:r>
      <w:r w:rsidR="00973CFB" w:rsidRPr="00074D54">
        <w:rPr>
          <w:lang w:val="en-GB"/>
        </w:rPr>
        <w:t>Prostate Cancer Foundation and the Cancer Council of Australia</w:t>
      </w:r>
      <w:r w:rsidRPr="00074D54">
        <w:t xml:space="preserve"> guidelines to risk levels included in the explanatory note.</w:t>
      </w:r>
    </w:p>
    <w:p w14:paraId="369C4922" w14:textId="77777777" w:rsidR="00A76AE8" w:rsidRPr="00C95B06" w:rsidRDefault="00A76AE8" w:rsidP="002818C3">
      <w:pPr>
        <w:pStyle w:val="NormalBulleted"/>
        <w:numPr>
          <w:ilvl w:val="0"/>
          <w:numId w:val="110"/>
        </w:numPr>
        <w:rPr>
          <w:lang w:val="en-GB"/>
        </w:rPr>
      </w:pPr>
      <w:r w:rsidRPr="00E70882">
        <w:rPr>
          <w:b/>
          <w:lang w:val="en-GB"/>
        </w:rPr>
        <w:t>Change the descriptor for item 666</w:t>
      </w:r>
      <w:r>
        <w:rPr>
          <w:b/>
          <w:lang w:val="en-GB"/>
        </w:rPr>
        <w:t>60</w:t>
      </w:r>
      <w:r w:rsidR="00C42B95">
        <w:rPr>
          <w:b/>
          <w:lang w:val="en-GB"/>
        </w:rPr>
        <w:t xml:space="preserve">. </w:t>
      </w:r>
      <w:r w:rsidRPr="00C95B06">
        <w:rPr>
          <w:lang w:val="en-GB"/>
        </w:rPr>
        <w:t>The proposed item descriptor is as follows:</w:t>
      </w:r>
    </w:p>
    <w:p w14:paraId="24AE7159" w14:textId="77777777" w:rsidR="003C73C7" w:rsidRPr="003C73C7" w:rsidRDefault="003C73C7" w:rsidP="00671F7C">
      <w:pPr>
        <w:pStyle w:val="NormalBulleted"/>
        <w:numPr>
          <w:ilvl w:val="0"/>
          <w:numId w:val="0"/>
        </w:numPr>
        <w:ind w:left="360"/>
        <w:rPr>
          <w:lang w:val="en-GB"/>
        </w:rPr>
      </w:pPr>
      <w:r w:rsidRPr="003C73C7">
        <w:rPr>
          <w:lang w:val="en-GB"/>
        </w:rPr>
        <w:t>Prostate specific antigen – quantitation of 2 or more fractions of PSA and any derived index including (if performed) a test described in item 66656, in the follow up of a PSA result that lies</w:t>
      </w:r>
    </w:p>
    <w:p w14:paraId="533F2E8F" w14:textId="77777777" w:rsidR="003C73C7" w:rsidRPr="003C73C7" w:rsidRDefault="003C73C7" w:rsidP="002818C3">
      <w:pPr>
        <w:pStyle w:val="NormalBulleted"/>
        <w:numPr>
          <w:ilvl w:val="0"/>
          <w:numId w:val="115"/>
        </w:numPr>
        <w:rPr>
          <w:lang w:val="en-GB"/>
        </w:rPr>
      </w:pPr>
      <w:r w:rsidRPr="003C73C7">
        <w:rPr>
          <w:lang w:val="en-GB"/>
        </w:rPr>
        <w:t xml:space="preserve">Above 3.0 ug/L for men under 70 years of age (or lower in men with family history as described in explanatory note), </w:t>
      </w:r>
    </w:p>
    <w:p w14:paraId="39EA0BE0" w14:textId="77777777" w:rsidR="003C73C7" w:rsidRDefault="003C73C7" w:rsidP="002818C3">
      <w:pPr>
        <w:pStyle w:val="NormalBulleted"/>
        <w:numPr>
          <w:ilvl w:val="0"/>
          <w:numId w:val="115"/>
        </w:numPr>
        <w:rPr>
          <w:lang w:val="en-GB"/>
        </w:rPr>
      </w:pPr>
      <w:r w:rsidRPr="003C73C7">
        <w:rPr>
          <w:lang w:val="en-GB"/>
        </w:rPr>
        <w:t>Below 10.0 ug/L for men under the age of 70 years (or below 5.5 ug/L for men at or above 70 years of age)</w:t>
      </w:r>
    </w:p>
    <w:p w14:paraId="62D667BD" w14:textId="77777777" w:rsidR="003C73C7" w:rsidRPr="006823BF" w:rsidRDefault="003C73C7" w:rsidP="00671F7C">
      <w:pPr>
        <w:pStyle w:val="NormalBulleted"/>
        <w:numPr>
          <w:ilvl w:val="0"/>
          <w:numId w:val="0"/>
        </w:numPr>
        <w:ind w:left="289"/>
        <w:rPr>
          <w:lang w:val="en-GB"/>
        </w:rPr>
      </w:pPr>
      <w:r>
        <w:rPr>
          <w:lang w:val="en-GB"/>
        </w:rPr>
        <w:t xml:space="preserve"> </w:t>
      </w:r>
      <w:r w:rsidRPr="006823BF">
        <w:rPr>
          <w:lang w:val="en-GB"/>
        </w:rPr>
        <w:t xml:space="preserve"> – 4 of this item in a 12 month period. (Item is subject to rule 25)</w:t>
      </w:r>
    </w:p>
    <w:p w14:paraId="578DE6AA" w14:textId="44213084" w:rsidR="00985650" w:rsidRDefault="00BE40E6" w:rsidP="002818C3">
      <w:pPr>
        <w:pStyle w:val="NormalBulleted"/>
        <w:numPr>
          <w:ilvl w:val="0"/>
          <w:numId w:val="110"/>
        </w:numPr>
        <w:rPr>
          <w:lang w:val="en-GB"/>
        </w:rPr>
      </w:pPr>
      <w:r w:rsidRPr="00E70882">
        <w:rPr>
          <w:b/>
          <w:lang w:val="en-GB"/>
        </w:rPr>
        <w:t>Create an explanatory note for items 66655, 66656, 66659 and 66660 to communicate that guidelines</w:t>
      </w:r>
      <w:r w:rsidRPr="00074D54">
        <w:rPr>
          <w:lang w:val="en-GB"/>
        </w:rPr>
        <w:t xml:space="preserve"> created by the Prostate Cancer Foundation of Australia and the Cancer Council of Australia, which are endorsed by the NHMRC, the RACGP and the Urological Society of Australia and New Zealand (USANZ), </w:t>
      </w:r>
      <w:r w:rsidRPr="00E70882">
        <w:rPr>
          <w:b/>
          <w:lang w:val="en-GB"/>
        </w:rPr>
        <w:t>recommend offering testing from age 50 to informed men</w:t>
      </w:r>
      <w:r w:rsidRPr="00074D54">
        <w:rPr>
          <w:lang w:val="en-GB"/>
        </w:rPr>
        <w:t xml:space="preserve"> (that is, men who have been informed of the risks and benefits of testing) </w:t>
      </w:r>
      <w:r w:rsidRPr="00E70882">
        <w:rPr>
          <w:b/>
          <w:lang w:val="en-GB"/>
        </w:rPr>
        <w:t>who wish to be screened for prostate cancer, and that a result over 3.0ng/mL should be followed up with a repeat PSA in one to three months, including a free-to-total PSA ratio.</w:t>
      </w:r>
      <w:r w:rsidRPr="00074D54">
        <w:rPr>
          <w:lang w:val="en-GB"/>
        </w:rPr>
        <w:t xml:space="preserve"> </w:t>
      </w:r>
    </w:p>
    <w:p w14:paraId="484F065E" w14:textId="77777777" w:rsidR="00985650" w:rsidRDefault="00985650">
      <w:pPr>
        <w:spacing w:before="0" w:after="0" w:line="240" w:lineRule="auto"/>
        <w:rPr>
          <w:rFonts w:cs="Calibri"/>
          <w:lang w:val="en-GB"/>
        </w:rPr>
      </w:pPr>
      <w:r>
        <w:rPr>
          <w:lang w:val="en-GB"/>
        </w:rPr>
        <w:br w:type="page"/>
      </w:r>
    </w:p>
    <w:p w14:paraId="79D6EFFB" w14:textId="77777777" w:rsidR="00BE40E6" w:rsidRPr="00074D54" w:rsidRDefault="00BE40E6" w:rsidP="00BE40E6">
      <w:pPr>
        <w:pStyle w:val="NormalBulleted"/>
        <w:numPr>
          <w:ilvl w:val="0"/>
          <w:numId w:val="0"/>
        </w:numPr>
        <w:ind w:left="357"/>
        <w:rPr>
          <w:lang w:val="en-GB"/>
        </w:rPr>
      </w:pPr>
      <w:r w:rsidRPr="00074D54">
        <w:rPr>
          <w:lang w:val="en-GB"/>
        </w:rPr>
        <w:lastRenderedPageBreak/>
        <w:t>The proposed explanatory note is as follows:</w:t>
      </w:r>
    </w:p>
    <w:p w14:paraId="45C1636C" w14:textId="77777777" w:rsidR="00BE40E6" w:rsidRPr="00074D54" w:rsidRDefault="00BE40E6" w:rsidP="00AB3AC3">
      <w:pPr>
        <w:pStyle w:val="02dash"/>
        <w:numPr>
          <w:ilvl w:val="1"/>
          <w:numId w:val="64"/>
        </w:numPr>
        <w:spacing w:before="0" w:line="240" w:lineRule="auto"/>
        <w:ind w:left="641" w:right="0"/>
        <w:rPr>
          <w:i/>
        </w:rPr>
      </w:pPr>
      <w:r w:rsidRPr="00973CFB">
        <w:rPr>
          <w:i/>
        </w:rPr>
        <w:t>The</w:t>
      </w:r>
      <w:r w:rsidR="00973CFB" w:rsidRPr="00973CFB">
        <w:rPr>
          <w:i/>
        </w:rPr>
        <w:t xml:space="preserve"> </w:t>
      </w:r>
      <w:r w:rsidR="00973CFB" w:rsidRPr="00E916B1">
        <w:rPr>
          <w:i/>
          <w:lang w:val="en-GB"/>
        </w:rPr>
        <w:t xml:space="preserve">Prostate Cancer Foundation and the Cancer Council of Australia </w:t>
      </w:r>
      <w:r w:rsidR="00973CFB" w:rsidRPr="00973CFB">
        <w:rPr>
          <w:i/>
        </w:rPr>
        <w:t>guidelines</w:t>
      </w:r>
      <w:r w:rsidR="00973CFB" w:rsidRPr="00E916B1">
        <w:rPr>
          <w:i/>
          <w:lang w:val="en-GB"/>
        </w:rPr>
        <w:t xml:space="preserve"> endorsed by the</w:t>
      </w:r>
      <w:r w:rsidRPr="00973CFB">
        <w:rPr>
          <w:i/>
        </w:rPr>
        <w:t xml:space="preserve"> NHMRC</w:t>
      </w:r>
      <w:r w:rsidRPr="00074D54">
        <w:rPr>
          <w:i/>
        </w:rPr>
        <w:t xml:space="preserve">, RACGP, USANZ for PSA testing (available here: </w:t>
      </w:r>
      <w:hyperlink r:id="rId18" w:history="1">
        <w:r w:rsidR="00FE1900">
          <w:rPr>
            <w:rStyle w:val="Hyperlink"/>
            <w:lang w:val="en-AU"/>
          </w:rPr>
          <w:t>at http://www.prostate.org.au/awareness/for-healthcare-professionals/clinical-practice-guidelines-on-psa-testing/</w:t>
        </w:r>
      </w:hyperlink>
      <w:r w:rsidRPr="00074D54">
        <w:rPr>
          <w:i/>
        </w:rPr>
        <w:t>) recommend that informed men wishing to undertake PSA testing for prostate cancer be offered testing from age 50 onwards and that a PSA result over 3.0 ng/mL be followed up with a repeat PSA in 1 to 3 months including a free to total PSA ratio.</w:t>
      </w:r>
    </w:p>
    <w:p w14:paraId="27100E29" w14:textId="19A5C7AA" w:rsidR="00BE40E6" w:rsidRDefault="00BE40E6" w:rsidP="00EA019E">
      <w:pPr>
        <w:pStyle w:val="02dash"/>
        <w:numPr>
          <w:ilvl w:val="1"/>
          <w:numId w:val="64"/>
        </w:numPr>
        <w:spacing w:before="0" w:line="240" w:lineRule="auto"/>
        <w:ind w:left="641" w:right="0"/>
        <w:rPr>
          <w:i/>
        </w:rPr>
      </w:pPr>
      <w:r w:rsidRPr="00EA019E">
        <w:rPr>
          <w:i/>
        </w:rPr>
        <w:t>Different thresholds apply to younger men with a family history of prostate cancer and are detailed in the endorsed guidelines with a summary of relative risk provided below:</w:t>
      </w:r>
    </w:p>
    <w:p w14:paraId="07E98BDE" w14:textId="77777777" w:rsidR="00985650" w:rsidRDefault="00985650" w:rsidP="00985650">
      <w:pPr>
        <w:pStyle w:val="02dash"/>
        <w:numPr>
          <w:ilvl w:val="0"/>
          <w:numId w:val="0"/>
        </w:numPr>
        <w:spacing w:before="0" w:line="240" w:lineRule="auto"/>
        <w:ind w:left="641" w:right="0"/>
        <w:rPr>
          <w:i/>
        </w:rPr>
      </w:pPr>
    </w:p>
    <w:tbl>
      <w:tblPr>
        <w:tblStyle w:val="GridTable5Dark-Accent1"/>
        <w:tblW w:w="0" w:type="auto"/>
        <w:jc w:val="center"/>
        <w:tblLook w:val="04A0" w:firstRow="1" w:lastRow="0" w:firstColumn="1" w:lastColumn="0" w:noHBand="0" w:noVBand="1"/>
        <w:tblCaption w:val="Level of family history of prostate cancer and the relative risk for cancer death"/>
        <w:tblDescription w:val="This table describes the different thresholds that apply to younger men with a family history of prostate cancer and are detailed in the endorsed guidelines with a summary of relative risk. "/>
      </w:tblPr>
      <w:tblGrid>
        <w:gridCol w:w="3539"/>
        <w:gridCol w:w="2617"/>
      </w:tblGrid>
      <w:tr w:rsidR="005E25E3" w14:paraId="266A2C95" w14:textId="77777777" w:rsidTr="007C04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39" w:type="dxa"/>
          </w:tcPr>
          <w:p w14:paraId="2DFC1243" w14:textId="77777777" w:rsidR="007F530A" w:rsidRPr="005E25E3" w:rsidRDefault="007F530A" w:rsidP="007C04C0">
            <w:pPr>
              <w:pStyle w:val="02dash"/>
              <w:numPr>
                <w:ilvl w:val="0"/>
                <w:numId w:val="0"/>
              </w:numPr>
              <w:tabs>
                <w:tab w:val="left" w:pos="1125"/>
              </w:tabs>
              <w:spacing w:before="0" w:after="0" w:line="240" w:lineRule="auto"/>
              <w:ind w:right="0"/>
              <w:rPr>
                <w:rFonts w:cstheme="minorHAnsi"/>
                <w:szCs w:val="22"/>
              </w:rPr>
            </w:pPr>
            <w:r w:rsidRPr="005E25E3">
              <w:rPr>
                <w:rStyle w:val="A10"/>
                <w:rFonts w:cstheme="minorHAnsi"/>
                <w:b/>
                <w:color w:val="FFFFFF" w:themeColor="background1"/>
                <w:sz w:val="22"/>
                <w:szCs w:val="22"/>
              </w:rPr>
              <w:t xml:space="preserve">Level of family history of prostate cancer </w:t>
            </w:r>
          </w:p>
          <w:p w14:paraId="3A55663D" w14:textId="77777777" w:rsidR="007F530A" w:rsidRPr="005E25E3" w:rsidRDefault="007F530A" w:rsidP="007C04C0">
            <w:pPr>
              <w:pStyle w:val="02dash"/>
              <w:numPr>
                <w:ilvl w:val="0"/>
                <w:numId w:val="0"/>
              </w:numPr>
              <w:tabs>
                <w:tab w:val="left" w:pos="1125"/>
              </w:tabs>
              <w:spacing w:before="0" w:after="0" w:line="240" w:lineRule="auto"/>
              <w:ind w:right="0"/>
              <w:rPr>
                <w:rFonts w:cstheme="minorHAnsi"/>
                <w:szCs w:val="22"/>
              </w:rPr>
            </w:pPr>
          </w:p>
        </w:tc>
        <w:tc>
          <w:tcPr>
            <w:tcW w:w="2617" w:type="dxa"/>
          </w:tcPr>
          <w:p w14:paraId="793FFA17" w14:textId="77777777" w:rsidR="007F530A" w:rsidRPr="005E25E3" w:rsidRDefault="007F530A" w:rsidP="007C04C0">
            <w:pPr>
              <w:pStyle w:val="02dash"/>
              <w:spacing w:before="0" w:after="0" w:line="240" w:lineRule="auto"/>
              <w:ind w:right="0"/>
              <w:cnfStyle w:val="100000000000" w:firstRow="1" w:lastRow="0" w:firstColumn="0" w:lastColumn="0" w:oddVBand="0" w:evenVBand="0" w:oddHBand="0" w:evenHBand="0" w:firstRowFirstColumn="0" w:firstRowLastColumn="0" w:lastRowFirstColumn="0" w:lastRowLastColumn="0"/>
              <w:rPr>
                <w:rFonts w:cstheme="minorHAnsi"/>
                <w:szCs w:val="22"/>
              </w:rPr>
            </w:pPr>
            <w:r w:rsidRPr="005E25E3">
              <w:rPr>
                <w:rFonts w:cstheme="minorHAnsi"/>
                <w:szCs w:val="22"/>
              </w:rPr>
              <w:t>Relative risk for prostate cancer death</w:t>
            </w:r>
            <w:r w:rsidRPr="005E25E3">
              <w:rPr>
                <w:rFonts w:cstheme="minorHAnsi"/>
                <w:szCs w:val="22"/>
                <w:vertAlign w:val="superscript"/>
              </w:rPr>
              <w:t>1</w:t>
            </w:r>
          </w:p>
        </w:tc>
      </w:tr>
      <w:tr w:rsidR="007F530A" w14:paraId="0D917703" w14:textId="77777777" w:rsidTr="005E2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56" w:type="dxa"/>
            <w:gridSpan w:val="2"/>
          </w:tcPr>
          <w:p w14:paraId="523D1D14" w14:textId="77777777" w:rsidR="007F530A" w:rsidRPr="005E25E3" w:rsidRDefault="007F530A" w:rsidP="007F530A">
            <w:pPr>
              <w:pStyle w:val="02dash"/>
              <w:numPr>
                <w:ilvl w:val="0"/>
                <w:numId w:val="0"/>
              </w:numPr>
              <w:spacing w:before="0" w:line="240" w:lineRule="auto"/>
              <w:ind w:right="0"/>
              <w:rPr>
                <w:rFonts w:cstheme="minorHAnsi"/>
              </w:rPr>
            </w:pPr>
            <w:r w:rsidRPr="005E25E3">
              <w:rPr>
                <w:rFonts w:cstheme="minorHAnsi"/>
              </w:rPr>
              <w:t xml:space="preserve">1 First degree relative </w:t>
            </w:r>
          </w:p>
        </w:tc>
      </w:tr>
      <w:tr w:rsidR="007F530A" w14:paraId="6715A6B2" w14:textId="77777777" w:rsidTr="005E25E3">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208F7367"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Father diagnosed</w:t>
            </w:r>
          </w:p>
        </w:tc>
        <w:tc>
          <w:tcPr>
            <w:tcW w:w="2617" w:type="dxa"/>
          </w:tcPr>
          <w:p w14:paraId="3A4AEA92" w14:textId="77777777" w:rsidR="007F530A" w:rsidRPr="005E25E3" w:rsidRDefault="005E25E3" w:rsidP="005E25E3">
            <w:pPr>
              <w:pStyle w:val="02dash"/>
              <w:numPr>
                <w:ilvl w:val="0"/>
                <w:numId w:val="0"/>
              </w:numPr>
              <w:spacing w:before="0" w:line="240" w:lineRule="auto"/>
              <w:ind w:right="0"/>
              <w:jc w:val="center"/>
              <w:cnfStyle w:val="000000000000" w:firstRow="0" w:lastRow="0" w:firstColumn="0" w:lastColumn="0" w:oddVBand="0" w:evenVBand="0" w:oddHBand="0" w:evenHBand="0" w:firstRowFirstColumn="0" w:firstRowLastColumn="0" w:lastRowFirstColumn="0" w:lastRowLastColumn="0"/>
              <w:rPr>
                <w:rFonts w:cstheme="minorHAnsi"/>
              </w:rPr>
            </w:pPr>
            <w:r w:rsidRPr="005E25E3">
              <w:rPr>
                <w:rFonts w:cstheme="minorHAnsi"/>
              </w:rPr>
              <w:t>1.8</w:t>
            </w:r>
          </w:p>
        </w:tc>
      </w:tr>
      <w:tr w:rsidR="005E25E3" w14:paraId="3E5FF7FA" w14:textId="77777777" w:rsidTr="005E2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B8CCE4" w:themeFill="accent1" w:themeFillTint="66"/>
          </w:tcPr>
          <w:p w14:paraId="44A8FBB1"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Father diagnosed age &lt; 60 years</w:t>
            </w:r>
          </w:p>
        </w:tc>
        <w:tc>
          <w:tcPr>
            <w:tcW w:w="2617" w:type="dxa"/>
          </w:tcPr>
          <w:p w14:paraId="21CC86E6" w14:textId="77777777" w:rsidR="007F530A" w:rsidRPr="005E25E3" w:rsidRDefault="005E25E3" w:rsidP="005E25E3">
            <w:pPr>
              <w:pStyle w:val="02dash"/>
              <w:numPr>
                <w:ilvl w:val="0"/>
                <w:numId w:val="0"/>
              </w:numPr>
              <w:spacing w:before="0" w:line="240" w:lineRule="auto"/>
              <w:ind w:right="0"/>
              <w:jc w:val="center"/>
              <w:cnfStyle w:val="000000100000" w:firstRow="0" w:lastRow="0" w:firstColumn="0" w:lastColumn="0" w:oddVBand="0" w:evenVBand="0" w:oddHBand="1" w:evenHBand="0" w:firstRowFirstColumn="0" w:firstRowLastColumn="0" w:lastRowFirstColumn="0" w:lastRowLastColumn="0"/>
              <w:rPr>
                <w:rFonts w:cstheme="minorHAnsi"/>
              </w:rPr>
            </w:pPr>
            <w:r w:rsidRPr="005E25E3">
              <w:rPr>
                <w:rFonts w:cstheme="minorHAnsi"/>
              </w:rPr>
              <w:t>2.1</w:t>
            </w:r>
          </w:p>
        </w:tc>
      </w:tr>
      <w:tr w:rsidR="007F530A" w14:paraId="03501C81" w14:textId="77777777" w:rsidTr="005E25E3">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02B9042C"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Father died</w:t>
            </w:r>
          </w:p>
        </w:tc>
        <w:tc>
          <w:tcPr>
            <w:tcW w:w="2617" w:type="dxa"/>
          </w:tcPr>
          <w:p w14:paraId="0EE1B101" w14:textId="77777777" w:rsidR="007F530A" w:rsidRPr="005E25E3" w:rsidRDefault="005E25E3" w:rsidP="005E25E3">
            <w:pPr>
              <w:pStyle w:val="02dash"/>
              <w:numPr>
                <w:ilvl w:val="0"/>
                <w:numId w:val="0"/>
              </w:numPr>
              <w:spacing w:before="0" w:line="240" w:lineRule="auto"/>
              <w:ind w:right="0"/>
              <w:jc w:val="center"/>
              <w:cnfStyle w:val="000000000000" w:firstRow="0" w:lastRow="0" w:firstColumn="0" w:lastColumn="0" w:oddVBand="0" w:evenVBand="0" w:oddHBand="0" w:evenHBand="0" w:firstRowFirstColumn="0" w:firstRowLastColumn="0" w:lastRowFirstColumn="0" w:lastRowLastColumn="0"/>
              <w:rPr>
                <w:rFonts w:cstheme="minorHAnsi"/>
              </w:rPr>
            </w:pPr>
            <w:r w:rsidRPr="005E25E3">
              <w:rPr>
                <w:rFonts w:cstheme="minorHAnsi"/>
              </w:rPr>
              <w:t>2.0</w:t>
            </w:r>
          </w:p>
        </w:tc>
      </w:tr>
      <w:tr w:rsidR="005E25E3" w14:paraId="1398CD42" w14:textId="77777777" w:rsidTr="005E2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B8CCE4" w:themeFill="accent1" w:themeFillTint="66"/>
          </w:tcPr>
          <w:p w14:paraId="336240A1"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Brother diagnosed</w:t>
            </w:r>
          </w:p>
        </w:tc>
        <w:tc>
          <w:tcPr>
            <w:tcW w:w="2617" w:type="dxa"/>
          </w:tcPr>
          <w:p w14:paraId="5B562A12" w14:textId="77777777" w:rsidR="007F530A" w:rsidRPr="005E25E3" w:rsidRDefault="005E25E3" w:rsidP="005E25E3">
            <w:pPr>
              <w:pStyle w:val="02dash"/>
              <w:numPr>
                <w:ilvl w:val="0"/>
                <w:numId w:val="0"/>
              </w:numPr>
              <w:spacing w:before="0" w:line="240" w:lineRule="auto"/>
              <w:ind w:right="0"/>
              <w:jc w:val="center"/>
              <w:cnfStyle w:val="000000100000" w:firstRow="0" w:lastRow="0" w:firstColumn="0" w:lastColumn="0" w:oddVBand="0" w:evenVBand="0" w:oddHBand="1" w:evenHBand="0" w:firstRowFirstColumn="0" w:firstRowLastColumn="0" w:lastRowFirstColumn="0" w:lastRowLastColumn="0"/>
              <w:rPr>
                <w:rFonts w:cstheme="minorHAnsi"/>
              </w:rPr>
            </w:pPr>
            <w:r w:rsidRPr="005E25E3">
              <w:rPr>
                <w:rFonts w:cstheme="minorHAnsi"/>
              </w:rPr>
              <w:t>2.8</w:t>
            </w:r>
          </w:p>
        </w:tc>
      </w:tr>
      <w:tr w:rsidR="007F530A" w14:paraId="0DDF5875" w14:textId="77777777" w:rsidTr="005E25E3">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680712D9"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Brother diagnosed age &lt; 60 years</w:t>
            </w:r>
          </w:p>
        </w:tc>
        <w:tc>
          <w:tcPr>
            <w:tcW w:w="2617" w:type="dxa"/>
          </w:tcPr>
          <w:p w14:paraId="726AFFAC" w14:textId="77777777" w:rsidR="007F530A" w:rsidRPr="005E25E3" w:rsidRDefault="005E25E3" w:rsidP="005E25E3">
            <w:pPr>
              <w:pStyle w:val="02dash"/>
              <w:numPr>
                <w:ilvl w:val="0"/>
                <w:numId w:val="0"/>
              </w:numPr>
              <w:spacing w:before="0" w:line="240" w:lineRule="auto"/>
              <w:ind w:right="0"/>
              <w:jc w:val="center"/>
              <w:cnfStyle w:val="000000000000" w:firstRow="0" w:lastRow="0" w:firstColumn="0" w:lastColumn="0" w:oddVBand="0" w:evenVBand="0" w:oddHBand="0" w:evenHBand="0" w:firstRowFirstColumn="0" w:firstRowLastColumn="0" w:lastRowFirstColumn="0" w:lastRowLastColumn="0"/>
              <w:rPr>
                <w:rFonts w:cstheme="minorHAnsi"/>
              </w:rPr>
            </w:pPr>
            <w:r w:rsidRPr="005E25E3">
              <w:rPr>
                <w:rFonts w:cstheme="minorHAnsi"/>
              </w:rPr>
              <w:t>3.3</w:t>
            </w:r>
          </w:p>
        </w:tc>
      </w:tr>
      <w:tr w:rsidR="005E25E3" w14:paraId="79E2274A" w14:textId="77777777" w:rsidTr="005E2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B8CCE4" w:themeFill="accent1" w:themeFillTint="66"/>
          </w:tcPr>
          <w:p w14:paraId="4C51346E"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Brother died</w:t>
            </w:r>
          </w:p>
        </w:tc>
        <w:tc>
          <w:tcPr>
            <w:tcW w:w="2617" w:type="dxa"/>
          </w:tcPr>
          <w:p w14:paraId="62553514" w14:textId="77777777" w:rsidR="007F530A" w:rsidRPr="005E25E3" w:rsidRDefault="005E25E3" w:rsidP="005E25E3">
            <w:pPr>
              <w:pStyle w:val="02dash"/>
              <w:numPr>
                <w:ilvl w:val="0"/>
                <w:numId w:val="0"/>
              </w:numPr>
              <w:spacing w:before="0" w:line="240" w:lineRule="auto"/>
              <w:ind w:right="0"/>
              <w:jc w:val="center"/>
              <w:cnfStyle w:val="000000100000" w:firstRow="0" w:lastRow="0" w:firstColumn="0" w:lastColumn="0" w:oddVBand="0" w:evenVBand="0" w:oddHBand="1" w:evenHBand="0" w:firstRowFirstColumn="0" w:firstRowLastColumn="0" w:lastRowFirstColumn="0" w:lastRowLastColumn="0"/>
              <w:rPr>
                <w:rFonts w:cstheme="minorHAnsi"/>
              </w:rPr>
            </w:pPr>
            <w:r w:rsidRPr="005E25E3">
              <w:rPr>
                <w:rFonts w:cstheme="minorHAnsi"/>
              </w:rPr>
              <w:t>2.8</w:t>
            </w:r>
            <w:r w:rsidRPr="005E25E3">
              <w:rPr>
                <w:rFonts w:cstheme="minorHAnsi"/>
                <w:vertAlign w:val="superscript"/>
              </w:rPr>
              <w:t>2</w:t>
            </w:r>
          </w:p>
        </w:tc>
      </w:tr>
      <w:tr w:rsidR="007F530A" w14:paraId="472EC7FB" w14:textId="77777777" w:rsidTr="005E25E3">
        <w:trPr>
          <w:jc w:val="center"/>
        </w:trPr>
        <w:tc>
          <w:tcPr>
            <w:cnfStyle w:val="001000000000" w:firstRow="0" w:lastRow="0" w:firstColumn="1" w:lastColumn="0" w:oddVBand="0" w:evenVBand="0" w:oddHBand="0" w:evenHBand="0" w:firstRowFirstColumn="0" w:firstRowLastColumn="0" w:lastRowFirstColumn="0" w:lastRowLastColumn="0"/>
            <w:tcW w:w="6156" w:type="dxa"/>
            <w:gridSpan w:val="2"/>
          </w:tcPr>
          <w:p w14:paraId="740A38B7" w14:textId="77777777" w:rsidR="007F530A" w:rsidRPr="005E25E3" w:rsidRDefault="007F530A" w:rsidP="007F530A">
            <w:pPr>
              <w:pStyle w:val="02dash"/>
              <w:numPr>
                <w:ilvl w:val="0"/>
                <w:numId w:val="0"/>
              </w:numPr>
              <w:spacing w:before="0" w:line="240" w:lineRule="auto"/>
              <w:ind w:right="0"/>
              <w:rPr>
                <w:rFonts w:cstheme="minorHAnsi"/>
              </w:rPr>
            </w:pPr>
            <w:r w:rsidRPr="005E25E3">
              <w:rPr>
                <w:rFonts w:cstheme="minorHAnsi"/>
              </w:rPr>
              <w:t>2 First degree relatives</w:t>
            </w:r>
          </w:p>
        </w:tc>
      </w:tr>
      <w:tr w:rsidR="005E25E3" w14:paraId="1360FDD5" w14:textId="77777777" w:rsidTr="005E2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B8CCE4" w:themeFill="accent1" w:themeFillTint="66"/>
          </w:tcPr>
          <w:p w14:paraId="68BAB9A1"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Father and brother diagnosed</w:t>
            </w:r>
          </w:p>
        </w:tc>
        <w:tc>
          <w:tcPr>
            <w:tcW w:w="2617" w:type="dxa"/>
          </w:tcPr>
          <w:p w14:paraId="5E704056" w14:textId="77777777" w:rsidR="007F530A" w:rsidRPr="005E25E3" w:rsidRDefault="005E25E3" w:rsidP="005E25E3">
            <w:pPr>
              <w:pStyle w:val="02dash"/>
              <w:numPr>
                <w:ilvl w:val="0"/>
                <w:numId w:val="0"/>
              </w:numPr>
              <w:spacing w:before="0" w:line="240" w:lineRule="auto"/>
              <w:ind w:right="0"/>
              <w:jc w:val="center"/>
              <w:cnfStyle w:val="000000100000" w:firstRow="0" w:lastRow="0" w:firstColumn="0" w:lastColumn="0" w:oddVBand="0" w:evenVBand="0" w:oddHBand="1" w:evenHBand="0" w:firstRowFirstColumn="0" w:firstRowLastColumn="0" w:lastRowFirstColumn="0" w:lastRowLastColumn="0"/>
              <w:rPr>
                <w:rFonts w:cstheme="minorHAnsi"/>
              </w:rPr>
            </w:pPr>
            <w:r w:rsidRPr="005E25E3">
              <w:rPr>
                <w:rFonts w:cstheme="minorHAnsi"/>
              </w:rPr>
              <w:t>3.0</w:t>
            </w:r>
          </w:p>
        </w:tc>
      </w:tr>
      <w:tr w:rsidR="007F530A" w14:paraId="3214B70A" w14:textId="77777777" w:rsidTr="005E25E3">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0AF69F03"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2 brothers diagnosed</w:t>
            </w:r>
          </w:p>
        </w:tc>
        <w:tc>
          <w:tcPr>
            <w:tcW w:w="2617" w:type="dxa"/>
          </w:tcPr>
          <w:p w14:paraId="323EE645" w14:textId="77777777" w:rsidR="007F530A" w:rsidRPr="005E25E3" w:rsidRDefault="005E25E3" w:rsidP="005E25E3">
            <w:pPr>
              <w:pStyle w:val="02dash"/>
              <w:numPr>
                <w:ilvl w:val="0"/>
                <w:numId w:val="0"/>
              </w:numPr>
              <w:spacing w:before="0" w:line="240" w:lineRule="auto"/>
              <w:ind w:right="0"/>
              <w:jc w:val="center"/>
              <w:cnfStyle w:val="000000000000" w:firstRow="0" w:lastRow="0" w:firstColumn="0" w:lastColumn="0" w:oddVBand="0" w:evenVBand="0" w:oddHBand="0" w:evenHBand="0" w:firstRowFirstColumn="0" w:firstRowLastColumn="0" w:lastRowFirstColumn="0" w:lastRowLastColumn="0"/>
              <w:rPr>
                <w:rFonts w:cstheme="minorHAnsi"/>
              </w:rPr>
            </w:pPr>
            <w:r w:rsidRPr="005E25E3">
              <w:rPr>
                <w:rFonts w:cstheme="minorHAnsi"/>
              </w:rPr>
              <w:t>6.3</w:t>
            </w:r>
          </w:p>
        </w:tc>
      </w:tr>
      <w:tr w:rsidR="005E25E3" w14:paraId="64A550D7" w14:textId="77777777" w:rsidTr="005E2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B8CCE4" w:themeFill="accent1" w:themeFillTint="66"/>
          </w:tcPr>
          <w:p w14:paraId="5FBEC988"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Father and brother both died</w:t>
            </w:r>
          </w:p>
        </w:tc>
        <w:tc>
          <w:tcPr>
            <w:tcW w:w="2617" w:type="dxa"/>
          </w:tcPr>
          <w:p w14:paraId="35464A83" w14:textId="77777777" w:rsidR="007F530A" w:rsidRPr="005E25E3" w:rsidRDefault="005E25E3" w:rsidP="005E25E3">
            <w:pPr>
              <w:pStyle w:val="02dash"/>
              <w:numPr>
                <w:ilvl w:val="0"/>
                <w:numId w:val="0"/>
              </w:numPr>
              <w:spacing w:before="0" w:line="240" w:lineRule="auto"/>
              <w:ind w:right="0"/>
              <w:jc w:val="center"/>
              <w:cnfStyle w:val="000000100000" w:firstRow="0" w:lastRow="0" w:firstColumn="0" w:lastColumn="0" w:oddVBand="0" w:evenVBand="0" w:oddHBand="1" w:evenHBand="0" w:firstRowFirstColumn="0" w:firstRowLastColumn="0" w:lastRowFirstColumn="0" w:lastRowLastColumn="0"/>
              <w:rPr>
                <w:rFonts w:cstheme="minorHAnsi"/>
              </w:rPr>
            </w:pPr>
            <w:r w:rsidRPr="005E25E3">
              <w:rPr>
                <w:rFonts w:cstheme="minorHAnsi"/>
              </w:rPr>
              <w:t>6.9</w:t>
            </w:r>
          </w:p>
        </w:tc>
      </w:tr>
      <w:tr w:rsidR="005E25E3" w14:paraId="6E81A09B" w14:textId="77777777" w:rsidTr="005E25E3">
        <w:trPr>
          <w:jc w:val="center"/>
        </w:trPr>
        <w:tc>
          <w:tcPr>
            <w:cnfStyle w:val="001000000000" w:firstRow="0" w:lastRow="0" w:firstColumn="1" w:lastColumn="0" w:oddVBand="0" w:evenVBand="0" w:oddHBand="0" w:evenHBand="0" w:firstRowFirstColumn="0" w:firstRowLastColumn="0" w:lastRowFirstColumn="0" w:lastRowLastColumn="0"/>
            <w:tcW w:w="6156" w:type="dxa"/>
            <w:gridSpan w:val="2"/>
          </w:tcPr>
          <w:p w14:paraId="351B2C5C" w14:textId="77777777" w:rsidR="005E25E3" w:rsidRPr="005E25E3" w:rsidRDefault="005E25E3" w:rsidP="005E25E3">
            <w:pPr>
              <w:pStyle w:val="02dash"/>
              <w:numPr>
                <w:ilvl w:val="0"/>
                <w:numId w:val="0"/>
              </w:numPr>
              <w:spacing w:before="0" w:line="240" w:lineRule="auto"/>
              <w:ind w:right="0"/>
              <w:rPr>
                <w:rFonts w:cstheme="minorHAnsi"/>
              </w:rPr>
            </w:pPr>
            <w:r w:rsidRPr="005E25E3">
              <w:rPr>
                <w:rFonts w:cstheme="minorHAnsi"/>
              </w:rPr>
              <w:t>3 First degree relatives</w:t>
            </w:r>
          </w:p>
        </w:tc>
      </w:tr>
      <w:tr w:rsidR="005E25E3" w14:paraId="66B853A2" w14:textId="77777777" w:rsidTr="005E25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B8CCE4" w:themeFill="accent1" w:themeFillTint="66"/>
          </w:tcPr>
          <w:p w14:paraId="7DFB5CAE"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Father and 2 brothers diagnosed</w:t>
            </w:r>
          </w:p>
        </w:tc>
        <w:tc>
          <w:tcPr>
            <w:tcW w:w="2617" w:type="dxa"/>
          </w:tcPr>
          <w:p w14:paraId="2F1F8183" w14:textId="77777777" w:rsidR="007F530A" w:rsidRPr="005E25E3" w:rsidRDefault="005E25E3" w:rsidP="005E25E3">
            <w:pPr>
              <w:pStyle w:val="02dash"/>
              <w:numPr>
                <w:ilvl w:val="0"/>
                <w:numId w:val="0"/>
              </w:numPr>
              <w:spacing w:before="0" w:line="240" w:lineRule="auto"/>
              <w:ind w:right="0"/>
              <w:jc w:val="center"/>
              <w:cnfStyle w:val="000000100000" w:firstRow="0" w:lastRow="0" w:firstColumn="0" w:lastColumn="0" w:oddVBand="0" w:evenVBand="0" w:oddHBand="1" w:evenHBand="0" w:firstRowFirstColumn="0" w:firstRowLastColumn="0" w:lastRowFirstColumn="0" w:lastRowLastColumn="0"/>
              <w:rPr>
                <w:rFonts w:cstheme="minorHAnsi"/>
              </w:rPr>
            </w:pPr>
            <w:r w:rsidRPr="005E25E3">
              <w:rPr>
                <w:rFonts w:cstheme="minorHAnsi"/>
              </w:rPr>
              <w:t>9.7</w:t>
            </w:r>
          </w:p>
        </w:tc>
      </w:tr>
      <w:tr w:rsidR="007F530A" w14:paraId="1472D8C6" w14:textId="77777777" w:rsidTr="005E25E3">
        <w:trPr>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BE5F1" w:themeFill="accent1" w:themeFillTint="33"/>
          </w:tcPr>
          <w:p w14:paraId="486D4DE9" w14:textId="77777777" w:rsidR="007F530A" w:rsidRPr="005E25E3" w:rsidRDefault="007F530A" w:rsidP="007F530A">
            <w:pPr>
              <w:pStyle w:val="02dash"/>
              <w:numPr>
                <w:ilvl w:val="0"/>
                <w:numId w:val="0"/>
              </w:numPr>
              <w:spacing w:before="0" w:line="240" w:lineRule="auto"/>
              <w:ind w:right="0"/>
              <w:rPr>
                <w:rFonts w:cstheme="minorHAnsi"/>
                <w:b w:val="0"/>
                <w:color w:val="auto"/>
              </w:rPr>
            </w:pPr>
            <w:r w:rsidRPr="005E25E3">
              <w:rPr>
                <w:rFonts w:cstheme="minorHAnsi"/>
                <w:b w:val="0"/>
                <w:color w:val="auto"/>
              </w:rPr>
              <w:t>3 brothers diagnosed</w:t>
            </w:r>
          </w:p>
        </w:tc>
        <w:tc>
          <w:tcPr>
            <w:tcW w:w="2617" w:type="dxa"/>
          </w:tcPr>
          <w:p w14:paraId="2452B83E" w14:textId="77777777" w:rsidR="007F530A" w:rsidRPr="005E25E3" w:rsidRDefault="005E25E3" w:rsidP="005E25E3">
            <w:pPr>
              <w:pStyle w:val="02dash"/>
              <w:numPr>
                <w:ilvl w:val="0"/>
                <w:numId w:val="0"/>
              </w:numPr>
              <w:spacing w:before="0" w:line="240" w:lineRule="auto"/>
              <w:ind w:right="0"/>
              <w:jc w:val="center"/>
              <w:cnfStyle w:val="000000000000" w:firstRow="0" w:lastRow="0" w:firstColumn="0" w:lastColumn="0" w:oddVBand="0" w:evenVBand="0" w:oddHBand="0" w:evenHBand="0" w:firstRowFirstColumn="0" w:firstRowLastColumn="0" w:lastRowFirstColumn="0" w:lastRowLastColumn="0"/>
              <w:rPr>
                <w:rFonts w:cstheme="minorHAnsi"/>
              </w:rPr>
            </w:pPr>
            <w:r w:rsidRPr="005E25E3">
              <w:rPr>
                <w:rFonts w:cstheme="minorHAnsi"/>
              </w:rPr>
              <w:t>8.1</w:t>
            </w:r>
          </w:p>
        </w:tc>
      </w:tr>
    </w:tbl>
    <w:p w14:paraId="14F2EAE4" w14:textId="77777777" w:rsidR="00BE40E6" w:rsidRPr="005E25E3" w:rsidRDefault="00BE40E6" w:rsidP="005E25E3">
      <w:pPr>
        <w:pStyle w:val="02dash"/>
        <w:numPr>
          <w:ilvl w:val="0"/>
          <w:numId w:val="0"/>
        </w:numPr>
        <w:spacing w:before="0" w:line="240" w:lineRule="auto"/>
        <w:ind w:left="360" w:right="0"/>
        <w:rPr>
          <w:i/>
        </w:rPr>
      </w:pPr>
    </w:p>
    <w:p w14:paraId="4629E0D4" w14:textId="77777777" w:rsidR="00BE40E6" w:rsidRPr="00973CFB" w:rsidRDefault="00BE40E6" w:rsidP="002818C3">
      <w:pPr>
        <w:pStyle w:val="NormalBulleted"/>
        <w:numPr>
          <w:ilvl w:val="0"/>
          <w:numId w:val="116"/>
        </w:numPr>
        <w:rPr>
          <w:lang w:val="en-GB"/>
        </w:rPr>
      </w:pPr>
      <w:r w:rsidRPr="00E70882">
        <w:rPr>
          <w:b/>
          <w:lang w:val="en-GB"/>
        </w:rPr>
        <w:t>Create an explanatory note for item 66656 to clarify that ‘previously diagnosed prostatic disease’ does not include</w:t>
      </w:r>
      <w:r w:rsidR="00973CFB" w:rsidRPr="00E70882">
        <w:rPr>
          <w:b/>
          <w:lang w:val="en-GB"/>
        </w:rPr>
        <w:t xml:space="preserve"> benign prostatic hypertrophy</w:t>
      </w:r>
      <w:r w:rsidR="00973CFB" w:rsidRPr="00973CFB">
        <w:rPr>
          <w:lang w:val="en-GB"/>
        </w:rPr>
        <w:t>; however, elevated (abnormal) PSA levels can be monitored using item 66656.</w:t>
      </w:r>
      <w:r w:rsidR="00973CFB">
        <w:rPr>
          <w:lang w:val="en-GB"/>
        </w:rPr>
        <w:t xml:space="preserve"> </w:t>
      </w:r>
      <w:r w:rsidRPr="00973CFB">
        <w:rPr>
          <w:lang w:val="en-GB"/>
        </w:rPr>
        <w:t>The proposed explanatory note is as follows:</w:t>
      </w:r>
    </w:p>
    <w:p w14:paraId="4FA3011A" w14:textId="5799A31A" w:rsidR="00985650" w:rsidRDefault="00BE40E6" w:rsidP="00AB3AC3">
      <w:pPr>
        <w:pStyle w:val="02dash"/>
        <w:numPr>
          <w:ilvl w:val="1"/>
          <w:numId w:val="64"/>
        </w:numPr>
        <w:spacing w:before="0" w:line="240" w:lineRule="auto"/>
        <w:ind w:left="641" w:right="0"/>
      </w:pPr>
      <w:r w:rsidRPr="00074D54">
        <w:t>Previously diagnosed prostate d</w:t>
      </w:r>
      <w:r w:rsidR="00C42B95">
        <w:t xml:space="preserve">isease includes prostate cancer, </w:t>
      </w:r>
      <w:r w:rsidRPr="00074D54">
        <w:t>prostatitis</w:t>
      </w:r>
      <w:r w:rsidR="00C42B95">
        <w:t xml:space="preserve"> and premalignant conditions such as atypical small acinar proliferation</w:t>
      </w:r>
      <w:r w:rsidRPr="00074D54">
        <w:t xml:space="preserve">. </w:t>
      </w:r>
      <w:r w:rsidR="00973CFB">
        <w:rPr>
          <w:lang w:val="en-GB"/>
        </w:rPr>
        <w:t>E</w:t>
      </w:r>
      <w:r w:rsidR="00973CFB" w:rsidRPr="00973CFB">
        <w:rPr>
          <w:lang w:val="en-GB"/>
        </w:rPr>
        <w:t>levated PSA levels</w:t>
      </w:r>
      <w:r w:rsidR="003C73C7">
        <w:rPr>
          <w:lang w:val="en-GB"/>
        </w:rPr>
        <w:t xml:space="preserve"> (above the 97.5</w:t>
      </w:r>
      <w:r w:rsidR="003C73C7" w:rsidRPr="00671F7C">
        <w:rPr>
          <w:vertAlign w:val="superscript"/>
          <w:lang w:val="en-GB"/>
        </w:rPr>
        <w:t>th</w:t>
      </w:r>
      <w:r w:rsidR="003C73C7">
        <w:rPr>
          <w:lang w:val="en-GB"/>
        </w:rPr>
        <w:t xml:space="preserve"> age related upper reference limit)</w:t>
      </w:r>
      <w:r w:rsidR="00973CFB" w:rsidRPr="00973CFB">
        <w:rPr>
          <w:lang w:val="en-GB"/>
        </w:rPr>
        <w:t xml:space="preserve"> can be monitored using </w:t>
      </w:r>
      <w:r w:rsidR="00973CFB">
        <w:rPr>
          <w:lang w:val="en-GB"/>
        </w:rPr>
        <w:t xml:space="preserve">this </w:t>
      </w:r>
      <w:r w:rsidR="00973CFB" w:rsidRPr="00973CFB">
        <w:rPr>
          <w:lang w:val="en-GB"/>
        </w:rPr>
        <w:t>item</w:t>
      </w:r>
      <w:r w:rsidR="00973CFB">
        <w:rPr>
          <w:lang w:val="en-GB"/>
        </w:rPr>
        <w:t>.</w:t>
      </w:r>
      <w:r w:rsidR="00973CFB" w:rsidRPr="00973CFB">
        <w:rPr>
          <w:lang w:val="en-GB"/>
        </w:rPr>
        <w:t xml:space="preserve"> </w:t>
      </w:r>
      <w:r w:rsidRPr="00074D54">
        <w:t xml:space="preserve">This item is not to be used for monitoring of benign prostatic hypertrophy. </w:t>
      </w:r>
    </w:p>
    <w:p w14:paraId="3C1302F3" w14:textId="77777777" w:rsidR="00985650" w:rsidRDefault="00985650">
      <w:pPr>
        <w:spacing w:before="0" w:after="0" w:line="240" w:lineRule="auto"/>
        <w:rPr>
          <w:szCs w:val="20"/>
          <w:lang w:val="en-US" w:eastAsia="en-US"/>
        </w:rPr>
      </w:pPr>
      <w:r>
        <w:br w:type="page"/>
      </w:r>
    </w:p>
    <w:p w14:paraId="0B9BBE8C" w14:textId="77777777" w:rsidR="00E02518" w:rsidRDefault="00E02518" w:rsidP="00BE40E6">
      <w:pPr>
        <w:pStyle w:val="NormalBulleted"/>
        <w:rPr>
          <w:lang w:val="en-GB"/>
        </w:rPr>
      </w:pPr>
      <w:r>
        <w:rPr>
          <w:lang w:val="en-GB"/>
        </w:rPr>
        <w:lastRenderedPageBreak/>
        <w:t xml:space="preserve">In addition the Committee recommended: </w:t>
      </w:r>
    </w:p>
    <w:p w14:paraId="70E9B3F5" w14:textId="77777777" w:rsidR="00BE40E6" w:rsidRDefault="00BE40E6" w:rsidP="00E02518">
      <w:pPr>
        <w:pStyle w:val="02dash"/>
        <w:numPr>
          <w:ilvl w:val="1"/>
          <w:numId w:val="64"/>
        </w:numPr>
        <w:spacing w:before="0" w:line="240" w:lineRule="auto"/>
        <w:ind w:left="641" w:right="0"/>
        <w:rPr>
          <w:lang w:val="en-GB"/>
        </w:rPr>
      </w:pPr>
      <w:r w:rsidRPr="00E02518">
        <w:rPr>
          <w:lang w:val="en-GB"/>
        </w:rPr>
        <w:t xml:space="preserve">Provide </w:t>
      </w:r>
      <w:r w:rsidR="006C31FB">
        <w:rPr>
          <w:lang w:val="en-GB"/>
        </w:rPr>
        <w:t>requester</w:t>
      </w:r>
      <w:r w:rsidRPr="00E02518">
        <w:rPr>
          <w:lang w:val="en-GB"/>
        </w:rPr>
        <w:t xml:space="preserve"> education to ensure that all clinicians are familiar with the Prostate Cancer Foundation and Cancer Council of Australia guidelines, which have been endorsed by the NHMRC. This could be enhanced through feedback from providers to </w:t>
      </w:r>
      <w:r w:rsidR="006C31FB">
        <w:rPr>
          <w:lang w:val="en-GB"/>
        </w:rPr>
        <w:t>requester</w:t>
      </w:r>
      <w:r w:rsidRPr="00E02518">
        <w:rPr>
          <w:lang w:val="en-GB"/>
        </w:rPr>
        <w:t>s.</w:t>
      </w:r>
    </w:p>
    <w:p w14:paraId="50A9B98F" w14:textId="77777777" w:rsidR="00DC0E09" w:rsidRDefault="00DC0E09" w:rsidP="00E02518">
      <w:pPr>
        <w:pStyle w:val="02dash"/>
        <w:numPr>
          <w:ilvl w:val="1"/>
          <w:numId w:val="64"/>
        </w:numPr>
        <w:spacing w:before="0" w:line="240" w:lineRule="auto"/>
        <w:ind w:left="641" w:right="0"/>
        <w:rPr>
          <w:lang w:val="en-GB"/>
        </w:rPr>
      </w:pPr>
      <w:r>
        <w:rPr>
          <w:lang w:val="en-GB"/>
        </w:rPr>
        <w:t xml:space="preserve">Provide consumer education </w:t>
      </w:r>
      <w:r w:rsidR="001F4AE6" w:rsidRPr="00732CA7">
        <w:t>on the above changes.</w:t>
      </w:r>
    </w:p>
    <w:p w14:paraId="1A409106" w14:textId="77777777" w:rsidR="00BE40E6" w:rsidRPr="00E02518" w:rsidRDefault="00E02518" w:rsidP="00E02518">
      <w:pPr>
        <w:pStyle w:val="02dash"/>
        <w:numPr>
          <w:ilvl w:val="1"/>
          <w:numId w:val="64"/>
        </w:numPr>
        <w:spacing w:before="0" w:line="240" w:lineRule="auto"/>
        <w:ind w:left="641" w:right="0"/>
        <w:rPr>
          <w:lang w:val="en-GB"/>
        </w:rPr>
      </w:pPr>
      <w:r>
        <w:rPr>
          <w:lang w:val="en-GB"/>
        </w:rPr>
        <w:t>I</w:t>
      </w:r>
      <w:r w:rsidRPr="00E02518">
        <w:rPr>
          <w:lang w:val="en-GB"/>
        </w:rPr>
        <w:t xml:space="preserve">f </w:t>
      </w:r>
      <w:r w:rsidR="006C31FB">
        <w:rPr>
          <w:lang w:val="en-GB"/>
        </w:rPr>
        <w:t>requester</w:t>
      </w:r>
      <w:r>
        <w:rPr>
          <w:lang w:val="en-GB"/>
        </w:rPr>
        <w:t xml:space="preserve"> education strategies</w:t>
      </w:r>
      <w:r w:rsidRPr="00074D54">
        <w:rPr>
          <w:lang w:val="en-GB"/>
        </w:rPr>
        <w:t xml:space="preserve"> prove insufficient</w:t>
      </w:r>
      <w:r>
        <w:rPr>
          <w:lang w:val="en-GB"/>
        </w:rPr>
        <w:t xml:space="preserve"> to change behaviour then the Committee</w:t>
      </w:r>
      <w:r w:rsidRPr="00074D54">
        <w:rPr>
          <w:lang w:val="en-GB"/>
        </w:rPr>
        <w:t xml:space="preserve"> recommended the consideration of CDS for </w:t>
      </w:r>
      <w:r>
        <w:rPr>
          <w:lang w:val="en-GB"/>
        </w:rPr>
        <w:t>PSA testing.</w:t>
      </w:r>
    </w:p>
    <w:p w14:paraId="6C8B9854" w14:textId="77777777" w:rsidR="00985650" w:rsidRDefault="00985650" w:rsidP="00985650">
      <w:pPr>
        <w:spacing w:before="0" w:after="0" w:line="240" w:lineRule="auto"/>
        <w:rPr>
          <w:lang w:val="en-GB"/>
        </w:rPr>
      </w:pPr>
    </w:p>
    <w:p w14:paraId="3A084023" w14:textId="06CFCA2B" w:rsidR="00BE40E6" w:rsidRPr="00985650" w:rsidRDefault="00BE40E6" w:rsidP="00985650">
      <w:pPr>
        <w:spacing w:before="0" w:after="0" w:line="240" w:lineRule="auto"/>
        <w:rPr>
          <w:b/>
          <w:szCs w:val="22"/>
          <w:lang w:val="en-GB"/>
        </w:rPr>
      </w:pPr>
      <w:r w:rsidRPr="00985650">
        <w:rPr>
          <w:b/>
          <w:lang w:val="en-GB"/>
        </w:rPr>
        <w:t>Rationale</w:t>
      </w:r>
    </w:p>
    <w:p w14:paraId="699157F4" w14:textId="77777777" w:rsidR="00BE40E6" w:rsidRPr="00854013" w:rsidRDefault="00BE40E6" w:rsidP="00BE40E6">
      <w:pPr>
        <w:pStyle w:val="NormalBulleted"/>
      </w:pPr>
      <w:r w:rsidRPr="00854013">
        <w:t xml:space="preserve">These recommendations focus on ensuring that MBS services represent best practice and value for the consumer and the health system, in line with clinical recommendations. </w:t>
      </w:r>
    </w:p>
    <w:p w14:paraId="07E8124C" w14:textId="77777777" w:rsidR="00BE40E6" w:rsidRPr="00074D54" w:rsidRDefault="00BE40E6" w:rsidP="00BE40E6">
      <w:pPr>
        <w:pStyle w:val="NormalBulleted"/>
      </w:pPr>
      <w:r w:rsidRPr="00854013">
        <w:t>The r</w:t>
      </w:r>
      <w:r w:rsidRPr="00360531">
        <w:t>ecommended changes to item descriptors and frequency restrict</w:t>
      </w:r>
      <w:r w:rsidR="00385FA0">
        <w:t>ion</w:t>
      </w:r>
      <w:r w:rsidRPr="00360531">
        <w:t xml:space="preserve">s reflect current recommendations by the Prostate Cancer Foundation </w:t>
      </w:r>
      <w:r w:rsidR="00385FA0">
        <w:t xml:space="preserve">and </w:t>
      </w:r>
      <w:r w:rsidR="00385FA0" w:rsidRPr="00360531">
        <w:t>Cancer Council of Australia</w:t>
      </w:r>
      <w:r w:rsidRPr="00360531">
        <w:t>, endorsed by the NHMRC. The Committee agreed that these recommendations reflect best clinical practice.</w:t>
      </w:r>
    </w:p>
    <w:p w14:paraId="6D129B3D" w14:textId="77777777" w:rsidR="00BE40E6" w:rsidRPr="00074D54" w:rsidRDefault="00BE40E6" w:rsidP="00BE40E6">
      <w:pPr>
        <w:pStyle w:val="NormalBulleted"/>
      </w:pPr>
      <w:r w:rsidRPr="00074D54">
        <w:t xml:space="preserve">There are different thresholds for younger men with a family history of prostate cancer. These are detailed in the endorsed guidelines. Due to the multitude of factors that were taken into consideration when determining these thresholds, the Committee agreed that the item descriptor should reference the guidelines, rather than attempt to capture all the factors. </w:t>
      </w:r>
    </w:p>
    <w:p w14:paraId="7DDA64BF" w14:textId="77777777" w:rsidR="00BE40E6" w:rsidRPr="00C42B95" w:rsidRDefault="00BE40E6" w:rsidP="00E916B1">
      <w:pPr>
        <w:pStyle w:val="NormalBulleted"/>
      </w:pPr>
      <w:r w:rsidRPr="00074D54">
        <w:rPr>
          <w:lang w:val="en-GB"/>
        </w:rPr>
        <w:t>The proposed explanatory note for item 66656 is intended to provide further clarity regarding the circumstances in which this item should be used</w:t>
      </w:r>
      <w:r w:rsidR="005952E5">
        <w:rPr>
          <w:lang w:val="en-GB"/>
        </w:rPr>
        <w:t xml:space="preserve">. The literature states that PSA should be monitored in patients with </w:t>
      </w:r>
      <w:r w:rsidR="005952E5">
        <w:t xml:space="preserve">prostate cancer, </w:t>
      </w:r>
      <w:r w:rsidR="005952E5" w:rsidRPr="00074D54">
        <w:t>prostatitis</w:t>
      </w:r>
      <w:r w:rsidR="005952E5">
        <w:t xml:space="preserve"> and premalignant conditions such as atypical small acinar proliferation </w:t>
      </w:r>
      <w:sdt>
        <w:sdtPr>
          <w:id w:val="171226077"/>
          <w:citation/>
        </w:sdtPr>
        <w:sdtEndPr/>
        <w:sdtContent>
          <w:r w:rsidR="005952E5">
            <w:fldChar w:fldCharType="begin"/>
          </w:r>
          <w:r w:rsidR="005952E5">
            <w:rPr>
              <w:lang w:val="en-AU"/>
            </w:rPr>
            <w:instrText xml:space="preserve"> CITATION Sri17 \l 3081 </w:instrText>
          </w:r>
          <w:r w:rsidR="005952E5">
            <w:fldChar w:fldCharType="separate"/>
          </w:r>
          <w:r w:rsidR="00B66BE1" w:rsidRPr="00B66BE1">
            <w:rPr>
              <w:noProof/>
              <w:lang w:val="en-AU"/>
            </w:rPr>
            <w:t>(47)</w:t>
          </w:r>
          <w:r w:rsidR="005952E5">
            <w:fldChar w:fldCharType="end"/>
          </w:r>
        </w:sdtContent>
      </w:sdt>
      <w:r w:rsidRPr="00973CFB">
        <w:rPr>
          <w:lang w:val="en-GB"/>
        </w:rPr>
        <w:t xml:space="preserve">. </w:t>
      </w:r>
      <w:r w:rsidR="00973CFB" w:rsidRPr="00973CFB">
        <w:rPr>
          <w:lang w:val="en-GB"/>
        </w:rPr>
        <w:t>Elevated (abnormal) PSA levels can be monitored using item 66656.</w:t>
      </w:r>
    </w:p>
    <w:p w14:paraId="3E5801AD" w14:textId="77777777" w:rsidR="00723D7A" w:rsidRDefault="00C42B95" w:rsidP="00723D7A">
      <w:pPr>
        <w:pStyle w:val="NormalBulleted"/>
      </w:pPr>
      <w:r>
        <w:t>The</w:t>
      </w:r>
      <w:r w:rsidR="00A71C13">
        <w:t xml:space="preserve"> Committee recommended a </w:t>
      </w:r>
      <w:r>
        <w:t>change</w:t>
      </w:r>
      <w:r w:rsidR="00A71C13">
        <w:t xml:space="preserve"> to the descriptor of item 66660 </w:t>
      </w:r>
      <w:r>
        <w:t xml:space="preserve">to </w:t>
      </w:r>
      <w:r w:rsidR="00A71C13">
        <w:t xml:space="preserve">align </w:t>
      </w:r>
      <w:r>
        <w:t xml:space="preserve">the </w:t>
      </w:r>
      <w:r w:rsidR="008230EC">
        <w:t>item with</w:t>
      </w:r>
      <w:r>
        <w:t xml:space="preserve"> the</w:t>
      </w:r>
      <w:r w:rsidR="00E04E05">
        <w:t xml:space="preserve"> above mentioned guidelines and the</w:t>
      </w:r>
      <w:r>
        <w:t xml:space="preserve"> new </w:t>
      </w:r>
      <w:r w:rsidR="008230EC" w:rsidRPr="008230EC">
        <w:t xml:space="preserve">Multiparametric Magnetic Resonance Imaging </w:t>
      </w:r>
      <w:r>
        <w:t>item</w:t>
      </w:r>
      <w:r w:rsidR="008230EC">
        <w:t>s (63541, 63542, 63543 and 63544)</w:t>
      </w:r>
      <w:r w:rsidR="00E04E05">
        <w:t xml:space="preserve">, </w:t>
      </w:r>
      <w:r w:rsidR="008230EC">
        <w:t xml:space="preserve"> </w:t>
      </w:r>
      <w:r w:rsidR="00E04E05">
        <w:t>which</w:t>
      </w:r>
      <w:r w:rsidR="008230EC">
        <w:t xml:space="preserve"> suggest</w:t>
      </w:r>
      <w:r>
        <w:t xml:space="preserve"> follow up is different</w:t>
      </w:r>
      <w:r w:rsidR="00A71C13">
        <w:t xml:space="preserve"> for patients aged</w:t>
      </w:r>
      <w:r>
        <w:t xml:space="preserve"> </w:t>
      </w:r>
      <w:r w:rsidR="00A71C13">
        <w:t xml:space="preserve">less than </w:t>
      </w:r>
      <w:r>
        <w:t xml:space="preserve">and </w:t>
      </w:r>
      <w:r w:rsidR="00A71C13">
        <w:t>over</w:t>
      </w:r>
      <w:r>
        <w:t xml:space="preserve"> 70 </w:t>
      </w:r>
      <w:r w:rsidR="008230EC">
        <w:t xml:space="preserve">years. </w:t>
      </w:r>
      <w:bookmarkStart w:id="230" w:name="_Toc498516970"/>
    </w:p>
    <w:p w14:paraId="5145214A" w14:textId="77777777" w:rsidR="00723D7A" w:rsidRDefault="00723D7A">
      <w:pPr>
        <w:spacing w:before="0" w:after="0" w:line="240" w:lineRule="auto"/>
      </w:pPr>
      <w:r>
        <w:br w:type="page"/>
      </w:r>
    </w:p>
    <w:p w14:paraId="641AECBF" w14:textId="77777777" w:rsidR="00360531" w:rsidRDefault="00360531" w:rsidP="00723D7A">
      <w:pPr>
        <w:pStyle w:val="Heading1"/>
      </w:pPr>
      <w:bookmarkStart w:id="231" w:name="_Toc522396656"/>
      <w:bookmarkStart w:id="232" w:name="_Toc525816096"/>
      <w:r w:rsidRPr="00723D7A">
        <w:lastRenderedPageBreak/>
        <w:t>Diagnostic</w:t>
      </w:r>
      <w:r w:rsidRPr="00E82749">
        <w:t xml:space="preserve"> </w:t>
      </w:r>
      <w:r>
        <w:t>i</w:t>
      </w:r>
      <w:r w:rsidRPr="00E82749">
        <w:t xml:space="preserve">maging </w:t>
      </w:r>
      <w:r>
        <w:t>i</w:t>
      </w:r>
      <w:r w:rsidRPr="00E82749">
        <w:t>tem</w:t>
      </w:r>
      <w:r>
        <w:t xml:space="preserve"> recommendations</w:t>
      </w:r>
      <w:bookmarkEnd w:id="230"/>
      <w:bookmarkEnd w:id="231"/>
      <w:bookmarkEnd w:id="232"/>
    </w:p>
    <w:p w14:paraId="77F9458F" w14:textId="77777777" w:rsidR="00360531" w:rsidRPr="00E82749" w:rsidRDefault="00360531" w:rsidP="00360531">
      <w:pPr>
        <w:pStyle w:val="Item"/>
      </w:pPr>
      <w:r w:rsidRPr="00E82749">
        <w:t>Introduction</w:t>
      </w:r>
    </w:p>
    <w:p w14:paraId="30EE678D" w14:textId="77777777" w:rsidR="00360531" w:rsidRPr="0007573B" w:rsidRDefault="00360531" w:rsidP="00360531">
      <w:pPr>
        <w:spacing w:before="200"/>
        <w:rPr>
          <w:color w:val="FF0000"/>
          <w:lang w:val="en-GB"/>
        </w:rPr>
      </w:pPr>
      <w:r w:rsidRPr="00282199">
        <w:rPr>
          <w:lang w:val="en-GB"/>
        </w:rPr>
        <w:t xml:space="preserve">Between March and August 2017, the Committee considered four referred diagnostic imaging item groups, which accounted for </w:t>
      </w:r>
      <w:r>
        <w:rPr>
          <w:lang w:val="en-GB"/>
        </w:rPr>
        <w:t>1.9</w:t>
      </w:r>
      <w:r w:rsidRPr="00282199">
        <w:rPr>
          <w:lang w:val="en-GB"/>
        </w:rPr>
        <w:t xml:space="preserve"> million services and </w:t>
      </w:r>
      <w:r w:rsidRPr="001A2AD2">
        <w:rPr>
          <w:lang w:val="en-GB"/>
        </w:rPr>
        <w:t>$</w:t>
      </w:r>
      <w:r>
        <w:rPr>
          <w:lang w:val="en-GB"/>
        </w:rPr>
        <w:t xml:space="preserve">405.5 </w:t>
      </w:r>
      <w:r w:rsidRPr="00282199">
        <w:rPr>
          <w:lang w:val="en-GB"/>
        </w:rPr>
        <w:t xml:space="preserve">million in benefits paid in FY2015–16. Recommendations are based on evidence and the clinical expertise of the Committee. The item-level recommendations are described below. </w:t>
      </w:r>
    </w:p>
    <w:p w14:paraId="45075594" w14:textId="77777777" w:rsidR="00360531" w:rsidRPr="009730EB" w:rsidRDefault="00360531" w:rsidP="00360531">
      <w:pPr>
        <w:spacing w:before="200"/>
        <w:rPr>
          <w:lang w:val="en-GB"/>
        </w:rPr>
      </w:pPr>
      <w:r w:rsidRPr="009730EB">
        <w:rPr>
          <w:lang w:val="en-GB"/>
        </w:rPr>
        <w:t xml:space="preserve">The Committee’s recommendations for public consultation include the introduction of </w:t>
      </w:r>
      <w:r>
        <w:rPr>
          <w:lang w:val="en-GB"/>
        </w:rPr>
        <w:t xml:space="preserve">CDS </w:t>
      </w:r>
      <w:r w:rsidRPr="009730EB">
        <w:rPr>
          <w:lang w:val="en-GB"/>
        </w:rPr>
        <w:t>to</w:t>
      </w:r>
      <w:r>
        <w:rPr>
          <w:lang w:val="en-GB"/>
        </w:rPr>
        <w:t xml:space="preserve"> guide the appropriate use of diagnostic imaging, as well as item-level changes.</w:t>
      </w:r>
      <w:r w:rsidRPr="0007573B">
        <w:rPr>
          <w:color w:val="FF0000"/>
          <w:lang w:val="en-GB"/>
        </w:rPr>
        <w:t xml:space="preserve"> </w:t>
      </w:r>
      <w:r w:rsidRPr="009730EB">
        <w:rPr>
          <w:lang w:val="en-GB"/>
        </w:rPr>
        <w:t xml:space="preserve">The changes focus on encouraging best practice, modernising the MBS to reflect contemporary practice, and ensuring that MBS services provide value for the consumer and the healthcare system. In addition to the non-MBS mechanisms discussed in Section </w:t>
      </w:r>
      <w:r>
        <w:rPr>
          <w:lang w:val="en-GB"/>
        </w:rPr>
        <w:t>4</w:t>
      </w:r>
      <w:r w:rsidRPr="009730EB">
        <w:rPr>
          <w:lang w:val="en-GB"/>
        </w:rPr>
        <w:t>, MBS mechanisms for achieving these goals include:</w:t>
      </w:r>
    </w:p>
    <w:p w14:paraId="456AE1F0" w14:textId="77777777" w:rsidR="00360531" w:rsidRPr="009730EB" w:rsidRDefault="00360531" w:rsidP="00360531">
      <w:pPr>
        <w:pStyle w:val="NormalBulleted"/>
        <w:rPr>
          <w:lang w:val="en-GB"/>
        </w:rPr>
      </w:pPr>
      <w:r w:rsidRPr="009730EB">
        <w:rPr>
          <w:lang w:val="en-GB"/>
        </w:rPr>
        <w:t>Deleting items that are obsolete.</w:t>
      </w:r>
    </w:p>
    <w:p w14:paraId="306A7F7E" w14:textId="77777777" w:rsidR="00360531" w:rsidRPr="009730EB" w:rsidRDefault="00360531" w:rsidP="00360531">
      <w:pPr>
        <w:pStyle w:val="NormalBulleted"/>
        <w:rPr>
          <w:lang w:val="en-GB"/>
        </w:rPr>
      </w:pPr>
      <w:r w:rsidRPr="009730EB">
        <w:rPr>
          <w:lang w:val="en-GB"/>
        </w:rPr>
        <w:t>Consolidating or splitting items to reflect contemporary practice.</w:t>
      </w:r>
    </w:p>
    <w:p w14:paraId="00A9CD4F" w14:textId="77777777" w:rsidR="00360531" w:rsidRPr="009730EB" w:rsidRDefault="00360531" w:rsidP="00360531">
      <w:pPr>
        <w:pStyle w:val="NormalBulleted"/>
        <w:rPr>
          <w:lang w:val="en-GB"/>
        </w:rPr>
      </w:pPr>
      <w:r w:rsidRPr="009730EB">
        <w:rPr>
          <w:lang w:val="en-GB"/>
        </w:rPr>
        <w:t>Modernising item descriptors to reflect best practice.</w:t>
      </w:r>
    </w:p>
    <w:p w14:paraId="0D35FC96" w14:textId="77777777" w:rsidR="00360531" w:rsidRPr="009730EB" w:rsidRDefault="00360531" w:rsidP="00360531">
      <w:pPr>
        <w:pStyle w:val="NormalBulleted"/>
        <w:rPr>
          <w:lang w:val="en-GB"/>
        </w:rPr>
      </w:pPr>
      <w:r w:rsidRPr="009730EB">
        <w:rPr>
          <w:lang w:val="en-GB"/>
        </w:rPr>
        <w:t>Providing clinical guidance for appropriate use through explanatory notes.</w:t>
      </w:r>
    </w:p>
    <w:p w14:paraId="6B27B266" w14:textId="77777777" w:rsidR="00360531" w:rsidRPr="009730EB" w:rsidRDefault="00360531" w:rsidP="00360531">
      <w:pPr>
        <w:pStyle w:val="Normalpara"/>
        <w:rPr>
          <w:lang w:val="en-GB"/>
        </w:rPr>
      </w:pPr>
      <w:r w:rsidRPr="009730EB">
        <w:rPr>
          <w:lang w:val="en-GB"/>
        </w:rPr>
        <w:t>The recommendations are organised by item group.</w:t>
      </w:r>
    </w:p>
    <w:p w14:paraId="6CF3E954" w14:textId="77777777" w:rsidR="00360531" w:rsidRPr="009940EB" w:rsidRDefault="00360531" w:rsidP="00360531">
      <w:pPr>
        <w:rPr>
          <w:lang w:val="en-GB" w:eastAsia="en-US"/>
        </w:rPr>
      </w:pPr>
    </w:p>
    <w:p w14:paraId="644B1DE5" w14:textId="77777777" w:rsidR="00360531" w:rsidRPr="00990089" w:rsidRDefault="00360531" w:rsidP="00990089">
      <w:pPr>
        <w:pStyle w:val="Heading2"/>
        <w:keepLines/>
        <w:spacing w:before="280" w:line="240" w:lineRule="auto"/>
        <w:ind w:left="284" w:hanging="284"/>
        <w:rPr>
          <w:lang w:val="en-GB"/>
        </w:rPr>
      </w:pPr>
      <w:bookmarkStart w:id="233" w:name="_Toc498516971"/>
      <w:bookmarkStart w:id="234" w:name="_Toc522396657"/>
      <w:bookmarkStart w:id="235" w:name="_Toc525816097"/>
      <w:r w:rsidRPr="00990089">
        <w:rPr>
          <w:lang w:val="en-GB"/>
        </w:rPr>
        <w:t>Ankle/hind foot ultrasound</w:t>
      </w:r>
      <w:bookmarkEnd w:id="233"/>
      <w:bookmarkEnd w:id="234"/>
      <w:bookmarkEnd w:id="235"/>
    </w:p>
    <w:p w14:paraId="30C6C710" w14:textId="77777777" w:rsidR="00360531" w:rsidRPr="00E82749" w:rsidRDefault="00360531" w:rsidP="00732CA7">
      <w:pPr>
        <w:pStyle w:val="Heading3Numbered0"/>
      </w:pPr>
      <w:bookmarkStart w:id="236" w:name="_Toc498516972"/>
      <w:bookmarkStart w:id="237" w:name="_Toc522396658"/>
      <w:bookmarkStart w:id="238" w:name="_Toc525816098"/>
      <w:r w:rsidRPr="00E82749">
        <w:t>Items 55836, 55837, 55838 and 55839</w:t>
      </w:r>
      <w:bookmarkEnd w:id="236"/>
      <w:bookmarkEnd w:id="237"/>
      <w:bookmarkEnd w:id="238"/>
    </w:p>
    <w:p w14:paraId="54CF87BA" w14:textId="77777777" w:rsidR="00360531" w:rsidRPr="00732CA7" w:rsidRDefault="00EB0974" w:rsidP="00EB0974">
      <w:pPr>
        <w:pStyle w:val="Caption"/>
      </w:pPr>
      <w:bookmarkStart w:id="239" w:name="_Ref495673018"/>
      <w:bookmarkStart w:id="240" w:name="_Ref495673022"/>
      <w:bookmarkStart w:id="241" w:name="_Ref495673025"/>
      <w:bookmarkStart w:id="242" w:name="_Ref495673030"/>
      <w:bookmarkStart w:id="243" w:name="_Ref495673035"/>
      <w:bookmarkStart w:id="244" w:name="_Toc498084449"/>
      <w:bookmarkStart w:id="245" w:name="_Toc525816965"/>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9</w:t>
      </w:r>
      <w:r w:rsidR="00AF6A7F">
        <w:rPr>
          <w:noProof/>
        </w:rPr>
        <w:fldChar w:fldCharType="end"/>
      </w:r>
      <w:r w:rsidR="00360531" w:rsidRPr="00732CA7">
        <w:t xml:space="preserve">: </w:t>
      </w:r>
      <w:r w:rsidR="000028AB">
        <w:rPr>
          <w:lang w:val="en-GB"/>
        </w:rPr>
        <w:t>Services and benefits data for items</w:t>
      </w:r>
      <w:r w:rsidR="000028AB" w:rsidRPr="00732CA7">
        <w:t xml:space="preserve"> </w:t>
      </w:r>
      <w:r w:rsidR="00360531" w:rsidRPr="00732CA7">
        <w:t>55836, 55837, 55838 and 55839</w:t>
      </w:r>
      <w:bookmarkEnd w:id="239"/>
      <w:bookmarkEnd w:id="240"/>
      <w:bookmarkEnd w:id="241"/>
      <w:bookmarkEnd w:id="242"/>
      <w:bookmarkEnd w:id="243"/>
      <w:bookmarkEnd w:id="244"/>
      <w:bookmarkEnd w:id="245"/>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9: Services and benefits data for items 55836, 55837, 55838 and 55839"/>
        <w:tblDescription w:val="Table 9 shows the standard Medicare data for items for ankle and hind food ultrasound. For each item, the table shows the total number of services and total benefits paid for the financial year 2015-16, as well as the average annual growth in services over five years."/>
      </w:tblPr>
      <w:tblGrid>
        <w:gridCol w:w="680"/>
        <w:gridCol w:w="3405"/>
        <w:gridCol w:w="903"/>
        <w:gridCol w:w="1072"/>
        <w:gridCol w:w="1139"/>
        <w:gridCol w:w="1103"/>
      </w:tblGrid>
      <w:tr w:rsidR="00360531" w:rsidRPr="00E82749" w14:paraId="7DDCBE1A" w14:textId="77777777" w:rsidTr="00D93294">
        <w:trPr>
          <w:tblHeader/>
        </w:trPr>
        <w:tc>
          <w:tcPr>
            <w:tcW w:w="709" w:type="dxa"/>
            <w:shd w:val="clear" w:color="auto" w:fill="F2F2F2"/>
            <w:vAlign w:val="bottom"/>
          </w:tcPr>
          <w:p w14:paraId="3896DF62"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Item</w:t>
            </w:r>
          </w:p>
        </w:tc>
        <w:tc>
          <w:tcPr>
            <w:tcW w:w="3958" w:type="dxa"/>
            <w:shd w:val="clear" w:color="auto" w:fill="F2F2F2"/>
            <w:vAlign w:val="bottom"/>
          </w:tcPr>
          <w:p w14:paraId="0F049343"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Descriptor</w:t>
            </w:r>
          </w:p>
        </w:tc>
        <w:tc>
          <w:tcPr>
            <w:tcW w:w="914" w:type="dxa"/>
            <w:shd w:val="clear" w:color="auto" w:fill="F2F2F2"/>
            <w:vAlign w:val="bottom"/>
          </w:tcPr>
          <w:p w14:paraId="3D9230F4"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Schedule fee</w:t>
            </w:r>
          </w:p>
        </w:tc>
        <w:tc>
          <w:tcPr>
            <w:tcW w:w="1103" w:type="dxa"/>
            <w:shd w:val="clear" w:color="auto" w:fill="F2F2F2"/>
            <w:vAlign w:val="bottom"/>
          </w:tcPr>
          <w:p w14:paraId="2C6CE2A6"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FY2015/16</w:t>
            </w:r>
          </w:p>
        </w:tc>
        <w:tc>
          <w:tcPr>
            <w:tcW w:w="1158" w:type="dxa"/>
            <w:shd w:val="clear" w:color="auto" w:fill="F2F2F2"/>
            <w:vAlign w:val="bottom"/>
          </w:tcPr>
          <w:p w14:paraId="683FC442"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Benefits FY2015/16</w:t>
            </w:r>
          </w:p>
        </w:tc>
        <w:tc>
          <w:tcPr>
            <w:tcW w:w="1174" w:type="dxa"/>
            <w:shd w:val="clear" w:color="auto" w:fill="F2F2F2"/>
            <w:vAlign w:val="bottom"/>
          </w:tcPr>
          <w:p w14:paraId="7158FC87"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5-year annual avg. growth</w:t>
            </w:r>
          </w:p>
        </w:tc>
      </w:tr>
      <w:tr w:rsidR="00360531" w:rsidRPr="00E82749" w14:paraId="00BA3176" w14:textId="77777777" w:rsidTr="005E54BD">
        <w:tc>
          <w:tcPr>
            <w:tcW w:w="709" w:type="dxa"/>
            <w:shd w:val="clear" w:color="auto" w:fill="FFFFFF" w:themeFill="background1"/>
            <w:vAlign w:val="center"/>
          </w:tcPr>
          <w:p w14:paraId="1875DD6A" w14:textId="77777777" w:rsidR="00360531" w:rsidRPr="00E82749" w:rsidRDefault="00360531" w:rsidP="005E54BD">
            <w:pPr>
              <w:spacing w:before="0" w:after="0"/>
              <w:jc w:val="center"/>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55836</w:t>
            </w:r>
          </w:p>
        </w:tc>
        <w:tc>
          <w:tcPr>
            <w:tcW w:w="3958" w:type="dxa"/>
            <w:shd w:val="clear" w:color="auto" w:fill="FFFFFF" w:themeFill="background1"/>
          </w:tcPr>
          <w:p w14:paraId="7CBBE99F" w14:textId="77777777" w:rsidR="00360531" w:rsidRPr="00E82749" w:rsidRDefault="00360531" w:rsidP="005E54BD">
            <w:pPr>
              <w:shd w:val="clear" w:color="auto" w:fill="FBFBFB"/>
              <w:spacing w:before="0" w:after="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4FFE68DB" w14:textId="3FAF5559" w:rsidR="00360531" w:rsidRPr="00E82749" w:rsidRDefault="00C03421" w:rsidP="005E54BD">
            <w:pPr>
              <w:shd w:val="clear" w:color="auto" w:fill="FBFBFB"/>
              <w:spacing w:before="0" w:after="0"/>
              <w:rPr>
                <w:rFonts w:ascii="Arial" w:eastAsiaTheme="minorHAnsi" w:hAnsi="Arial" w:cs="Arial"/>
                <w:sz w:val="18"/>
                <w:szCs w:val="18"/>
                <w:lang w:val="en-GB" w:eastAsia="en-US"/>
              </w:rPr>
            </w:pPr>
            <w:r>
              <w:rPr>
                <w:rFonts w:ascii="Arial" w:eastAsiaTheme="minorHAnsi" w:hAnsi="Arial" w:cs="Arial"/>
                <w:sz w:val="18"/>
                <w:szCs w:val="18"/>
                <w:lang w:val="en-GB" w:eastAsia="en-US"/>
              </w:rPr>
              <w:t>(a) </w:t>
            </w:r>
            <w:r w:rsidR="00360531" w:rsidRPr="00E82749">
              <w:rPr>
                <w:rFonts w:ascii="Arial" w:eastAsiaTheme="minorHAnsi" w:hAnsi="Arial" w:cs="Arial"/>
                <w:sz w:val="18"/>
                <w:szCs w:val="18"/>
                <w:lang w:val="en-GB" w:eastAsia="en-US"/>
              </w:rPr>
              <w:t>the service is not associated with a service to which an item in Subgroups 2 or 3 of this Group applies; and</w:t>
            </w:r>
          </w:p>
          <w:p w14:paraId="6E096934" w14:textId="0258066B" w:rsidR="00360531" w:rsidRPr="00E82749" w:rsidRDefault="00360531" w:rsidP="005E54BD">
            <w:pPr>
              <w:shd w:val="clear" w:color="auto" w:fill="FBFBFB"/>
              <w:spacing w:before="0" w:after="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(b) the referring practitioner is not a member of a group of practitioners of which the providing practitioner is a member (R)</w:t>
            </w:r>
          </w:p>
        </w:tc>
        <w:tc>
          <w:tcPr>
            <w:tcW w:w="914" w:type="dxa"/>
            <w:shd w:val="clear" w:color="auto" w:fill="FFFFFF" w:themeFill="background1"/>
            <w:vAlign w:val="center"/>
          </w:tcPr>
          <w:p w14:paraId="7A15F350" w14:textId="77777777" w:rsidR="00360531" w:rsidRPr="00E82749" w:rsidRDefault="00360531" w:rsidP="005E54BD">
            <w:pPr>
              <w:spacing w:before="0" w:after="0"/>
              <w:jc w:val="center"/>
              <w:rPr>
                <w:rFonts w:ascii="Arial" w:eastAsiaTheme="minorHAnsi" w:hAnsi="Arial" w:cs="Arial"/>
                <w:color w:val="FF0000"/>
                <w:sz w:val="18"/>
                <w:szCs w:val="18"/>
                <w:lang w:val="en-GB" w:eastAsia="en-US"/>
              </w:rPr>
            </w:pPr>
            <w:r w:rsidRPr="00E82749">
              <w:rPr>
                <w:rFonts w:ascii="Arial" w:eastAsiaTheme="minorHAnsi" w:hAnsi="Arial" w:cs="Arial"/>
                <w:sz w:val="18"/>
                <w:szCs w:val="18"/>
                <w:lang w:val="en-GB" w:eastAsia="en-US"/>
              </w:rPr>
              <w:t>$109.10</w:t>
            </w:r>
          </w:p>
        </w:tc>
        <w:tc>
          <w:tcPr>
            <w:tcW w:w="1103" w:type="dxa"/>
            <w:vAlign w:val="center"/>
          </w:tcPr>
          <w:p w14:paraId="372434FB"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166,063</w:t>
            </w:r>
          </w:p>
        </w:tc>
        <w:tc>
          <w:tcPr>
            <w:tcW w:w="1158" w:type="dxa"/>
            <w:vAlign w:val="center"/>
          </w:tcPr>
          <w:p w14:paraId="031150D6"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$16,860,221</w:t>
            </w:r>
          </w:p>
        </w:tc>
        <w:tc>
          <w:tcPr>
            <w:tcW w:w="1174" w:type="dxa"/>
            <w:vAlign w:val="center"/>
          </w:tcPr>
          <w:p w14:paraId="4A56D871"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16.91%</w:t>
            </w:r>
          </w:p>
        </w:tc>
      </w:tr>
      <w:tr w:rsidR="00360531" w:rsidRPr="00E82749" w14:paraId="6D954155" w14:textId="77777777" w:rsidTr="005E54BD">
        <w:tc>
          <w:tcPr>
            <w:tcW w:w="709" w:type="dxa"/>
            <w:vAlign w:val="center"/>
          </w:tcPr>
          <w:p w14:paraId="02082E26" w14:textId="77777777" w:rsidR="00360531" w:rsidRPr="00E82749" w:rsidRDefault="00360531" w:rsidP="005E54BD">
            <w:pPr>
              <w:spacing w:before="0" w:after="0"/>
              <w:jc w:val="center"/>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lastRenderedPageBreak/>
              <w:t>55837</w:t>
            </w:r>
          </w:p>
        </w:tc>
        <w:tc>
          <w:tcPr>
            <w:tcW w:w="3958" w:type="dxa"/>
            <w:shd w:val="clear" w:color="auto" w:fill="FFFFFF" w:themeFill="background1"/>
          </w:tcPr>
          <w:p w14:paraId="0EDF16B7" w14:textId="77777777" w:rsidR="00360531" w:rsidRPr="00E82749" w:rsidRDefault="00360531" w:rsidP="005E54BD">
            <w:pPr>
              <w:shd w:val="clear" w:color="auto" w:fill="FBFBFB"/>
              <w:spacing w:before="0" w:after="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1F771E38" w14:textId="3CA7CAB6" w:rsidR="00360531" w:rsidRPr="00E82749" w:rsidRDefault="00C03421" w:rsidP="005E54BD">
            <w:pPr>
              <w:shd w:val="clear" w:color="auto" w:fill="FBFBFB"/>
              <w:spacing w:before="0" w:after="0"/>
              <w:rPr>
                <w:rFonts w:ascii="Arial" w:eastAsiaTheme="minorHAnsi" w:hAnsi="Arial" w:cs="Arial"/>
                <w:sz w:val="18"/>
                <w:szCs w:val="18"/>
                <w:lang w:val="en-GB" w:eastAsia="en-US"/>
              </w:rPr>
            </w:pPr>
            <w:r>
              <w:rPr>
                <w:rFonts w:ascii="Arial" w:eastAsiaTheme="minorHAnsi" w:hAnsi="Arial" w:cs="Arial"/>
                <w:sz w:val="18"/>
                <w:szCs w:val="18"/>
                <w:lang w:val="en-GB" w:eastAsia="en-US"/>
              </w:rPr>
              <w:t>(a) </w:t>
            </w:r>
            <w:r w:rsidR="00360531" w:rsidRPr="00E82749">
              <w:rPr>
                <w:rFonts w:ascii="Arial" w:eastAsiaTheme="minorHAnsi" w:hAnsi="Arial" w:cs="Arial"/>
                <w:sz w:val="18"/>
                <w:szCs w:val="18"/>
                <w:lang w:val="en-GB" w:eastAsia="en-US"/>
              </w:rPr>
              <w:t>the service is not associated with a service to which an item in Subgroups 2 or 3 of this Group applies; and</w:t>
            </w:r>
          </w:p>
          <w:p w14:paraId="37CF0A39" w14:textId="4D30563A" w:rsidR="00360531" w:rsidRPr="00E82749" w:rsidRDefault="00360531" w:rsidP="005E54BD">
            <w:pPr>
              <w:shd w:val="clear" w:color="auto" w:fill="FBFBFB"/>
              <w:spacing w:before="0" w:after="0"/>
              <w:rPr>
                <w:rFonts w:ascii="Helvetica" w:hAnsi="Helvetica" w:cs="Helvetica"/>
                <w:color w:val="222222"/>
                <w:sz w:val="20"/>
                <w:szCs w:val="20"/>
                <w:lang w:val="en-GB"/>
              </w:rPr>
            </w:pPr>
            <w:r w:rsidRPr="00E82749">
              <w:rPr>
                <w:rFonts w:ascii="Arial" w:eastAsiaTheme="minorHAnsi" w:hAnsi="Arial" w:cs="Arial"/>
                <w:sz w:val="18"/>
                <w:szCs w:val="18"/>
                <w:lang w:val="en-GB" w:eastAsia="en-US"/>
              </w:rPr>
              <w:t>(b)</w:t>
            </w:r>
            <w:r w:rsidR="00C03421">
              <w:rPr>
                <w:rFonts w:ascii="Arial" w:eastAsiaTheme="minorHAnsi" w:hAnsi="Arial" w:cs="Arial"/>
                <w:sz w:val="18"/>
                <w:szCs w:val="18"/>
                <w:lang w:val="en-GB" w:eastAsia="en-US"/>
              </w:rPr>
              <w:t xml:space="preserve"> </w:t>
            </w:r>
            <w:r w:rsidRPr="00E82749">
              <w:rPr>
                <w:rFonts w:ascii="Arial" w:eastAsiaTheme="minorHAnsi" w:hAnsi="Arial" w:cs="Arial"/>
                <w:sz w:val="18"/>
                <w:szCs w:val="18"/>
                <w:lang w:val="en-GB" w:eastAsia="en-US"/>
              </w:rPr>
              <w:t>the referring practitioner is not a member of a group of practitioners of which the providing practitioner is a member (R) (NK)</w:t>
            </w:r>
          </w:p>
        </w:tc>
        <w:tc>
          <w:tcPr>
            <w:tcW w:w="914" w:type="dxa"/>
            <w:shd w:val="clear" w:color="auto" w:fill="FFFFFF" w:themeFill="background1"/>
            <w:vAlign w:val="center"/>
          </w:tcPr>
          <w:p w14:paraId="1CC7ED8F" w14:textId="77777777" w:rsidR="00360531" w:rsidRPr="00E82749" w:rsidRDefault="00360531" w:rsidP="005E54BD">
            <w:pPr>
              <w:spacing w:before="0" w:after="0"/>
              <w:jc w:val="center"/>
              <w:rPr>
                <w:rFonts w:ascii="Arial" w:eastAsiaTheme="minorHAnsi" w:hAnsi="Arial" w:cs="Arial"/>
                <w:color w:val="FF0000"/>
                <w:sz w:val="18"/>
                <w:szCs w:val="18"/>
                <w:lang w:val="en-GB" w:eastAsia="en-US"/>
              </w:rPr>
            </w:pPr>
            <w:r w:rsidRPr="00E82749">
              <w:rPr>
                <w:rFonts w:ascii="Arial" w:eastAsiaTheme="minorHAnsi" w:hAnsi="Arial" w:cs="Arial"/>
                <w:sz w:val="18"/>
                <w:szCs w:val="18"/>
                <w:lang w:val="en-GB" w:eastAsia="en-US"/>
              </w:rPr>
              <w:t>$54.55</w:t>
            </w:r>
          </w:p>
        </w:tc>
        <w:tc>
          <w:tcPr>
            <w:tcW w:w="1103" w:type="dxa"/>
            <w:vAlign w:val="center"/>
          </w:tcPr>
          <w:p w14:paraId="3CF155A0"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2</w:t>
            </w:r>
          </w:p>
        </w:tc>
        <w:tc>
          <w:tcPr>
            <w:tcW w:w="1158" w:type="dxa"/>
            <w:vAlign w:val="center"/>
          </w:tcPr>
          <w:p w14:paraId="116EAA54"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$70.00</w:t>
            </w:r>
          </w:p>
        </w:tc>
        <w:tc>
          <w:tcPr>
            <w:tcW w:w="1174" w:type="dxa"/>
            <w:vAlign w:val="center"/>
          </w:tcPr>
          <w:p w14:paraId="5D890BC4"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N/A</w:t>
            </w:r>
          </w:p>
        </w:tc>
      </w:tr>
      <w:tr w:rsidR="00360531" w:rsidRPr="00E82749" w14:paraId="325D24A8" w14:textId="77777777" w:rsidTr="005E54BD">
        <w:tc>
          <w:tcPr>
            <w:tcW w:w="709" w:type="dxa"/>
            <w:vAlign w:val="center"/>
          </w:tcPr>
          <w:p w14:paraId="11F83FA2" w14:textId="77777777" w:rsidR="00360531" w:rsidRPr="00E82749" w:rsidRDefault="00360531" w:rsidP="005E54BD">
            <w:pPr>
              <w:spacing w:before="0" w:after="0"/>
              <w:jc w:val="center"/>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55838</w:t>
            </w:r>
          </w:p>
        </w:tc>
        <w:tc>
          <w:tcPr>
            <w:tcW w:w="3958" w:type="dxa"/>
            <w:shd w:val="clear" w:color="auto" w:fill="FFFFFF" w:themeFill="background1"/>
          </w:tcPr>
          <w:p w14:paraId="7BADF719" w14:textId="77777777" w:rsidR="00360531" w:rsidRPr="00E82749" w:rsidRDefault="00360531" w:rsidP="005E54BD">
            <w:pPr>
              <w:shd w:val="clear" w:color="auto" w:fill="FBFBFB"/>
              <w:spacing w:before="0" w:after="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5BED84B3" w14:textId="1E26908E" w:rsidR="00360531" w:rsidRPr="00E82749" w:rsidRDefault="00C03421" w:rsidP="005E54BD">
            <w:pPr>
              <w:shd w:val="clear" w:color="auto" w:fill="FBFBFB"/>
              <w:spacing w:before="0" w:after="0"/>
              <w:rPr>
                <w:rFonts w:ascii="Arial" w:eastAsiaTheme="minorHAnsi" w:hAnsi="Arial" w:cs="Arial"/>
                <w:sz w:val="18"/>
                <w:szCs w:val="18"/>
                <w:lang w:val="en-GB" w:eastAsia="en-US"/>
              </w:rPr>
            </w:pPr>
            <w:r>
              <w:rPr>
                <w:rFonts w:ascii="Arial" w:eastAsiaTheme="minorHAnsi" w:hAnsi="Arial" w:cs="Arial"/>
                <w:sz w:val="18"/>
                <w:szCs w:val="18"/>
                <w:lang w:val="en-GB" w:eastAsia="en-US"/>
              </w:rPr>
              <w:t>(a) </w:t>
            </w:r>
            <w:r w:rsidR="00360531" w:rsidRPr="00E82749">
              <w:rPr>
                <w:rFonts w:ascii="Arial" w:eastAsiaTheme="minorHAnsi" w:hAnsi="Arial" w:cs="Arial"/>
                <w:sz w:val="18"/>
                <w:szCs w:val="18"/>
                <w:lang w:val="en-GB" w:eastAsia="en-US"/>
              </w:rPr>
              <w:t>the service is not associated with a service to which an item in Subgroups 2 or 3 of this Group applies; and</w:t>
            </w:r>
          </w:p>
          <w:p w14:paraId="4208A25D" w14:textId="686DFAA5" w:rsidR="00360531" w:rsidRPr="00E82749" w:rsidRDefault="00C03421" w:rsidP="005E54BD">
            <w:pPr>
              <w:shd w:val="clear" w:color="auto" w:fill="FBFBFB"/>
              <w:spacing w:before="0" w:after="0"/>
              <w:rPr>
                <w:rFonts w:ascii="Arial" w:eastAsiaTheme="minorHAnsi" w:hAnsi="Arial" w:cs="Arial"/>
                <w:sz w:val="18"/>
                <w:szCs w:val="18"/>
                <w:lang w:val="en-GB" w:eastAsia="en-US"/>
              </w:rPr>
            </w:pPr>
            <w:r>
              <w:rPr>
                <w:rFonts w:ascii="Arial" w:eastAsiaTheme="minorHAnsi" w:hAnsi="Arial" w:cs="Arial"/>
                <w:sz w:val="18"/>
                <w:szCs w:val="18"/>
                <w:lang w:val="en-GB" w:eastAsia="en-US"/>
              </w:rPr>
              <w:t>(b) </w:t>
            </w:r>
            <w:r w:rsidR="00360531" w:rsidRPr="00E82749">
              <w:rPr>
                <w:rFonts w:ascii="Arial" w:eastAsiaTheme="minorHAnsi" w:hAnsi="Arial" w:cs="Arial"/>
                <w:sz w:val="18"/>
                <w:szCs w:val="18"/>
                <w:lang w:val="en-GB" w:eastAsia="en-US"/>
              </w:rPr>
              <w:t>the patient is not referred by a medical practitioner (NR)</w:t>
            </w:r>
          </w:p>
        </w:tc>
        <w:tc>
          <w:tcPr>
            <w:tcW w:w="914" w:type="dxa"/>
            <w:shd w:val="clear" w:color="auto" w:fill="FFFFFF" w:themeFill="background1"/>
            <w:vAlign w:val="center"/>
          </w:tcPr>
          <w:p w14:paraId="6049B3BB" w14:textId="77777777" w:rsidR="00360531" w:rsidRPr="00E82749" w:rsidRDefault="00360531" w:rsidP="005E54BD">
            <w:pPr>
              <w:spacing w:before="0" w:after="0"/>
              <w:jc w:val="center"/>
              <w:rPr>
                <w:rFonts w:ascii="Arial" w:eastAsiaTheme="minorHAnsi" w:hAnsi="Arial" w:cs="Arial"/>
                <w:color w:val="FF0000"/>
                <w:sz w:val="18"/>
                <w:szCs w:val="18"/>
                <w:lang w:val="en-GB" w:eastAsia="en-US"/>
              </w:rPr>
            </w:pPr>
            <w:r w:rsidRPr="00E82749">
              <w:rPr>
                <w:rFonts w:ascii="Arial" w:eastAsiaTheme="minorHAnsi" w:hAnsi="Arial" w:cs="Arial"/>
                <w:sz w:val="18"/>
                <w:szCs w:val="18"/>
                <w:lang w:val="en-GB" w:eastAsia="en-US"/>
              </w:rPr>
              <w:t>$37.85</w:t>
            </w:r>
          </w:p>
        </w:tc>
        <w:tc>
          <w:tcPr>
            <w:tcW w:w="1103" w:type="dxa"/>
            <w:vAlign w:val="center"/>
          </w:tcPr>
          <w:p w14:paraId="068106FF"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2,963</w:t>
            </w:r>
          </w:p>
        </w:tc>
        <w:tc>
          <w:tcPr>
            <w:tcW w:w="1158" w:type="dxa"/>
            <w:vAlign w:val="center"/>
          </w:tcPr>
          <w:p w14:paraId="1EF613FE"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$102,341</w:t>
            </w:r>
          </w:p>
        </w:tc>
        <w:tc>
          <w:tcPr>
            <w:tcW w:w="1174" w:type="dxa"/>
            <w:vAlign w:val="center"/>
          </w:tcPr>
          <w:p w14:paraId="6169C951"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20.67%</w:t>
            </w:r>
          </w:p>
        </w:tc>
      </w:tr>
      <w:tr w:rsidR="00360531" w:rsidRPr="00E82749" w14:paraId="47261CD5" w14:textId="77777777" w:rsidTr="005E54BD">
        <w:tc>
          <w:tcPr>
            <w:tcW w:w="709" w:type="dxa"/>
            <w:vAlign w:val="center"/>
          </w:tcPr>
          <w:p w14:paraId="3A542104" w14:textId="77777777" w:rsidR="00360531" w:rsidRPr="00E82749" w:rsidRDefault="00360531" w:rsidP="005E54BD">
            <w:pPr>
              <w:spacing w:before="0" w:after="0"/>
              <w:jc w:val="center"/>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55839</w:t>
            </w:r>
          </w:p>
        </w:tc>
        <w:tc>
          <w:tcPr>
            <w:tcW w:w="3958" w:type="dxa"/>
            <w:shd w:val="clear" w:color="auto" w:fill="FFFFFF" w:themeFill="background1"/>
          </w:tcPr>
          <w:p w14:paraId="48836414" w14:textId="77777777" w:rsidR="00360531" w:rsidRPr="00E82749" w:rsidRDefault="00360531" w:rsidP="005E54BD">
            <w:pPr>
              <w:shd w:val="clear" w:color="auto" w:fill="FBFBFB"/>
              <w:spacing w:before="0" w:after="0"/>
              <w:rPr>
                <w:rFonts w:ascii="Arial" w:eastAsiaTheme="minorHAnsi" w:hAnsi="Arial" w:cs="Arial"/>
                <w:sz w:val="18"/>
                <w:szCs w:val="18"/>
                <w:lang w:val="en-GB" w:eastAsia="en-US"/>
              </w:rPr>
            </w:pPr>
            <w:r w:rsidRPr="00E82749">
              <w:rPr>
                <w:rFonts w:ascii="Arial" w:eastAsiaTheme="minorHAnsi" w:hAnsi="Arial" w:cs="Arial"/>
                <w:sz w:val="18"/>
                <w:szCs w:val="18"/>
                <w:lang w:val="en-GB" w:eastAsia="en-US"/>
              </w:rPr>
              <w:t>ANKLE OR HIND FOOT, 1 or both sides, ultrasound scan of, where:</w:t>
            </w:r>
          </w:p>
          <w:p w14:paraId="73A333FF" w14:textId="0B8629F5" w:rsidR="00360531" w:rsidRPr="00E82749" w:rsidRDefault="00C03421" w:rsidP="005E54BD">
            <w:pPr>
              <w:shd w:val="clear" w:color="auto" w:fill="FBFBFB"/>
              <w:spacing w:before="0" w:after="0"/>
              <w:rPr>
                <w:rFonts w:ascii="Arial" w:eastAsiaTheme="minorHAnsi" w:hAnsi="Arial" w:cs="Arial"/>
                <w:sz w:val="18"/>
                <w:szCs w:val="18"/>
                <w:lang w:val="en-GB" w:eastAsia="en-US"/>
              </w:rPr>
            </w:pPr>
            <w:r>
              <w:rPr>
                <w:rFonts w:ascii="Arial" w:eastAsiaTheme="minorHAnsi" w:hAnsi="Arial" w:cs="Arial"/>
                <w:sz w:val="18"/>
                <w:szCs w:val="18"/>
                <w:lang w:val="en-GB" w:eastAsia="en-US"/>
              </w:rPr>
              <w:t>(a) </w:t>
            </w:r>
            <w:r w:rsidR="00360531" w:rsidRPr="00E82749">
              <w:rPr>
                <w:rFonts w:ascii="Arial" w:eastAsiaTheme="minorHAnsi" w:hAnsi="Arial" w:cs="Arial"/>
                <w:sz w:val="18"/>
                <w:szCs w:val="18"/>
                <w:lang w:val="en-GB" w:eastAsia="en-US"/>
              </w:rPr>
              <w:t>the service is not associated with a service to which an item in Subgroups 2 or 3 of this Group applies; and</w:t>
            </w:r>
          </w:p>
          <w:p w14:paraId="570EAA95" w14:textId="11D2B684" w:rsidR="00360531" w:rsidRPr="00E82749" w:rsidRDefault="00C03421" w:rsidP="005E54BD">
            <w:pPr>
              <w:shd w:val="clear" w:color="auto" w:fill="FBFBFB"/>
              <w:spacing w:before="0" w:after="0"/>
              <w:rPr>
                <w:rFonts w:ascii="Arial" w:eastAsiaTheme="minorHAnsi" w:hAnsi="Arial" w:cs="Arial"/>
                <w:sz w:val="18"/>
                <w:szCs w:val="18"/>
                <w:lang w:val="en-GB" w:eastAsia="en-US"/>
              </w:rPr>
            </w:pPr>
            <w:r>
              <w:rPr>
                <w:rFonts w:ascii="Arial" w:eastAsiaTheme="minorHAnsi" w:hAnsi="Arial" w:cs="Arial"/>
                <w:sz w:val="18"/>
                <w:szCs w:val="18"/>
                <w:lang w:val="en-GB" w:eastAsia="en-US"/>
              </w:rPr>
              <w:t>(b) </w:t>
            </w:r>
            <w:r w:rsidR="00360531" w:rsidRPr="00E82749">
              <w:rPr>
                <w:rFonts w:ascii="Arial" w:eastAsiaTheme="minorHAnsi" w:hAnsi="Arial" w:cs="Arial"/>
                <w:sz w:val="18"/>
                <w:szCs w:val="18"/>
                <w:lang w:val="en-GB" w:eastAsia="en-US"/>
              </w:rPr>
              <w:t>the patient is not referred by a medical practitioner (NR) (NK)</w:t>
            </w:r>
          </w:p>
        </w:tc>
        <w:tc>
          <w:tcPr>
            <w:tcW w:w="914" w:type="dxa"/>
            <w:shd w:val="clear" w:color="auto" w:fill="FFFFFF" w:themeFill="background1"/>
            <w:vAlign w:val="center"/>
          </w:tcPr>
          <w:p w14:paraId="68B2F429" w14:textId="77777777" w:rsidR="00360531" w:rsidRPr="00342813" w:rsidRDefault="00360531" w:rsidP="005E54BD">
            <w:pPr>
              <w:spacing w:before="0" w:after="0"/>
              <w:jc w:val="center"/>
              <w:rPr>
                <w:rFonts w:ascii="Arial" w:eastAsiaTheme="minorHAnsi" w:hAnsi="Arial" w:cs="Arial"/>
                <w:sz w:val="18"/>
                <w:szCs w:val="18"/>
                <w:lang w:val="en-GB" w:eastAsia="en-US"/>
              </w:rPr>
            </w:pPr>
            <w:r w:rsidRPr="00342813">
              <w:rPr>
                <w:rFonts w:ascii="Arial" w:eastAsiaTheme="minorHAnsi" w:hAnsi="Arial" w:cs="Arial"/>
                <w:sz w:val="18"/>
                <w:szCs w:val="18"/>
                <w:lang w:val="en-GB" w:eastAsia="en-US"/>
              </w:rPr>
              <w:t>$18.95</w:t>
            </w:r>
          </w:p>
        </w:tc>
        <w:tc>
          <w:tcPr>
            <w:tcW w:w="1103" w:type="dxa"/>
            <w:vAlign w:val="center"/>
          </w:tcPr>
          <w:p w14:paraId="344DC786"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11</w:t>
            </w:r>
          </w:p>
        </w:tc>
        <w:tc>
          <w:tcPr>
            <w:tcW w:w="1158" w:type="dxa"/>
            <w:vAlign w:val="center"/>
          </w:tcPr>
          <w:p w14:paraId="26EC3879"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$177</w:t>
            </w:r>
          </w:p>
        </w:tc>
        <w:tc>
          <w:tcPr>
            <w:tcW w:w="1174" w:type="dxa"/>
            <w:vAlign w:val="center"/>
          </w:tcPr>
          <w:p w14:paraId="4F3F36CC" w14:textId="77777777" w:rsidR="00360531" w:rsidRPr="00342813" w:rsidRDefault="00360531" w:rsidP="005E54BD">
            <w:pPr>
              <w:spacing w:before="0" w:after="0"/>
              <w:jc w:val="center"/>
              <w:rPr>
                <w:rFonts w:ascii="Arial" w:eastAsiaTheme="minorHAnsi" w:hAnsi="Arial" w:cs="Arial"/>
                <w:sz w:val="18"/>
                <w:szCs w:val="18"/>
                <w:lang w:val="en-GB" w:eastAsia="en-US"/>
              </w:rPr>
            </w:pPr>
            <w:r>
              <w:rPr>
                <w:rFonts w:ascii="Arial" w:eastAsiaTheme="minorHAnsi" w:hAnsi="Arial" w:cs="Arial"/>
                <w:sz w:val="18"/>
                <w:szCs w:val="18"/>
                <w:lang w:val="en-GB" w:eastAsia="en-US"/>
              </w:rPr>
              <w:t>N/A</w:t>
            </w:r>
          </w:p>
        </w:tc>
      </w:tr>
    </w:tbl>
    <w:p w14:paraId="1C2CE05D" w14:textId="77777777" w:rsidR="00360531" w:rsidRPr="00E82749" w:rsidRDefault="00360531" w:rsidP="00360531">
      <w:pPr>
        <w:rPr>
          <w:color w:val="FF0000"/>
          <w:lang w:val="en-GB"/>
        </w:rPr>
      </w:pPr>
    </w:p>
    <w:p w14:paraId="00A8001E" w14:textId="77777777" w:rsidR="00360531" w:rsidRPr="00E82749" w:rsidRDefault="00360531" w:rsidP="00360531">
      <w:pPr>
        <w:pStyle w:val="Item"/>
        <w:rPr>
          <w:lang w:val="en-GB"/>
        </w:rPr>
      </w:pPr>
      <w:r w:rsidRPr="00E82749">
        <w:rPr>
          <w:lang w:val="en-GB"/>
        </w:rPr>
        <w:t>Recommendation</w:t>
      </w:r>
      <w:r w:rsidR="006E404A">
        <w:rPr>
          <w:lang w:val="en-GB"/>
        </w:rPr>
        <w:t>s</w:t>
      </w:r>
      <w:r w:rsidRPr="00E82749">
        <w:rPr>
          <w:lang w:val="en-GB"/>
        </w:rPr>
        <w:t xml:space="preserve"> </w:t>
      </w:r>
    </w:p>
    <w:p w14:paraId="48193871" w14:textId="74D9A486" w:rsidR="00360531" w:rsidRPr="00DC0E09" w:rsidRDefault="00360531" w:rsidP="002818C3">
      <w:pPr>
        <w:pStyle w:val="NormalBulleted"/>
        <w:numPr>
          <w:ilvl w:val="0"/>
          <w:numId w:val="111"/>
        </w:numPr>
        <w:rPr>
          <w:lang w:val="en-GB"/>
        </w:rPr>
      </w:pPr>
      <w:r w:rsidRPr="00DC0E09">
        <w:rPr>
          <w:lang w:val="en-GB"/>
        </w:rPr>
        <w:t xml:space="preserve">Change the item descriptors for items 55836, 55837, 55838 and 55839 to reflect the Committee’s position that ankle ultrasound should only be used for the </w:t>
      </w:r>
      <w:r w:rsidR="00656458">
        <w:rPr>
          <w:lang w:val="en-GB"/>
        </w:rPr>
        <w:t>assessment of suspected conditions other than acute ligament injury</w:t>
      </w:r>
      <w:r w:rsidRPr="00DC0E09">
        <w:rPr>
          <w:lang w:val="en-GB"/>
        </w:rPr>
        <w:t>. The proposed item descriptor is as follows:</w:t>
      </w:r>
    </w:p>
    <w:p w14:paraId="0A973414" w14:textId="676543B7" w:rsidR="00360531" w:rsidRPr="007657EB" w:rsidRDefault="00360531" w:rsidP="00AB3AC3">
      <w:pPr>
        <w:pStyle w:val="02dash"/>
        <w:numPr>
          <w:ilvl w:val="1"/>
          <w:numId w:val="64"/>
        </w:numPr>
        <w:spacing w:before="0" w:line="240" w:lineRule="auto"/>
        <w:ind w:left="641" w:right="0"/>
      </w:pPr>
      <w:r w:rsidRPr="007657EB">
        <w:t>ANKLE OR HIND FOOT, 1 or both side</w:t>
      </w:r>
      <w:r>
        <w:t>s, ultrasound scan of, where</w:t>
      </w:r>
      <w:r w:rsidRPr="007657EB">
        <w:t xml:space="preserve"> the service </w:t>
      </w:r>
      <w:r w:rsidR="00A94B17" w:rsidRPr="00F526F3">
        <w:t xml:space="preserve">is provided for the assessment of suspected </w:t>
      </w:r>
      <w:r w:rsidR="00A94B17">
        <w:t xml:space="preserve">conditions other than acute ligament injury. </w:t>
      </w:r>
    </w:p>
    <w:p w14:paraId="65B586DB" w14:textId="77777777" w:rsidR="00360531" w:rsidRPr="00DC0E09" w:rsidRDefault="00360531" w:rsidP="002818C3">
      <w:pPr>
        <w:pStyle w:val="NormalBulleted"/>
        <w:numPr>
          <w:ilvl w:val="0"/>
          <w:numId w:val="111"/>
        </w:numPr>
        <w:rPr>
          <w:lang w:val="en-GB"/>
        </w:rPr>
      </w:pPr>
      <w:r w:rsidRPr="00DC0E09">
        <w:rPr>
          <w:lang w:val="en-GB"/>
        </w:rPr>
        <w:t>Create an explanatory note detailing the AUC for ankle ultrasound, accompanied by an education campaign. The explanatory note should detail that ultrasound is not to be used when there is suspicion of ligament damage. The proposed explanatory note is as follows:</w:t>
      </w:r>
    </w:p>
    <w:p w14:paraId="0003641E" w14:textId="77777777" w:rsidR="00360531" w:rsidRPr="00E82749" w:rsidRDefault="00360531" w:rsidP="00360531">
      <w:pPr>
        <w:pStyle w:val="02dash"/>
        <w:numPr>
          <w:ilvl w:val="1"/>
          <w:numId w:val="17"/>
        </w:numPr>
        <w:spacing w:before="0" w:line="240" w:lineRule="auto"/>
        <w:ind w:left="641" w:right="0"/>
      </w:pPr>
      <w:r w:rsidRPr="0010165D">
        <w:t>Ultrasound of the ankle or hind foot is only required for patients with suspected tendon or tendon sheath abnormality. Suspected ligament damage or abnormality is not</w:t>
      </w:r>
      <w:r>
        <w:t xml:space="preserve"> a </w:t>
      </w:r>
      <w:r w:rsidRPr="0010165D">
        <w:t>reason to request this item</w:t>
      </w:r>
      <w:r w:rsidRPr="00E82749">
        <w:t xml:space="preserve">. </w:t>
      </w:r>
    </w:p>
    <w:p w14:paraId="1D247D3C" w14:textId="77777777" w:rsidR="00DC0E09" w:rsidRDefault="00DC0E09" w:rsidP="00732CA7">
      <w:pPr>
        <w:pStyle w:val="NormalBulleted"/>
      </w:pPr>
      <w:r>
        <w:t>In addition the Committee recommended:</w:t>
      </w:r>
    </w:p>
    <w:p w14:paraId="1BE53254" w14:textId="77777777" w:rsidR="00360531" w:rsidRPr="00732CA7" w:rsidRDefault="00360531" w:rsidP="00DC0E09">
      <w:pPr>
        <w:pStyle w:val="02dash"/>
        <w:numPr>
          <w:ilvl w:val="1"/>
          <w:numId w:val="17"/>
        </w:numPr>
        <w:spacing w:before="0" w:line="240" w:lineRule="auto"/>
        <w:ind w:left="641" w:right="0"/>
      </w:pPr>
      <w:r w:rsidRPr="00732CA7">
        <w:t xml:space="preserve">If use of ankle ultrasound does not decrease during the 24 months after the change, restrict the co-requesting of ankle X-ray and ultrasound on the same day, and consider mandatory CDS. </w:t>
      </w:r>
    </w:p>
    <w:p w14:paraId="42C8856A" w14:textId="77777777" w:rsidR="00360531" w:rsidRDefault="00360531" w:rsidP="00DC0E09">
      <w:pPr>
        <w:pStyle w:val="02dash"/>
        <w:numPr>
          <w:ilvl w:val="1"/>
          <w:numId w:val="17"/>
        </w:numPr>
        <w:spacing w:before="0" w:line="240" w:lineRule="auto"/>
        <w:ind w:left="641" w:right="0"/>
      </w:pPr>
      <w:r>
        <w:lastRenderedPageBreak/>
        <w:t xml:space="preserve">Deliver provider education on the appropriate imaging pathways for ankle ultrasound. The Committee noted that imaging providers play a key role in educating </w:t>
      </w:r>
      <w:r w:rsidR="006C31FB">
        <w:t>requester</w:t>
      </w:r>
      <w:r>
        <w:t xml:space="preserve">s through their ongoing communication and feedback.  </w:t>
      </w:r>
    </w:p>
    <w:p w14:paraId="21B2FAE1" w14:textId="77777777" w:rsidR="00360531" w:rsidRPr="00732CA7" w:rsidRDefault="00360531" w:rsidP="00DC0E09">
      <w:pPr>
        <w:pStyle w:val="02dash"/>
        <w:numPr>
          <w:ilvl w:val="1"/>
          <w:numId w:val="17"/>
        </w:numPr>
        <w:spacing w:before="0" w:line="240" w:lineRule="auto"/>
        <w:ind w:left="641" w:right="0"/>
      </w:pPr>
      <w:r w:rsidRPr="00732CA7">
        <w:t xml:space="preserve">Provide </w:t>
      </w:r>
      <w:r w:rsidR="006C31FB">
        <w:t>requester</w:t>
      </w:r>
      <w:r w:rsidRPr="00732CA7">
        <w:t xml:space="preserve"> education on appropriate pathways for ankle imaging. The Committee recommended that this include feedback to providers who request ankle ultrasound at higher rates than their peers. </w:t>
      </w:r>
    </w:p>
    <w:p w14:paraId="6A4F50EB" w14:textId="77777777" w:rsidR="00360531" w:rsidRPr="00732CA7" w:rsidRDefault="00360531" w:rsidP="00DC0E09">
      <w:pPr>
        <w:pStyle w:val="02dash"/>
        <w:numPr>
          <w:ilvl w:val="1"/>
          <w:numId w:val="17"/>
        </w:numPr>
        <w:spacing w:before="0" w:line="240" w:lineRule="auto"/>
        <w:ind w:left="641" w:right="0"/>
      </w:pPr>
      <w:r w:rsidRPr="00732CA7">
        <w:t xml:space="preserve">Provide consumer education on the above changes. </w:t>
      </w:r>
      <w:r w:rsidR="006C31FB">
        <w:t>Requester</w:t>
      </w:r>
      <w:r w:rsidRPr="00732CA7">
        <w:t xml:space="preserve">s should be equipped to provide patients with information about when ultrasound of the ankle is appropriate, and when it would not change treatment pathways. </w:t>
      </w:r>
    </w:p>
    <w:p w14:paraId="7FE036A3" w14:textId="77777777" w:rsidR="00360531" w:rsidRPr="00E82749" w:rsidRDefault="00360531" w:rsidP="00360531">
      <w:pPr>
        <w:pStyle w:val="Item"/>
        <w:rPr>
          <w:lang w:val="en-GB"/>
        </w:rPr>
      </w:pPr>
      <w:r w:rsidRPr="00E82749">
        <w:rPr>
          <w:lang w:val="en-GB"/>
        </w:rPr>
        <w:t>Rationale</w:t>
      </w:r>
    </w:p>
    <w:p w14:paraId="579D014D" w14:textId="77777777" w:rsidR="00360531" w:rsidRPr="00732CA7" w:rsidRDefault="00360531" w:rsidP="00732CA7">
      <w:pPr>
        <w:pStyle w:val="NormalBulleted"/>
      </w:pPr>
      <w:r w:rsidRPr="00732CA7">
        <w:t>The Committee found sufficient evidence to conclude that ankle ultrasound is being inappropriately overused:</w:t>
      </w:r>
    </w:p>
    <w:p w14:paraId="3D47CB01" w14:textId="77777777" w:rsidR="00360531" w:rsidRPr="00E82749" w:rsidRDefault="00360531" w:rsidP="00360531">
      <w:pPr>
        <w:pStyle w:val="02dash"/>
        <w:numPr>
          <w:ilvl w:val="1"/>
          <w:numId w:val="17"/>
        </w:numPr>
        <w:spacing w:before="0" w:line="240" w:lineRule="auto"/>
        <w:ind w:left="641" w:right="0"/>
      </w:pPr>
      <w:r w:rsidRPr="00E82749">
        <w:t>Use of ultrasound for ankle/hind foot injuries has been growing rapidly</w:t>
      </w:r>
      <w:r>
        <w:t>. S</w:t>
      </w:r>
      <w:r w:rsidRPr="00E82749">
        <w:t>ervices per capita</w:t>
      </w:r>
      <w:r>
        <w:t xml:space="preserve"> are increasing by 16 per cent annually, resulting in 18 per cent annual growth in benefits.</w:t>
      </w:r>
    </w:p>
    <w:p w14:paraId="0643ABA6" w14:textId="77777777" w:rsidR="00360531" w:rsidRPr="00E82749" w:rsidRDefault="00360531" w:rsidP="00360531">
      <w:pPr>
        <w:pStyle w:val="02dash"/>
        <w:numPr>
          <w:ilvl w:val="1"/>
          <w:numId w:val="17"/>
        </w:numPr>
        <w:spacing w:before="0" w:line="240" w:lineRule="auto"/>
        <w:ind w:left="641" w:right="0"/>
      </w:pPr>
      <w:r w:rsidRPr="00E82749">
        <w:t>Most clinically significant acute ankle injuries can be diagnosed based on consumer history, examination and selective use of plain radiography. Deciding whether to perform imaging for acute ankle trauma can be safely guided by the Ottawa Ankle Rules</w:t>
      </w:r>
      <w:sdt>
        <w:sdtPr>
          <w:id w:val="459847648"/>
          <w:citation/>
        </w:sdtPr>
        <w:sdtEndPr/>
        <w:sdtContent>
          <w:r>
            <w:fldChar w:fldCharType="begin"/>
          </w:r>
          <w:r w:rsidR="00732CA7">
            <w:instrText xml:space="preserve">CITATION Gui01 \l 3081 </w:instrText>
          </w:r>
          <w:r>
            <w:fldChar w:fldCharType="separate"/>
          </w:r>
          <w:r w:rsidR="00B66BE1">
            <w:rPr>
              <w:noProof/>
            </w:rPr>
            <w:t xml:space="preserve"> (48)</w:t>
          </w:r>
          <w:r>
            <w:fldChar w:fldCharType="end"/>
          </w:r>
        </w:sdtContent>
      </w:sdt>
      <w:r w:rsidRPr="00E82749">
        <w:t xml:space="preserve"> which do </w:t>
      </w:r>
      <w:r>
        <w:t xml:space="preserve">not </w:t>
      </w:r>
      <w:r w:rsidRPr="00E82749">
        <w:t>recommend ultrasound for ankle trauma</w:t>
      </w:r>
      <w:r>
        <w:t>.</w:t>
      </w:r>
    </w:p>
    <w:p w14:paraId="6D1CC150" w14:textId="77777777" w:rsidR="00360531" w:rsidRPr="001F1FFD" w:rsidRDefault="00360531" w:rsidP="00360531">
      <w:pPr>
        <w:pStyle w:val="02dash"/>
        <w:numPr>
          <w:ilvl w:val="1"/>
          <w:numId w:val="17"/>
        </w:numPr>
        <w:spacing w:before="0" w:line="240" w:lineRule="auto"/>
        <w:ind w:left="641" w:right="0"/>
      </w:pPr>
      <w:r>
        <w:t>Thirty-five per cent</w:t>
      </w:r>
      <w:r w:rsidRPr="00E82749">
        <w:t xml:space="preserve"> of ankle ultrasound</w:t>
      </w:r>
      <w:r>
        <w:t>s occur</w:t>
      </w:r>
      <w:r w:rsidRPr="00E82749">
        <w:t xml:space="preserve"> on th</w:t>
      </w:r>
      <w:r>
        <w:t>e same day as an ankle X-ray.</w:t>
      </w:r>
      <w:r w:rsidRPr="00E82749">
        <w:t xml:space="preserve"> </w:t>
      </w:r>
      <w:r>
        <w:t>T</w:t>
      </w:r>
      <w:r w:rsidRPr="00E82749">
        <w:t xml:space="preserve">he Committee does not believe that there is a clinical rationale for requesting </w:t>
      </w:r>
      <w:r>
        <w:t>an X</w:t>
      </w:r>
      <w:r w:rsidRPr="00E82749">
        <w:t>-ray and</w:t>
      </w:r>
      <w:r>
        <w:t xml:space="preserve"> an</w:t>
      </w:r>
      <w:r w:rsidRPr="00E82749">
        <w:t xml:space="preserve"> ultrasound of the ankle at the same time</w:t>
      </w:r>
      <w:r>
        <w:t xml:space="preserve">. </w:t>
      </w:r>
      <w:r w:rsidRPr="001F1FFD">
        <w:t xml:space="preserve">There is a concern that this reflects clinical uncertainty and </w:t>
      </w:r>
      <w:r>
        <w:t xml:space="preserve">a </w:t>
      </w:r>
      <w:r w:rsidRPr="001F1FFD">
        <w:t>lack of confidence, and that imaging is not being used as a specific and targeted diagnostic test to look for a specific result that can inform management</w:t>
      </w:r>
      <w:r>
        <w:t>.</w:t>
      </w:r>
    </w:p>
    <w:p w14:paraId="03311B3E" w14:textId="77777777" w:rsidR="00360531" w:rsidRPr="00E82749" w:rsidRDefault="00360531" w:rsidP="00360531">
      <w:pPr>
        <w:pStyle w:val="02dash"/>
        <w:numPr>
          <w:ilvl w:val="1"/>
          <w:numId w:val="17"/>
        </w:numPr>
        <w:spacing w:before="0" w:line="240" w:lineRule="auto"/>
        <w:ind w:left="641" w:right="0"/>
      </w:pPr>
      <w:r w:rsidRPr="00E82749">
        <w:t xml:space="preserve">It is the independent clinical view of this Committee that </w:t>
      </w:r>
      <w:r>
        <w:t>the results</w:t>
      </w:r>
      <w:r w:rsidRPr="00E82749">
        <w:t xml:space="preserve"> of ankle/hind foot ultrasound would not change </w:t>
      </w:r>
      <w:r>
        <w:t xml:space="preserve">the </w:t>
      </w:r>
      <w:r w:rsidRPr="00E82749">
        <w:t xml:space="preserve">treatment pathway </w:t>
      </w:r>
      <w:r>
        <w:t>in instances of suspected ligament damage.</w:t>
      </w:r>
    </w:p>
    <w:p w14:paraId="0DEED2B2" w14:textId="77777777" w:rsidR="00360531" w:rsidRPr="00732CA7" w:rsidRDefault="00360531" w:rsidP="00732CA7">
      <w:pPr>
        <w:pStyle w:val="NormalBulleted"/>
      </w:pPr>
      <w:r w:rsidRPr="00732CA7">
        <w:t>The Committee agreed that ankle ultrasound is only clinically required when investigating Achilles tendon injury and chronic tendon pathologies.</w:t>
      </w:r>
    </w:p>
    <w:p w14:paraId="1E15C0D9" w14:textId="77777777" w:rsidR="00360531" w:rsidRPr="00732CA7" w:rsidRDefault="00360531" w:rsidP="00732CA7">
      <w:pPr>
        <w:pStyle w:val="NormalBulleted"/>
      </w:pPr>
      <w:r w:rsidRPr="00732CA7">
        <w:t xml:space="preserve">The Committee agreed that changing the item descriptor, creating an explanatory note and, if required, introducing mandatory CDS were appropriate actions for reducing overuse of ankle ultrasound. It noted that ultrasound of the ankle for reasons other than suspected tendon or tendon sheath damage does not change treatment pathways or injury management. </w:t>
      </w:r>
    </w:p>
    <w:p w14:paraId="43940891" w14:textId="77777777" w:rsidR="00360531" w:rsidRDefault="00360531" w:rsidP="00360531">
      <w:pPr>
        <w:rPr>
          <w:rFonts w:eastAsiaTheme="minorHAnsi" w:cs="Arial"/>
          <w:b/>
          <w:bCs/>
          <w:iCs/>
          <w:color w:val="01653F"/>
          <w:sz w:val="28"/>
          <w:szCs w:val="22"/>
          <w:lang w:val="en-GB" w:eastAsia="en-US"/>
        </w:rPr>
      </w:pPr>
    </w:p>
    <w:p w14:paraId="2119844F" w14:textId="77777777" w:rsidR="00360531" w:rsidRPr="00E82749" w:rsidRDefault="00360531" w:rsidP="00990089">
      <w:pPr>
        <w:pStyle w:val="Heading2"/>
        <w:keepLines/>
        <w:spacing w:before="280" w:line="240" w:lineRule="auto"/>
        <w:ind w:left="284" w:hanging="284"/>
        <w:rPr>
          <w:lang w:val="en-GB"/>
        </w:rPr>
      </w:pPr>
      <w:bookmarkStart w:id="246" w:name="_Toc498516973"/>
      <w:bookmarkStart w:id="247" w:name="_Toc522396659"/>
      <w:bookmarkStart w:id="248" w:name="_Toc525816099"/>
      <w:r w:rsidRPr="00E82749">
        <w:rPr>
          <w:lang w:val="en-GB"/>
        </w:rPr>
        <w:lastRenderedPageBreak/>
        <w:t xml:space="preserve">Shoulder </w:t>
      </w:r>
      <w:r>
        <w:rPr>
          <w:lang w:val="en-GB"/>
        </w:rPr>
        <w:t>u</w:t>
      </w:r>
      <w:r w:rsidRPr="00E82749">
        <w:rPr>
          <w:lang w:val="en-GB"/>
        </w:rPr>
        <w:t>ltrasound</w:t>
      </w:r>
      <w:bookmarkEnd w:id="246"/>
      <w:bookmarkEnd w:id="247"/>
      <w:bookmarkEnd w:id="248"/>
    </w:p>
    <w:p w14:paraId="6AF5982C" w14:textId="77777777" w:rsidR="00360531" w:rsidRPr="00E82749" w:rsidRDefault="00360531" w:rsidP="00732CA7">
      <w:pPr>
        <w:pStyle w:val="Heading3Numbered0"/>
      </w:pPr>
      <w:bookmarkStart w:id="249" w:name="_Toc498516974"/>
      <w:bookmarkStart w:id="250" w:name="_Toc522396660"/>
      <w:bookmarkStart w:id="251" w:name="_Toc525816100"/>
      <w:r w:rsidRPr="00E82749">
        <w:t>Items 55808, 55809, 55810 and 55811</w:t>
      </w:r>
      <w:bookmarkEnd w:id="249"/>
      <w:bookmarkEnd w:id="250"/>
      <w:bookmarkEnd w:id="251"/>
    </w:p>
    <w:p w14:paraId="6ADBC924" w14:textId="77777777" w:rsidR="00360531" w:rsidRPr="00732CA7" w:rsidRDefault="00EB0974" w:rsidP="00EB0974">
      <w:pPr>
        <w:pStyle w:val="Caption"/>
      </w:pPr>
      <w:bookmarkStart w:id="252" w:name="_Ref495672893"/>
      <w:bookmarkStart w:id="253" w:name="_Ref495672900"/>
      <w:bookmarkStart w:id="254" w:name="_Ref495672905"/>
      <w:bookmarkStart w:id="255" w:name="_Ref495672909"/>
      <w:bookmarkStart w:id="256" w:name="_Ref495672912"/>
      <w:bookmarkStart w:id="257" w:name="_Toc498084450"/>
      <w:bookmarkStart w:id="258" w:name="_Toc525816966"/>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10</w:t>
      </w:r>
      <w:r w:rsidR="00AF6A7F">
        <w:rPr>
          <w:noProof/>
        </w:rPr>
        <w:fldChar w:fldCharType="end"/>
      </w:r>
      <w:r w:rsidR="00360531" w:rsidRPr="00732CA7">
        <w:t xml:space="preserve">: </w:t>
      </w:r>
      <w:r w:rsidR="000028AB">
        <w:rPr>
          <w:lang w:val="en-GB"/>
        </w:rPr>
        <w:t>Services and benefits data for items</w:t>
      </w:r>
      <w:r w:rsidR="000028AB" w:rsidRPr="00732CA7">
        <w:t xml:space="preserve"> </w:t>
      </w:r>
      <w:r w:rsidR="00360531" w:rsidRPr="00732CA7">
        <w:t>55808, 55809, 55810 and 55811</w:t>
      </w:r>
      <w:bookmarkEnd w:id="252"/>
      <w:bookmarkEnd w:id="253"/>
      <w:bookmarkEnd w:id="254"/>
      <w:bookmarkEnd w:id="255"/>
      <w:bookmarkEnd w:id="256"/>
      <w:bookmarkEnd w:id="257"/>
      <w:bookmarkEnd w:id="258"/>
    </w:p>
    <w:tbl>
      <w:tblPr>
        <w:tblStyle w:val="TableGrid1"/>
        <w:tblW w:w="5119"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0: Services and benefits data for items 55808, 55809, 55810 and 55811"/>
        <w:tblDescription w:val="Table 10 shows the standard Medicare data for shoulder ultrasound items. For each item, the table shows the Schedule fee, the total number of services and total benefits paid for the financial year 2015-16, as well the average annual growth in services over five years."/>
      </w:tblPr>
      <w:tblGrid>
        <w:gridCol w:w="652"/>
        <w:gridCol w:w="3567"/>
        <w:gridCol w:w="892"/>
        <w:gridCol w:w="1040"/>
        <w:gridCol w:w="1120"/>
        <w:gridCol w:w="1229"/>
      </w:tblGrid>
      <w:tr w:rsidR="00360531" w:rsidRPr="00E82749" w14:paraId="6EF6555F" w14:textId="77777777" w:rsidTr="004F5C57">
        <w:trPr>
          <w:tblHeader/>
        </w:trPr>
        <w:tc>
          <w:tcPr>
            <w:tcW w:w="652" w:type="dxa"/>
            <w:shd w:val="clear" w:color="auto" w:fill="F2F2F2"/>
            <w:vAlign w:val="bottom"/>
          </w:tcPr>
          <w:p w14:paraId="0CC05F58"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Item</w:t>
            </w:r>
          </w:p>
        </w:tc>
        <w:tc>
          <w:tcPr>
            <w:tcW w:w="3567" w:type="dxa"/>
            <w:shd w:val="clear" w:color="auto" w:fill="F2F2F2"/>
            <w:vAlign w:val="bottom"/>
          </w:tcPr>
          <w:p w14:paraId="4B1670C9"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Descriptor</w:t>
            </w:r>
          </w:p>
        </w:tc>
        <w:tc>
          <w:tcPr>
            <w:tcW w:w="892" w:type="dxa"/>
            <w:shd w:val="clear" w:color="auto" w:fill="F2F2F2"/>
            <w:vAlign w:val="bottom"/>
          </w:tcPr>
          <w:p w14:paraId="36F1A33D"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Schedule fee</w:t>
            </w:r>
          </w:p>
        </w:tc>
        <w:tc>
          <w:tcPr>
            <w:tcW w:w="1040" w:type="dxa"/>
            <w:shd w:val="clear" w:color="auto" w:fill="F2F2F2"/>
            <w:vAlign w:val="bottom"/>
          </w:tcPr>
          <w:p w14:paraId="6F103B4A"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FY2015/16</w:t>
            </w:r>
          </w:p>
        </w:tc>
        <w:tc>
          <w:tcPr>
            <w:tcW w:w="1120" w:type="dxa"/>
            <w:shd w:val="clear" w:color="auto" w:fill="F2F2F2"/>
            <w:vAlign w:val="bottom"/>
          </w:tcPr>
          <w:p w14:paraId="5CBF87CF"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Benefits FY2015/16</w:t>
            </w:r>
          </w:p>
        </w:tc>
        <w:tc>
          <w:tcPr>
            <w:tcW w:w="1229" w:type="dxa"/>
            <w:shd w:val="clear" w:color="auto" w:fill="F2F2F2"/>
            <w:vAlign w:val="bottom"/>
          </w:tcPr>
          <w:p w14:paraId="3AC9E8D7"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5-year annual avg. growth</w:t>
            </w:r>
          </w:p>
        </w:tc>
      </w:tr>
      <w:tr w:rsidR="00360531" w:rsidRPr="00E82749" w14:paraId="6A37F7F2" w14:textId="77777777" w:rsidTr="004F5C57">
        <w:tc>
          <w:tcPr>
            <w:tcW w:w="652" w:type="dxa"/>
            <w:vAlign w:val="center"/>
          </w:tcPr>
          <w:p w14:paraId="7B361279" w14:textId="77777777" w:rsidR="00360531" w:rsidRPr="005E54BD" w:rsidRDefault="00360531" w:rsidP="005E54BD">
            <w:pPr>
              <w:spacing w:before="0" w:after="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55808</w:t>
            </w:r>
          </w:p>
        </w:tc>
        <w:tc>
          <w:tcPr>
            <w:tcW w:w="3567" w:type="dxa"/>
          </w:tcPr>
          <w:p w14:paraId="646F9AA0" w14:textId="77777777" w:rsidR="00360531" w:rsidRPr="005E54BD" w:rsidRDefault="00360531" w:rsidP="005E54BD">
            <w:pPr>
              <w:spacing w:before="0" w:after="0"/>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 xml:space="preserve">Ultrasound scan of shoulder or upper arm (1 or both sides), where: (a) the service is not associated with a service to which an item in Subgroups 2 or 3 of this Group applies; and (b) </w:t>
            </w:r>
            <w:r w:rsidRPr="005E54BD">
              <w:rPr>
                <w:rFonts w:ascii="Arial" w:eastAsiaTheme="minorHAnsi" w:hAnsi="Arial" w:cs="Arial"/>
                <w:b/>
                <w:bCs/>
                <w:sz w:val="18"/>
                <w:szCs w:val="18"/>
                <w:lang w:val="en-GB" w:eastAsia="en-US"/>
              </w:rPr>
              <w:t>the referring practitioner</w:t>
            </w:r>
            <w:r w:rsidRPr="005E54BD">
              <w:rPr>
                <w:rFonts w:ascii="Arial" w:eastAsiaTheme="minorHAnsi" w:hAnsi="Arial" w:cs="Arial"/>
                <w:bCs/>
                <w:sz w:val="18"/>
                <w:szCs w:val="18"/>
                <w:lang w:val="en-GB" w:eastAsia="en-US"/>
              </w:rPr>
              <w:t xml:space="preserve"> is not a member of a group of practitioners of which the providing practitioner is a member, and where the service is provided, for the assessment of one or more of the following conditions or suspected conditions:</w:t>
            </w:r>
          </w:p>
          <w:p w14:paraId="288BD0E8" w14:textId="77777777" w:rsidR="00360531" w:rsidRPr="005E54BD" w:rsidRDefault="00360531" w:rsidP="005E54BD">
            <w:pPr>
              <w:numPr>
                <w:ilvl w:val="0"/>
                <w:numId w:val="97"/>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evaluation of injury to tendon, muscle or muscle/tendon junction; or</w:t>
            </w:r>
          </w:p>
          <w:p w14:paraId="16DA1386" w14:textId="77777777" w:rsidR="00360531" w:rsidRPr="005E54BD" w:rsidRDefault="00360531" w:rsidP="005E54BD">
            <w:pPr>
              <w:numPr>
                <w:ilvl w:val="0"/>
                <w:numId w:val="97"/>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rotator cuff tear/calcification/tendinosis (biceps, subscapular, supraspinatus, infraspinatus); or biceps subluxation; or</w:t>
            </w:r>
          </w:p>
          <w:p w14:paraId="472BBAD8" w14:textId="77777777" w:rsidR="00360531" w:rsidRPr="005E54BD" w:rsidRDefault="00360531" w:rsidP="005E54BD">
            <w:pPr>
              <w:numPr>
                <w:ilvl w:val="0"/>
                <w:numId w:val="97"/>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capsulitis and bursitis; or</w:t>
            </w:r>
          </w:p>
          <w:p w14:paraId="73ABCF07" w14:textId="77777777" w:rsidR="00360531" w:rsidRPr="005E54BD" w:rsidRDefault="00360531" w:rsidP="005E54BD">
            <w:pPr>
              <w:numPr>
                <w:ilvl w:val="0"/>
                <w:numId w:val="97"/>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evaluation of mass including ganglion; or</w:t>
            </w:r>
            <w:r w:rsidRPr="005E54BD">
              <w:rPr>
                <w:rFonts w:ascii="Arial" w:eastAsiaTheme="minorHAnsi" w:hAnsi="Arial" w:cs="Arial"/>
                <w:bCs/>
                <w:sz w:val="18"/>
                <w:szCs w:val="18"/>
                <w:lang w:val="en-GB" w:eastAsia="en-US"/>
              </w:rPr>
              <w:tab/>
            </w:r>
          </w:p>
          <w:p w14:paraId="2132223A" w14:textId="77777777" w:rsidR="00360531" w:rsidRPr="005E54BD" w:rsidRDefault="00360531" w:rsidP="005E54BD">
            <w:pPr>
              <w:numPr>
                <w:ilvl w:val="0"/>
                <w:numId w:val="97"/>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occult fracture; or</w:t>
            </w:r>
          </w:p>
          <w:p w14:paraId="1B57C717" w14:textId="77777777" w:rsidR="00360531" w:rsidRPr="005E54BD" w:rsidRDefault="00360531" w:rsidP="005E54BD">
            <w:pPr>
              <w:numPr>
                <w:ilvl w:val="0"/>
                <w:numId w:val="97"/>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acromioclavicular joint pathology. (R)</w:t>
            </w:r>
          </w:p>
        </w:tc>
        <w:tc>
          <w:tcPr>
            <w:tcW w:w="892" w:type="dxa"/>
            <w:vAlign w:val="center"/>
          </w:tcPr>
          <w:p w14:paraId="117D83CB" w14:textId="77777777" w:rsidR="00360531" w:rsidRPr="005E54BD" w:rsidRDefault="00360531" w:rsidP="005E54BD">
            <w:pPr>
              <w:spacing w:before="20" w:after="20"/>
              <w:jc w:val="center"/>
              <w:rPr>
                <w:rFonts w:ascii="Arial" w:eastAsiaTheme="minorHAnsi" w:hAnsi="Arial" w:cs="Arial"/>
                <w:color w:val="FF0000"/>
                <w:sz w:val="18"/>
                <w:szCs w:val="18"/>
                <w:lang w:val="en-GB" w:eastAsia="en-US"/>
              </w:rPr>
            </w:pPr>
            <w:r w:rsidRPr="005E54BD">
              <w:rPr>
                <w:rFonts w:ascii="Arial" w:eastAsiaTheme="minorHAnsi" w:hAnsi="Arial" w:cs="Arial"/>
                <w:sz w:val="18"/>
                <w:szCs w:val="18"/>
                <w:lang w:val="en-GB" w:eastAsia="en-US"/>
              </w:rPr>
              <w:t>$109.10</w:t>
            </w:r>
          </w:p>
        </w:tc>
        <w:tc>
          <w:tcPr>
            <w:tcW w:w="1040" w:type="dxa"/>
            <w:vAlign w:val="center"/>
          </w:tcPr>
          <w:p w14:paraId="1735AC56"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474,118</w:t>
            </w:r>
          </w:p>
        </w:tc>
        <w:tc>
          <w:tcPr>
            <w:tcW w:w="1120" w:type="dxa"/>
            <w:vAlign w:val="center"/>
          </w:tcPr>
          <w:p w14:paraId="01210B74"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$48,109,822</w:t>
            </w:r>
          </w:p>
        </w:tc>
        <w:tc>
          <w:tcPr>
            <w:tcW w:w="1229" w:type="dxa"/>
            <w:vAlign w:val="center"/>
          </w:tcPr>
          <w:p w14:paraId="6BC11B0F"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7.70%</w:t>
            </w:r>
          </w:p>
        </w:tc>
      </w:tr>
      <w:tr w:rsidR="00360531" w:rsidRPr="00E82749" w14:paraId="22D373B7" w14:textId="77777777" w:rsidTr="004F5C57">
        <w:tc>
          <w:tcPr>
            <w:tcW w:w="652" w:type="dxa"/>
            <w:vAlign w:val="center"/>
          </w:tcPr>
          <w:p w14:paraId="00300112" w14:textId="77777777" w:rsidR="00360531" w:rsidRPr="005E54BD" w:rsidRDefault="00360531" w:rsidP="005E54BD">
            <w:pPr>
              <w:spacing w:before="0" w:after="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55809</w:t>
            </w:r>
          </w:p>
        </w:tc>
        <w:tc>
          <w:tcPr>
            <w:tcW w:w="3567" w:type="dxa"/>
          </w:tcPr>
          <w:p w14:paraId="4CA5B035" w14:textId="77777777" w:rsidR="00360531" w:rsidRPr="005E54BD" w:rsidRDefault="00360531" w:rsidP="005E54BD">
            <w:pPr>
              <w:spacing w:before="0" w:after="0"/>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Ultrasound scan of shoulder or upper arm (1 or both sides) (R) (NK)</w:t>
            </w:r>
          </w:p>
          <w:p w14:paraId="0B65C297" w14:textId="77777777" w:rsidR="00360531" w:rsidRPr="005E54BD" w:rsidRDefault="00360531" w:rsidP="005E54BD">
            <w:pPr>
              <w:spacing w:before="0" w:after="0"/>
              <w:rPr>
                <w:rFonts w:ascii="Arial" w:eastAsiaTheme="minorHAnsi" w:hAnsi="Arial" w:cs="Arial"/>
                <w:bCs/>
                <w:sz w:val="18"/>
                <w:szCs w:val="18"/>
                <w:lang w:val="en-GB" w:eastAsia="en-US"/>
              </w:rPr>
            </w:pPr>
            <w:r w:rsidRPr="005E54BD">
              <w:rPr>
                <w:rFonts w:ascii="Arial" w:eastAsiaTheme="minorHAnsi" w:hAnsi="Arial" w:cs="Arial"/>
                <w:bCs/>
                <w:i/>
                <w:iCs/>
                <w:sz w:val="18"/>
                <w:szCs w:val="18"/>
                <w:lang w:val="en-GB" w:eastAsia="en-US"/>
              </w:rPr>
              <w:t>Note: Benefits are only payable when referred based on the clinical indicators outlined in the item descriptions. Benefits are not payable when referred for non-specific shoulder pain alone</w:t>
            </w:r>
          </w:p>
        </w:tc>
        <w:tc>
          <w:tcPr>
            <w:tcW w:w="892" w:type="dxa"/>
            <w:vAlign w:val="center"/>
          </w:tcPr>
          <w:p w14:paraId="59E6DAD8" w14:textId="77777777" w:rsidR="00360531" w:rsidRPr="005E54BD" w:rsidRDefault="00360531" w:rsidP="005E54BD">
            <w:pPr>
              <w:spacing w:before="20" w:after="20"/>
              <w:jc w:val="center"/>
              <w:rPr>
                <w:rFonts w:ascii="Arial" w:eastAsiaTheme="minorHAnsi" w:hAnsi="Arial" w:cs="Arial"/>
                <w:color w:val="FF0000"/>
                <w:sz w:val="18"/>
                <w:szCs w:val="18"/>
                <w:lang w:val="en-GB" w:eastAsia="en-US"/>
              </w:rPr>
            </w:pPr>
            <w:r w:rsidRPr="005E54BD">
              <w:rPr>
                <w:rFonts w:ascii="Arial" w:eastAsiaTheme="minorHAnsi" w:hAnsi="Arial" w:cs="Arial"/>
                <w:sz w:val="18"/>
                <w:szCs w:val="18"/>
                <w:lang w:val="en-GB" w:eastAsia="en-US"/>
              </w:rPr>
              <w:t>$54.55</w:t>
            </w:r>
          </w:p>
        </w:tc>
        <w:tc>
          <w:tcPr>
            <w:tcW w:w="1040" w:type="dxa"/>
            <w:vAlign w:val="center"/>
          </w:tcPr>
          <w:p w14:paraId="08666EF5"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9</w:t>
            </w:r>
          </w:p>
        </w:tc>
        <w:tc>
          <w:tcPr>
            <w:tcW w:w="1120" w:type="dxa"/>
            <w:vAlign w:val="center"/>
          </w:tcPr>
          <w:p w14:paraId="5CBB625A"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$251</w:t>
            </w:r>
          </w:p>
        </w:tc>
        <w:tc>
          <w:tcPr>
            <w:tcW w:w="1229" w:type="dxa"/>
            <w:vAlign w:val="center"/>
          </w:tcPr>
          <w:p w14:paraId="1BB8FD20"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N/A</w:t>
            </w:r>
          </w:p>
        </w:tc>
      </w:tr>
      <w:tr w:rsidR="00360531" w:rsidRPr="00E82749" w14:paraId="2FD0B8DB" w14:textId="77777777" w:rsidTr="004F5C57">
        <w:tc>
          <w:tcPr>
            <w:tcW w:w="652" w:type="dxa"/>
            <w:vAlign w:val="center"/>
          </w:tcPr>
          <w:p w14:paraId="250B0B13" w14:textId="77777777" w:rsidR="00360531" w:rsidRPr="005E54BD" w:rsidRDefault="00360531" w:rsidP="005E54BD">
            <w:pPr>
              <w:spacing w:before="0" w:after="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55810</w:t>
            </w:r>
          </w:p>
        </w:tc>
        <w:tc>
          <w:tcPr>
            <w:tcW w:w="3567" w:type="dxa"/>
          </w:tcPr>
          <w:p w14:paraId="33B49857" w14:textId="77777777" w:rsidR="00360531" w:rsidRPr="005E54BD" w:rsidRDefault="00360531" w:rsidP="005E54BD">
            <w:pPr>
              <w:spacing w:before="0" w:after="0"/>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 xml:space="preserve">SHOULDER OR UPPER ARM, 1 or both sides, ultrasound scan of, where: (a) the service is not associated with a service to which an item in Subgroups 2 or 3 of this Group applies; and (b) </w:t>
            </w:r>
            <w:r w:rsidRPr="005E54BD">
              <w:rPr>
                <w:rFonts w:ascii="Arial" w:eastAsiaTheme="minorHAnsi" w:hAnsi="Arial" w:cs="Arial"/>
                <w:b/>
                <w:bCs/>
                <w:sz w:val="18"/>
                <w:szCs w:val="18"/>
                <w:lang w:val="en-GB" w:eastAsia="en-US"/>
              </w:rPr>
              <w:t>the patient is not referred by a medical practitioner</w:t>
            </w:r>
            <w:r w:rsidRPr="005E54BD">
              <w:rPr>
                <w:rFonts w:ascii="Arial" w:eastAsiaTheme="minorHAnsi" w:hAnsi="Arial" w:cs="Arial"/>
                <w:bCs/>
                <w:sz w:val="18"/>
                <w:szCs w:val="18"/>
                <w:lang w:val="en-GB" w:eastAsia="en-US"/>
              </w:rPr>
              <w:t>, and where the service is provided, for the assessment of one or more of the following conditions or suspected conditions:</w:t>
            </w:r>
          </w:p>
          <w:p w14:paraId="3245238A" w14:textId="77777777" w:rsidR="00360531" w:rsidRPr="005E54BD" w:rsidRDefault="00360531" w:rsidP="005E54BD">
            <w:pPr>
              <w:numPr>
                <w:ilvl w:val="0"/>
                <w:numId w:val="98"/>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evaluation of injury to tendon, muscle or muscle/tendon junction; or</w:t>
            </w:r>
          </w:p>
          <w:p w14:paraId="2171281F" w14:textId="77777777" w:rsidR="00360531" w:rsidRPr="005E54BD" w:rsidRDefault="00360531" w:rsidP="005E54BD">
            <w:pPr>
              <w:numPr>
                <w:ilvl w:val="0"/>
                <w:numId w:val="98"/>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rotator cuff tear/calcification/tendinosis (biceps, subscapular, supraspinatus, infraspinatus); or biceps subluxation; or</w:t>
            </w:r>
          </w:p>
          <w:p w14:paraId="0D1CEF94" w14:textId="77777777" w:rsidR="00360531" w:rsidRPr="005E54BD" w:rsidRDefault="00360531" w:rsidP="005E54BD">
            <w:pPr>
              <w:numPr>
                <w:ilvl w:val="0"/>
                <w:numId w:val="98"/>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capsulitis and bursitis; or</w:t>
            </w:r>
          </w:p>
          <w:p w14:paraId="2A1FAABA" w14:textId="77777777" w:rsidR="00360531" w:rsidRPr="005E54BD" w:rsidRDefault="00360531" w:rsidP="005E54BD">
            <w:pPr>
              <w:numPr>
                <w:ilvl w:val="0"/>
                <w:numId w:val="98"/>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lastRenderedPageBreak/>
              <w:t>evaluation of mass including ganglion; or</w:t>
            </w:r>
            <w:r w:rsidRPr="005E54BD">
              <w:rPr>
                <w:rFonts w:ascii="Arial" w:eastAsiaTheme="minorHAnsi" w:hAnsi="Arial" w:cs="Arial"/>
                <w:bCs/>
                <w:sz w:val="18"/>
                <w:szCs w:val="18"/>
                <w:lang w:val="en-GB" w:eastAsia="en-US"/>
              </w:rPr>
              <w:tab/>
            </w:r>
          </w:p>
          <w:p w14:paraId="1BE5709F" w14:textId="77777777" w:rsidR="00360531" w:rsidRPr="005E54BD" w:rsidRDefault="00360531" w:rsidP="005E54BD">
            <w:pPr>
              <w:numPr>
                <w:ilvl w:val="0"/>
                <w:numId w:val="98"/>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occult fracture; or</w:t>
            </w:r>
          </w:p>
          <w:p w14:paraId="4C1E4F70" w14:textId="77777777" w:rsidR="00360531" w:rsidRPr="005E54BD" w:rsidRDefault="00360531" w:rsidP="005E54BD">
            <w:pPr>
              <w:numPr>
                <w:ilvl w:val="0"/>
                <w:numId w:val="98"/>
              </w:numPr>
              <w:tabs>
                <w:tab w:val="num" w:pos="360"/>
              </w:tabs>
              <w:spacing w:before="0" w:after="0" w:line="240" w:lineRule="auto"/>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acromioclavicular joint pathology. (NR)</w:t>
            </w:r>
          </w:p>
          <w:p w14:paraId="41DA670F" w14:textId="77777777" w:rsidR="00360531" w:rsidRPr="005E54BD" w:rsidRDefault="00360531" w:rsidP="005E54BD">
            <w:pPr>
              <w:spacing w:before="0" w:after="0"/>
              <w:rPr>
                <w:rFonts w:ascii="Arial" w:eastAsiaTheme="minorHAnsi" w:hAnsi="Arial" w:cs="Arial"/>
                <w:bCs/>
                <w:sz w:val="18"/>
                <w:szCs w:val="18"/>
                <w:lang w:val="en-GB" w:eastAsia="en-US"/>
              </w:rPr>
            </w:pPr>
          </w:p>
        </w:tc>
        <w:tc>
          <w:tcPr>
            <w:tcW w:w="892" w:type="dxa"/>
            <w:vAlign w:val="center"/>
          </w:tcPr>
          <w:p w14:paraId="72B08F73" w14:textId="77777777" w:rsidR="00360531" w:rsidRPr="005E54BD" w:rsidRDefault="00360531" w:rsidP="005E54BD">
            <w:pPr>
              <w:spacing w:before="20" w:after="20"/>
              <w:jc w:val="center"/>
              <w:rPr>
                <w:rFonts w:ascii="Arial" w:eastAsiaTheme="minorHAnsi" w:hAnsi="Arial" w:cs="Arial"/>
                <w:color w:val="FF0000"/>
                <w:sz w:val="18"/>
                <w:szCs w:val="18"/>
                <w:lang w:val="en-GB" w:eastAsia="en-US"/>
              </w:rPr>
            </w:pPr>
            <w:r w:rsidRPr="005E54BD">
              <w:rPr>
                <w:rFonts w:ascii="Arial" w:eastAsiaTheme="minorHAnsi" w:hAnsi="Arial" w:cs="Arial"/>
                <w:sz w:val="18"/>
                <w:szCs w:val="18"/>
                <w:lang w:val="en-GB" w:eastAsia="en-US"/>
              </w:rPr>
              <w:lastRenderedPageBreak/>
              <w:t>$37.85</w:t>
            </w:r>
          </w:p>
        </w:tc>
        <w:tc>
          <w:tcPr>
            <w:tcW w:w="1040" w:type="dxa"/>
            <w:vAlign w:val="center"/>
          </w:tcPr>
          <w:p w14:paraId="7A7C2948"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4,648</w:t>
            </w:r>
          </w:p>
        </w:tc>
        <w:tc>
          <w:tcPr>
            <w:tcW w:w="1120" w:type="dxa"/>
            <w:vAlign w:val="center"/>
          </w:tcPr>
          <w:p w14:paraId="0848AEC3"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$160,905</w:t>
            </w:r>
          </w:p>
        </w:tc>
        <w:tc>
          <w:tcPr>
            <w:tcW w:w="1229" w:type="dxa"/>
            <w:vAlign w:val="center"/>
          </w:tcPr>
          <w:p w14:paraId="67652F33"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15.05%</w:t>
            </w:r>
          </w:p>
        </w:tc>
      </w:tr>
      <w:tr w:rsidR="00360531" w:rsidRPr="00E82749" w14:paraId="65BB8669" w14:textId="77777777" w:rsidTr="004F5C57">
        <w:tc>
          <w:tcPr>
            <w:tcW w:w="652" w:type="dxa"/>
            <w:vAlign w:val="center"/>
          </w:tcPr>
          <w:p w14:paraId="755070AA" w14:textId="77777777" w:rsidR="00360531" w:rsidRPr="005E54BD" w:rsidRDefault="00360531" w:rsidP="005E54BD">
            <w:pPr>
              <w:spacing w:before="0" w:after="0"/>
              <w:jc w:val="center"/>
              <w:rPr>
                <w:rFonts w:ascii="Arial" w:eastAsiaTheme="minorHAnsi" w:hAnsi="Arial" w:cs="Arial"/>
                <w:color w:val="FF0000"/>
                <w:sz w:val="18"/>
                <w:szCs w:val="18"/>
                <w:lang w:val="en-GB" w:eastAsia="en-US"/>
              </w:rPr>
            </w:pPr>
            <w:r w:rsidRPr="005E54BD">
              <w:rPr>
                <w:rFonts w:ascii="Arial" w:eastAsiaTheme="minorHAnsi" w:hAnsi="Arial" w:cs="Arial"/>
                <w:bCs/>
                <w:sz w:val="18"/>
                <w:szCs w:val="18"/>
                <w:lang w:val="en-GB" w:eastAsia="en-US"/>
              </w:rPr>
              <w:t>55811</w:t>
            </w:r>
          </w:p>
        </w:tc>
        <w:tc>
          <w:tcPr>
            <w:tcW w:w="3567" w:type="dxa"/>
          </w:tcPr>
          <w:p w14:paraId="29FF120F" w14:textId="77777777" w:rsidR="00360531" w:rsidRPr="005E54BD" w:rsidRDefault="00360531" w:rsidP="005E54BD">
            <w:pPr>
              <w:spacing w:before="0" w:after="0"/>
              <w:rPr>
                <w:rFonts w:ascii="Arial" w:eastAsiaTheme="minorHAnsi" w:hAnsi="Arial" w:cs="Arial"/>
                <w:bCs/>
                <w:sz w:val="18"/>
                <w:szCs w:val="18"/>
                <w:lang w:val="en-GB" w:eastAsia="en-US"/>
              </w:rPr>
            </w:pPr>
            <w:r w:rsidRPr="005E54BD">
              <w:rPr>
                <w:rFonts w:ascii="Arial" w:eastAsiaTheme="minorHAnsi" w:hAnsi="Arial" w:cs="Arial"/>
                <w:bCs/>
                <w:sz w:val="18"/>
                <w:szCs w:val="18"/>
                <w:lang w:val="en-GB" w:eastAsia="en-US"/>
              </w:rPr>
              <w:t>Ultrasound scan of shoulder or upper arm (1 or both sides) (</w:t>
            </w:r>
            <w:r w:rsidRPr="005E54BD">
              <w:rPr>
                <w:rFonts w:ascii="Arial" w:eastAsiaTheme="minorHAnsi" w:hAnsi="Arial" w:cs="Arial"/>
                <w:b/>
                <w:bCs/>
                <w:sz w:val="18"/>
                <w:szCs w:val="18"/>
                <w:lang w:val="en-GB" w:eastAsia="en-US"/>
              </w:rPr>
              <w:t>NR</w:t>
            </w:r>
            <w:r w:rsidRPr="005E54BD">
              <w:rPr>
                <w:rFonts w:ascii="Arial" w:eastAsiaTheme="minorHAnsi" w:hAnsi="Arial" w:cs="Arial"/>
                <w:bCs/>
                <w:sz w:val="18"/>
                <w:szCs w:val="18"/>
                <w:lang w:val="en-GB" w:eastAsia="en-US"/>
              </w:rPr>
              <w:t>) (NK)</w:t>
            </w:r>
          </w:p>
          <w:p w14:paraId="39649D4B" w14:textId="77777777" w:rsidR="00360531" w:rsidRPr="005E54BD" w:rsidRDefault="00360531" w:rsidP="005E54BD">
            <w:pPr>
              <w:spacing w:before="0" w:after="0"/>
              <w:rPr>
                <w:rFonts w:ascii="Arial" w:eastAsiaTheme="minorHAnsi" w:hAnsi="Arial" w:cs="Arial"/>
                <w:bCs/>
                <w:sz w:val="18"/>
                <w:szCs w:val="18"/>
                <w:lang w:val="en-GB" w:eastAsia="en-US"/>
              </w:rPr>
            </w:pPr>
            <w:r w:rsidRPr="005E54BD">
              <w:rPr>
                <w:rFonts w:ascii="Arial" w:eastAsiaTheme="minorHAnsi" w:hAnsi="Arial" w:cs="Arial"/>
                <w:bCs/>
                <w:i/>
                <w:iCs/>
                <w:sz w:val="18"/>
                <w:szCs w:val="18"/>
                <w:lang w:val="en-GB" w:eastAsia="en-US"/>
              </w:rPr>
              <w:t>Note: Benefits are only payable when referred based on the clinical indicators outlined in the item descriptions. Benefits are not payable when referred for non-specific shoulder pain alone.</w:t>
            </w:r>
          </w:p>
          <w:p w14:paraId="63F329E6" w14:textId="77777777" w:rsidR="00360531" w:rsidRPr="005E54BD" w:rsidRDefault="00360531" w:rsidP="005E54BD">
            <w:pPr>
              <w:spacing w:before="0" w:after="0"/>
              <w:rPr>
                <w:rFonts w:ascii="Arial" w:eastAsiaTheme="minorHAnsi" w:hAnsi="Arial" w:cs="Arial"/>
                <w:bCs/>
                <w:color w:val="FF0000"/>
                <w:sz w:val="18"/>
                <w:szCs w:val="18"/>
                <w:lang w:val="en-GB" w:eastAsia="en-US"/>
              </w:rPr>
            </w:pPr>
          </w:p>
        </w:tc>
        <w:tc>
          <w:tcPr>
            <w:tcW w:w="892" w:type="dxa"/>
            <w:vAlign w:val="center"/>
          </w:tcPr>
          <w:p w14:paraId="029B4CBA"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$18.95</w:t>
            </w:r>
          </w:p>
        </w:tc>
        <w:tc>
          <w:tcPr>
            <w:tcW w:w="1040" w:type="dxa"/>
            <w:vAlign w:val="center"/>
          </w:tcPr>
          <w:p w14:paraId="1ADB2BD4"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46</w:t>
            </w:r>
          </w:p>
        </w:tc>
        <w:tc>
          <w:tcPr>
            <w:tcW w:w="1120" w:type="dxa"/>
            <w:vAlign w:val="center"/>
          </w:tcPr>
          <w:p w14:paraId="652D1698"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$820</w:t>
            </w:r>
          </w:p>
        </w:tc>
        <w:tc>
          <w:tcPr>
            <w:tcW w:w="1229" w:type="dxa"/>
            <w:vAlign w:val="center"/>
          </w:tcPr>
          <w:p w14:paraId="0DC8A701" w14:textId="77777777" w:rsidR="00360531" w:rsidRPr="005E54BD" w:rsidRDefault="00360531" w:rsidP="005E54BD">
            <w:pPr>
              <w:spacing w:before="20" w:after="20"/>
              <w:jc w:val="center"/>
              <w:rPr>
                <w:rFonts w:ascii="Arial" w:eastAsiaTheme="minorHAnsi" w:hAnsi="Arial" w:cs="Arial"/>
                <w:sz w:val="18"/>
                <w:szCs w:val="18"/>
                <w:lang w:val="en-GB" w:eastAsia="en-US"/>
              </w:rPr>
            </w:pPr>
            <w:r w:rsidRPr="005E54BD">
              <w:rPr>
                <w:rFonts w:ascii="Arial" w:eastAsiaTheme="minorHAnsi" w:hAnsi="Arial" w:cs="Arial"/>
                <w:sz w:val="18"/>
                <w:szCs w:val="18"/>
                <w:lang w:val="en-GB" w:eastAsia="en-US"/>
              </w:rPr>
              <w:t>N/A</w:t>
            </w:r>
          </w:p>
        </w:tc>
      </w:tr>
    </w:tbl>
    <w:p w14:paraId="66205B0F" w14:textId="77777777" w:rsidR="00360531" w:rsidRPr="00E82749" w:rsidRDefault="00360531" w:rsidP="00360531">
      <w:pPr>
        <w:spacing w:before="200"/>
        <w:rPr>
          <w:color w:val="FF0000"/>
          <w:lang w:val="en-GB"/>
        </w:rPr>
      </w:pPr>
    </w:p>
    <w:p w14:paraId="02524464" w14:textId="77777777" w:rsidR="00360531" w:rsidRDefault="00360531" w:rsidP="00360531">
      <w:pPr>
        <w:pStyle w:val="Item"/>
        <w:rPr>
          <w:rFonts w:ascii="Calibri" w:hAnsi="Calibri" w:cs="Calibri"/>
          <w:lang w:val="en-GB"/>
        </w:rPr>
      </w:pPr>
      <w:r>
        <w:rPr>
          <w:rFonts w:ascii="Calibri" w:hAnsi="Calibri" w:cs="Calibri"/>
          <w:lang w:val="en-GB"/>
        </w:rPr>
        <w:t>Recommendation</w:t>
      </w:r>
      <w:r w:rsidR="006E404A">
        <w:rPr>
          <w:rFonts w:ascii="Calibri" w:hAnsi="Calibri" w:cs="Calibri"/>
          <w:lang w:val="en-GB"/>
        </w:rPr>
        <w:t>s</w:t>
      </w:r>
      <w:r>
        <w:rPr>
          <w:rFonts w:ascii="Calibri" w:hAnsi="Calibri" w:cs="Calibri"/>
          <w:lang w:val="en-GB"/>
        </w:rPr>
        <w:t xml:space="preserve"> </w:t>
      </w:r>
    </w:p>
    <w:p w14:paraId="2916600F" w14:textId="77777777" w:rsidR="00360531" w:rsidRPr="00DC0E09" w:rsidRDefault="00360531" w:rsidP="002818C3">
      <w:pPr>
        <w:pStyle w:val="NormalBulleted"/>
        <w:numPr>
          <w:ilvl w:val="0"/>
          <w:numId w:val="112"/>
        </w:numPr>
        <w:rPr>
          <w:lang w:val="en-GB"/>
        </w:rPr>
      </w:pPr>
      <w:r>
        <w:rPr>
          <w:lang w:val="en-GB"/>
        </w:rPr>
        <w:t xml:space="preserve">Change the descriptor for items 55808, 55809, 55810 and 55811 to remove ‘occult fracture’ as a listed condition for assessment by shoulder ultrasound.  </w:t>
      </w:r>
    </w:p>
    <w:p w14:paraId="5A6FEDFA" w14:textId="77777777" w:rsidR="00360531" w:rsidRPr="00DC0E09" w:rsidRDefault="00360531" w:rsidP="002818C3">
      <w:pPr>
        <w:pStyle w:val="NormalBulleted"/>
        <w:numPr>
          <w:ilvl w:val="0"/>
          <w:numId w:val="112"/>
        </w:numPr>
        <w:rPr>
          <w:lang w:val="en-GB"/>
        </w:rPr>
      </w:pPr>
      <w:r>
        <w:rPr>
          <w:lang w:val="en-GB"/>
        </w:rPr>
        <w:t>Restrict the co-claiming of all shoulder ultrasound items (55808, 55809, 55810 and 55811) to prevent claiming in conjunction with any shoulder X-ray item (57700, 57702, 57703, 57705).</w:t>
      </w:r>
    </w:p>
    <w:p w14:paraId="13096817" w14:textId="77777777" w:rsidR="00360531" w:rsidRPr="00DC0E09" w:rsidRDefault="00360531" w:rsidP="002818C3">
      <w:pPr>
        <w:pStyle w:val="NormalBulleted"/>
        <w:numPr>
          <w:ilvl w:val="0"/>
          <w:numId w:val="112"/>
        </w:numPr>
        <w:rPr>
          <w:lang w:val="en-GB"/>
        </w:rPr>
      </w:pPr>
      <w:r>
        <w:rPr>
          <w:lang w:val="en-GB"/>
        </w:rPr>
        <w:t>Create a new item (558XX) for requesting a shoulder ultrasound and a shoulder X-ray at the same time. This item should require the requesting clinician to detail on the request form the pathologies that necessitate the use of both imaging options. The proposed item descriptor is as follows:</w:t>
      </w:r>
    </w:p>
    <w:p w14:paraId="6AEAECC8" w14:textId="77777777" w:rsidR="00460C9C" w:rsidRPr="00732CA7" w:rsidRDefault="00360531" w:rsidP="00AB3AC3">
      <w:pPr>
        <w:pStyle w:val="02dash"/>
        <w:numPr>
          <w:ilvl w:val="1"/>
          <w:numId w:val="64"/>
        </w:numPr>
        <w:spacing w:before="0" w:line="240" w:lineRule="auto"/>
        <w:ind w:left="641" w:right="0"/>
        <w:rPr>
          <w:i/>
        </w:rPr>
      </w:pPr>
      <w:r w:rsidRPr="00732CA7">
        <w:rPr>
          <w:i/>
        </w:rPr>
        <w:t>Shoulder or upper arm, one or both sides, combined ultrasound scan and radiographic examination of, if:</w:t>
      </w:r>
    </w:p>
    <w:p w14:paraId="518A97DC" w14:textId="77777777" w:rsidR="00460C9C" w:rsidRPr="00732CA7" w:rsidRDefault="00360531" w:rsidP="002818C3">
      <w:pPr>
        <w:pStyle w:val="02dash"/>
        <w:numPr>
          <w:ilvl w:val="1"/>
          <w:numId w:val="114"/>
        </w:numPr>
        <w:spacing w:before="0" w:line="240" w:lineRule="auto"/>
        <w:ind w:right="0"/>
        <w:rPr>
          <w:i/>
        </w:rPr>
      </w:pPr>
      <w:r w:rsidRPr="00732CA7">
        <w:rPr>
          <w:i/>
        </w:rPr>
        <w:t>The patient is referred by a medical practitioner; and</w:t>
      </w:r>
    </w:p>
    <w:p w14:paraId="4CF0BFA4" w14:textId="77777777" w:rsidR="00460C9C" w:rsidRPr="00732CA7" w:rsidRDefault="00360531" w:rsidP="002818C3">
      <w:pPr>
        <w:pStyle w:val="02dash"/>
        <w:numPr>
          <w:ilvl w:val="1"/>
          <w:numId w:val="114"/>
        </w:numPr>
        <w:spacing w:before="0" w:line="240" w:lineRule="auto"/>
        <w:ind w:right="0"/>
        <w:rPr>
          <w:i/>
        </w:rPr>
      </w:pPr>
      <w:r w:rsidRPr="00732CA7">
        <w:rPr>
          <w:i/>
        </w:rPr>
        <w:t>The medical practitioner is not a member of a group of practitioners of which the providing practitioner is a member; and</w:t>
      </w:r>
    </w:p>
    <w:p w14:paraId="4AF4E5EC" w14:textId="77777777" w:rsidR="00360531" w:rsidRPr="00732CA7" w:rsidRDefault="00360531" w:rsidP="002818C3">
      <w:pPr>
        <w:pStyle w:val="02dash"/>
        <w:numPr>
          <w:ilvl w:val="1"/>
          <w:numId w:val="114"/>
        </w:numPr>
        <w:spacing w:before="0" w:line="240" w:lineRule="auto"/>
        <w:ind w:right="0"/>
        <w:rPr>
          <w:i/>
        </w:rPr>
      </w:pPr>
      <w:r w:rsidRPr="00732CA7">
        <w:rPr>
          <w:i/>
        </w:rPr>
        <w:t xml:space="preserve">The service is not provided in association with a service mentioned in items 55808, 55809, 55810, 55811, 57700, 57702, 57703, or 57705, and the patient has persistent significant pain and where the diagnostic imaging request form details the pathologies being investigated by the use of radiographic examination. </w:t>
      </w:r>
    </w:p>
    <w:p w14:paraId="3025656D" w14:textId="77777777" w:rsidR="00360531" w:rsidRPr="00DC0E09" w:rsidRDefault="00360531" w:rsidP="002818C3">
      <w:pPr>
        <w:pStyle w:val="NormalBulleted"/>
        <w:numPr>
          <w:ilvl w:val="0"/>
          <w:numId w:val="112"/>
        </w:numPr>
        <w:rPr>
          <w:lang w:val="en-GB"/>
        </w:rPr>
      </w:pPr>
      <w:r w:rsidRPr="00DC0E09">
        <w:rPr>
          <w:lang w:val="en-GB"/>
        </w:rPr>
        <w:t>Create an explanatory note for items 55808, 55809, 55810 and 55811 to clarify the circumstances in which ultrasound of the shoulder is the appropriate initial investigation. This should detail the following:</w:t>
      </w:r>
    </w:p>
    <w:p w14:paraId="25B0E682" w14:textId="77777777" w:rsidR="00360531" w:rsidRPr="005A21E3" w:rsidRDefault="00360531" w:rsidP="00360531">
      <w:pPr>
        <w:pStyle w:val="02dash"/>
        <w:numPr>
          <w:ilvl w:val="1"/>
          <w:numId w:val="17"/>
        </w:numPr>
        <w:spacing w:line="240" w:lineRule="auto"/>
        <w:ind w:right="0"/>
        <w:rPr>
          <w:lang w:val="en-AU"/>
        </w:rPr>
      </w:pPr>
      <w:r>
        <w:t>F</w:t>
      </w:r>
      <w:r w:rsidRPr="005A21E3">
        <w:t xml:space="preserve">or acute shoulder pain </w:t>
      </w:r>
      <w:r>
        <w:t xml:space="preserve">(present for &lt; 7 days) </w:t>
      </w:r>
      <w:r w:rsidRPr="005A21E3">
        <w:t>of any etiology</w:t>
      </w:r>
      <w:r>
        <w:t>,</w:t>
      </w:r>
      <w:r w:rsidRPr="005A21E3">
        <w:t xml:space="preserve"> including acute trauma</w:t>
      </w:r>
      <w:r>
        <w:t>,</w:t>
      </w:r>
      <w:r w:rsidRPr="005A21E3">
        <w:t xml:space="preserve"> </w:t>
      </w:r>
      <w:r>
        <w:t>t</w:t>
      </w:r>
      <w:r w:rsidRPr="005A21E3">
        <w:t xml:space="preserve">he best initial imaging </w:t>
      </w:r>
      <w:r>
        <w:t>is shoulder X</w:t>
      </w:r>
      <w:r w:rsidRPr="005A21E3">
        <w:t>-ray</w:t>
      </w:r>
      <w:r>
        <w:t>.</w:t>
      </w:r>
      <w:r w:rsidRPr="005A21E3">
        <w:t xml:space="preserve">  </w:t>
      </w:r>
      <w:r>
        <w:t>S</w:t>
      </w:r>
      <w:r w:rsidRPr="005A21E3">
        <w:t xml:space="preserve">houlder </w:t>
      </w:r>
      <w:r>
        <w:t>u</w:t>
      </w:r>
      <w:r w:rsidRPr="005A21E3">
        <w:t xml:space="preserve">ltrasound should </w:t>
      </w:r>
      <w:r w:rsidRPr="00E546B5">
        <w:rPr>
          <w:u w:val="single"/>
        </w:rPr>
        <w:t>not</w:t>
      </w:r>
      <w:r w:rsidRPr="005A21E3">
        <w:t xml:space="preserve"> be </w:t>
      </w:r>
      <w:r>
        <w:t>used</w:t>
      </w:r>
      <w:r w:rsidRPr="005A21E3">
        <w:t xml:space="preserve"> as initial imaging</w:t>
      </w:r>
      <w:r>
        <w:t xml:space="preserve"> - because</w:t>
      </w:r>
      <w:r w:rsidRPr="005A21E3">
        <w:t xml:space="preserve"> acute soft-tissue pathology will often resolve with a period of rest or conservative management</w:t>
      </w:r>
      <w:r>
        <w:t>, and</w:t>
      </w:r>
      <w:r w:rsidRPr="005A21E3">
        <w:t xml:space="preserve"> </w:t>
      </w:r>
      <w:r>
        <w:t>u</w:t>
      </w:r>
      <w:r w:rsidRPr="005A21E3">
        <w:t xml:space="preserve">ltrasound may be more precise when </w:t>
      </w:r>
      <w:r>
        <w:t xml:space="preserve">the </w:t>
      </w:r>
      <w:r w:rsidRPr="005A21E3">
        <w:t xml:space="preserve">acute soft tissue swelling has resolved. </w:t>
      </w:r>
    </w:p>
    <w:p w14:paraId="0E87CFE3" w14:textId="77777777" w:rsidR="00360531" w:rsidRPr="005A21E3" w:rsidRDefault="00360531" w:rsidP="00360531">
      <w:pPr>
        <w:pStyle w:val="02dash"/>
        <w:numPr>
          <w:ilvl w:val="1"/>
          <w:numId w:val="17"/>
        </w:numPr>
        <w:spacing w:line="240" w:lineRule="auto"/>
        <w:ind w:right="0"/>
        <w:rPr>
          <w:lang w:val="en-AU"/>
        </w:rPr>
      </w:pPr>
      <w:r>
        <w:lastRenderedPageBreak/>
        <w:t>F</w:t>
      </w:r>
      <w:r w:rsidRPr="005A21E3">
        <w:t xml:space="preserve">or acute shoulder pain </w:t>
      </w:r>
      <w:r>
        <w:t>u</w:t>
      </w:r>
      <w:r w:rsidRPr="005A21E3">
        <w:t>ltrasound can only be claimed if t</w:t>
      </w:r>
      <w:r>
        <w:t xml:space="preserve">wo </w:t>
      </w:r>
      <w:r w:rsidRPr="005A21E3">
        <w:t xml:space="preserve">conditions are fulfilled: (a) x-rays of the shoulder are non-contributory, and (b) the </w:t>
      </w:r>
      <w:r>
        <w:t>ultrasound</w:t>
      </w:r>
      <w:r w:rsidRPr="005A21E3">
        <w:t xml:space="preserve"> is being </w:t>
      </w:r>
      <w:r>
        <w:t>use</w:t>
      </w:r>
      <w:r w:rsidRPr="005A21E3">
        <w:t xml:space="preserve"> for the conditions or suspected conditions listed in the item descriptor.  </w:t>
      </w:r>
    </w:p>
    <w:p w14:paraId="0B3EF5F5" w14:textId="77777777" w:rsidR="00360531" w:rsidRPr="00DC0E09" w:rsidRDefault="00360531" w:rsidP="002818C3">
      <w:pPr>
        <w:pStyle w:val="NormalBulleted"/>
        <w:numPr>
          <w:ilvl w:val="0"/>
          <w:numId w:val="112"/>
        </w:numPr>
        <w:rPr>
          <w:lang w:val="en-GB"/>
        </w:rPr>
      </w:pPr>
      <w:r w:rsidRPr="00DC0E09">
        <w:rPr>
          <w:lang w:val="en-GB"/>
        </w:rPr>
        <w:t>Create an explanatory note for the new item (558XX) to clarify the circumstance in which both ultrasound and x-ray of the shoulder are the appropriate initial investigations. This should detail the following:</w:t>
      </w:r>
    </w:p>
    <w:p w14:paraId="096E7E37" w14:textId="77777777" w:rsidR="00360531" w:rsidRPr="005F6EBE" w:rsidRDefault="00360531" w:rsidP="00360531">
      <w:pPr>
        <w:pStyle w:val="02dash"/>
        <w:numPr>
          <w:ilvl w:val="1"/>
          <w:numId w:val="17"/>
        </w:numPr>
        <w:spacing w:line="240" w:lineRule="auto"/>
        <w:ind w:right="0"/>
      </w:pPr>
      <w:r>
        <w:t>F</w:t>
      </w:r>
      <w:r w:rsidRPr="005F6EBE">
        <w:t>or sub-acute pain (present for 7-10 days)</w:t>
      </w:r>
      <w:r>
        <w:t xml:space="preserve"> t</w:t>
      </w:r>
      <w:r w:rsidRPr="005F6EBE">
        <w:t>he combination of x-ray and ultrasound for shoulder is</w:t>
      </w:r>
      <w:r>
        <w:t xml:space="preserve"> permissible</w:t>
      </w:r>
      <w:r w:rsidRPr="005F6EBE">
        <w:t xml:space="preserve"> where </w:t>
      </w:r>
      <w:r>
        <w:t xml:space="preserve">(i) </w:t>
      </w:r>
      <w:r w:rsidRPr="005F6EBE">
        <w:t xml:space="preserve">no previous imaging has been undertaken for this episode of symptoms and </w:t>
      </w:r>
      <w:r>
        <w:t xml:space="preserve">(ii) </w:t>
      </w:r>
      <w:r w:rsidRPr="005F6EBE">
        <w:t xml:space="preserve">where </w:t>
      </w:r>
      <w:r>
        <w:t>examination shows</w:t>
      </w:r>
      <w:r w:rsidRPr="005F6EBE">
        <w:t>:</w:t>
      </w:r>
    </w:p>
    <w:p w14:paraId="6EECBF05" w14:textId="77777777" w:rsidR="00360531" w:rsidRPr="005F6EBE" w:rsidRDefault="00360531" w:rsidP="00360531">
      <w:pPr>
        <w:pStyle w:val="07number3"/>
        <w:rPr>
          <w:sz w:val="24"/>
          <w:szCs w:val="24"/>
        </w:rPr>
      </w:pPr>
      <w:r w:rsidRPr="005F6EBE">
        <w:t>Pain with elevation and/or internal rotation; or</w:t>
      </w:r>
    </w:p>
    <w:p w14:paraId="0B69281E" w14:textId="77777777" w:rsidR="00360531" w:rsidRPr="005F6EBE" w:rsidRDefault="00360531" w:rsidP="00360531">
      <w:pPr>
        <w:pStyle w:val="07number3"/>
        <w:rPr>
          <w:sz w:val="24"/>
          <w:szCs w:val="24"/>
        </w:rPr>
      </w:pPr>
      <w:r w:rsidRPr="005F6EBE">
        <w:t>Weakness of elevation and external rotation</w:t>
      </w:r>
      <w:r>
        <w:t>.</w:t>
      </w:r>
    </w:p>
    <w:p w14:paraId="5C34BFC5" w14:textId="77777777" w:rsidR="00DC0E09" w:rsidRDefault="00DC0E09" w:rsidP="00360531">
      <w:pPr>
        <w:pStyle w:val="NormalBulleted"/>
        <w:ind w:left="357" w:hanging="357"/>
      </w:pPr>
      <w:r>
        <w:t>In addition the Committee recommended:</w:t>
      </w:r>
    </w:p>
    <w:p w14:paraId="6EADBD3C" w14:textId="77777777" w:rsidR="00360531" w:rsidRDefault="00360531" w:rsidP="00DC0E09">
      <w:pPr>
        <w:pStyle w:val="02dash"/>
        <w:numPr>
          <w:ilvl w:val="1"/>
          <w:numId w:val="17"/>
        </w:numPr>
        <w:spacing w:line="240" w:lineRule="auto"/>
        <w:ind w:right="0"/>
      </w:pPr>
      <w:r>
        <w:t xml:space="preserve">Deliver provider education on the appropriate imaging pathways for chronic and acute shoulder presentations. The Committee noted that imaging providers play a key role in educating </w:t>
      </w:r>
      <w:r w:rsidR="006C31FB">
        <w:t>requester</w:t>
      </w:r>
      <w:r>
        <w:t xml:space="preserve">s through their ongoing communication and feedback.  </w:t>
      </w:r>
    </w:p>
    <w:p w14:paraId="1A418A61" w14:textId="77777777" w:rsidR="00360531" w:rsidRPr="00DC0E09" w:rsidRDefault="00360531" w:rsidP="00DC0E09">
      <w:pPr>
        <w:pStyle w:val="02dash"/>
        <w:numPr>
          <w:ilvl w:val="1"/>
          <w:numId w:val="17"/>
        </w:numPr>
        <w:spacing w:line="240" w:lineRule="auto"/>
        <w:ind w:right="0"/>
      </w:pPr>
      <w:r w:rsidRPr="00DC0E09">
        <w:t xml:space="preserve">Provide </w:t>
      </w:r>
      <w:r w:rsidR="006C31FB">
        <w:t>requester</w:t>
      </w:r>
      <w:r w:rsidRPr="00DC0E09">
        <w:t xml:space="preserve"> education on </w:t>
      </w:r>
      <w:r>
        <w:t>the appropriate imaging pathways for chronic and acute shoulder presentations</w:t>
      </w:r>
      <w:r w:rsidRPr="00DC0E09">
        <w:t>. The Committee recommended that this include feedback to providers who request shoulder ultrasound or the new combined shoulder ultrasound and X-ray item at higher rates than their peers.</w:t>
      </w:r>
    </w:p>
    <w:p w14:paraId="5F666E26" w14:textId="77777777" w:rsidR="00360531" w:rsidRPr="00DC0E09" w:rsidRDefault="00360531" w:rsidP="00DC0E09">
      <w:pPr>
        <w:pStyle w:val="02dash"/>
        <w:numPr>
          <w:ilvl w:val="1"/>
          <w:numId w:val="17"/>
        </w:numPr>
        <w:spacing w:line="240" w:lineRule="auto"/>
        <w:ind w:right="0"/>
      </w:pPr>
      <w:r w:rsidRPr="00DC0E09">
        <w:t xml:space="preserve">Provide consumer education on the above changes. </w:t>
      </w:r>
      <w:r w:rsidR="006C31FB">
        <w:t>Requester</w:t>
      </w:r>
      <w:r w:rsidRPr="00DC0E09">
        <w:t xml:space="preserve">s should be equipped to provide patients with information about when imaging of the shoulder is appropriate, and when it would not change treatment pathways. </w:t>
      </w:r>
    </w:p>
    <w:p w14:paraId="779C8982" w14:textId="77777777" w:rsidR="00360531" w:rsidRDefault="00360531" w:rsidP="00360531">
      <w:pPr>
        <w:pStyle w:val="Item"/>
        <w:rPr>
          <w:rFonts w:ascii="Calibri" w:hAnsi="Calibri" w:cs="Calibri"/>
          <w:lang w:val="en-GB"/>
        </w:rPr>
      </w:pPr>
      <w:r>
        <w:rPr>
          <w:rFonts w:ascii="Calibri" w:hAnsi="Calibri" w:cs="Calibri"/>
          <w:lang w:val="en-GB"/>
        </w:rPr>
        <w:t>Rationale</w:t>
      </w:r>
    </w:p>
    <w:p w14:paraId="4B543B09" w14:textId="77777777" w:rsidR="00360531" w:rsidRDefault="00360531" w:rsidP="0071493B">
      <w:pPr>
        <w:pStyle w:val="NormalBulleted"/>
        <w:ind w:left="357" w:hanging="357"/>
        <w:rPr>
          <w:lang w:val="en-GB"/>
        </w:rPr>
      </w:pPr>
      <w:r>
        <w:rPr>
          <w:lang w:val="en-GB"/>
        </w:rPr>
        <w:t>The Committee agreed that there is sufficient evidence to conclude that shoulder ultrasound is being inappropriately overused:</w:t>
      </w:r>
    </w:p>
    <w:p w14:paraId="79699704" w14:textId="77777777" w:rsidR="00360531" w:rsidRDefault="00360531" w:rsidP="0071493B">
      <w:pPr>
        <w:pStyle w:val="02dash"/>
        <w:numPr>
          <w:ilvl w:val="1"/>
          <w:numId w:val="17"/>
        </w:numPr>
        <w:spacing w:line="240" w:lineRule="auto"/>
        <w:ind w:right="0"/>
      </w:pPr>
      <w:r>
        <w:t>Use of shoulder ultrasound has been growing rapidly, with a 9.4 per cent annual growth in benefits, driven primarily by 7.4 per cent annual growth in services per capita.</w:t>
      </w:r>
    </w:p>
    <w:p w14:paraId="62D370FB" w14:textId="77777777" w:rsidR="00360531" w:rsidRDefault="00360531" w:rsidP="0071493B">
      <w:pPr>
        <w:pStyle w:val="02dash"/>
        <w:numPr>
          <w:ilvl w:val="1"/>
          <w:numId w:val="17"/>
        </w:numPr>
        <w:spacing w:line="240" w:lineRule="auto"/>
        <w:ind w:right="0"/>
      </w:pPr>
      <w:r>
        <w:t>BEACH data shows that from 2002–05 to 2009–12, there was a 37 per cent increase (from 32.5 to 44.5 imaging orders per 100 shoulder problems) in the imaging ordering rate for all shoulder problems, suggesting a tendency to image more in the management of a patient who presents with a shoulder complaint or syndrome. The same data shows that the increase stems mostly from a significant increase in the rate of ultrasound orders, from 17.6 to 28.9 per 100 shoulder problems</w:t>
      </w:r>
      <w:r w:rsidR="00732CA7">
        <w:t xml:space="preserve"> </w:t>
      </w:r>
      <w:sdt>
        <w:sdtPr>
          <w:id w:val="-1307852327"/>
          <w:citation/>
        </w:sdtPr>
        <w:sdtEndPr/>
        <w:sdtContent>
          <w:r w:rsidR="00732CA7">
            <w:fldChar w:fldCharType="begin"/>
          </w:r>
          <w:r w:rsidR="00732CA7">
            <w:instrText xml:space="preserve"> CITATION Bri14 \l 1033 </w:instrText>
          </w:r>
          <w:r w:rsidR="00732CA7">
            <w:fldChar w:fldCharType="separate"/>
          </w:r>
          <w:r w:rsidR="00B66BE1">
            <w:rPr>
              <w:noProof/>
            </w:rPr>
            <w:t>(49)</w:t>
          </w:r>
          <w:r w:rsidR="00732CA7">
            <w:fldChar w:fldCharType="end"/>
          </w:r>
        </w:sdtContent>
      </w:sdt>
      <w:r>
        <w:t xml:space="preserve">. Most clinically significant acute shoulder damage can be diagnosed based on consumer history, examination and selective use of plain radiography. </w:t>
      </w:r>
    </w:p>
    <w:p w14:paraId="64A24930" w14:textId="77777777" w:rsidR="00360531" w:rsidRDefault="00360531" w:rsidP="0071493B">
      <w:pPr>
        <w:pStyle w:val="02dash"/>
        <w:numPr>
          <w:ilvl w:val="1"/>
          <w:numId w:val="17"/>
        </w:numPr>
        <w:spacing w:line="240" w:lineRule="auto"/>
        <w:ind w:right="0"/>
      </w:pPr>
      <w:r>
        <w:t xml:space="preserve">Forty-six per cent of shoulder ultrasounds occur on the same day as a shoulder X-ray. The Committee is of the opinion that the clinical circumstances in which both are required would not be present in almost 50 per cent of presentations. </w:t>
      </w:r>
    </w:p>
    <w:p w14:paraId="40DEA7E1" w14:textId="4C1FD6C8" w:rsidR="00A37926" w:rsidRDefault="00360531" w:rsidP="0071493B">
      <w:pPr>
        <w:pStyle w:val="02dash"/>
        <w:numPr>
          <w:ilvl w:val="1"/>
          <w:numId w:val="17"/>
        </w:numPr>
        <w:spacing w:line="240" w:lineRule="auto"/>
        <w:ind w:right="0"/>
      </w:pPr>
      <w:r>
        <w:t>There is large variation (2.2 times) in services per population across jurisdictions.</w:t>
      </w:r>
    </w:p>
    <w:p w14:paraId="4E707AB2" w14:textId="0F34BEC1" w:rsidR="00360531" w:rsidRPr="00A37926" w:rsidRDefault="00A37926" w:rsidP="00A37926">
      <w:pPr>
        <w:spacing w:before="0" w:after="0" w:line="240" w:lineRule="auto"/>
        <w:rPr>
          <w:szCs w:val="20"/>
          <w:lang w:val="en-US" w:eastAsia="en-US"/>
        </w:rPr>
      </w:pPr>
      <w:r>
        <w:br w:type="page"/>
      </w:r>
    </w:p>
    <w:p w14:paraId="38DB3CBA" w14:textId="77777777" w:rsidR="00360531" w:rsidRPr="0071493B" w:rsidRDefault="00360531" w:rsidP="0071493B">
      <w:pPr>
        <w:pStyle w:val="NormalBulleted"/>
        <w:ind w:left="357" w:hanging="357"/>
        <w:rPr>
          <w:lang w:val="en-GB"/>
        </w:rPr>
      </w:pPr>
      <w:r w:rsidRPr="0071493B">
        <w:rPr>
          <w:lang w:val="en-GB"/>
        </w:rPr>
        <w:lastRenderedPageBreak/>
        <w:t xml:space="preserve">The Committee agreed that indiscriminate imaging is possibly contributing to the high usage rates for shoulder ultrasound. In particular, there was concern that same-day shoulder ultrasound and X-ray (on the same consumer) reflect clinical uncertainty and lack of confidence, and that imaging is not being used as a specific and targeted diagnostic test to look for a specific result that can inform management. </w:t>
      </w:r>
    </w:p>
    <w:p w14:paraId="4DB58B2E" w14:textId="77777777" w:rsidR="00360531" w:rsidRPr="0071493B" w:rsidRDefault="00360531" w:rsidP="0071493B">
      <w:pPr>
        <w:pStyle w:val="NormalBulleted"/>
        <w:ind w:left="357" w:hanging="357"/>
        <w:rPr>
          <w:lang w:val="en-GB"/>
        </w:rPr>
      </w:pPr>
      <w:r>
        <w:rPr>
          <w:lang w:val="en-GB"/>
        </w:rPr>
        <w:t>There is no requirement for routine co-requesting of shoulder X-ray and ultrasound in the instance of acute shoulder pain. Acute soft-tissue pathology will often resolve with a period of rest or conservative management. Additionally, ultrasound may be more precise when acute soft tissue swelling has resolved.</w:t>
      </w:r>
    </w:p>
    <w:p w14:paraId="48A934DC" w14:textId="77777777" w:rsidR="00360531" w:rsidRPr="0071493B" w:rsidRDefault="00360531" w:rsidP="0071493B">
      <w:pPr>
        <w:pStyle w:val="NormalBulleted"/>
        <w:ind w:left="357" w:hanging="357"/>
        <w:rPr>
          <w:lang w:val="en-GB"/>
        </w:rPr>
      </w:pPr>
      <w:r>
        <w:rPr>
          <w:lang w:val="en-GB"/>
        </w:rPr>
        <w:t xml:space="preserve">The explanatory note for item 558XX is in line with WA Health’s DIP imaging pathways and the Committee agreed that this represented best clinical practice. </w:t>
      </w:r>
    </w:p>
    <w:p w14:paraId="1E5DAAE6" w14:textId="77777777" w:rsidR="00360531" w:rsidRDefault="00360531" w:rsidP="0071493B">
      <w:pPr>
        <w:pStyle w:val="NormalBulleted"/>
        <w:ind w:left="357" w:hanging="357"/>
        <w:rPr>
          <w:lang w:val="en-GB"/>
        </w:rPr>
      </w:pPr>
      <w:r>
        <w:rPr>
          <w:lang w:val="en-GB"/>
        </w:rPr>
        <w:t xml:space="preserve">Ultrasound is of limited clinical utility in the diagnosis of occult fractures. CT is the preferred imaging pathway in adults, and MRI is the preferred pathway in paediatric patients. </w:t>
      </w:r>
    </w:p>
    <w:p w14:paraId="0A71FE44" w14:textId="77777777" w:rsidR="00360531" w:rsidRPr="0071493B" w:rsidRDefault="00360531" w:rsidP="0071493B">
      <w:pPr>
        <w:pStyle w:val="NormalBulleted"/>
        <w:ind w:left="357" w:hanging="357"/>
        <w:rPr>
          <w:lang w:val="en-GB"/>
        </w:rPr>
      </w:pPr>
      <w:r w:rsidRPr="0071493B">
        <w:rPr>
          <w:lang w:val="en-GB"/>
        </w:rPr>
        <w:t>There is concern that unnecessary imaging, particularly in the case of shoulder ultrasound, is resulting in over-diagnosis of asymptomatic rotator cuff tears.</w:t>
      </w:r>
    </w:p>
    <w:p w14:paraId="52343FD5" w14:textId="77777777" w:rsidR="00360531" w:rsidRDefault="00360531" w:rsidP="00360531">
      <w:pPr>
        <w:pStyle w:val="01squarebullet"/>
        <w:numPr>
          <w:ilvl w:val="0"/>
          <w:numId w:val="0"/>
        </w:numPr>
        <w:ind w:left="360" w:right="142"/>
        <w:rPr>
          <w:rFonts w:eastAsia="Calibri"/>
          <w:b/>
          <w:lang w:val="en-GB"/>
        </w:rPr>
      </w:pPr>
    </w:p>
    <w:p w14:paraId="3981B302" w14:textId="77777777" w:rsidR="00360531" w:rsidRDefault="00360531" w:rsidP="00360531">
      <w:pPr>
        <w:rPr>
          <w:rFonts w:eastAsiaTheme="minorHAnsi"/>
          <w:color w:val="FF0000"/>
          <w:lang w:val="en-GB" w:eastAsia="en-US"/>
        </w:rPr>
      </w:pPr>
      <w:r>
        <w:rPr>
          <w:rFonts w:eastAsiaTheme="minorHAnsi"/>
          <w:color w:val="FF0000"/>
          <w:lang w:val="en-GB" w:eastAsia="en-US"/>
        </w:rPr>
        <w:br w:type="page"/>
      </w:r>
    </w:p>
    <w:p w14:paraId="3FBD2B65" w14:textId="77777777" w:rsidR="00360531" w:rsidRDefault="00360531" w:rsidP="00A37926">
      <w:pPr>
        <w:pStyle w:val="Heading2"/>
        <w:keepLines/>
        <w:spacing w:before="280" w:line="240" w:lineRule="auto"/>
        <w:ind w:left="284" w:hanging="284"/>
        <w:rPr>
          <w:lang w:val="en-GB"/>
        </w:rPr>
      </w:pPr>
      <w:bookmarkStart w:id="259" w:name="_Toc498516975"/>
      <w:bookmarkStart w:id="260" w:name="_Toc522396661"/>
      <w:bookmarkStart w:id="261" w:name="_Toc525816101"/>
      <w:r w:rsidRPr="00E82749">
        <w:rPr>
          <w:lang w:val="en-GB"/>
        </w:rPr>
        <w:lastRenderedPageBreak/>
        <w:t xml:space="preserve">Lower back </w:t>
      </w:r>
      <w:r w:rsidRPr="00A37926">
        <w:rPr>
          <w:lang w:val="en-GB"/>
        </w:rPr>
        <w:t>imaging</w:t>
      </w:r>
      <w:bookmarkEnd w:id="259"/>
      <w:bookmarkEnd w:id="260"/>
      <w:bookmarkEnd w:id="261"/>
    </w:p>
    <w:p w14:paraId="57368919" w14:textId="77777777" w:rsidR="00360531" w:rsidRPr="00C56EB1" w:rsidRDefault="00360531" w:rsidP="00732CA7">
      <w:pPr>
        <w:pStyle w:val="Heading3Numbered0"/>
      </w:pPr>
      <w:bookmarkStart w:id="262" w:name="_Toc498516976"/>
      <w:bookmarkStart w:id="263" w:name="_Toc522396662"/>
      <w:bookmarkStart w:id="264" w:name="_Toc525816102"/>
      <w:r>
        <w:t>Lower back items</w:t>
      </w:r>
      <w:bookmarkEnd w:id="262"/>
      <w:bookmarkEnd w:id="263"/>
      <w:bookmarkEnd w:id="264"/>
    </w:p>
    <w:p w14:paraId="623661E4" w14:textId="77777777" w:rsidR="00360531" w:rsidRPr="00E82749" w:rsidRDefault="00EB0974" w:rsidP="00EB0974">
      <w:pPr>
        <w:pStyle w:val="Caption"/>
        <w:rPr>
          <w:lang w:val="en-GB"/>
        </w:rPr>
      </w:pPr>
      <w:bookmarkStart w:id="265" w:name="_Ref495673198"/>
      <w:bookmarkStart w:id="266" w:name="_Toc498084451"/>
      <w:bookmarkStart w:id="267" w:name="_Toc525816967"/>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11</w:t>
      </w:r>
      <w:r w:rsidR="00AF6A7F">
        <w:rPr>
          <w:noProof/>
        </w:rPr>
        <w:fldChar w:fldCharType="end"/>
      </w:r>
      <w:r w:rsidR="00360531" w:rsidRPr="00E82749">
        <w:rPr>
          <w:lang w:val="en-GB"/>
        </w:rPr>
        <w:t xml:space="preserve">: </w:t>
      </w:r>
      <w:r w:rsidR="000028AB">
        <w:rPr>
          <w:lang w:val="en-GB"/>
        </w:rPr>
        <w:t>Services and benefits data for</w:t>
      </w:r>
      <w:r w:rsidR="00360531" w:rsidRPr="00E82749">
        <w:rPr>
          <w:lang w:val="en-GB"/>
        </w:rPr>
        <w:t xml:space="preserve"> lower back imaging items</w:t>
      </w:r>
      <w:bookmarkEnd w:id="265"/>
      <w:bookmarkEnd w:id="266"/>
      <w:bookmarkEnd w:id="267"/>
    </w:p>
    <w:tbl>
      <w:tblPr>
        <w:tblStyle w:val="TableGrid1"/>
        <w:tblW w:w="5205"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1: Services and benefits data for lower back imaging items"/>
        <w:tblDescription w:val="Table 11 shows the standard Medicare data for lower back imaging items. For each item, the table shows the Schedule fee, the total number of services and total benefits paid for the financial year 2015-16, as well the average annual growth in services over five years."/>
      </w:tblPr>
      <w:tblGrid>
        <w:gridCol w:w="781"/>
        <w:gridCol w:w="3443"/>
        <w:gridCol w:w="890"/>
        <w:gridCol w:w="1058"/>
        <w:gridCol w:w="1110"/>
        <w:gridCol w:w="1360"/>
      </w:tblGrid>
      <w:tr w:rsidR="00360531" w:rsidRPr="00E82749" w14:paraId="7BA082D6" w14:textId="77777777" w:rsidTr="003620E7">
        <w:trPr>
          <w:cantSplit/>
          <w:tblHeader/>
        </w:trPr>
        <w:tc>
          <w:tcPr>
            <w:tcW w:w="781" w:type="dxa"/>
            <w:shd w:val="clear" w:color="auto" w:fill="F2F2F2"/>
            <w:vAlign w:val="bottom"/>
          </w:tcPr>
          <w:p w14:paraId="5B56518D"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Item</w:t>
            </w:r>
          </w:p>
        </w:tc>
        <w:tc>
          <w:tcPr>
            <w:tcW w:w="3443" w:type="dxa"/>
            <w:shd w:val="clear" w:color="auto" w:fill="F2F2F2"/>
            <w:vAlign w:val="bottom"/>
          </w:tcPr>
          <w:p w14:paraId="19837361"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Descriptor</w:t>
            </w:r>
          </w:p>
        </w:tc>
        <w:tc>
          <w:tcPr>
            <w:tcW w:w="890" w:type="dxa"/>
            <w:shd w:val="clear" w:color="auto" w:fill="F2F2F2"/>
            <w:vAlign w:val="bottom"/>
          </w:tcPr>
          <w:p w14:paraId="62EE0BF4"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Schedule fee</w:t>
            </w:r>
          </w:p>
        </w:tc>
        <w:tc>
          <w:tcPr>
            <w:tcW w:w="1058" w:type="dxa"/>
            <w:shd w:val="clear" w:color="auto" w:fill="F2F2F2"/>
            <w:vAlign w:val="bottom"/>
          </w:tcPr>
          <w:p w14:paraId="614D86ED"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FY2015/16</w:t>
            </w:r>
          </w:p>
        </w:tc>
        <w:tc>
          <w:tcPr>
            <w:tcW w:w="1110" w:type="dxa"/>
            <w:shd w:val="clear" w:color="auto" w:fill="F2F2F2"/>
            <w:vAlign w:val="bottom"/>
          </w:tcPr>
          <w:p w14:paraId="763E1287"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Benefits FY2015/16</w:t>
            </w:r>
          </w:p>
        </w:tc>
        <w:tc>
          <w:tcPr>
            <w:tcW w:w="1360" w:type="dxa"/>
            <w:shd w:val="clear" w:color="auto" w:fill="F2F2F2"/>
            <w:vAlign w:val="bottom"/>
          </w:tcPr>
          <w:p w14:paraId="4659BC7B" w14:textId="77777777" w:rsidR="00360531" w:rsidRPr="00E82749" w:rsidRDefault="00360531" w:rsidP="00D93294">
            <w:pPr>
              <w:spacing w:before="100" w:beforeAutospacing="1" w:after="100" w:afterAutospacing="1"/>
              <w:rPr>
                <w:rFonts w:ascii="Arial" w:hAnsi="Arial" w:cs="Arial"/>
                <w:b/>
                <w:sz w:val="18"/>
                <w:szCs w:val="18"/>
                <w:lang w:val="en-GB"/>
              </w:rPr>
            </w:pPr>
            <w:r w:rsidRPr="00E82749">
              <w:rPr>
                <w:rFonts w:ascii="Arial" w:hAnsi="Arial" w:cs="Arial"/>
                <w:b/>
                <w:sz w:val="18"/>
                <w:szCs w:val="18"/>
                <w:lang w:val="en-GB"/>
              </w:rPr>
              <w:t>Services 5-year annual avg. growth</w:t>
            </w:r>
          </w:p>
        </w:tc>
      </w:tr>
      <w:tr w:rsidR="002F0202" w:rsidRPr="00E82749" w14:paraId="234AD26F" w14:textId="77777777" w:rsidTr="003620E7">
        <w:trPr>
          <w:cantSplit/>
        </w:trPr>
        <w:tc>
          <w:tcPr>
            <w:tcW w:w="781" w:type="dxa"/>
            <w:vAlign w:val="center"/>
          </w:tcPr>
          <w:p w14:paraId="57C848DF" w14:textId="77777777" w:rsidR="002F0202" w:rsidRPr="002F0202" w:rsidRDefault="002F0202"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58109</w:t>
            </w:r>
          </w:p>
        </w:tc>
        <w:tc>
          <w:tcPr>
            <w:tcW w:w="3443" w:type="dxa"/>
          </w:tcPr>
          <w:p w14:paraId="39A07A0A" w14:textId="77777777" w:rsidR="002F0202" w:rsidRPr="002F0202" w:rsidRDefault="002F0202" w:rsidP="0053671F">
            <w:pPr>
              <w:spacing w:before="0" w:after="0"/>
              <w:rPr>
                <w:rFonts w:ascii="Arial" w:eastAsiaTheme="minorHAnsi" w:hAnsi="Arial" w:cs="Arial"/>
                <w:sz w:val="18"/>
                <w:szCs w:val="18"/>
                <w:lang w:val="en-GB" w:eastAsia="en-US"/>
              </w:rPr>
            </w:pPr>
            <w:r w:rsidRPr="00D80E2E">
              <w:rPr>
                <w:rFonts w:ascii="Arial" w:hAnsi="Arial" w:cs="Arial"/>
                <w:color w:val="222222"/>
                <w:sz w:val="18"/>
                <w:szCs w:val="18"/>
              </w:rPr>
              <w:t>SPINE  SACROCOCCYGEAL (R)</w:t>
            </w:r>
          </w:p>
        </w:tc>
        <w:tc>
          <w:tcPr>
            <w:tcW w:w="890" w:type="dxa"/>
            <w:vAlign w:val="center"/>
          </w:tcPr>
          <w:p w14:paraId="5C76A21B" w14:textId="77777777" w:rsidR="002F0202" w:rsidRPr="002F0202" w:rsidRDefault="002F0202" w:rsidP="00D80E2E">
            <w:pPr>
              <w:spacing w:before="20" w:after="20"/>
              <w:jc w:val="center"/>
              <w:rPr>
                <w:rFonts w:ascii="Arial" w:eastAsiaTheme="minorHAnsi" w:hAnsi="Arial" w:cs="Arial"/>
                <w:sz w:val="18"/>
                <w:szCs w:val="18"/>
                <w:lang w:val="en-GB" w:eastAsia="en-US"/>
              </w:rPr>
            </w:pPr>
            <w:r w:rsidRPr="00D80E2E">
              <w:rPr>
                <w:rFonts w:ascii="Arial" w:hAnsi="Arial" w:cs="Arial"/>
                <w:color w:val="222222"/>
                <w:sz w:val="18"/>
                <w:szCs w:val="18"/>
              </w:rPr>
              <w:t>$47.00</w:t>
            </w:r>
          </w:p>
        </w:tc>
        <w:tc>
          <w:tcPr>
            <w:tcW w:w="1058" w:type="dxa"/>
            <w:vAlign w:val="center"/>
          </w:tcPr>
          <w:p w14:paraId="4E35C2CB" w14:textId="77777777" w:rsidR="002F0202" w:rsidRPr="002F0202" w:rsidRDefault="002F0202" w:rsidP="00D80E2E">
            <w:pPr>
              <w:spacing w:before="20" w:after="20"/>
              <w:jc w:val="center"/>
              <w:rPr>
                <w:rFonts w:ascii="Arial" w:eastAsiaTheme="minorHAnsi" w:hAnsi="Arial" w:cs="Arial"/>
                <w:sz w:val="18"/>
                <w:szCs w:val="18"/>
                <w:lang w:val="en-GB" w:eastAsia="en-US"/>
              </w:rPr>
            </w:pPr>
            <w:r w:rsidRPr="00D80E2E">
              <w:rPr>
                <w:rFonts w:ascii="Arial" w:hAnsi="Arial" w:cs="Arial"/>
                <w:sz w:val="18"/>
                <w:szCs w:val="18"/>
              </w:rPr>
              <w:t>832,192</w:t>
            </w:r>
          </w:p>
        </w:tc>
        <w:tc>
          <w:tcPr>
            <w:tcW w:w="1110" w:type="dxa"/>
            <w:vAlign w:val="center"/>
          </w:tcPr>
          <w:p w14:paraId="7F7ECF8B" w14:textId="77777777" w:rsidR="002F0202" w:rsidRPr="002F0202" w:rsidRDefault="002F0202" w:rsidP="00D80E2E">
            <w:pPr>
              <w:spacing w:before="20" w:after="20"/>
              <w:jc w:val="center"/>
              <w:rPr>
                <w:rFonts w:ascii="Arial" w:eastAsiaTheme="minorHAnsi" w:hAnsi="Arial" w:cs="Arial"/>
                <w:sz w:val="18"/>
                <w:szCs w:val="18"/>
                <w:lang w:val="en-GB" w:eastAsia="en-US"/>
              </w:rPr>
            </w:pPr>
            <w:r w:rsidRPr="00D80E2E">
              <w:rPr>
                <w:rFonts w:ascii="Arial" w:hAnsi="Arial" w:cs="Arial"/>
                <w:sz w:val="18"/>
                <w:szCs w:val="18"/>
              </w:rPr>
              <w:t>19,377</w:t>
            </w:r>
          </w:p>
        </w:tc>
        <w:tc>
          <w:tcPr>
            <w:tcW w:w="1360" w:type="dxa"/>
            <w:vAlign w:val="center"/>
          </w:tcPr>
          <w:p w14:paraId="3EECF39E" w14:textId="77777777" w:rsidR="002F0202" w:rsidRPr="002F0202" w:rsidRDefault="002F0202" w:rsidP="00D80E2E">
            <w:pPr>
              <w:spacing w:before="20" w:after="20"/>
              <w:jc w:val="center"/>
              <w:rPr>
                <w:rFonts w:ascii="Arial" w:eastAsiaTheme="minorHAnsi" w:hAnsi="Arial" w:cs="Arial"/>
                <w:sz w:val="18"/>
                <w:szCs w:val="18"/>
                <w:lang w:val="en-GB" w:eastAsia="en-US"/>
              </w:rPr>
            </w:pPr>
            <w:r w:rsidRPr="00D80E2E">
              <w:rPr>
                <w:rFonts w:ascii="Arial" w:hAnsi="Arial" w:cs="Arial"/>
                <w:sz w:val="18"/>
                <w:szCs w:val="18"/>
              </w:rPr>
              <w:t>4.03%</w:t>
            </w:r>
          </w:p>
        </w:tc>
      </w:tr>
      <w:tr w:rsidR="002F0202" w:rsidRPr="00E82749" w14:paraId="23A5BF2E" w14:textId="77777777" w:rsidTr="003620E7">
        <w:trPr>
          <w:cantSplit/>
        </w:trPr>
        <w:tc>
          <w:tcPr>
            <w:tcW w:w="781" w:type="dxa"/>
            <w:vAlign w:val="center"/>
          </w:tcPr>
          <w:p w14:paraId="0877C498" w14:textId="77777777" w:rsidR="002F0202" w:rsidRPr="002F0202" w:rsidRDefault="002F0202" w:rsidP="00D80E2E">
            <w:pPr>
              <w:spacing w:before="100" w:beforeAutospacing="1" w:after="100" w:afterAutospacing="1"/>
              <w:jc w:val="center"/>
              <w:rPr>
                <w:rFonts w:ascii="Arial" w:hAnsi="Arial" w:cs="Arial"/>
                <w:sz w:val="18"/>
                <w:szCs w:val="18"/>
                <w:lang w:val="en-GB"/>
              </w:rPr>
            </w:pPr>
            <w:r w:rsidRPr="002F0202">
              <w:rPr>
                <w:rFonts w:ascii="Arial" w:hAnsi="Arial" w:cs="Arial"/>
                <w:sz w:val="18"/>
                <w:szCs w:val="18"/>
                <w:lang w:val="en-GB"/>
              </w:rPr>
              <w:t>58112</w:t>
            </w:r>
          </w:p>
        </w:tc>
        <w:tc>
          <w:tcPr>
            <w:tcW w:w="3443" w:type="dxa"/>
          </w:tcPr>
          <w:p w14:paraId="75BDADA4" w14:textId="77777777" w:rsidR="002F0202" w:rsidRPr="002F0202" w:rsidRDefault="002F0202" w:rsidP="0053671F">
            <w:pPr>
              <w:spacing w:before="0" w:after="0"/>
              <w:rPr>
                <w:rFonts w:ascii="Arial" w:hAnsi="Arial" w:cs="Arial"/>
                <w:b/>
                <w:sz w:val="18"/>
                <w:szCs w:val="18"/>
                <w:lang w:val="en-GB"/>
              </w:rPr>
            </w:pPr>
            <w:r w:rsidRPr="00D80E2E">
              <w:rPr>
                <w:rFonts w:ascii="Arial" w:hAnsi="Arial" w:cs="Arial"/>
                <w:color w:val="222222"/>
                <w:sz w:val="18"/>
                <w:szCs w:val="18"/>
              </w:rPr>
              <w:t>Spine, two examinations of the kind referred to in items 58100, 58103, 58106 and 58109 (R)</w:t>
            </w:r>
          </w:p>
        </w:tc>
        <w:tc>
          <w:tcPr>
            <w:tcW w:w="890" w:type="dxa"/>
            <w:vAlign w:val="center"/>
          </w:tcPr>
          <w:p w14:paraId="08BB7626"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color w:val="222222"/>
                <w:sz w:val="18"/>
                <w:szCs w:val="18"/>
              </w:rPr>
              <w:t>$97.25</w:t>
            </w:r>
          </w:p>
        </w:tc>
        <w:tc>
          <w:tcPr>
            <w:tcW w:w="1058" w:type="dxa"/>
            <w:vAlign w:val="center"/>
          </w:tcPr>
          <w:p w14:paraId="1AB0562A"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11,562,257</w:t>
            </w:r>
          </w:p>
        </w:tc>
        <w:tc>
          <w:tcPr>
            <w:tcW w:w="1110" w:type="dxa"/>
            <w:vAlign w:val="center"/>
          </w:tcPr>
          <w:p w14:paraId="79E6523C"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127,069</w:t>
            </w:r>
          </w:p>
        </w:tc>
        <w:tc>
          <w:tcPr>
            <w:tcW w:w="1360" w:type="dxa"/>
            <w:vAlign w:val="center"/>
          </w:tcPr>
          <w:p w14:paraId="13EDC4DB"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-0.55%</w:t>
            </w:r>
          </w:p>
        </w:tc>
      </w:tr>
      <w:tr w:rsidR="002F0202" w:rsidRPr="00E82749" w14:paraId="596DEFBA" w14:textId="77777777" w:rsidTr="003620E7">
        <w:trPr>
          <w:cantSplit/>
        </w:trPr>
        <w:tc>
          <w:tcPr>
            <w:tcW w:w="781" w:type="dxa"/>
            <w:vAlign w:val="center"/>
          </w:tcPr>
          <w:p w14:paraId="28A41557" w14:textId="77777777" w:rsidR="002F0202" w:rsidRPr="002F0202" w:rsidRDefault="002F0202" w:rsidP="00D80E2E">
            <w:pPr>
              <w:spacing w:before="100" w:beforeAutospacing="1" w:after="100" w:afterAutospacing="1"/>
              <w:jc w:val="center"/>
              <w:rPr>
                <w:rFonts w:ascii="Arial" w:hAnsi="Arial" w:cs="Arial"/>
                <w:sz w:val="18"/>
                <w:szCs w:val="18"/>
                <w:lang w:val="en-GB"/>
              </w:rPr>
            </w:pPr>
            <w:r w:rsidRPr="002F0202">
              <w:rPr>
                <w:rFonts w:ascii="Arial" w:hAnsi="Arial" w:cs="Arial"/>
                <w:sz w:val="18"/>
                <w:szCs w:val="18"/>
                <w:lang w:val="en-GB"/>
              </w:rPr>
              <w:t>58115</w:t>
            </w:r>
          </w:p>
        </w:tc>
        <w:tc>
          <w:tcPr>
            <w:tcW w:w="3443" w:type="dxa"/>
          </w:tcPr>
          <w:p w14:paraId="39D364FA" w14:textId="77777777" w:rsidR="002F0202" w:rsidRPr="002F0202" w:rsidRDefault="002F0202" w:rsidP="0053671F">
            <w:pPr>
              <w:spacing w:before="0" w:after="0"/>
              <w:rPr>
                <w:rFonts w:ascii="Arial" w:hAnsi="Arial" w:cs="Arial"/>
                <w:b/>
                <w:sz w:val="18"/>
                <w:szCs w:val="18"/>
                <w:lang w:val="en-GB"/>
              </w:rPr>
            </w:pPr>
            <w:r w:rsidRPr="00D80E2E">
              <w:rPr>
                <w:rFonts w:ascii="Arial" w:hAnsi="Arial" w:cs="Arial"/>
                <w:color w:val="222222"/>
                <w:sz w:val="18"/>
                <w:szCs w:val="18"/>
              </w:rPr>
              <w:t>Spine, three examinations of the kind mentioned in items 58100, 58103, 58106 and 58109 (R)</w:t>
            </w:r>
          </w:p>
        </w:tc>
        <w:tc>
          <w:tcPr>
            <w:tcW w:w="890" w:type="dxa"/>
            <w:vAlign w:val="center"/>
          </w:tcPr>
          <w:p w14:paraId="7DD59166"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color w:val="222222"/>
                <w:sz w:val="18"/>
                <w:szCs w:val="18"/>
              </w:rPr>
              <w:t>$110.00</w:t>
            </w:r>
          </w:p>
        </w:tc>
        <w:tc>
          <w:tcPr>
            <w:tcW w:w="1058" w:type="dxa"/>
            <w:vAlign w:val="center"/>
          </w:tcPr>
          <w:p w14:paraId="0537FA4F"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2,642,795</w:t>
            </w:r>
          </w:p>
        </w:tc>
        <w:tc>
          <w:tcPr>
            <w:tcW w:w="1110" w:type="dxa"/>
            <w:vAlign w:val="center"/>
          </w:tcPr>
          <w:p w14:paraId="4F8A4CBD"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25,396</w:t>
            </w:r>
          </w:p>
        </w:tc>
        <w:tc>
          <w:tcPr>
            <w:tcW w:w="1360" w:type="dxa"/>
            <w:vAlign w:val="center"/>
          </w:tcPr>
          <w:p w14:paraId="07AED6AA"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4.74%</w:t>
            </w:r>
          </w:p>
        </w:tc>
      </w:tr>
      <w:tr w:rsidR="002F0202" w:rsidRPr="00E82749" w14:paraId="5B7EEEC1" w14:textId="77777777" w:rsidTr="003620E7">
        <w:trPr>
          <w:cantSplit/>
        </w:trPr>
        <w:tc>
          <w:tcPr>
            <w:tcW w:w="781" w:type="dxa"/>
            <w:vAlign w:val="center"/>
          </w:tcPr>
          <w:p w14:paraId="6992A6B5" w14:textId="77777777" w:rsidR="002F0202" w:rsidRPr="002F0202" w:rsidRDefault="002F0202" w:rsidP="00D80E2E">
            <w:pPr>
              <w:spacing w:before="100" w:beforeAutospacing="1" w:after="100" w:afterAutospacing="1"/>
              <w:jc w:val="center"/>
              <w:rPr>
                <w:rFonts w:ascii="Arial" w:hAnsi="Arial" w:cs="Arial"/>
                <w:sz w:val="18"/>
                <w:szCs w:val="18"/>
                <w:lang w:val="en-GB"/>
              </w:rPr>
            </w:pPr>
            <w:r w:rsidRPr="002F0202">
              <w:rPr>
                <w:rFonts w:ascii="Arial" w:hAnsi="Arial" w:cs="Arial"/>
                <w:sz w:val="18"/>
                <w:szCs w:val="18"/>
                <w:lang w:val="en-GB"/>
              </w:rPr>
              <w:t>58120</w:t>
            </w:r>
          </w:p>
        </w:tc>
        <w:tc>
          <w:tcPr>
            <w:tcW w:w="3443" w:type="dxa"/>
          </w:tcPr>
          <w:p w14:paraId="3A125C6C" w14:textId="77777777" w:rsidR="002F0202" w:rsidRPr="002F0202" w:rsidRDefault="002F0202" w:rsidP="0053671F">
            <w:pPr>
              <w:spacing w:before="0" w:after="0"/>
              <w:rPr>
                <w:rFonts w:ascii="Arial" w:hAnsi="Arial" w:cs="Arial"/>
                <w:b/>
                <w:sz w:val="18"/>
                <w:szCs w:val="18"/>
                <w:lang w:val="en-GB"/>
              </w:rPr>
            </w:pPr>
            <w:r w:rsidRPr="00D80E2E">
              <w:rPr>
                <w:rFonts w:ascii="Arial" w:hAnsi="Arial" w:cs="Arial"/>
                <w:color w:val="222222"/>
                <w:sz w:val="18"/>
                <w:szCs w:val="18"/>
              </w:rPr>
              <w:t>Spine, four regions, cervical, thoracic, lumbosacral and sacrococcygeal (R), if the service to which item</w:t>
            </w:r>
            <w:r w:rsidRPr="003620E7">
              <w:rPr>
                <w:rFonts w:ascii="Arial" w:hAnsi="Arial" w:cs="Arial"/>
                <w:color w:val="222222"/>
                <w:sz w:val="18"/>
                <w:szCs w:val="18"/>
              </w:rPr>
              <w:t xml:space="preserve"> 58120</w:t>
            </w:r>
            <w:r w:rsidRPr="00D80E2E">
              <w:rPr>
                <w:rFonts w:ascii="Arial" w:hAnsi="Arial" w:cs="Arial"/>
                <w:color w:val="222222"/>
                <w:sz w:val="18"/>
                <w:szCs w:val="18"/>
              </w:rPr>
              <w:t xml:space="preserve"> or 58121 applies has not been performed on the same patient within the same calendar year</w:t>
            </w:r>
          </w:p>
        </w:tc>
        <w:tc>
          <w:tcPr>
            <w:tcW w:w="890" w:type="dxa"/>
            <w:vAlign w:val="center"/>
          </w:tcPr>
          <w:p w14:paraId="6D707FF0"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color w:val="222222"/>
                <w:sz w:val="18"/>
                <w:szCs w:val="18"/>
              </w:rPr>
              <w:t>$110.00</w:t>
            </w:r>
          </w:p>
        </w:tc>
        <w:tc>
          <w:tcPr>
            <w:tcW w:w="1058" w:type="dxa"/>
            <w:vAlign w:val="center"/>
          </w:tcPr>
          <w:p w14:paraId="0FE8F8D3"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1,851,438</w:t>
            </w:r>
          </w:p>
        </w:tc>
        <w:tc>
          <w:tcPr>
            <w:tcW w:w="1110" w:type="dxa"/>
            <w:vAlign w:val="center"/>
          </w:tcPr>
          <w:p w14:paraId="779E7A03"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17,752</w:t>
            </w:r>
          </w:p>
        </w:tc>
        <w:tc>
          <w:tcPr>
            <w:tcW w:w="1360" w:type="dxa"/>
            <w:vAlign w:val="center"/>
          </w:tcPr>
          <w:p w14:paraId="15BBAA3F"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5.33%</w:t>
            </w:r>
          </w:p>
        </w:tc>
      </w:tr>
      <w:tr w:rsidR="002F0202" w:rsidRPr="00E82749" w14:paraId="5D14B72F" w14:textId="77777777" w:rsidTr="003620E7">
        <w:trPr>
          <w:cantSplit/>
        </w:trPr>
        <w:tc>
          <w:tcPr>
            <w:tcW w:w="781" w:type="dxa"/>
            <w:vAlign w:val="center"/>
          </w:tcPr>
          <w:p w14:paraId="2F9A40F9" w14:textId="77777777" w:rsidR="002F0202" w:rsidRPr="002F0202" w:rsidRDefault="002F0202" w:rsidP="00D80E2E">
            <w:pPr>
              <w:spacing w:before="100" w:beforeAutospacing="1" w:after="100" w:afterAutospacing="1"/>
              <w:jc w:val="center"/>
              <w:rPr>
                <w:rFonts w:ascii="Arial" w:hAnsi="Arial" w:cs="Arial"/>
                <w:sz w:val="18"/>
                <w:szCs w:val="18"/>
                <w:lang w:val="en-GB"/>
              </w:rPr>
            </w:pPr>
            <w:r w:rsidRPr="002F0202">
              <w:rPr>
                <w:rFonts w:ascii="Arial" w:hAnsi="Arial" w:cs="Arial"/>
                <w:sz w:val="18"/>
                <w:szCs w:val="18"/>
                <w:lang w:val="en-GB"/>
              </w:rPr>
              <w:t>58121</w:t>
            </w:r>
          </w:p>
        </w:tc>
        <w:tc>
          <w:tcPr>
            <w:tcW w:w="3443" w:type="dxa"/>
          </w:tcPr>
          <w:p w14:paraId="4BBB68A6" w14:textId="77777777" w:rsidR="002F0202" w:rsidRPr="002F0202" w:rsidRDefault="002F0202" w:rsidP="0053671F">
            <w:pPr>
              <w:spacing w:before="0" w:after="0"/>
              <w:rPr>
                <w:rFonts w:ascii="Arial" w:hAnsi="Arial" w:cs="Arial"/>
                <w:b/>
                <w:sz w:val="18"/>
                <w:szCs w:val="18"/>
                <w:lang w:val="en-GB"/>
              </w:rPr>
            </w:pPr>
            <w:r w:rsidRPr="00D80E2E">
              <w:rPr>
                <w:rFonts w:ascii="Arial" w:hAnsi="Arial" w:cs="Arial"/>
                <w:color w:val="222222"/>
                <w:sz w:val="18"/>
                <w:szCs w:val="18"/>
              </w:rPr>
              <w:t xml:space="preserve">Spine, three examinations of the kind mentioned in items 58100, 58103, 58106 and 58109 (R), if the service to which item </w:t>
            </w:r>
            <w:r w:rsidRPr="003620E7">
              <w:rPr>
                <w:rFonts w:ascii="Arial" w:hAnsi="Arial" w:cs="Arial"/>
                <w:color w:val="222222"/>
                <w:sz w:val="18"/>
                <w:szCs w:val="18"/>
              </w:rPr>
              <w:t>58120</w:t>
            </w:r>
            <w:r w:rsidRPr="00D80E2E">
              <w:rPr>
                <w:rFonts w:ascii="Arial" w:hAnsi="Arial" w:cs="Arial"/>
                <w:color w:val="222222"/>
                <w:sz w:val="18"/>
                <w:szCs w:val="18"/>
              </w:rPr>
              <w:t xml:space="preserve"> or 58121 applies has not been performed on the same patient within the same calendar year</w:t>
            </w:r>
          </w:p>
        </w:tc>
        <w:tc>
          <w:tcPr>
            <w:tcW w:w="890" w:type="dxa"/>
            <w:vAlign w:val="center"/>
          </w:tcPr>
          <w:p w14:paraId="6FAA7A20"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color w:val="222222"/>
                <w:sz w:val="18"/>
                <w:szCs w:val="18"/>
              </w:rPr>
              <w:t>$110.00</w:t>
            </w:r>
          </w:p>
        </w:tc>
        <w:tc>
          <w:tcPr>
            <w:tcW w:w="1058" w:type="dxa"/>
            <w:vAlign w:val="center"/>
          </w:tcPr>
          <w:p w14:paraId="7A1C04F3"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10,500,320</w:t>
            </w:r>
          </w:p>
        </w:tc>
        <w:tc>
          <w:tcPr>
            <w:tcW w:w="1110" w:type="dxa"/>
            <w:vAlign w:val="center"/>
          </w:tcPr>
          <w:p w14:paraId="1FF6CAB3"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100,728</w:t>
            </w:r>
          </w:p>
        </w:tc>
        <w:tc>
          <w:tcPr>
            <w:tcW w:w="1360" w:type="dxa"/>
            <w:vAlign w:val="center"/>
          </w:tcPr>
          <w:p w14:paraId="59CB0892"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-8.42%</w:t>
            </w:r>
          </w:p>
        </w:tc>
      </w:tr>
      <w:tr w:rsidR="002F0202" w:rsidRPr="00E82749" w14:paraId="49FD0706" w14:textId="77777777" w:rsidTr="003620E7">
        <w:trPr>
          <w:cantSplit/>
        </w:trPr>
        <w:tc>
          <w:tcPr>
            <w:tcW w:w="781" w:type="dxa"/>
            <w:vAlign w:val="center"/>
          </w:tcPr>
          <w:p w14:paraId="7EC4605C" w14:textId="77777777" w:rsidR="002F0202" w:rsidRPr="002F0202" w:rsidRDefault="002F0202" w:rsidP="00D80E2E">
            <w:pPr>
              <w:spacing w:before="100" w:beforeAutospacing="1" w:after="100" w:afterAutospacing="1"/>
              <w:jc w:val="center"/>
              <w:rPr>
                <w:rFonts w:ascii="Arial" w:hAnsi="Arial" w:cs="Arial"/>
                <w:sz w:val="18"/>
                <w:szCs w:val="18"/>
                <w:lang w:val="en-GB"/>
              </w:rPr>
            </w:pPr>
            <w:r w:rsidRPr="002F0202">
              <w:rPr>
                <w:rFonts w:ascii="Arial" w:hAnsi="Arial" w:cs="Arial"/>
                <w:sz w:val="18"/>
                <w:szCs w:val="18"/>
                <w:lang w:val="en-GB"/>
              </w:rPr>
              <w:t>59700</w:t>
            </w:r>
          </w:p>
        </w:tc>
        <w:tc>
          <w:tcPr>
            <w:tcW w:w="3443" w:type="dxa"/>
          </w:tcPr>
          <w:p w14:paraId="4EB1A4E7" w14:textId="77777777" w:rsidR="002F0202" w:rsidRPr="002F0202" w:rsidRDefault="002F0202" w:rsidP="0053671F">
            <w:pPr>
              <w:spacing w:before="0" w:after="0"/>
              <w:rPr>
                <w:rFonts w:ascii="Arial" w:hAnsi="Arial" w:cs="Arial"/>
                <w:b/>
                <w:sz w:val="18"/>
                <w:szCs w:val="18"/>
                <w:lang w:val="en-GB"/>
              </w:rPr>
            </w:pPr>
            <w:r w:rsidRPr="00D80E2E">
              <w:rPr>
                <w:rFonts w:ascii="Arial" w:hAnsi="Arial" w:cs="Arial"/>
                <w:color w:val="222222"/>
                <w:sz w:val="18"/>
                <w:szCs w:val="18"/>
              </w:rPr>
              <w:t>DISCOGRAPHY, each disc, with or without preliminary plain films and with preparation and contrast injection - (R)</w:t>
            </w:r>
          </w:p>
        </w:tc>
        <w:tc>
          <w:tcPr>
            <w:tcW w:w="890" w:type="dxa"/>
            <w:vAlign w:val="center"/>
          </w:tcPr>
          <w:p w14:paraId="101018F3"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color w:val="222222"/>
                <w:sz w:val="18"/>
                <w:szCs w:val="18"/>
              </w:rPr>
              <w:t>$96.55</w:t>
            </w:r>
          </w:p>
        </w:tc>
        <w:tc>
          <w:tcPr>
            <w:tcW w:w="1058" w:type="dxa"/>
            <w:vAlign w:val="center"/>
          </w:tcPr>
          <w:p w14:paraId="5499CC63"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110,342</w:t>
            </w:r>
          </w:p>
        </w:tc>
        <w:tc>
          <w:tcPr>
            <w:tcW w:w="1110" w:type="dxa"/>
            <w:vAlign w:val="center"/>
          </w:tcPr>
          <w:p w14:paraId="2B42CEF4"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1,503</w:t>
            </w:r>
          </w:p>
        </w:tc>
        <w:tc>
          <w:tcPr>
            <w:tcW w:w="1360" w:type="dxa"/>
            <w:vAlign w:val="center"/>
          </w:tcPr>
          <w:p w14:paraId="3D0A2A14"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-2.51%</w:t>
            </w:r>
          </w:p>
        </w:tc>
      </w:tr>
      <w:tr w:rsidR="002F0202" w:rsidRPr="00E82749" w14:paraId="5327B43A" w14:textId="77777777" w:rsidTr="003620E7">
        <w:trPr>
          <w:cantSplit/>
        </w:trPr>
        <w:tc>
          <w:tcPr>
            <w:tcW w:w="781" w:type="dxa"/>
            <w:vAlign w:val="center"/>
          </w:tcPr>
          <w:p w14:paraId="0B034F25" w14:textId="77777777" w:rsidR="002F0202" w:rsidRPr="002F0202" w:rsidRDefault="002F0202" w:rsidP="00D80E2E">
            <w:pPr>
              <w:spacing w:before="100" w:beforeAutospacing="1" w:after="100" w:afterAutospacing="1"/>
              <w:jc w:val="center"/>
              <w:rPr>
                <w:rFonts w:ascii="Arial" w:hAnsi="Arial" w:cs="Arial"/>
                <w:sz w:val="18"/>
                <w:szCs w:val="18"/>
                <w:lang w:val="en-GB"/>
              </w:rPr>
            </w:pPr>
            <w:r w:rsidRPr="002F0202">
              <w:rPr>
                <w:rFonts w:ascii="Arial" w:hAnsi="Arial" w:cs="Arial"/>
                <w:sz w:val="18"/>
                <w:szCs w:val="18"/>
                <w:lang w:val="en-GB"/>
              </w:rPr>
              <w:t>59724</w:t>
            </w:r>
          </w:p>
        </w:tc>
        <w:tc>
          <w:tcPr>
            <w:tcW w:w="3443" w:type="dxa"/>
          </w:tcPr>
          <w:p w14:paraId="18FFE961" w14:textId="77777777" w:rsidR="002F0202" w:rsidRPr="002F0202" w:rsidRDefault="002F0202" w:rsidP="0053671F">
            <w:pPr>
              <w:spacing w:before="0" w:after="0"/>
              <w:rPr>
                <w:rFonts w:ascii="Arial" w:hAnsi="Arial" w:cs="Arial"/>
                <w:b/>
                <w:sz w:val="18"/>
                <w:szCs w:val="18"/>
                <w:lang w:val="en-GB"/>
              </w:rPr>
            </w:pPr>
            <w:r w:rsidRPr="00D80E2E">
              <w:rPr>
                <w:rFonts w:ascii="Arial" w:hAnsi="Arial" w:cs="Arial"/>
                <w:color w:val="222222"/>
                <w:sz w:val="18"/>
                <w:szCs w:val="18"/>
              </w:rPr>
              <w:t xml:space="preserve">COMPUTED TOMOGRAPHY - scan of spine, 1 or more regions with intrathecal contrast medium, including the preparation for intrathecal injection of contrast medium and any associated plain X-rays, not being a service to which item </w:t>
            </w:r>
            <w:r w:rsidRPr="003620E7">
              <w:rPr>
                <w:rFonts w:ascii="Arial" w:hAnsi="Arial" w:cs="Arial"/>
                <w:color w:val="222222"/>
                <w:sz w:val="18"/>
                <w:szCs w:val="18"/>
              </w:rPr>
              <w:t>59724</w:t>
            </w:r>
            <w:r w:rsidRPr="00D80E2E">
              <w:rPr>
                <w:rFonts w:ascii="Arial" w:hAnsi="Arial" w:cs="Arial"/>
                <w:color w:val="222222"/>
                <w:sz w:val="18"/>
                <w:szCs w:val="18"/>
              </w:rPr>
              <w:t xml:space="preserve"> applies (R) (K) (Anaes.)</w:t>
            </w:r>
          </w:p>
        </w:tc>
        <w:tc>
          <w:tcPr>
            <w:tcW w:w="890" w:type="dxa"/>
            <w:vAlign w:val="center"/>
          </w:tcPr>
          <w:p w14:paraId="2CA8E4CA"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color w:val="222222"/>
                <w:sz w:val="18"/>
                <w:szCs w:val="18"/>
              </w:rPr>
              <w:t>$326.20</w:t>
            </w:r>
          </w:p>
        </w:tc>
        <w:tc>
          <w:tcPr>
            <w:tcW w:w="1058" w:type="dxa"/>
            <w:vAlign w:val="center"/>
          </w:tcPr>
          <w:p w14:paraId="665DD5D9"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72,738</w:t>
            </w:r>
          </w:p>
        </w:tc>
        <w:tc>
          <w:tcPr>
            <w:tcW w:w="1110" w:type="dxa"/>
            <w:vAlign w:val="center"/>
          </w:tcPr>
          <w:p w14:paraId="38E1D613"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409</w:t>
            </w:r>
          </w:p>
        </w:tc>
        <w:tc>
          <w:tcPr>
            <w:tcW w:w="1360" w:type="dxa"/>
            <w:vAlign w:val="center"/>
          </w:tcPr>
          <w:p w14:paraId="4ADE747D" w14:textId="77777777" w:rsidR="002F0202" w:rsidRPr="002F0202" w:rsidRDefault="002F0202" w:rsidP="00D80E2E">
            <w:pPr>
              <w:spacing w:before="100" w:beforeAutospacing="1" w:after="100" w:afterAutospacing="1"/>
              <w:jc w:val="center"/>
              <w:rPr>
                <w:rFonts w:ascii="Arial" w:hAnsi="Arial" w:cs="Arial"/>
                <w:b/>
                <w:sz w:val="18"/>
                <w:szCs w:val="18"/>
                <w:lang w:val="en-GB"/>
              </w:rPr>
            </w:pPr>
            <w:r w:rsidRPr="00D80E2E">
              <w:rPr>
                <w:rFonts w:ascii="Arial" w:hAnsi="Arial" w:cs="Arial"/>
                <w:sz w:val="18"/>
                <w:szCs w:val="18"/>
              </w:rPr>
              <w:t>-4.58%</w:t>
            </w:r>
          </w:p>
        </w:tc>
      </w:tr>
      <w:tr w:rsidR="008761B5" w:rsidRPr="00E82749" w14:paraId="05442139" w14:textId="77777777" w:rsidTr="003620E7">
        <w:trPr>
          <w:cantSplit/>
        </w:trPr>
        <w:tc>
          <w:tcPr>
            <w:tcW w:w="781" w:type="dxa"/>
            <w:vAlign w:val="center"/>
          </w:tcPr>
          <w:p w14:paraId="353A0696"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63151</w:t>
            </w:r>
          </w:p>
        </w:tc>
        <w:tc>
          <w:tcPr>
            <w:tcW w:w="3443" w:type="dxa"/>
          </w:tcPr>
          <w:p w14:paraId="0E1B8974" w14:textId="77777777" w:rsidR="008761B5" w:rsidRPr="00E57A44"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5174DC44" w14:textId="77777777" w:rsidR="008761B5" w:rsidRPr="00D80E2E" w:rsidRDefault="008761B5" w:rsidP="0053671F">
            <w:pPr>
              <w:shd w:val="clear" w:color="auto" w:fill="FBFBFB"/>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infection (R) (Contrast) (Anaes.)</w:t>
            </w:r>
          </w:p>
        </w:tc>
        <w:tc>
          <w:tcPr>
            <w:tcW w:w="890" w:type="dxa"/>
            <w:vAlign w:val="center"/>
          </w:tcPr>
          <w:p w14:paraId="0B32EE3B"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$358.40</w:t>
            </w:r>
          </w:p>
        </w:tc>
        <w:tc>
          <w:tcPr>
            <w:tcW w:w="1058" w:type="dxa"/>
            <w:vAlign w:val="center"/>
          </w:tcPr>
          <w:p w14:paraId="3BE9F286"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3,558</w:t>
            </w:r>
          </w:p>
        </w:tc>
        <w:tc>
          <w:tcPr>
            <w:tcW w:w="1110" w:type="dxa"/>
            <w:vAlign w:val="center"/>
          </w:tcPr>
          <w:p w14:paraId="1909D526"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$1,180,420</w:t>
            </w:r>
          </w:p>
        </w:tc>
        <w:tc>
          <w:tcPr>
            <w:tcW w:w="1360" w:type="dxa"/>
            <w:vAlign w:val="center"/>
          </w:tcPr>
          <w:p w14:paraId="2942DDCF"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13.32%</w:t>
            </w:r>
          </w:p>
        </w:tc>
      </w:tr>
      <w:tr w:rsidR="008761B5" w:rsidRPr="00E82749" w14:paraId="266B1D01" w14:textId="77777777" w:rsidTr="003620E7">
        <w:trPr>
          <w:cantSplit/>
        </w:trPr>
        <w:tc>
          <w:tcPr>
            <w:tcW w:w="781" w:type="dxa"/>
            <w:vAlign w:val="center"/>
          </w:tcPr>
          <w:p w14:paraId="21BB4513"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lastRenderedPageBreak/>
              <w:t>63201</w:t>
            </w:r>
          </w:p>
        </w:tc>
        <w:tc>
          <w:tcPr>
            <w:tcW w:w="3443" w:type="dxa"/>
          </w:tcPr>
          <w:p w14:paraId="2855BAAD" w14:textId="77777777" w:rsidR="008761B5" w:rsidRPr="00E57A44"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three contiguous regions or two non-contiguous regions of the spine for:</w:t>
            </w:r>
          </w:p>
          <w:p w14:paraId="7BE75157" w14:textId="77777777" w:rsidR="008761B5" w:rsidRPr="00D80E2E" w:rsidRDefault="008761B5" w:rsidP="0053671F">
            <w:pPr>
              <w:shd w:val="clear" w:color="auto" w:fill="FBFBFB"/>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infection (R) (Contrast)</w:t>
            </w:r>
          </w:p>
        </w:tc>
        <w:tc>
          <w:tcPr>
            <w:tcW w:w="890" w:type="dxa"/>
            <w:vAlign w:val="center"/>
          </w:tcPr>
          <w:p w14:paraId="74287648"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$448.00</w:t>
            </w:r>
          </w:p>
        </w:tc>
        <w:tc>
          <w:tcPr>
            <w:tcW w:w="1058" w:type="dxa"/>
            <w:vAlign w:val="center"/>
          </w:tcPr>
          <w:p w14:paraId="4F4E95C7"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1,269</w:t>
            </w:r>
          </w:p>
        </w:tc>
        <w:tc>
          <w:tcPr>
            <w:tcW w:w="1110" w:type="dxa"/>
            <w:vAlign w:val="center"/>
          </w:tcPr>
          <w:p w14:paraId="14D4C33F"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$518,657</w:t>
            </w:r>
          </w:p>
        </w:tc>
        <w:tc>
          <w:tcPr>
            <w:tcW w:w="1360" w:type="dxa"/>
            <w:vAlign w:val="center"/>
          </w:tcPr>
          <w:p w14:paraId="4152F418"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10.25%</w:t>
            </w:r>
          </w:p>
        </w:tc>
      </w:tr>
      <w:tr w:rsidR="008761B5" w:rsidRPr="00E82749" w14:paraId="12BF11F5" w14:textId="77777777" w:rsidTr="003620E7">
        <w:trPr>
          <w:cantSplit/>
        </w:trPr>
        <w:tc>
          <w:tcPr>
            <w:tcW w:w="781" w:type="dxa"/>
            <w:vAlign w:val="center"/>
          </w:tcPr>
          <w:p w14:paraId="7644727F"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63154</w:t>
            </w:r>
          </w:p>
        </w:tc>
        <w:tc>
          <w:tcPr>
            <w:tcW w:w="3443" w:type="dxa"/>
          </w:tcPr>
          <w:p w14:paraId="3AE968C0" w14:textId="77777777" w:rsidR="008761B5" w:rsidRPr="00E57A44"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276455E8" w14:textId="77777777" w:rsidR="008761B5" w:rsidRPr="00D80E2E" w:rsidRDefault="008761B5" w:rsidP="0053671F">
            <w:pPr>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tumour (R) (Contrast) (Anaes.)</w:t>
            </w:r>
          </w:p>
        </w:tc>
        <w:tc>
          <w:tcPr>
            <w:tcW w:w="890" w:type="dxa"/>
            <w:vAlign w:val="center"/>
          </w:tcPr>
          <w:p w14:paraId="4F407C0C"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$358.40</w:t>
            </w:r>
          </w:p>
        </w:tc>
        <w:tc>
          <w:tcPr>
            <w:tcW w:w="1058" w:type="dxa"/>
            <w:vAlign w:val="center"/>
          </w:tcPr>
          <w:p w14:paraId="77E3BF3C"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6,859</w:t>
            </w:r>
          </w:p>
        </w:tc>
        <w:tc>
          <w:tcPr>
            <w:tcW w:w="1110" w:type="dxa"/>
            <w:vAlign w:val="center"/>
          </w:tcPr>
          <w:p w14:paraId="772C49B2"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$2,346,335</w:t>
            </w:r>
          </w:p>
        </w:tc>
        <w:tc>
          <w:tcPr>
            <w:tcW w:w="1360" w:type="dxa"/>
            <w:vAlign w:val="center"/>
          </w:tcPr>
          <w:p w14:paraId="791416E4"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6.21%</w:t>
            </w:r>
          </w:p>
        </w:tc>
      </w:tr>
      <w:tr w:rsidR="008761B5" w:rsidRPr="00E82749" w14:paraId="39FB4564" w14:textId="77777777" w:rsidTr="003620E7">
        <w:trPr>
          <w:cantSplit/>
        </w:trPr>
        <w:tc>
          <w:tcPr>
            <w:tcW w:w="781" w:type="dxa"/>
            <w:vAlign w:val="center"/>
          </w:tcPr>
          <w:p w14:paraId="4720917C"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63204</w:t>
            </w:r>
          </w:p>
        </w:tc>
        <w:tc>
          <w:tcPr>
            <w:tcW w:w="3443" w:type="dxa"/>
          </w:tcPr>
          <w:p w14:paraId="477A25B4" w14:textId="77777777" w:rsidR="008761B5" w:rsidRPr="00E57A44"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three contiguous regions or two non-contiguous regions of the spine for:</w:t>
            </w:r>
          </w:p>
          <w:p w14:paraId="34053432" w14:textId="77777777" w:rsidR="008761B5" w:rsidRPr="00D80E2E" w:rsidRDefault="008761B5" w:rsidP="0053671F">
            <w:pPr>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tumour (R) (Contrast) (Anaes.)</w:t>
            </w:r>
          </w:p>
        </w:tc>
        <w:tc>
          <w:tcPr>
            <w:tcW w:w="890" w:type="dxa"/>
            <w:vAlign w:val="center"/>
          </w:tcPr>
          <w:p w14:paraId="46B038C8"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$448.00</w:t>
            </w:r>
          </w:p>
        </w:tc>
        <w:tc>
          <w:tcPr>
            <w:tcW w:w="1058" w:type="dxa"/>
            <w:vAlign w:val="center"/>
          </w:tcPr>
          <w:p w14:paraId="717F2998"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7,253</w:t>
            </w:r>
          </w:p>
        </w:tc>
        <w:tc>
          <w:tcPr>
            <w:tcW w:w="1110" w:type="dxa"/>
            <w:vAlign w:val="center"/>
          </w:tcPr>
          <w:p w14:paraId="366B9D5D"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$3,100,757</w:t>
            </w:r>
          </w:p>
        </w:tc>
        <w:tc>
          <w:tcPr>
            <w:tcW w:w="1360" w:type="dxa"/>
            <w:vAlign w:val="center"/>
          </w:tcPr>
          <w:p w14:paraId="5980B70D"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6.31%</w:t>
            </w:r>
          </w:p>
        </w:tc>
      </w:tr>
      <w:tr w:rsidR="008761B5" w:rsidRPr="00E82749" w14:paraId="77FE3DEC" w14:textId="77777777" w:rsidTr="003620E7">
        <w:trPr>
          <w:cantSplit/>
        </w:trPr>
        <w:tc>
          <w:tcPr>
            <w:tcW w:w="781" w:type="dxa"/>
            <w:vAlign w:val="center"/>
          </w:tcPr>
          <w:p w14:paraId="77A1D4BB"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63164</w:t>
            </w:r>
          </w:p>
        </w:tc>
        <w:tc>
          <w:tcPr>
            <w:tcW w:w="3443" w:type="dxa"/>
          </w:tcPr>
          <w:p w14:paraId="166B0E1C" w14:textId="77777777" w:rsidR="008761B5" w:rsidRPr="00E57A44"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24090B89" w14:textId="77777777" w:rsidR="008761B5" w:rsidRPr="00D80E2E" w:rsidRDefault="008761B5" w:rsidP="0053671F">
            <w:pPr>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congenital malformation of the spinal cord or the cauda equina or the meninges (R) (Contrast) (Anaes.)</w:t>
            </w:r>
          </w:p>
        </w:tc>
        <w:tc>
          <w:tcPr>
            <w:tcW w:w="890" w:type="dxa"/>
            <w:vAlign w:val="center"/>
          </w:tcPr>
          <w:p w14:paraId="0A0C4590"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$358.40</w:t>
            </w:r>
          </w:p>
        </w:tc>
        <w:tc>
          <w:tcPr>
            <w:tcW w:w="1058" w:type="dxa"/>
            <w:vAlign w:val="center"/>
          </w:tcPr>
          <w:p w14:paraId="13D56109"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823</w:t>
            </w:r>
          </w:p>
        </w:tc>
        <w:tc>
          <w:tcPr>
            <w:tcW w:w="1110" w:type="dxa"/>
            <w:vAlign w:val="center"/>
          </w:tcPr>
          <w:p w14:paraId="7BF840D3"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$284,907</w:t>
            </w:r>
          </w:p>
        </w:tc>
        <w:tc>
          <w:tcPr>
            <w:tcW w:w="1360" w:type="dxa"/>
            <w:vAlign w:val="center"/>
          </w:tcPr>
          <w:p w14:paraId="7DDBE572"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-0.43%</w:t>
            </w:r>
          </w:p>
        </w:tc>
      </w:tr>
      <w:tr w:rsidR="008761B5" w:rsidRPr="00E82749" w14:paraId="23EB0D3B" w14:textId="77777777" w:rsidTr="003620E7">
        <w:trPr>
          <w:cantSplit/>
        </w:trPr>
        <w:tc>
          <w:tcPr>
            <w:tcW w:w="781" w:type="dxa"/>
            <w:vAlign w:val="center"/>
          </w:tcPr>
          <w:p w14:paraId="6F9A7C25"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lastRenderedPageBreak/>
              <w:t>63222</w:t>
            </w:r>
          </w:p>
        </w:tc>
        <w:tc>
          <w:tcPr>
            <w:tcW w:w="3443" w:type="dxa"/>
          </w:tcPr>
          <w:p w14:paraId="1499898F" w14:textId="77777777" w:rsidR="008761B5" w:rsidRPr="00946C79"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w:t>
            </w:r>
            <w:r w:rsidRPr="00946C79">
              <w:rPr>
                <w:rFonts w:ascii="Arial" w:eastAsiaTheme="minorHAnsi" w:hAnsi="Arial" w:cs="Arial"/>
                <w:sz w:val="18"/>
                <w:szCs w:val="18"/>
                <w:lang w:val="en-GB" w:eastAsia="en-US"/>
              </w:rPr>
              <w:t>l supervision of an eligible provider at an eligible location where the patient is referred by a specialist or by a consultant physician - scan of three contiguous regions or two non contiguous regions of the spine for:</w:t>
            </w:r>
          </w:p>
          <w:p w14:paraId="613EFF00" w14:textId="77777777" w:rsidR="008761B5" w:rsidRPr="00D80E2E" w:rsidRDefault="008761B5" w:rsidP="0053671F">
            <w:pPr>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congenital malformation of the spinal cord or the cauda equina or the meninges (R) (Contrast) (Anaes.)</w:t>
            </w:r>
          </w:p>
        </w:tc>
        <w:tc>
          <w:tcPr>
            <w:tcW w:w="890" w:type="dxa"/>
            <w:vAlign w:val="center"/>
          </w:tcPr>
          <w:p w14:paraId="48C98ADA"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$448.00</w:t>
            </w:r>
          </w:p>
        </w:tc>
        <w:tc>
          <w:tcPr>
            <w:tcW w:w="1058" w:type="dxa"/>
            <w:vAlign w:val="center"/>
          </w:tcPr>
          <w:p w14:paraId="76E09D97"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1,997</w:t>
            </w:r>
          </w:p>
        </w:tc>
        <w:tc>
          <w:tcPr>
            <w:tcW w:w="1110" w:type="dxa"/>
            <w:vAlign w:val="center"/>
          </w:tcPr>
          <w:p w14:paraId="220AA63D"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$868,181</w:t>
            </w:r>
          </w:p>
        </w:tc>
        <w:tc>
          <w:tcPr>
            <w:tcW w:w="1360" w:type="dxa"/>
            <w:vAlign w:val="center"/>
          </w:tcPr>
          <w:p w14:paraId="0D9839B8"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4.96%</w:t>
            </w:r>
          </w:p>
        </w:tc>
      </w:tr>
      <w:tr w:rsidR="008761B5" w:rsidRPr="00E82749" w14:paraId="4362F691" w14:textId="77777777" w:rsidTr="003620E7">
        <w:trPr>
          <w:cantSplit/>
        </w:trPr>
        <w:tc>
          <w:tcPr>
            <w:tcW w:w="781" w:type="dxa"/>
            <w:vAlign w:val="center"/>
          </w:tcPr>
          <w:p w14:paraId="0B674B8E"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63176</w:t>
            </w:r>
          </w:p>
        </w:tc>
        <w:tc>
          <w:tcPr>
            <w:tcW w:w="3443" w:type="dxa"/>
          </w:tcPr>
          <w:p w14:paraId="14CA4621" w14:textId="77777777" w:rsidR="008761B5" w:rsidRPr="00946C79"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w:t>
            </w:r>
            <w:r w:rsidRPr="00946C79">
              <w:rPr>
                <w:rFonts w:ascii="Arial" w:eastAsiaTheme="minorHAnsi" w:hAnsi="Arial" w:cs="Arial"/>
                <w:sz w:val="18"/>
                <w:szCs w:val="18"/>
                <w:lang w:val="en-GB" w:eastAsia="en-US"/>
              </w:rPr>
              <w:t>y a specialist or by a consultant physician - scan of one region or two contiguous regions of the spine for:</w:t>
            </w:r>
          </w:p>
          <w:p w14:paraId="2EF114AA" w14:textId="77777777" w:rsidR="008761B5" w:rsidRPr="00D80E2E" w:rsidRDefault="008761B5" w:rsidP="0053671F">
            <w:pPr>
              <w:shd w:val="clear" w:color="auto" w:fill="FBFBFB"/>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sciatica (R) (Contrast) (Anaes.)</w:t>
            </w:r>
          </w:p>
        </w:tc>
        <w:tc>
          <w:tcPr>
            <w:tcW w:w="890" w:type="dxa"/>
            <w:vAlign w:val="center"/>
          </w:tcPr>
          <w:p w14:paraId="71B28BD5"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$358.40</w:t>
            </w:r>
          </w:p>
        </w:tc>
        <w:tc>
          <w:tcPr>
            <w:tcW w:w="1058" w:type="dxa"/>
            <w:vAlign w:val="center"/>
          </w:tcPr>
          <w:p w14:paraId="69AB4E8E"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52,469</w:t>
            </w:r>
          </w:p>
        </w:tc>
        <w:tc>
          <w:tcPr>
            <w:tcW w:w="1110" w:type="dxa"/>
            <w:vAlign w:val="center"/>
          </w:tcPr>
          <w:p w14:paraId="6BF1983E"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$18,089,029</w:t>
            </w:r>
          </w:p>
        </w:tc>
        <w:tc>
          <w:tcPr>
            <w:tcW w:w="1360" w:type="dxa"/>
            <w:vAlign w:val="center"/>
          </w:tcPr>
          <w:p w14:paraId="2E6A69A0"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3.75%</w:t>
            </w:r>
          </w:p>
        </w:tc>
      </w:tr>
      <w:tr w:rsidR="008761B5" w:rsidRPr="00E82749" w14:paraId="3C9C063C" w14:textId="77777777" w:rsidTr="003620E7">
        <w:trPr>
          <w:cantSplit/>
        </w:trPr>
        <w:tc>
          <w:tcPr>
            <w:tcW w:w="781" w:type="dxa"/>
            <w:vAlign w:val="center"/>
          </w:tcPr>
          <w:p w14:paraId="4699F18A"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63234</w:t>
            </w:r>
          </w:p>
        </w:tc>
        <w:tc>
          <w:tcPr>
            <w:tcW w:w="3443" w:type="dxa"/>
          </w:tcPr>
          <w:p w14:paraId="1AD4254F" w14:textId="77777777" w:rsidR="008761B5" w:rsidRPr="00946C79"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 xml:space="preserve">MAGNETIC RESONANCE IMAGING performed under the professional supervision </w:t>
            </w:r>
            <w:r w:rsidRPr="00946C79">
              <w:rPr>
                <w:rFonts w:ascii="Arial" w:eastAsiaTheme="minorHAnsi" w:hAnsi="Arial" w:cs="Arial"/>
                <w:sz w:val="18"/>
                <w:szCs w:val="18"/>
                <w:lang w:val="en-GB" w:eastAsia="en-US"/>
              </w:rPr>
              <w:t>of an eligible provider at an eligible location where the patient is referred by a specialist or by a consultant physician - scan of three contiguous regions or two non-contiguous regions of the spine for:</w:t>
            </w:r>
          </w:p>
          <w:p w14:paraId="57A809EF" w14:textId="77777777" w:rsidR="008761B5" w:rsidRPr="00D80E2E" w:rsidRDefault="008761B5" w:rsidP="0053671F">
            <w:pPr>
              <w:shd w:val="clear" w:color="auto" w:fill="FBFBFB"/>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sciatica (R) (Contrast) (Anaes.)</w:t>
            </w:r>
          </w:p>
        </w:tc>
        <w:tc>
          <w:tcPr>
            <w:tcW w:w="890" w:type="dxa"/>
            <w:vAlign w:val="center"/>
          </w:tcPr>
          <w:p w14:paraId="6492058A"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$448.00</w:t>
            </w:r>
          </w:p>
        </w:tc>
        <w:tc>
          <w:tcPr>
            <w:tcW w:w="1058" w:type="dxa"/>
            <w:vAlign w:val="center"/>
          </w:tcPr>
          <w:p w14:paraId="50EB78AA"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2,483</w:t>
            </w:r>
          </w:p>
        </w:tc>
        <w:tc>
          <w:tcPr>
            <w:tcW w:w="1110" w:type="dxa"/>
            <w:vAlign w:val="center"/>
          </w:tcPr>
          <w:p w14:paraId="7481036C"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$1,064,088</w:t>
            </w:r>
          </w:p>
        </w:tc>
        <w:tc>
          <w:tcPr>
            <w:tcW w:w="1360" w:type="dxa"/>
            <w:vAlign w:val="center"/>
          </w:tcPr>
          <w:p w14:paraId="146D3522"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5.54%</w:t>
            </w:r>
          </w:p>
        </w:tc>
      </w:tr>
      <w:tr w:rsidR="008761B5" w:rsidRPr="00E82749" w14:paraId="7C392FD6" w14:textId="77777777" w:rsidTr="003620E7">
        <w:trPr>
          <w:cantSplit/>
        </w:trPr>
        <w:tc>
          <w:tcPr>
            <w:tcW w:w="781" w:type="dxa"/>
            <w:vAlign w:val="center"/>
          </w:tcPr>
          <w:p w14:paraId="48A7FE11"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63179</w:t>
            </w:r>
          </w:p>
        </w:tc>
        <w:tc>
          <w:tcPr>
            <w:tcW w:w="3443" w:type="dxa"/>
          </w:tcPr>
          <w:p w14:paraId="6FCABCF2" w14:textId="77777777" w:rsidR="008761B5" w:rsidRPr="00E57A44"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referred by a specialist or by a consultant physician - scan of one region or two contiguous regions of the spine for:</w:t>
            </w:r>
          </w:p>
          <w:p w14:paraId="4FBF89E6" w14:textId="77777777" w:rsidR="008761B5" w:rsidRPr="00D80E2E" w:rsidRDefault="008761B5" w:rsidP="0053671F">
            <w:pPr>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spinal canal stenosis (R) (Contrast) (Anaes.)</w:t>
            </w:r>
          </w:p>
        </w:tc>
        <w:tc>
          <w:tcPr>
            <w:tcW w:w="890" w:type="dxa"/>
            <w:vAlign w:val="center"/>
          </w:tcPr>
          <w:p w14:paraId="021A0B4F"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$358.40</w:t>
            </w:r>
          </w:p>
        </w:tc>
        <w:tc>
          <w:tcPr>
            <w:tcW w:w="1058" w:type="dxa"/>
            <w:vAlign w:val="center"/>
          </w:tcPr>
          <w:p w14:paraId="3C308581"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19,358</w:t>
            </w:r>
          </w:p>
        </w:tc>
        <w:tc>
          <w:tcPr>
            <w:tcW w:w="1110" w:type="dxa"/>
            <w:vAlign w:val="center"/>
          </w:tcPr>
          <w:p w14:paraId="2C7E7B5C"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$6,724,202</w:t>
            </w:r>
          </w:p>
        </w:tc>
        <w:tc>
          <w:tcPr>
            <w:tcW w:w="1360" w:type="dxa"/>
            <w:vAlign w:val="center"/>
          </w:tcPr>
          <w:p w14:paraId="0B4F4C92"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6.82%</w:t>
            </w:r>
          </w:p>
        </w:tc>
      </w:tr>
      <w:tr w:rsidR="008761B5" w:rsidRPr="00E82749" w14:paraId="7D75BE6B" w14:textId="77777777" w:rsidTr="003620E7">
        <w:trPr>
          <w:cantSplit/>
        </w:trPr>
        <w:tc>
          <w:tcPr>
            <w:tcW w:w="781" w:type="dxa"/>
            <w:vAlign w:val="center"/>
          </w:tcPr>
          <w:p w14:paraId="38ED2ACA"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lastRenderedPageBreak/>
              <w:t>63237</w:t>
            </w:r>
          </w:p>
        </w:tc>
        <w:tc>
          <w:tcPr>
            <w:tcW w:w="3443" w:type="dxa"/>
          </w:tcPr>
          <w:p w14:paraId="7D8F5F92" w14:textId="77777777" w:rsidR="008761B5" w:rsidRPr="00946C79"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performed under the professional supervision of an eligible provider at an eligible location where the patient is r</w:t>
            </w:r>
            <w:r w:rsidRPr="00946C79">
              <w:rPr>
                <w:rFonts w:ascii="Arial" w:eastAsiaTheme="minorHAnsi" w:hAnsi="Arial" w:cs="Arial"/>
                <w:sz w:val="18"/>
                <w:szCs w:val="18"/>
                <w:lang w:val="en-GB" w:eastAsia="en-US"/>
              </w:rPr>
              <w:t>eferred by a specialist or by a consultant physician - scan of three contiguous regions or two non-contiguous regions of the spine for:</w:t>
            </w:r>
          </w:p>
          <w:p w14:paraId="00525C3A" w14:textId="77777777" w:rsidR="008761B5" w:rsidRPr="00D80E2E" w:rsidRDefault="008761B5" w:rsidP="0053671F">
            <w:pPr>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spinal canal stenosis (R) (Contrast) (Anaes.)</w:t>
            </w:r>
          </w:p>
        </w:tc>
        <w:tc>
          <w:tcPr>
            <w:tcW w:w="890" w:type="dxa"/>
            <w:vAlign w:val="center"/>
          </w:tcPr>
          <w:p w14:paraId="72A8DE08"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$448.00</w:t>
            </w:r>
          </w:p>
        </w:tc>
        <w:tc>
          <w:tcPr>
            <w:tcW w:w="1058" w:type="dxa"/>
            <w:vAlign w:val="center"/>
          </w:tcPr>
          <w:p w14:paraId="535AC541"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4,113</w:t>
            </w:r>
          </w:p>
        </w:tc>
        <w:tc>
          <w:tcPr>
            <w:tcW w:w="1110" w:type="dxa"/>
            <w:vAlign w:val="center"/>
          </w:tcPr>
          <w:p w14:paraId="5C4E2980"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$1,754,148</w:t>
            </w:r>
          </w:p>
        </w:tc>
        <w:tc>
          <w:tcPr>
            <w:tcW w:w="1360" w:type="dxa"/>
            <w:vAlign w:val="center"/>
          </w:tcPr>
          <w:p w14:paraId="3D9AFA01"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9.97%</w:t>
            </w:r>
          </w:p>
        </w:tc>
      </w:tr>
      <w:tr w:rsidR="008761B5" w:rsidRPr="00E82749" w14:paraId="0234EB6C" w14:textId="77777777" w:rsidTr="003620E7">
        <w:trPr>
          <w:cantSplit/>
        </w:trPr>
        <w:tc>
          <w:tcPr>
            <w:tcW w:w="781" w:type="dxa"/>
            <w:vAlign w:val="center"/>
          </w:tcPr>
          <w:p w14:paraId="291708B5"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63167</w:t>
            </w:r>
          </w:p>
        </w:tc>
        <w:tc>
          <w:tcPr>
            <w:tcW w:w="3443" w:type="dxa"/>
          </w:tcPr>
          <w:p w14:paraId="73B5C8B7" w14:textId="77777777" w:rsidR="008761B5" w:rsidRPr="00946C79"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MAGNETIC RESONANCE IMAGING perform</w:t>
            </w:r>
            <w:r w:rsidRPr="00946C79">
              <w:rPr>
                <w:rFonts w:ascii="Arial" w:eastAsiaTheme="minorHAnsi" w:hAnsi="Arial" w:cs="Arial"/>
                <w:sz w:val="18"/>
                <w:szCs w:val="18"/>
                <w:lang w:val="en-GB" w:eastAsia="en-US"/>
              </w:rPr>
              <w:t>ed under the professional supervision of an eligible provider at an eligible location where the patient is referred by a specialist or by a consultant physician - scan of one region or two contiguous regions of the spine for:</w:t>
            </w:r>
          </w:p>
          <w:p w14:paraId="1FE200D4" w14:textId="77777777" w:rsidR="008761B5" w:rsidRPr="00D80E2E" w:rsidRDefault="008761B5" w:rsidP="0053671F">
            <w:pPr>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myelopathy (R) (Contrast) (Anaes.)</w:t>
            </w:r>
          </w:p>
        </w:tc>
        <w:tc>
          <w:tcPr>
            <w:tcW w:w="890" w:type="dxa"/>
            <w:vAlign w:val="center"/>
          </w:tcPr>
          <w:p w14:paraId="3C4691AB"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$358.40</w:t>
            </w:r>
          </w:p>
        </w:tc>
        <w:tc>
          <w:tcPr>
            <w:tcW w:w="1058" w:type="dxa"/>
            <w:vAlign w:val="center"/>
          </w:tcPr>
          <w:p w14:paraId="7A4F1FFD"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7,909</w:t>
            </w:r>
          </w:p>
        </w:tc>
        <w:tc>
          <w:tcPr>
            <w:tcW w:w="1110" w:type="dxa"/>
            <w:vAlign w:val="center"/>
          </w:tcPr>
          <w:p w14:paraId="488B2911"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$2,751,843</w:t>
            </w:r>
          </w:p>
        </w:tc>
        <w:tc>
          <w:tcPr>
            <w:tcW w:w="1360" w:type="dxa"/>
            <w:vAlign w:val="center"/>
          </w:tcPr>
          <w:p w14:paraId="1DB34A45"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2.50%</w:t>
            </w:r>
          </w:p>
        </w:tc>
      </w:tr>
      <w:tr w:rsidR="008761B5" w:rsidRPr="00E82749" w14:paraId="2DDD9196" w14:textId="77777777" w:rsidTr="003620E7">
        <w:trPr>
          <w:cantSplit/>
        </w:trPr>
        <w:tc>
          <w:tcPr>
            <w:tcW w:w="781" w:type="dxa"/>
            <w:vAlign w:val="center"/>
          </w:tcPr>
          <w:p w14:paraId="4338441C" w14:textId="77777777" w:rsidR="008761B5" w:rsidRPr="002F0202" w:rsidRDefault="008761B5" w:rsidP="00D80E2E">
            <w:pPr>
              <w:spacing w:before="20" w:after="20"/>
              <w:jc w:val="center"/>
              <w:rPr>
                <w:rFonts w:ascii="Arial" w:eastAsiaTheme="minorHAnsi" w:hAnsi="Arial" w:cs="Arial"/>
                <w:sz w:val="18"/>
                <w:szCs w:val="18"/>
                <w:lang w:val="en-GB" w:eastAsia="en-US"/>
              </w:rPr>
            </w:pPr>
            <w:r w:rsidRPr="002F0202">
              <w:rPr>
                <w:rFonts w:ascii="Arial" w:eastAsiaTheme="minorHAnsi" w:hAnsi="Arial" w:cs="Arial"/>
                <w:sz w:val="18"/>
                <w:szCs w:val="18"/>
                <w:lang w:val="en-GB" w:eastAsia="en-US"/>
              </w:rPr>
              <w:t>63225</w:t>
            </w:r>
          </w:p>
        </w:tc>
        <w:tc>
          <w:tcPr>
            <w:tcW w:w="3443" w:type="dxa"/>
          </w:tcPr>
          <w:p w14:paraId="6099B0A7" w14:textId="77777777" w:rsidR="008761B5" w:rsidRPr="00946C79" w:rsidRDefault="008761B5" w:rsidP="0053671F">
            <w:pPr>
              <w:shd w:val="clear" w:color="auto" w:fill="FBFBFB"/>
              <w:spacing w:before="0" w:after="0"/>
              <w:rPr>
                <w:rFonts w:ascii="Arial" w:eastAsiaTheme="minorHAnsi" w:hAnsi="Arial" w:cs="Arial"/>
                <w:sz w:val="18"/>
                <w:szCs w:val="18"/>
                <w:lang w:val="en-GB" w:eastAsia="en-US"/>
              </w:rPr>
            </w:pPr>
            <w:r w:rsidRPr="00E57A44">
              <w:rPr>
                <w:rFonts w:ascii="Arial" w:eastAsiaTheme="minorHAnsi" w:hAnsi="Arial" w:cs="Arial"/>
                <w:sz w:val="18"/>
                <w:szCs w:val="18"/>
                <w:lang w:val="en-GB" w:eastAsia="en-US"/>
              </w:rPr>
              <w:t xml:space="preserve">MAGNETIC RESONANCE IMAGING performed under the professional supervision of an eligible provider at an eligible location where the patient is referred by a specialist or by a consultant physician - scan of three </w:t>
            </w:r>
            <w:r w:rsidRPr="00946C79">
              <w:rPr>
                <w:rFonts w:ascii="Arial" w:eastAsiaTheme="minorHAnsi" w:hAnsi="Arial" w:cs="Arial"/>
                <w:sz w:val="18"/>
                <w:szCs w:val="18"/>
                <w:lang w:val="en-GB" w:eastAsia="en-US"/>
              </w:rPr>
              <w:t>contiguous regions or two non-contiguous regions of the spine for:</w:t>
            </w:r>
          </w:p>
          <w:p w14:paraId="031AD648" w14:textId="77777777" w:rsidR="008761B5" w:rsidRPr="00D80E2E" w:rsidRDefault="008761B5" w:rsidP="0053671F">
            <w:pPr>
              <w:shd w:val="clear" w:color="auto" w:fill="FBFBFB"/>
              <w:spacing w:before="0" w:after="0"/>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 myelopathy (R) (Contrast) (Anaes.)</w:t>
            </w:r>
          </w:p>
        </w:tc>
        <w:tc>
          <w:tcPr>
            <w:tcW w:w="890" w:type="dxa"/>
            <w:vAlign w:val="center"/>
          </w:tcPr>
          <w:p w14:paraId="379B32F1"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$448.00</w:t>
            </w:r>
          </w:p>
        </w:tc>
        <w:tc>
          <w:tcPr>
            <w:tcW w:w="1058" w:type="dxa"/>
            <w:vAlign w:val="center"/>
          </w:tcPr>
          <w:p w14:paraId="57FE1687"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3,510</w:t>
            </w:r>
          </w:p>
        </w:tc>
        <w:tc>
          <w:tcPr>
            <w:tcW w:w="1110" w:type="dxa"/>
            <w:vAlign w:val="center"/>
          </w:tcPr>
          <w:p w14:paraId="49B314C1"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$1,515,753</w:t>
            </w:r>
          </w:p>
        </w:tc>
        <w:tc>
          <w:tcPr>
            <w:tcW w:w="1360" w:type="dxa"/>
            <w:vAlign w:val="center"/>
          </w:tcPr>
          <w:p w14:paraId="7630168A" w14:textId="77777777" w:rsidR="008761B5" w:rsidRPr="00D80E2E" w:rsidRDefault="008761B5" w:rsidP="00D80E2E">
            <w:pPr>
              <w:spacing w:before="20" w:after="20"/>
              <w:jc w:val="center"/>
              <w:rPr>
                <w:rFonts w:ascii="Arial" w:eastAsiaTheme="minorHAnsi" w:hAnsi="Arial" w:cs="Arial"/>
                <w:sz w:val="18"/>
                <w:szCs w:val="18"/>
                <w:lang w:val="en-GB" w:eastAsia="en-US"/>
              </w:rPr>
            </w:pPr>
            <w:r w:rsidRPr="00D80E2E">
              <w:rPr>
                <w:rFonts w:ascii="Arial" w:eastAsiaTheme="minorHAnsi" w:hAnsi="Arial" w:cs="Arial"/>
                <w:sz w:val="18"/>
                <w:szCs w:val="18"/>
                <w:lang w:val="en-GB" w:eastAsia="en-US"/>
              </w:rPr>
              <w:t>7.85%</w:t>
            </w:r>
          </w:p>
        </w:tc>
      </w:tr>
    </w:tbl>
    <w:p w14:paraId="2826FF3C" w14:textId="77777777" w:rsidR="00360531" w:rsidRPr="00E82749" w:rsidRDefault="00360531" w:rsidP="00360531">
      <w:pPr>
        <w:pStyle w:val="Item"/>
        <w:rPr>
          <w:lang w:val="en-GB"/>
        </w:rPr>
      </w:pPr>
      <w:r w:rsidRPr="00E82749">
        <w:rPr>
          <w:lang w:val="en-GB"/>
        </w:rPr>
        <w:t>Recommendation</w:t>
      </w:r>
      <w:r w:rsidR="006E404A">
        <w:rPr>
          <w:lang w:val="en-GB"/>
        </w:rPr>
        <w:t>s</w:t>
      </w:r>
    </w:p>
    <w:p w14:paraId="7B1A6F2B" w14:textId="77777777" w:rsidR="00360531" w:rsidRPr="0071493B" w:rsidRDefault="00360531" w:rsidP="0071493B">
      <w:pPr>
        <w:pStyle w:val="NormalBulleted"/>
      </w:pPr>
      <w:bookmarkStart w:id="268" w:name="_Ref493162920"/>
      <w:r w:rsidRPr="0071493B">
        <w:t xml:space="preserve">Implement a multicomponent intervention to improve requesting practices for lower back imaging. This should focus on mandated use of CDS for lower back imaging, implemented alongside other mechanisms to increase the collective impact on </w:t>
      </w:r>
      <w:r w:rsidR="006C31FB">
        <w:t>requester</w:t>
      </w:r>
      <w:r w:rsidRPr="0071493B">
        <w:t xml:space="preserve"> behaviour. Specific mechanisms that lend themselves to synergies with CDS include:</w:t>
      </w:r>
    </w:p>
    <w:p w14:paraId="4027C4AD" w14:textId="77777777" w:rsidR="00360531" w:rsidRPr="00E82749" w:rsidRDefault="006C31FB" w:rsidP="00360531">
      <w:pPr>
        <w:pStyle w:val="02dash"/>
        <w:numPr>
          <w:ilvl w:val="1"/>
          <w:numId w:val="17"/>
        </w:numPr>
        <w:spacing w:before="0" w:line="240" w:lineRule="auto"/>
        <w:ind w:left="641" w:right="0"/>
      </w:pPr>
      <w:r>
        <w:t>Requester</w:t>
      </w:r>
      <w:r w:rsidR="00360531" w:rsidRPr="00E82749">
        <w:t xml:space="preserve"> education</w:t>
      </w:r>
      <w:r w:rsidR="00360531">
        <w:t>.</w:t>
      </w:r>
    </w:p>
    <w:p w14:paraId="50B0E4A8" w14:textId="77777777" w:rsidR="00360531" w:rsidRPr="00E82749" w:rsidRDefault="00360531" w:rsidP="00360531">
      <w:pPr>
        <w:pStyle w:val="02dash"/>
        <w:numPr>
          <w:ilvl w:val="1"/>
          <w:numId w:val="17"/>
        </w:numPr>
        <w:spacing w:before="0" w:line="240" w:lineRule="auto"/>
        <w:ind w:left="641" w:right="0"/>
      </w:pPr>
      <w:r w:rsidRPr="00E82749">
        <w:t>Audit and feedback on requesting patterns</w:t>
      </w:r>
      <w:r>
        <w:t>.</w:t>
      </w:r>
    </w:p>
    <w:p w14:paraId="2D40E9A2" w14:textId="77777777" w:rsidR="00360531" w:rsidRDefault="00360531" w:rsidP="00360531">
      <w:pPr>
        <w:pStyle w:val="02dash"/>
        <w:numPr>
          <w:ilvl w:val="1"/>
          <w:numId w:val="17"/>
        </w:numPr>
        <w:spacing w:before="0" w:line="240" w:lineRule="auto"/>
        <w:ind w:left="641" w:right="0"/>
      </w:pPr>
      <w:r w:rsidRPr="00E82749">
        <w:t xml:space="preserve">Patient education </w:t>
      </w:r>
      <w:r>
        <w:t>focused on</w:t>
      </w:r>
      <w:r w:rsidRPr="00E82749">
        <w:t xml:space="preserve"> the inappropriateness of early imaging of non-specific lower back pain</w:t>
      </w:r>
      <w:r>
        <w:t>,</w:t>
      </w:r>
      <w:r w:rsidRPr="00E82749">
        <w:t xml:space="preserve"> and what </w:t>
      </w:r>
      <w:r>
        <w:t>patients</w:t>
      </w:r>
      <w:r w:rsidRPr="00E82749">
        <w:t xml:space="preserve"> can and should expect as part of a comprehensive medical examination for back pain when they see a </w:t>
      </w:r>
      <w:r>
        <w:t>clinician</w:t>
      </w:r>
      <w:r w:rsidRPr="00E82749">
        <w:t>.</w:t>
      </w:r>
    </w:p>
    <w:p w14:paraId="2E4FB535" w14:textId="77777777" w:rsidR="00360531" w:rsidRPr="0071493B" w:rsidRDefault="00360531" w:rsidP="0071493B">
      <w:pPr>
        <w:pStyle w:val="NormalBulleted"/>
      </w:pPr>
      <w:r w:rsidRPr="0071493B">
        <w:t xml:space="preserve">Link eligibility for MBS rebates for lower back imaging to mandatory use of CDS. </w:t>
      </w:r>
    </w:p>
    <w:p w14:paraId="42E7856D" w14:textId="77777777" w:rsidR="00360531" w:rsidRPr="0071493B" w:rsidRDefault="00360531" w:rsidP="00360531">
      <w:pPr>
        <w:pStyle w:val="NormalBulleted"/>
      </w:pPr>
      <w:r w:rsidRPr="0071493B">
        <w:t>Work with clinical experts to develop clinical signposts for lower back imaging as part of the design and implementation of a mandatory CDS system.</w:t>
      </w:r>
      <w:r w:rsidR="00460C9C">
        <w:t xml:space="preserve"> </w:t>
      </w:r>
      <w:r w:rsidR="00460C9C">
        <w:fldChar w:fldCharType="begin"/>
      </w:r>
      <w:r w:rsidR="00460C9C">
        <w:instrText xml:space="preserve"> REF _Ref522398151 \h </w:instrText>
      </w:r>
      <w:r w:rsidR="00460C9C">
        <w:fldChar w:fldCharType="separate"/>
      </w:r>
      <w:r w:rsidR="00763A89">
        <w:t xml:space="preserve">Table </w:t>
      </w:r>
      <w:r w:rsidR="00763A89">
        <w:rPr>
          <w:noProof/>
        </w:rPr>
        <w:t>12</w:t>
      </w:r>
      <w:r w:rsidR="00460C9C">
        <w:fldChar w:fldCharType="end"/>
      </w:r>
      <w:r w:rsidR="00460C9C">
        <w:t xml:space="preserve"> </w:t>
      </w:r>
      <w:r w:rsidRPr="0071493B">
        <w:t>provides examples of potential signposts for lower back imaging.</w:t>
      </w:r>
    </w:p>
    <w:p w14:paraId="46F671E7" w14:textId="77777777" w:rsidR="00360531" w:rsidRPr="00732CA7" w:rsidRDefault="00EB0974" w:rsidP="00EB0974">
      <w:pPr>
        <w:pStyle w:val="Caption"/>
      </w:pPr>
      <w:bookmarkStart w:id="269" w:name="_Ref497994131"/>
      <w:bookmarkStart w:id="270" w:name="_Ref522398151"/>
      <w:bookmarkStart w:id="271" w:name="_Toc498084452"/>
      <w:bookmarkStart w:id="272" w:name="_Toc525816968"/>
      <w:bookmarkEnd w:id="268"/>
      <w:r>
        <w:lastRenderedPageBreak/>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12</w:t>
      </w:r>
      <w:r w:rsidR="00AF6A7F">
        <w:rPr>
          <w:noProof/>
        </w:rPr>
        <w:fldChar w:fldCharType="end"/>
      </w:r>
      <w:bookmarkEnd w:id="269"/>
      <w:bookmarkEnd w:id="270"/>
      <w:r w:rsidR="00360531" w:rsidRPr="00732CA7">
        <w:t>: Exemplar potential imaging signposts – lower back (adults)</w:t>
      </w:r>
      <w:bookmarkEnd w:id="271"/>
      <w:bookmarkEnd w:id="272"/>
    </w:p>
    <w:tbl>
      <w:tblPr>
        <w:tblStyle w:val="TableGrid1"/>
        <w:tblW w:w="495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2: Exemplar potential imaging signposts – lower back (adults)"/>
        <w:tblDescription w:val="This table is presented in two columns; column 1 shows the 'clinical scenario' and column 2 shows 'Imaging guide (first line)'. A note to the table states that these are suggestions only."/>
      </w:tblPr>
      <w:tblGrid>
        <w:gridCol w:w="3629"/>
        <w:gridCol w:w="4590"/>
      </w:tblGrid>
      <w:tr w:rsidR="00360531" w:rsidRPr="00E82749" w14:paraId="69D07686" w14:textId="77777777" w:rsidTr="00D93294">
        <w:trPr>
          <w:tblHeader/>
        </w:trPr>
        <w:tc>
          <w:tcPr>
            <w:tcW w:w="3964" w:type="dxa"/>
            <w:shd w:val="clear" w:color="auto" w:fill="F2F2F2"/>
            <w:vAlign w:val="bottom"/>
          </w:tcPr>
          <w:p w14:paraId="777C7372" w14:textId="77777777" w:rsidR="00360531" w:rsidRPr="00E82749" w:rsidRDefault="00360531" w:rsidP="005262A4">
            <w:pPr>
              <w:pStyle w:val="01Tableheaderrow"/>
            </w:pPr>
            <w:r>
              <w:t>Clinical scenario</w:t>
            </w:r>
          </w:p>
        </w:tc>
        <w:tc>
          <w:tcPr>
            <w:tcW w:w="4962" w:type="dxa"/>
            <w:shd w:val="clear" w:color="auto" w:fill="F2F2F2"/>
            <w:vAlign w:val="bottom"/>
          </w:tcPr>
          <w:p w14:paraId="7C65D605" w14:textId="77777777" w:rsidR="00360531" w:rsidRPr="00E82749" w:rsidRDefault="00360531" w:rsidP="005262A4">
            <w:pPr>
              <w:pStyle w:val="01Tableheaderrow"/>
            </w:pPr>
            <w:r>
              <w:t>Imaging guide (first line)</w:t>
            </w:r>
          </w:p>
        </w:tc>
      </w:tr>
      <w:tr w:rsidR="00360531" w:rsidRPr="00E82749" w14:paraId="778DD423" w14:textId="77777777" w:rsidTr="0053671F">
        <w:tc>
          <w:tcPr>
            <w:tcW w:w="3964" w:type="dxa"/>
          </w:tcPr>
          <w:p w14:paraId="7D5FE47E" w14:textId="77777777" w:rsidR="00360531" w:rsidRPr="00E82749" w:rsidRDefault="00360531" w:rsidP="0053671F">
            <w:pPr>
              <w:pStyle w:val="Normalpara"/>
              <w:spacing w:before="0" w:after="0"/>
              <w:rPr>
                <w:lang w:eastAsia="en-US"/>
              </w:rPr>
            </w:pPr>
            <w:r>
              <w:rPr>
                <w:lang w:eastAsia="en-US"/>
              </w:rPr>
              <w:t>Low back pain duration &lt;4 weeks – no neurological symptoms or signs.</w:t>
            </w:r>
          </w:p>
        </w:tc>
        <w:tc>
          <w:tcPr>
            <w:tcW w:w="4962" w:type="dxa"/>
          </w:tcPr>
          <w:p w14:paraId="62CDB29A" w14:textId="77777777" w:rsidR="00360531" w:rsidRDefault="00360531" w:rsidP="0053671F">
            <w:pPr>
              <w:pStyle w:val="NormalBulleted"/>
              <w:spacing w:before="0" w:after="0"/>
              <w:rPr>
                <w:lang w:eastAsia="en-US"/>
              </w:rPr>
            </w:pPr>
            <w:r>
              <w:rPr>
                <w:lang w:eastAsia="en-US"/>
              </w:rPr>
              <w:t>Consider C-reactive protein (CRP).</w:t>
            </w:r>
          </w:p>
          <w:p w14:paraId="0849AF77" w14:textId="77777777" w:rsidR="00360531" w:rsidRDefault="00360531" w:rsidP="0053671F">
            <w:pPr>
              <w:pStyle w:val="NormalBulleted"/>
              <w:spacing w:before="0" w:after="0"/>
              <w:rPr>
                <w:lang w:eastAsia="en-US"/>
              </w:rPr>
            </w:pPr>
            <w:r w:rsidRPr="00332BE2">
              <w:rPr>
                <w:lang w:eastAsia="en-US"/>
              </w:rPr>
              <w:t>Consider X-ray if history or strong suspicion of cancer or possibility of vertebral compression fracture.</w:t>
            </w:r>
          </w:p>
          <w:p w14:paraId="0DDD22D4" w14:textId="77777777" w:rsidR="00360531" w:rsidRPr="005262A4" w:rsidRDefault="00360531" w:rsidP="0053671F">
            <w:pPr>
              <w:pStyle w:val="NormalBulleted"/>
              <w:spacing w:before="0" w:after="0"/>
              <w:rPr>
                <w:lang w:eastAsia="en-US"/>
              </w:rPr>
            </w:pPr>
            <w:r>
              <w:rPr>
                <w:lang w:eastAsia="en-US"/>
              </w:rPr>
              <w:t>MRI if risk or suspicion of spinal infection (CT if MRI contraindicated or not available).</w:t>
            </w:r>
          </w:p>
        </w:tc>
      </w:tr>
      <w:tr w:rsidR="00360531" w:rsidRPr="00E82749" w14:paraId="3B605BAF" w14:textId="77777777" w:rsidTr="0053671F">
        <w:tc>
          <w:tcPr>
            <w:tcW w:w="3964" w:type="dxa"/>
          </w:tcPr>
          <w:p w14:paraId="17103A9A" w14:textId="77777777" w:rsidR="00360531" w:rsidRPr="000B1DD3" w:rsidRDefault="00360531" w:rsidP="0053671F">
            <w:pPr>
              <w:pStyle w:val="Normalpara"/>
              <w:spacing w:before="0" w:after="0"/>
              <w:rPr>
                <w:lang w:eastAsia="en-US"/>
              </w:rPr>
            </w:pPr>
            <w:r w:rsidRPr="000B1DD3">
              <w:rPr>
                <w:lang w:eastAsia="en-US"/>
              </w:rPr>
              <w:t>Low back pain duration &gt;4 weeks with no improvements and no neurological symptoms or signs.</w:t>
            </w:r>
          </w:p>
        </w:tc>
        <w:tc>
          <w:tcPr>
            <w:tcW w:w="4962" w:type="dxa"/>
          </w:tcPr>
          <w:p w14:paraId="64A4F165" w14:textId="77777777" w:rsidR="00360531" w:rsidRDefault="00360531" w:rsidP="0053671F">
            <w:pPr>
              <w:pStyle w:val="NormalBulleted"/>
              <w:spacing w:before="0" w:after="0"/>
              <w:rPr>
                <w:lang w:eastAsia="en-US"/>
              </w:rPr>
            </w:pPr>
            <w:r>
              <w:rPr>
                <w:lang w:eastAsia="en-US"/>
              </w:rPr>
              <w:t>Consider CRP or Erythrocyte sedimentation rate (ESR).</w:t>
            </w:r>
          </w:p>
          <w:p w14:paraId="26CDAC86" w14:textId="77777777" w:rsidR="00360531" w:rsidRPr="00E82749" w:rsidRDefault="00360531" w:rsidP="0053671F">
            <w:pPr>
              <w:pStyle w:val="NormalBulleted"/>
              <w:spacing w:before="0" w:after="0"/>
              <w:rPr>
                <w:lang w:eastAsia="en-US"/>
              </w:rPr>
            </w:pPr>
            <w:r>
              <w:rPr>
                <w:lang w:eastAsia="en-US"/>
              </w:rPr>
              <w:t>Consider X-ray if possibility of cancer, ankylosing spondylitis or spondylolisthesis.</w:t>
            </w:r>
          </w:p>
        </w:tc>
      </w:tr>
      <w:tr w:rsidR="00360531" w:rsidRPr="00E82749" w14:paraId="4FA3152A" w14:textId="77777777" w:rsidTr="0053671F">
        <w:tc>
          <w:tcPr>
            <w:tcW w:w="3964" w:type="dxa"/>
          </w:tcPr>
          <w:p w14:paraId="7AAA1B97" w14:textId="77777777" w:rsidR="00360531" w:rsidRPr="000B1DD3" w:rsidRDefault="00360531" w:rsidP="0053671F">
            <w:pPr>
              <w:pStyle w:val="Normalpara"/>
              <w:spacing w:before="0" w:after="0"/>
              <w:rPr>
                <w:lang w:eastAsia="en-US"/>
              </w:rPr>
            </w:pPr>
            <w:r w:rsidRPr="000B1DD3">
              <w:rPr>
                <w:lang w:eastAsia="en-US"/>
              </w:rPr>
              <w:t>Signs or symptoms of radiculopathy</w:t>
            </w:r>
          </w:p>
        </w:tc>
        <w:tc>
          <w:tcPr>
            <w:tcW w:w="4962" w:type="dxa"/>
          </w:tcPr>
          <w:p w14:paraId="6AF179F2" w14:textId="77777777" w:rsidR="00360531" w:rsidRDefault="00360531" w:rsidP="0053671F">
            <w:pPr>
              <w:pStyle w:val="NormalBulleted"/>
              <w:spacing w:before="0" w:after="0"/>
              <w:rPr>
                <w:lang w:eastAsia="en-US"/>
              </w:rPr>
            </w:pPr>
            <w:r>
              <w:rPr>
                <w:lang w:eastAsia="en-US"/>
              </w:rPr>
              <w:t>MRI if persists &gt;4 weeks (CT if MRI contraindicated or not available).</w:t>
            </w:r>
          </w:p>
          <w:p w14:paraId="4CE03020" w14:textId="77777777" w:rsidR="00360531" w:rsidRPr="00E82749" w:rsidRDefault="00360531" w:rsidP="0053671F">
            <w:pPr>
              <w:pStyle w:val="NormalBulleted"/>
              <w:spacing w:before="0" w:after="0"/>
              <w:rPr>
                <w:lang w:eastAsia="en-US"/>
              </w:rPr>
            </w:pPr>
            <w:r>
              <w:rPr>
                <w:lang w:eastAsia="en-US"/>
              </w:rPr>
              <w:t xml:space="preserve">MRI for severe radiculopathy not improving in 1 week. </w:t>
            </w:r>
          </w:p>
        </w:tc>
      </w:tr>
      <w:tr w:rsidR="00360531" w:rsidRPr="00E82749" w14:paraId="39F85860" w14:textId="77777777" w:rsidTr="0053671F">
        <w:tc>
          <w:tcPr>
            <w:tcW w:w="3964" w:type="dxa"/>
          </w:tcPr>
          <w:p w14:paraId="3E6FC86C" w14:textId="77777777" w:rsidR="00360531" w:rsidRPr="000B1DD3" w:rsidRDefault="00360531" w:rsidP="0053671F">
            <w:pPr>
              <w:pStyle w:val="Normalpara"/>
              <w:spacing w:before="0" w:after="0"/>
              <w:rPr>
                <w:lang w:eastAsia="en-US"/>
              </w:rPr>
            </w:pPr>
            <w:r>
              <w:rPr>
                <w:lang w:eastAsia="en-US"/>
              </w:rPr>
              <w:t xml:space="preserve">Signs or symptoms of cauda equine syndrome or other spinal cord compression. </w:t>
            </w:r>
          </w:p>
        </w:tc>
        <w:tc>
          <w:tcPr>
            <w:tcW w:w="4962" w:type="dxa"/>
          </w:tcPr>
          <w:p w14:paraId="61689ABE" w14:textId="77777777" w:rsidR="00360531" w:rsidRDefault="00360531" w:rsidP="0053671F">
            <w:pPr>
              <w:pStyle w:val="NormalBulleted"/>
              <w:spacing w:before="0" w:after="0"/>
              <w:rPr>
                <w:lang w:eastAsia="en-US"/>
              </w:rPr>
            </w:pPr>
            <w:r>
              <w:rPr>
                <w:lang w:eastAsia="en-US"/>
              </w:rPr>
              <w:t>Urgent referral</w:t>
            </w:r>
          </w:p>
          <w:p w14:paraId="05055E1E" w14:textId="77777777" w:rsidR="00360531" w:rsidRDefault="00360531" w:rsidP="0053671F">
            <w:pPr>
              <w:pStyle w:val="NormalBulleted"/>
              <w:spacing w:before="0" w:after="0"/>
              <w:rPr>
                <w:lang w:eastAsia="en-US"/>
              </w:rPr>
            </w:pPr>
            <w:r>
              <w:rPr>
                <w:lang w:eastAsia="en-US"/>
              </w:rPr>
              <w:t>MRI</w:t>
            </w:r>
          </w:p>
        </w:tc>
      </w:tr>
      <w:tr w:rsidR="00360531" w:rsidRPr="00E82749" w14:paraId="5431F579" w14:textId="77777777" w:rsidTr="0053671F">
        <w:tc>
          <w:tcPr>
            <w:tcW w:w="3964" w:type="dxa"/>
          </w:tcPr>
          <w:p w14:paraId="07632C8D" w14:textId="77777777" w:rsidR="00360531" w:rsidRDefault="00360531" w:rsidP="0053671F">
            <w:pPr>
              <w:pStyle w:val="Normalpara"/>
              <w:spacing w:before="0" w:after="0"/>
              <w:rPr>
                <w:lang w:eastAsia="en-US"/>
              </w:rPr>
            </w:pPr>
            <w:r>
              <w:rPr>
                <w:lang w:eastAsia="en-US"/>
              </w:rPr>
              <w:t>Symptoms or signs of spinal stenosis</w:t>
            </w:r>
          </w:p>
        </w:tc>
        <w:tc>
          <w:tcPr>
            <w:tcW w:w="4962" w:type="dxa"/>
          </w:tcPr>
          <w:p w14:paraId="02B0D041" w14:textId="77777777" w:rsidR="00360531" w:rsidRDefault="00360531" w:rsidP="0053671F">
            <w:pPr>
              <w:pStyle w:val="NormalBulleted"/>
              <w:spacing w:before="0" w:after="0"/>
              <w:rPr>
                <w:lang w:eastAsia="en-US"/>
              </w:rPr>
            </w:pPr>
            <w:r>
              <w:rPr>
                <w:lang w:eastAsia="en-US"/>
              </w:rPr>
              <w:t>MRI</w:t>
            </w:r>
          </w:p>
        </w:tc>
      </w:tr>
      <w:tr w:rsidR="00360531" w:rsidRPr="00E82749" w14:paraId="0A3421EC" w14:textId="77777777" w:rsidTr="0053671F">
        <w:tc>
          <w:tcPr>
            <w:tcW w:w="3964" w:type="dxa"/>
          </w:tcPr>
          <w:p w14:paraId="1BA31514" w14:textId="77777777" w:rsidR="00360531" w:rsidRDefault="00360531" w:rsidP="0053671F">
            <w:pPr>
              <w:pStyle w:val="Normalpara"/>
              <w:spacing w:before="0" w:after="0"/>
              <w:rPr>
                <w:lang w:eastAsia="en-US"/>
              </w:rPr>
            </w:pPr>
            <w:r>
              <w:rPr>
                <w:lang w:eastAsia="en-US"/>
              </w:rPr>
              <w:t>Trauma to lumbosacral spine</w:t>
            </w:r>
          </w:p>
        </w:tc>
        <w:tc>
          <w:tcPr>
            <w:tcW w:w="4962" w:type="dxa"/>
          </w:tcPr>
          <w:p w14:paraId="5A6C5CE2" w14:textId="77777777" w:rsidR="00360531" w:rsidRDefault="00360531" w:rsidP="0053671F">
            <w:pPr>
              <w:pStyle w:val="NormalBulleted"/>
              <w:spacing w:before="0" w:after="0"/>
              <w:rPr>
                <w:lang w:eastAsia="en-US"/>
              </w:rPr>
            </w:pPr>
            <w:r>
              <w:rPr>
                <w:lang w:eastAsia="en-US"/>
              </w:rPr>
              <w:t>X-ray/CT/MRI as clinically indicated</w:t>
            </w:r>
          </w:p>
        </w:tc>
      </w:tr>
      <w:tr w:rsidR="00360531" w:rsidRPr="00E82749" w14:paraId="3BAF870D" w14:textId="77777777" w:rsidTr="00D93294">
        <w:tc>
          <w:tcPr>
            <w:tcW w:w="8926" w:type="dxa"/>
            <w:gridSpan w:val="2"/>
            <w:vAlign w:val="center"/>
          </w:tcPr>
          <w:p w14:paraId="0D0609B8" w14:textId="50278BBB" w:rsidR="00360531" w:rsidRDefault="00360531" w:rsidP="00151388">
            <w:pPr>
              <w:pStyle w:val="NormalBulleted"/>
              <w:numPr>
                <w:ilvl w:val="0"/>
                <w:numId w:val="0"/>
              </w:numPr>
              <w:ind w:left="357" w:hanging="357"/>
              <w:rPr>
                <w:lang w:val="en-GB" w:eastAsia="en-US"/>
              </w:rPr>
            </w:pPr>
            <w:r w:rsidRPr="005262A4">
              <w:rPr>
                <w:b/>
              </w:rPr>
              <w:t>Note</w:t>
            </w:r>
            <w:r w:rsidRPr="00387F90">
              <w:rPr>
                <w:b/>
                <w:lang w:val="en-GB" w:eastAsia="en-US"/>
              </w:rPr>
              <w:t>:</w:t>
            </w:r>
            <w:r>
              <w:rPr>
                <w:lang w:val="en-GB" w:eastAsia="en-US"/>
              </w:rPr>
              <w:t xml:space="preserve"> </w:t>
            </w:r>
            <w:r w:rsidRPr="005262A4">
              <w:t xml:space="preserve">These signposts are suggestions only. The final signposts are intended to be developed by clinical experts based on an evidence review as a part of the design and implementation of the </w:t>
            </w:r>
            <w:r w:rsidR="00151388">
              <w:t>CDS</w:t>
            </w:r>
            <w:r w:rsidRPr="005262A4">
              <w:t xml:space="preserve"> system.</w:t>
            </w:r>
          </w:p>
        </w:tc>
      </w:tr>
    </w:tbl>
    <w:p w14:paraId="57DCC1D5" w14:textId="77777777" w:rsidR="00360531" w:rsidRPr="00E82749" w:rsidRDefault="00360531" w:rsidP="00360531">
      <w:pPr>
        <w:pStyle w:val="NormalBulleted"/>
        <w:numPr>
          <w:ilvl w:val="0"/>
          <w:numId w:val="0"/>
        </w:numPr>
        <w:ind w:left="357"/>
        <w:rPr>
          <w:lang w:val="en-GB"/>
        </w:rPr>
      </w:pPr>
    </w:p>
    <w:p w14:paraId="4B04E67D" w14:textId="77777777" w:rsidR="00360531" w:rsidRPr="00E82749" w:rsidRDefault="006E404A" w:rsidP="00360531">
      <w:pPr>
        <w:pStyle w:val="Item"/>
        <w:rPr>
          <w:lang w:val="en-GB"/>
        </w:rPr>
      </w:pPr>
      <w:r w:rsidRPr="00E82749">
        <w:rPr>
          <w:lang w:val="en-GB"/>
        </w:rPr>
        <w:t>Rationale</w:t>
      </w:r>
    </w:p>
    <w:p w14:paraId="160B28A6" w14:textId="77777777" w:rsidR="00360531" w:rsidRPr="0071493B" w:rsidRDefault="00360531" w:rsidP="0071493B">
      <w:pPr>
        <w:pStyle w:val="NormalBulleted"/>
      </w:pPr>
      <w:r w:rsidRPr="0071493B">
        <w:t>The Committee found sufficient evidence to conclude that inappropriate imaging is occurring for lower back pain presentations. Factors contributing to this include:</w:t>
      </w:r>
    </w:p>
    <w:p w14:paraId="4523169C" w14:textId="77777777" w:rsidR="00360531" w:rsidRPr="00E82749" w:rsidRDefault="00360531" w:rsidP="00360531">
      <w:pPr>
        <w:pStyle w:val="02dash"/>
        <w:numPr>
          <w:ilvl w:val="1"/>
          <w:numId w:val="17"/>
        </w:numPr>
        <w:spacing w:before="0" w:line="240" w:lineRule="auto"/>
        <w:ind w:left="641" w:right="0"/>
      </w:pPr>
      <w:r w:rsidRPr="00E82749">
        <w:t>Patient</w:t>
      </w:r>
      <w:r>
        <w:t>s’</w:t>
      </w:r>
      <w:r w:rsidRPr="00E82749">
        <w:t xml:space="preserve"> expectations that their treating </w:t>
      </w:r>
      <w:r>
        <w:t>clinician</w:t>
      </w:r>
      <w:r w:rsidRPr="00E82749">
        <w:t xml:space="preserve"> will make a diagnostic imaging request.</w:t>
      </w:r>
    </w:p>
    <w:p w14:paraId="6E274240" w14:textId="77777777" w:rsidR="00360531" w:rsidRPr="00E82749" w:rsidRDefault="00360531" w:rsidP="00360531">
      <w:pPr>
        <w:pStyle w:val="02dash"/>
        <w:numPr>
          <w:ilvl w:val="1"/>
          <w:numId w:val="17"/>
        </w:numPr>
        <w:spacing w:before="0" w:line="240" w:lineRule="auto"/>
        <w:ind w:left="641" w:right="0"/>
      </w:pPr>
      <w:r>
        <w:t>A p</w:t>
      </w:r>
      <w:r w:rsidRPr="00E82749">
        <w:t xml:space="preserve">otential lack of consumer awareness </w:t>
      </w:r>
      <w:r>
        <w:t>regarding the</w:t>
      </w:r>
      <w:r w:rsidRPr="00E82749">
        <w:t xml:space="preserve"> possible harms </w:t>
      </w:r>
      <w:r>
        <w:t>associated with</w:t>
      </w:r>
      <w:r w:rsidRPr="00E82749">
        <w:t xml:space="preserve"> overuse of imaging tests</w:t>
      </w:r>
      <w:r>
        <w:t>. Such as:</w:t>
      </w:r>
    </w:p>
    <w:p w14:paraId="73257A72" w14:textId="77777777" w:rsidR="00360531" w:rsidRPr="00E82749" w:rsidRDefault="00360531" w:rsidP="00360531">
      <w:pPr>
        <w:pStyle w:val="03opensquarebullet"/>
        <w:tabs>
          <w:tab w:val="clear" w:pos="360"/>
        </w:tabs>
      </w:pPr>
      <w:r w:rsidRPr="00E82749">
        <w:t>Over</w:t>
      </w:r>
      <w:r>
        <w:t>-</w:t>
      </w:r>
      <w:r w:rsidRPr="00E82749">
        <w:t xml:space="preserve">diagnosis and the identification of radiological findings that are not clinically significant, which can result in unnecessary tests or treatment. </w:t>
      </w:r>
    </w:p>
    <w:p w14:paraId="7FD76883" w14:textId="77777777" w:rsidR="00360531" w:rsidRPr="00E82749" w:rsidRDefault="00360531" w:rsidP="00360531">
      <w:pPr>
        <w:pStyle w:val="03opensquarebullet"/>
        <w:tabs>
          <w:tab w:val="clear" w:pos="360"/>
        </w:tabs>
      </w:pPr>
      <w:r w:rsidRPr="00E82749">
        <w:t>Radiation exposure through X-ray and CT modalities.</w:t>
      </w:r>
    </w:p>
    <w:p w14:paraId="05D16899" w14:textId="77777777" w:rsidR="00360531" w:rsidRPr="0071493B" w:rsidRDefault="00360531" w:rsidP="0071493B">
      <w:pPr>
        <w:pStyle w:val="NormalBulleted"/>
      </w:pPr>
      <w:r w:rsidRPr="0071493B">
        <w:t>The use of mandatory CDS can assist GPs in reassuring patients that best practice is being followed, because patients may view CDS as an ‘objective’ third party. This may be particularly useful when the appropriate clinical recommendation is not to request imaging (for example, during the acute presentation of non-specific lower back pain).</w:t>
      </w:r>
    </w:p>
    <w:p w14:paraId="4DA66490" w14:textId="77777777" w:rsidR="00360531" w:rsidRPr="0071493B" w:rsidRDefault="00360531" w:rsidP="0071493B">
      <w:pPr>
        <w:pStyle w:val="NormalBulleted"/>
      </w:pPr>
      <w:r w:rsidRPr="0071493B">
        <w:t>The Committee noted that existing evidence does not demonstrate that MRI has a large clinical advantage over CT for detecting significant lower back pathology. The DICC’s report</w:t>
      </w:r>
      <w:sdt>
        <w:sdtPr>
          <w:id w:val="-748802474"/>
          <w:citation/>
        </w:sdtPr>
        <w:sdtEndPr/>
        <w:sdtContent>
          <w:r w:rsidRPr="0071493B">
            <w:fldChar w:fldCharType="begin"/>
          </w:r>
          <w:r w:rsidR="00614E5F">
            <w:instrText xml:space="preserve">CITATION Dia17 \l 3081 </w:instrText>
          </w:r>
          <w:r w:rsidRPr="0071493B">
            <w:fldChar w:fldCharType="separate"/>
          </w:r>
          <w:r w:rsidR="00B66BE1">
            <w:rPr>
              <w:noProof/>
            </w:rPr>
            <w:t xml:space="preserve"> (50)</w:t>
          </w:r>
          <w:r w:rsidRPr="0071493B">
            <w:fldChar w:fldCharType="end"/>
          </w:r>
        </w:sdtContent>
      </w:sdt>
      <w:r w:rsidRPr="0071493B">
        <w:t xml:space="preserve"> on lower back pain did not find a statistically significant difference between the two modalities.</w:t>
      </w:r>
    </w:p>
    <w:p w14:paraId="036CBDE2" w14:textId="77777777" w:rsidR="00360531" w:rsidRPr="0071493B" w:rsidRDefault="00360531" w:rsidP="00360531">
      <w:pPr>
        <w:pStyle w:val="NormalBulleted"/>
      </w:pPr>
      <w:r>
        <w:lastRenderedPageBreak/>
        <w:t>Correct imaging pathways for lower back pain are essential. E</w:t>
      </w:r>
      <w:r w:rsidRPr="00B75824">
        <w:t>arly imaging in non-specific low</w:t>
      </w:r>
      <w:r>
        <w:t>er</w:t>
      </w:r>
      <w:r w:rsidRPr="00B75824">
        <w:t xml:space="preserve"> back pain does not improve clinical outcomes</w:t>
      </w:r>
      <w:sdt>
        <w:sdtPr>
          <w:id w:val="70865344"/>
          <w:citation/>
        </w:sdtPr>
        <w:sdtEndPr/>
        <w:sdtContent>
          <w:r>
            <w:fldChar w:fldCharType="begin"/>
          </w:r>
          <w:r w:rsidR="00614E5F">
            <w:instrText xml:space="preserve">CITATION Cho09 \l 3081 </w:instrText>
          </w:r>
          <w:r>
            <w:fldChar w:fldCharType="separate"/>
          </w:r>
          <w:r w:rsidR="00B66BE1">
            <w:rPr>
              <w:noProof/>
            </w:rPr>
            <w:t xml:space="preserve"> (51)</w:t>
          </w:r>
          <w:r>
            <w:fldChar w:fldCharType="end"/>
          </w:r>
        </w:sdtContent>
      </w:sdt>
      <w:r>
        <w:t>, and</w:t>
      </w:r>
      <w:r w:rsidRPr="00B75824">
        <w:t xml:space="preserve"> delayed imaging has been found to be a low</w:t>
      </w:r>
      <w:r>
        <w:t>-</w:t>
      </w:r>
      <w:r w:rsidRPr="00B75824">
        <w:t>risk approach. In such circumstances</w:t>
      </w:r>
      <w:r>
        <w:t>:</w:t>
      </w:r>
    </w:p>
    <w:p w14:paraId="7DBD4B35" w14:textId="77777777" w:rsidR="00360531" w:rsidRPr="00B75824" w:rsidRDefault="00360531" w:rsidP="00360531">
      <w:pPr>
        <w:pStyle w:val="02dash"/>
        <w:numPr>
          <w:ilvl w:val="1"/>
          <w:numId w:val="17"/>
        </w:numPr>
        <w:spacing w:before="0" w:line="240" w:lineRule="auto"/>
        <w:ind w:left="641" w:right="0"/>
      </w:pPr>
      <w:r w:rsidRPr="00B75824">
        <w:t>Imaging risks over</w:t>
      </w:r>
      <w:r>
        <w:t>-</w:t>
      </w:r>
      <w:r w:rsidRPr="00B75824">
        <w:t>diagnosis</w:t>
      </w:r>
      <w:sdt>
        <w:sdtPr>
          <w:id w:val="-1077441894"/>
          <w:citation/>
        </w:sdtPr>
        <w:sdtEndPr/>
        <w:sdtContent>
          <w:r>
            <w:fldChar w:fldCharType="begin"/>
          </w:r>
          <w:r w:rsidR="00614E5F">
            <w:rPr>
              <w:lang w:val="en-AU"/>
            </w:rPr>
            <w:instrText xml:space="preserve">CITATION Shu12 \l 3081 </w:instrText>
          </w:r>
          <w:r>
            <w:fldChar w:fldCharType="separate"/>
          </w:r>
          <w:r w:rsidR="00B66BE1">
            <w:rPr>
              <w:noProof/>
              <w:lang w:val="en-AU"/>
            </w:rPr>
            <w:t xml:space="preserve"> </w:t>
          </w:r>
          <w:r w:rsidR="00B66BE1" w:rsidRPr="00B66BE1">
            <w:rPr>
              <w:noProof/>
              <w:lang w:val="en-AU"/>
            </w:rPr>
            <w:t>(52)</w:t>
          </w:r>
          <w:r>
            <w:fldChar w:fldCharType="end"/>
          </w:r>
        </w:sdtContent>
      </w:sdt>
      <w:r w:rsidRPr="00B75824">
        <w:t xml:space="preserve"> </w:t>
      </w:r>
      <w:r>
        <w:t>due to</w:t>
      </w:r>
      <w:r w:rsidRPr="00B75824">
        <w:t xml:space="preserve"> </w:t>
      </w:r>
      <w:r>
        <w:t>the possible detection of</w:t>
      </w:r>
      <w:r w:rsidRPr="00B75824">
        <w:t xml:space="preserve"> clinically insignificant anomalies (</w:t>
      </w:r>
      <w:r>
        <w:t>which</w:t>
      </w:r>
      <w:r w:rsidRPr="00B75824">
        <w:t xml:space="preserve"> may exacerbate patient anxiety, rather than provide reassurance). </w:t>
      </w:r>
    </w:p>
    <w:p w14:paraId="61FB34BA" w14:textId="77777777" w:rsidR="00360531" w:rsidRPr="00B75824" w:rsidRDefault="00360531" w:rsidP="00360531">
      <w:pPr>
        <w:pStyle w:val="02dash"/>
        <w:numPr>
          <w:ilvl w:val="1"/>
          <w:numId w:val="17"/>
        </w:numPr>
        <w:spacing w:before="0" w:line="240" w:lineRule="auto"/>
        <w:ind w:left="641" w:right="0"/>
      </w:pPr>
      <w:r w:rsidRPr="00B75824">
        <w:t>Imaging may carry associated risks of harm from radiation</w:t>
      </w:r>
      <w:r w:rsidRPr="008540F7">
        <w:rPr>
          <w:vertAlign w:val="superscript"/>
        </w:rPr>
        <w:t>9</w:t>
      </w:r>
      <w:r w:rsidRPr="00B75824">
        <w:t xml:space="preserve"> (</w:t>
      </w:r>
      <w:r>
        <w:t>for example</w:t>
      </w:r>
      <w:r w:rsidRPr="00B75824">
        <w:t>, where the imaging modality is CT) and incurs cost</w:t>
      </w:r>
      <w:r>
        <w:t>s</w:t>
      </w:r>
      <w:r w:rsidRPr="00B75824">
        <w:t xml:space="preserve"> </w:t>
      </w:r>
      <w:r>
        <w:t>for</w:t>
      </w:r>
      <w:r w:rsidRPr="00B75824">
        <w:t xml:space="preserve"> the patient and </w:t>
      </w:r>
      <w:r>
        <w:t xml:space="preserve">the </w:t>
      </w:r>
      <w:r w:rsidRPr="00B75824">
        <w:t>community.</w:t>
      </w:r>
    </w:p>
    <w:p w14:paraId="7D22A2CD" w14:textId="77777777" w:rsidR="00360531" w:rsidRPr="00B75824" w:rsidRDefault="00360531" w:rsidP="00360531">
      <w:pPr>
        <w:pStyle w:val="02dash"/>
        <w:numPr>
          <w:ilvl w:val="1"/>
          <w:numId w:val="17"/>
        </w:numPr>
        <w:spacing w:before="0" w:line="240" w:lineRule="auto"/>
        <w:ind w:left="641" w:right="0"/>
      </w:pPr>
      <w:r w:rsidRPr="00B75824">
        <w:t>Alternatives to imaging are available. Thorough clinical assessment, referral to allied health professionals and medical management is often an appropriate first-line approach.</w:t>
      </w:r>
    </w:p>
    <w:p w14:paraId="34CC8D82" w14:textId="77777777" w:rsidR="00360531" w:rsidRDefault="006C31FB" w:rsidP="00360531">
      <w:pPr>
        <w:pStyle w:val="02dash"/>
        <w:numPr>
          <w:ilvl w:val="1"/>
          <w:numId w:val="17"/>
        </w:numPr>
        <w:spacing w:before="0" w:line="240" w:lineRule="auto"/>
        <w:ind w:left="641" w:right="0"/>
      </w:pPr>
      <w:r>
        <w:t>Requester</w:t>
      </w:r>
      <w:r w:rsidR="00360531" w:rsidRPr="00B75824">
        <w:t xml:space="preserve"> and patient education </w:t>
      </w:r>
      <w:r w:rsidR="00360531">
        <w:t>provide</w:t>
      </w:r>
      <w:r w:rsidR="00360531" w:rsidRPr="00B75824">
        <w:t xml:space="preserve"> key opportunities to </w:t>
      </w:r>
      <w:r w:rsidR="00360531">
        <w:t xml:space="preserve">support </w:t>
      </w:r>
      <w:r w:rsidR="00360531" w:rsidRPr="00B75824">
        <w:t>appropriate requesting</w:t>
      </w:r>
      <w:r w:rsidR="00360531">
        <w:t xml:space="preserve"> practices (as they did when tackling the</w:t>
      </w:r>
      <w:r w:rsidR="00360531" w:rsidRPr="00B75824">
        <w:t xml:space="preserve"> over-prescribing of antibiotics</w:t>
      </w:r>
      <w:r w:rsidR="00360531">
        <w:t>)</w:t>
      </w:r>
      <w:r w:rsidR="00360531" w:rsidRPr="00B75824">
        <w:t>.</w:t>
      </w:r>
    </w:p>
    <w:p w14:paraId="265D7198" w14:textId="77777777" w:rsidR="00360531" w:rsidRPr="00CB599C" w:rsidRDefault="00360531" w:rsidP="0071493B">
      <w:pPr>
        <w:pStyle w:val="NormalBulleted"/>
      </w:pPr>
      <w:r>
        <w:t>A systematic review</w:t>
      </w:r>
      <w:sdt>
        <w:sdtPr>
          <w:id w:val="-1262674634"/>
          <w:citation/>
        </w:sdtPr>
        <w:sdtEndPr/>
        <w:sdtContent>
          <w:r>
            <w:fldChar w:fldCharType="begin"/>
          </w:r>
          <w:r w:rsidR="00614E5F">
            <w:instrText xml:space="preserve">CITATION Jen15 \l 3081 </w:instrText>
          </w:r>
          <w:r>
            <w:fldChar w:fldCharType="separate"/>
          </w:r>
          <w:r w:rsidR="00B66BE1">
            <w:rPr>
              <w:noProof/>
            </w:rPr>
            <w:t xml:space="preserve"> (53)</w:t>
          </w:r>
          <w:r>
            <w:fldChar w:fldCharType="end"/>
          </w:r>
        </w:sdtContent>
      </w:sdt>
      <w:r>
        <w:t xml:space="preserve"> revealed that CDS is an effective intervention for reducing inappropriate lower back imaging. </w:t>
      </w:r>
    </w:p>
    <w:p w14:paraId="69DBA4FD" w14:textId="77777777" w:rsidR="00360531" w:rsidRPr="0071493B" w:rsidRDefault="00360531" w:rsidP="0071493B">
      <w:pPr>
        <w:pStyle w:val="NormalBulleted"/>
        <w:numPr>
          <w:ilvl w:val="0"/>
          <w:numId w:val="0"/>
        </w:numPr>
        <w:ind w:left="431"/>
      </w:pPr>
    </w:p>
    <w:p w14:paraId="2A5576C5" w14:textId="77777777" w:rsidR="00360531" w:rsidRDefault="00360531" w:rsidP="00360531">
      <w:pPr>
        <w:rPr>
          <w:rFonts w:eastAsiaTheme="minorHAnsi" w:cs="Arial"/>
          <w:b/>
          <w:bCs/>
          <w:iCs/>
          <w:color w:val="01653F"/>
          <w:sz w:val="28"/>
          <w:szCs w:val="22"/>
          <w:lang w:val="en-GB" w:eastAsia="en-US"/>
        </w:rPr>
      </w:pPr>
      <w:r>
        <w:rPr>
          <w:lang w:val="en-GB"/>
        </w:rPr>
        <w:br w:type="page"/>
      </w:r>
    </w:p>
    <w:p w14:paraId="2BBA3CE2" w14:textId="77777777" w:rsidR="00360531" w:rsidRDefault="00360531" w:rsidP="00A37926">
      <w:pPr>
        <w:pStyle w:val="Heading2"/>
        <w:keepLines/>
        <w:spacing w:before="280" w:line="240" w:lineRule="auto"/>
        <w:ind w:left="284" w:hanging="284"/>
        <w:rPr>
          <w:lang w:val="en-GB"/>
        </w:rPr>
      </w:pPr>
      <w:bookmarkStart w:id="273" w:name="_Toc498516977"/>
      <w:bookmarkStart w:id="274" w:name="_Toc522396663"/>
      <w:bookmarkStart w:id="275" w:name="_Toc525816103"/>
      <w:r w:rsidRPr="00E82749">
        <w:rPr>
          <w:lang w:val="en-GB"/>
        </w:rPr>
        <w:lastRenderedPageBreak/>
        <w:t xml:space="preserve">Head </w:t>
      </w:r>
      <w:r w:rsidRPr="00A37926">
        <w:rPr>
          <w:lang w:val="en-GB"/>
        </w:rPr>
        <w:t>imaging</w:t>
      </w:r>
      <w:bookmarkEnd w:id="273"/>
      <w:bookmarkEnd w:id="274"/>
      <w:bookmarkEnd w:id="275"/>
    </w:p>
    <w:p w14:paraId="22BE715C" w14:textId="77777777" w:rsidR="00360531" w:rsidRPr="00C56EB1" w:rsidRDefault="00360531" w:rsidP="00732CA7">
      <w:pPr>
        <w:pStyle w:val="Heading3Numbered0"/>
      </w:pPr>
      <w:bookmarkStart w:id="276" w:name="_Toc498516978"/>
      <w:bookmarkStart w:id="277" w:name="_Toc522396664"/>
      <w:bookmarkStart w:id="278" w:name="_Toc525816104"/>
      <w:r>
        <w:t>Head imaging items</w:t>
      </w:r>
      <w:bookmarkEnd w:id="276"/>
      <w:bookmarkEnd w:id="277"/>
      <w:bookmarkEnd w:id="278"/>
    </w:p>
    <w:p w14:paraId="7F0FA64B" w14:textId="77777777" w:rsidR="00360531" w:rsidRPr="00E82749" w:rsidRDefault="00EB0974" w:rsidP="005262A4">
      <w:pPr>
        <w:pStyle w:val="TableCaption"/>
        <w:rPr>
          <w:lang w:val="en-GB"/>
        </w:rPr>
      </w:pPr>
      <w:bookmarkStart w:id="279" w:name="_Ref495673108"/>
      <w:bookmarkStart w:id="280" w:name="_Toc498084453"/>
      <w:bookmarkStart w:id="281" w:name="_Toc525816969"/>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13</w:t>
      </w:r>
      <w:r w:rsidR="00AF6A7F">
        <w:rPr>
          <w:noProof/>
        </w:rPr>
        <w:fldChar w:fldCharType="end"/>
      </w:r>
      <w:r w:rsidR="00360531" w:rsidRPr="00E82749">
        <w:rPr>
          <w:lang w:val="en-GB"/>
        </w:rPr>
        <w:t xml:space="preserve">: </w:t>
      </w:r>
      <w:r w:rsidR="000028AB">
        <w:rPr>
          <w:lang w:val="en-GB"/>
        </w:rPr>
        <w:t xml:space="preserve">Services and benefits data for </w:t>
      </w:r>
      <w:r w:rsidR="00360531">
        <w:rPr>
          <w:lang w:val="en-GB"/>
        </w:rPr>
        <w:t>head imaging items</w:t>
      </w:r>
      <w:bookmarkEnd w:id="279"/>
      <w:bookmarkEnd w:id="280"/>
      <w:bookmarkEnd w:id="281"/>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3: Services and benefits data for head imaging items"/>
        <w:tblDescription w:val="Table 13 shows the standard Medicare data for head imaging items. For each item, the table shows the Schedule fee, the total number of services and total benefits paid for the financial year 2015-16, as well the average annual growth in services over five years."/>
      </w:tblPr>
      <w:tblGrid>
        <w:gridCol w:w="678"/>
        <w:gridCol w:w="3419"/>
        <w:gridCol w:w="902"/>
        <w:gridCol w:w="1069"/>
        <w:gridCol w:w="1137"/>
        <w:gridCol w:w="1097"/>
      </w:tblGrid>
      <w:tr w:rsidR="00360531" w:rsidRPr="00E82749" w14:paraId="435FBC09" w14:textId="77777777" w:rsidTr="00D93294">
        <w:trPr>
          <w:tblHeader/>
        </w:trPr>
        <w:tc>
          <w:tcPr>
            <w:tcW w:w="709" w:type="dxa"/>
            <w:shd w:val="clear" w:color="auto" w:fill="F2F2F2"/>
            <w:vAlign w:val="bottom"/>
          </w:tcPr>
          <w:p w14:paraId="166B7D37" w14:textId="77777777" w:rsidR="00360531" w:rsidRPr="00E82749" w:rsidRDefault="00360531" w:rsidP="005262A4">
            <w:pPr>
              <w:pStyle w:val="01Tableheaderrow"/>
            </w:pPr>
            <w:r w:rsidRPr="00E82749">
              <w:t>Item</w:t>
            </w:r>
          </w:p>
        </w:tc>
        <w:tc>
          <w:tcPr>
            <w:tcW w:w="3958" w:type="dxa"/>
            <w:shd w:val="clear" w:color="auto" w:fill="F2F2F2"/>
            <w:vAlign w:val="bottom"/>
          </w:tcPr>
          <w:p w14:paraId="34AF6519" w14:textId="77777777" w:rsidR="00360531" w:rsidRPr="00E82749" w:rsidRDefault="00360531" w:rsidP="005262A4">
            <w:pPr>
              <w:pStyle w:val="01Tableheaderrow"/>
            </w:pPr>
            <w:r w:rsidRPr="00E82749">
              <w:t>Descriptor</w:t>
            </w:r>
          </w:p>
        </w:tc>
        <w:tc>
          <w:tcPr>
            <w:tcW w:w="914" w:type="dxa"/>
            <w:shd w:val="clear" w:color="auto" w:fill="F2F2F2"/>
            <w:vAlign w:val="bottom"/>
          </w:tcPr>
          <w:p w14:paraId="47C639D0" w14:textId="77777777" w:rsidR="00360531" w:rsidRPr="00E82749" w:rsidRDefault="00360531" w:rsidP="005262A4">
            <w:pPr>
              <w:pStyle w:val="01Tableheaderrow"/>
            </w:pPr>
            <w:r w:rsidRPr="00E82749">
              <w:t>Schedule fee</w:t>
            </w:r>
          </w:p>
        </w:tc>
        <w:tc>
          <w:tcPr>
            <w:tcW w:w="1103" w:type="dxa"/>
            <w:shd w:val="clear" w:color="auto" w:fill="F2F2F2"/>
            <w:vAlign w:val="bottom"/>
          </w:tcPr>
          <w:p w14:paraId="1AA4B037" w14:textId="77777777" w:rsidR="00360531" w:rsidRPr="00E82749" w:rsidRDefault="00360531" w:rsidP="005262A4">
            <w:pPr>
              <w:pStyle w:val="01Tableheaderrow"/>
            </w:pPr>
            <w:r w:rsidRPr="00E82749">
              <w:t xml:space="preserve">Services </w:t>
            </w:r>
            <w:r>
              <w:t>FY2015/16</w:t>
            </w:r>
          </w:p>
        </w:tc>
        <w:tc>
          <w:tcPr>
            <w:tcW w:w="1158" w:type="dxa"/>
            <w:shd w:val="clear" w:color="auto" w:fill="F2F2F2"/>
            <w:vAlign w:val="bottom"/>
          </w:tcPr>
          <w:p w14:paraId="3B08E4AE" w14:textId="77777777" w:rsidR="00360531" w:rsidRPr="00E82749" w:rsidRDefault="00360531" w:rsidP="005262A4">
            <w:pPr>
              <w:pStyle w:val="01Tableheaderrow"/>
            </w:pPr>
            <w:r w:rsidRPr="00E82749">
              <w:t xml:space="preserve">Benefits </w:t>
            </w:r>
            <w:r>
              <w:t>FY2015/16</w:t>
            </w:r>
          </w:p>
        </w:tc>
        <w:tc>
          <w:tcPr>
            <w:tcW w:w="1174" w:type="dxa"/>
            <w:shd w:val="clear" w:color="auto" w:fill="F2F2F2"/>
            <w:vAlign w:val="bottom"/>
          </w:tcPr>
          <w:p w14:paraId="5F39B19D" w14:textId="77777777" w:rsidR="00360531" w:rsidRPr="00E82749" w:rsidRDefault="00360531" w:rsidP="005262A4">
            <w:pPr>
              <w:pStyle w:val="01Tableheaderrow"/>
            </w:pPr>
            <w:r w:rsidRPr="00E82749">
              <w:t>Services 5-year annual avg. growth</w:t>
            </w:r>
          </w:p>
        </w:tc>
      </w:tr>
      <w:tr w:rsidR="00360531" w:rsidRPr="00E82749" w14:paraId="22043B40" w14:textId="77777777" w:rsidTr="00DA51D1">
        <w:tc>
          <w:tcPr>
            <w:tcW w:w="709" w:type="dxa"/>
          </w:tcPr>
          <w:p w14:paraId="4ABD839B"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56001</w:t>
            </w:r>
          </w:p>
        </w:tc>
        <w:tc>
          <w:tcPr>
            <w:tcW w:w="3958" w:type="dxa"/>
          </w:tcPr>
          <w:p w14:paraId="636E9F1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bCs/>
                <w:sz w:val="18"/>
                <w:szCs w:val="18"/>
                <w:lang w:eastAsia="en-US"/>
              </w:rPr>
              <w:t>CT scan of brain without IV contrast (R) (K)</w:t>
            </w:r>
          </w:p>
        </w:tc>
        <w:tc>
          <w:tcPr>
            <w:tcW w:w="914" w:type="dxa"/>
          </w:tcPr>
          <w:p w14:paraId="25D9D74D" w14:textId="77777777" w:rsidR="00360531" w:rsidRPr="00DA51D1" w:rsidRDefault="00360531" w:rsidP="00DA51D1">
            <w:pPr>
              <w:pStyle w:val="Normalpara"/>
              <w:rPr>
                <w:rFonts w:ascii="Arial" w:hAnsi="Arial" w:cs="Arial"/>
                <w:color w:val="FF0000"/>
                <w:sz w:val="18"/>
                <w:szCs w:val="18"/>
                <w:lang w:eastAsia="en-US"/>
              </w:rPr>
            </w:pPr>
            <w:r w:rsidRPr="00DA51D1">
              <w:rPr>
                <w:rFonts w:ascii="Arial" w:hAnsi="Arial" w:cs="Arial"/>
                <w:sz w:val="18"/>
                <w:szCs w:val="18"/>
                <w:lang w:eastAsia="en-US"/>
              </w:rPr>
              <w:t>$195.05</w:t>
            </w:r>
          </w:p>
        </w:tc>
        <w:tc>
          <w:tcPr>
            <w:tcW w:w="1103" w:type="dxa"/>
          </w:tcPr>
          <w:p w14:paraId="3125635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300,636</w:t>
            </w:r>
          </w:p>
        </w:tc>
        <w:tc>
          <w:tcPr>
            <w:tcW w:w="1158" w:type="dxa"/>
          </w:tcPr>
          <w:p w14:paraId="025FD2B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$52,697,201</w:t>
            </w:r>
          </w:p>
        </w:tc>
        <w:tc>
          <w:tcPr>
            <w:tcW w:w="1174" w:type="dxa"/>
          </w:tcPr>
          <w:p w14:paraId="3122E05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3.20%</w:t>
            </w:r>
          </w:p>
        </w:tc>
      </w:tr>
      <w:tr w:rsidR="00360531" w:rsidRPr="00E82749" w14:paraId="7F29944F" w14:textId="77777777" w:rsidTr="00DA51D1">
        <w:tc>
          <w:tcPr>
            <w:tcW w:w="709" w:type="dxa"/>
          </w:tcPr>
          <w:p w14:paraId="1761DD18"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56007</w:t>
            </w:r>
          </w:p>
        </w:tc>
        <w:tc>
          <w:tcPr>
            <w:tcW w:w="3958" w:type="dxa"/>
          </w:tcPr>
          <w:p w14:paraId="206BA934" w14:textId="77777777" w:rsidR="00360531" w:rsidRPr="00DA51D1" w:rsidRDefault="00360531" w:rsidP="00DA51D1">
            <w:pPr>
              <w:pStyle w:val="Normalpara"/>
              <w:rPr>
                <w:rFonts w:ascii="Arial" w:hAnsi="Arial" w:cs="Arial"/>
                <w:bCs/>
                <w:sz w:val="18"/>
                <w:szCs w:val="18"/>
                <w:lang w:eastAsia="en-US"/>
              </w:rPr>
            </w:pPr>
            <w:r w:rsidRPr="00DA51D1">
              <w:rPr>
                <w:rFonts w:ascii="Arial" w:hAnsi="Arial" w:cs="Arial"/>
                <w:bCs/>
                <w:sz w:val="18"/>
                <w:szCs w:val="18"/>
                <w:lang w:eastAsia="en-US"/>
              </w:rPr>
              <w:t>CT scan of brain with IV contrast and with any scans of the brain prior to IV contrast injection, when undertaken (R) (K)</w:t>
            </w:r>
          </w:p>
        </w:tc>
        <w:tc>
          <w:tcPr>
            <w:tcW w:w="914" w:type="dxa"/>
          </w:tcPr>
          <w:p w14:paraId="5D46EE4E" w14:textId="77777777" w:rsidR="00360531" w:rsidRPr="00DA51D1" w:rsidRDefault="00360531" w:rsidP="00DA51D1">
            <w:pPr>
              <w:pStyle w:val="Normalpara"/>
              <w:rPr>
                <w:rFonts w:ascii="Arial" w:hAnsi="Arial" w:cs="Arial"/>
                <w:color w:val="FF0000"/>
                <w:sz w:val="18"/>
                <w:szCs w:val="18"/>
                <w:lang w:eastAsia="en-US"/>
              </w:rPr>
            </w:pPr>
            <w:r w:rsidRPr="00DA51D1">
              <w:rPr>
                <w:rFonts w:ascii="Arial" w:hAnsi="Arial" w:cs="Arial"/>
                <w:sz w:val="18"/>
                <w:szCs w:val="18"/>
                <w:lang w:eastAsia="en-US"/>
              </w:rPr>
              <w:t>$250.0</w:t>
            </w:r>
          </w:p>
        </w:tc>
        <w:tc>
          <w:tcPr>
            <w:tcW w:w="1103" w:type="dxa"/>
          </w:tcPr>
          <w:p w14:paraId="05310BF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78,387</w:t>
            </w:r>
          </w:p>
        </w:tc>
        <w:tc>
          <w:tcPr>
            <w:tcW w:w="1158" w:type="dxa"/>
          </w:tcPr>
          <w:p w14:paraId="45A3DBB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$18,012,847</w:t>
            </w:r>
          </w:p>
        </w:tc>
        <w:tc>
          <w:tcPr>
            <w:tcW w:w="1174" w:type="dxa"/>
          </w:tcPr>
          <w:p w14:paraId="3A30DA0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0.78%</w:t>
            </w:r>
          </w:p>
        </w:tc>
      </w:tr>
      <w:tr w:rsidR="00360531" w:rsidRPr="00E82749" w14:paraId="344A558F" w14:textId="77777777" w:rsidTr="00DA51D1">
        <w:tc>
          <w:tcPr>
            <w:tcW w:w="709" w:type="dxa"/>
          </w:tcPr>
          <w:p w14:paraId="792BA35E"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56010</w:t>
            </w:r>
          </w:p>
        </w:tc>
        <w:tc>
          <w:tcPr>
            <w:tcW w:w="3958" w:type="dxa"/>
          </w:tcPr>
          <w:p w14:paraId="1A2732F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pituitary fossa with or without IV contrast and with or without brain scan when undertaken (R) (K)</w:t>
            </w:r>
          </w:p>
        </w:tc>
        <w:tc>
          <w:tcPr>
            <w:tcW w:w="914" w:type="dxa"/>
          </w:tcPr>
          <w:p w14:paraId="6CDB74F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$252.10</w:t>
            </w:r>
          </w:p>
        </w:tc>
        <w:tc>
          <w:tcPr>
            <w:tcW w:w="1103" w:type="dxa"/>
          </w:tcPr>
          <w:p w14:paraId="3A2300E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1,627</w:t>
            </w:r>
          </w:p>
        </w:tc>
        <w:tc>
          <w:tcPr>
            <w:tcW w:w="1158" w:type="dxa"/>
          </w:tcPr>
          <w:p w14:paraId="6BE6310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$386,206</w:t>
            </w:r>
          </w:p>
        </w:tc>
        <w:tc>
          <w:tcPr>
            <w:tcW w:w="1174" w:type="dxa"/>
          </w:tcPr>
          <w:p w14:paraId="78F3993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-10.24%</w:t>
            </w:r>
          </w:p>
        </w:tc>
      </w:tr>
      <w:tr w:rsidR="00360531" w:rsidRPr="00E82749" w14:paraId="344CF77D" w14:textId="77777777" w:rsidTr="00DA51D1">
        <w:tc>
          <w:tcPr>
            <w:tcW w:w="709" w:type="dxa"/>
          </w:tcPr>
          <w:p w14:paraId="22C122CC"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56013</w:t>
            </w:r>
          </w:p>
        </w:tc>
        <w:tc>
          <w:tcPr>
            <w:tcW w:w="3958" w:type="dxa"/>
          </w:tcPr>
          <w:p w14:paraId="6660A96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orbits with or without IV contrast and with or without brain scan when undertaken (R) (K)</w:t>
            </w:r>
          </w:p>
        </w:tc>
        <w:tc>
          <w:tcPr>
            <w:tcW w:w="914" w:type="dxa"/>
          </w:tcPr>
          <w:p w14:paraId="254F9E3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$250.00</w:t>
            </w:r>
          </w:p>
        </w:tc>
        <w:tc>
          <w:tcPr>
            <w:tcW w:w="1103" w:type="dxa"/>
          </w:tcPr>
          <w:p w14:paraId="7A75C75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7,662</w:t>
            </w:r>
          </w:p>
        </w:tc>
        <w:tc>
          <w:tcPr>
            <w:tcW w:w="1158" w:type="dxa"/>
          </w:tcPr>
          <w:p w14:paraId="136C941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$1,791,128</w:t>
            </w:r>
          </w:p>
        </w:tc>
        <w:tc>
          <w:tcPr>
            <w:tcW w:w="1174" w:type="dxa"/>
          </w:tcPr>
          <w:p w14:paraId="477A279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-2.99%</w:t>
            </w:r>
          </w:p>
        </w:tc>
      </w:tr>
      <w:tr w:rsidR="00360531" w:rsidRPr="00E82749" w14:paraId="1CA00893" w14:textId="77777777" w:rsidTr="00DA51D1">
        <w:tc>
          <w:tcPr>
            <w:tcW w:w="709" w:type="dxa"/>
          </w:tcPr>
          <w:p w14:paraId="07BF3C06"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56016</w:t>
            </w:r>
          </w:p>
        </w:tc>
        <w:tc>
          <w:tcPr>
            <w:tcW w:w="3958" w:type="dxa"/>
          </w:tcPr>
          <w:p w14:paraId="4E6E5BD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petrous bones in axial and coronal planes in 1 mm or 2 mm sections, with or without IV contrast, with or without scan of brain (R) (K)</w:t>
            </w:r>
          </w:p>
        </w:tc>
        <w:tc>
          <w:tcPr>
            <w:tcW w:w="914" w:type="dxa"/>
          </w:tcPr>
          <w:p w14:paraId="7AC620A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$290.00</w:t>
            </w:r>
          </w:p>
        </w:tc>
        <w:tc>
          <w:tcPr>
            <w:tcW w:w="1103" w:type="dxa"/>
          </w:tcPr>
          <w:p w14:paraId="1DDF361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44,131</w:t>
            </w:r>
          </w:p>
        </w:tc>
        <w:tc>
          <w:tcPr>
            <w:tcW w:w="1158" w:type="dxa"/>
          </w:tcPr>
          <w:p w14:paraId="172B6D7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$12,029,168</w:t>
            </w:r>
          </w:p>
        </w:tc>
        <w:tc>
          <w:tcPr>
            <w:tcW w:w="1174" w:type="dxa"/>
          </w:tcPr>
          <w:p w14:paraId="78136F4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3.43%</w:t>
            </w:r>
          </w:p>
        </w:tc>
      </w:tr>
      <w:tr w:rsidR="00360531" w:rsidRPr="00E82749" w14:paraId="341A802A" w14:textId="77777777" w:rsidTr="00DA51D1">
        <w:tc>
          <w:tcPr>
            <w:tcW w:w="709" w:type="dxa"/>
          </w:tcPr>
          <w:p w14:paraId="4275C1E6"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56030</w:t>
            </w:r>
          </w:p>
        </w:tc>
        <w:tc>
          <w:tcPr>
            <w:tcW w:w="3958" w:type="dxa"/>
          </w:tcPr>
          <w:p w14:paraId="3A9C6DD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facial bones, paranasal sinuses or both, with scan of brain, without IV contrast (R) (K)</w:t>
            </w:r>
          </w:p>
        </w:tc>
        <w:tc>
          <w:tcPr>
            <w:tcW w:w="914" w:type="dxa"/>
          </w:tcPr>
          <w:p w14:paraId="1E2FCB4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$225.00</w:t>
            </w:r>
          </w:p>
        </w:tc>
        <w:tc>
          <w:tcPr>
            <w:tcW w:w="1103" w:type="dxa"/>
          </w:tcPr>
          <w:p w14:paraId="2A95E5F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25,208</w:t>
            </w:r>
          </w:p>
        </w:tc>
        <w:tc>
          <w:tcPr>
            <w:tcW w:w="1158" w:type="dxa"/>
          </w:tcPr>
          <w:p w14:paraId="53A31A2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$5,252,291</w:t>
            </w:r>
          </w:p>
        </w:tc>
        <w:tc>
          <w:tcPr>
            <w:tcW w:w="1174" w:type="dxa"/>
          </w:tcPr>
          <w:p w14:paraId="332F2E9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3.21%</w:t>
            </w:r>
          </w:p>
        </w:tc>
      </w:tr>
      <w:tr w:rsidR="00360531" w:rsidRPr="00E82749" w14:paraId="198F82B3" w14:textId="77777777" w:rsidTr="00DA51D1">
        <w:tc>
          <w:tcPr>
            <w:tcW w:w="709" w:type="dxa"/>
          </w:tcPr>
          <w:p w14:paraId="77B39F06"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56036</w:t>
            </w:r>
          </w:p>
        </w:tc>
        <w:tc>
          <w:tcPr>
            <w:tcW w:w="3958" w:type="dxa"/>
          </w:tcPr>
          <w:p w14:paraId="40E8AC3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CT scan of facial bones, paranasal sinuses or both, with scan of brain, with IV contrast, where: (a) a scan without IV contrast has been undertaken; and (b) the service is required because the result of the scan mentioned in paragraph (a) is abnormal (R) (K)</w:t>
            </w:r>
          </w:p>
        </w:tc>
        <w:tc>
          <w:tcPr>
            <w:tcW w:w="914" w:type="dxa"/>
          </w:tcPr>
          <w:p w14:paraId="3924216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$336.80</w:t>
            </w:r>
          </w:p>
        </w:tc>
        <w:tc>
          <w:tcPr>
            <w:tcW w:w="1103" w:type="dxa"/>
          </w:tcPr>
          <w:p w14:paraId="3A237C8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3,694</w:t>
            </w:r>
          </w:p>
        </w:tc>
        <w:tc>
          <w:tcPr>
            <w:tcW w:w="1158" w:type="dxa"/>
          </w:tcPr>
          <w:p w14:paraId="7E6D6C1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$1,156,017</w:t>
            </w:r>
          </w:p>
        </w:tc>
        <w:tc>
          <w:tcPr>
            <w:tcW w:w="1174" w:type="dxa"/>
          </w:tcPr>
          <w:p w14:paraId="46D94DE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-0.82%</w:t>
            </w:r>
          </w:p>
        </w:tc>
      </w:tr>
      <w:tr w:rsidR="00360531" w:rsidRPr="00E82749" w14:paraId="5248DA43" w14:textId="77777777" w:rsidTr="00DA51D1">
        <w:tc>
          <w:tcPr>
            <w:tcW w:w="709" w:type="dxa"/>
          </w:tcPr>
          <w:p w14:paraId="3195BB56"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63507</w:t>
            </w:r>
          </w:p>
        </w:tc>
        <w:tc>
          <w:tcPr>
            <w:tcW w:w="3958" w:type="dxa"/>
          </w:tcPr>
          <w:p w14:paraId="58408F7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MAGNETIC RESONANCE IMAGING  Referral by a medical practitioner (excluding a specialist or consultant physician) for a scan of head (of a patient &lt;16years) for any of the following: - unexplained seizure(s), unexplained headache where significant pathology is suspected, paranasal sinus pathology which has not responded to conservative therapy (R) (Contrast)</w:t>
            </w:r>
          </w:p>
        </w:tc>
        <w:tc>
          <w:tcPr>
            <w:tcW w:w="914" w:type="dxa"/>
          </w:tcPr>
          <w:p w14:paraId="3FCC64B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1F40282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8,656</w:t>
            </w:r>
          </w:p>
        </w:tc>
        <w:tc>
          <w:tcPr>
            <w:tcW w:w="1158" w:type="dxa"/>
          </w:tcPr>
          <w:p w14:paraId="7B50528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$3,463,970</w:t>
            </w:r>
          </w:p>
        </w:tc>
        <w:tc>
          <w:tcPr>
            <w:tcW w:w="1174" w:type="dxa"/>
          </w:tcPr>
          <w:p w14:paraId="537BDFE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N/A</w:t>
            </w:r>
          </w:p>
        </w:tc>
      </w:tr>
      <w:tr w:rsidR="00360531" w:rsidRPr="00E82749" w14:paraId="2CB03C1C" w14:textId="77777777" w:rsidTr="00DA51D1">
        <w:tc>
          <w:tcPr>
            <w:tcW w:w="709" w:type="dxa"/>
          </w:tcPr>
          <w:p w14:paraId="4FEA0B2A"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63551</w:t>
            </w:r>
          </w:p>
        </w:tc>
        <w:tc>
          <w:tcPr>
            <w:tcW w:w="3958" w:type="dxa"/>
          </w:tcPr>
          <w:p w14:paraId="60BB276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MAGNETIC RESONANCE IMAGING Referral by a medical practitioner (excluding a specialist or consultant physician) for a scan of head for a patient 16 years or older for any of the following: unexplained seizure(s) or unexplained chronic headache with suspected intracranial pathology (R) (Contrast) </w:t>
            </w:r>
          </w:p>
        </w:tc>
        <w:tc>
          <w:tcPr>
            <w:tcW w:w="914" w:type="dxa"/>
          </w:tcPr>
          <w:p w14:paraId="06E31F1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522B8CB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92,083</w:t>
            </w:r>
          </w:p>
        </w:tc>
        <w:tc>
          <w:tcPr>
            <w:tcW w:w="1158" w:type="dxa"/>
          </w:tcPr>
          <w:p w14:paraId="6BC1410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$36,633,332</w:t>
            </w:r>
          </w:p>
        </w:tc>
        <w:tc>
          <w:tcPr>
            <w:tcW w:w="1174" w:type="dxa"/>
          </w:tcPr>
          <w:p w14:paraId="6FE7DA5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N/A</w:t>
            </w:r>
          </w:p>
        </w:tc>
      </w:tr>
      <w:tr w:rsidR="00360531" w:rsidRPr="00E82749" w14:paraId="37CB7EB0" w14:textId="77777777" w:rsidTr="00DA51D1">
        <w:tc>
          <w:tcPr>
            <w:tcW w:w="709" w:type="dxa"/>
          </w:tcPr>
          <w:p w14:paraId="7FFEC56D"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lastRenderedPageBreak/>
              <w:t>63001</w:t>
            </w:r>
          </w:p>
        </w:tc>
        <w:tc>
          <w:tcPr>
            <w:tcW w:w="3958" w:type="dxa"/>
          </w:tcPr>
          <w:p w14:paraId="6BE8DCD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MAGNETIC RESONANCE IMAGING (including Magnetic Resonance Angiography if performed), performed under the professional supervision of an eligible provider at an eligible location where the patient is referred by a specialist or by a consultant physician - scan of head for:</w:t>
            </w:r>
          </w:p>
          <w:p w14:paraId="5F6CC97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tumour of the brain or meninges (R) (Contrast)</w:t>
            </w:r>
          </w:p>
        </w:tc>
        <w:tc>
          <w:tcPr>
            <w:tcW w:w="914" w:type="dxa"/>
          </w:tcPr>
          <w:p w14:paraId="6B7AD93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62EAEE4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73,763</w:t>
            </w:r>
          </w:p>
        </w:tc>
        <w:tc>
          <w:tcPr>
            <w:tcW w:w="1158" w:type="dxa"/>
          </w:tcPr>
          <w:p w14:paraId="69C45D6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$28,619,744</w:t>
            </w:r>
          </w:p>
        </w:tc>
        <w:tc>
          <w:tcPr>
            <w:tcW w:w="1174" w:type="dxa"/>
          </w:tcPr>
          <w:p w14:paraId="2D4128E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6.17%</w:t>
            </w:r>
          </w:p>
        </w:tc>
      </w:tr>
      <w:tr w:rsidR="00360531" w:rsidRPr="00E82749" w14:paraId="373E4A0F" w14:textId="77777777" w:rsidTr="00DA51D1">
        <w:tc>
          <w:tcPr>
            <w:tcW w:w="709" w:type="dxa"/>
          </w:tcPr>
          <w:p w14:paraId="14C7EC13"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63004</w:t>
            </w:r>
          </w:p>
        </w:tc>
        <w:tc>
          <w:tcPr>
            <w:tcW w:w="3958" w:type="dxa"/>
          </w:tcPr>
          <w:p w14:paraId="54B848F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inflammation of the brain or meninges (R) (Contrast) </w:t>
            </w:r>
          </w:p>
        </w:tc>
        <w:tc>
          <w:tcPr>
            <w:tcW w:w="914" w:type="dxa"/>
          </w:tcPr>
          <w:p w14:paraId="3CD481E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3F874D2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4,950</w:t>
            </w:r>
          </w:p>
        </w:tc>
        <w:tc>
          <w:tcPr>
            <w:tcW w:w="1158" w:type="dxa"/>
          </w:tcPr>
          <w:p w14:paraId="44A7EF1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$1,914,878</w:t>
            </w:r>
          </w:p>
        </w:tc>
        <w:tc>
          <w:tcPr>
            <w:tcW w:w="1174" w:type="dxa"/>
          </w:tcPr>
          <w:p w14:paraId="798D27D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11.19%</w:t>
            </w:r>
          </w:p>
        </w:tc>
      </w:tr>
      <w:tr w:rsidR="00360531" w:rsidRPr="00E82749" w14:paraId="24FC3FD9" w14:textId="77777777" w:rsidTr="00DA51D1">
        <w:tc>
          <w:tcPr>
            <w:tcW w:w="709" w:type="dxa"/>
          </w:tcPr>
          <w:p w14:paraId="6BABEB1A"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63007</w:t>
            </w:r>
          </w:p>
        </w:tc>
        <w:tc>
          <w:tcPr>
            <w:tcW w:w="3958" w:type="dxa"/>
          </w:tcPr>
          <w:p w14:paraId="3D67337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skull base or orbital tumour (R)</w:t>
            </w:r>
          </w:p>
        </w:tc>
        <w:tc>
          <w:tcPr>
            <w:tcW w:w="914" w:type="dxa"/>
          </w:tcPr>
          <w:p w14:paraId="3B2F23B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1A7B07F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25,927</w:t>
            </w:r>
          </w:p>
        </w:tc>
        <w:tc>
          <w:tcPr>
            <w:tcW w:w="1158" w:type="dxa"/>
          </w:tcPr>
          <w:p w14:paraId="7CEE583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$10,108,219</w:t>
            </w:r>
          </w:p>
        </w:tc>
        <w:tc>
          <w:tcPr>
            <w:tcW w:w="1174" w:type="dxa"/>
          </w:tcPr>
          <w:p w14:paraId="5EBA1D2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10.29%</w:t>
            </w:r>
          </w:p>
        </w:tc>
      </w:tr>
      <w:tr w:rsidR="00360531" w:rsidRPr="00E82749" w14:paraId="7DE1DDA8" w14:textId="77777777" w:rsidTr="00DA51D1">
        <w:tc>
          <w:tcPr>
            <w:tcW w:w="709" w:type="dxa"/>
          </w:tcPr>
          <w:p w14:paraId="7C2A3EE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63010</w:t>
            </w:r>
          </w:p>
        </w:tc>
        <w:tc>
          <w:tcPr>
            <w:tcW w:w="3958" w:type="dxa"/>
          </w:tcPr>
          <w:p w14:paraId="7BBBD9F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stereotactic scan of brain, for the sole purpose to plan for stereotactic neurosurgery (R) </w:t>
            </w:r>
          </w:p>
        </w:tc>
        <w:tc>
          <w:tcPr>
            <w:tcW w:w="914" w:type="dxa"/>
          </w:tcPr>
          <w:p w14:paraId="70A4CB0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$336.00</w:t>
            </w:r>
          </w:p>
        </w:tc>
        <w:tc>
          <w:tcPr>
            <w:tcW w:w="1103" w:type="dxa"/>
          </w:tcPr>
          <w:p w14:paraId="7D0E2C6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2,735</w:t>
            </w:r>
          </w:p>
        </w:tc>
        <w:tc>
          <w:tcPr>
            <w:tcW w:w="1158" w:type="dxa"/>
          </w:tcPr>
          <w:p w14:paraId="23CA494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$789,351</w:t>
            </w:r>
          </w:p>
        </w:tc>
        <w:tc>
          <w:tcPr>
            <w:tcW w:w="1174" w:type="dxa"/>
          </w:tcPr>
          <w:p w14:paraId="226AFFB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3.74%</w:t>
            </w:r>
          </w:p>
        </w:tc>
      </w:tr>
      <w:tr w:rsidR="00360531" w:rsidRPr="00E82749" w14:paraId="4F77A047" w14:textId="77777777" w:rsidTr="00DA51D1">
        <w:tc>
          <w:tcPr>
            <w:tcW w:w="709" w:type="dxa"/>
          </w:tcPr>
          <w:p w14:paraId="5D017ABA"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63040</w:t>
            </w:r>
          </w:p>
        </w:tc>
        <w:tc>
          <w:tcPr>
            <w:tcW w:w="3958" w:type="dxa"/>
          </w:tcPr>
          <w:p w14:paraId="1CCE25C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Acoustic neuroma (R) (Contrast)</w:t>
            </w:r>
          </w:p>
        </w:tc>
        <w:tc>
          <w:tcPr>
            <w:tcW w:w="914" w:type="dxa"/>
          </w:tcPr>
          <w:p w14:paraId="2B8C5F4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$336.00</w:t>
            </w:r>
          </w:p>
        </w:tc>
        <w:tc>
          <w:tcPr>
            <w:tcW w:w="1103" w:type="dxa"/>
          </w:tcPr>
          <w:p w14:paraId="4330A0D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22,917</w:t>
            </w:r>
          </w:p>
        </w:tc>
        <w:tc>
          <w:tcPr>
            <w:tcW w:w="1158" w:type="dxa"/>
          </w:tcPr>
          <w:p w14:paraId="3B96C40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$7,485,456</w:t>
            </w:r>
          </w:p>
        </w:tc>
        <w:tc>
          <w:tcPr>
            <w:tcW w:w="1174" w:type="dxa"/>
          </w:tcPr>
          <w:p w14:paraId="21EB004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2.83%</w:t>
            </w:r>
          </w:p>
        </w:tc>
      </w:tr>
      <w:tr w:rsidR="00360531" w:rsidRPr="00E82749" w14:paraId="0CF2AA6B" w14:textId="77777777" w:rsidTr="00DA51D1">
        <w:tc>
          <w:tcPr>
            <w:tcW w:w="709" w:type="dxa"/>
          </w:tcPr>
          <w:p w14:paraId="3B4CABDE"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63043</w:t>
            </w:r>
          </w:p>
        </w:tc>
        <w:tc>
          <w:tcPr>
            <w:tcW w:w="3958" w:type="dxa"/>
          </w:tcPr>
          <w:p w14:paraId="076A48F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Pituitary tumour (R) (Contrast)</w:t>
            </w:r>
          </w:p>
        </w:tc>
        <w:tc>
          <w:tcPr>
            <w:tcW w:w="914" w:type="dxa"/>
          </w:tcPr>
          <w:p w14:paraId="137D824C"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$358.40</w:t>
            </w:r>
          </w:p>
        </w:tc>
        <w:tc>
          <w:tcPr>
            <w:tcW w:w="1103" w:type="dxa"/>
          </w:tcPr>
          <w:p w14:paraId="50FC664A"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12,836</w:t>
            </w:r>
          </w:p>
        </w:tc>
        <w:tc>
          <w:tcPr>
            <w:tcW w:w="1158" w:type="dxa"/>
          </w:tcPr>
          <w:p w14:paraId="7DED061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$4,474,771</w:t>
            </w:r>
          </w:p>
        </w:tc>
        <w:tc>
          <w:tcPr>
            <w:tcW w:w="1174" w:type="dxa"/>
          </w:tcPr>
          <w:p w14:paraId="090E843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6.02%</w:t>
            </w:r>
          </w:p>
        </w:tc>
      </w:tr>
      <w:tr w:rsidR="00360531" w:rsidRPr="00E82749" w14:paraId="49EBD399" w14:textId="77777777" w:rsidTr="00DA51D1">
        <w:tc>
          <w:tcPr>
            <w:tcW w:w="709" w:type="dxa"/>
          </w:tcPr>
          <w:p w14:paraId="54807115"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63046</w:t>
            </w:r>
          </w:p>
        </w:tc>
        <w:tc>
          <w:tcPr>
            <w:tcW w:w="3958" w:type="dxa"/>
          </w:tcPr>
          <w:p w14:paraId="5E7F24E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Toxic or metabolic or ischaemic encephalopathy (R) (Contrast) </w:t>
            </w:r>
          </w:p>
        </w:tc>
        <w:tc>
          <w:tcPr>
            <w:tcW w:w="914" w:type="dxa"/>
          </w:tcPr>
          <w:p w14:paraId="4EB73F1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66FCC77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15,986</w:t>
            </w:r>
          </w:p>
        </w:tc>
        <w:tc>
          <w:tcPr>
            <w:tcW w:w="1158" w:type="dxa"/>
          </w:tcPr>
          <w:p w14:paraId="0A7C5C0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$6,214,273</w:t>
            </w:r>
          </w:p>
        </w:tc>
        <w:tc>
          <w:tcPr>
            <w:tcW w:w="1174" w:type="dxa"/>
          </w:tcPr>
          <w:p w14:paraId="5FE406F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12.12%</w:t>
            </w:r>
          </w:p>
        </w:tc>
      </w:tr>
      <w:tr w:rsidR="00360531" w:rsidRPr="00E82749" w14:paraId="4FF01B58" w14:textId="77777777" w:rsidTr="00DA51D1">
        <w:tc>
          <w:tcPr>
            <w:tcW w:w="709" w:type="dxa"/>
          </w:tcPr>
          <w:p w14:paraId="77217250"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63049</w:t>
            </w:r>
          </w:p>
        </w:tc>
        <w:tc>
          <w:tcPr>
            <w:tcW w:w="3958" w:type="dxa"/>
          </w:tcPr>
          <w:p w14:paraId="592B702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Demyelinating disease of the brain (R) (Contrast)</w:t>
            </w:r>
          </w:p>
        </w:tc>
        <w:tc>
          <w:tcPr>
            <w:tcW w:w="914" w:type="dxa"/>
          </w:tcPr>
          <w:p w14:paraId="727B7E2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06A2CE0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21,553</w:t>
            </w:r>
          </w:p>
        </w:tc>
        <w:tc>
          <w:tcPr>
            <w:tcW w:w="1158" w:type="dxa"/>
          </w:tcPr>
          <w:p w14:paraId="2EC57BF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$8,423,757</w:t>
            </w:r>
          </w:p>
        </w:tc>
        <w:tc>
          <w:tcPr>
            <w:tcW w:w="1174" w:type="dxa"/>
          </w:tcPr>
          <w:p w14:paraId="6932764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11.70%</w:t>
            </w:r>
          </w:p>
        </w:tc>
      </w:tr>
      <w:tr w:rsidR="00360531" w:rsidRPr="00E82749" w14:paraId="4BFDC014" w14:textId="77777777" w:rsidTr="00DA51D1">
        <w:tc>
          <w:tcPr>
            <w:tcW w:w="709" w:type="dxa"/>
          </w:tcPr>
          <w:p w14:paraId="4955D67C"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63052</w:t>
            </w:r>
          </w:p>
        </w:tc>
        <w:tc>
          <w:tcPr>
            <w:tcW w:w="3958" w:type="dxa"/>
          </w:tcPr>
          <w:p w14:paraId="7D1232E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Congenital malformation of the brain or meninges (R) (Contrast) </w:t>
            </w:r>
          </w:p>
        </w:tc>
        <w:tc>
          <w:tcPr>
            <w:tcW w:w="914" w:type="dxa"/>
          </w:tcPr>
          <w:p w14:paraId="3E36C7C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569B7982"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4,506</w:t>
            </w:r>
          </w:p>
        </w:tc>
        <w:tc>
          <w:tcPr>
            <w:tcW w:w="1158" w:type="dxa"/>
          </w:tcPr>
          <w:p w14:paraId="25914400"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$1,759,683</w:t>
            </w:r>
          </w:p>
        </w:tc>
        <w:tc>
          <w:tcPr>
            <w:tcW w:w="1174" w:type="dxa"/>
          </w:tcPr>
          <w:p w14:paraId="50EA6A5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0.63%</w:t>
            </w:r>
          </w:p>
        </w:tc>
      </w:tr>
      <w:tr w:rsidR="00360531" w:rsidRPr="00E82749" w14:paraId="75FBC456" w14:textId="77777777" w:rsidTr="00DA51D1">
        <w:tc>
          <w:tcPr>
            <w:tcW w:w="709" w:type="dxa"/>
          </w:tcPr>
          <w:p w14:paraId="60BE9582"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63055</w:t>
            </w:r>
          </w:p>
        </w:tc>
        <w:tc>
          <w:tcPr>
            <w:tcW w:w="3958" w:type="dxa"/>
          </w:tcPr>
          <w:p w14:paraId="0A7A78B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venous sinus thrombosis (R) (Contrast) </w:t>
            </w:r>
          </w:p>
        </w:tc>
        <w:tc>
          <w:tcPr>
            <w:tcW w:w="914" w:type="dxa"/>
          </w:tcPr>
          <w:p w14:paraId="1774D75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7875476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1,993</w:t>
            </w:r>
          </w:p>
        </w:tc>
        <w:tc>
          <w:tcPr>
            <w:tcW w:w="1158" w:type="dxa"/>
          </w:tcPr>
          <w:p w14:paraId="4640C90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$752,530</w:t>
            </w:r>
          </w:p>
        </w:tc>
        <w:tc>
          <w:tcPr>
            <w:tcW w:w="1174" w:type="dxa"/>
          </w:tcPr>
          <w:p w14:paraId="3E6CFB9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6.86%</w:t>
            </w:r>
          </w:p>
        </w:tc>
      </w:tr>
      <w:tr w:rsidR="00360531" w:rsidRPr="00E82749" w14:paraId="20FFA44D" w14:textId="77777777" w:rsidTr="00DA51D1">
        <w:tc>
          <w:tcPr>
            <w:tcW w:w="709" w:type="dxa"/>
            <w:vAlign w:val="center"/>
          </w:tcPr>
          <w:p w14:paraId="56A80F34"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63058</w:t>
            </w:r>
          </w:p>
        </w:tc>
        <w:tc>
          <w:tcPr>
            <w:tcW w:w="3958" w:type="dxa"/>
          </w:tcPr>
          <w:p w14:paraId="085C106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head trauma (R) (Contrast) </w:t>
            </w:r>
          </w:p>
        </w:tc>
        <w:tc>
          <w:tcPr>
            <w:tcW w:w="914" w:type="dxa"/>
          </w:tcPr>
          <w:p w14:paraId="4EED7F4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0838B46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1,595</w:t>
            </w:r>
          </w:p>
        </w:tc>
        <w:tc>
          <w:tcPr>
            <w:tcW w:w="1158" w:type="dxa"/>
          </w:tcPr>
          <w:p w14:paraId="026E1663"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$610,590</w:t>
            </w:r>
          </w:p>
        </w:tc>
        <w:tc>
          <w:tcPr>
            <w:tcW w:w="1174" w:type="dxa"/>
          </w:tcPr>
          <w:p w14:paraId="545D793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3.22%</w:t>
            </w:r>
          </w:p>
        </w:tc>
      </w:tr>
      <w:tr w:rsidR="00360531" w:rsidRPr="00E82749" w14:paraId="315D2C53" w14:textId="77777777" w:rsidTr="00DA51D1">
        <w:tc>
          <w:tcPr>
            <w:tcW w:w="709" w:type="dxa"/>
            <w:vAlign w:val="center"/>
          </w:tcPr>
          <w:p w14:paraId="0A4ED161"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63061</w:t>
            </w:r>
          </w:p>
        </w:tc>
        <w:tc>
          <w:tcPr>
            <w:tcW w:w="3958" w:type="dxa"/>
          </w:tcPr>
          <w:p w14:paraId="0CC31A9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epilepsy (R) (Contrast) </w:t>
            </w:r>
          </w:p>
        </w:tc>
        <w:tc>
          <w:tcPr>
            <w:tcW w:w="914" w:type="dxa"/>
          </w:tcPr>
          <w:p w14:paraId="33DF7D4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1FD5DAA5"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9,758</w:t>
            </w:r>
          </w:p>
        </w:tc>
        <w:tc>
          <w:tcPr>
            <w:tcW w:w="1158" w:type="dxa"/>
          </w:tcPr>
          <w:p w14:paraId="6A31BB3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$3,808,452</w:t>
            </w:r>
          </w:p>
        </w:tc>
        <w:tc>
          <w:tcPr>
            <w:tcW w:w="1174" w:type="dxa"/>
          </w:tcPr>
          <w:p w14:paraId="10E80D9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1.83%</w:t>
            </w:r>
          </w:p>
        </w:tc>
      </w:tr>
      <w:tr w:rsidR="00360531" w:rsidRPr="00E82749" w14:paraId="3363084D" w14:textId="77777777" w:rsidTr="00DA51D1">
        <w:tc>
          <w:tcPr>
            <w:tcW w:w="709" w:type="dxa"/>
            <w:vAlign w:val="center"/>
          </w:tcPr>
          <w:p w14:paraId="5E7A2BEA"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63064</w:t>
            </w:r>
          </w:p>
        </w:tc>
        <w:tc>
          <w:tcPr>
            <w:tcW w:w="3958" w:type="dxa"/>
          </w:tcPr>
          <w:p w14:paraId="0FF39FF4"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stroke (R) </w:t>
            </w:r>
          </w:p>
        </w:tc>
        <w:tc>
          <w:tcPr>
            <w:tcW w:w="914" w:type="dxa"/>
          </w:tcPr>
          <w:p w14:paraId="104C155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51DC02F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25,968</w:t>
            </w:r>
          </w:p>
        </w:tc>
        <w:tc>
          <w:tcPr>
            <w:tcW w:w="1158" w:type="dxa"/>
          </w:tcPr>
          <w:p w14:paraId="006BE0A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$9,652,868</w:t>
            </w:r>
          </w:p>
        </w:tc>
        <w:tc>
          <w:tcPr>
            <w:tcW w:w="1174" w:type="dxa"/>
          </w:tcPr>
          <w:p w14:paraId="459655B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9.51%</w:t>
            </w:r>
          </w:p>
        </w:tc>
      </w:tr>
      <w:tr w:rsidR="00360531" w:rsidRPr="00E82749" w14:paraId="2493F68C" w14:textId="77777777" w:rsidTr="00DA51D1">
        <w:tc>
          <w:tcPr>
            <w:tcW w:w="709" w:type="dxa"/>
            <w:vAlign w:val="center"/>
          </w:tcPr>
          <w:p w14:paraId="79424776"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63067</w:t>
            </w:r>
          </w:p>
        </w:tc>
        <w:tc>
          <w:tcPr>
            <w:tcW w:w="3958" w:type="dxa"/>
          </w:tcPr>
          <w:p w14:paraId="7EBC83B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carotid or vertebral artery dissection (R) (Contrast) </w:t>
            </w:r>
          </w:p>
        </w:tc>
        <w:tc>
          <w:tcPr>
            <w:tcW w:w="914" w:type="dxa"/>
          </w:tcPr>
          <w:p w14:paraId="2116A588"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7CD90AF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680</w:t>
            </w:r>
          </w:p>
        </w:tc>
        <w:tc>
          <w:tcPr>
            <w:tcW w:w="1158" w:type="dxa"/>
          </w:tcPr>
          <w:p w14:paraId="2D86F7F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$252,475</w:t>
            </w:r>
          </w:p>
        </w:tc>
        <w:tc>
          <w:tcPr>
            <w:tcW w:w="1174" w:type="dxa"/>
          </w:tcPr>
          <w:p w14:paraId="2DE4260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8.27%</w:t>
            </w:r>
          </w:p>
        </w:tc>
      </w:tr>
      <w:tr w:rsidR="00360531" w:rsidRPr="00E82749" w14:paraId="3C15FAC0" w14:textId="77777777" w:rsidTr="00DA51D1">
        <w:tc>
          <w:tcPr>
            <w:tcW w:w="709" w:type="dxa"/>
            <w:vAlign w:val="center"/>
          </w:tcPr>
          <w:p w14:paraId="5B661314"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63070</w:t>
            </w:r>
          </w:p>
        </w:tc>
        <w:tc>
          <w:tcPr>
            <w:tcW w:w="3958" w:type="dxa"/>
          </w:tcPr>
          <w:p w14:paraId="75F6C546"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 xml:space="preserve">- intracranial aneurysm (R) (Contrast) </w:t>
            </w:r>
          </w:p>
        </w:tc>
        <w:tc>
          <w:tcPr>
            <w:tcW w:w="914" w:type="dxa"/>
          </w:tcPr>
          <w:p w14:paraId="16FAF48F"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3484DB9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6,596</w:t>
            </w:r>
          </w:p>
        </w:tc>
        <w:tc>
          <w:tcPr>
            <w:tcW w:w="1158" w:type="dxa"/>
          </w:tcPr>
          <w:p w14:paraId="67E991FD"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2,614,651</w:t>
            </w:r>
          </w:p>
        </w:tc>
        <w:tc>
          <w:tcPr>
            <w:tcW w:w="1174" w:type="dxa"/>
          </w:tcPr>
          <w:p w14:paraId="06927819"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9.86%</w:t>
            </w:r>
          </w:p>
        </w:tc>
      </w:tr>
      <w:tr w:rsidR="00360531" w:rsidRPr="00E82749" w14:paraId="6595A582" w14:textId="77777777" w:rsidTr="00DA51D1">
        <w:tc>
          <w:tcPr>
            <w:tcW w:w="709" w:type="dxa"/>
            <w:vAlign w:val="center"/>
          </w:tcPr>
          <w:p w14:paraId="32415CE9" w14:textId="77777777" w:rsidR="00360531" w:rsidRPr="00DA51D1" w:rsidRDefault="00360531" w:rsidP="005262A4">
            <w:pPr>
              <w:pStyle w:val="Normalpara"/>
              <w:rPr>
                <w:rFonts w:ascii="Arial" w:hAnsi="Arial" w:cs="Arial"/>
                <w:sz w:val="18"/>
                <w:szCs w:val="18"/>
                <w:lang w:eastAsia="en-US"/>
              </w:rPr>
            </w:pPr>
            <w:r w:rsidRPr="00DA51D1">
              <w:rPr>
                <w:rFonts w:ascii="Arial" w:hAnsi="Arial" w:cs="Arial"/>
                <w:sz w:val="18"/>
                <w:szCs w:val="18"/>
                <w:lang w:eastAsia="en-US"/>
              </w:rPr>
              <w:t>63073</w:t>
            </w:r>
          </w:p>
        </w:tc>
        <w:tc>
          <w:tcPr>
            <w:tcW w:w="3958" w:type="dxa"/>
          </w:tcPr>
          <w:p w14:paraId="10962339" w14:textId="77777777" w:rsidR="00360531" w:rsidRPr="00DA51D1" w:rsidRDefault="00360531" w:rsidP="00DA51D1">
            <w:pPr>
              <w:pStyle w:val="Normalpara"/>
              <w:rPr>
                <w:rFonts w:ascii="Arial" w:hAnsi="Arial" w:cs="Arial"/>
                <w:sz w:val="18"/>
                <w:szCs w:val="18"/>
                <w:lang w:val="fr-FR" w:eastAsia="en-US"/>
              </w:rPr>
            </w:pPr>
            <w:r w:rsidRPr="00DA51D1">
              <w:rPr>
                <w:rFonts w:ascii="Arial" w:hAnsi="Arial" w:cs="Arial"/>
                <w:sz w:val="18"/>
                <w:szCs w:val="18"/>
                <w:lang w:val="fr-FR" w:eastAsia="en-US"/>
              </w:rPr>
              <w:t xml:space="preserve">- intracranial arteriovenous malformation (R) (Contrast) </w:t>
            </w:r>
          </w:p>
        </w:tc>
        <w:tc>
          <w:tcPr>
            <w:tcW w:w="914" w:type="dxa"/>
          </w:tcPr>
          <w:p w14:paraId="6AD20D9B"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$403.20</w:t>
            </w:r>
          </w:p>
        </w:tc>
        <w:tc>
          <w:tcPr>
            <w:tcW w:w="1103" w:type="dxa"/>
          </w:tcPr>
          <w:p w14:paraId="1760F397"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1,374</w:t>
            </w:r>
          </w:p>
        </w:tc>
        <w:tc>
          <w:tcPr>
            <w:tcW w:w="1158" w:type="dxa"/>
          </w:tcPr>
          <w:p w14:paraId="7D6D9A21"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539,626</w:t>
            </w:r>
          </w:p>
        </w:tc>
        <w:tc>
          <w:tcPr>
            <w:tcW w:w="1174" w:type="dxa"/>
          </w:tcPr>
          <w:p w14:paraId="70BEDF9E" w14:textId="77777777" w:rsidR="00360531" w:rsidRPr="00DA51D1" w:rsidRDefault="00360531" w:rsidP="00DA51D1">
            <w:pPr>
              <w:pStyle w:val="Normalpara"/>
              <w:rPr>
                <w:rFonts w:ascii="Arial" w:hAnsi="Arial" w:cs="Arial"/>
                <w:sz w:val="18"/>
                <w:szCs w:val="18"/>
                <w:lang w:eastAsia="en-US"/>
              </w:rPr>
            </w:pPr>
            <w:r w:rsidRPr="00DA51D1">
              <w:rPr>
                <w:rFonts w:ascii="Arial" w:hAnsi="Arial" w:cs="Arial"/>
                <w:sz w:val="18"/>
                <w:szCs w:val="18"/>
                <w:lang w:eastAsia="en-US"/>
              </w:rPr>
              <w:t>1.60%</w:t>
            </w:r>
          </w:p>
        </w:tc>
      </w:tr>
    </w:tbl>
    <w:p w14:paraId="38FB68D5" w14:textId="0821F024" w:rsidR="00A37926" w:rsidRDefault="00A37926" w:rsidP="00360531">
      <w:pPr>
        <w:pStyle w:val="N1"/>
      </w:pPr>
    </w:p>
    <w:p w14:paraId="190637EC" w14:textId="77777777" w:rsidR="00A37926" w:rsidRDefault="00A37926">
      <w:pPr>
        <w:spacing w:before="0" w:after="0" w:line="240" w:lineRule="auto"/>
        <w:rPr>
          <w:lang w:val="en-GB"/>
        </w:rPr>
      </w:pPr>
      <w:r>
        <w:br w:type="page"/>
      </w:r>
    </w:p>
    <w:p w14:paraId="1FF18FD8" w14:textId="77777777" w:rsidR="00360531" w:rsidRPr="00E82749" w:rsidRDefault="00360531" w:rsidP="00360531">
      <w:pPr>
        <w:pStyle w:val="Item"/>
        <w:rPr>
          <w:lang w:val="en-GB"/>
        </w:rPr>
      </w:pPr>
      <w:r w:rsidRPr="00E82749">
        <w:rPr>
          <w:lang w:val="en-GB"/>
        </w:rPr>
        <w:lastRenderedPageBreak/>
        <w:t>Recommendation</w:t>
      </w:r>
      <w:r w:rsidR="006E404A">
        <w:rPr>
          <w:lang w:val="en-GB"/>
        </w:rPr>
        <w:t>s</w:t>
      </w:r>
    </w:p>
    <w:p w14:paraId="11280A7E" w14:textId="77777777" w:rsidR="00360531" w:rsidRPr="0071493B" w:rsidRDefault="00360531" w:rsidP="0071493B">
      <w:pPr>
        <w:pStyle w:val="NormalBulleted"/>
      </w:pPr>
      <w:r w:rsidRPr="0071493B">
        <w:t xml:space="preserve">Implement a multicomponent intervention to improve requesting practices for head imaging. This should focus on mandated use of CDS, implemented alongside other mechanisms in order to increase the collective impact on </w:t>
      </w:r>
      <w:r w:rsidR="006C31FB">
        <w:t>requester</w:t>
      </w:r>
      <w:r w:rsidRPr="0071493B">
        <w:t xml:space="preserve"> behaviour. Specific mechanisms that lend themselves to synergies with CDS include:</w:t>
      </w:r>
    </w:p>
    <w:p w14:paraId="48274004" w14:textId="77777777" w:rsidR="00360531" w:rsidRPr="00E82749" w:rsidRDefault="006C31FB" w:rsidP="00360531">
      <w:pPr>
        <w:pStyle w:val="02dash"/>
        <w:numPr>
          <w:ilvl w:val="1"/>
          <w:numId w:val="17"/>
        </w:numPr>
        <w:spacing w:before="0" w:line="240" w:lineRule="auto"/>
        <w:ind w:left="641" w:right="0"/>
      </w:pPr>
      <w:r>
        <w:t>Requester</w:t>
      </w:r>
      <w:r w:rsidR="00360531" w:rsidRPr="00E82749">
        <w:t xml:space="preserve"> education</w:t>
      </w:r>
      <w:r w:rsidR="00360531">
        <w:t>.</w:t>
      </w:r>
    </w:p>
    <w:p w14:paraId="24CFB4CB" w14:textId="77777777" w:rsidR="00360531" w:rsidRPr="00E82749" w:rsidRDefault="00360531" w:rsidP="00360531">
      <w:pPr>
        <w:pStyle w:val="02dash"/>
        <w:numPr>
          <w:ilvl w:val="1"/>
          <w:numId w:val="17"/>
        </w:numPr>
        <w:spacing w:before="0" w:line="240" w:lineRule="auto"/>
        <w:ind w:left="641" w:right="0"/>
      </w:pPr>
      <w:r w:rsidRPr="00E82749">
        <w:t>Audit and feedback on requesting patterns</w:t>
      </w:r>
      <w:r>
        <w:t>.</w:t>
      </w:r>
    </w:p>
    <w:p w14:paraId="4F579355" w14:textId="77777777" w:rsidR="00360531" w:rsidRPr="00E82749" w:rsidRDefault="00360531" w:rsidP="00360531">
      <w:pPr>
        <w:pStyle w:val="02dash"/>
        <w:numPr>
          <w:ilvl w:val="1"/>
          <w:numId w:val="17"/>
        </w:numPr>
        <w:spacing w:before="0" w:line="240" w:lineRule="auto"/>
        <w:ind w:left="641" w:right="0"/>
      </w:pPr>
      <w:r w:rsidRPr="00E82749">
        <w:t>Patient education</w:t>
      </w:r>
      <w:r>
        <w:t xml:space="preserve"> focused</w:t>
      </w:r>
      <w:r w:rsidRPr="00E82749">
        <w:t xml:space="preserve"> on the inappropriateness of early imaging </w:t>
      </w:r>
      <w:r>
        <w:t>for</w:t>
      </w:r>
      <w:r w:rsidRPr="00E82749">
        <w:t xml:space="preserve"> </w:t>
      </w:r>
      <w:r>
        <w:t xml:space="preserve">head </w:t>
      </w:r>
      <w:r w:rsidRPr="00E82749">
        <w:t>pain</w:t>
      </w:r>
      <w:r>
        <w:t>,</w:t>
      </w:r>
      <w:r w:rsidRPr="00E82749">
        <w:t xml:space="preserve"> and what </w:t>
      </w:r>
      <w:r>
        <w:t>patients</w:t>
      </w:r>
      <w:r w:rsidRPr="00E82749">
        <w:t xml:space="preserve"> can and should expect as part of a comprehensive medical examination for </w:t>
      </w:r>
      <w:r>
        <w:t>head pain</w:t>
      </w:r>
      <w:r w:rsidRPr="00E82749">
        <w:t xml:space="preserve"> when they see a </w:t>
      </w:r>
      <w:r>
        <w:t>clinician</w:t>
      </w:r>
      <w:r w:rsidRPr="00E82749">
        <w:t>.</w:t>
      </w:r>
    </w:p>
    <w:p w14:paraId="6DBBF792" w14:textId="77777777" w:rsidR="00360531" w:rsidRPr="0071493B" w:rsidRDefault="00360531" w:rsidP="0071493B">
      <w:pPr>
        <w:pStyle w:val="NormalBulleted"/>
      </w:pPr>
      <w:bookmarkStart w:id="282" w:name="_Ref493165442"/>
      <w:r w:rsidRPr="0071493B">
        <w:t xml:space="preserve">Work with clinical experts to develop clinical signposts as part of the design and implementation of a mandatory CDS system. </w:t>
      </w:r>
      <w:r w:rsidR="00460C9C">
        <w:fldChar w:fldCharType="begin"/>
      </w:r>
      <w:r w:rsidR="00460C9C">
        <w:instrText xml:space="preserve"> REF _Ref522398258 \h </w:instrText>
      </w:r>
      <w:r w:rsidR="00460C9C">
        <w:fldChar w:fldCharType="separate"/>
      </w:r>
      <w:r w:rsidR="00763A89">
        <w:t xml:space="preserve">Table </w:t>
      </w:r>
      <w:r w:rsidR="00763A89">
        <w:rPr>
          <w:noProof/>
        </w:rPr>
        <w:t>14</w:t>
      </w:r>
      <w:r w:rsidR="00460C9C">
        <w:fldChar w:fldCharType="end"/>
      </w:r>
      <w:r w:rsidR="00460C9C">
        <w:t xml:space="preserve"> </w:t>
      </w:r>
      <w:r w:rsidRPr="0071493B">
        <w:t>provides examples of potential signposts for imaging when a patient presents with a headache.</w:t>
      </w:r>
      <w:bookmarkEnd w:id="282"/>
    </w:p>
    <w:p w14:paraId="5F15981E" w14:textId="77777777" w:rsidR="00360531" w:rsidRPr="00E82749" w:rsidRDefault="00EB0974" w:rsidP="00EB0974">
      <w:pPr>
        <w:pStyle w:val="Caption"/>
        <w:rPr>
          <w:lang w:val="en-GB"/>
        </w:rPr>
      </w:pPr>
      <w:bookmarkStart w:id="283" w:name="_Ref497994426"/>
      <w:bookmarkStart w:id="284" w:name="_Ref522398258"/>
      <w:bookmarkStart w:id="285" w:name="_Toc498084454"/>
      <w:bookmarkStart w:id="286" w:name="_Toc525816970"/>
      <w:r>
        <w:t xml:space="preserve">Table </w:t>
      </w:r>
      <w:r w:rsidR="00AF6A7F">
        <w:rPr>
          <w:noProof/>
        </w:rPr>
        <w:fldChar w:fldCharType="begin"/>
      </w:r>
      <w:r w:rsidR="00AF6A7F">
        <w:rPr>
          <w:noProof/>
        </w:rPr>
        <w:instrText xml:space="preserve"> SEQ Table \* ARABIC </w:instrText>
      </w:r>
      <w:r w:rsidR="00AF6A7F">
        <w:rPr>
          <w:noProof/>
        </w:rPr>
        <w:fldChar w:fldCharType="separate"/>
      </w:r>
      <w:r w:rsidR="00763A89">
        <w:rPr>
          <w:noProof/>
        </w:rPr>
        <w:t>14</w:t>
      </w:r>
      <w:r w:rsidR="00AF6A7F">
        <w:rPr>
          <w:noProof/>
        </w:rPr>
        <w:fldChar w:fldCharType="end"/>
      </w:r>
      <w:bookmarkEnd w:id="283"/>
      <w:bookmarkEnd w:id="284"/>
      <w:r w:rsidR="00360531" w:rsidRPr="00E82749">
        <w:rPr>
          <w:lang w:val="en-GB"/>
        </w:rPr>
        <w:t xml:space="preserve">: </w:t>
      </w:r>
      <w:r w:rsidR="00360531">
        <w:rPr>
          <w:lang w:val="en-GB"/>
        </w:rPr>
        <w:t>Exemplar imaging signposts – headache (adults)</w:t>
      </w:r>
      <w:r w:rsidR="00360531">
        <w:rPr>
          <w:rStyle w:val="FootnoteReference"/>
          <w:lang w:val="en-GB"/>
        </w:rPr>
        <w:footnoteReference w:id="4"/>
      </w:r>
      <w:bookmarkEnd w:id="285"/>
      <w:bookmarkEnd w:id="286"/>
    </w:p>
    <w:tbl>
      <w:tblPr>
        <w:tblStyle w:val="TableGrid1"/>
        <w:tblW w:w="495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4: Exemplar imaging signposts – headache (adults) "/>
        <w:tblDescription w:val="This table is presented in two columns; column 1 is 'clinical scenario' and column 2 is 'Imaging guide (first line)'. A note to the table states that these are suggestions only."/>
      </w:tblPr>
      <w:tblGrid>
        <w:gridCol w:w="3625"/>
        <w:gridCol w:w="4594"/>
      </w:tblGrid>
      <w:tr w:rsidR="00360531" w:rsidRPr="00E82749" w14:paraId="0D5E7DAA" w14:textId="77777777" w:rsidTr="00D93294">
        <w:trPr>
          <w:tblHeader/>
        </w:trPr>
        <w:tc>
          <w:tcPr>
            <w:tcW w:w="3964" w:type="dxa"/>
            <w:shd w:val="clear" w:color="auto" w:fill="F2F2F2"/>
            <w:vAlign w:val="bottom"/>
          </w:tcPr>
          <w:p w14:paraId="5A79AF4F" w14:textId="77777777" w:rsidR="00360531" w:rsidRPr="00E82749" w:rsidRDefault="00360531" w:rsidP="00D93294">
            <w:pPr>
              <w:spacing w:before="100" w:beforeAutospacing="1" w:after="100" w:afterAutospacing="1"/>
              <w:rPr>
                <w:rFonts w:ascii="Arial" w:hAnsi="Arial" w:cs="Arial"/>
                <w:b/>
                <w:sz w:val="18"/>
                <w:szCs w:val="18"/>
                <w:lang w:val="en-GB"/>
              </w:rPr>
            </w:pPr>
            <w:r>
              <w:rPr>
                <w:rFonts w:ascii="Arial" w:hAnsi="Arial" w:cs="Arial"/>
                <w:b/>
                <w:sz w:val="18"/>
                <w:szCs w:val="18"/>
                <w:lang w:val="en-GB"/>
              </w:rPr>
              <w:t>Clinical scenario</w:t>
            </w:r>
          </w:p>
        </w:tc>
        <w:tc>
          <w:tcPr>
            <w:tcW w:w="4962" w:type="dxa"/>
            <w:shd w:val="clear" w:color="auto" w:fill="F2F2F2"/>
            <w:vAlign w:val="bottom"/>
          </w:tcPr>
          <w:p w14:paraId="09473F92" w14:textId="77777777" w:rsidR="00360531" w:rsidRPr="00E82749" w:rsidRDefault="00360531" w:rsidP="00D93294">
            <w:pPr>
              <w:spacing w:before="100" w:beforeAutospacing="1" w:after="100" w:afterAutospacing="1"/>
              <w:rPr>
                <w:rFonts w:ascii="Arial" w:hAnsi="Arial" w:cs="Arial"/>
                <w:b/>
                <w:sz w:val="18"/>
                <w:szCs w:val="18"/>
                <w:lang w:val="en-GB"/>
              </w:rPr>
            </w:pPr>
            <w:r>
              <w:rPr>
                <w:rFonts w:ascii="Arial" w:hAnsi="Arial" w:cs="Arial"/>
                <w:b/>
                <w:sz w:val="18"/>
                <w:szCs w:val="18"/>
                <w:lang w:val="en-GB"/>
              </w:rPr>
              <w:t>Imaging guide (first line)</w:t>
            </w:r>
          </w:p>
        </w:tc>
      </w:tr>
      <w:tr w:rsidR="00360531" w:rsidRPr="00E82749" w14:paraId="3E91D998" w14:textId="77777777" w:rsidTr="00D93294">
        <w:tc>
          <w:tcPr>
            <w:tcW w:w="3964" w:type="dxa"/>
            <w:vAlign w:val="center"/>
          </w:tcPr>
          <w:p w14:paraId="7D078A04" w14:textId="77777777" w:rsidR="00360531" w:rsidRPr="00E82749" w:rsidRDefault="00360531" w:rsidP="00D93294">
            <w:pPr>
              <w:pStyle w:val="Normalpara"/>
              <w:rPr>
                <w:lang w:val="en-GB" w:eastAsia="en-US"/>
              </w:rPr>
            </w:pPr>
            <w:r>
              <w:rPr>
                <w:lang w:val="en-GB" w:eastAsia="en-US"/>
              </w:rPr>
              <w:t>New, sudden onset headache reaching maximum intensity within minutes</w:t>
            </w:r>
          </w:p>
        </w:tc>
        <w:tc>
          <w:tcPr>
            <w:tcW w:w="4962" w:type="dxa"/>
            <w:vAlign w:val="bottom"/>
          </w:tcPr>
          <w:p w14:paraId="2546C28D" w14:textId="77777777" w:rsidR="00360531" w:rsidRPr="00332BE2" w:rsidRDefault="00360531" w:rsidP="00360531">
            <w:pPr>
              <w:pStyle w:val="NormalBulleted"/>
              <w:rPr>
                <w:lang w:val="en-GB" w:eastAsia="en-US"/>
              </w:rPr>
            </w:pPr>
            <w:r>
              <w:rPr>
                <w:lang w:val="en-GB" w:eastAsia="en-US"/>
              </w:rPr>
              <w:t>Urgent referral or urgent CT</w:t>
            </w:r>
          </w:p>
          <w:p w14:paraId="26A261E2" w14:textId="77777777" w:rsidR="00360531" w:rsidRPr="00E82749" w:rsidRDefault="00360531" w:rsidP="00D93294">
            <w:pPr>
              <w:spacing w:before="20" w:after="20"/>
              <w:jc w:val="both"/>
              <w:rPr>
                <w:rFonts w:ascii="Arial" w:eastAsiaTheme="minorHAnsi" w:hAnsi="Arial" w:cs="Arial"/>
                <w:sz w:val="18"/>
                <w:szCs w:val="18"/>
                <w:lang w:val="en-GB" w:eastAsia="en-US"/>
              </w:rPr>
            </w:pPr>
          </w:p>
        </w:tc>
      </w:tr>
      <w:tr w:rsidR="00360531" w:rsidRPr="00E82749" w14:paraId="2A572CD8" w14:textId="77777777" w:rsidTr="00D93294">
        <w:tc>
          <w:tcPr>
            <w:tcW w:w="3964" w:type="dxa"/>
            <w:vAlign w:val="center"/>
          </w:tcPr>
          <w:p w14:paraId="7C55626C" w14:textId="77777777" w:rsidR="00360531" w:rsidRPr="000B1DD3" w:rsidRDefault="00360531" w:rsidP="00D93294">
            <w:pPr>
              <w:spacing w:before="20" w:after="20"/>
              <w:rPr>
                <w:lang w:val="en-GB" w:eastAsia="en-US"/>
              </w:rPr>
            </w:pPr>
            <w:r>
              <w:rPr>
                <w:lang w:val="en-GB" w:eastAsia="en-US"/>
              </w:rPr>
              <w:t>New onset headache</w:t>
            </w:r>
          </w:p>
        </w:tc>
        <w:tc>
          <w:tcPr>
            <w:tcW w:w="4962" w:type="dxa"/>
            <w:vAlign w:val="bottom"/>
          </w:tcPr>
          <w:p w14:paraId="72ADD100" w14:textId="77777777" w:rsidR="00360531" w:rsidRDefault="00360531" w:rsidP="00360531">
            <w:pPr>
              <w:pStyle w:val="NormalBulleted"/>
              <w:rPr>
                <w:lang w:val="en-GB" w:eastAsia="en-US"/>
              </w:rPr>
            </w:pPr>
            <w:r>
              <w:rPr>
                <w:lang w:val="en-GB" w:eastAsia="en-US"/>
              </w:rPr>
              <w:t>Consider ESR and CRP if aged &gt;50 years.</w:t>
            </w:r>
          </w:p>
          <w:p w14:paraId="1137F24D" w14:textId="77777777" w:rsidR="00360531" w:rsidRPr="00E82749" w:rsidRDefault="00360531" w:rsidP="00360531">
            <w:pPr>
              <w:pStyle w:val="NormalBulleted"/>
              <w:rPr>
                <w:lang w:val="en-GB" w:eastAsia="en-US"/>
              </w:rPr>
            </w:pPr>
            <w:r>
              <w:rPr>
                <w:lang w:val="en-GB" w:eastAsia="en-US"/>
              </w:rPr>
              <w:t>Watch and wait with referral for MRI if change in mental state, symptoms of raised intracranial pressure (ICP), neurological signs, or space occupying liaison (CT if MRI is contraindicated or unavailable).</w:t>
            </w:r>
          </w:p>
        </w:tc>
      </w:tr>
      <w:tr w:rsidR="00360531" w:rsidRPr="00E82749" w14:paraId="15F26786" w14:textId="77777777" w:rsidTr="00D93294">
        <w:tc>
          <w:tcPr>
            <w:tcW w:w="3964" w:type="dxa"/>
            <w:vAlign w:val="center"/>
          </w:tcPr>
          <w:p w14:paraId="6D602F23" w14:textId="77777777" w:rsidR="00360531" w:rsidRPr="000B1DD3" w:rsidRDefault="00360531" w:rsidP="00D93294">
            <w:pPr>
              <w:spacing w:before="20" w:after="20"/>
              <w:rPr>
                <w:lang w:val="en-GB" w:eastAsia="en-US"/>
              </w:rPr>
            </w:pPr>
            <w:r>
              <w:rPr>
                <w:lang w:val="en-GB" w:eastAsia="en-US"/>
              </w:rPr>
              <w:t>Chronic (continuing) headache</w:t>
            </w:r>
          </w:p>
        </w:tc>
        <w:tc>
          <w:tcPr>
            <w:tcW w:w="4962" w:type="dxa"/>
            <w:vAlign w:val="bottom"/>
          </w:tcPr>
          <w:p w14:paraId="1DFD354C" w14:textId="77777777" w:rsidR="00360531" w:rsidRPr="00E82749" w:rsidRDefault="00360531" w:rsidP="00360531">
            <w:pPr>
              <w:pStyle w:val="NormalBulleted"/>
              <w:rPr>
                <w:lang w:val="en-GB" w:eastAsia="en-US"/>
              </w:rPr>
            </w:pPr>
            <w:r>
              <w:rPr>
                <w:lang w:val="en-GB" w:eastAsia="en-US"/>
              </w:rPr>
              <w:t xml:space="preserve">Watch and wait with referral for MRI if change in mental state, symptoms of raised ICP or neurological signs (CT if MRI is contraindicated or unavailable).  </w:t>
            </w:r>
          </w:p>
        </w:tc>
      </w:tr>
      <w:tr w:rsidR="00360531" w:rsidRPr="00E82749" w14:paraId="6244ADCC" w14:textId="77777777" w:rsidTr="00D93294">
        <w:tc>
          <w:tcPr>
            <w:tcW w:w="3964" w:type="dxa"/>
            <w:vAlign w:val="center"/>
          </w:tcPr>
          <w:p w14:paraId="0F7A3B07" w14:textId="77777777" w:rsidR="00360531" w:rsidRPr="000B1DD3" w:rsidRDefault="00360531" w:rsidP="00D93294">
            <w:pPr>
              <w:spacing w:before="20" w:after="20"/>
              <w:rPr>
                <w:lang w:val="en-GB" w:eastAsia="en-US"/>
              </w:rPr>
            </w:pPr>
            <w:r>
              <w:rPr>
                <w:lang w:val="en-GB" w:eastAsia="en-US"/>
              </w:rPr>
              <w:t xml:space="preserve">Recurrent headache </w:t>
            </w:r>
          </w:p>
        </w:tc>
        <w:tc>
          <w:tcPr>
            <w:tcW w:w="4962" w:type="dxa"/>
            <w:vAlign w:val="bottom"/>
          </w:tcPr>
          <w:p w14:paraId="5F37299F" w14:textId="77777777" w:rsidR="00360531" w:rsidRDefault="00360531" w:rsidP="00360531">
            <w:pPr>
              <w:pStyle w:val="NormalBulleted"/>
              <w:rPr>
                <w:lang w:val="en-GB" w:eastAsia="en-US"/>
              </w:rPr>
            </w:pPr>
            <w:r>
              <w:rPr>
                <w:lang w:val="en-GB" w:eastAsia="en-US"/>
              </w:rPr>
              <w:t xml:space="preserve">Watch and wait with referral for MRI if change in mental state, symptoms of raised ICP or neurological signs (CT if MRI is contraindicated or unavailable).  </w:t>
            </w:r>
          </w:p>
        </w:tc>
      </w:tr>
      <w:tr w:rsidR="00360531" w:rsidRPr="00E82749" w14:paraId="5EA58019" w14:textId="77777777" w:rsidTr="00D93294">
        <w:tc>
          <w:tcPr>
            <w:tcW w:w="8926" w:type="dxa"/>
            <w:gridSpan w:val="2"/>
            <w:vAlign w:val="center"/>
          </w:tcPr>
          <w:p w14:paraId="7FCC60AB" w14:textId="390D5D77" w:rsidR="00360531" w:rsidRDefault="00360531" w:rsidP="00151388">
            <w:pPr>
              <w:pStyle w:val="NormalBulleted"/>
              <w:numPr>
                <w:ilvl w:val="0"/>
                <w:numId w:val="0"/>
              </w:numPr>
              <w:ind w:left="357" w:hanging="357"/>
              <w:rPr>
                <w:lang w:val="en-GB" w:eastAsia="en-US"/>
              </w:rPr>
            </w:pPr>
            <w:r w:rsidRPr="00387F90">
              <w:rPr>
                <w:b/>
                <w:lang w:val="en-GB" w:eastAsia="en-US"/>
              </w:rPr>
              <w:t>Note:</w:t>
            </w:r>
            <w:r>
              <w:rPr>
                <w:lang w:val="en-GB" w:eastAsia="en-US"/>
              </w:rPr>
              <w:t xml:space="preserve"> These signposts are suggestions only. The final signposts are indented to be developed by clinical experts based on an evidence review as a part of the design and implementation of the </w:t>
            </w:r>
            <w:r w:rsidR="00151388">
              <w:rPr>
                <w:lang w:val="en-GB" w:eastAsia="en-US"/>
              </w:rPr>
              <w:t>CDS</w:t>
            </w:r>
            <w:r>
              <w:rPr>
                <w:lang w:val="en-GB" w:eastAsia="en-US"/>
              </w:rPr>
              <w:t xml:space="preserve"> system.</w:t>
            </w:r>
          </w:p>
        </w:tc>
      </w:tr>
    </w:tbl>
    <w:p w14:paraId="0E302237" w14:textId="77777777" w:rsidR="00360531" w:rsidRPr="00E82749" w:rsidRDefault="00360531" w:rsidP="00360531">
      <w:pPr>
        <w:pStyle w:val="02dash"/>
        <w:numPr>
          <w:ilvl w:val="0"/>
          <w:numId w:val="0"/>
        </w:numPr>
        <w:ind w:left="360"/>
      </w:pPr>
    </w:p>
    <w:p w14:paraId="679D575E" w14:textId="77777777" w:rsidR="00360531" w:rsidRPr="0071493B" w:rsidRDefault="00360531" w:rsidP="0071493B">
      <w:pPr>
        <w:pStyle w:val="NormalBulleted"/>
      </w:pPr>
      <w:r w:rsidRPr="0071493B">
        <w:t xml:space="preserve">Mandate the use of formal request forms as a short-term bridging measure until a comprehensive CDS solution can be formally introduced. </w:t>
      </w:r>
    </w:p>
    <w:p w14:paraId="1A2DA49E" w14:textId="77777777" w:rsidR="00360531" w:rsidRPr="0071493B" w:rsidRDefault="00360531" w:rsidP="0071493B">
      <w:pPr>
        <w:pStyle w:val="NormalBulleted"/>
      </w:pPr>
      <w:r w:rsidRPr="0071493B">
        <w:t>Specify in the AUC for head imaging that paediatric head imaging should be performed using the MRI modality whenever possible. Use of CT should be minimised in children, except in exceptional situations such as the following:</w:t>
      </w:r>
    </w:p>
    <w:p w14:paraId="6410F15A" w14:textId="77777777" w:rsidR="00360531" w:rsidRPr="00E82749" w:rsidRDefault="00360531" w:rsidP="00360531">
      <w:pPr>
        <w:pStyle w:val="02dash"/>
        <w:numPr>
          <w:ilvl w:val="1"/>
          <w:numId w:val="17"/>
        </w:numPr>
        <w:spacing w:before="0" w:line="240" w:lineRule="auto"/>
        <w:ind w:left="641" w:right="0"/>
      </w:pPr>
      <w:r>
        <w:t>The child has f</w:t>
      </w:r>
      <w:r w:rsidRPr="00E82749">
        <w:t>erromagnetic implants (MRI contraindication)</w:t>
      </w:r>
      <w:r>
        <w:t>.</w:t>
      </w:r>
    </w:p>
    <w:p w14:paraId="7907ED1F" w14:textId="77777777" w:rsidR="00360531" w:rsidRPr="00E82749" w:rsidRDefault="00360531" w:rsidP="00360531">
      <w:pPr>
        <w:pStyle w:val="02dash"/>
        <w:numPr>
          <w:ilvl w:val="1"/>
          <w:numId w:val="17"/>
        </w:numPr>
        <w:spacing w:before="0" w:line="240" w:lineRule="auto"/>
        <w:ind w:left="641" w:right="0"/>
      </w:pPr>
      <w:r>
        <w:t>The child has c</w:t>
      </w:r>
      <w:r w:rsidRPr="00E82749">
        <w:t>laustrophobia (MRI contraindication)</w:t>
      </w:r>
      <w:r>
        <w:t>.</w:t>
      </w:r>
    </w:p>
    <w:p w14:paraId="4020BFE3" w14:textId="77777777" w:rsidR="00360531" w:rsidRPr="00E82749" w:rsidRDefault="00360531" w:rsidP="00360531">
      <w:pPr>
        <w:pStyle w:val="02dash"/>
        <w:numPr>
          <w:ilvl w:val="1"/>
          <w:numId w:val="17"/>
        </w:numPr>
        <w:spacing w:before="0" w:line="240" w:lineRule="auto"/>
        <w:ind w:left="641" w:right="0"/>
      </w:pPr>
      <w:r>
        <w:t>The child is unable</w:t>
      </w:r>
      <w:r w:rsidRPr="00E82749">
        <w:t xml:space="preserve"> to remain still for the required duration to complete an MRI scan of satisfactory quality</w:t>
      </w:r>
      <w:r>
        <w:t>.</w:t>
      </w:r>
    </w:p>
    <w:p w14:paraId="436E4A98" w14:textId="77777777" w:rsidR="00360531" w:rsidRPr="00E82749" w:rsidRDefault="00360531" w:rsidP="00360531">
      <w:pPr>
        <w:pStyle w:val="02dash"/>
        <w:numPr>
          <w:ilvl w:val="1"/>
          <w:numId w:val="17"/>
        </w:numPr>
        <w:spacing w:before="0" w:line="240" w:lineRule="auto"/>
        <w:ind w:left="641" w:right="0"/>
      </w:pPr>
      <w:r>
        <w:t>A</w:t>
      </w:r>
      <w:r w:rsidRPr="00E82749">
        <w:t xml:space="preserve"> condition/diagnosis </w:t>
      </w:r>
      <w:r>
        <w:t xml:space="preserve">is suspected </w:t>
      </w:r>
      <w:r w:rsidRPr="00E82749">
        <w:t xml:space="preserve">for which CT would provide better imaging quality and/or greater clinical utility </w:t>
      </w:r>
      <w:r>
        <w:t xml:space="preserve">(for example, </w:t>
      </w:r>
      <w:r w:rsidRPr="00E82749">
        <w:t>CT is the preferred modality for suspected subdural haemorrhage</w:t>
      </w:r>
      <w:r>
        <w:t>).</w:t>
      </w:r>
    </w:p>
    <w:p w14:paraId="79308EF8" w14:textId="77777777" w:rsidR="00360531" w:rsidRPr="00E82749" w:rsidRDefault="00360531" w:rsidP="00360531">
      <w:pPr>
        <w:pStyle w:val="02dash"/>
        <w:numPr>
          <w:ilvl w:val="1"/>
          <w:numId w:val="17"/>
        </w:numPr>
        <w:spacing w:before="0" w:line="240" w:lineRule="auto"/>
        <w:ind w:left="641" w:right="0"/>
      </w:pPr>
      <w:r>
        <w:t>It is an emergency</w:t>
      </w:r>
      <w:r w:rsidRPr="00E82749">
        <w:t xml:space="preserve">, </w:t>
      </w:r>
      <w:r>
        <w:t>and</w:t>
      </w:r>
      <w:r w:rsidRPr="00E82749">
        <w:t xml:space="preserve"> waiting for MRI imaging would result in a delay that compromises patient outcomes.</w:t>
      </w:r>
    </w:p>
    <w:p w14:paraId="56E9B38F" w14:textId="77777777" w:rsidR="00360531" w:rsidRPr="00E82749" w:rsidRDefault="006E404A" w:rsidP="00360531">
      <w:pPr>
        <w:pStyle w:val="Item"/>
        <w:rPr>
          <w:lang w:val="en-GB"/>
        </w:rPr>
      </w:pPr>
      <w:r w:rsidRPr="00E82749">
        <w:rPr>
          <w:lang w:val="en-GB"/>
        </w:rPr>
        <w:t>Rationale</w:t>
      </w:r>
    </w:p>
    <w:p w14:paraId="5E9A4B57" w14:textId="77777777" w:rsidR="00360531" w:rsidRDefault="00360531" w:rsidP="00360531">
      <w:pPr>
        <w:pStyle w:val="NormalBulleted"/>
        <w:rPr>
          <w:b/>
          <w:szCs w:val="20"/>
        </w:rPr>
      </w:pPr>
      <w:r>
        <w:t xml:space="preserve">The introduction of a GP-requested paediatric MRI item (63507) has coincided with a modest gradual decline in brain CTs ordered for the paediatric population. However, there has only been a small reduction in the growth of brain CTs ordered for the adult population since the introduction of a GP-requested adult MRI item (63551). </w:t>
      </w:r>
    </w:p>
    <w:p w14:paraId="60493301" w14:textId="77777777" w:rsidR="00360531" w:rsidRDefault="00360531" w:rsidP="00360531">
      <w:pPr>
        <w:pStyle w:val="NormalBulleted"/>
        <w:rPr>
          <w:b/>
        </w:rPr>
      </w:pPr>
      <w:r>
        <w:t>In the first 12 months following the introduction of the GP-requested adult MRI brain item, there was a 33 per cent increase in total MRI brain services (both specialist and non-specialist), but there was no corresponding reduction in CT brain services. The Committee is therefore concerned that there may be low-value use of brain MRIs in the adult population, and it may be necessary to consider clearer AUC.</w:t>
      </w:r>
    </w:p>
    <w:p w14:paraId="73368481" w14:textId="77777777" w:rsidR="00360531" w:rsidRPr="00143C5D" w:rsidRDefault="00360531" w:rsidP="00360531">
      <w:pPr>
        <w:pStyle w:val="NormalBulleted"/>
        <w:rPr>
          <w:b/>
        </w:rPr>
      </w:pPr>
      <w:r>
        <w:t>MRI is expensive and risks over-diagnosis (a safety issue). Use should therefore be limited to cases where affording increased access to patients in primary care outweighs the concern of over-diagnosis (and low-value use).</w:t>
      </w:r>
    </w:p>
    <w:p w14:paraId="0D862C39" w14:textId="77777777" w:rsidR="00102941" w:rsidRDefault="00360531" w:rsidP="0071493B">
      <w:pPr>
        <w:pStyle w:val="NormalBulleted"/>
      </w:pPr>
      <w:r>
        <w:t>The Committee agreed that mandatory CDS is the most appropriate mechanism for changing requesting behaviours regarding head imaging. The Committee acknowledged that a considered</w:t>
      </w:r>
      <w:r w:rsidR="0071493B">
        <w:t xml:space="preserve"> </w:t>
      </w:r>
      <w:r w:rsidR="00460C9C">
        <w:t>approach to implementation is required, ensuring that CDS is integrated into requesting clinicians’ clinical software in order to minimise disruption to their workflow.</w:t>
      </w:r>
    </w:p>
    <w:p w14:paraId="6F5B34C9" w14:textId="77777777" w:rsidR="00102941" w:rsidRDefault="00102941">
      <w:pPr>
        <w:spacing w:before="0" w:after="0" w:line="240" w:lineRule="auto"/>
        <w:rPr>
          <w:rFonts w:cs="Calibri"/>
          <w:lang w:val="en-US"/>
        </w:rPr>
      </w:pPr>
      <w:r>
        <w:br w:type="page"/>
      </w:r>
    </w:p>
    <w:p w14:paraId="1904F80F" w14:textId="77777777" w:rsidR="00102941" w:rsidRPr="006B4AA5" w:rsidRDefault="00102941" w:rsidP="00102941">
      <w:pPr>
        <w:pStyle w:val="Heading1"/>
        <w:pageBreakBefore/>
        <w:widowControl/>
        <w:pBdr>
          <w:bottom w:val="none" w:sz="0" w:space="0" w:color="auto"/>
        </w:pBdr>
        <w:autoSpaceDE/>
        <w:autoSpaceDN/>
        <w:adjustRightInd/>
        <w:spacing w:before="320" w:after="160" w:line="240" w:lineRule="auto"/>
        <w:ind w:left="432" w:hanging="432"/>
        <w:textAlignment w:val="auto"/>
      </w:pPr>
      <w:bookmarkStart w:id="287" w:name="_Toc498516984"/>
      <w:bookmarkStart w:id="288" w:name="_Toc525816105"/>
      <w:r w:rsidRPr="00E82749">
        <w:lastRenderedPageBreak/>
        <w:t>Non-item recommendations</w:t>
      </w:r>
      <w:bookmarkEnd w:id="287"/>
      <w:bookmarkEnd w:id="288"/>
    </w:p>
    <w:p w14:paraId="6EAD26CC" w14:textId="77777777" w:rsidR="00102941" w:rsidRPr="00E82749" w:rsidRDefault="00DA51D1" w:rsidP="00102941">
      <w:pPr>
        <w:pStyle w:val="Heading2"/>
        <w:keepLines/>
        <w:spacing w:before="280" w:line="240" w:lineRule="auto"/>
        <w:ind w:left="576"/>
        <w:rPr>
          <w:lang w:val="en-GB"/>
        </w:rPr>
      </w:pPr>
      <w:bookmarkStart w:id="289" w:name="_Toc498516985"/>
      <w:bookmarkStart w:id="290" w:name="_Toc525816106"/>
      <w:r>
        <w:rPr>
          <w:lang w:val="en-GB"/>
        </w:rPr>
        <w:t>‘</w:t>
      </w:r>
      <w:r w:rsidR="00102941" w:rsidRPr="00E82749">
        <w:rPr>
          <w:lang w:val="en-GB"/>
        </w:rPr>
        <w:t xml:space="preserve">Diabetes </w:t>
      </w:r>
      <w:r w:rsidR="00102941">
        <w:rPr>
          <w:lang w:val="en-GB"/>
        </w:rPr>
        <w:t>c</w:t>
      </w:r>
      <w:r w:rsidR="00102941" w:rsidRPr="00E82749">
        <w:rPr>
          <w:lang w:val="en-GB"/>
        </w:rPr>
        <w:t xml:space="preserve">are </w:t>
      </w:r>
      <w:r w:rsidR="00102941">
        <w:rPr>
          <w:lang w:val="en-GB"/>
        </w:rPr>
        <w:t>s</w:t>
      </w:r>
      <w:r w:rsidR="00102941" w:rsidRPr="00E82749">
        <w:rPr>
          <w:lang w:val="en-GB"/>
        </w:rPr>
        <w:t>et</w:t>
      </w:r>
      <w:r>
        <w:rPr>
          <w:lang w:val="en-GB"/>
        </w:rPr>
        <w:t>’ item</w:t>
      </w:r>
      <w:bookmarkEnd w:id="289"/>
      <w:bookmarkEnd w:id="290"/>
    </w:p>
    <w:p w14:paraId="03B647AA" w14:textId="77777777" w:rsidR="00102941" w:rsidRPr="00732CA7" w:rsidRDefault="00102941" w:rsidP="005670CF">
      <w:pPr>
        <w:pStyle w:val="Heading3"/>
      </w:pPr>
      <w:r w:rsidRPr="00102941">
        <w:t>Recommendations</w:t>
      </w:r>
    </w:p>
    <w:p w14:paraId="1858E567" w14:textId="77777777" w:rsidR="00102941" w:rsidRPr="00732CA7" w:rsidRDefault="00102941" w:rsidP="00732CA7">
      <w:pPr>
        <w:pStyle w:val="NormalBulleted"/>
      </w:pPr>
      <w:r>
        <w:t>The Committee endorsed the proposal to develop an MBS item encompassing the key tests required for the care of patients with diabetes.</w:t>
      </w:r>
    </w:p>
    <w:p w14:paraId="25655E3D" w14:textId="0C4DFF22" w:rsidR="00102941" w:rsidRPr="00732CA7" w:rsidRDefault="00102941" w:rsidP="00732CA7">
      <w:pPr>
        <w:pStyle w:val="NormalBulleted"/>
      </w:pPr>
      <w:r>
        <w:t xml:space="preserve">The Committee recommended that </w:t>
      </w:r>
      <w:r w:rsidR="00346145">
        <w:t xml:space="preserve">relevant </w:t>
      </w:r>
      <w:r w:rsidR="00AA01A9">
        <w:t xml:space="preserve">organisations </w:t>
      </w:r>
      <w:r>
        <w:t>work together to develop this care set.</w:t>
      </w:r>
    </w:p>
    <w:p w14:paraId="3CDD0F05" w14:textId="77777777" w:rsidR="00102941" w:rsidRDefault="00102941" w:rsidP="005670CF">
      <w:pPr>
        <w:pStyle w:val="Heading3"/>
      </w:pPr>
      <w:r w:rsidRPr="00102941">
        <w:t>Rationale</w:t>
      </w:r>
    </w:p>
    <w:p w14:paraId="079609E3" w14:textId="77777777" w:rsidR="00102941" w:rsidRPr="00732CA7" w:rsidRDefault="00102941" w:rsidP="00732CA7">
      <w:pPr>
        <w:pStyle w:val="NormalBulleted"/>
      </w:pPr>
      <w:r w:rsidRPr="00732CA7">
        <w:t>The Committee recognised that an annual cycle of care is required for the management of diabetes, and that it therefore makes clinical sense to develop a care set.</w:t>
      </w:r>
    </w:p>
    <w:p w14:paraId="5B2736D3" w14:textId="77777777" w:rsidR="00102941" w:rsidRPr="004150AA" w:rsidRDefault="00102941" w:rsidP="00102941">
      <w:pPr>
        <w:pStyle w:val="Heading2"/>
        <w:keepLines/>
        <w:spacing w:before="280" w:line="240" w:lineRule="auto"/>
        <w:ind w:left="576"/>
        <w:rPr>
          <w:lang w:val="en-GB"/>
        </w:rPr>
      </w:pPr>
      <w:bookmarkStart w:id="291" w:name="_Toc498516986"/>
      <w:bookmarkStart w:id="292" w:name="_Toc525816107"/>
      <w:r w:rsidRPr="00E82749">
        <w:rPr>
          <w:lang w:val="en-GB"/>
        </w:rPr>
        <w:t>Consumer health literacy</w:t>
      </w:r>
      <w:bookmarkEnd w:id="291"/>
      <w:bookmarkEnd w:id="292"/>
    </w:p>
    <w:p w14:paraId="0A6F2362" w14:textId="77777777" w:rsidR="00102941" w:rsidRPr="00732CA7" w:rsidRDefault="00102941" w:rsidP="005670CF">
      <w:pPr>
        <w:pStyle w:val="Heading3"/>
      </w:pPr>
      <w:r w:rsidRPr="00102941">
        <w:t>Recommendations</w:t>
      </w:r>
    </w:p>
    <w:p w14:paraId="64AD1B33" w14:textId="77777777" w:rsidR="00102941" w:rsidRPr="00732CA7" w:rsidRDefault="00102941" w:rsidP="00732CA7">
      <w:pPr>
        <w:pStyle w:val="NormalBulleted"/>
      </w:pPr>
      <w:r w:rsidRPr="00732CA7">
        <w:t xml:space="preserve">The Committee recommended that the Taskforce review the issue of consumer health literacy, with the aim of developing a communication mechanism designed to provide more information to consumers on referred diagnostic testing. This should include generic information about testing (that is, financial impacts, preparations and adverse effects), as well as information about the value of specific tests. Examples of current communication efforts include labtestsonline.org.au, the Consumers Health Forum, Inside Radiology, DIP (Western Australia), and the Choosing Wisely website and factsheets. </w:t>
      </w:r>
    </w:p>
    <w:p w14:paraId="5FF960FF" w14:textId="77777777" w:rsidR="00102941" w:rsidRPr="00732CA7" w:rsidRDefault="00102941" w:rsidP="00732CA7">
      <w:pPr>
        <w:pStyle w:val="NormalBulleted"/>
      </w:pPr>
      <w:r w:rsidRPr="00732CA7">
        <w:t xml:space="preserve">The Committee supports the proposals developed by the Health Technology Assessment Consumer Consultative Committee (HTACCC). These proposals rely on one of the nine mechanisms for improving requesting practices (consumer education) that the Committee is currently exploring. </w:t>
      </w:r>
    </w:p>
    <w:p w14:paraId="7D0AFEEF" w14:textId="77777777" w:rsidR="00102941" w:rsidRDefault="00102941" w:rsidP="005670CF">
      <w:pPr>
        <w:pStyle w:val="Heading3"/>
      </w:pPr>
      <w:r w:rsidRPr="00102941">
        <w:t>Rationale</w:t>
      </w:r>
    </w:p>
    <w:p w14:paraId="29E31109" w14:textId="77777777" w:rsidR="00102941" w:rsidRPr="00732CA7" w:rsidRDefault="00102941" w:rsidP="00732CA7">
      <w:pPr>
        <w:pStyle w:val="NormalBulleted"/>
      </w:pPr>
      <w:r w:rsidRPr="00732CA7">
        <w:t xml:space="preserve">The Committee noted that GPs have minimal information on diagnostic testing to provide to consumers. </w:t>
      </w:r>
    </w:p>
    <w:p w14:paraId="071143A4" w14:textId="77777777" w:rsidR="00102941" w:rsidRPr="00732CA7" w:rsidRDefault="00102941" w:rsidP="00732CA7">
      <w:pPr>
        <w:pStyle w:val="NormalBulleted"/>
      </w:pPr>
      <w:r w:rsidRPr="00732CA7">
        <w:t>The Committee agreed that consumer education is critical to improving requesting practices.</w:t>
      </w:r>
    </w:p>
    <w:p w14:paraId="3C5C94FD" w14:textId="77777777" w:rsidR="007D581F" w:rsidRDefault="007D581F">
      <w:pPr>
        <w:spacing w:before="0" w:after="0" w:line="240" w:lineRule="auto"/>
        <w:rPr>
          <w:rFonts w:cs="Calibri"/>
          <w:lang w:val="en-US"/>
        </w:rPr>
      </w:pPr>
      <w:r>
        <w:br w:type="page"/>
      </w:r>
    </w:p>
    <w:bookmarkStart w:id="293" w:name="_Toc525816108" w:displacedByCustomXml="next"/>
    <w:sdt>
      <w:sdtPr>
        <w:rPr>
          <w:rFonts w:cs="Times New Roman"/>
          <w:b w:val="0"/>
          <w:bCs w:val="0"/>
          <w:color w:val="auto"/>
          <w:sz w:val="22"/>
          <w:szCs w:val="24"/>
          <w:lang w:val="en-AU" w:eastAsia="en-AU"/>
        </w:rPr>
        <w:id w:val="1451202705"/>
        <w:docPartObj>
          <w:docPartGallery w:val="Bibliographies"/>
          <w:docPartUnique/>
        </w:docPartObj>
      </w:sdtPr>
      <w:sdtEndPr/>
      <w:sdtContent>
        <w:p w14:paraId="46CC8068" w14:textId="77777777" w:rsidR="00DF58C6" w:rsidRDefault="00DF58C6">
          <w:pPr>
            <w:pStyle w:val="Heading1"/>
          </w:pPr>
          <w:r>
            <w:t>Bibliography</w:t>
          </w:r>
          <w:bookmarkEnd w:id="293"/>
        </w:p>
        <w:sdt>
          <w:sdtPr>
            <w:id w:val="-362757836"/>
            <w:bibliography/>
          </w:sdtPr>
          <w:sdtEndPr/>
          <w:sdtContent>
            <w:p w14:paraId="2E66EF19" w14:textId="77777777" w:rsidR="00B66BE1" w:rsidRDefault="00DF58C6" w:rsidP="00B66BE1">
              <w:pPr>
                <w:pStyle w:val="Bibliography"/>
                <w:rPr>
                  <w:noProof/>
                  <w:lang w:val="en-US"/>
                </w:rPr>
              </w:pPr>
              <w:r>
                <w:fldChar w:fldCharType="begin"/>
              </w:r>
              <w:r>
                <w:instrText xml:space="preserve"> BIBLIOGRAPHY </w:instrText>
              </w:r>
              <w:r>
                <w:fldChar w:fldCharType="separate"/>
              </w:r>
              <w:r w:rsidR="00B66BE1">
                <w:rPr>
                  <w:noProof/>
                  <w:lang w:val="en-US"/>
                </w:rPr>
                <w:t xml:space="preserve">1. </w:t>
              </w:r>
              <w:r w:rsidR="00B66BE1">
                <w:rPr>
                  <w:b/>
                  <w:bCs/>
                  <w:noProof/>
                  <w:lang w:val="en-US"/>
                </w:rPr>
                <w:t>Elshaug A, et al.</w:t>
              </w:r>
              <w:r w:rsidR="00B66BE1">
                <w:rPr>
                  <w:noProof/>
                  <w:lang w:val="en-US"/>
                </w:rPr>
                <w:t xml:space="preserve"> Over 150 potentially low-value health care practices: an Australian study. </w:t>
              </w:r>
              <w:r w:rsidR="00B66BE1">
                <w:rPr>
                  <w:i/>
                  <w:iCs/>
                  <w:noProof/>
                  <w:lang w:val="en-US"/>
                </w:rPr>
                <w:t xml:space="preserve">Med J Aust. </w:t>
              </w:r>
              <w:r w:rsidR="00B66BE1">
                <w:rPr>
                  <w:noProof/>
                  <w:lang w:val="en-US"/>
                </w:rPr>
                <w:t>2012, pp. 556-560.</w:t>
              </w:r>
            </w:p>
            <w:p w14:paraId="3DEF5957" w14:textId="77777777" w:rsidR="00B66BE1" w:rsidRDefault="00B66BE1" w:rsidP="00B66BE1">
              <w:pPr>
                <w:pStyle w:val="Bibliography"/>
                <w:rPr>
                  <w:noProof/>
                  <w:lang w:val="en-US"/>
                </w:rPr>
              </w:pPr>
              <w:r>
                <w:rPr>
                  <w:noProof/>
                  <w:lang w:val="en-US"/>
                </w:rPr>
                <w:t xml:space="preserve">2. </w:t>
              </w:r>
              <w:r>
                <w:rPr>
                  <w:b/>
                  <w:bCs/>
                  <w:noProof/>
                  <w:lang w:val="en-US"/>
                </w:rPr>
                <w:t>Stacey D, Legare F, Lewis K, et al.</w:t>
              </w:r>
              <w:r>
                <w:rPr>
                  <w:noProof/>
                  <w:lang w:val="en-US"/>
                </w:rPr>
                <w:t xml:space="preserve"> Decision aids for people facing health treatment or screening decisions. </w:t>
              </w:r>
              <w:r>
                <w:rPr>
                  <w:i/>
                  <w:iCs/>
                  <w:noProof/>
                  <w:lang w:val="en-US"/>
                </w:rPr>
                <w:t xml:space="preserve">Cochrane Database of Systematic Reviews. </w:t>
              </w:r>
              <w:r>
                <w:rPr>
                  <w:noProof/>
                  <w:lang w:val="en-US"/>
                </w:rPr>
                <w:t>2017.</w:t>
              </w:r>
            </w:p>
            <w:p w14:paraId="22432E7B" w14:textId="77777777" w:rsidR="00B66BE1" w:rsidRDefault="00B66BE1" w:rsidP="00B66BE1">
              <w:pPr>
                <w:pStyle w:val="Bibliography"/>
                <w:rPr>
                  <w:noProof/>
                  <w:lang w:val="en-US"/>
                </w:rPr>
              </w:pPr>
              <w:r>
                <w:rPr>
                  <w:noProof/>
                  <w:lang w:val="en-US"/>
                </w:rPr>
                <w:t xml:space="preserve">3. </w:t>
              </w:r>
              <w:r>
                <w:rPr>
                  <w:b/>
                  <w:bCs/>
                  <w:noProof/>
                  <w:lang w:val="en-US"/>
                </w:rPr>
                <w:t>Consumer Health Forum.</w:t>
              </w:r>
              <w:r>
                <w:rPr>
                  <w:noProof/>
                  <w:lang w:val="en-US"/>
                </w:rPr>
                <w:t xml:space="preserve"> Why do I even need this test? A Diagnostic Imaging and Informed Consent Consumer Resource. [Online] https://chf.org.au/sites/default/files/diagnostic-imaging-factsheet_web_1.pdf.</w:t>
              </w:r>
            </w:p>
            <w:p w14:paraId="065AF04A" w14:textId="77777777" w:rsidR="00B66BE1" w:rsidRDefault="00B66BE1" w:rsidP="00B66BE1">
              <w:pPr>
                <w:pStyle w:val="Bibliography"/>
                <w:rPr>
                  <w:noProof/>
                  <w:lang w:val="en-US"/>
                </w:rPr>
              </w:pPr>
              <w:r>
                <w:rPr>
                  <w:noProof/>
                  <w:lang w:val="en-US"/>
                </w:rPr>
                <w:t xml:space="preserve">4. </w:t>
              </w:r>
              <w:r>
                <w:rPr>
                  <w:b/>
                  <w:bCs/>
                  <w:noProof/>
                  <w:lang w:val="en-US"/>
                </w:rPr>
                <w:t>Western Australian Department of Health.</w:t>
              </w:r>
              <w:r>
                <w:rPr>
                  <w:noProof/>
                  <w:lang w:val="en-US"/>
                </w:rPr>
                <w:t xml:space="preserve"> Diagnostic Imaging Pathways. [Online] http://www.imagingpathways.health.wa.gov.au.</w:t>
              </w:r>
            </w:p>
            <w:p w14:paraId="69C104EC" w14:textId="77777777" w:rsidR="00B66BE1" w:rsidRDefault="00B66BE1" w:rsidP="00B66BE1">
              <w:pPr>
                <w:pStyle w:val="Bibliography"/>
                <w:rPr>
                  <w:noProof/>
                  <w:lang w:val="en-US"/>
                </w:rPr>
              </w:pPr>
              <w:r>
                <w:rPr>
                  <w:noProof/>
                  <w:lang w:val="en-US"/>
                </w:rPr>
                <w:t xml:space="preserve">5. </w:t>
              </w:r>
              <w:r>
                <w:rPr>
                  <w:b/>
                  <w:bCs/>
                  <w:noProof/>
                  <w:lang w:val="en-US"/>
                </w:rPr>
                <w:t>Royal Australian and New Zealand College of Radiologists.</w:t>
              </w:r>
              <w:r>
                <w:rPr>
                  <w:noProof/>
                  <w:lang w:val="en-US"/>
                </w:rPr>
                <w:t xml:space="preserve"> Inside radiology. [Online] https://www.insideradiology.com.au/.</w:t>
              </w:r>
            </w:p>
            <w:p w14:paraId="2CE6BADC" w14:textId="77777777" w:rsidR="00B66BE1" w:rsidRDefault="00B66BE1" w:rsidP="00B66BE1">
              <w:pPr>
                <w:pStyle w:val="Bibliography"/>
                <w:rPr>
                  <w:noProof/>
                  <w:lang w:val="en-US"/>
                </w:rPr>
              </w:pPr>
              <w:r>
                <w:rPr>
                  <w:noProof/>
                  <w:lang w:val="en-US"/>
                </w:rPr>
                <w:t xml:space="preserve">6. </w:t>
              </w:r>
              <w:r>
                <w:rPr>
                  <w:b/>
                  <w:bCs/>
                  <w:noProof/>
                  <w:lang w:val="en-US"/>
                </w:rPr>
                <w:t>Australasian Association of Clinical Biochemists.</w:t>
              </w:r>
              <w:r>
                <w:rPr>
                  <w:noProof/>
                  <w:lang w:val="en-US"/>
                </w:rPr>
                <w:t xml:space="preserve"> Lab Tests Online Australasia. [Online] https://www.labtestsonline.org.au.</w:t>
              </w:r>
            </w:p>
            <w:p w14:paraId="2A9B5DB1" w14:textId="77777777" w:rsidR="00B66BE1" w:rsidRDefault="00B66BE1" w:rsidP="00B66BE1">
              <w:pPr>
                <w:pStyle w:val="Bibliography"/>
                <w:rPr>
                  <w:noProof/>
                  <w:lang w:val="en-US"/>
                </w:rPr>
              </w:pPr>
              <w:r>
                <w:rPr>
                  <w:noProof/>
                  <w:lang w:val="en-US"/>
                </w:rPr>
                <w:t xml:space="preserve">7. </w:t>
              </w:r>
              <w:r>
                <w:rPr>
                  <w:b/>
                  <w:bCs/>
                  <w:noProof/>
                  <w:lang w:val="en-US"/>
                </w:rPr>
                <w:t>Centers for Medicare &amp; Medicaid Services.</w:t>
              </w:r>
              <w:r>
                <w:rPr>
                  <w:noProof/>
                  <w:lang w:val="en-US"/>
                </w:rPr>
                <w:t xml:space="preserve"> Medicare Program; Revisions to Payment Policies Under the Physician Fee Schedule and Other Revisions to Part B for CY 2019; Medicare Shared Savings Program Requirements; Quality Payment Program; and Medicaid Promoting Interoperability Program. </w:t>
              </w:r>
              <w:r>
                <w:rPr>
                  <w:i/>
                  <w:iCs/>
                  <w:noProof/>
                  <w:lang w:val="en-US"/>
                </w:rPr>
                <w:t xml:space="preserve">Available at: https://www.federalregister.gov/documents/2018/07/27/2018-14985/medicare-program-revisions-to-payment-policies-under-the-physician-fee-schedule-and-other-revisions. </w:t>
              </w:r>
              <w:r>
                <w:rPr>
                  <w:noProof/>
                  <w:lang w:val="en-US"/>
                </w:rPr>
                <w:t>2018.</w:t>
              </w:r>
            </w:p>
            <w:p w14:paraId="25662BFD" w14:textId="77777777" w:rsidR="00B66BE1" w:rsidRDefault="00B66BE1" w:rsidP="00B66BE1">
              <w:pPr>
                <w:pStyle w:val="Bibliography"/>
                <w:rPr>
                  <w:noProof/>
                  <w:lang w:val="en-US"/>
                </w:rPr>
              </w:pPr>
              <w:r>
                <w:rPr>
                  <w:noProof/>
                  <w:lang w:val="en-US"/>
                </w:rPr>
                <w:t xml:space="preserve">8. </w:t>
              </w:r>
              <w:r>
                <w:rPr>
                  <w:b/>
                  <w:bCs/>
                  <w:noProof/>
                  <w:lang w:val="en-US"/>
                </w:rPr>
                <w:t>Stammen LA, Stalmeijer RE, Paternotte E, et al.</w:t>
              </w:r>
              <w:r>
                <w:rPr>
                  <w:noProof/>
                  <w:lang w:val="en-US"/>
                </w:rPr>
                <w:t xml:space="preserve"> Training physicians to provide high-value, cost-conscious care: a systematic review. </w:t>
              </w:r>
              <w:r>
                <w:rPr>
                  <w:i/>
                  <w:iCs/>
                  <w:noProof/>
                  <w:lang w:val="en-US"/>
                </w:rPr>
                <w:t xml:space="preserve">JAMA . </w:t>
              </w:r>
              <w:r>
                <w:rPr>
                  <w:noProof/>
                  <w:lang w:val="en-US"/>
                </w:rPr>
                <w:t>2015. Vol. 314. 2384–400.</w:t>
              </w:r>
            </w:p>
            <w:p w14:paraId="5BB256D6" w14:textId="77777777" w:rsidR="00B66BE1" w:rsidRDefault="00B66BE1" w:rsidP="00B66BE1">
              <w:pPr>
                <w:pStyle w:val="Bibliography"/>
                <w:rPr>
                  <w:noProof/>
                  <w:lang w:val="en-US"/>
                </w:rPr>
              </w:pPr>
              <w:r>
                <w:rPr>
                  <w:noProof/>
                  <w:lang w:val="en-US"/>
                </w:rPr>
                <w:t xml:space="preserve">9. </w:t>
              </w:r>
              <w:r>
                <w:rPr>
                  <w:b/>
                  <w:bCs/>
                  <w:noProof/>
                  <w:lang w:val="en-US"/>
                </w:rPr>
                <w:t>Mora A, Krug BS, Grigonis AM, et al.</w:t>
              </w:r>
              <w:r>
                <w:rPr>
                  <w:noProof/>
                  <w:lang w:val="en-US"/>
                </w:rPr>
                <w:t xml:space="preserve"> Optimizing laboratory test utilization in long-term acute care hospitals. </w:t>
              </w:r>
              <w:r>
                <w:rPr>
                  <w:i/>
                  <w:iCs/>
                  <w:noProof/>
                  <w:lang w:val="en-US"/>
                </w:rPr>
                <w:t xml:space="preserve">Proc (Bayl Univ Med Cent). </w:t>
              </w:r>
              <w:r>
                <w:rPr>
                  <w:noProof/>
                  <w:lang w:val="en-US"/>
                </w:rPr>
                <w:t>2017. Vol. 30, 1. 26-29.</w:t>
              </w:r>
            </w:p>
            <w:p w14:paraId="63BA25FC" w14:textId="77777777" w:rsidR="00B66BE1" w:rsidRDefault="00B66BE1" w:rsidP="00B66BE1">
              <w:pPr>
                <w:pStyle w:val="Bibliography"/>
                <w:rPr>
                  <w:noProof/>
                  <w:lang w:val="en-US"/>
                </w:rPr>
              </w:pPr>
              <w:r>
                <w:rPr>
                  <w:noProof/>
                  <w:lang w:val="en-US"/>
                </w:rPr>
                <w:t xml:space="preserve">10. </w:t>
              </w:r>
              <w:r>
                <w:rPr>
                  <w:b/>
                  <w:bCs/>
                  <w:noProof/>
                  <w:lang w:val="en-US"/>
                </w:rPr>
                <w:t>Australian Government Department of Health.</w:t>
              </w:r>
              <w:r>
                <w:rPr>
                  <w:noProof/>
                  <w:lang w:val="en-US"/>
                </w:rPr>
                <w:t xml:space="preserve"> </w:t>
              </w:r>
              <w:r>
                <w:rPr>
                  <w:i/>
                  <w:iCs/>
                  <w:noProof/>
                  <w:lang w:val="en-US"/>
                </w:rPr>
                <w:t xml:space="preserve">MBS Reviews Folate Testing Report. </w:t>
              </w:r>
              <w:r>
                <w:rPr>
                  <w:noProof/>
                  <w:lang w:val="en-US"/>
                </w:rPr>
                <w:t>Canberra : Department of Health, 2014.</w:t>
              </w:r>
            </w:p>
            <w:p w14:paraId="77501101" w14:textId="77777777" w:rsidR="00B66BE1" w:rsidRDefault="00B66BE1" w:rsidP="00B66BE1">
              <w:pPr>
                <w:pStyle w:val="Bibliography"/>
                <w:rPr>
                  <w:noProof/>
                  <w:lang w:val="en-US"/>
                </w:rPr>
              </w:pPr>
              <w:r>
                <w:rPr>
                  <w:noProof/>
                  <w:lang w:val="en-US"/>
                </w:rPr>
                <w:t xml:space="preserve">11. </w:t>
              </w:r>
              <w:r>
                <w:rPr>
                  <w:b/>
                  <w:bCs/>
                  <w:noProof/>
                  <w:lang w:val="en-US"/>
                </w:rPr>
                <w:t>Yamamoto A, Takagishi K, Osawa T, et al.</w:t>
              </w:r>
              <w:r>
                <w:rPr>
                  <w:noProof/>
                  <w:lang w:val="en-US"/>
                </w:rPr>
                <w:t xml:space="preserve"> Prevalence and risk factors of a rotator cuff tear in the general population. </w:t>
              </w:r>
              <w:r>
                <w:rPr>
                  <w:i/>
                  <w:iCs/>
                  <w:noProof/>
                  <w:lang w:val="en-US"/>
                </w:rPr>
                <w:t xml:space="preserve">J Shoulder Elbow Surg. </w:t>
              </w:r>
              <w:r>
                <w:rPr>
                  <w:noProof/>
                  <w:lang w:val="en-US"/>
                </w:rPr>
                <w:t>2010, Vol. 19, 1, pp. 116-120.</w:t>
              </w:r>
            </w:p>
            <w:p w14:paraId="55A9591C" w14:textId="77777777" w:rsidR="00B66BE1" w:rsidRDefault="00B66BE1" w:rsidP="00B66BE1">
              <w:pPr>
                <w:pStyle w:val="Bibliography"/>
                <w:rPr>
                  <w:noProof/>
                  <w:lang w:val="en-US"/>
                </w:rPr>
              </w:pPr>
              <w:r>
                <w:rPr>
                  <w:noProof/>
                  <w:lang w:val="en-US"/>
                </w:rPr>
                <w:lastRenderedPageBreak/>
                <w:t xml:space="preserve">12. </w:t>
              </w:r>
              <w:r>
                <w:rPr>
                  <w:b/>
                  <w:bCs/>
                  <w:noProof/>
                  <w:lang w:val="en-US"/>
                </w:rPr>
                <w:t>Australian Government.</w:t>
              </w:r>
              <w:r>
                <w:rPr>
                  <w:noProof/>
                  <w:lang w:val="en-US"/>
                </w:rPr>
                <w:t xml:space="preserve"> Pathology funding agreement between the Australian Government and the Australian Association of Pathology Practices and the Royal College of Pathologists of Australasia and the National Coalition of Public Pathology. 2011.</w:t>
              </w:r>
            </w:p>
            <w:p w14:paraId="5CCC69DA" w14:textId="77777777" w:rsidR="00B66BE1" w:rsidRDefault="00B66BE1" w:rsidP="00B66BE1">
              <w:pPr>
                <w:pStyle w:val="Bibliography"/>
                <w:rPr>
                  <w:noProof/>
                  <w:lang w:val="en-US"/>
                </w:rPr>
              </w:pPr>
              <w:r>
                <w:rPr>
                  <w:noProof/>
                  <w:lang w:val="en-US"/>
                </w:rPr>
                <w:t xml:space="preserve">13. </w:t>
              </w:r>
              <w:r>
                <w:rPr>
                  <w:b/>
                  <w:bCs/>
                  <w:noProof/>
                  <w:lang w:val="en-US"/>
                </w:rPr>
                <w:t>Royal College of Pathologists of Australasia.</w:t>
              </w:r>
              <w:r>
                <w:rPr>
                  <w:noProof/>
                  <w:lang w:val="en-US"/>
                </w:rPr>
                <w:t xml:space="preserve"> Position Statement: Vitamin B12 and Folate testing – Use and interpretation. 2015.</w:t>
              </w:r>
            </w:p>
            <w:p w14:paraId="2905B281" w14:textId="77777777" w:rsidR="00B66BE1" w:rsidRDefault="00B66BE1" w:rsidP="00B66BE1">
              <w:pPr>
                <w:pStyle w:val="Bibliography"/>
                <w:rPr>
                  <w:noProof/>
                  <w:lang w:val="en-US"/>
                </w:rPr>
              </w:pPr>
              <w:r>
                <w:rPr>
                  <w:noProof/>
                  <w:lang w:val="en-US"/>
                </w:rPr>
                <w:t xml:space="preserve">14. </w:t>
              </w:r>
              <w:r>
                <w:rPr>
                  <w:b/>
                  <w:bCs/>
                  <w:noProof/>
                  <w:lang w:val="en-US"/>
                </w:rPr>
                <w:t>Medical Services Advisory Committee.</w:t>
              </w:r>
              <w:r>
                <w:rPr>
                  <w:noProof/>
                  <w:lang w:val="en-US"/>
                </w:rPr>
                <w:t xml:space="preserve"> 61st MSAC Meeting 3-4 April 2014: Review of Vitamin B12 Testing. 2014.</w:t>
              </w:r>
            </w:p>
            <w:p w14:paraId="5A9DBE54" w14:textId="77777777" w:rsidR="00B66BE1" w:rsidRDefault="00B66BE1" w:rsidP="00B66BE1">
              <w:pPr>
                <w:pStyle w:val="Bibliography"/>
                <w:rPr>
                  <w:noProof/>
                  <w:lang w:val="en-US"/>
                </w:rPr>
              </w:pPr>
              <w:r>
                <w:rPr>
                  <w:noProof/>
                  <w:lang w:val="en-US"/>
                </w:rPr>
                <w:t xml:space="preserve">15. </w:t>
              </w:r>
              <w:r>
                <w:rPr>
                  <w:b/>
                  <w:bCs/>
                  <w:noProof/>
                  <w:lang w:val="en-US"/>
                </w:rPr>
                <w:t>Australian Government, Department of Health.</w:t>
              </w:r>
              <w:r>
                <w:rPr>
                  <w:noProof/>
                  <w:lang w:val="en-US"/>
                </w:rPr>
                <w:t xml:space="preserve"> MBS Reviews Vitamin B12 Testing Report. 2014.</w:t>
              </w:r>
            </w:p>
            <w:p w14:paraId="709B7095" w14:textId="77777777" w:rsidR="00B66BE1" w:rsidRDefault="00B66BE1" w:rsidP="00B66BE1">
              <w:pPr>
                <w:pStyle w:val="Bibliography"/>
                <w:rPr>
                  <w:noProof/>
                  <w:lang w:val="en-US"/>
                </w:rPr>
              </w:pPr>
              <w:r>
                <w:rPr>
                  <w:noProof/>
                  <w:lang w:val="en-US"/>
                </w:rPr>
                <w:t xml:space="preserve">16. </w:t>
              </w:r>
              <w:r>
                <w:rPr>
                  <w:b/>
                  <w:bCs/>
                  <w:noProof/>
                  <w:lang w:val="en-US"/>
                </w:rPr>
                <w:t>Pasricha S-RS, Flecknoe-Brown SC, Allen KJ, et al.</w:t>
              </w:r>
              <w:r>
                <w:rPr>
                  <w:noProof/>
                  <w:lang w:val="en-US"/>
                </w:rPr>
                <w:t xml:space="preserve"> Diagnosis and management of iron deficiency anaemia: a clinical update. </w:t>
              </w:r>
              <w:r>
                <w:rPr>
                  <w:i/>
                  <w:iCs/>
                  <w:noProof/>
                  <w:lang w:val="en-US"/>
                </w:rPr>
                <w:t xml:space="preserve">Med J Aust. </w:t>
              </w:r>
              <w:r>
                <w:rPr>
                  <w:noProof/>
                  <w:lang w:val="en-US"/>
                </w:rPr>
                <w:t>2010. Vol. 193 , 9. 525-532.</w:t>
              </w:r>
            </w:p>
            <w:p w14:paraId="163AFCB1" w14:textId="77777777" w:rsidR="00B66BE1" w:rsidRDefault="00B66BE1" w:rsidP="00B66BE1">
              <w:pPr>
                <w:pStyle w:val="Bibliography"/>
                <w:rPr>
                  <w:noProof/>
                  <w:lang w:val="en-US"/>
                </w:rPr>
              </w:pPr>
              <w:r>
                <w:rPr>
                  <w:noProof/>
                  <w:lang w:val="en-US"/>
                </w:rPr>
                <w:t xml:space="preserve">17. </w:t>
              </w:r>
              <w:r>
                <w:rPr>
                  <w:b/>
                  <w:bCs/>
                  <w:noProof/>
                  <w:lang w:val="en-US"/>
                </w:rPr>
                <w:t>Baird-Gunning J, Bromley J.</w:t>
              </w:r>
              <w:r>
                <w:rPr>
                  <w:noProof/>
                  <w:lang w:val="en-US"/>
                </w:rPr>
                <w:t xml:space="preserve"> Correcting iron deficiency. </w:t>
              </w:r>
              <w:r>
                <w:rPr>
                  <w:i/>
                  <w:iCs/>
                  <w:noProof/>
                  <w:lang w:val="en-US"/>
                </w:rPr>
                <w:t xml:space="preserve">Aust Prescr. </w:t>
              </w:r>
              <w:r>
                <w:rPr>
                  <w:noProof/>
                  <w:lang w:val="en-US"/>
                </w:rPr>
                <w:t>2016. Vol. 39, 6. 193–199.</w:t>
              </w:r>
            </w:p>
            <w:p w14:paraId="6FFCCFD0" w14:textId="77777777" w:rsidR="00B66BE1" w:rsidRDefault="00B66BE1" w:rsidP="00B66BE1">
              <w:pPr>
                <w:pStyle w:val="Bibliography"/>
                <w:rPr>
                  <w:noProof/>
                  <w:lang w:val="en-US"/>
                </w:rPr>
              </w:pPr>
              <w:r>
                <w:rPr>
                  <w:noProof/>
                  <w:lang w:val="en-US"/>
                </w:rPr>
                <w:t xml:space="preserve">18. </w:t>
              </w:r>
              <w:r>
                <w:rPr>
                  <w:b/>
                  <w:bCs/>
                  <w:noProof/>
                  <w:lang w:val="en-US"/>
                </w:rPr>
                <w:t>Dignass, A, Farrag, K and Stein, J.</w:t>
              </w:r>
              <w:r>
                <w:rPr>
                  <w:noProof/>
                  <w:lang w:val="en-US"/>
                </w:rPr>
                <w:t xml:space="preserve"> Limitations of Serum Ferritin in Diagnosing Iron Deficiency in Inflammatory Conditions. </w:t>
              </w:r>
              <w:r>
                <w:rPr>
                  <w:i/>
                  <w:iCs/>
                  <w:noProof/>
                  <w:lang w:val="en-US"/>
                </w:rPr>
                <w:t xml:space="preserve">Int J Chronic Dis. </w:t>
              </w:r>
              <w:r>
                <w:rPr>
                  <w:noProof/>
                  <w:lang w:val="en-US"/>
                </w:rPr>
                <w:t>2018. Vol. 2018. doi: 10.1155/2018/9394060.</w:t>
              </w:r>
            </w:p>
            <w:p w14:paraId="50BD63A2" w14:textId="77777777" w:rsidR="00B66BE1" w:rsidRDefault="00B66BE1" w:rsidP="00B66BE1">
              <w:pPr>
                <w:pStyle w:val="Bibliography"/>
                <w:rPr>
                  <w:noProof/>
                  <w:lang w:val="en-US"/>
                </w:rPr>
              </w:pPr>
              <w:r>
                <w:rPr>
                  <w:noProof/>
                  <w:lang w:val="en-US"/>
                </w:rPr>
                <w:t xml:space="preserve">19. </w:t>
              </w:r>
              <w:r>
                <w:rPr>
                  <w:b/>
                  <w:bCs/>
                  <w:noProof/>
                  <w:lang w:val="en-US"/>
                </w:rPr>
                <w:t>Royal College of Pathologists of Australasia and Australian Doctor.</w:t>
              </w:r>
              <w:r>
                <w:rPr>
                  <w:noProof/>
                  <w:lang w:val="en-US"/>
                </w:rPr>
                <w:t xml:space="preserve"> Interpreting serum ferritin. </w:t>
              </w:r>
              <w:r>
                <w:rPr>
                  <w:i/>
                  <w:iCs/>
                  <w:noProof/>
                  <w:lang w:val="en-US"/>
                </w:rPr>
                <w:t xml:space="preserve">Common sense pathology. </w:t>
              </w:r>
              <w:r>
                <w:rPr>
                  <w:noProof/>
                  <w:lang w:val="en-US"/>
                </w:rPr>
                <w:t>Oct 2013.</w:t>
              </w:r>
            </w:p>
            <w:p w14:paraId="0CA42E79" w14:textId="77777777" w:rsidR="00B66BE1" w:rsidRDefault="00B66BE1" w:rsidP="00B66BE1">
              <w:pPr>
                <w:pStyle w:val="Bibliography"/>
                <w:rPr>
                  <w:noProof/>
                  <w:lang w:val="en-US"/>
                </w:rPr>
              </w:pPr>
              <w:r>
                <w:rPr>
                  <w:noProof/>
                  <w:lang w:val="en-US"/>
                </w:rPr>
                <w:t xml:space="preserve">20. </w:t>
              </w:r>
              <w:r>
                <w:rPr>
                  <w:b/>
                  <w:bCs/>
                  <w:noProof/>
                  <w:lang w:val="en-US"/>
                </w:rPr>
                <w:t>Gastroenterological Society of Australia.</w:t>
              </w:r>
              <w:r>
                <w:rPr>
                  <w:noProof/>
                  <w:lang w:val="en-US"/>
                </w:rPr>
                <w:t xml:space="preserve"> </w:t>
              </w:r>
              <w:r>
                <w:rPr>
                  <w:i/>
                  <w:iCs/>
                  <w:noProof/>
                  <w:lang w:val="en-US"/>
                </w:rPr>
                <w:t xml:space="preserve">Iron Deficiency: clinical update. </w:t>
              </w:r>
              <w:r>
                <w:rPr>
                  <w:noProof/>
                  <w:lang w:val="en-US"/>
                </w:rPr>
                <w:t>Oct 2015.</w:t>
              </w:r>
            </w:p>
            <w:p w14:paraId="11978BA9" w14:textId="77777777" w:rsidR="00B66BE1" w:rsidRDefault="00B66BE1" w:rsidP="00B66BE1">
              <w:pPr>
                <w:pStyle w:val="Bibliography"/>
                <w:rPr>
                  <w:noProof/>
                  <w:lang w:val="en-US"/>
                </w:rPr>
              </w:pPr>
              <w:r>
                <w:rPr>
                  <w:noProof/>
                  <w:lang w:val="en-US"/>
                </w:rPr>
                <w:t xml:space="preserve">21. </w:t>
              </w:r>
              <w:r>
                <w:rPr>
                  <w:b/>
                  <w:bCs/>
                  <w:noProof/>
                  <w:lang w:val="en-US"/>
                </w:rPr>
                <w:t>Guyatt GH, Oxman AD, Ali M, et al.</w:t>
              </w:r>
              <w:r>
                <w:rPr>
                  <w:noProof/>
                  <w:lang w:val="en-US"/>
                </w:rPr>
                <w:t xml:space="preserve"> Laboratory diagnosis of iron-deficiency anemia: an overview. </w:t>
              </w:r>
              <w:r>
                <w:rPr>
                  <w:i/>
                  <w:iCs/>
                  <w:noProof/>
                  <w:lang w:val="en-US"/>
                </w:rPr>
                <w:t xml:space="preserve">Journal of General Internal Medicine. </w:t>
              </w:r>
              <w:r>
                <w:rPr>
                  <w:noProof/>
                  <w:lang w:val="en-US"/>
                </w:rPr>
                <w:t>145-153, 1992.</w:t>
              </w:r>
            </w:p>
            <w:p w14:paraId="7DD5929B" w14:textId="77777777" w:rsidR="00B66BE1" w:rsidRDefault="00B66BE1" w:rsidP="00B66BE1">
              <w:pPr>
                <w:pStyle w:val="Bibliography"/>
                <w:rPr>
                  <w:noProof/>
                  <w:lang w:val="en-US"/>
                </w:rPr>
              </w:pPr>
              <w:r>
                <w:rPr>
                  <w:noProof/>
                  <w:lang w:val="en-US"/>
                </w:rPr>
                <w:t xml:space="preserve">22. </w:t>
              </w:r>
              <w:r>
                <w:rPr>
                  <w:b/>
                  <w:bCs/>
                  <w:noProof/>
                  <w:lang w:val="en-US"/>
                </w:rPr>
                <w:t>Peyrin-Biroulet L, Williet N, Cacoub P.</w:t>
              </w:r>
              <w:r>
                <w:rPr>
                  <w:noProof/>
                  <w:lang w:val="en-US"/>
                </w:rPr>
                <w:t xml:space="preserve"> Guidelines on the diagnosis and treatment of iron deficiency across indications: a systematic review. </w:t>
              </w:r>
              <w:r>
                <w:rPr>
                  <w:i/>
                  <w:iCs/>
                  <w:noProof/>
                  <w:lang w:val="en-US"/>
                </w:rPr>
                <w:t xml:space="preserve">American Journal of Clinical Nutrition. </w:t>
              </w:r>
              <w:r>
                <w:rPr>
                  <w:noProof/>
                  <w:lang w:val="en-US"/>
                </w:rPr>
                <w:t>1585-94, 2015, Vol. 102, 6.</w:t>
              </w:r>
            </w:p>
            <w:p w14:paraId="056637B4" w14:textId="77777777" w:rsidR="00B66BE1" w:rsidRDefault="00B66BE1" w:rsidP="00B66BE1">
              <w:pPr>
                <w:pStyle w:val="Bibliography"/>
                <w:rPr>
                  <w:noProof/>
                  <w:lang w:val="en-US"/>
                </w:rPr>
              </w:pPr>
              <w:r>
                <w:rPr>
                  <w:noProof/>
                  <w:lang w:val="en-US"/>
                </w:rPr>
                <w:t xml:space="preserve">23. </w:t>
              </w:r>
              <w:r>
                <w:rPr>
                  <w:b/>
                  <w:bCs/>
                  <w:noProof/>
                  <w:lang w:val="en-US"/>
                </w:rPr>
                <w:t>Royal College of Pathologists of Australasia.</w:t>
              </w:r>
              <w:r>
                <w:rPr>
                  <w:noProof/>
                  <w:lang w:val="en-US"/>
                </w:rPr>
                <w:t xml:space="preserve"> Iron Studies Standardised Reporting Protocol. 2013.</w:t>
              </w:r>
            </w:p>
            <w:p w14:paraId="3D739D60" w14:textId="77777777" w:rsidR="00B66BE1" w:rsidRDefault="00B66BE1" w:rsidP="00B66BE1">
              <w:pPr>
                <w:pStyle w:val="Bibliography"/>
                <w:rPr>
                  <w:noProof/>
                  <w:lang w:val="en-US"/>
                </w:rPr>
              </w:pPr>
              <w:r>
                <w:rPr>
                  <w:noProof/>
                  <w:lang w:val="en-US"/>
                </w:rPr>
                <w:t xml:space="preserve">24. </w:t>
              </w:r>
              <w:r>
                <w:rPr>
                  <w:b/>
                  <w:bCs/>
                  <w:noProof/>
                  <w:lang w:val="en-US"/>
                </w:rPr>
                <w:t>Patient Blood Management Steering Committee, National Blood Authority.</w:t>
              </w:r>
              <w:r>
                <w:rPr>
                  <w:noProof/>
                  <w:lang w:val="en-US"/>
                </w:rPr>
                <w:t xml:space="preserve"> </w:t>
              </w:r>
              <w:r>
                <w:rPr>
                  <w:i/>
                  <w:iCs/>
                  <w:noProof/>
                  <w:lang w:val="en-US"/>
                </w:rPr>
                <w:t xml:space="preserve">Submission to the MBS Review Taskforce on Blood Related MBS Item Numbers. </w:t>
              </w:r>
              <w:r>
                <w:rPr>
                  <w:noProof/>
                  <w:lang w:val="en-US"/>
                </w:rPr>
                <w:t>2015.</w:t>
              </w:r>
            </w:p>
            <w:p w14:paraId="1769536E" w14:textId="77777777" w:rsidR="00B66BE1" w:rsidRDefault="00B66BE1" w:rsidP="00B66BE1">
              <w:pPr>
                <w:pStyle w:val="Bibliography"/>
                <w:rPr>
                  <w:noProof/>
                  <w:lang w:val="en-US"/>
                </w:rPr>
              </w:pPr>
              <w:r>
                <w:rPr>
                  <w:noProof/>
                  <w:lang w:val="en-US"/>
                </w:rPr>
                <w:t xml:space="preserve">25. </w:t>
              </w:r>
              <w:r>
                <w:rPr>
                  <w:b/>
                  <w:bCs/>
                  <w:noProof/>
                  <w:lang w:val="en-US"/>
                </w:rPr>
                <w:t>Guyatt, G.</w:t>
              </w:r>
              <w:r>
                <w:rPr>
                  <w:noProof/>
                  <w:lang w:val="en-US"/>
                </w:rPr>
                <w:t xml:space="preserve"> Transferrin as a predictor of iron deficiency. </w:t>
              </w:r>
              <w:r>
                <w:rPr>
                  <w:i/>
                  <w:iCs/>
                  <w:noProof/>
                  <w:lang w:val="en-US"/>
                </w:rPr>
                <w:t xml:space="preserve">American Journal of Medicine. </w:t>
              </w:r>
              <w:r>
                <w:rPr>
                  <w:noProof/>
                  <w:lang w:val="en-US"/>
                </w:rPr>
                <w:t>453, 1992.</w:t>
              </w:r>
            </w:p>
            <w:p w14:paraId="3EB2577C" w14:textId="77777777" w:rsidR="00B66BE1" w:rsidRDefault="00B66BE1" w:rsidP="00B66BE1">
              <w:pPr>
                <w:pStyle w:val="Bibliography"/>
                <w:rPr>
                  <w:noProof/>
                  <w:lang w:val="en-US"/>
                </w:rPr>
              </w:pPr>
              <w:r>
                <w:rPr>
                  <w:noProof/>
                  <w:lang w:val="en-US"/>
                </w:rPr>
                <w:t xml:space="preserve">26. </w:t>
              </w:r>
              <w:r>
                <w:rPr>
                  <w:b/>
                  <w:bCs/>
                  <w:noProof/>
                  <w:lang w:val="en-US"/>
                </w:rPr>
                <w:t>Camaschella, C.</w:t>
              </w:r>
              <w:r>
                <w:rPr>
                  <w:noProof/>
                  <w:lang w:val="en-US"/>
                </w:rPr>
                <w:t xml:space="preserve"> Iron-Deficiency Anemia. </w:t>
              </w:r>
              <w:r>
                <w:rPr>
                  <w:i/>
                  <w:iCs/>
                  <w:noProof/>
                  <w:lang w:val="en-US"/>
                </w:rPr>
                <w:t xml:space="preserve">New England Journal of Medicine. </w:t>
              </w:r>
              <w:r>
                <w:rPr>
                  <w:noProof/>
                  <w:lang w:val="en-US"/>
                </w:rPr>
                <w:t>1832-43, 2015, Vol. 372.</w:t>
              </w:r>
            </w:p>
            <w:p w14:paraId="5AD3168C" w14:textId="77777777" w:rsidR="00B66BE1" w:rsidRDefault="00B66BE1" w:rsidP="00B66BE1">
              <w:pPr>
                <w:pStyle w:val="Bibliography"/>
                <w:rPr>
                  <w:noProof/>
                  <w:lang w:val="en-US"/>
                </w:rPr>
              </w:pPr>
              <w:r>
                <w:rPr>
                  <w:noProof/>
                  <w:lang w:val="en-US"/>
                </w:rPr>
                <w:lastRenderedPageBreak/>
                <w:t xml:space="preserve">27. </w:t>
              </w:r>
              <w:r>
                <w:rPr>
                  <w:b/>
                  <w:bCs/>
                  <w:noProof/>
                  <w:lang w:val="en-US"/>
                </w:rPr>
                <w:t>Leggett BA, Halliday JW, Brown NN, et al.</w:t>
              </w:r>
              <w:r>
                <w:rPr>
                  <w:noProof/>
                  <w:lang w:val="en-US"/>
                </w:rPr>
                <w:t xml:space="preserve"> Prevalence of haemochromatosis amongst asymptomatic Australians. </w:t>
              </w:r>
              <w:r>
                <w:rPr>
                  <w:i/>
                  <w:iCs/>
                  <w:noProof/>
                  <w:lang w:val="en-US"/>
                </w:rPr>
                <w:t xml:space="preserve">Br J Haematol. </w:t>
              </w:r>
              <w:r>
                <w:rPr>
                  <w:noProof/>
                  <w:lang w:val="en-US"/>
                </w:rPr>
                <w:t>1990. Vol. 74, 4. 525-30.</w:t>
              </w:r>
            </w:p>
            <w:p w14:paraId="6F14E547" w14:textId="77777777" w:rsidR="00B66BE1" w:rsidRDefault="00B66BE1" w:rsidP="00B66BE1">
              <w:pPr>
                <w:pStyle w:val="Bibliography"/>
                <w:rPr>
                  <w:noProof/>
                  <w:lang w:val="en-US"/>
                </w:rPr>
              </w:pPr>
              <w:r>
                <w:rPr>
                  <w:noProof/>
                  <w:lang w:val="en-US"/>
                </w:rPr>
                <w:t xml:space="preserve">28. </w:t>
              </w:r>
              <w:r>
                <w:rPr>
                  <w:b/>
                  <w:bCs/>
                  <w:noProof/>
                  <w:lang w:val="en-US"/>
                </w:rPr>
                <w:t>Australian Bureau of Statistics.</w:t>
              </w:r>
              <w:r>
                <w:rPr>
                  <w:noProof/>
                  <w:lang w:val="en-US"/>
                </w:rPr>
                <w:t xml:space="preserve"> Australian Health Survey: Biomedical Results for Nutrients, 2011-12 . 2013.</w:t>
              </w:r>
            </w:p>
            <w:p w14:paraId="0FACCEA1" w14:textId="77777777" w:rsidR="00B66BE1" w:rsidRDefault="00B66BE1" w:rsidP="00B66BE1">
              <w:pPr>
                <w:pStyle w:val="Bibliography"/>
                <w:rPr>
                  <w:noProof/>
                  <w:lang w:val="en-US"/>
                </w:rPr>
              </w:pPr>
              <w:r>
                <w:rPr>
                  <w:noProof/>
                  <w:lang w:val="en-US"/>
                </w:rPr>
                <w:t xml:space="preserve">29. </w:t>
              </w:r>
              <w:r>
                <w:rPr>
                  <w:b/>
                  <w:bCs/>
                  <w:noProof/>
                  <w:lang w:val="en-US"/>
                </w:rPr>
                <w:t>Brown RD, Langshaw MR, Uhr EJ, et al.</w:t>
              </w:r>
              <w:r>
                <w:rPr>
                  <w:noProof/>
                  <w:lang w:val="en-US"/>
                </w:rPr>
                <w:t xml:space="preserve"> The impact of mandatory fortification of flour with folic acid on the blood folate levels of an Australian population. </w:t>
              </w:r>
              <w:r>
                <w:rPr>
                  <w:i/>
                  <w:iCs/>
                  <w:noProof/>
                  <w:lang w:val="en-US"/>
                </w:rPr>
                <w:t xml:space="preserve">Medical Journal of Australia. </w:t>
              </w:r>
              <w:r>
                <w:rPr>
                  <w:noProof/>
                  <w:lang w:val="en-US"/>
                </w:rPr>
                <w:t>65-67, 2011.</w:t>
              </w:r>
            </w:p>
            <w:p w14:paraId="737FB773" w14:textId="77777777" w:rsidR="00B66BE1" w:rsidRDefault="00B66BE1" w:rsidP="00B66BE1">
              <w:pPr>
                <w:pStyle w:val="Bibliography"/>
                <w:rPr>
                  <w:noProof/>
                  <w:lang w:val="en-US"/>
                </w:rPr>
              </w:pPr>
              <w:r>
                <w:rPr>
                  <w:noProof/>
                  <w:lang w:val="en-US"/>
                </w:rPr>
                <w:t xml:space="preserve">30. </w:t>
              </w:r>
              <w:r>
                <w:rPr>
                  <w:b/>
                  <w:bCs/>
                  <w:noProof/>
                  <w:lang w:val="en-US"/>
                </w:rPr>
                <w:t>Royal Australian College of General Practitioners.</w:t>
              </w:r>
              <w:r>
                <w:rPr>
                  <w:noProof/>
                  <w:lang w:val="en-US"/>
                </w:rPr>
                <w:t xml:space="preserve"> </w:t>
              </w:r>
              <w:r>
                <w:rPr>
                  <w:i/>
                  <w:iCs/>
                  <w:noProof/>
                  <w:lang w:val="en-US"/>
                </w:rPr>
                <w:t xml:space="preserve">Medical care of older persons in residential aged care facilities - Urinary Tract Infections. 4th ed. </w:t>
              </w:r>
              <w:r>
                <w:rPr>
                  <w:noProof/>
                  <w:lang w:val="en-US"/>
                </w:rPr>
                <w:t>2006.</w:t>
              </w:r>
            </w:p>
            <w:p w14:paraId="05ADA321" w14:textId="77777777" w:rsidR="00B66BE1" w:rsidRDefault="00B66BE1" w:rsidP="00B66BE1">
              <w:pPr>
                <w:pStyle w:val="Bibliography"/>
                <w:rPr>
                  <w:noProof/>
                  <w:lang w:val="en-US"/>
                </w:rPr>
              </w:pPr>
              <w:r>
                <w:rPr>
                  <w:noProof/>
                  <w:lang w:val="en-US"/>
                </w:rPr>
                <w:t xml:space="preserve">31. </w:t>
              </w:r>
              <w:r>
                <w:rPr>
                  <w:b/>
                  <w:bCs/>
                  <w:noProof/>
                  <w:lang w:val="en-US"/>
                </w:rPr>
                <w:t>Lin K, Fajardo K.</w:t>
              </w:r>
              <w:r>
                <w:rPr>
                  <w:noProof/>
                  <w:lang w:val="en-US"/>
                </w:rPr>
                <w:t xml:space="preserve"> Screening for Asymptomatic Bacteriuria in Adults: Evidence for the U.S. Preventive Services Task Force Reaffirmation Recommendation Statement. </w:t>
              </w:r>
              <w:r>
                <w:rPr>
                  <w:i/>
                  <w:iCs/>
                  <w:noProof/>
                  <w:lang w:val="en-US"/>
                </w:rPr>
                <w:t xml:space="preserve">Annals of Internal Medicine. </w:t>
              </w:r>
              <w:r>
                <w:rPr>
                  <w:noProof/>
                  <w:lang w:val="en-US"/>
                </w:rPr>
                <w:t>W-20, 2008.</w:t>
              </w:r>
            </w:p>
            <w:p w14:paraId="7157CF46" w14:textId="77777777" w:rsidR="00B66BE1" w:rsidRDefault="00B66BE1" w:rsidP="00B66BE1">
              <w:pPr>
                <w:pStyle w:val="Bibliography"/>
                <w:rPr>
                  <w:noProof/>
                  <w:lang w:val="en-US"/>
                </w:rPr>
              </w:pPr>
              <w:r>
                <w:rPr>
                  <w:noProof/>
                  <w:lang w:val="en-US"/>
                </w:rPr>
                <w:t xml:space="preserve">32. </w:t>
              </w:r>
              <w:r>
                <w:rPr>
                  <w:b/>
                  <w:bCs/>
                  <w:noProof/>
                  <w:lang w:val="en-US"/>
                </w:rPr>
                <w:t>Australian Society for Infectious Diseases.</w:t>
              </w:r>
              <w:r>
                <w:rPr>
                  <w:noProof/>
                  <w:lang w:val="en-US"/>
                </w:rPr>
                <w:t xml:space="preserve"> </w:t>
              </w:r>
              <w:r>
                <w:rPr>
                  <w:i/>
                  <w:iCs/>
                  <w:noProof/>
                  <w:lang w:val="en-US"/>
                </w:rPr>
                <w:t xml:space="preserve">Tests, treatments and procedures clinicians and consumers should question. </w:t>
              </w:r>
              <w:r>
                <w:rPr>
                  <w:noProof/>
                  <w:lang w:val="en-US"/>
                </w:rPr>
                <w:t>2016.</w:t>
              </w:r>
            </w:p>
            <w:p w14:paraId="50B7A9AA" w14:textId="77777777" w:rsidR="00B66BE1" w:rsidRDefault="00B66BE1" w:rsidP="00B66BE1">
              <w:pPr>
                <w:pStyle w:val="Bibliography"/>
                <w:rPr>
                  <w:noProof/>
                  <w:lang w:val="en-US"/>
                </w:rPr>
              </w:pPr>
              <w:r>
                <w:rPr>
                  <w:noProof/>
                  <w:lang w:val="en-US"/>
                </w:rPr>
                <w:t xml:space="preserve">33. </w:t>
              </w:r>
              <w:r>
                <w:rPr>
                  <w:b/>
                  <w:bCs/>
                  <w:noProof/>
                  <w:lang w:val="en-US"/>
                </w:rPr>
                <w:t>Nicolle L, Bradley S, Colgan R, et al.</w:t>
              </w:r>
              <w:r>
                <w:rPr>
                  <w:noProof/>
                  <w:lang w:val="en-US"/>
                </w:rPr>
                <w:t xml:space="preserve"> Infectious Diseases Society America Guidelines for the Diagnosis and Treament of Asymptomatic Bacteriuria in Adults. </w:t>
              </w:r>
              <w:r>
                <w:rPr>
                  <w:i/>
                  <w:iCs/>
                  <w:noProof/>
                  <w:lang w:val="en-US"/>
                </w:rPr>
                <w:t xml:space="preserve">Clinical Infectious Diseases. </w:t>
              </w:r>
              <w:r>
                <w:rPr>
                  <w:noProof/>
                  <w:lang w:val="en-US"/>
                </w:rPr>
                <w:t>2005.</w:t>
              </w:r>
            </w:p>
            <w:p w14:paraId="30F4B4B4" w14:textId="77777777" w:rsidR="00B66BE1" w:rsidRDefault="00B66BE1" w:rsidP="00B66BE1">
              <w:pPr>
                <w:pStyle w:val="Bibliography"/>
                <w:rPr>
                  <w:noProof/>
                  <w:lang w:val="en-US"/>
                </w:rPr>
              </w:pPr>
              <w:r>
                <w:rPr>
                  <w:noProof/>
                  <w:lang w:val="en-US"/>
                </w:rPr>
                <w:t xml:space="preserve">34. </w:t>
              </w:r>
              <w:r>
                <w:rPr>
                  <w:b/>
                  <w:bCs/>
                  <w:noProof/>
                  <w:lang w:val="en-US"/>
                </w:rPr>
                <w:t>Oikonomou KG, Alhaddad A.</w:t>
              </w:r>
              <w:r>
                <w:rPr>
                  <w:noProof/>
                  <w:lang w:val="en-US"/>
                </w:rPr>
                <w:t xml:space="preserve"> The Diagnostic Value of Urinalysis in Hemodialysis Patients with Fever, Sepsis or Suspected Urinary Tract Infection. </w:t>
              </w:r>
              <w:r>
                <w:rPr>
                  <w:i/>
                  <w:iCs/>
                  <w:noProof/>
                  <w:lang w:val="en-US"/>
                </w:rPr>
                <w:t xml:space="preserve">Journal of Clinical and Diagnostic Research. </w:t>
              </w:r>
              <w:r>
                <w:rPr>
                  <w:noProof/>
                  <w:lang w:val="en-US"/>
                </w:rPr>
                <w:t>2016.</w:t>
              </w:r>
            </w:p>
            <w:p w14:paraId="36C51DFB" w14:textId="77777777" w:rsidR="00B66BE1" w:rsidRDefault="00B66BE1" w:rsidP="00B66BE1">
              <w:pPr>
                <w:pStyle w:val="Bibliography"/>
                <w:rPr>
                  <w:noProof/>
                  <w:lang w:val="en-US"/>
                </w:rPr>
              </w:pPr>
              <w:r>
                <w:rPr>
                  <w:noProof/>
                  <w:lang w:val="en-US"/>
                </w:rPr>
                <w:t xml:space="preserve">35. </w:t>
              </w:r>
              <w:r>
                <w:rPr>
                  <w:b/>
                  <w:bCs/>
                  <w:noProof/>
                  <w:lang w:val="en-US"/>
                </w:rPr>
                <w:t>Oikonomou KG, Alhaddad A.</w:t>
              </w:r>
              <w:r>
                <w:rPr>
                  <w:noProof/>
                  <w:lang w:val="en-US"/>
                </w:rPr>
                <w:t xml:space="preserve"> Isolation Rate and Clinical Significance of Uropathogens in Positive Urine Cultures of Hemodialysis Patients. </w:t>
              </w:r>
              <w:r>
                <w:rPr>
                  <w:i/>
                  <w:iCs/>
                  <w:noProof/>
                  <w:lang w:val="en-US"/>
                </w:rPr>
                <w:t xml:space="preserve">Journal of Global Infectious Disease. </w:t>
              </w:r>
              <w:r>
                <w:rPr>
                  <w:noProof/>
                  <w:lang w:val="en-US"/>
                </w:rPr>
                <w:t>2017.</w:t>
              </w:r>
            </w:p>
            <w:p w14:paraId="431BEFB0" w14:textId="77777777" w:rsidR="00B66BE1" w:rsidRDefault="00B66BE1" w:rsidP="00B66BE1">
              <w:pPr>
                <w:pStyle w:val="Bibliography"/>
                <w:rPr>
                  <w:noProof/>
                  <w:lang w:val="en-US"/>
                </w:rPr>
              </w:pPr>
              <w:r>
                <w:rPr>
                  <w:noProof/>
                  <w:lang w:val="en-US"/>
                </w:rPr>
                <w:t xml:space="preserve">36. </w:t>
              </w:r>
              <w:r>
                <w:rPr>
                  <w:b/>
                  <w:bCs/>
                  <w:noProof/>
                  <w:lang w:val="en-US"/>
                </w:rPr>
                <w:t>Nicolle LE.</w:t>
              </w:r>
              <w:r>
                <w:rPr>
                  <w:noProof/>
                  <w:lang w:val="en-US"/>
                </w:rPr>
                <w:t xml:space="preserve"> The Paradigm Shift to Non-Treatment of Asymptomatic Bacteriuria. </w:t>
              </w:r>
              <w:r>
                <w:rPr>
                  <w:i/>
                  <w:iCs/>
                  <w:noProof/>
                  <w:lang w:val="en-US"/>
                </w:rPr>
                <w:t xml:space="preserve">Pathogens. </w:t>
              </w:r>
              <w:r>
                <w:rPr>
                  <w:noProof/>
                  <w:lang w:val="en-US"/>
                </w:rPr>
                <w:t>2016.</w:t>
              </w:r>
            </w:p>
            <w:p w14:paraId="21C7140C" w14:textId="77777777" w:rsidR="00B66BE1" w:rsidRDefault="00B66BE1" w:rsidP="00B66BE1">
              <w:pPr>
                <w:pStyle w:val="Bibliography"/>
                <w:rPr>
                  <w:noProof/>
                  <w:lang w:val="en-US"/>
                </w:rPr>
              </w:pPr>
              <w:r>
                <w:rPr>
                  <w:noProof/>
                  <w:lang w:val="en-US"/>
                </w:rPr>
                <w:t xml:space="preserve">37. </w:t>
              </w:r>
              <w:r>
                <w:rPr>
                  <w:b/>
                  <w:bCs/>
                  <w:noProof/>
                  <w:lang w:val="en-US"/>
                </w:rPr>
                <w:t>Schwaderer AL, Wolfe AJ.</w:t>
              </w:r>
              <w:r>
                <w:rPr>
                  <w:noProof/>
                  <w:lang w:val="en-US"/>
                </w:rPr>
                <w:t xml:space="preserve"> The association between bacteria and urinary stones. </w:t>
              </w:r>
              <w:r>
                <w:rPr>
                  <w:i/>
                  <w:iCs/>
                  <w:noProof/>
                  <w:lang w:val="en-US"/>
                </w:rPr>
                <w:t xml:space="preserve">Annals of Translational Medicine. </w:t>
              </w:r>
              <w:r>
                <w:rPr>
                  <w:noProof/>
                  <w:lang w:val="en-US"/>
                </w:rPr>
                <w:t>2017.</w:t>
              </w:r>
            </w:p>
            <w:p w14:paraId="6D58D36B" w14:textId="77777777" w:rsidR="00B66BE1" w:rsidRDefault="00B66BE1" w:rsidP="00B66BE1">
              <w:pPr>
                <w:pStyle w:val="Bibliography"/>
                <w:rPr>
                  <w:noProof/>
                  <w:lang w:val="en-US"/>
                </w:rPr>
              </w:pPr>
              <w:r>
                <w:rPr>
                  <w:noProof/>
                  <w:lang w:val="en-US"/>
                </w:rPr>
                <w:t xml:space="preserve">38. </w:t>
              </w:r>
              <w:r>
                <w:rPr>
                  <w:b/>
                  <w:bCs/>
                  <w:noProof/>
                  <w:lang w:val="en-US"/>
                </w:rPr>
                <w:t>Yacoub R, Akl NK.</w:t>
              </w:r>
              <w:r>
                <w:rPr>
                  <w:noProof/>
                  <w:lang w:val="en-US"/>
                </w:rPr>
                <w:t xml:space="preserve"> Urinary Tract Infections and Asymptomatic Bacteriuria in Renal Transplant Recipients. </w:t>
              </w:r>
              <w:r>
                <w:rPr>
                  <w:i/>
                  <w:iCs/>
                  <w:noProof/>
                  <w:lang w:val="en-US"/>
                </w:rPr>
                <w:t xml:space="preserve">Journal of Global Infectious Diseases. </w:t>
              </w:r>
              <w:r>
                <w:rPr>
                  <w:noProof/>
                  <w:lang w:val="en-US"/>
                </w:rPr>
                <w:t>2011.</w:t>
              </w:r>
            </w:p>
            <w:p w14:paraId="03B39F85" w14:textId="77777777" w:rsidR="00B66BE1" w:rsidRDefault="00B66BE1" w:rsidP="00B66BE1">
              <w:pPr>
                <w:pStyle w:val="Bibliography"/>
                <w:rPr>
                  <w:noProof/>
                  <w:lang w:val="en-US"/>
                </w:rPr>
              </w:pPr>
              <w:r>
                <w:rPr>
                  <w:noProof/>
                  <w:lang w:val="en-US"/>
                </w:rPr>
                <w:t xml:space="preserve">39. </w:t>
              </w:r>
              <w:r>
                <w:rPr>
                  <w:b/>
                  <w:bCs/>
                  <w:noProof/>
                  <w:lang w:val="en-US"/>
                </w:rPr>
                <w:t>Nicolle LE.</w:t>
              </w:r>
              <w:r>
                <w:rPr>
                  <w:noProof/>
                  <w:lang w:val="en-US"/>
                </w:rPr>
                <w:t xml:space="preserve"> Asymptomatic bacteriuria. </w:t>
              </w:r>
              <w:r>
                <w:rPr>
                  <w:i/>
                  <w:iCs/>
                  <w:noProof/>
                  <w:lang w:val="en-US"/>
                </w:rPr>
                <w:t xml:space="preserve">Current Opinion in Infectious Diseases. </w:t>
              </w:r>
              <w:r>
                <w:rPr>
                  <w:noProof/>
                  <w:lang w:val="en-US"/>
                </w:rPr>
                <w:t>90-96.</w:t>
              </w:r>
            </w:p>
            <w:p w14:paraId="1CFB574F" w14:textId="77777777" w:rsidR="00B66BE1" w:rsidRDefault="00B66BE1" w:rsidP="00B66BE1">
              <w:pPr>
                <w:pStyle w:val="Bibliography"/>
                <w:rPr>
                  <w:noProof/>
                  <w:lang w:val="en-US"/>
                </w:rPr>
              </w:pPr>
              <w:r>
                <w:rPr>
                  <w:noProof/>
                  <w:lang w:val="en-US"/>
                </w:rPr>
                <w:t xml:space="preserve">40. </w:t>
              </w:r>
              <w:r>
                <w:rPr>
                  <w:b/>
                  <w:bCs/>
                  <w:noProof/>
                  <w:lang w:val="en-US"/>
                </w:rPr>
                <w:t>Nowson CA, McGrath JJ, Ebeling PR, et al.</w:t>
              </w:r>
              <w:r>
                <w:rPr>
                  <w:noProof/>
                  <w:lang w:val="en-US"/>
                </w:rPr>
                <w:t xml:space="preserve"> Vitamin D and health in adults in Australia and New Zealand: a position statement. </w:t>
              </w:r>
              <w:r>
                <w:rPr>
                  <w:i/>
                  <w:iCs/>
                  <w:noProof/>
                  <w:lang w:val="en-US"/>
                </w:rPr>
                <w:t xml:space="preserve">Med J Aust. </w:t>
              </w:r>
              <w:r>
                <w:rPr>
                  <w:noProof/>
                  <w:lang w:val="en-US"/>
                </w:rPr>
                <w:t>2012. Vol. 196, 11. 686-687.</w:t>
              </w:r>
            </w:p>
            <w:p w14:paraId="715128B2" w14:textId="77777777" w:rsidR="00B66BE1" w:rsidRDefault="00B66BE1" w:rsidP="00B66BE1">
              <w:pPr>
                <w:pStyle w:val="Bibliography"/>
                <w:rPr>
                  <w:noProof/>
                  <w:lang w:val="en-US"/>
                </w:rPr>
              </w:pPr>
              <w:r>
                <w:rPr>
                  <w:noProof/>
                  <w:lang w:val="en-US"/>
                </w:rPr>
                <w:lastRenderedPageBreak/>
                <w:t xml:space="preserve">41. </w:t>
              </w:r>
              <w:r>
                <w:rPr>
                  <w:b/>
                  <w:bCs/>
                  <w:noProof/>
                  <w:lang w:val="en-US"/>
                </w:rPr>
                <w:t>Avenell M, Mak J, O'Connell D.</w:t>
              </w:r>
              <w:r>
                <w:rPr>
                  <w:noProof/>
                  <w:lang w:val="en-US"/>
                </w:rPr>
                <w:t xml:space="preserve"> Vitamin D and vitamin D analogues for preventing fractures in post-menopausal women and older men. 2014.</w:t>
              </w:r>
            </w:p>
            <w:p w14:paraId="51931AF1" w14:textId="77777777" w:rsidR="00B66BE1" w:rsidRDefault="00B66BE1" w:rsidP="00B66BE1">
              <w:pPr>
                <w:pStyle w:val="Bibliography"/>
                <w:rPr>
                  <w:noProof/>
                  <w:lang w:val="en-US"/>
                </w:rPr>
              </w:pPr>
              <w:r>
                <w:rPr>
                  <w:noProof/>
                  <w:lang w:val="en-US"/>
                </w:rPr>
                <w:t xml:space="preserve">42. </w:t>
              </w:r>
              <w:r>
                <w:rPr>
                  <w:b/>
                  <w:bCs/>
                  <w:noProof/>
                  <w:lang w:val="en-US"/>
                </w:rPr>
                <w:t>Bolland M, Avenell A, Grey A.</w:t>
              </w:r>
              <w:r>
                <w:rPr>
                  <w:noProof/>
                  <w:lang w:val="en-US"/>
                </w:rPr>
                <w:t xml:space="preserve"> Should adults take vitamin D supplements to prevent disease? </w:t>
              </w:r>
              <w:r>
                <w:rPr>
                  <w:i/>
                  <w:iCs/>
                  <w:noProof/>
                  <w:lang w:val="en-US"/>
                </w:rPr>
                <w:t xml:space="preserve">BMJ. </w:t>
              </w:r>
              <w:r>
                <w:rPr>
                  <w:noProof/>
                  <w:lang w:val="en-US"/>
                </w:rPr>
                <w:t>2016.</w:t>
              </w:r>
            </w:p>
            <w:p w14:paraId="137D6725" w14:textId="77777777" w:rsidR="00B66BE1" w:rsidRDefault="00B66BE1" w:rsidP="00B66BE1">
              <w:pPr>
                <w:pStyle w:val="Bibliography"/>
                <w:rPr>
                  <w:noProof/>
                  <w:lang w:val="en-US"/>
                </w:rPr>
              </w:pPr>
              <w:r>
                <w:rPr>
                  <w:noProof/>
                  <w:lang w:val="en-US"/>
                </w:rPr>
                <w:t xml:space="preserve">43. </w:t>
              </w:r>
              <w:r>
                <w:rPr>
                  <w:b/>
                  <w:bCs/>
                  <w:noProof/>
                  <w:lang w:val="en-US"/>
                </w:rPr>
                <w:t>National Institute for Health and Care Excellence (NICE).</w:t>
              </w:r>
              <w:r>
                <w:rPr>
                  <w:noProof/>
                  <w:lang w:val="en-US"/>
                </w:rPr>
                <w:t xml:space="preserve"> Vitamin D guideline. 2014.</w:t>
              </w:r>
            </w:p>
            <w:p w14:paraId="4CEAB6E1" w14:textId="77777777" w:rsidR="00B66BE1" w:rsidRDefault="00B66BE1" w:rsidP="00B66BE1">
              <w:pPr>
                <w:pStyle w:val="Bibliography"/>
                <w:rPr>
                  <w:noProof/>
                  <w:lang w:val="en-US"/>
                </w:rPr>
              </w:pPr>
              <w:r>
                <w:rPr>
                  <w:noProof/>
                  <w:lang w:val="en-US"/>
                </w:rPr>
                <w:t xml:space="preserve">44. </w:t>
              </w:r>
              <w:r>
                <w:rPr>
                  <w:b/>
                  <w:bCs/>
                  <w:noProof/>
                  <w:lang w:val="en-US"/>
                </w:rPr>
                <w:t>Bjelakovic G, Gluud L, Nikolova D, et al.</w:t>
              </w:r>
              <w:r>
                <w:rPr>
                  <w:noProof/>
                  <w:lang w:val="en-US"/>
                </w:rPr>
                <w:t xml:space="preserve"> Vitamin D supplementation for prevention of mortality in adults. 2014.</w:t>
              </w:r>
            </w:p>
            <w:p w14:paraId="6376B7AB" w14:textId="77777777" w:rsidR="00B66BE1" w:rsidRDefault="00B66BE1" w:rsidP="00B66BE1">
              <w:pPr>
                <w:pStyle w:val="Bibliography"/>
                <w:rPr>
                  <w:noProof/>
                  <w:lang w:val="en-US"/>
                </w:rPr>
              </w:pPr>
              <w:r>
                <w:rPr>
                  <w:noProof/>
                  <w:lang w:val="en-US"/>
                </w:rPr>
                <w:t xml:space="preserve">45. </w:t>
              </w:r>
              <w:r>
                <w:rPr>
                  <w:b/>
                  <w:bCs/>
                  <w:noProof/>
                  <w:lang w:val="en-US"/>
                </w:rPr>
                <w:t>Allan GM, Cranston L, Lindblad A, et al.</w:t>
              </w:r>
              <w:r>
                <w:rPr>
                  <w:noProof/>
                  <w:lang w:val="en-US"/>
                </w:rPr>
                <w:t xml:space="preserve"> Vitamin D: A Narrative Review Examining the Evidence for Ten Beliefs. </w:t>
              </w:r>
              <w:r>
                <w:rPr>
                  <w:i/>
                  <w:iCs/>
                  <w:noProof/>
                  <w:lang w:val="en-US"/>
                </w:rPr>
                <w:t xml:space="preserve">Journal of General Internal Medicine. </w:t>
              </w:r>
              <w:r>
                <w:rPr>
                  <w:noProof/>
                  <w:lang w:val="en-US"/>
                </w:rPr>
                <w:t>780-91, 2016.</w:t>
              </w:r>
            </w:p>
            <w:p w14:paraId="5C710478" w14:textId="77777777" w:rsidR="00B66BE1" w:rsidRDefault="00B66BE1" w:rsidP="00B66BE1">
              <w:pPr>
                <w:pStyle w:val="Bibliography"/>
                <w:rPr>
                  <w:noProof/>
                  <w:lang w:val="en-US"/>
                </w:rPr>
              </w:pPr>
              <w:r>
                <w:rPr>
                  <w:noProof/>
                  <w:lang w:val="en-US"/>
                </w:rPr>
                <w:t xml:space="preserve">46. </w:t>
              </w:r>
              <w:r>
                <w:rPr>
                  <w:b/>
                  <w:bCs/>
                  <w:noProof/>
                  <w:lang w:val="en-US"/>
                </w:rPr>
                <w:t>Prostate Cancer Foundation of Australia and Cancer Council Australia.</w:t>
              </w:r>
              <w:r>
                <w:rPr>
                  <w:noProof/>
                  <w:lang w:val="en-US"/>
                </w:rPr>
                <w:t xml:space="preserve"> </w:t>
              </w:r>
              <w:r>
                <w:rPr>
                  <w:i/>
                  <w:iCs/>
                  <w:noProof/>
                  <w:lang w:val="en-US"/>
                </w:rPr>
                <w:t xml:space="preserve">Clinical practice guidelines PSA Testing and Early Management of Test-Detected Prostate Cancer. </w:t>
              </w:r>
              <w:r>
                <w:rPr>
                  <w:noProof/>
                  <w:lang w:val="en-US"/>
                </w:rPr>
                <w:t>Sydney : Cancer Council Australia, 2016.</w:t>
              </w:r>
            </w:p>
            <w:p w14:paraId="76C55844" w14:textId="77777777" w:rsidR="00B66BE1" w:rsidRDefault="00B66BE1" w:rsidP="00B66BE1">
              <w:pPr>
                <w:pStyle w:val="Bibliography"/>
                <w:rPr>
                  <w:noProof/>
                  <w:lang w:val="en-US"/>
                </w:rPr>
              </w:pPr>
              <w:r>
                <w:rPr>
                  <w:noProof/>
                  <w:lang w:val="en-US"/>
                </w:rPr>
                <w:t xml:space="preserve">47. </w:t>
              </w:r>
              <w:r>
                <w:rPr>
                  <w:b/>
                  <w:bCs/>
                  <w:noProof/>
                  <w:lang w:val="en-US"/>
                </w:rPr>
                <w:t>Srirangam V, Rai BP, Abroaf A, et al.</w:t>
              </w:r>
              <w:r>
                <w:rPr>
                  <w:noProof/>
                  <w:lang w:val="en-US"/>
                </w:rPr>
                <w:t xml:space="preserve"> Atypical Small Acinar Proliferation and High Grade Prostatic Intraepithelial Neoplasia: Should We Be Concerned? An Observational Cohort Study with a Minimum Follow-Up of 3 Years. </w:t>
              </w:r>
              <w:r>
                <w:rPr>
                  <w:i/>
                  <w:iCs/>
                  <w:noProof/>
                  <w:lang w:val="en-US"/>
                </w:rPr>
                <w:t xml:space="preserve">Curr Urol. </w:t>
              </w:r>
              <w:r>
                <w:rPr>
                  <w:noProof/>
                  <w:lang w:val="en-US"/>
                </w:rPr>
                <w:t>2017. Vol. 10, 4. 199-205.</w:t>
              </w:r>
            </w:p>
            <w:p w14:paraId="0BD81F65" w14:textId="77777777" w:rsidR="00B66BE1" w:rsidRDefault="00B66BE1" w:rsidP="00B66BE1">
              <w:pPr>
                <w:pStyle w:val="Bibliography"/>
                <w:rPr>
                  <w:noProof/>
                  <w:lang w:val="en-US"/>
                </w:rPr>
              </w:pPr>
              <w:r>
                <w:rPr>
                  <w:noProof/>
                  <w:lang w:val="en-US"/>
                </w:rPr>
                <w:t xml:space="preserve">48. </w:t>
              </w:r>
              <w:r>
                <w:rPr>
                  <w:b/>
                  <w:bCs/>
                  <w:noProof/>
                  <w:lang w:val="en-US"/>
                </w:rPr>
                <w:t>Yao K, Haque T.</w:t>
              </w:r>
              <w:r>
                <w:rPr>
                  <w:noProof/>
                  <w:lang w:val="en-US"/>
                </w:rPr>
                <w:t xml:space="preserve"> The Ottawa knee rules - a useful clinical decision tool. </w:t>
              </w:r>
              <w:r>
                <w:rPr>
                  <w:i/>
                  <w:iCs/>
                  <w:noProof/>
                  <w:lang w:val="en-US"/>
                </w:rPr>
                <w:t xml:space="preserve">Aust Fam Physician. </w:t>
              </w:r>
              <w:r>
                <w:rPr>
                  <w:noProof/>
                  <w:lang w:val="en-US"/>
                </w:rPr>
                <w:t>2012.</w:t>
              </w:r>
            </w:p>
            <w:p w14:paraId="7D390E60" w14:textId="77777777" w:rsidR="00B66BE1" w:rsidRDefault="00B66BE1" w:rsidP="00B66BE1">
              <w:pPr>
                <w:pStyle w:val="Bibliography"/>
                <w:rPr>
                  <w:noProof/>
                  <w:lang w:val="en-US"/>
                </w:rPr>
              </w:pPr>
              <w:r>
                <w:rPr>
                  <w:noProof/>
                  <w:lang w:val="en-US"/>
                </w:rPr>
                <w:t xml:space="preserve">49. </w:t>
              </w:r>
              <w:r>
                <w:rPr>
                  <w:b/>
                  <w:bCs/>
                  <w:noProof/>
                  <w:lang w:val="en-US"/>
                </w:rPr>
                <w:t>Britt H, Miller G, Valenti L, et al.</w:t>
              </w:r>
              <w:r>
                <w:rPr>
                  <w:noProof/>
                  <w:lang w:val="en-US"/>
                </w:rPr>
                <w:t xml:space="preserve"> </w:t>
              </w:r>
              <w:r>
                <w:rPr>
                  <w:i/>
                  <w:iCs/>
                  <w:noProof/>
                  <w:lang w:val="en-US"/>
                </w:rPr>
                <w:t xml:space="preserve">Evaluation of imaging ordering by general practitioners in Australia 2002-03 to 2011-12. </w:t>
              </w:r>
              <w:r>
                <w:rPr>
                  <w:noProof/>
                  <w:lang w:val="en-US"/>
                </w:rPr>
                <w:t>Sydney : Sydney University Press, 2014.</w:t>
              </w:r>
            </w:p>
            <w:p w14:paraId="10E96AEB" w14:textId="77777777" w:rsidR="00B66BE1" w:rsidRDefault="00B66BE1" w:rsidP="00B66BE1">
              <w:pPr>
                <w:pStyle w:val="Bibliography"/>
                <w:rPr>
                  <w:noProof/>
                  <w:lang w:val="en-US"/>
                </w:rPr>
              </w:pPr>
              <w:r>
                <w:rPr>
                  <w:noProof/>
                  <w:lang w:val="en-US"/>
                </w:rPr>
                <w:t xml:space="preserve">50. </w:t>
              </w:r>
              <w:r>
                <w:rPr>
                  <w:b/>
                  <w:bCs/>
                  <w:noProof/>
                  <w:lang w:val="en-US"/>
                </w:rPr>
                <w:t>MBS Review Taskforce Diagnostic Imaging Clinical Committee.</w:t>
              </w:r>
              <w:r>
                <w:rPr>
                  <w:noProof/>
                  <w:lang w:val="en-US"/>
                </w:rPr>
                <w:t xml:space="preserve"> </w:t>
              </w:r>
              <w:r>
                <w:rPr>
                  <w:i/>
                  <w:iCs/>
                  <w:noProof/>
                  <w:lang w:val="en-US"/>
                </w:rPr>
                <w:t xml:space="preserve">First report of the Diganostic Imaging Clinical Committee - Low Back Pain. </w:t>
              </w:r>
              <w:r>
                <w:rPr>
                  <w:noProof/>
                  <w:lang w:val="en-US"/>
                </w:rPr>
                <w:t>2017.</w:t>
              </w:r>
            </w:p>
            <w:p w14:paraId="65B77E87" w14:textId="77777777" w:rsidR="00B66BE1" w:rsidRDefault="00B66BE1" w:rsidP="00B66BE1">
              <w:pPr>
                <w:pStyle w:val="Bibliography"/>
                <w:rPr>
                  <w:noProof/>
                  <w:lang w:val="en-US"/>
                </w:rPr>
              </w:pPr>
              <w:r>
                <w:rPr>
                  <w:noProof/>
                  <w:lang w:val="en-US"/>
                </w:rPr>
                <w:t xml:space="preserve">51. </w:t>
              </w:r>
              <w:r>
                <w:rPr>
                  <w:b/>
                  <w:bCs/>
                  <w:noProof/>
                  <w:lang w:val="en-US"/>
                </w:rPr>
                <w:t>Chou R, Fu R, Carrino J, et al.</w:t>
              </w:r>
              <w:r>
                <w:rPr>
                  <w:noProof/>
                  <w:lang w:val="en-US"/>
                </w:rPr>
                <w:t xml:space="preserve"> Imaging strategies for low-back pain; systematic review and meta-analysis. </w:t>
              </w:r>
              <w:r>
                <w:rPr>
                  <w:i/>
                  <w:iCs/>
                  <w:noProof/>
                  <w:lang w:val="en-US"/>
                </w:rPr>
                <w:t xml:space="preserve">The Lancet. </w:t>
              </w:r>
              <w:r>
                <w:rPr>
                  <w:noProof/>
                  <w:lang w:val="en-US"/>
                </w:rPr>
                <w:t>2009, Vol. 373, pp. 463-472.</w:t>
              </w:r>
            </w:p>
            <w:p w14:paraId="4B7DF3FC" w14:textId="77777777" w:rsidR="00B66BE1" w:rsidRDefault="00B66BE1" w:rsidP="00B66BE1">
              <w:pPr>
                <w:pStyle w:val="Bibliography"/>
                <w:rPr>
                  <w:noProof/>
                  <w:lang w:val="en-US"/>
                </w:rPr>
              </w:pPr>
              <w:r>
                <w:rPr>
                  <w:noProof/>
                  <w:lang w:val="en-US"/>
                </w:rPr>
                <w:t xml:space="preserve">52. </w:t>
              </w:r>
              <w:r>
                <w:rPr>
                  <w:b/>
                  <w:bCs/>
                  <w:noProof/>
                  <w:lang w:val="en-US"/>
                </w:rPr>
                <w:t>Srinivas SV, Deyo RA, Berger ZD.</w:t>
              </w:r>
              <w:r>
                <w:rPr>
                  <w:noProof/>
                  <w:lang w:val="en-US"/>
                </w:rPr>
                <w:t xml:space="preserve"> Application of 'less is more' to low back pain. </w:t>
              </w:r>
              <w:r>
                <w:rPr>
                  <w:i/>
                  <w:iCs/>
                  <w:noProof/>
                  <w:lang w:val="en-US"/>
                </w:rPr>
                <w:t xml:space="preserve">Arch Intern Med. </w:t>
              </w:r>
              <w:r>
                <w:rPr>
                  <w:noProof/>
                  <w:lang w:val="en-US"/>
                </w:rPr>
                <w:t>July 2012, Vol. 172, 13, pp. 1016-20.</w:t>
              </w:r>
            </w:p>
            <w:p w14:paraId="3A05D673" w14:textId="77777777" w:rsidR="00B66BE1" w:rsidRDefault="00B66BE1" w:rsidP="00B66BE1">
              <w:pPr>
                <w:pStyle w:val="Bibliography"/>
                <w:rPr>
                  <w:noProof/>
                  <w:lang w:val="en-US"/>
                </w:rPr>
              </w:pPr>
              <w:r>
                <w:rPr>
                  <w:noProof/>
                  <w:lang w:val="en-US"/>
                </w:rPr>
                <w:t xml:space="preserve">53. </w:t>
              </w:r>
              <w:r>
                <w:rPr>
                  <w:b/>
                  <w:bCs/>
                  <w:noProof/>
                  <w:lang w:val="en-US"/>
                </w:rPr>
                <w:t>Jenkins HJ, Hancock MJ, French SD, et al.</w:t>
              </w:r>
              <w:r>
                <w:rPr>
                  <w:noProof/>
                  <w:lang w:val="en-US"/>
                </w:rPr>
                <w:t xml:space="preserve"> Effectiveness of interventions designed to reduce the use of imaging for low-back pain: a systematic review. </w:t>
              </w:r>
              <w:r>
                <w:rPr>
                  <w:i/>
                  <w:iCs/>
                  <w:noProof/>
                  <w:lang w:val="en-US"/>
                </w:rPr>
                <w:t xml:space="preserve">CMAJ. </w:t>
              </w:r>
              <w:r>
                <w:rPr>
                  <w:noProof/>
                  <w:lang w:val="en-US"/>
                </w:rPr>
                <w:t>2015, Vol. 187, 6, pp. 401-408.</w:t>
              </w:r>
            </w:p>
            <w:p w14:paraId="0D00D3B2" w14:textId="77777777" w:rsidR="0043427F" w:rsidRDefault="00DF58C6" w:rsidP="00B66BE1">
              <w:r>
                <w:rPr>
                  <w:b/>
                  <w:bCs/>
                  <w:noProof/>
                </w:rPr>
                <w:fldChar w:fldCharType="end"/>
              </w:r>
            </w:p>
          </w:sdtContent>
        </w:sdt>
      </w:sdtContent>
    </w:sdt>
    <w:p w14:paraId="73C605F0" w14:textId="77777777" w:rsidR="00320315" w:rsidRPr="00055192" w:rsidRDefault="00320315">
      <w:pPr>
        <w:spacing w:before="0" w:after="0" w:line="240" w:lineRule="auto"/>
        <w:rPr>
          <w:lang w:val="en-US" w:eastAsia="en-US"/>
        </w:rPr>
        <w:sectPr w:rsidR="00320315" w:rsidRPr="00055192" w:rsidSect="00405C49">
          <w:headerReference w:type="default" r:id="rId19"/>
          <w:endnotePr>
            <w:numFmt w:val="decimal"/>
          </w:endnotePr>
          <w:pgSz w:w="11906" w:h="16838" w:code="9"/>
          <w:pgMar w:top="1440" w:right="1797" w:bottom="1440" w:left="1797" w:header="567" w:footer="170" w:gutter="0"/>
          <w:cols w:space="720"/>
          <w:docGrid w:linePitch="326"/>
        </w:sectPr>
      </w:pPr>
    </w:p>
    <w:p w14:paraId="0EDEC3D3" w14:textId="77777777" w:rsidR="00B653E4" w:rsidRPr="00F17139" w:rsidRDefault="008D73B5" w:rsidP="00B653E4">
      <w:pPr>
        <w:pStyle w:val="ApDHead1"/>
      </w:pPr>
      <w:bookmarkStart w:id="294" w:name="_Toc459707287"/>
      <w:bookmarkStart w:id="295" w:name="_Toc459996833"/>
      <w:bookmarkStart w:id="296" w:name="_Ref462783356"/>
      <w:bookmarkStart w:id="297" w:name="_Ref462783365"/>
      <w:bookmarkStart w:id="298" w:name="_Toc479870696"/>
      <w:bookmarkStart w:id="299" w:name="_Toc525740546"/>
      <w:bookmarkStart w:id="300" w:name="_Toc525816109"/>
      <w:r>
        <w:lastRenderedPageBreak/>
        <w:t>Appendix A</w:t>
      </w:r>
      <w:r w:rsidR="00B653E4" w:rsidRPr="00F17139">
        <w:t xml:space="preserve"> - Summary for consumers</w:t>
      </w:r>
      <w:bookmarkEnd w:id="294"/>
      <w:bookmarkEnd w:id="295"/>
      <w:bookmarkEnd w:id="296"/>
      <w:bookmarkEnd w:id="297"/>
      <w:bookmarkEnd w:id="298"/>
      <w:bookmarkEnd w:id="299"/>
      <w:bookmarkEnd w:id="300"/>
    </w:p>
    <w:p w14:paraId="130B1E0B" w14:textId="77777777" w:rsidR="00B653E4" w:rsidRDefault="00B653E4" w:rsidP="00CC3E9A">
      <w:pPr>
        <w:rPr>
          <w:szCs w:val="22"/>
          <w:lang w:val="en-GB"/>
        </w:rPr>
      </w:pPr>
      <w:r w:rsidRPr="00671D22">
        <w:rPr>
          <w:szCs w:val="22"/>
          <w:lang w:val="en-GB"/>
        </w:rPr>
        <w:t>This table describes the medical s</w:t>
      </w:r>
      <w:r w:rsidR="00D35B85">
        <w:rPr>
          <w:szCs w:val="22"/>
          <w:lang w:val="en-GB"/>
        </w:rPr>
        <w:t>ervice and the recommendations</w:t>
      </w:r>
      <w:r w:rsidRPr="00671D22">
        <w:rPr>
          <w:szCs w:val="22"/>
          <w:lang w:val="en-GB"/>
        </w:rPr>
        <w:t xml:space="preserve"> of the clinical experts, and it explains why eac</w:t>
      </w:r>
      <w:r w:rsidR="00CC3E9A">
        <w:rPr>
          <w:szCs w:val="22"/>
          <w:lang w:val="en-GB"/>
        </w:rPr>
        <w:t>h recommendation has been made.</w:t>
      </w:r>
    </w:p>
    <w:p w14:paraId="2C8C3BCD" w14:textId="77777777" w:rsidR="00D35B85" w:rsidRDefault="00D35B85" w:rsidP="005670CF">
      <w:pPr>
        <w:pStyle w:val="Heading3"/>
      </w:pPr>
      <w:r>
        <w:t>Recommendations for</w:t>
      </w:r>
      <w:r w:rsidRPr="00D31FA6">
        <w:t xml:space="preserve"> Vitamin B12</w:t>
      </w:r>
      <w:r>
        <w:t xml:space="preserve"> testing</w:t>
      </w:r>
      <w:r w:rsidRPr="00D31FA6">
        <w:t xml:space="preserve"> (items 66838 and 66839)</w:t>
      </w:r>
    </w:p>
    <w:tbl>
      <w:tblPr>
        <w:tblStyle w:val="TableGrid"/>
        <w:tblW w:w="13500" w:type="dxa"/>
        <w:tblInd w:w="108" w:type="dxa"/>
        <w:tblLayout w:type="fixed"/>
        <w:tblLook w:val="04A0" w:firstRow="1" w:lastRow="0" w:firstColumn="1" w:lastColumn="0" w:noHBand="0" w:noVBand="1"/>
        <w:tblCaption w:val="Consumer summary table for recommendation 1"/>
        <w:tblDescription w:val="Appendix A is a summary for consumers of all recommendations made by the Diagnostic Medicine Clinical Committee in the report. It summarises each recommendation in plain English so that anyone can understand what the item is, what the Committee's recommendation is, and what would change because of the recommendation. Each table contains 5 column headings: column 1 shows the list of items affected, column 2 shows what the item does, column 3 shows the Committee Recommendation relating to that item, column 4 shows what would be different and column 5 explains why the recommendation was made. "/>
      </w:tblPr>
      <w:tblGrid>
        <w:gridCol w:w="1305"/>
        <w:gridCol w:w="2268"/>
        <w:gridCol w:w="4678"/>
        <w:gridCol w:w="2976"/>
        <w:gridCol w:w="2273"/>
      </w:tblGrid>
      <w:tr w:rsidR="00D35B85" w:rsidRPr="00D31FA6" w14:paraId="3E422D62" w14:textId="77777777" w:rsidTr="008D10A5">
        <w:trPr>
          <w:trHeight w:val="306"/>
          <w:tblHeader/>
        </w:trPr>
        <w:tc>
          <w:tcPr>
            <w:tcW w:w="1305" w:type="dxa"/>
          </w:tcPr>
          <w:p w14:paraId="1ADEFCF8" w14:textId="77777777" w:rsidR="00D35B85" w:rsidRPr="00D31FA6" w:rsidRDefault="00D35B85" w:rsidP="00267803">
            <w:pPr>
              <w:pStyle w:val="Tableheading"/>
            </w:pPr>
            <w:r w:rsidRPr="00D31FA6">
              <w:t xml:space="preserve">Item </w:t>
            </w:r>
          </w:p>
        </w:tc>
        <w:tc>
          <w:tcPr>
            <w:tcW w:w="2268" w:type="dxa"/>
          </w:tcPr>
          <w:p w14:paraId="779B733B" w14:textId="77777777" w:rsidR="00D35B85" w:rsidRPr="00D31FA6" w:rsidRDefault="00D35B85" w:rsidP="00267803">
            <w:pPr>
              <w:pStyle w:val="Tableheading"/>
            </w:pPr>
            <w:r w:rsidRPr="00D31FA6">
              <w:t xml:space="preserve">What it does </w:t>
            </w:r>
          </w:p>
        </w:tc>
        <w:tc>
          <w:tcPr>
            <w:tcW w:w="4678" w:type="dxa"/>
          </w:tcPr>
          <w:p w14:paraId="21A0A708" w14:textId="77777777" w:rsidR="00D35B85" w:rsidRPr="00D31FA6" w:rsidRDefault="00D35B85" w:rsidP="00267803">
            <w:pPr>
              <w:pStyle w:val="Tableheading"/>
            </w:pPr>
            <w:r w:rsidRPr="00D31FA6">
              <w:t>Committee recommendation</w:t>
            </w:r>
          </w:p>
        </w:tc>
        <w:tc>
          <w:tcPr>
            <w:tcW w:w="2976" w:type="dxa"/>
          </w:tcPr>
          <w:p w14:paraId="2B34967B" w14:textId="77777777" w:rsidR="00D35B85" w:rsidRPr="00D31FA6" w:rsidRDefault="00D35B85" w:rsidP="00267803">
            <w:pPr>
              <w:pStyle w:val="Tableheading"/>
            </w:pPr>
            <w:r w:rsidRPr="00D31FA6">
              <w:t>What would be different</w:t>
            </w:r>
          </w:p>
        </w:tc>
        <w:tc>
          <w:tcPr>
            <w:tcW w:w="2273" w:type="dxa"/>
          </w:tcPr>
          <w:p w14:paraId="1B7DA57B" w14:textId="77777777" w:rsidR="00D35B85" w:rsidRPr="00D31FA6" w:rsidRDefault="00D35B85" w:rsidP="00267803">
            <w:pPr>
              <w:pStyle w:val="Tableheading"/>
            </w:pPr>
            <w:r w:rsidRPr="00D31FA6">
              <w:t>Why</w:t>
            </w:r>
          </w:p>
        </w:tc>
      </w:tr>
      <w:tr w:rsidR="00D35B85" w:rsidRPr="001A408B" w14:paraId="4CB1193F" w14:textId="77777777" w:rsidTr="00267803">
        <w:trPr>
          <w:trHeight w:val="2781"/>
        </w:trPr>
        <w:tc>
          <w:tcPr>
            <w:tcW w:w="1305" w:type="dxa"/>
          </w:tcPr>
          <w:p w14:paraId="0BD3F04E" w14:textId="77777777" w:rsidR="00D35B85" w:rsidRPr="001A408B" w:rsidRDefault="00D35B85" w:rsidP="00267803">
            <w:pPr>
              <w:pStyle w:val="Tabletext"/>
            </w:pPr>
            <w:r w:rsidRPr="0063329F">
              <w:t>Item 66838 (serum vitamin B12 test) and item 66839 (quantification of vitamin B12 markers)</w:t>
            </w:r>
          </w:p>
        </w:tc>
        <w:tc>
          <w:tcPr>
            <w:tcW w:w="2268" w:type="dxa"/>
          </w:tcPr>
          <w:p w14:paraId="5CB6A2CC" w14:textId="77777777" w:rsidR="00D35B85" w:rsidRPr="009E03DF" w:rsidRDefault="00D35B85" w:rsidP="00267803">
            <w:pPr>
              <w:pStyle w:val="Tabletext"/>
              <w:rPr>
                <w:sz w:val="16"/>
                <w:szCs w:val="16"/>
              </w:rPr>
            </w:pPr>
            <w:r w:rsidRPr="009E03DF">
              <w:rPr>
                <w:sz w:val="16"/>
                <w:szCs w:val="16"/>
              </w:rPr>
              <w:t>Vitamin B12 is important for nerve and brain function, and it is needed for blood cells to form properly.</w:t>
            </w:r>
          </w:p>
          <w:p w14:paraId="65904A5E" w14:textId="77777777" w:rsidR="00D35B85" w:rsidRPr="009E03DF" w:rsidRDefault="00D35B85" w:rsidP="00267803">
            <w:pPr>
              <w:pStyle w:val="Tabletext"/>
              <w:rPr>
                <w:sz w:val="16"/>
                <w:szCs w:val="16"/>
              </w:rPr>
            </w:pPr>
            <w:r w:rsidRPr="009E03DF">
              <w:rPr>
                <w:sz w:val="16"/>
                <w:szCs w:val="16"/>
              </w:rPr>
              <w:t>These blood tests check the amount of vitamin B12 in your blood, either directly or through other biological substances that can indicate vitamin B12 levels (known as markers).</w:t>
            </w:r>
          </w:p>
          <w:p w14:paraId="6B81E551" w14:textId="77777777" w:rsidR="00D35B85" w:rsidRPr="009E03DF" w:rsidRDefault="00D35B85" w:rsidP="00267803">
            <w:pPr>
              <w:pStyle w:val="Tabletext"/>
              <w:rPr>
                <w:sz w:val="16"/>
                <w:szCs w:val="16"/>
                <w:lang w:val="en-GB" w:eastAsia="en-US"/>
              </w:rPr>
            </w:pPr>
            <w:r w:rsidRPr="009E03DF">
              <w:rPr>
                <w:sz w:val="16"/>
                <w:szCs w:val="16"/>
                <w:lang w:val="en-GB" w:eastAsia="en-US"/>
              </w:rPr>
              <w:t>The serum test is the first-line test for checking vitamin B12 levels. The vitamin B12 marker test is used only when the serum test produces an abnormal result.</w:t>
            </w:r>
          </w:p>
        </w:tc>
        <w:tc>
          <w:tcPr>
            <w:tcW w:w="4678" w:type="dxa"/>
          </w:tcPr>
          <w:p w14:paraId="71474737" w14:textId="6E060D4C" w:rsidR="00D35B85" w:rsidRPr="00D80E2E" w:rsidRDefault="00D35B85" w:rsidP="00267803">
            <w:pPr>
              <w:pStyle w:val="Tabletext"/>
              <w:rPr>
                <w:sz w:val="16"/>
                <w:szCs w:val="16"/>
              </w:rPr>
            </w:pPr>
            <w:r w:rsidRPr="0041410C">
              <w:rPr>
                <w:sz w:val="16"/>
                <w:szCs w:val="16"/>
              </w:rPr>
              <w:t>Limit testing to once every 12 months per patient for item 66839, as already exists for item 66838</w:t>
            </w:r>
            <w:r w:rsidR="009F0287" w:rsidRPr="0041410C">
              <w:rPr>
                <w:sz w:val="16"/>
                <w:szCs w:val="16"/>
              </w:rPr>
              <w:t xml:space="preserve">, however if the previous test was abnormal </w:t>
            </w:r>
            <w:r w:rsidR="009F0287" w:rsidRPr="00946C79">
              <w:rPr>
                <w:sz w:val="16"/>
                <w:szCs w:val="16"/>
              </w:rPr>
              <w:t>and below the laboratory reference limits for B12 a r</w:t>
            </w:r>
            <w:r w:rsidR="009F0287" w:rsidRPr="00D80E2E">
              <w:rPr>
                <w:sz w:val="16"/>
                <w:szCs w:val="16"/>
              </w:rPr>
              <w:t>epeat test can be performed.</w:t>
            </w:r>
          </w:p>
          <w:p w14:paraId="5683ED4F" w14:textId="77777777" w:rsidR="00D35B85" w:rsidRPr="00D80E2E" w:rsidRDefault="00D35B85" w:rsidP="00267803">
            <w:pPr>
              <w:pStyle w:val="Tabletext"/>
              <w:rPr>
                <w:sz w:val="16"/>
                <w:szCs w:val="16"/>
              </w:rPr>
            </w:pPr>
            <w:r w:rsidRPr="00D80E2E">
              <w:rPr>
                <w:sz w:val="16"/>
                <w:szCs w:val="16"/>
              </w:rPr>
              <w:t>Stipulate that pathology laboratories perform the vitamin B12 marker test on the same blood samples that had a low or ambiguous serum vitamin B12 result.</w:t>
            </w:r>
          </w:p>
          <w:p w14:paraId="1E33D1EF" w14:textId="77777777" w:rsidR="00D35B85" w:rsidRPr="00D80E2E" w:rsidRDefault="00D35B85" w:rsidP="00267803">
            <w:pPr>
              <w:pStyle w:val="Tabletext"/>
              <w:rPr>
                <w:sz w:val="16"/>
                <w:szCs w:val="16"/>
              </w:rPr>
            </w:pPr>
            <w:r w:rsidRPr="00D80E2E">
              <w:rPr>
                <w:sz w:val="16"/>
                <w:szCs w:val="16"/>
              </w:rPr>
              <w:t>Note in the explanatory note that lethargy/tiredness alone is not an appropriate indication for vitamin B12 testing.</w:t>
            </w:r>
          </w:p>
          <w:p w14:paraId="45097652" w14:textId="77777777" w:rsidR="00D35B85" w:rsidRPr="00D80E2E" w:rsidRDefault="00D35B85" w:rsidP="00267803">
            <w:pPr>
              <w:pStyle w:val="Tabletext"/>
              <w:rPr>
                <w:rFonts w:cs="Arial"/>
                <w:sz w:val="16"/>
                <w:szCs w:val="16"/>
                <w:lang w:val="en-GB" w:eastAsia="en-US"/>
              </w:rPr>
            </w:pPr>
            <w:r w:rsidRPr="00D80E2E">
              <w:rPr>
                <w:rFonts w:cs="Arial"/>
                <w:sz w:val="16"/>
                <w:szCs w:val="16"/>
                <w:lang w:val="en-GB" w:eastAsia="en-US"/>
              </w:rPr>
              <w:t xml:space="preserve">Establish national vitamin B12 decision limits to provide a consistent definition of ‘low’ vitamin B12 results. </w:t>
            </w:r>
          </w:p>
          <w:p w14:paraId="170CFFFC" w14:textId="77777777" w:rsidR="00D35B85" w:rsidRPr="00D80E2E" w:rsidRDefault="00D35B85" w:rsidP="00267803">
            <w:pPr>
              <w:pStyle w:val="Tabletext"/>
              <w:rPr>
                <w:rFonts w:cs="Arial"/>
                <w:sz w:val="16"/>
                <w:szCs w:val="16"/>
                <w:lang w:val="en-GB" w:eastAsia="en-US"/>
              </w:rPr>
            </w:pPr>
            <w:r w:rsidRPr="00D80E2E">
              <w:rPr>
                <w:rFonts w:cs="Arial"/>
                <w:sz w:val="16"/>
                <w:szCs w:val="16"/>
                <w:lang w:val="en-GB" w:eastAsia="en-US"/>
              </w:rPr>
              <w:t xml:space="preserve">Provide requester and consumer education on the appropriate use of vitamin B12 testing. </w:t>
            </w:r>
          </w:p>
          <w:p w14:paraId="68C51201" w14:textId="77777777" w:rsidR="00D35B85" w:rsidRPr="00D80E2E" w:rsidRDefault="00D35B85" w:rsidP="00267803">
            <w:pPr>
              <w:pStyle w:val="Tabletext"/>
              <w:rPr>
                <w:rFonts w:cs="Arial"/>
                <w:sz w:val="16"/>
                <w:szCs w:val="16"/>
                <w:lang w:val="en-GB" w:eastAsia="en-US"/>
              </w:rPr>
            </w:pPr>
            <w:r w:rsidRPr="00D80E2E">
              <w:rPr>
                <w:rFonts w:cs="Arial"/>
                <w:sz w:val="16"/>
                <w:szCs w:val="16"/>
                <w:lang w:val="en-GB" w:eastAsia="en-US"/>
              </w:rPr>
              <w:t>Encourage provider feedback to requestors that a full blood examination is the appropriate test to monitor patients receiving vitamin B12 therapy.</w:t>
            </w:r>
          </w:p>
          <w:p w14:paraId="6B5097B0" w14:textId="77777777" w:rsidR="00D35B85" w:rsidRPr="009E03DF" w:rsidRDefault="00D35B85" w:rsidP="00267803">
            <w:pPr>
              <w:pStyle w:val="Tabletext"/>
              <w:rPr>
                <w:rFonts w:cs="Arial"/>
                <w:sz w:val="16"/>
                <w:szCs w:val="16"/>
                <w:lang w:val="en-GB" w:eastAsia="en-US"/>
              </w:rPr>
            </w:pPr>
            <w:r w:rsidRPr="00D80E2E">
              <w:rPr>
                <w:rFonts w:cs="Arial"/>
                <w:sz w:val="16"/>
                <w:szCs w:val="16"/>
                <w:lang w:val="en-GB" w:eastAsia="en-US"/>
              </w:rPr>
              <w:t>Consider the introduction of CDS for requesting of vitamin B12 testing if the above strategies do not change requesting behaviour.</w:t>
            </w:r>
          </w:p>
        </w:tc>
        <w:tc>
          <w:tcPr>
            <w:tcW w:w="2976" w:type="dxa"/>
          </w:tcPr>
          <w:p w14:paraId="0DD8274A" w14:textId="77777777" w:rsidR="00D35B85" w:rsidRPr="009E03DF" w:rsidRDefault="00D35B85" w:rsidP="00267803">
            <w:pPr>
              <w:pStyle w:val="Tabletext"/>
              <w:rPr>
                <w:sz w:val="16"/>
                <w:szCs w:val="16"/>
              </w:rPr>
            </w:pPr>
            <w:r w:rsidRPr="009E03DF">
              <w:rPr>
                <w:sz w:val="16"/>
                <w:szCs w:val="16"/>
              </w:rPr>
              <w:t xml:space="preserve">Clinicians would only be able to request item 66839 once every 12 months per </w:t>
            </w:r>
            <w:r w:rsidR="009F0287" w:rsidRPr="009E03DF">
              <w:rPr>
                <w:sz w:val="16"/>
                <w:szCs w:val="16"/>
              </w:rPr>
              <w:t xml:space="preserve">patient unless the previous test was abnormal. </w:t>
            </w:r>
          </w:p>
          <w:p w14:paraId="3867E82C" w14:textId="77777777" w:rsidR="00D35B85" w:rsidRPr="009E03DF" w:rsidRDefault="00D35B85" w:rsidP="00267803">
            <w:pPr>
              <w:pStyle w:val="Tabletext"/>
              <w:rPr>
                <w:sz w:val="16"/>
                <w:szCs w:val="16"/>
              </w:rPr>
            </w:pPr>
            <w:r w:rsidRPr="009E03DF">
              <w:rPr>
                <w:sz w:val="16"/>
                <w:szCs w:val="16"/>
              </w:rPr>
              <w:t>Updated item descriptors would be clearer and would reflect appropriate use of the items.</w:t>
            </w:r>
          </w:p>
          <w:p w14:paraId="0542B2DC" w14:textId="77777777" w:rsidR="00D35B85" w:rsidRPr="009E03DF" w:rsidRDefault="00D35B85" w:rsidP="00267803">
            <w:pPr>
              <w:pStyle w:val="Tabletext"/>
              <w:rPr>
                <w:sz w:val="16"/>
                <w:szCs w:val="16"/>
              </w:rPr>
            </w:pPr>
            <w:r w:rsidRPr="009E03DF">
              <w:rPr>
                <w:sz w:val="16"/>
                <w:szCs w:val="16"/>
              </w:rPr>
              <w:t>A nationally agreed definition of a ‘low’ vitamin B12 result would provide consistency when analysing and reporting test results.</w:t>
            </w:r>
          </w:p>
          <w:p w14:paraId="6AD45159" w14:textId="77777777" w:rsidR="00D35B85" w:rsidRPr="009E03DF" w:rsidRDefault="00D35B85" w:rsidP="00267803">
            <w:pPr>
              <w:pStyle w:val="Tabletext"/>
              <w:rPr>
                <w:sz w:val="16"/>
                <w:szCs w:val="16"/>
              </w:rPr>
            </w:pPr>
            <w:r w:rsidRPr="009E03DF">
              <w:rPr>
                <w:sz w:val="16"/>
                <w:szCs w:val="16"/>
              </w:rPr>
              <w:t xml:space="preserve">Clinicians would request a full blood examination instead of vitamin B12 testing to monitor response to treatment.  </w:t>
            </w:r>
          </w:p>
          <w:p w14:paraId="6E41C2B5" w14:textId="77777777" w:rsidR="00D35B85" w:rsidRPr="009E03DF" w:rsidRDefault="00D35B85" w:rsidP="00267803">
            <w:pPr>
              <w:pStyle w:val="Tabletext"/>
              <w:rPr>
                <w:sz w:val="16"/>
                <w:szCs w:val="16"/>
              </w:rPr>
            </w:pPr>
            <w:r w:rsidRPr="009E03DF">
              <w:rPr>
                <w:sz w:val="16"/>
                <w:szCs w:val="16"/>
              </w:rPr>
              <w:t>Both clinicians and consumers would have a clearer understanding of the appropriate use of these tests.</w:t>
            </w:r>
          </w:p>
        </w:tc>
        <w:tc>
          <w:tcPr>
            <w:tcW w:w="2273" w:type="dxa"/>
          </w:tcPr>
          <w:p w14:paraId="6BD791DD" w14:textId="77777777" w:rsidR="00D35B85" w:rsidRPr="009E03DF" w:rsidRDefault="00D35B85" w:rsidP="00267803">
            <w:pPr>
              <w:pStyle w:val="Tabletext"/>
              <w:rPr>
                <w:sz w:val="16"/>
                <w:szCs w:val="16"/>
              </w:rPr>
            </w:pPr>
            <w:r w:rsidRPr="009E03DF">
              <w:rPr>
                <w:sz w:val="16"/>
                <w:szCs w:val="16"/>
              </w:rPr>
              <w:t xml:space="preserve">This recommendation aims to update these item numbers to reflect best clinical practice and encourage appropriate use. </w:t>
            </w:r>
          </w:p>
          <w:p w14:paraId="4803ABB8" w14:textId="77777777" w:rsidR="00D35B85" w:rsidRPr="009E03DF" w:rsidRDefault="00D35B85" w:rsidP="00267803">
            <w:pPr>
              <w:pStyle w:val="Tabletext"/>
              <w:rPr>
                <w:sz w:val="16"/>
                <w:szCs w:val="16"/>
              </w:rPr>
            </w:pPr>
            <w:r w:rsidRPr="009E03DF">
              <w:rPr>
                <w:sz w:val="16"/>
                <w:szCs w:val="16"/>
              </w:rPr>
              <w:t xml:space="preserve">Clearer item descriptors and a nationally agreed definition of a ‘low’ vitamin B12 result would provide better clinical guidance for clinicians and reduce unnecessary testing </w:t>
            </w:r>
            <w:r w:rsidRPr="009E03DF">
              <w:rPr>
                <w:rFonts w:eastAsiaTheme="minorHAnsi" w:cs="Arial"/>
                <w:sz w:val="16"/>
                <w:szCs w:val="16"/>
                <w:lang w:val="en-GB" w:eastAsia="en-US"/>
              </w:rPr>
              <w:t>and appointments</w:t>
            </w:r>
            <w:r w:rsidRPr="009E03DF">
              <w:rPr>
                <w:sz w:val="16"/>
                <w:szCs w:val="16"/>
              </w:rPr>
              <w:t xml:space="preserve"> for patients. It would also mean consistency of reporting for vitamin B12 levels.</w:t>
            </w:r>
          </w:p>
          <w:p w14:paraId="4FDF82FE" w14:textId="77777777" w:rsidR="00D35B85" w:rsidRPr="009E03DF" w:rsidRDefault="00D35B85" w:rsidP="00267803">
            <w:pPr>
              <w:pStyle w:val="Tabletext"/>
              <w:rPr>
                <w:rFonts w:cs="Arial"/>
                <w:sz w:val="16"/>
                <w:szCs w:val="16"/>
                <w:lang w:val="en-GB" w:eastAsia="en-US"/>
              </w:rPr>
            </w:pPr>
          </w:p>
        </w:tc>
      </w:tr>
    </w:tbl>
    <w:p w14:paraId="6154567F" w14:textId="77777777" w:rsidR="00D35B85" w:rsidRDefault="00D35B85" w:rsidP="005670CF">
      <w:pPr>
        <w:pStyle w:val="Heading3"/>
      </w:pPr>
      <w:r w:rsidRPr="00CF52F7">
        <w:lastRenderedPageBreak/>
        <w:t>Recommendati</w:t>
      </w:r>
      <w:r>
        <w:t>ons for</w:t>
      </w:r>
      <w:r w:rsidRPr="00CF52F7">
        <w:t xml:space="preserve"> Iron </w:t>
      </w:r>
      <w:r>
        <w:t>studies and ferritin testing (items 66593 and 66596</w:t>
      </w:r>
      <w:r w:rsidRPr="00B95DD4">
        <w:t>)</w:t>
      </w:r>
    </w:p>
    <w:tbl>
      <w:tblPr>
        <w:tblStyle w:val="TableGrid"/>
        <w:tblW w:w="13500" w:type="dxa"/>
        <w:tblLayout w:type="fixed"/>
        <w:tblLook w:val="04A0" w:firstRow="1" w:lastRow="0" w:firstColumn="1" w:lastColumn="0" w:noHBand="0" w:noVBand="1"/>
        <w:tblCaption w:val="Consumer summary table"/>
      </w:tblPr>
      <w:tblGrid>
        <w:gridCol w:w="1129"/>
        <w:gridCol w:w="2127"/>
        <w:gridCol w:w="3260"/>
        <w:gridCol w:w="3260"/>
        <w:gridCol w:w="3724"/>
      </w:tblGrid>
      <w:tr w:rsidR="00D35B85" w:rsidRPr="00D31FA6" w14:paraId="6AFA6A61" w14:textId="77777777" w:rsidTr="00267803">
        <w:trPr>
          <w:trHeight w:val="465"/>
          <w:tblHeader/>
        </w:trPr>
        <w:tc>
          <w:tcPr>
            <w:tcW w:w="1129" w:type="dxa"/>
          </w:tcPr>
          <w:p w14:paraId="7B872AC3" w14:textId="77777777" w:rsidR="00D35B85" w:rsidRPr="00193F70" w:rsidRDefault="00D35B85" w:rsidP="00267803">
            <w:pPr>
              <w:pStyle w:val="Tableheading"/>
            </w:pPr>
            <w:r w:rsidRPr="00193F70">
              <w:t xml:space="preserve">Item </w:t>
            </w:r>
          </w:p>
        </w:tc>
        <w:tc>
          <w:tcPr>
            <w:tcW w:w="2127" w:type="dxa"/>
          </w:tcPr>
          <w:p w14:paraId="0B8078DF" w14:textId="77777777" w:rsidR="00D35B85" w:rsidRPr="00193F70" w:rsidRDefault="00D35B85" w:rsidP="00267803">
            <w:pPr>
              <w:pStyle w:val="Tableheading"/>
            </w:pPr>
            <w:r w:rsidRPr="00193F70">
              <w:t xml:space="preserve">What it does </w:t>
            </w:r>
          </w:p>
        </w:tc>
        <w:tc>
          <w:tcPr>
            <w:tcW w:w="3260" w:type="dxa"/>
          </w:tcPr>
          <w:p w14:paraId="5AA9CA91" w14:textId="77777777" w:rsidR="00D35B85" w:rsidRPr="00D31FA6" w:rsidRDefault="00D35B85" w:rsidP="00267803">
            <w:pPr>
              <w:pStyle w:val="Tableheading"/>
            </w:pPr>
            <w:r w:rsidRPr="00D31FA6">
              <w:t>Committee recommendation</w:t>
            </w:r>
          </w:p>
        </w:tc>
        <w:tc>
          <w:tcPr>
            <w:tcW w:w="3260" w:type="dxa"/>
          </w:tcPr>
          <w:p w14:paraId="3ECD086C" w14:textId="77777777" w:rsidR="00D35B85" w:rsidRPr="00D31FA6" w:rsidRDefault="00D35B85" w:rsidP="00267803">
            <w:pPr>
              <w:pStyle w:val="Tableheading"/>
            </w:pPr>
            <w:r w:rsidRPr="00D31FA6">
              <w:t>What would be different</w:t>
            </w:r>
          </w:p>
        </w:tc>
        <w:tc>
          <w:tcPr>
            <w:tcW w:w="3724" w:type="dxa"/>
          </w:tcPr>
          <w:p w14:paraId="5AC8F8B7" w14:textId="77777777" w:rsidR="00D35B85" w:rsidRPr="00D31FA6" w:rsidRDefault="00D35B85" w:rsidP="00267803">
            <w:pPr>
              <w:pStyle w:val="Tableheading"/>
            </w:pPr>
            <w:r w:rsidRPr="00D31FA6">
              <w:t>Why</w:t>
            </w:r>
          </w:p>
        </w:tc>
      </w:tr>
      <w:tr w:rsidR="00D35B85" w:rsidRPr="00D31FA6" w14:paraId="196F5DB8" w14:textId="77777777" w:rsidTr="00267803">
        <w:trPr>
          <w:cantSplit/>
          <w:trHeight w:val="2141"/>
        </w:trPr>
        <w:tc>
          <w:tcPr>
            <w:tcW w:w="1129" w:type="dxa"/>
          </w:tcPr>
          <w:p w14:paraId="23D00CA4" w14:textId="77777777" w:rsidR="00D35B85" w:rsidRPr="005A11B7" w:rsidRDefault="00D35B85" w:rsidP="00267803">
            <w:pPr>
              <w:pStyle w:val="Tabletext"/>
              <w:rPr>
                <w:lang w:val="en-GB" w:eastAsia="en-US"/>
              </w:rPr>
            </w:pPr>
            <w:r w:rsidRPr="005A11B7">
              <w:rPr>
                <w:lang w:val="en-GB" w:eastAsia="en-US"/>
              </w:rPr>
              <w:t>Item 66593 (ferritin testing) and item 66596 (iron studies)</w:t>
            </w:r>
          </w:p>
        </w:tc>
        <w:tc>
          <w:tcPr>
            <w:tcW w:w="2127" w:type="dxa"/>
          </w:tcPr>
          <w:p w14:paraId="7F81BDBA" w14:textId="77777777" w:rsidR="00D35B85" w:rsidRPr="009E03DF" w:rsidRDefault="00D35B85" w:rsidP="00267803">
            <w:pPr>
              <w:pStyle w:val="Tabletext"/>
              <w:rPr>
                <w:sz w:val="16"/>
                <w:szCs w:val="16"/>
              </w:rPr>
            </w:pPr>
            <w:r w:rsidRPr="009E03DF">
              <w:rPr>
                <w:sz w:val="16"/>
                <w:szCs w:val="16"/>
              </w:rPr>
              <w:t>Ferritin is a protein that stores iron in your cells: the iron is released when iron levels in the blood are low.</w:t>
            </w:r>
          </w:p>
          <w:p w14:paraId="2F5873B8" w14:textId="77777777" w:rsidR="00D35B85" w:rsidRPr="009E03DF" w:rsidRDefault="00D35B85" w:rsidP="00267803">
            <w:pPr>
              <w:pStyle w:val="Tabletext"/>
              <w:rPr>
                <w:sz w:val="16"/>
                <w:szCs w:val="16"/>
                <w:lang w:val="en-GB" w:eastAsia="en-US"/>
              </w:rPr>
            </w:pPr>
            <w:r w:rsidRPr="009E03DF">
              <w:rPr>
                <w:sz w:val="16"/>
                <w:szCs w:val="16"/>
                <w:lang w:val="en-GB" w:eastAsia="en-US"/>
              </w:rPr>
              <w:t>Ferritin testing measures the amount of ferritin in your body. A low ferritin level indicates low iron stores.</w:t>
            </w:r>
          </w:p>
          <w:p w14:paraId="6F5C2A17" w14:textId="77777777" w:rsidR="00D35B85" w:rsidRPr="009E03DF" w:rsidRDefault="00D35B85" w:rsidP="00267803">
            <w:pPr>
              <w:pStyle w:val="Tabletext"/>
              <w:rPr>
                <w:sz w:val="16"/>
                <w:szCs w:val="16"/>
                <w:lang w:val="en-GB" w:eastAsia="en-US"/>
              </w:rPr>
            </w:pPr>
            <w:r w:rsidRPr="009E03DF">
              <w:rPr>
                <w:sz w:val="16"/>
                <w:szCs w:val="16"/>
                <w:lang w:val="en-GB" w:eastAsia="en-US"/>
              </w:rPr>
              <w:t xml:space="preserve">Iron studies measure the amount of iron in your blood for a fuller investigation, for example to test for an overload of iron. </w:t>
            </w:r>
          </w:p>
        </w:tc>
        <w:tc>
          <w:tcPr>
            <w:tcW w:w="3260" w:type="dxa"/>
          </w:tcPr>
          <w:p w14:paraId="3DC7A2CD" w14:textId="77777777" w:rsidR="00D35B85" w:rsidRPr="0041410C" w:rsidRDefault="00D35B85" w:rsidP="00267803">
            <w:pPr>
              <w:pStyle w:val="Tabletext"/>
              <w:spacing w:line="276" w:lineRule="auto"/>
              <w:rPr>
                <w:sz w:val="16"/>
                <w:szCs w:val="16"/>
              </w:rPr>
            </w:pPr>
            <w:r w:rsidRPr="0041410C">
              <w:rPr>
                <w:sz w:val="16"/>
                <w:szCs w:val="16"/>
              </w:rPr>
              <w:t>Change the item names and descriptors of both items to intrinsically provide education on the selection of the appropriate test for each patient.</w:t>
            </w:r>
          </w:p>
          <w:p w14:paraId="2EBD626C" w14:textId="77777777" w:rsidR="00D35B85" w:rsidRPr="00946C79" w:rsidRDefault="00D35B85" w:rsidP="00267803">
            <w:pPr>
              <w:pStyle w:val="Tabletext"/>
              <w:spacing w:before="120" w:line="276" w:lineRule="auto"/>
              <w:rPr>
                <w:sz w:val="16"/>
                <w:szCs w:val="16"/>
              </w:rPr>
            </w:pPr>
            <w:r w:rsidRPr="00946C79">
              <w:rPr>
                <w:sz w:val="16"/>
                <w:szCs w:val="16"/>
              </w:rPr>
              <w:t xml:space="preserve">Create a new item for exception iron studies to allow testing of full iron studies when there is evidence that ferritin alone is an unreliable indicator of iron status (e.g. inflammation or infection are present). </w:t>
            </w:r>
          </w:p>
          <w:p w14:paraId="32759BCE" w14:textId="77777777" w:rsidR="00D35B85" w:rsidRPr="00D80E2E" w:rsidRDefault="00D35B85" w:rsidP="00267803">
            <w:pPr>
              <w:pStyle w:val="Tabletext"/>
              <w:spacing w:before="120" w:line="276" w:lineRule="auto"/>
              <w:rPr>
                <w:sz w:val="16"/>
                <w:szCs w:val="16"/>
              </w:rPr>
            </w:pPr>
            <w:r w:rsidRPr="00D80E2E">
              <w:rPr>
                <w:sz w:val="16"/>
                <w:szCs w:val="16"/>
              </w:rPr>
              <w:t xml:space="preserve">Make item 66593 the default iron test, unless the request form indicates iron overload is suspected. </w:t>
            </w:r>
          </w:p>
          <w:p w14:paraId="64E70E1E" w14:textId="7939007C" w:rsidR="00D35B85" w:rsidRPr="00D80E2E" w:rsidRDefault="00D35B85" w:rsidP="00267803">
            <w:pPr>
              <w:pStyle w:val="Tabletext"/>
              <w:spacing w:before="120" w:line="276" w:lineRule="auto"/>
              <w:rPr>
                <w:sz w:val="16"/>
                <w:szCs w:val="16"/>
              </w:rPr>
            </w:pPr>
            <w:r w:rsidRPr="00D80E2E">
              <w:rPr>
                <w:sz w:val="16"/>
                <w:szCs w:val="16"/>
              </w:rPr>
              <w:t>Limit testing to once every three months per patient for item 66593</w:t>
            </w:r>
            <w:r w:rsidR="00846DDA" w:rsidRPr="00D80E2E">
              <w:rPr>
                <w:sz w:val="16"/>
                <w:szCs w:val="16"/>
              </w:rPr>
              <w:t>, however if the previous test was abnormal and below the laboratory reference limits for iron studies and ferritin testing a repeat test can be performed.</w:t>
            </w:r>
          </w:p>
          <w:p w14:paraId="0F157E67" w14:textId="77777777" w:rsidR="00D35B85" w:rsidRPr="00D80E2E" w:rsidRDefault="00D35B85" w:rsidP="00267803">
            <w:pPr>
              <w:rPr>
                <w:sz w:val="16"/>
                <w:szCs w:val="16"/>
              </w:rPr>
            </w:pPr>
            <w:r w:rsidRPr="00D80E2E">
              <w:rPr>
                <w:sz w:val="16"/>
                <w:szCs w:val="16"/>
              </w:rPr>
              <w:t>Support these changes with an education program and by encouraging pathology providers to give feedback to requesters to explain the proposed changes.</w:t>
            </w:r>
          </w:p>
          <w:p w14:paraId="469EDF4E" w14:textId="77777777" w:rsidR="00D35B85" w:rsidRPr="009E03DF" w:rsidRDefault="00D35B85" w:rsidP="00267803">
            <w:pPr>
              <w:rPr>
                <w:sz w:val="16"/>
                <w:szCs w:val="16"/>
              </w:rPr>
            </w:pPr>
            <w:r w:rsidRPr="00D80E2E">
              <w:rPr>
                <w:rFonts w:cs="Arial"/>
                <w:sz w:val="16"/>
                <w:szCs w:val="16"/>
                <w:lang w:val="en-GB" w:eastAsia="en-US"/>
              </w:rPr>
              <w:t>Consider strengthening CDS measures for requesting of ferritin and iron testing if the above strategies do not change requesting behaviour.</w:t>
            </w:r>
          </w:p>
        </w:tc>
        <w:tc>
          <w:tcPr>
            <w:tcW w:w="3260" w:type="dxa"/>
          </w:tcPr>
          <w:p w14:paraId="57E97B6A" w14:textId="77777777" w:rsidR="00D35B85" w:rsidRPr="009E03DF" w:rsidRDefault="00D35B85" w:rsidP="00267803">
            <w:pPr>
              <w:pStyle w:val="Tabletext"/>
              <w:rPr>
                <w:sz w:val="16"/>
                <w:szCs w:val="16"/>
              </w:rPr>
            </w:pPr>
            <w:r w:rsidRPr="009E03DF">
              <w:rPr>
                <w:sz w:val="16"/>
                <w:szCs w:val="16"/>
              </w:rPr>
              <w:t>The descriptor for item 66593 would be changed to ‘iron deficiency studies’ and the descriptor for item 66596 would be changed to ‘iron overload studies’.</w:t>
            </w:r>
          </w:p>
          <w:p w14:paraId="333087AC" w14:textId="77777777" w:rsidR="00D35B85" w:rsidRPr="009E03DF" w:rsidRDefault="00D35B85" w:rsidP="00267803">
            <w:pPr>
              <w:pStyle w:val="Tabletext"/>
              <w:rPr>
                <w:sz w:val="16"/>
                <w:szCs w:val="16"/>
              </w:rPr>
            </w:pPr>
            <w:r w:rsidRPr="009E03DF">
              <w:rPr>
                <w:sz w:val="16"/>
                <w:szCs w:val="16"/>
              </w:rPr>
              <w:t xml:space="preserve">A new item would be created to allow testing of full iron studies when there is evidence that ferritin alone is an unreliable indicator of iron status (e.g. inflammation or infection are present).  </w:t>
            </w:r>
          </w:p>
          <w:p w14:paraId="67D1961E" w14:textId="77777777" w:rsidR="00D35B85" w:rsidRPr="009E03DF" w:rsidRDefault="00D35B85" w:rsidP="00267803">
            <w:pPr>
              <w:pStyle w:val="Tabletext"/>
              <w:rPr>
                <w:sz w:val="16"/>
                <w:szCs w:val="16"/>
                <w:lang w:val="en-GB" w:eastAsia="en-US"/>
              </w:rPr>
            </w:pPr>
            <w:r w:rsidRPr="009E03DF">
              <w:rPr>
                <w:sz w:val="16"/>
                <w:szCs w:val="16"/>
                <w:lang w:val="en-GB" w:eastAsia="en-US"/>
              </w:rPr>
              <w:t>Ferritin (iron deficiency studies) testing would become the default iron test,</w:t>
            </w:r>
            <w:r w:rsidRPr="009E03DF">
              <w:rPr>
                <w:sz w:val="16"/>
                <w:szCs w:val="16"/>
              </w:rPr>
              <w:t xml:space="preserve"> unless the request form indicates iron overload is suspected</w:t>
            </w:r>
            <w:r w:rsidRPr="009E03DF">
              <w:rPr>
                <w:sz w:val="16"/>
                <w:szCs w:val="16"/>
                <w:lang w:val="en-GB" w:eastAsia="en-US"/>
              </w:rPr>
              <w:t xml:space="preserve">. </w:t>
            </w:r>
          </w:p>
          <w:p w14:paraId="6E78E56C" w14:textId="1AD49A32" w:rsidR="00D35B85" w:rsidRPr="009E03DF" w:rsidRDefault="00D35B85" w:rsidP="00267803">
            <w:pPr>
              <w:pStyle w:val="Tabletext"/>
              <w:rPr>
                <w:sz w:val="16"/>
                <w:szCs w:val="16"/>
                <w:lang w:val="en-GB" w:eastAsia="en-US"/>
              </w:rPr>
            </w:pPr>
            <w:r w:rsidRPr="009E03DF">
              <w:rPr>
                <w:sz w:val="16"/>
                <w:szCs w:val="16"/>
                <w:lang w:val="en-GB" w:eastAsia="en-US"/>
              </w:rPr>
              <w:t>Clinicians would be limited to requesting item 66593 once every three months per patient</w:t>
            </w:r>
            <w:r w:rsidR="00846DDA" w:rsidRPr="009E03DF">
              <w:rPr>
                <w:sz w:val="16"/>
                <w:szCs w:val="16"/>
              </w:rPr>
              <w:t xml:space="preserve"> unless the previous test was abnormal.</w:t>
            </w:r>
          </w:p>
          <w:p w14:paraId="2F0648FC" w14:textId="77777777" w:rsidR="00D35B85" w:rsidRPr="009E03DF" w:rsidRDefault="00D35B85" w:rsidP="00267803">
            <w:pPr>
              <w:pStyle w:val="Tabletext"/>
              <w:rPr>
                <w:sz w:val="16"/>
                <w:szCs w:val="16"/>
                <w:lang w:val="en-GB" w:eastAsia="en-US"/>
              </w:rPr>
            </w:pPr>
            <w:r w:rsidRPr="009E03DF">
              <w:rPr>
                <w:sz w:val="16"/>
                <w:szCs w:val="16"/>
                <w:lang w:val="en-GB" w:eastAsia="en-US"/>
              </w:rPr>
              <w:t>Clinicians would have a clearer understanding of the appropriate use of these tests.</w:t>
            </w:r>
          </w:p>
        </w:tc>
        <w:tc>
          <w:tcPr>
            <w:tcW w:w="3724" w:type="dxa"/>
          </w:tcPr>
          <w:p w14:paraId="1F2AC2FE" w14:textId="692C4176" w:rsidR="00D35B85" w:rsidRPr="009E03DF" w:rsidRDefault="00D35B85" w:rsidP="00267803">
            <w:pPr>
              <w:pStyle w:val="Tabletext"/>
              <w:rPr>
                <w:sz w:val="16"/>
                <w:szCs w:val="16"/>
              </w:rPr>
            </w:pPr>
            <w:r w:rsidRPr="009E03DF">
              <w:rPr>
                <w:sz w:val="16"/>
                <w:szCs w:val="16"/>
              </w:rPr>
              <w:t xml:space="preserve">The Committee agreed that there is sufficient evidence that full panel iron studies are overused, and that most iron-related tests are requested to check for iron deficiency. Use of full panel iron studies can result in over diagnosis of iron deficiency and unnecessary treatment. Ferritin testing is the appropriate first-line test for iron deficiency. </w:t>
            </w:r>
          </w:p>
          <w:p w14:paraId="46873CC6" w14:textId="77777777" w:rsidR="00D35B85" w:rsidRPr="009E03DF" w:rsidRDefault="00D35B85" w:rsidP="00267803">
            <w:pPr>
              <w:pStyle w:val="Tabletext"/>
              <w:rPr>
                <w:sz w:val="16"/>
                <w:szCs w:val="16"/>
              </w:rPr>
            </w:pPr>
            <w:r w:rsidRPr="009E03DF">
              <w:rPr>
                <w:sz w:val="16"/>
                <w:szCs w:val="16"/>
              </w:rPr>
              <w:t>The Committee agreed that many GPs are unaware that the ferritin-only MBS item exists, and that full iron studies are only appropriate when there is suspicion of an iron overload.</w:t>
            </w:r>
          </w:p>
          <w:p w14:paraId="4D33621A" w14:textId="77777777" w:rsidR="00D35B85" w:rsidRPr="009E03DF" w:rsidRDefault="00D35B85" w:rsidP="00267803">
            <w:pPr>
              <w:pStyle w:val="Tabletext"/>
              <w:rPr>
                <w:sz w:val="16"/>
                <w:szCs w:val="16"/>
              </w:rPr>
            </w:pPr>
            <w:r w:rsidRPr="009E03DF">
              <w:rPr>
                <w:sz w:val="16"/>
                <w:szCs w:val="16"/>
              </w:rPr>
              <w:t>This recommendation focuses on simplifying the item numbers to reflect best clinical practice for patients and limit over-testing.</w:t>
            </w:r>
          </w:p>
          <w:p w14:paraId="4747680C" w14:textId="77777777" w:rsidR="00D35B85" w:rsidRPr="009E03DF" w:rsidRDefault="00D35B85" w:rsidP="00267803">
            <w:pPr>
              <w:pStyle w:val="Tabletext"/>
              <w:rPr>
                <w:sz w:val="16"/>
                <w:szCs w:val="16"/>
                <w:lang w:val="en-GB" w:eastAsia="en-US"/>
              </w:rPr>
            </w:pPr>
            <w:r w:rsidRPr="009E03DF">
              <w:rPr>
                <w:sz w:val="16"/>
                <w:szCs w:val="16"/>
                <w:lang w:val="en-GB" w:eastAsia="en-US"/>
              </w:rPr>
              <w:t xml:space="preserve">The three-month limit would ensure that patients are allowed appropriate time for iron replacement treatment to take effect and reduce unnecessary testing. </w:t>
            </w:r>
          </w:p>
        </w:tc>
      </w:tr>
    </w:tbl>
    <w:p w14:paraId="0537B9FA" w14:textId="77777777" w:rsidR="00D35B85" w:rsidRPr="00D31FA6" w:rsidRDefault="00D35B85" w:rsidP="005670CF">
      <w:pPr>
        <w:pStyle w:val="Heading3"/>
      </w:pPr>
      <w:r>
        <w:lastRenderedPageBreak/>
        <w:t>Recommendations for</w:t>
      </w:r>
      <w:r w:rsidRPr="00D31FA6">
        <w:t xml:space="preserve"> Folate </w:t>
      </w:r>
      <w:r>
        <w:t xml:space="preserve">testing </w:t>
      </w:r>
      <w:r w:rsidRPr="00D31FA6">
        <w:t>(item 66840)</w:t>
      </w:r>
    </w:p>
    <w:tbl>
      <w:tblPr>
        <w:tblStyle w:val="TableGrid"/>
        <w:tblW w:w="13500" w:type="dxa"/>
        <w:tblInd w:w="108" w:type="dxa"/>
        <w:tblLayout w:type="fixed"/>
        <w:tblLook w:val="04A0" w:firstRow="1" w:lastRow="0" w:firstColumn="1" w:lastColumn="0" w:noHBand="0" w:noVBand="1"/>
        <w:tblCaption w:val="Consumer summary table"/>
      </w:tblPr>
      <w:tblGrid>
        <w:gridCol w:w="1305"/>
        <w:gridCol w:w="1843"/>
        <w:gridCol w:w="3685"/>
        <w:gridCol w:w="2698"/>
        <w:gridCol w:w="3969"/>
      </w:tblGrid>
      <w:tr w:rsidR="00D35B85" w:rsidRPr="00D31FA6" w14:paraId="7EFF9EF9" w14:textId="77777777" w:rsidTr="00267803">
        <w:trPr>
          <w:trHeight w:val="465"/>
          <w:tblHeader/>
        </w:trPr>
        <w:tc>
          <w:tcPr>
            <w:tcW w:w="1305" w:type="dxa"/>
          </w:tcPr>
          <w:p w14:paraId="45E64DFD" w14:textId="77777777" w:rsidR="00D35B85" w:rsidRPr="00D31FA6" w:rsidRDefault="00D35B85" w:rsidP="00267803">
            <w:pPr>
              <w:pStyle w:val="Tableheading"/>
            </w:pPr>
            <w:r w:rsidRPr="00D31FA6">
              <w:t xml:space="preserve">Item </w:t>
            </w:r>
          </w:p>
        </w:tc>
        <w:tc>
          <w:tcPr>
            <w:tcW w:w="1843" w:type="dxa"/>
          </w:tcPr>
          <w:p w14:paraId="2F4AB628" w14:textId="77777777" w:rsidR="00D35B85" w:rsidRPr="00D31FA6" w:rsidRDefault="00D35B85" w:rsidP="00267803">
            <w:pPr>
              <w:pStyle w:val="Tableheading"/>
            </w:pPr>
            <w:r w:rsidRPr="00D31FA6">
              <w:t xml:space="preserve">What it does </w:t>
            </w:r>
          </w:p>
        </w:tc>
        <w:tc>
          <w:tcPr>
            <w:tcW w:w="3685" w:type="dxa"/>
          </w:tcPr>
          <w:p w14:paraId="603AEECD" w14:textId="77777777" w:rsidR="00D35B85" w:rsidRPr="00D31FA6" w:rsidRDefault="00D35B85" w:rsidP="00267803">
            <w:pPr>
              <w:pStyle w:val="Tableheading"/>
            </w:pPr>
            <w:r w:rsidRPr="00D31FA6">
              <w:t>Committee recommendation</w:t>
            </w:r>
          </w:p>
        </w:tc>
        <w:tc>
          <w:tcPr>
            <w:tcW w:w="2698" w:type="dxa"/>
          </w:tcPr>
          <w:p w14:paraId="4FE8193F" w14:textId="77777777" w:rsidR="00D35B85" w:rsidRPr="00D31FA6" w:rsidRDefault="00D35B85" w:rsidP="00267803">
            <w:pPr>
              <w:pStyle w:val="Tableheading"/>
            </w:pPr>
            <w:r w:rsidRPr="00D31FA6">
              <w:t>What would be different</w:t>
            </w:r>
          </w:p>
        </w:tc>
        <w:tc>
          <w:tcPr>
            <w:tcW w:w="3969" w:type="dxa"/>
          </w:tcPr>
          <w:p w14:paraId="161D5982" w14:textId="77777777" w:rsidR="00D35B85" w:rsidRPr="00D31FA6" w:rsidRDefault="00D35B85" w:rsidP="00267803">
            <w:pPr>
              <w:pStyle w:val="Tableheading"/>
            </w:pPr>
            <w:r w:rsidRPr="00D31FA6">
              <w:t>Why</w:t>
            </w:r>
          </w:p>
        </w:tc>
      </w:tr>
      <w:tr w:rsidR="00D35B85" w:rsidRPr="00D31FA6" w14:paraId="4F49EE8D" w14:textId="77777777" w:rsidTr="00267803">
        <w:trPr>
          <w:cantSplit/>
          <w:trHeight w:val="2136"/>
        </w:trPr>
        <w:tc>
          <w:tcPr>
            <w:tcW w:w="1305" w:type="dxa"/>
          </w:tcPr>
          <w:p w14:paraId="2F82B2FD" w14:textId="77777777" w:rsidR="00D35B85" w:rsidRPr="00193F70" w:rsidRDefault="00D35B85" w:rsidP="00267803">
            <w:pPr>
              <w:pStyle w:val="Tabletext"/>
            </w:pPr>
            <w:r w:rsidRPr="007C105E">
              <w:t>66840 (Serum folate testing)</w:t>
            </w:r>
          </w:p>
        </w:tc>
        <w:tc>
          <w:tcPr>
            <w:tcW w:w="1843" w:type="dxa"/>
          </w:tcPr>
          <w:p w14:paraId="4419698E" w14:textId="77777777" w:rsidR="00D35B85" w:rsidRPr="009E03DF" w:rsidRDefault="00D35B85" w:rsidP="00267803">
            <w:pPr>
              <w:pStyle w:val="Tabletext"/>
              <w:rPr>
                <w:sz w:val="16"/>
                <w:szCs w:val="16"/>
              </w:rPr>
            </w:pPr>
            <w:r w:rsidRPr="009E03DF">
              <w:rPr>
                <w:sz w:val="16"/>
                <w:szCs w:val="16"/>
              </w:rPr>
              <w:t xml:space="preserve">Folate is a B group vitamin that helps to produce red blood cells and make and repair DNA. It is also important for our immune system. In pregnancy it helps prevent birth defects. </w:t>
            </w:r>
          </w:p>
          <w:p w14:paraId="1DF337AB" w14:textId="77777777" w:rsidR="00D35B85" w:rsidRPr="009E03DF" w:rsidRDefault="00D35B85" w:rsidP="00267803">
            <w:pPr>
              <w:pStyle w:val="Tabletext"/>
              <w:rPr>
                <w:sz w:val="16"/>
                <w:szCs w:val="16"/>
              </w:rPr>
            </w:pPr>
            <w:r w:rsidRPr="009E03DF">
              <w:rPr>
                <w:sz w:val="16"/>
                <w:szCs w:val="16"/>
              </w:rPr>
              <w:t xml:space="preserve">Serum folate testing measures the amount of folate in your blood. </w:t>
            </w:r>
          </w:p>
        </w:tc>
        <w:tc>
          <w:tcPr>
            <w:tcW w:w="3685" w:type="dxa"/>
          </w:tcPr>
          <w:p w14:paraId="16AB4EC0" w14:textId="77777777" w:rsidR="00D35B85" w:rsidRPr="00946C79" w:rsidRDefault="00D35B85" w:rsidP="00267803">
            <w:pPr>
              <w:pStyle w:val="Tabletext"/>
              <w:rPr>
                <w:rFonts w:eastAsiaTheme="minorHAnsi" w:cs="Arial"/>
                <w:sz w:val="16"/>
                <w:szCs w:val="16"/>
                <w:lang w:val="en-GB" w:eastAsia="en-US"/>
              </w:rPr>
            </w:pPr>
            <w:r w:rsidRPr="0041410C">
              <w:rPr>
                <w:rFonts w:eastAsiaTheme="minorHAnsi" w:cs="Arial"/>
                <w:sz w:val="16"/>
                <w:szCs w:val="16"/>
                <w:lang w:val="en-GB" w:eastAsia="en-US"/>
              </w:rPr>
              <w:t>Change the item descriptor to clarify that folate testing is only appropriate for patients with malabsorption conditions (poor uptake from their diet)</w:t>
            </w:r>
            <w:r w:rsidR="004871BA" w:rsidRPr="00946C79">
              <w:rPr>
                <w:rFonts w:eastAsiaTheme="minorHAnsi" w:cs="Arial"/>
                <w:sz w:val="16"/>
                <w:szCs w:val="16"/>
                <w:lang w:val="en-GB" w:eastAsia="en-US"/>
              </w:rPr>
              <w:t>, malnutrition</w:t>
            </w:r>
            <w:r w:rsidRPr="00946C79">
              <w:rPr>
                <w:rFonts w:eastAsiaTheme="minorHAnsi" w:cs="Arial"/>
                <w:sz w:val="16"/>
                <w:szCs w:val="16"/>
                <w:lang w:val="en-GB" w:eastAsia="en-US"/>
              </w:rPr>
              <w:t xml:space="preserve"> or macrocytosis (enlarged red blood cells).</w:t>
            </w:r>
          </w:p>
          <w:p w14:paraId="44F8D4FF" w14:textId="3CA13D20" w:rsidR="00D35B85" w:rsidRPr="00D80E2E" w:rsidRDefault="00D35B85" w:rsidP="00267803">
            <w:pPr>
              <w:pStyle w:val="Tabletext"/>
              <w:rPr>
                <w:rFonts w:eastAsiaTheme="minorHAnsi" w:cs="Arial"/>
                <w:sz w:val="16"/>
                <w:szCs w:val="16"/>
                <w:lang w:val="en-GB" w:eastAsia="en-US"/>
              </w:rPr>
            </w:pPr>
            <w:r w:rsidRPr="00D80E2E">
              <w:rPr>
                <w:rFonts w:eastAsiaTheme="minorHAnsi" w:cs="Arial"/>
                <w:sz w:val="16"/>
                <w:szCs w:val="16"/>
                <w:lang w:val="en-GB" w:eastAsia="en-US"/>
              </w:rPr>
              <w:t>Limit testing to once every 12-months per patient</w:t>
            </w:r>
            <w:r w:rsidR="004871BA" w:rsidRPr="00D80E2E">
              <w:rPr>
                <w:rFonts w:eastAsiaTheme="minorHAnsi" w:cs="Arial"/>
                <w:sz w:val="16"/>
                <w:szCs w:val="16"/>
                <w:lang w:val="en-GB" w:eastAsia="en-US"/>
              </w:rPr>
              <w:t xml:space="preserve">, </w:t>
            </w:r>
            <w:r w:rsidR="004871BA" w:rsidRPr="00D80E2E">
              <w:rPr>
                <w:sz w:val="16"/>
                <w:szCs w:val="16"/>
              </w:rPr>
              <w:t>unless the previous test was abnormal and is below the laboratory reference limits for folate</w:t>
            </w:r>
            <w:r w:rsidRPr="00D80E2E">
              <w:rPr>
                <w:rFonts w:eastAsiaTheme="minorHAnsi" w:cs="Arial"/>
                <w:sz w:val="16"/>
                <w:szCs w:val="16"/>
                <w:lang w:val="en-GB" w:eastAsia="en-US"/>
              </w:rPr>
              <w:t xml:space="preserve"> (</w:t>
            </w:r>
            <w:r w:rsidR="004871BA" w:rsidRPr="00D80E2E">
              <w:rPr>
                <w:rFonts w:eastAsiaTheme="minorHAnsi" w:cs="Arial"/>
                <w:sz w:val="16"/>
                <w:szCs w:val="16"/>
                <w:lang w:val="en-GB" w:eastAsia="en-US"/>
              </w:rPr>
              <w:t>in order</w:t>
            </w:r>
            <w:r w:rsidRPr="00D80E2E">
              <w:rPr>
                <w:rFonts w:eastAsiaTheme="minorHAnsi" w:cs="Arial"/>
                <w:sz w:val="16"/>
                <w:szCs w:val="16"/>
                <w:lang w:val="en-GB" w:eastAsia="en-US"/>
              </w:rPr>
              <w:t xml:space="preserve"> to confirm folate deficiency when an initial folate result is low). </w:t>
            </w:r>
          </w:p>
          <w:p w14:paraId="19100BC9" w14:textId="77777777" w:rsidR="00D35B85" w:rsidRPr="00D80E2E" w:rsidRDefault="00D35B85" w:rsidP="00267803">
            <w:pPr>
              <w:pStyle w:val="Tabletext"/>
              <w:rPr>
                <w:rFonts w:eastAsiaTheme="minorHAnsi" w:cs="Arial"/>
                <w:sz w:val="16"/>
                <w:szCs w:val="16"/>
                <w:lang w:val="en-GB" w:eastAsia="en-US"/>
              </w:rPr>
            </w:pPr>
            <w:r w:rsidRPr="00D80E2E">
              <w:rPr>
                <w:rFonts w:eastAsiaTheme="minorHAnsi" w:cs="Arial"/>
                <w:sz w:val="16"/>
                <w:szCs w:val="16"/>
                <w:lang w:val="en-GB" w:eastAsia="en-US"/>
              </w:rPr>
              <w:t>Change the explanatory note to clarify who may require folate testing and which groups of patients should be supplemented with folate and do not require testing.</w:t>
            </w:r>
          </w:p>
          <w:p w14:paraId="17A0ECFF" w14:textId="77777777" w:rsidR="00D35B85" w:rsidRPr="00D80E2E" w:rsidRDefault="00D35B85" w:rsidP="00267803">
            <w:pPr>
              <w:pStyle w:val="Tabletext"/>
              <w:rPr>
                <w:rFonts w:eastAsiaTheme="minorHAnsi" w:cs="Arial"/>
                <w:sz w:val="16"/>
                <w:szCs w:val="16"/>
                <w:lang w:val="en-GB" w:eastAsia="en-US"/>
              </w:rPr>
            </w:pPr>
            <w:r w:rsidRPr="00D80E2E">
              <w:rPr>
                <w:rFonts w:eastAsiaTheme="minorHAnsi" w:cs="Arial"/>
                <w:sz w:val="16"/>
                <w:szCs w:val="16"/>
                <w:lang w:val="en-GB" w:eastAsia="en-US"/>
              </w:rPr>
              <w:t>Educate requesters regarding details of changed item descriptor.</w:t>
            </w:r>
          </w:p>
          <w:p w14:paraId="13B0B759" w14:textId="77777777" w:rsidR="00D35B85" w:rsidRPr="00D80E2E" w:rsidRDefault="00D35B85" w:rsidP="00267803">
            <w:pPr>
              <w:pStyle w:val="Tabletext"/>
              <w:rPr>
                <w:rFonts w:cs="Arial"/>
                <w:sz w:val="16"/>
                <w:szCs w:val="16"/>
                <w:lang w:val="en-GB" w:eastAsia="en-US"/>
              </w:rPr>
            </w:pPr>
            <w:r w:rsidRPr="00D80E2E">
              <w:rPr>
                <w:rFonts w:cs="Arial"/>
                <w:sz w:val="16"/>
                <w:szCs w:val="16"/>
                <w:lang w:val="en-GB" w:eastAsia="en-US"/>
              </w:rPr>
              <w:t xml:space="preserve">Establish folate reference limits to provide a consistent definition of ‘low’ folate results. </w:t>
            </w:r>
          </w:p>
          <w:p w14:paraId="7D769A75" w14:textId="77777777" w:rsidR="00D35B85" w:rsidRPr="009E03DF" w:rsidRDefault="00D35B85" w:rsidP="00267803">
            <w:pPr>
              <w:pStyle w:val="Tabletext"/>
              <w:rPr>
                <w:sz w:val="16"/>
                <w:szCs w:val="16"/>
                <w:lang w:val="en-GB" w:eastAsia="en-US"/>
              </w:rPr>
            </w:pPr>
            <w:r w:rsidRPr="00D80E2E">
              <w:rPr>
                <w:rFonts w:cs="Arial"/>
                <w:sz w:val="16"/>
                <w:szCs w:val="16"/>
                <w:lang w:val="en-GB" w:eastAsia="en-US"/>
              </w:rPr>
              <w:t>If the above strategies do not change requesting behaviour, require requesters to specify the reason for their request of folate testing (via mandatory CDS or a structured pathology request form) or consider introducing further requesting restrictions</w:t>
            </w:r>
            <w:r w:rsidRPr="009E03DF">
              <w:rPr>
                <w:rFonts w:cs="Arial"/>
                <w:sz w:val="16"/>
                <w:szCs w:val="16"/>
                <w:lang w:val="en-GB" w:eastAsia="en-US"/>
              </w:rPr>
              <w:t>.</w:t>
            </w:r>
          </w:p>
        </w:tc>
        <w:tc>
          <w:tcPr>
            <w:tcW w:w="2698" w:type="dxa"/>
          </w:tcPr>
          <w:p w14:paraId="4A10857F" w14:textId="77777777" w:rsidR="00D35B85" w:rsidRPr="009E03DF" w:rsidRDefault="00D35B85" w:rsidP="00267803">
            <w:pPr>
              <w:pStyle w:val="Tabletext"/>
              <w:rPr>
                <w:sz w:val="16"/>
                <w:szCs w:val="16"/>
              </w:rPr>
            </w:pPr>
            <w:r w:rsidRPr="009E03DF">
              <w:rPr>
                <w:sz w:val="16"/>
                <w:szCs w:val="16"/>
              </w:rPr>
              <w:t>The item descriptor would no longer list ‘folate deficiency’ or ‘coeliac disease’ as reasons for testing.</w:t>
            </w:r>
          </w:p>
          <w:p w14:paraId="76DE30E0" w14:textId="10B2BE82" w:rsidR="00D35B85" w:rsidRPr="009E03DF" w:rsidRDefault="00D35B85" w:rsidP="00267803">
            <w:pPr>
              <w:pStyle w:val="Tabletext"/>
              <w:rPr>
                <w:rFonts w:eastAsiaTheme="minorHAnsi" w:cs="Arial"/>
                <w:sz w:val="16"/>
                <w:szCs w:val="16"/>
                <w:lang w:val="en-GB" w:eastAsia="en-US"/>
              </w:rPr>
            </w:pPr>
            <w:r w:rsidRPr="009E03DF">
              <w:rPr>
                <w:rFonts w:eastAsiaTheme="minorHAnsi" w:cs="Arial"/>
                <w:sz w:val="16"/>
                <w:szCs w:val="16"/>
                <w:lang w:val="en-GB" w:eastAsia="en-US"/>
              </w:rPr>
              <w:t>Clinicians would be limited to requesting item 66840 once every 12 months per patient</w:t>
            </w:r>
            <w:r w:rsidR="00846DDA" w:rsidRPr="009E03DF">
              <w:rPr>
                <w:rFonts w:eastAsiaTheme="minorHAnsi" w:cs="Arial"/>
                <w:sz w:val="16"/>
                <w:szCs w:val="16"/>
                <w:lang w:val="en-GB" w:eastAsia="en-US"/>
              </w:rPr>
              <w:t xml:space="preserve"> </w:t>
            </w:r>
            <w:r w:rsidR="00846DDA" w:rsidRPr="009E03DF">
              <w:rPr>
                <w:sz w:val="16"/>
                <w:szCs w:val="16"/>
              </w:rPr>
              <w:t>patient unless the previous test was abnormal.</w:t>
            </w:r>
          </w:p>
          <w:p w14:paraId="4505F61D" w14:textId="34433873" w:rsidR="00D35B85" w:rsidRPr="009E03DF" w:rsidRDefault="00D35B85" w:rsidP="00267803">
            <w:pPr>
              <w:pStyle w:val="Tabletext"/>
              <w:rPr>
                <w:sz w:val="16"/>
                <w:szCs w:val="16"/>
              </w:rPr>
            </w:pPr>
            <w:r w:rsidRPr="009E03DF">
              <w:rPr>
                <w:sz w:val="16"/>
                <w:szCs w:val="16"/>
              </w:rPr>
              <w:t>Updated explanatory notes would clarify that folate testing is only required for patients with macrocytosis</w:t>
            </w:r>
            <w:r w:rsidR="004871BA" w:rsidRPr="009E03DF">
              <w:rPr>
                <w:sz w:val="16"/>
                <w:szCs w:val="16"/>
              </w:rPr>
              <w:t xml:space="preserve">, </w:t>
            </w:r>
            <w:r w:rsidRPr="009E03DF">
              <w:rPr>
                <w:sz w:val="16"/>
                <w:szCs w:val="16"/>
              </w:rPr>
              <w:t>malabsorption conditions</w:t>
            </w:r>
            <w:r w:rsidR="004871BA" w:rsidRPr="009E03DF">
              <w:rPr>
                <w:sz w:val="16"/>
                <w:szCs w:val="16"/>
              </w:rPr>
              <w:t xml:space="preserve"> or malnutrition</w:t>
            </w:r>
            <w:r w:rsidRPr="009E03DF">
              <w:rPr>
                <w:sz w:val="16"/>
                <w:szCs w:val="16"/>
              </w:rPr>
              <w:t>.</w:t>
            </w:r>
          </w:p>
          <w:p w14:paraId="10BF9061" w14:textId="77777777" w:rsidR="00D35B85" w:rsidRPr="009E03DF" w:rsidRDefault="00D35B85" w:rsidP="00267803">
            <w:pPr>
              <w:pStyle w:val="Tabletext"/>
              <w:rPr>
                <w:sz w:val="16"/>
                <w:szCs w:val="16"/>
              </w:rPr>
            </w:pPr>
            <w:r w:rsidRPr="009E03DF">
              <w:rPr>
                <w:sz w:val="16"/>
                <w:szCs w:val="16"/>
              </w:rPr>
              <w:t>Clinicians would have a clearer understanding of the appropriate use of these tests.</w:t>
            </w:r>
          </w:p>
        </w:tc>
        <w:tc>
          <w:tcPr>
            <w:tcW w:w="3969" w:type="dxa"/>
          </w:tcPr>
          <w:p w14:paraId="2012848D" w14:textId="77777777" w:rsidR="00D35B85" w:rsidRPr="009E03DF" w:rsidRDefault="00D35B85" w:rsidP="00267803">
            <w:pPr>
              <w:pStyle w:val="Tabletext"/>
              <w:rPr>
                <w:sz w:val="16"/>
                <w:szCs w:val="16"/>
              </w:rPr>
            </w:pPr>
            <w:r w:rsidRPr="009E03DF">
              <w:rPr>
                <w:sz w:val="16"/>
                <w:szCs w:val="16"/>
              </w:rPr>
              <w:t xml:space="preserve">The Committee felt that there is sufficient evidence that folate testing is overused. MBS data indicate that 28 per cent of tests are conducted within 12 months of an initial test and 88 per cent of testing was co-claimed with either iron or vitamin B12 testing. </w:t>
            </w:r>
          </w:p>
          <w:p w14:paraId="0173C841" w14:textId="77777777" w:rsidR="00D35B85" w:rsidRPr="009E03DF" w:rsidRDefault="00D35B85" w:rsidP="00267803">
            <w:pPr>
              <w:pStyle w:val="Tabletext"/>
              <w:rPr>
                <w:sz w:val="16"/>
                <w:szCs w:val="16"/>
              </w:rPr>
            </w:pPr>
            <w:r w:rsidRPr="009E03DF">
              <w:rPr>
                <w:sz w:val="16"/>
                <w:szCs w:val="16"/>
              </w:rPr>
              <w:t>The Committee noted that current item restrictions have had little impact on requesting practices and believed that there is no clinical requirement for folate testing to be repeated within 12 months of the initial test. This recommendation focuses on updating the item number to reflect best clinical practice for patients and encourage appropriate use.</w:t>
            </w:r>
          </w:p>
          <w:p w14:paraId="51D60D79" w14:textId="77777777" w:rsidR="00D35B85" w:rsidRPr="009E03DF" w:rsidRDefault="00D35B85" w:rsidP="00267803">
            <w:pPr>
              <w:pStyle w:val="Tabletext"/>
              <w:rPr>
                <w:rFonts w:eastAsiaTheme="minorHAnsi" w:cs="Arial"/>
                <w:sz w:val="16"/>
                <w:szCs w:val="16"/>
                <w:lang w:val="en-GB" w:eastAsia="en-US"/>
              </w:rPr>
            </w:pPr>
            <w:r w:rsidRPr="009E03DF">
              <w:rPr>
                <w:rFonts w:eastAsiaTheme="minorHAnsi" w:cs="Arial"/>
                <w:sz w:val="16"/>
                <w:szCs w:val="16"/>
                <w:lang w:val="en-GB" w:eastAsia="en-US"/>
              </w:rPr>
              <w:t>The Committee noted that listing ‘malabsorption conditions’ encompasses those with coeliac disease.</w:t>
            </w:r>
          </w:p>
          <w:p w14:paraId="1BCFCD14" w14:textId="77777777" w:rsidR="00D35B85" w:rsidRPr="009E03DF" w:rsidRDefault="00D35B85" w:rsidP="00267803">
            <w:pPr>
              <w:pStyle w:val="Tabletext"/>
              <w:rPr>
                <w:rFonts w:eastAsiaTheme="minorHAnsi" w:cs="Arial"/>
                <w:sz w:val="16"/>
                <w:szCs w:val="16"/>
                <w:lang w:val="en-GB" w:eastAsia="en-US"/>
              </w:rPr>
            </w:pPr>
          </w:p>
          <w:p w14:paraId="0DFB2959" w14:textId="77777777" w:rsidR="00D35B85" w:rsidRPr="009E03DF" w:rsidRDefault="00D35B85" w:rsidP="00267803">
            <w:pPr>
              <w:pStyle w:val="Tabletext"/>
              <w:rPr>
                <w:rFonts w:eastAsiaTheme="minorHAnsi" w:cs="Arial"/>
                <w:sz w:val="16"/>
                <w:szCs w:val="16"/>
                <w:lang w:val="en-GB" w:eastAsia="en-US"/>
              </w:rPr>
            </w:pPr>
          </w:p>
          <w:p w14:paraId="776DEDD5" w14:textId="77777777" w:rsidR="00D35B85" w:rsidRPr="009E03DF" w:rsidRDefault="00D35B85" w:rsidP="00267803">
            <w:pPr>
              <w:pStyle w:val="Tabletext"/>
              <w:rPr>
                <w:sz w:val="16"/>
                <w:szCs w:val="16"/>
              </w:rPr>
            </w:pPr>
          </w:p>
        </w:tc>
      </w:tr>
    </w:tbl>
    <w:p w14:paraId="62517FE5" w14:textId="77777777" w:rsidR="00D35B85" w:rsidRDefault="00D35B85" w:rsidP="00D35B85">
      <w:pPr>
        <w:spacing w:before="0" w:after="0" w:line="240" w:lineRule="auto"/>
        <w:rPr>
          <w:b/>
          <w:sz w:val="20"/>
          <w:szCs w:val="20"/>
          <w:lang w:val="en-GB"/>
        </w:rPr>
      </w:pPr>
      <w:r>
        <w:rPr>
          <w:b/>
          <w:sz w:val="20"/>
          <w:szCs w:val="20"/>
          <w:lang w:val="en-GB"/>
        </w:rPr>
        <w:br w:type="page"/>
      </w:r>
    </w:p>
    <w:p w14:paraId="6BA46AE0" w14:textId="77777777" w:rsidR="00D35B85" w:rsidRPr="00D31FA6" w:rsidRDefault="00D35B85" w:rsidP="005670CF">
      <w:pPr>
        <w:pStyle w:val="Heading3"/>
      </w:pPr>
      <w:r w:rsidRPr="00D31FA6">
        <w:lastRenderedPageBreak/>
        <w:t>Recommendatio</w:t>
      </w:r>
      <w:r>
        <w:t xml:space="preserve">ns for </w:t>
      </w:r>
      <w:r w:rsidRPr="00D31FA6">
        <w:t>Urine testing (items 69300, 69333 and 73085)</w:t>
      </w:r>
    </w:p>
    <w:tbl>
      <w:tblPr>
        <w:tblStyle w:val="TableGrid"/>
        <w:tblW w:w="13500" w:type="dxa"/>
        <w:tblInd w:w="108" w:type="dxa"/>
        <w:tblLayout w:type="fixed"/>
        <w:tblLook w:val="04A0" w:firstRow="1" w:lastRow="0" w:firstColumn="1" w:lastColumn="0" w:noHBand="0" w:noVBand="1"/>
        <w:tblCaption w:val="Consumer summary table"/>
      </w:tblPr>
      <w:tblGrid>
        <w:gridCol w:w="1163"/>
        <w:gridCol w:w="1843"/>
        <w:gridCol w:w="2835"/>
        <w:gridCol w:w="3260"/>
        <w:gridCol w:w="4399"/>
      </w:tblGrid>
      <w:tr w:rsidR="00D35B85" w:rsidRPr="00D31FA6" w14:paraId="3945D9BC" w14:textId="77777777" w:rsidTr="00267803">
        <w:trPr>
          <w:trHeight w:val="328"/>
          <w:tblHeader/>
        </w:trPr>
        <w:tc>
          <w:tcPr>
            <w:tcW w:w="1163" w:type="dxa"/>
          </w:tcPr>
          <w:p w14:paraId="1DA508CA" w14:textId="77777777" w:rsidR="00D35B85" w:rsidRPr="00D31FA6" w:rsidRDefault="00D35B85" w:rsidP="00267803">
            <w:pPr>
              <w:pStyle w:val="01Tableheaderrow"/>
              <w:rPr>
                <w:rFonts w:asciiTheme="minorHAnsi" w:hAnsiTheme="minorHAnsi"/>
              </w:rPr>
            </w:pPr>
            <w:r w:rsidRPr="00D31FA6">
              <w:rPr>
                <w:rFonts w:asciiTheme="minorHAnsi" w:hAnsiTheme="minorHAnsi"/>
              </w:rPr>
              <w:t xml:space="preserve">Item </w:t>
            </w:r>
          </w:p>
        </w:tc>
        <w:tc>
          <w:tcPr>
            <w:tcW w:w="1843" w:type="dxa"/>
          </w:tcPr>
          <w:p w14:paraId="5F4EF922" w14:textId="77777777" w:rsidR="00D35B85" w:rsidRPr="00D31FA6" w:rsidRDefault="00D35B85" w:rsidP="00267803">
            <w:pPr>
              <w:pStyle w:val="01Tableheaderrow"/>
              <w:rPr>
                <w:rFonts w:asciiTheme="minorHAnsi" w:hAnsiTheme="minorHAnsi"/>
              </w:rPr>
            </w:pPr>
            <w:r w:rsidRPr="00D31FA6">
              <w:rPr>
                <w:rFonts w:asciiTheme="minorHAnsi" w:hAnsiTheme="minorHAnsi"/>
              </w:rPr>
              <w:t xml:space="preserve">What it does </w:t>
            </w:r>
          </w:p>
        </w:tc>
        <w:tc>
          <w:tcPr>
            <w:tcW w:w="2835" w:type="dxa"/>
          </w:tcPr>
          <w:p w14:paraId="73B87FB0" w14:textId="77777777" w:rsidR="00D35B85" w:rsidRPr="00D31FA6" w:rsidRDefault="00D35B85" w:rsidP="00267803">
            <w:pPr>
              <w:pStyle w:val="01Tableheaderrow"/>
              <w:rPr>
                <w:rFonts w:asciiTheme="minorHAnsi" w:hAnsiTheme="minorHAnsi"/>
              </w:rPr>
            </w:pPr>
            <w:r w:rsidRPr="00D31FA6">
              <w:rPr>
                <w:rFonts w:asciiTheme="minorHAnsi" w:hAnsiTheme="minorHAnsi"/>
              </w:rPr>
              <w:t>Committee recommendation</w:t>
            </w:r>
          </w:p>
        </w:tc>
        <w:tc>
          <w:tcPr>
            <w:tcW w:w="3260" w:type="dxa"/>
          </w:tcPr>
          <w:p w14:paraId="08078A30" w14:textId="77777777" w:rsidR="00D35B85" w:rsidRPr="00D31FA6" w:rsidRDefault="00D35B85" w:rsidP="00267803">
            <w:pPr>
              <w:pStyle w:val="01Tableheaderrow"/>
              <w:rPr>
                <w:rFonts w:asciiTheme="minorHAnsi" w:hAnsiTheme="minorHAnsi"/>
              </w:rPr>
            </w:pPr>
            <w:r w:rsidRPr="00D31FA6">
              <w:rPr>
                <w:rFonts w:asciiTheme="minorHAnsi" w:hAnsiTheme="minorHAnsi"/>
              </w:rPr>
              <w:t>What would be different</w:t>
            </w:r>
          </w:p>
        </w:tc>
        <w:tc>
          <w:tcPr>
            <w:tcW w:w="4399" w:type="dxa"/>
          </w:tcPr>
          <w:p w14:paraId="244D01AC" w14:textId="77777777" w:rsidR="00D35B85" w:rsidRPr="00D31FA6" w:rsidRDefault="00D35B85" w:rsidP="00267803">
            <w:pPr>
              <w:pStyle w:val="01Tableheaderrow"/>
              <w:rPr>
                <w:rFonts w:asciiTheme="minorHAnsi" w:hAnsiTheme="minorHAnsi"/>
              </w:rPr>
            </w:pPr>
            <w:r w:rsidRPr="00D31FA6">
              <w:rPr>
                <w:rFonts w:asciiTheme="minorHAnsi" w:hAnsiTheme="minorHAnsi"/>
              </w:rPr>
              <w:t>Why</w:t>
            </w:r>
          </w:p>
        </w:tc>
      </w:tr>
      <w:tr w:rsidR="00D35B85" w:rsidRPr="00D31FA6" w14:paraId="0C95A966" w14:textId="77777777" w:rsidTr="00267803">
        <w:trPr>
          <w:cantSplit/>
          <w:trHeight w:val="2781"/>
        </w:trPr>
        <w:tc>
          <w:tcPr>
            <w:tcW w:w="1163" w:type="dxa"/>
          </w:tcPr>
          <w:p w14:paraId="47BEC841" w14:textId="77777777" w:rsidR="00D35B85" w:rsidRPr="001E6462" w:rsidRDefault="00D35B85" w:rsidP="00267803">
            <w:pPr>
              <w:pStyle w:val="Tabletext"/>
            </w:pPr>
            <w:r w:rsidRPr="001E6462">
              <w:t>Items 69300, 69333 and 73085</w:t>
            </w:r>
          </w:p>
        </w:tc>
        <w:tc>
          <w:tcPr>
            <w:tcW w:w="1843" w:type="dxa"/>
          </w:tcPr>
          <w:p w14:paraId="7D153FF9" w14:textId="77777777" w:rsidR="00D35B85" w:rsidRPr="0041410C" w:rsidRDefault="00D35B85" w:rsidP="00267803">
            <w:pPr>
              <w:pStyle w:val="Tabletext"/>
              <w:rPr>
                <w:szCs w:val="16"/>
              </w:rPr>
            </w:pPr>
            <w:r w:rsidRPr="0041410C">
              <w:rPr>
                <w:szCs w:val="16"/>
              </w:rPr>
              <w:t xml:space="preserve">Urine testing is usually performed to find bacteria in the urine. These bacteria can cause an infection. </w:t>
            </w:r>
          </w:p>
          <w:p w14:paraId="334435E9" w14:textId="77777777" w:rsidR="00D35B85" w:rsidRPr="00946C79" w:rsidRDefault="00D35B85" w:rsidP="00267803">
            <w:pPr>
              <w:pStyle w:val="Tabletext"/>
              <w:rPr>
                <w:szCs w:val="16"/>
              </w:rPr>
            </w:pPr>
          </w:p>
        </w:tc>
        <w:tc>
          <w:tcPr>
            <w:tcW w:w="2835" w:type="dxa"/>
          </w:tcPr>
          <w:p w14:paraId="5AD4E843" w14:textId="77777777" w:rsidR="00D35B85" w:rsidRPr="00D80E2E" w:rsidRDefault="00D35B85" w:rsidP="00267803">
            <w:pPr>
              <w:pStyle w:val="Tabletext"/>
              <w:rPr>
                <w:szCs w:val="16"/>
              </w:rPr>
            </w:pPr>
            <w:r w:rsidRPr="00D80E2E">
              <w:rPr>
                <w:szCs w:val="16"/>
              </w:rPr>
              <w:t>Change the descriptor and add explanatory notes to item 69333 to specify that urine testing is only required when symptoms of a urinary tract infection are present (with the exception of specified groups of patients).</w:t>
            </w:r>
          </w:p>
          <w:p w14:paraId="34DF2A28" w14:textId="77777777" w:rsidR="00D35B85" w:rsidRPr="00D80E2E" w:rsidRDefault="00D35B85" w:rsidP="00267803">
            <w:pPr>
              <w:pStyle w:val="Tabletext"/>
              <w:rPr>
                <w:szCs w:val="16"/>
              </w:rPr>
            </w:pPr>
            <w:r w:rsidRPr="00D80E2E">
              <w:rPr>
                <w:szCs w:val="16"/>
              </w:rPr>
              <w:t>No changes are recommended to items 69300 and 73805.</w:t>
            </w:r>
          </w:p>
          <w:p w14:paraId="706115DF" w14:textId="77777777" w:rsidR="00D35B85" w:rsidRPr="00D80E2E" w:rsidRDefault="00D35B85" w:rsidP="00267803">
            <w:pPr>
              <w:pStyle w:val="Tabletext"/>
              <w:rPr>
                <w:rFonts w:cs="Arial"/>
                <w:szCs w:val="16"/>
                <w:lang w:val="en-GB" w:eastAsia="en-US"/>
              </w:rPr>
            </w:pPr>
            <w:r w:rsidRPr="00D80E2E">
              <w:rPr>
                <w:rFonts w:cs="Arial"/>
                <w:szCs w:val="16"/>
                <w:lang w:val="en-GB" w:eastAsia="en-US"/>
              </w:rPr>
              <w:t xml:space="preserve">Provide requester (including clinicians, aged care and other healthcare facilities staff) and consumer education on the appropriate use of vitamin B12 testing. </w:t>
            </w:r>
          </w:p>
          <w:p w14:paraId="579107F1" w14:textId="77777777" w:rsidR="00D35B85" w:rsidRPr="00D80E2E" w:rsidRDefault="00D35B85" w:rsidP="00267803">
            <w:pPr>
              <w:pStyle w:val="Tabletext"/>
              <w:rPr>
                <w:rFonts w:cs="Arial"/>
                <w:szCs w:val="16"/>
                <w:lang w:val="en-GB" w:eastAsia="en-US"/>
              </w:rPr>
            </w:pPr>
            <w:r w:rsidRPr="00D80E2E">
              <w:rPr>
                <w:rFonts w:cs="Arial"/>
                <w:szCs w:val="16"/>
                <w:lang w:val="en-GB" w:eastAsia="en-US"/>
              </w:rPr>
              <w:t>Consider the introduction of CDS for requesting of vitamin B12 testing if the above strategies do not change requesting behaviour.</w:t>
            </w:r>
          </w:p>
          <w:p w14:paraId="71EA932C" w14:textId="77777777" w:rsidR="00D35B85" w:rsidRPr="009E03DF" w:rsidRDefault="00D35B85" w:rsidP="00267803">
            <w:pPr>
              <w:rPr>
                <w:sz w:val="18"/>
                <w:szCs w:val="16"/>
              </w:rPr>
            </w:pPr>
          </w:p>
        </w:tc>
        <w:tc>
          <w:tcPr>
            <w:tcW w:w="3260" w:type="dxa"/>
          </w:tcPr>
          <w:p w14:paraId="4F1CEB08" w14:textId="77777777" w:rsidR="00D35B85" w:rsidRPr="00D80E2E" w:rsidRDefault="00D35B85" w:rsidP="00267803">
            <w:pPr>
              <w:pStyle w:val="Tabletext"/>
              <w:rPr>
                <w:szCs w:val="16"/>
              </w:rPr>
            </w:pPr>
            <w:r w:rsidRPr="0041410C">
              <w:rPr>
                <w:szCs w:val="16"/>
              </w:rPr>
              <w:t>The proposed item descriptor and explanatory notes</w:t>
            </w:r>
            <w:r w:rsidRPr="00946C79">
              <w:rPr>
                <w:szCs w:val="16"/>
              </w:rPr>
              <w:t xml:space="preserve"> for item 69333 would clarify that urine testing should not be requested for patients who are not experiencing or showing symptoms, unless the patient is in a high-risk group.</w:t>
            </w:r>
          </w:p>
          <w:p w14:paraId="2371690D" w14:textId="77777777" w:rsidR="00D35B85" w:rsidRPr="00D80E2E" w:rsidRDefault="00D35B85" w:rsidP="00267803">
            <w:pPr>
              <w:pStyle w:val="Tabletext"/>
              <w:rPr>
                <w:szCs w:val="16"/>
              </w:rPr>
            </w:pPr>
            <w:r w:rsidRPr="00D80E2E">
              <w:rPr>
                <w:szCs w:val="16"/>
              </w:rPr>
              <w:t>Patients would no longer have to undergo unnecessary tests.</w:t>
            </w:r>
          </w:p>
          <w:p w14:paraId="50D7D4B7" w14:textId="77777777" w:rsidR="00D35B85" w:rsidRPr="00D80E2E" w:rsidRDefault="00D35B85" w:rsidP="00267803">
            <w:pPr>
              <w:pStyle w:val="Tabletext"/>
              <w:rPr>
                <w:szCs w:val="16"/>
              </w:rPr>
            </w:pPr>
            <w:r w:rsidRPr="00D80E2E">
              <w:rPr>
                <w:szCs w:val="16"/>
              </w:rPr>
              <w:t>High risk groups include: pregnant women; children aged less than 16; recipients of renal transplants; those undergoing urinary tract instrumentation (such as catheterisation) or urological procedures, including for diagnosed with stone disease; and, those undergoing haemodialysis for chronic kidney disease.</w:t>
            </w:r>
          </w:p>
          <w:p w14:paraId="030844C7" w14:textId="77777777" w:rsidR="00D35B85" w:rsidRPr="00D80E2E" w:rsidRDefault="00D35B85" w:rsidP="00267803">
            <w:pPr>
              <w:pStyle w:val="Tabletext"/>
              <w:rPr>
                <w:szCs w:val="16"/>
              </w:rPr>
            </w:pPr>
            <w:r w:rsidRPr="00D80E2E">
              <w:rPr>
                <w:szCs w:val="16"/>
              </w:rPr>
              <w:t>Both clinicians and consumers would have a clearer understanding of the appropriate use of these tests.</w:t>
            </w:r>
          </w:p>
        </w:tc>
        <w:tc>
          <w:tcPr>
            <w:tcW w:w="4399" w:type="dxa"/>
          </w:tcPr>
          <w:p w14:paraId="6F434707" w14:textId="77777777" w:rsidR="00D35B85" w:rsidRPr="00D80E2E" w:rsidRDefault="00D35B85" w:rsidP="00267803">
            <w:pPr>
              <w:pStyle w:val="Tabletext"/>
              <w:rPr>
                <w:szCs w:val="16"/>
              </w:rPr>
            </w:pPr>
            <w:r w:rsidRPr="00D80E2E">
              <w:rPr>
                <w:szCs w:val="16"/>
              </w:rPr>
              <w:t>The Committee agreed that urine testing is overused, most likely as a result of common practices such as including urine testing in health screens or the regular testing of residents’ urine in aged care facilities.</w:t>
            </w:r>
          </w:p>
          <w:p w14:paraId="0308D55B" w14:textId="77777777" w:rsidR="00D35B85" w:rsidRPr="00D80E2E" w:rsidRDefault="00D35B85" w:rsidP="00267803">
            <w:pPr>
              <w:pStyle w:val="Tabletext"/>
              <w:rPr>
                <w:szCs w:val="16"/>
              </w:rPr>
            </w:pPr>
            <w:r w:rsidRPr="00D80E2E">
              <w:rPr>
                <w:szCs w:val="16"/>
              </w:rPr>
              <w:t>Urine testing should only be done when the patient has symptoms of infection.  There are exceptions for high risk patents such as pregnant women, children under 16 and patients undergoing urinary investigation.</w:t>
            </w:r>
          </w:p>
          <w:p w14:paraId="04EDA734" w14:textId="77777777" w:rsidR="00D35B85" w:rsidRPr="00D80E2E" w:rsidRDefault="00D35B85" w:rsidP="00267803">
            <w:pPr>
              <w:pStyle w:val="Tabletext"/>
              <w:rPr>
                <w:szCs w:val="16"/>
              </w:rPr>
            </w:pPr>
            <w:r w:rsidRPr="00D80E2E">
              <w:rPr>
                <w:szCs w:val="16"/>
              </w:rPr>
              <w:t>This recommendation focuses on encouraging appropriate use of urine testing and to reflect best clinical practice for patients by limiting over-testing and the subsequent over-prescribing of antibiotics, except in high-risk patient groups.</w:t>
            </w:r>
          </w:p>
          <w:p w14:paraId="2C3430A3" w14:textId="77777777" w:rsidR="00D35B85" w:rsidRPr="00D80E2E" w:rsidRDefault="00D35B85" w:rsidP="00267803">
            <w:pPr>
              <w:pStyle w:val="Tabletext"/>
              <w:rPr>
                <w:szCs w:val="16"/>
              </w:rPr>
            </w:pPr>
            <w:r w:rsidRPr="00D80E2E">
              <w:rPr>
                <w:szCs w:val="16"/>
              </w:rPr>
              <w:t>The antibiotic treatment of asymptomatic bacteriuria (bacteria found in urine) provides no benefits except for the groups of high risk patients noted previously.</w:t>
            </w:r>
          </w:p>
          <w:p w14:paraId="693AB744" w14:textId="77777777" w:rsidR="00D35B85" w:rsidRPr="00D80E2E" w:rsidRDefault="00D35B85" w:rsidP="00267803">
            <w:pPr>
              <w:pStyle w:val="Tabletext"/>
              <w:rPr>
                <w:szCs w:val="16"/>
              </w:rPr>
            </w:pPr>
            <w:r w:rsidRPr="00D80E2E">
              <w:rPr>
                <w:szCs w:val="16"/>
              </w:rPr>
              <w:t xml:space="preserve">This recommendation will reduce unnecessary exposure to antibiotics, which may pose further risk to patient wellbeing and the wellbeing of the broader community by increasing antibiotic resistance. </w:t>
            </w:r>
          </w:p>
        </w:tc>
      </w:tr>
    </w:tbl>
    <w:p w14:paraId="6490693F" w14:textId="77777777" w:rsidR="00D35B85" w:rsidRDefault="00D35B85" w:rsidP="00D35B85">
      <w:pPr>
        <w:spacing w:before="0" w:after="0" w:line="240" w:lineRule="auto"/>
        <w:rPr>
          <w:b/>
          <w:sz w:val="20"/>
          <w:szCs w:val="20"/>
          <w:lang w:val="en-GB"/>
        </w:rPr>
      </w:pPr>
      <w:r>
        <w:rPr>
          <w:b/>
          <w:sz w:val="20"/>
          <w:szCs w:val="20"/>
          <w:lang w:val="en-GB"/>
        </w:rPr>
        <w:br w:type="page"/>
      </w:r>
    </w:p>
    <w:p w14:paraId="132282C3" w14:textId="77777777" w:rsidR="00D35B85" w:rsidRDefault="00D35B85" w:rsidP="005670CF">
      <w:pPr>
        <w:pStyle w:val="Heading3"/>
      </w:pPr>
      <w:r>
        <w:lastRenderedPageBreak/>
        <w:t xml:space="preserve">Recommendations for Vitamin D testing (items </w:t>
      </w:r>
      <w:r w:rsidRPr="00E04B3E">
        <w:t>66833, 66834, 66835, 66836 and 66837</w:t>
      </w:r>
      <w:r>
        <w:t>)</w:t>
      </w:r>
    </w:p>
    <w:tbl>
      <w:tblPr>
        <w:tblStyle w:val="TableGrid"/>
        <w:tblW w:w="13500" w:type="dxa"/>
        <w:tblInd w:w="108" w:type="dxa"/>
        <w:tblLayout w:type="fixed"/>
        <w:tblLook w:val="04A0" w:firstRow="1" w:lastRow="0" w:firstColumn="1" w:lastColumn="0" w:noHBand="0" w:noVBand="1"/>
        <w:tblCaption w:val="Consumer summary table"/>
      </w:tblPr>
      <w:tblGrid>
        <w:gridCol w:w="1305"/>
        <w:gridCol w:w="1701"/>
        <w:gridCol w:w="4394"/>
        <w:gridCol w:w="2835"/>
        <w:gridCol w:w="3265"/>
      </w:tblGrid>
      <w:tr w:rsidR="00D35B85" w:rsidRPr="00671D22" w14:paraId="672FB8A4" w14:textId="77777777" w:rsidTr="00267803">
        <w:trPr>
          <w:trHeight w:val="465"/>
          <w:tblHeader/>
        </w:trPr>
        <w:tc>
          <w:tcPr>
            <w:tcW w:w="1305" w:type="dxa"/>
          </w:tcPr>
          <w:p w14:paraId="2DFF2365" w14:textId="77777777" w:rsidR="00D35B85" w:rsidRPr="00671D22" w:rsidRDefault="00D35B85" w:rsidP="00267803">
            <w:pPr>
              <w:pStyle w:val="Tableheading"/>
            </w:pPr>
            <w:r w:rsidRPr="00671D22">
              <w:t xml:space="preserve">Item </w:t>
            </w:r>
          </w:p>
        </w:tc>
        <w:tc>
          <w:tcPr>
            <w:tcW w:w="1701" w:type="dxa"/>
          </w:tcPr>
          <w:p w14:paraId="2FFDA825" w14:textId="77777777" w:rsidR="00D35B85" w:rsidRPr="00671D22" w:rsidRDefault="00D35B85" w:rsidP="00267803">
            <w:pPr>
              <w:pStyle w:val="Tableheading"/>
            </w:pPr>
            <w:r w:rsidRPr="00671D22">
              <w:t xml:space="preserve">What it does </w:t>
            </w:r>
          </w:p>
        </w:tc>
        <w:tc>
          <w:tcPr>
            <w:tcW w:w="4394" w:type="dxa"/>
          </w:tcPr>
          <w:p w14:paraId="31284DBD" w14:textId="77777777" w:rsidR="00D35B85" w:rsidRPr="00671D22" w:rsidRDefault="00D35B85" w:rsidP="00267803">
            <w:pPr>
              <w:pStyle w:val="Tableheading"/>
            </w:pPr>
            <w:r w:rsidRPr="00671D22">
              <w:t>Committee recommendation</w:t>
            </w:r>
          </w:p>
        </w:tc>
        <w:tc>
          <w:tcPr>
            <w:tcW w:w="2835" w:type="dxa"/>
          </w:tcPr>
          <w:p w14:paraId="723B0B46" w14:textId="77777777" w:rsidR="00D35B85" w:rsidRPr="00671D22" w:rsidRDefault="00D35B85" w:rsidP="00267803">
            <w:pPr>
              <w:pStyle w:val="Tableheading"/>
            </w:pPr>
            <w:r w:rsidRPr="00671D22">
              <w:t>What would be different</w:t>
            </w:r>
          </w:p>
        </w:tc>
        <w:tc>
          <w:tcPr>
            <w:tcW w:w="3265" w:type="dxa"/>
          </w:tcPr>
          <w:p w14:paraId="5E2C5E6F" w14:textId="77777777" w:rsidR="00D35B85" w:rsidRPr="00671D22" w:rsidRDefault="00D35B85" w:rsidP="00267803">
            <w:pPr>
              <w:pStyle w:val="Tableheading"/>
            </w:pPr>
            <w:r w:rsidRPr="00671D22">
              <w:t>Why</w:t>
            </w:r>
          </w:p>
        </w:tc>
      </w:tr>
      <w:tr w:rsidR="00D35B85" w:rsidRPr="00E82749" w14:paraId="3E264DDD" w14:textId="77777777" w:rsidTr="00267803">
        <w:trPr>
          <w:cantSplit/>
          <w:trHeight w:val="2781"/>
        </w:trPr>
        <w:tc>
          <w:tcPr>
            <w:tcW w:w="1305" w:type="dxa"/>
          </w:tcPr>
          <w:p w14:paraId="2CCB5022" w14:textId="77777777" w:rsidR="00D35B85" w:rsidRPr="00E82749" w:rsidRDefault="00D35B85" w:rsidP="00267803">
            <w:pPr>
              <w:pStyle w:val="Tabletext"/>
              <w:rPr>
                <w:color w:val="FF0000"/>
              </w:rPr>
            </w:pPr>
            <w:r w:rsidRPr="005F155E">
              <w:t>Items 66833, 66834, 66835, 66836 and 66837</w:t>
            </w:r>
          </w:p>
        </w:tc>
        <w:tc>
          <w:tcPr>
            <w:tcW w:w="1701" w:type="dxa"/>
          </w:tcPr>
          <w:p w14:paraId="0ECDF90D" w14:textId="77777777" w:rsidR="00D35B85" w:rsidRPr="009E03DF" w:rsidRDefault="00D35B85" w:rsidP="00267803">
            <w:pPr>
              <w:pStyle w:val="Tabletext"/>
              <w:rPr>
                <w:sz w:val="16"/>
                <w:szCs w:val="16"/>
                <w:lang w:val="en-GB" w:eastAsia="en-US"/>
              </w:rPr>
            </w:pPr>
            <w:r w:rsidRPr="009E03DF">
              <w:rPr>
                <w:sz w:val="16"/>
                <w:szCs w:val="16"/>
              </w:rPr>
              <w:t>Vitamin D is a hormone that controls calcium levels in the blood. It is needed for strong bones and muscles and overall health.</w:t>
            </w:r>
          </w:p>
          <w:p w14:paraId="0ED83341" w14:textId="77777777" w:rsidR="00D35B85" w:rsidRPr="009E03DF" w:rsidRDefault="00D35B85" w:rsidP="00267803">
            <w:pPr>
              <w:pStyle w:val="Tabletext"/>
              <w:rPr>
                <w:sz w:val="16"/>
                <w:szCs w:val="16"/>
              </w:rPr>
            </w:pPr>
            <w:r w:rsidRPr="009E03DF">
              <w:rPr>
                <w:sz w:val="16"/>
                <w:szCs w:val="16"/>
              </w:rPr>
              <w:t xml:space="preserve">Vitamin D testing is performed to determine the level of vitamin D stores in a patient’s body.  </w:t>
            </w:r>
          </w:p>
          <w:p w14:paraId="675F2CAF" w14:textId="5B3D3DF6" w:rsidR="00D35B85" w:rsidRPr="009E03DF" w:rsidRDefault="00D35B85" w:rsidP="00267803">
            <w:pPr>
              <w:pStyle w:val="Tabletext"/>
              <w:rPr>
                <w:rFonts w:eastAsiaTheme="minorHAnsi" w:cs="Arial"/>
                <w:sz w:val="16"/>
                <w:szCs w:val="16"/>
                <w:lang w:val="en-GB" w:eastAsia="en-US"/>
              </w:rPr>
            </w:pPr>
            <w:r w:rsidRPr="009E03DF">
              <w:rPr>
                <w:rFonts w:eastAsiaTheme="minorHAnsi" w:cs="Arial"/>
                <w:sz w:val="16"/>
                <w:szCs w:val="16"/>
                <w:lang w:val="en-GB" w:eastAsia="en-US"/>
              </w:rPr>
              <w:t>The total 25-hydroxyvitamin D level is the appropriate indicator of the body’s vitamin D stores. </w:t>
            </w:r>
          </w:p>
        </w:tc>
        <w:tc>
          <w:tcPr>
            <w:tcW w:w="4394" w:type="dxa"/>
          </w:tcPr>
          <w:p w14:paraId="494215C8" w14:textId="77777777" w:rsidR="00D35B85" w:rsidRPr="009E03DF" w:rsidRDefault="00D35B85" w:rsidP="00267803">
            <w:pPr>
              <w:pStyle w:val="Tabletext"/>
              <w:rPr>
                <w:sz w:val="16"/>
                <w:szCs w:val="16"/>
              </w:rPr>
            </w:pPr>
            <w:r w:rsidRPr="009E03DF">
              <w:rPr>
                <w:sz w:val="16"/>
                <w:szCs w:val="16"/>
              </w:rPr>
              <w:t xml:space="preserve">Change the item descriptor for item 66833 and add an explanatory note to clarify when and why patients should be tested. </w:t>
            </w:r>
          </w:p>
          <w:p w14:paraId="074A7C31" w14:textId="11D96899" w:rsidR="00D35B85" w:rsidRPr="009E03DF" w:rsidRDefault="00D35B85" w:rsidP="00267803">
            <w:pPr>
              <w:pStyle w:val="Tabletext"/>
              <w:rPr>
                <w:sz w:val="16"/>
                <w:szCs w:val="16"/>
              </w:rPr>
            </w:pPr>
            <w:r w:rsidRPr="009E03DF">
              <w:rPr>
                <w:sz w:val="16"/>
                <w:szCs w:val="16"/>
              </w:rPr>
              <w:t>Limit testing to once every 12 months per person for item 66833 (25-hydroxyvitamin D)</w:t>
            </w:r>
            <w:r w:rsidR="004871BA" w:rsidRPr="009E03DF">
              <w:rPr>
                <w:sz w:val="16"/>
                <w:szCs w:val="16"/>
              </w:rPr>
              <w:t>, unless the previous test was abnormal that is below the laboratory reference limits for Vitamin D</w:t>
            </w:r>
            <w:r w:rsidR="0041410C">
              <w:rPr>
                <w:sz w:val="16"/>
                <w:szCs w:val="16"/>
              </w:rPr>
              <w:t>.</w:t>
            </w:r>
          </w:p>
          <w:p w14:paraId="4F8B11CE" w14:textId="77777777" w:rsidR="00D35B85" w:rsidRPr="009E03DF" w:rsidRDefault="00D35B85" w:rsidP="00267803">
            <w:pPr>
              <w:pStyle w:val="Tabletext"/>
              <w:rPr>
                <w:sz w:val="16"/>
                <w:szCs w:val="16"/>
              </w:rPr>
            </w:pPr>
            <w:r w:rsidRPr="009E03DF">
              <w:rPr>
                <w:sz w:val="16"/>
                <w:szCs w:val="16"/>
              </w:rPr>
              <w:t>Create a new item (668XX) for regular vitamin D testing in patients with a confirmed vitamin D deficiency and bone disease. Testing will be limited to once every three months</w:t>
            </w:r>
            <w:r w:rsidR="00973D46" w:rsidRPr="0041410C">
              <w:rPr>
                <w:sz w:val="16"/>
                <w:szCs w:val="16"/>
              </w:rPr>
              <w:t>. A repeat test is allowed if the previous test was abnormal</w:t>
            </w:r>
            <w:r w:rsidRPr="009E03DF">
              <w:rPr>
                <w:sz w:val="16"/>
                <w:szCs w:val="16"/>
              </w:rPr>
              <w:t>.</w:t>
            </w:r>
          </w:p>
          <w:p w14:paraId="2536F9E8" w14:textId="5C8E80BC" w:rsidR="00D35B85" w:rsidRPr="009E03DF" w:rsidRDefault="00656458" w:rsidP="00267803">
            <w:pPr>
              <w:pStyle w:val="Tabletext"/>
              <w:rPr>
                <w:rFonts w:eastAsiaTheme="minorHAnsi" w:cs="Arial"/>
                <w:sz w:val="16"/>
                <w:szCs w:val="16"/>
                <w:lang w:val="en-GB" w:eastAsia="en-US"/>
              </w:rPr>
            </w:pPr>
            <w:r w:rsidRPr="0041410C">
              <w:rPr>
                <w:rFonts w:eastAsiaTheme="minorHAnsi" w:cs="Arial"/>
                <w:sz w:val="16"/>
                <w:szCs w:val="16"/>
                <w:lang w:val="en-GB" w:eastAsia="en-US"/>
              </w:rPr>
              <w:t>A rapid</w:t>
            </w:r>
            <w:r w:rsidR="00D35B85" w:rsidRPr="009E03DF">
              <w:rPr>
                <w:rFonts w:eastAsiaTheme="minorHAnsi" w:cs="Arial"/>
                <w:sz w:val="16"/>
                <w:szCs w:val="16"/>
                <w:lang w:val="en-GB" w:eastAsia="en-US"/>
              </w:rPr>
              <w:t xml:space="preserve"> review of vitamin D testing</w:t>
            </w:r>
            <w:r w:rsidRPr="0041410C">
              <w:rPr>
                <w:rFonts w:eastAsiaTheme="minorHAnsi" w:cs="Arial"/>
                <w:sz w:val="16"/>
                <w:szCs w:val="16"/>
                <w:lang w:val="en-GB" w:eastAsia="en-US"/>
              </w:rPr>
              <w:t xml:space="preserve"> will be undertaken</w:t>
            </w:r>
            <w:r w:rsidR="00D35B85" w:rsidRPr="009E03DF">
              <w:rPr>
                <w:rFonts w:eastAsiaTheme="minorHAnsi" w:cs="Arial"/>
                <w:sz w:val="16"/>
                <w:szCs w:val="16"/>
                <w:lang w:val="en-GB" w:eastAsia="en-US"/>
              </w:rPr>
              <w:t xml:space="preserve"> to review the most current research.</w:t>
            </w:r>
          </w:p>
          <w:p w14:paraId="491E0C9A" w14:textId="77777777" w:rsidR="00D35B85" w:rsidRPr="009E03DF" w:rsidRDefault="00D35B85" w:rsidP="00267803">
            <w:pPr>
              <w:pStyle w:val="Tabletext"/>
              <w:rPr>
                <w:rFonts w:eastAsiaTheme="minorHAnsi" w:cs="Arial"/>
                <w:sz w:val="16"/>
                <w:szCs w:val="16"/>
                <w:lang w:val="en-GB" w:eastAsia="en-US"/>
              </w:rPr>
            </w:pPr>
            <w:r w:rsidRPr="009E03DF">
              <w:rPr>
                <w:rFonts w:eastAsiaTheme="minorHAnsi" w:cs="Arial"/>
                <w:sz w:val="16"/>
                <w:szCs w:val="16"/>
                <w:lang w:val="en-GB" w:eastAsia="en-US"/>
              </w:rPr>
              <w:t>Develop national standards for defining vitamin D deficiency by specific serum levels to drive clinical treatment decision making and the need for repeat testing.</w:t>
            </w:r>
          </w:p>
          <w:p w14:paraId="20D64930" w14:textId="77777777" w:rsidR="00D35B85" w:rsidRPr="009E03DF" w:rsidRDefault="00D35B85" w:rsidP="00267803">
            <w:pPr>
              <w:pStyle w:val="Tabletext"/>
              <w:rPr>
                <w:rFonts w:cs="Arial"/>
                <w:sz w:val="16"/>
                <w:szCs w:val="16"/>
                <w:lang w:val="en-GB" w:eastAsia="en-US"/>
              </w:rPr>
            </w:pPr>
            <w:r w:rsidRPr="009E03DF">
              <w:rPr>
                <w:rFonts w:cs="Arial"/>
                <w:sz w:val="16"/>
                <w:szCs w:val="16"/>
                <w:lang w:val="en-GB" w:eastAsia="en-US"/>
              </w:rPr>
              <w:t xml:space="preserve">Provide requester and consumer education on the appropriate use of vitamin B12 testing. </w:t>
            </w:r>
          </w:p>
          <w:p w14:paraId="57C276BA" w14:textId="77777777" w:rsidR="00D35B85" w:rsidRPr="009E03DF" w:rsidRDefault="00D35B85" w:rsidP="00267803">
            <w:pPr>
              <w:pStyle w:val="Tabletext"/>
              <w:rPr>
                <w:rFonts w:cs="Arial"/>
                <w:sz w:val="16"/>
                <w:szCs w:val="16"/>
                <w:lang w:val="en-GB" w:eastAsia="en-US"/>
              </w:rPr>
            </w:pPr>
            <w:r w:rsidRPr="009E03DF">
              <w:rPr>
                <w:rFonts w:cs="Arial"/>
                <w:sz w:val="16"/>
                <w:szCs w:val="16"/>
                <w:lang w:val="en-GB" w:eastAsia="en-US"/>
              </w:rPr>
              <w:t>Consider the introduction of CDS for requesting of vitamin D testing if the above strategies do not change requesting behaviour.</w:t>
            </w:r>
          </w:p>
          <w:p w14:paraId="5A519190" w14:textId="77777777" w:rsidR="00D35B85" w:rsidRPr="009E03DF" w:rsidRDefault="00D35B85" w:rsidP="00267803">
            <w:pPr>
              <w:pStyle w:val="Tabletext"/>
              <w:rPr>
                <w:rFonts w:cs="Arial"/>
                <w:sz w:val="16"/>
                <w:szCs w:val="16"/>
                <w:lang w:val="en-GB" w:eastAsia="en-US"/>
              </w:rPr>
            </w:pPr>
            <w:r w:rsidRPr="009E03DF">
              <w:rPr>
                <w:rFonts w:eastAsiaTheme="minorHAnsi" w:cs="Arial"/>
                <w:sz w:val="16"/>
                <w:szCs w:val="16"/>
                <w:lang w:val="en-GB" w:eastAsia="en-US"/>
              </w:rPr>
              <w:t>No changes are recommended for items 66834, 66835, 66836 and 66837</w:t>
            </w:r>
            <w:r w:rsidRPr="0041410C">
              <w:rPr>
                <w:rFonts w:eastAsiaTheme="minorHAnsi" w:cs="Arial"/>
                <w:sz w:val="16"/>
                <w:szCs w:val="16"/>
                <w:lang w:val="en-GB" w:eastAsia="en-US"/>
              </w:rPr>
              <w:t>.</w:t>
            </w:r>
          </w:p>
        </w:tc>
        <w:tc>
          <w:tcPr>
            <w:tcW w:w="2835" w:type="dxa"/>
          </w:tcPr>
          <w:p w14:paraId="064A32E8" w14:textId="77777777" w:rsidR="00D35B85" w:rsidRPr="009E03DF" w:rsidRDefault="00D35B85" w:rsidP="00267803">
            <w:pPr>
              <w:pStyle w:val="Tabletext"/>
              <w:rPr>
                <w:sz w:val="16"/>
                <w:szCs w:val="16"/>
              </w:rPr>
            </w:pPr>
            <w:r w:rsidRPr="009E03DF">
              <w:rPr>
                <w:sz w:val="16"/>
                <w:szCs w:val="16"/>
              </w:rPr>
              <w:t>The proposed item descriptor for item 66833 would clarify that a vitamin D test should only be ordered for patients who have, or are at increased risk of having, low levels of vitamin D or bone disease.</w:t>
            </w:r>
          </w:p>
          <w:p w14:paraId="678FAFD7" w14:textId="77777777" w:rsidR="00D35B85" w:rsidRPr="009E03DF" w:rsidRDefault="00D35B85" w:rsidP="00267803">
            <w:pPr>
              <w:pStyle w:val="Tabletext"/>
              <w:rPr>
                <w:rFonts w:eastAsiaTheme="minorHAnsi" w:cs="Arial"/>
                <w:sz w:val="16"/>
                <w:szCs w:val="16"/>
                <w:lang w:val="en-GB" w:eastAsia="en-US"/>
              </w:rPr>
            </w:pPr>
            <w:r w:rsidRPr="009E03DF">
              <w:rPr>
                <w:rFonts w:eastAsiaTheme="minorHAnsi" w:cs="Arial"/>
                <w:sz w:val="16"/>
                <w:szCs w:val="16"/>
                <w:lang w:val="en-GB" w:eastAsia="en-US"/>
              </w:rPr>
              <w:t xml:space="preserve">The updated explanatory notes would clarify who is at risk of bone disease or vitamin D deficiency. </w:t>
            </w:r>
          </w:p>
          <w:p w14:paraId="0E59C8D7" w14:textId="61ED8D41" w:rsidR="00D35B85" w:rsidRPr="009E03DF" w:rsidRDefault="00D35B85" w:rsidP="00267803">
            <w:pPr>
              <w:pStyle w:val="Tabletext"/>
              <w:rPr>
                <w:rFonts w:eastAsiaTheme="minorHAnsi" w:cs="Arial"/>
                <w:sz w:val="16"/>
                <w:szCs w:val="16"/>
                <w:lang w:val="en-GB" w:eastAsia="en-US"/>
              </w:rPr>
            </w:pPr>
            <w:r w:rsidRPr="009E03DF">
              <w:rPr>
                <w:rFonts w:eastAsiaTheme="minorHAnsi" w:cs="Arial"/>
                <w:sz w:val="16"/>
                <w:szCs w:val="16"/>
                <w:lang w:val="en-GB" w:eastAsia="en-US"/>
              </w:rPr>
              <w:t>MBS rebates would only be paid for one item 66833 test every 12 months per patient</w:t>
            </w:r>
            <w:r w:rsidR="00846DDA" w:rsidRPr="009E03DF">
              <w:rPr>
                <w:sz w:val="16"/>
                <w:szCs w:val="16"/>
              </w:rPr>
              <w:t xml:space="preserve"> unless the previous test was abnormal.</w:t>
            </w:r>
          </w:p>
          <w:p w14:paraId="257A8BA4" w14:textId="77777777" w:rsidR="00D35B85" w:rsidRPr="009E03DF" w:rsidRDefault="00D35B85" w:rsidP="00267803">
            <w:pPr>
              <w:pStyle w:val="Tabletext"/>
              <w:rPr>
                <w:sz w:val="16"/>
                <w:szCs w:val="16"/>
                <w:lang w:val="en-GB" w:eastAsia="en-US"/>
              </w:rPr>
            </w:pPr>
            <w:r w:rsidRPr="009E03DF">
              <w:rPr>
                <w:rFonts w:eastAsiaTheme="minorHAnsi" w:cs="Arial"/>
                <w:sz w:val="16"/>
                <w:szCs w:val="16"/>
                <w:lang w:val="en-GB" w:eastAsia="en-US"/>
              </w:rPr>
              <w:t>Patients with a confirmed deficiency and osteoporosis, osteopenia or rickets who may need additional testing can access a test every three months using the new item for regular vitamin D testing.</w:t>
            </w:r>
            <w:r w:rsidR="00656458" w:rsidRPr="009E03DF">
              <w:rPr>
                <w:rFonts w:eastAsiaTheme="minorHAnsi" w:cs="Arial"/>
                <w:sz w:val="16"/>
                <w:szCs w:val="16"/>
                <w:lang w:val="en-GB" w:eastAsia="en-US"/>
              </w:rPr>
              <w:t xml:space="preserve"> A repeat test is allowed if the previous test is abnormal.</w:t>
            </w:r>
          </w:p>
        </w:tc>
        <w:tc>
          <w:tcPr>
            <w:tcW w:w="3265" w:type="dxa"/>
          </w:tcPr>
          <w:p w14:paraId="694BDA82" w14:textId="77777777" w:rsidR="00D35B85" w:rsidRPr="009E03DF" w:rsidRDefault="00D35B85" w:rsidP="00267803">
            <w:pPr>
              <w:pStyle w:val="Tabletext"/>
              <w:rPr>
                <w:sz w:val="16"/>
                <w:szCs w:val="16"/>
              </w:rPr>
            </w:pPr>
            <w:r w:rsidRPr="009E03DF">
              <w:rPr>
                <w:sz w:val="16"/>
                <w:szCs w:val="16"/>
              </w:rPr>
              <w:t xml:space="preserve">The Committee agreed that vitamin D testing is overused, most likely due to a lack of clarity in the item descriptor, and because the test is ordered as part of general routine screening. </w:t>
            </w:r>
          </w:p>
          <w:p w14:paraId="1E0A9574" w14:textId="77777777" w:rsidR="00D35B85" w:rsidRPr="009E03DF" w:rsidRDefault="00D35B85" w:rsidP="00267803">
            <w:pPr>
              <w:pStyle w:val="Tabletext"/>
              <w:rPr>
                <w:sz w:val="16"/>
                <w:szCs w:val="16"/>
              </w:rPr>
            </w:pPr>
            <w:r w:rsidRPr="009E03DF">
              <w:rPr>
                <w:sz w:val="16"/>
                <w:szCs w:val="16"/>
              </w:rPr>
              <w:t>This recommendation focuses on updating the item to reflect best clinical practice for consumers by encouraging appropriate use.</w:t>
            </w:r>
          </w:p>
          <w:p w14:paraId="17145005" w14:textId="77777777" w:rsidR="00D35B85" w:rsidRPr="009E03DF" w:rsidRDefault="00D35B85" w:rsidP="00267803">
            <w:pPr>
              <w:pStyle w:val="Tabletext"/>
              <w:rPr>
                <w:rFonts w:eastAsiaTheme="minorHAnsi" w:cs="Arial"/>
                <w:sz w:val="16"/>
                <w:szCs w:val="16"/>
                <w:lang w:val="en-GB" w:eastAsia="en-US"/>
              </w:rPr>
            </w:pPr>
            <w:r w:rsidRPr="009E03DF">
              <w:rPr>
                <w:rFonts w:eastAsiaTheme="minorHAnsi" w:cs="Arial"/>
                <w:sz w:val="16"/>
                <w:szCs w:val="16"/>
                <w:lang w:val="en-GB" w:eastAsia="en-US"/>
              </w:rPr>
              <w:t>The Committee noted that with the exception of people with chronic kidney disease, rickets or osteoporosis/osteopenia, there is no clinical need to test vitamin D levels more than once every 12 months</w:t>
            </w:r>
            <w:r w:rsidR="00973D46" w:rsidRPr="009E03DF">
              <w:rPr>
                <w:rFonts w:eastAsiaTheme="minorHAnsi" w:cs="Arial"/>
                <w:sz w:val="16"/>
                <w:szCs w:val="16"/>
                <w:lang w:val="en-GB" w:eastAsia="en-US"/>
              </w:rPr>
              <w:t xml:space="preserve"> unless the previous test shows an abnormality</w:t>
            </w:r>
            <w:r w:rsidRPr="009E03DF">
              <w:rPr>
                <w:rFonts w:eastAsiaTheme="minorHAnsi" w:cs="Arial"/>
                <w:sz w:val="16"/>
                <w:szCs w:val="16"/>
                <w:lang w:val="en-GB" w:eastAsia="en-US"/>
              </w:rPr>
              <w:t xml:space="preserve">. </w:t>
            </w:r>
            <w:r w:rsidRPr="009E03DF">
              <w:rPr>
                <w:sz w:val="16"/>
                <w:szCs w:val="16"/>
              </w:rPr>
              <w:t xml:space="preserve"> </w:t>
            </w:r>
          </w:p>
          <w:p w14:paraId="014E913C" w14:textId="449900F8" w:rsidR="00D35B85" w:rsidRPr="009E03DF" w:rsidRDefault="00D35B85" w:rsidP="00973D46">
            <w:pPr>
              <w:pStyle w:val="Tabletext"/>
              <w:rPr>
                <w:rFonts w:cs="Arial"/>
                <w:color w:val="FF0000"/>
                <w:sz w:val="16"/>
                <w:szCs w:val="16"/>
                <w:lang w:val="en-GB" w:eastAsia="en-US"/>
              </w:rPr>
            </w:pPr>
            <w:r w:rsidRPr="009E03DF">
              <w:rPr>
                <w:rFonts w:cs="Arial"/>
                <w:sz w:val="16"/>
                <w:szCs w:val="16"/>
                <w:lang w:val="en-GB" w:eastAsia="en-US"/>
              </w:rPr>
              <w:t xml:space="preserve">A great deal of research is being conducted each year on the value of vitamin D testing. The Committee </w:t>
            </w:r>
            <w:r w:rsidR="00973D46" w:rsidRPr="009E03DF">
              <w:rPr>
                <w:rFonts w:cs="Arial"/>
                <w:sz w:val="16"/>
                <w:szCs w:val="16"/>
                <w:lang w:val="en-GB" w:eastAsia="en-US"/>
              </w:rPr>
              <w:t>has recommended</w:t>
            </w:r>
            <w:r w:rsidRPr="009E03DF">
              <w:rPr>
                <w:rFonts w:cs="Arial"/>
                <w:sz w:val="16"/>
                <w:szCs w:val="16"/>
                <w:lang w:val="en-GB" w:eastAsia="en-US"/>
              </w:rPr>
              <w:t xml:space="preserve"> a</w:t>
            </w:r>
            <w:r w:rsidR="00973D46" w:rsidRPr="009E03DF">
              <w:rPr>
                <w:rFonts w:cs="Arial"/>
                <w:sz w:val="16"/>
                <w:szCs w:val="16"/>
                <w:lang w:val="en-GB" w:eastAsia="en-US"/>
              </w:rPr>
              <w:t xml:space="preserve"> rapid</w:t>
            </w:r>
            <w:r w:rsidRPr="009E03DF">
              <w:rPr>
                <w:rFonts w:cs="Arial"/>
                <w:sz w:val="16"/>
                <w:szCs w:val="16"/>
                <w:lang w:val="en-GB" w:eastAsia="en-US"/>
              </w:rPr>
              <w:t xml:space="preserve"> review of this research in order to inform further recommendations on vitamin D testing.</w:t>
            </w:r>
          </w:p>
        </w:tc>
      </w:tr>
    </w:tbl>
    <w:p w14:paraId="538BB53E" w14:textId="77777777" w:rsidR="00D35B85" w:rsidRPr="001E6462" w:rsidRDefault="00D35B85" w:rsidP="009E03DF">
      <w:pPr>
        <w:spacing w:before="0" w:after="0" w:line="240" w:lineRule="auto"/>
        <w:rPr>
          <w:b/>
          <w:sz w:val="20"/>
          <w:szCs w:val="20"/>
          <w:lang w:val="en-GB"/>
        </w:rPr>
      </w:pPr>
      <w:r>
        <w:rPr>
          <w:b/>
          <w:sz w:val="20"/>
          <w:szCs w:val="20"/>
          <w:lang w:val="en-GB"/>
        </w:rPr>
        <w:t>Recommendations for</w:t>
      </w:r>
      <w:r w:rsidRPr="00D73917">
        <w:rPr>
          <w:b/>
          <w:sz w:val="20"/>
          <w:szCs w:val="20"/>
          <w:lang w:val="en-GB"/>
        </w:rPr>
        <w:t xml:space="preserve"> </w:t>
      </w:r>
      <w:r w:rsidRPr="00307FC8">
        <w:rPr>
          <w:b/>
          <w:sz w:val="20"/>
          <w:szCs w:val="20"/>
          <w:lang w:val="en-GB"/>
        </w:rPr>
        <w:t>PSA</w:t>
      </w:r>
      <w:r>
        <w:rPr>
          <w:b/>
          <w:sz w:val="20"/>
          <w:szCs w:val="20"/>
          <w:lang w:val="en-GB"/>
        </w:rPr>
        <w:t xml:space="preserve"> testing (items </w:t>
      </w:r>
      <w:r w:rsidRPr="00E04B3E">
        <w:rPr>
          <w:b/>
          <w:sz w:val="20"/>
          <w:szCs w:val="20"/>
          <w:lang w:val="en-GB"/>
        </w:rPr>
        <w:t>66655, 66656, 66659 and 66660</w:t>
      </w:r>
      <w:r>
        <w:rPr>
          <w:b/>
          <w:sz w:val="20"/>
          <w:szCs w:val="20"/>
          <w:lang w:val="en-GB"/>
        </w:rPr>
        <w:t>)</w:t>
      </w:r>
      <w:r w:rsidRPr="00307FC8">
        <w:rPr>
          <w:b/>
          <w:sz w:val="20"/>
          <w:szCs w:val="20"/>
          <w:lang w:val="en-GB"/>
        </w:rPr>
        <w:t xml:space="preserve"> </w:t>
      </w:r>
    </w:p>
    <w:tbl>
      <w:tblPr>
        <w:tblStyle w:val="TableGrid"/>
        <w:tblW w:w="13500" w:type="dxa"/>
        <w:tblInd w:w="108" w:type="dxa"/>
        <w:tblLayout w:type="fixed"/>
        <w:tblLook w:val="04A0" w:firstRow="1" w:lastRow="0" w:firstColumn="1" w:lastColumn="0" w:noHBand="0" w:noVBand="1"/>
        <w:tblCaption w:val="Consumer summary table "/>
      </w:tblPr>
      <w:tblGrid>
        <w:gridCol w:w="1163"/>
        <w:gridCol w:w="1701"/>
        <w:gridCol w:w="5245"/>
        <w:gridCol w:w="2551"/>
        <w:gridCol w:w="2840"/>
      </w:tblGrid>
      <w:tr w:rsidR="00D35B85" w:rsidRPr="00671D22" w14:paraId="5BFE4039" w14:textId="77777777" w:rsidTr="00267803">
        <w:trPr>
          <w:trHeight w:val="465"/>
          <w:tblHeader/>
        </w:trPr>
        <w:tc>
          <w:tcPr>
            <w:tcW w:w="1163" w:type="dxa"/>
          </w:tcPr>
          <w:p w14:paraId="31B4F2C7" w14:textId="77777777" w:rsidR="00D35B85" w:rsidRPr="00671D22" w:rsidRDefault="00D35B85" w:rsidP="00267803">
            <w:pPr>
              <w:pStyle w:val="Tableheading"/>
            </w:pPr>
            <w:r w:rsidRPr="00671D22">
              <w:lastRenderedPageBreak/>
              <w:t xml:space="preserve">Item </w:t>
            </w:r>
          </w:p>
        </w:tc>
        <w:tc>
          <w:tcPr>
            <w:tcW w:w="1701" w:type="dxa"/>
          </w:tcPr>
          <w:p w14:paraId="05D27B50" w14:textId="77777777" w:rsidR="00D35B85" w:rsidRPr="00671D22" w:rsidRDefault="00D35B85" w:rsidP="00267803">
            <w:pPr>
              <w:pStyle w:val="Tableheading"/>
            </w:pPr>
            <w:r w:rsidRPr="00671D22">
              <w:t xml:space="preserve">What it does </w:t>
            </w:r>
          </w:p>
        </w:tc>
        <w:tc>
          <w:tcPr>
            <w:tcW w:w="5245" w:type="dxa"/>
          </w:tcPr>
          <w:p w14:paraId="76D15652" w14:textId="77777777" w:rsidR="00D35B85" w:rsidRPr="00671D22" w:rsidRDefault="00D35B85" w:rsidP="00267803">
            <w:pPr>
              <w:pStyle w:val="Tableheading"/>
            </w:pPr>
            <w:r w:rsidRPr="00671D22">
              <w:t>Committee recommendation</w:t>
            </w:r>
          </w:p>
        </w:tc>
        <w:tc>
          <w:tcPr>
            <w:tcW w:w="2551" w:type="dxa"/>
          </w:tcPr>
          <w:p w14:paraId="57E972B6" w14:textId="77777777" w:rsidR="00D35B85" w:rsidRPr="00671D22" w:rsidRDefault="00D35B85" w:rsidP="00267803">
            <w:pPr>
              <w:pStyle w:val="Tableheading"/>
            </w:pPr>
            <w:r w:rsidRPr="00671D22">
              <w:t>What would be different</w:t>
            </w:r>
          </w:p>
        </w:tc>
        <w:tc>
          <w:tcPr>
            <w:tcW w:w="2840" w:type="dxa"/>
          </w:tcPr>
          <w:p w14:paraId="31E291C0" w14:textId="77777777" w:rsidR="00D35B85" w:rsidRPr="00671D22" w:rsidRDefault="00D35B85" w:rsidP="00267803">
            <w:pPr>
              <w:pStyle w:val="Tableheading"/>
            </w:pPr>
            <w:r w:rsidRPr="00671D22">
              <w:t>Why</w:t>
            </w:r>
          </w:p>
        </w:tc>
      </w:tr>
      <w:tr w:rsidR="00D35B85" w:rsidRPr="00E82749" w14:paraId="396D659C" w14:textId="77777777" w:rsidTr="00267803">
        <w:trPr>
          <w:cantSplit/>
          <w:trHeight w:val="2781"/>
        </w:trPr>
        <w:tc>
          <w:tcPr>
            <w:tcW w:w="1163" w:type="dxa"/>
          </w:tcPr>
          <w:p w14:paraId="43F2C3DE" w14:textId="77777777" w:rsidR="00D35B85" w:rsidRPr="00E82749" w:rsidRDefault="00D35B85" w:rsidP="00267803">
            <w:pPr>
              <w:pStyle w:val="Tabletext"/>
              <w:rPr>
                <w:color w:val="FF0000"/>
              </w:rPr>
            </w:pPr>
            <w:r w:rsidRPr="00AD4278">
              <w:t>Items 66655, 66656, 66659 and 66660</w:t>
            </w:r>
          </w:p>
        </w:tc>
        <w:tc>
          <w:tcPr>
            <w:tcW w:w="1701" w:type="dxa"/>
          </w:tcPr>
          <w:p w14:paraId="5350EA79" w14:textId="77777777" w:rsidR="00D35B85" w:rsidRPr="00E82749" w:rsidRDefault="00D35B85" w:rsidP="00267803">
            <w:pPr>
              <w:pStyle w:val="Tabletext"/>
              <w:rPr>
                <w:color w:val="FF0000"/>
                <w:lang w:val="en-GB" w:eastAsia="en-US"/>
              </w:rPr>
            </w:pPr>
            <w:r w:rsidRPr="00BD0DCF">
              <w:rPr>
                <w:rFonts w:eastAsiaTheme="minorHAnsi" w:cs="Arial"/>
                <w:lang w:val="en-GB" w:eastAsia="en-US"/>
              </w:rPr>
              <w:t>Prostate-specific antigen (PSA) is a protein produced exclusively by prostate cells. There is a simple blood</w:t>
            </w:r>
            <w:r>
              <w:rPr>
                <w:rFonts w:eastAsiaTheme="minorHAnsi" w:cs="Arial"/>
                <w:lang w:val="en-GB" w:eastAsia="en-US"/>
              </w:rPr>
              <w:t xml:space="preserve"> test to measure your PSA level.</w:t>
            </w:r>
          </w:p>
        </w:tc>
        <w:tc>
          <w:tcPr>
            <w:tcW w:w="5245" w:type="dxa"/>
          </w:tcPr>
          <w:p w14:paraId="62400117"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Limit testing to once every 23 months per person for item 66655.</w:t>
            </w:r>
          </w:p>
          <w:p w14:paraId="4C76C717"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Change the descriptor for item 66659 to clarify when this test should be undertaken to </w:t>
            </w:r>
            <w:r w:rsidRPr="00A57D69">
              <w:rPr>
                <w:lang w:val="en-GB" w:eastAsia="en-US"/>
              </w:rPr>
              <w:t>reflect current guidelines on PSA testing</w:t>
            </w:r>
            <w:r w:rsidRPr="00A57D69">
              <w:rPr>
                <w:rFonts w:eastAsiaTheme="minorHAnsi" w:cs="Arial"/>
                <w:lang w:val="en-GB" w:eastAsia="en-US"/>
              </w:rPr>
              <w:t xml:space="preserve">. </w:t>
            </w:r>
          </w:p>
          <w:p w14:paraId="03C0A13D"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Add an explanatory note for all PSA items to provide a link to the National Health and Medical Research Council (NHMRC)-endorsed PSA testing guidelines and provide a summary of relative risk for prostate cancer death.</w:t>
            </w:r>
          </w:p>
          <w:p w14:paraId="0FF65982"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Create an explanatory note for item 66656 to clarify what is meant by ‘previously diagnosed prostatic disease’ in the item descriptor. </w:t>
            </w:r>
          </w:p>
          <w:p w14:paraId="78D49A7A"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Provide requester and consumer education on the appropriate use of PSA testing. </w:t>
            </w:r>
          </w:p>
          <w:p w14:paraId="0F373AC0" w14:textId="77777777" w:rsidR="00D35B85" w:rsidRPr="00E82749" w:rsidRDefault="00D35B85" w:rsidP="00267803">
            <w:pPr>
              <w:pStyle w:val="Tabletext"/>
              <w:rPr>
                <w:rFonts w:cs="Arial"/>
                <w:color w:val="FF0000"/>
                <w:lang w:val="en-GB" w:eastAsia="en-US"/>
              </w:rPr>
            </w:pPr>
            <w:r w:rsidRPr="00A57D69">
              <w:rPr>
                <w:rFonts w:cs="Arial"/>
                <w:lang w:val="en-GB" w:eastAsia="en-US"/>
              </w:rPr>
              <w:t>Consider the introduction of CDS for requesting of PSA testing if the above strategies do not change requesting behaviour</w:t>
            </w:r>
            <w:r w:rsidRPr="00B55B10">
              <w:rPr>
                <w:rFonts w:cs="Arial"/>
                <w:sz w:val="12"/>
                <w:szCs w:val="12"/>
                <w:lang w:val="en-GB" w:eastAsia="en-US"/>
              </w:rPr>
              <w:t>.</w:t>
            </w:r>
          </w:p>
        </w:tc>
        <w:tc>
          <w:tcPr>
            <w:tcW w:w="2551" w:type="dxa"/>
          </w:tcPr>
          <w:p w14:paraId="54D5981D" w14:textId="77777777" w:rsidR="00D35B85" w:rsidRPr="001E6462" w:rsidRDefault="00D35B85" w:rsidP="00267803">
            <w:pPr>
              <w:pStyle w:val="Tabletext"/>
            </w:pPr>
            <w:r w:rsidRPr="0071633C">
              <w:t>MBS rebat</w:t>
            </w:r>
            <w:r>
              <w:t>es would only be paid for one item 66655</w:t>
            </w:r>
            <w:r w:rsidRPr="0071633C">
              <w:t xml:space="preserve"> test every </w:t>
            </w:r>
            <w:r>
              <w:t>23</w:t>
            </w:r>
            <w:r w:rsidRPr="0071633C">
              <w:t xml:space="preserve"> months</w:t>
            </w:r>
            <w:r>
              <w:t xml:space="preserve"> per patient.</w:t>
            </w:r>
          </w:p>
          <w:p w14:paraId="21396B80" w14:textId="0A92C4BC" w:rsidR="00D35B85" w:rsidRDefault="00D35B85" w:rsidP="00267803">
            <w:pPr>
              <w:pStyle w:val="Tabletext"/>
              <w:rPr>
                <w:rFonts w:eastAsiaTheme="minorHAnsi" w:cs="Arial"/>
                <w:lang w:val="en-GB" w:eastAsia="en-US"/>
              </w:rPr>
            </w:pPr>
            <w:r w:rsidRPr="006E2D40">
              <w:rPr>
                <w:rFonts w:eastAsiaTheme="minorHAnsi" w:cs="Arial"/>
                <w:lang w:val="en-GB" w:eastAsia="en-US"/>
              </w:rPr>
              <w:t>MBS rebates</w:t>
            </w:r>
            <w:r>
              <w:rPr>
                <w:rFonts w:eastAsiaTheme="minorHAnsi" w:cs="Arial"/>
                <w:lang w:val="en-GB" w:eastAsia="en-US"/>
              </w:rPr>
              <w:t xml:space="preserve"> for item 66659 would only be paid for tests taken following a result from item 66655 between 3.0 ug/L and 5.5 ug/L; however, lower threshold of 2.0 ug/L may apply to men with twice the average risk, as defined by the Cancer Council guidelines.</w:t>
            </w:r>
          </w:p>
          <w:p w14:paraId="32DDD49C" w14:textId="77777777" w:rsidR="00D35B85" w:rsidRDefault="00D35B85" w:rsidP="00267803">
            <w:pPr>
              <w:pStyle w:val="Tabletext"/>
              <w:rPr>
                <w:rFonts w:eastAsiaTheme="minorHAnsi" w:cs="Arial"/>
                <w:lang w:val="en-GB" w:eastAsia="en-US"/>
              </w:rPr>
            </w:pPr>
          </w:p>
          <w:p w14:paraId="0332269D" w14:textId="77777777" w:rsidR="00D35B85" w:rsidRPr="006E2D40" w:rsidRDefault="00D35B85" w:rsidP="00267803">
            <w:pPr>
              <w:pStyle w:val="Tabletext"/>
              <w:rPr>
                <w:lang w:val="en-GB" w:eastAsia="en-US"/>
              </w:rPr>
            </w:pPr>
            <w:r>
              <w:rPr>
                <w:lang w:val="en-GB" w:eastAsia="en-US"/>
              </w:rPr>
              <w:t xml:space="preserve"> </w:t>
            </w:r>
          </w:p>
        </w:tc>
        <w:tc>
          <w:tcPr>
            <w:tcW w:w="2840" w:type="dxa"/>
          </w:tcPr>
          <w:p w14:paraId="36000284" w14:textId="77777777" w:rsidR="00D35B85" w:rsidRPr="00E82749" w:rsidRDefault="00D35B85" w:rsidP="00267803">
            <w:pPr>
              <w:pStyle w:val="Tabletext"/>
              <w:rPr>
                <w:rFonts w:cs="Arial"/>
                <w:color w:val="FF0000"/>
                <w:lang w:val="en-GB" w:eastAsia="en-US"/>
              </w:rPr>
            </w:pPr>
            <w:r>
              <w:rPr>
                <w:rFonts w:cs="Arial"/>
                <w:lang w:val="en-GB" w:eastAsia="en-US"/>
              </w:rPr>
              <w:t>These changes</w:t>
            </w:r>
            <w:r w:rsidRPr="005F4837">
              <w:rPr>
                <w:rFonts w:cs="Arial"/>
                <w:lang w:val="en-GB" w:eastAsia="en-US"/>
              </w:rPr>
              <w:t xml:space="preserve"> bring the MBS items for PSA</w:t>
            </w:r>
            <w:r>
              <w:rPr>
                <w:rFonts w:cs="Arial"/>
                <w:lang w:val="en-GB" w:eastAsia="en-US"/>
              </w:rPr>
              <w:t xml:space="preserve"> testing</w:t>
            </w:r>
            <w:r w:rsidRPr="005F4837">
              <w:rPr>
                <w:rFonts w:cs="Arial"/>
                <w:lang w:val="en-GB" w:eastAsia="en-US"/>
              </w:rPr>
              <w:t xml:space="preserve"> in line with guidelines created by the Cancer Council of Australia and the Prostate Cancer Foundation of Australia</w:t>
            </w:r>
            <w:r>
              <w:rPr>
                <w:rFonts w:cs="Arial"/>
                <w:lang w:val="en-GB" w:eastAsia="en-US"/>
              </w:rPr>
              <w:t>. These guidelines</w:t>
            </w:r>
            <w:r w:rsidRPr="005F4837">
              <w:rPr>
                <w:rFonts w:cs="Arial"/>
                <w:lang w:val="en-GB" w:eastAsia="en-US"/>
              </w:rPr>
              <w:t xml:space="preserve"> have been endorsed by the </w:t>
            </w:r>
            <w:r>
              <w:rPr>
                <w:rFonts w:cs="Arial"/>
                <w:lang w:val="en-GB" w:eastAsia="en-US"/>
              </w:rPr>
              <w:t>NHMRC</w:t>
            </w:r>
            <w:r w:rsidRPr="005F4837">
              <w:rPr>
                <w:rFonts w:cs="Arial"/>
                <w:lang w:val="en-GB" w:eastAsia="en-US"/>
              </w:rPr>
              <w:t xml:space="preserve"> </w:t>
            </w:r>
            <w:r>
              <w:rPr>
                <w:rFonts w:cs="Arial"/>
                <w:lang w:val="en-GB" w:eastAsia="en-US"/>
              </w:rPr>
              <w:t>the Royal Australian College of General Practitioners (</w:t>
            </w:r>
            <w:r w:rsidRPr="005F4837">
              <w:rPr>
                <w:rFonts w:cs="Arial"/>
                <w:lang w:val="en-GB" w:eastAsia="en-US"/>
              </w:rPr>
              <w:t>RACGP</w:t>
            </w:r>
            <w:r>
              <w:rPr>
                <w:rFonts w:cs="Arial"/>
                <w:lang w:val="en-GB" w:eastAsia="en-US"/>
              </w:rPr>
              <w:t>)</w:t>
            </w:r>
            <w:r w:rsidRPr="005F4837">
              <w:rPr>
                <w:rFonts w:cs="Arial"/>
                <w:lang w:val="en-GB" w:eastAsia="en-US"/>
              </w:rPr>
              <w:t xml:space="preserve"> and</w:t>
            </w:r>
            <w:r>
              <w:rPr>
                <w:rFonts w:cs="Arial"/>
                <w:lang w:val="en-GB" w:eastAsia="en-US"/>
              </w:rPr>
              <w:t xml:space="preserve"> the</w:t>
            </w:r>
            <w:r w:rsidRPr="005F4837">
              <w:rPr>
                <w:rFonts w:cs="Arial"/>
                <w:lang w:val="en-GB" w:eastAsia="en-US"/>
              </w:rPr>
              <w:t xml:space="preserve"> </w:t>
            </w:r>
            <w:r>
              <w:rPr>
                <w:rFonts w:cs="Arial"/>
                <w:lang w:val="en-GB" w:eastAsia="en-US"/>
              </w:rPr>
              <w:t>Royal College of Pathologists of Australasia (</w:t>
            </w:r>
            <w:r w:rsidRPr="005F4837">
              <w:rPr>
                <w:rFonts w:cs="Arial"/>
                <w:lang w:val="en-GB" w:eastAsia="en-US"/>
              </w:rPr>
              <w:t>RCPA</w:t>
            </w:r>
            <w:r>
              <w:rPr>
                <w:rFonts w:cs="Arial"/>
                <w:lang w:val="en-GB" w:eastAsia="en-US"/>
              </w:rPr>
              <w:t>)</w:t>
            </w:r>
            <w:r w:rsidRPr="005F4837">
              <w:rPr>
                <w:rFonts w:cs="Arial"/>
                <w:lang w:val="en-GB" w:eastAsia="en-US"/>
              </w:rPr>
              <w:t>.</w:t>
            </w:r>
          </w:p>
        </w:tc>
      </w:tr>
    </w:tbl>
    <w:p w14:paraId="34DFF27B" w14:textId="77777777" w:rsidR="00D35B85" w:rsidRPr="00671D22" w:rsidRDefault="00D35B85" w:rsidP="005670CF">
      <w:pPr>
        <w:pStyle w:val="Heading3"/>
      </w:pPr>
      <w:r>
        <w:lastRenderedPageBreak/>
        <w:t>Recommendations for</w:t>
      </w:r>
      <w:r w:rsidRPr="00671D22">
        <w:t xml:space="preserve"> Ankle/hind foot ultrasound</w:t>
      </w:r>
      <w:r>
        <w:t xml:space="preserve"> (i</w:t>
      </w:r>
      <w:r w:rsidRPr="004625D8">
        <w:t>tems 55846, 55837, 55838 and 55839</w:t>
      </w:r>
      <w:r>
        <w:t>)</w:t>
      </w:r>
    </w:p>
    <w:tbl>
      <w:tblPr>
        <w:tblStyle w:val="TableGrid"/>
        <w:tblW w:w="13500" w:type="dxa"/>
        <w:tblInd w:w="108" w:type="dxa"/>
        <w:tblLayout w:type="fixed"/>
        <w:tblLook w:val="04A0" w:firstRow="1" w:lastRow="0" w:firstColumn="1" w:lastColumn="0" w:noHBand="0" w:noVBand="1"/>
        <w:tblCaption w:val="Consumer summary table"/>
      </w:tblPr>
      <w:tblGrid>
        <w:gridCol w:w="1168"/>
        <w:gridCol w:w="1985"/>
        <w:gridCol w:w="4252"/>
        <w:gridCol w:w="1985"/>
        <w:gridCol w:w="4110"/>
      </w:tblGrid>
      <w:tr w:rsidR="00D35B85" w:rsidRPr="00E82749" w14:paraId="28EAB04C" w14:textId="77777777" w:rsidTr="00267803">
        <w:trPr>
          <w:cantSplit/>
          <w:trHeight w:val="465"/>
          <w:tblHeader/>
        </w:trPr>
        <w:tc>
          <w:tcPr>
            <w:tcW w:w="1168" w:type="dxa"/>
          </w:tcPr>
          <w:p w14:paraId="0E66263D" w14:textId="77777777" w:rsidR="00D35B85" w:rsidRPr="00671D22" w:rsidRDefault="00D35B85" w:rsidP="00267803">
            <w:pPr>
              <w:pStyle w:val="Tableheading"/>
            </w:pPr>
            <w:r w:rsidRPr="00671D22">
              <w:t xml:space="preserve">Item </w:t>
            </w:r>
          </w:p>
        </w:tc>
        <w:tc>
          <w:tcPr>
            <w:tcW w:w="1985" w:type="dxa"/>
          </w:tcPr>
          <w:p w14:paraId="7FD5A58F" w14:textId="77777777" w:rsidR="00D35B85" w:rsidRPr="00671D22" w:rsidRDefault="00D35B85" w:rsidP="00267803">
            <w:pPr>
              <w:pStyle w:val="Tableheading"/>
            </w:pPr>
            <w:r w:rsidRPr="00671D22">
              <w:t xml:space="preserve">What it does </w:t>
            </w:r>
          </w:p>
        </w:tc>
        <w:tc>
          <w:tcPr>
            <w:tcW w:w="4252" w:type="dxa"/>
          </w:tcPr>
          <w:p w14:paraId="423D5004" w14:textId="77777777" w:rsidR="00D35B85" w:rsidRPr="00671D22" w:rsidRDefault="00D35B85" w:rsidP="00267803">
            <w:pPr>
              <w:pStyle w:val="Tableheading"/>
            </w:pPr>
            <w:r w:rsidRPr="00671D22">
              <w:t>Committee recommendation</w:t>
            </w:r>
            <w:r>
              <w:t>s</w:t>
            </w:r>
          </w:p>
        </w:tc>
        <w:tc>
          <w:tcPr>
            <w:tcW w:w="1985" w:type="dxa"/>
          </w:tcPr>
          <w:p w14:paraId="4533870A" w14:textId="77777777" w:rsidR="00D35B85" w:rsidRPr="00671D22" w:rsidRDefault="00D35B85" w:rsidP="00267803">
            <w:pPr>
              <w:pStyle w:val="Tableheading"/>
            </w:pPr>
            <w:r w:rsidRPr="00671D22">
              <w:t>What would be different</w:t>
            </w:r>
          </w:p>
        </w:tc>
        <w:tc>
          <w:tcPr>
            <w:tcW w:w="4110" w:type="dxa"/>
          </w:tcPr>
          <w:p w14:paraId="64D05F73" w14:textId="77777777" w:rsidR="00D35B85" w:rsidRPr="00671D22" w:rsidRDefault="00D35B85" w:rsidP="00267803">
            <w:pPr>
              <w:pStyle w:val="Tableheading"/>
            </w:pPr>
            <w:r w:rsidRPr="00671D22">
              <w:t>Why</w:t>
            </w:r>
          </w:p>
        </w:tc>
      </w:tr>
      <w:tr w:rsidR="00D35B85" w:rsidRPr="00E82749" w14:paraId="64C95B2C" w14:textId="77777777" w:rsidTr="00267803">
        <w:trPr>
          <w:cantSplit/>
          <w:trHeight w:val="2136"/>
        </w:trPr>
        <w:tc>
          <w:tcPr>
            <w:tcW w:w="1168" w:type="dxa"/>
          </w:tcPr>
          <w:p w14:paraId="4E7A0E34" w14:textId="77777777" w:rsidR="00D35B85" w:rsidRPr="00E82749" w:rsidRDefault="00D35B85" w:rsidP="00267803">
            <w:pPr>
              <w:pStyle w:val="Tabletext"/>
              <w:rPr>
                <w:color w:val="FF0000"/>
              </w:rPr>
            </w:pPr>
            <w:r w:rsidRPr="004625D8">
              <w:t>Items 55846, 55837, 55838 and 55839 for ultrasound of the ankle/</w:t>
            </w:r>
            <w:r>
              <w:t xml:space="preserve">hind foot </w:t>
            </w:r>
          </w:p>
        </w:tc>
        <w:tc>
          <w:tcPr>
            <w:tcW w:w="1985" w:type="dxa"/>
          </w:tcPr>
          <w:p w14:paraId="3B7FBC61" w14:textId="77777777" w:rsidR="00D35B85" w:rsidRDefault="00D35B85" w:rsidP="00267803">
            <w:pPr>
              <w:pStyle w:val="Tabletext"/>
            </w:pPr>
            <w:r w:rsidRPr="00EA4EFB">
              <w:t xml:space="preserve">These items provide a rebate for ultrasounds conducted on the ankle and back of the foot. </w:t>
            </w:r>
          </w:p>
          <w:p w14:paraId="2E6AA6C3" w14:textId="77777777" w:rsidR="00D35B85" w:rsidRPr="00E04B3E" w:rsidRDefault="00D35B85" w:rsidP="00267803">
            <w:pPr>
              <w:pStyle w:val="Tabletext"/>
            </w:pPr>
            <w:r w:rsidRPr="00EA4EFB">
              <w:t>An ultrasound creates a real</w:t>
            </w:r>
            <w:r>
              <w:t>-</w:t>
            </w:r>
            <w:r w:rsidRPr="00EA4EFB">
              <w:t xml:space="preserve">time picture </w:t>
            </w:r>
            <w:r>
              <w:t xml:space="preserve">of </w:t>
            </w:r>
            <w:r w:rsidRPr="00EA4EFB">
              <w:t>in</w:t>
            </w:r>
            <w:r>
              <w:t xml:space="preserve">side the body using sound waves. It can be used for screening, diagnosis or to assist with treatment. </w:t>
            </w:r>
          </w:p>
        </w:tc>
        <w:tc>
          <w:tcPr>
            <w:tcW w:w="4252" w:type="dxa"/>
          </w:tcPr>
          <w:p w14:paraId="4C8C524B" w14:textId="617FAB84" w:rsidR="00D35B85" w:rsidRPr="00A57D69" w:rsidRDefault="00D35B85" w:rsidP="00267803">
            <w:pPr>
              <w:pStyle w:val="Tabletext"/>
            </w:pPr>
            <w:r w:rsidRPr="00A57D69">
              <w:t xml:space="preserve">Change the item descriptors for all four items to reflect the Committee’s position that ultrasound of this area should only be used </w:t>
            </w:r>
            <w:r w:rsidR="00F71C0F">
              <w:t>for the</w:t>
            </w:r>
            <w:r w:rsidR="00F71C0F" w:rsidRPr="00A57D69">
              <w:t xml:space="preserve"> </w:t>
            </w:r>
            <w:r w:rsidR="00F71C0F">
              <w:t xml:space="preserve">assessment of suspected conditions other than acute ligament injury. </w:t>
            </w:r>
          </w:p>
          <w:p w14:paraId="3E3DDDB7" w14:textId="77777777" w:rsidR="00D35B85" w:rsidRPr="00A57D69" w:rsidRDefault="00D35B85" w:rsidP="00267803">
            <w:pPr>
              <w:pStyle w:val="Tabletext"/>
            </w:pPr>
            <w:r w:rsidRPr="00A57D69">
              <w:t xml:space="preserve">Create an explanatory note to clarify that ultrasound should not be used when the treating clinician suspects ligament damage. </w:t>
            </w:r>
          </w:p>
          <w:p w14:paraId="666F807B"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Provide requester and consumer education on the appropriate use of ankle imaging.</w:t>
            </w:r>
          </w:p>
          <w:p w14:paraId="5EA0E811"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Encourage provider feedback to requesters on appropriate use of ankle imaging.  </w:t>
            </w:r>
          </w:p>
          <w:p w14:paraId="5DF3B7E7" w14:textId="77777777" w:rsidR="00D35B85" w:rsidRPr="001E6462" w:rsidRDefault="00D35B85" w:rsidP="00267803">
            <w:pPr>
              <w:pStyle w:val="Tabletext"/>
            </w:pPr>
            <w:r w:rsidRPr="00A57D69">
              <w:t>Introduce mandated CDS for the requesting of ankle ultrasound if the initial recommendations do not change requesting behaviour. This means that clinicians will be provided with evidence-based imaging recommendations based on the symptoms of the presenting patient</w:t>
            </w:r>
            <w:r w:rsidRPr="005D1DB0">
              <w:rPr>
                <w:sz w:val="16"/>
                <w:szCs w:val="16"/>
              </w:rPr>
              <w:t>.</w:t>
            </w:r>
            <w:r>
              <w:t xml:space="preserve"> </w:t>
            </w:r>
          </w:p>
        </w:tc>
        <w:tc>
          <w:tcPr>
            <w:tcW w:w="1985" w:type="dxa"/>
          </w:tcPr>
          <w:p w14:paraId="69E3100D" w14:textId="362226F9" w:rsidR="00D35B85" w:rsidRPr="00E04B3E" w:rsidRDefault="00D35B85" w:rsidP="00656458">
            <w:pPr>
              <w:pStyle w:val="Tabletext"/>
            </w:pPr>
            <w:r w:rsidRPr="00B000F9">
              <w:t xml:space="preserve">Patients would only be eligible for Medicare rebates </w:t>
            </w:r>
            <w:r>
              <w:t xml:space="preserve">when their </w:t>
            </w:r>
            <w:r w:rsidRPr="00B000F9">
              <w:t xml:space="preserve">clinician requests ultrasounds of the </w:t>
            </w:r>
            <w:r w:rsidR="00656458">
              <w:t>assessment of conditions other than acute ligament injury</w:t>
            </w:r>
            <w:r>
              <w:t xml:space="preserve">.  </w:t>
            </w:r>
          </w:p>
        </w:tc>
        <w:tc>
          <w:tcPr>
            <w:tcW w:w="4110" w:type="dxa"/>
          </w:tcPr>
          <w:p w14:paraId="46EBBB95" w14:textId="77777777" w:rsidR="00D35B85" w:rsidRPr="009A4405" w:rsidRDefault="00D35B85" w:rsidP="00267803">
            <w:pPr>
              <w:pStyle w:val="Tabletext"/>
            </w:pPr>
            <w:r w:rsidRPr="009A4405">
              <w:t>This recommendation aims to update these item</w:t>
            </w:r>
            <w:r>
              <w:t>s</w:t>
            </w:r>
            <w:r w:rsidRPr="009A4405">
              <w:t xml:space="preserve"> to reflect best clinical practice and </w:t>
            </w:r>
            <w:r>
              <w:t>encourage appropriate use of these items</w:t>
            </w:r>
            <w:r w:rsidRPr="009A4405">
              <w:t>.</w:t>
            </w:r>
          </w:p>
          <w:p w14:paraId="5C881C71" w14:textId="77777777" w:rsidR="00D35B85" w:rsidRPr="009A4405" w:rsidRDefault="00D35B85" w:rsidP="00267803">
            <w:pPr>
              <w:pStyle w:val="Tabletext"/>
            </w:pPr>
            <w:r w:rsidRPr="009A4405">
              <w:t xml:space="preserve">Most clinically significant acute (severe and sudden) ankle injuries can be diagnosed based on </w:t>
            </w:r>
            <w:r>
              <w:t>patient</w:t>
            </w:r>
            <w:r w:rsidRPr="009A4405">
              <w:t xml:space="preserve"> history, examination and the use of </w:t>
            </w:r>
            <w:r>
              <w:t>X</w:t>
            </w:r>
            <w:r>
              <w:noBreakHyphen/>
            </w:r>
            <w:r w:rsidRPr="009A4405">
              <w:t xml:space="preserve">ray if required. </w:t>
            </w:r>
          </w:p>
          <w:p w14:paraId="6CB808AB" w14:textId="77777777" w:rsidR="00D35B85" w:rsidRPr="001E6462" w:rsidRDefault="00D35B85" w:rsidP="00267803">
            <w:pPr>
              <w:pStyle w:val="Tabletext"/>
            </w:pPr>
            <w:r w:rsidRPr="009A4405">
              <w:t xml:space="preserve">The </w:t>
            </w:r>
            <w:r>
              <w:t>large</w:t>
            </w:r>
            <w:r w:rsidRPr="009A4405">
              <w:t xml:space="preserve"> </w:t>
            </w:r>
            <w:r>
              <w:t>number</w:t>
            </w:r>
            <w:r w:rsidRPr="009A4405">
              <w:t xml:space="preserve"> of ankle ultrasound</w:t>
            </w:r>
            <w:r>
              <w:t>s</w:t>
            </w:r>
            <w:r w:rsidRPr="009A4405">
              <w:t xml:space="preserve"> being claimed on the same day as </w:t>
            </w:r>
            <w:r>
              <w:t>ankle X</w:t>
            </w:r>
            <w:r>
              <w:noBreakHyphen/>
            </w:r>
            <w:r w:rsidRPr="009A4405">
              <w:t>rays indicates</w:t>
            </w:r>
            <w:r>
              <w:t xml:space="preserve"> that </w:t>
            </w:r>
            <w:r w:rsidRPr="009A4405">
              <w:t>clinicians</w:t>
            </w:r>
            <w:r>
              <w:t xml:space="preserve"> are not using ultrasound as a specific and targeted test to look for a specific result that will change the way the patient is treated. </w:t>
            </w:r>
          </w:p>
          <w:p w14:paraId="6B317E5B" w14:textId="77777777" w:rsidR="00D35B85" w:rsidRPr="00E04B3E" w:rsidRDefault="00D35B85" w:rsidP="00267803">
            <w:pPr>
              <w:pStyle w:val="Tabletext"/>
              <w:rPr>
                <w:rFonts w:eastAsiaTheme="minorHAnsi" w:cs="Arial"/>
                <w:lang w:val="en-GB" w:eastAsia="en-US"/>
              </w:rPr>
            </w:pPr>
            <w:r w:rsidRPr="001333C4">
              <w:rPr>
                <w:rFonts w:eastAsiaTheme="minorHAnsi" w:cs="Arial"/>
                <w:lang w:val="en-GB" w:eastAsia="en-US"/>
              </w:rPr>
              <w:t>The Committee</w:t>
            </w:r>
            <w:r>
              <w:rPr>
                <w:rFonts w:eastAsiaTheme="minorHAnsi" w:cs="Arial"/>
                <w:lang w:val="en-GB" w:eastAsia="en-US"/>
              </w:rPr>
              <w:t xml:space="preserve"> agreed that ankle ultrasound is only needed when the treating clinician is investigating Achilles tendon injury or other ongoing tendon conditions. </w:t>
            </w:r>
          </w:p>
        </w:tc>
      </w:tr>
    </w:tbl>
    <w:p w14:paraId="1BBB9967" w14:textId="77777777" w:rsidR="00D35B85" w:rsidRDefault="00D35B85" w:rsidP="00D35B85">
      <w:pPr>
        <w:spacing w:before="0" w:after="0" w:line="240" w:lineRule="auto"/>
        <w:rPr>
          <w:b/>
          <w:sz w:val="20"/>
          <w:szCs w:val="20"/>
          <w:lang w:val="en-GB"/>
        </w:rPr>
      </w:pPr>
      <w:r>
        <w:rPr>
          <w:b/>
          <w:sz w:val="20"/>
          <w:szCs w:val="20"/>
          <w:lang w:val="en-GB"/>
        </w:rPr>
        <w:br w:type="page"/>
      </w:r>
    </w:p>
    <w:p w14:paraId="06F8C5E9" w14:textId="77777777" w:rsidR="00D35B85" w:rsidRPr="005670CF" w:rsidRDefault="00D35B85" w:rsidP="005670CF">
      <w:pPr>
        <w:pStyle w:val="Heading3"/>
      </w:pPr>
      <w:r w:rsidRPr="005670CF">
        <w:lastRenderedPageBreak/>
        <w:t xml:space="preserve">Recommendations for Shoulder ultrasound (items 55808, 55809, 55810 and 55811) </w:t>
      </w:r>
    </w:p>
    <w:tbl>
      <w:tblPr>
        <w:tblStyle w:val="TableGrid"/>
        <w:tblW w:w="13500" w:type="dxa"/>
        <w:tblInd w:w="108" w:type="dxa"/>
        <w:tblLayout w:type="fixed"/>
        <w:tblLook w:val="04A0" w:firstRow="1" w:lastRow="0" w:firstColumn="1" w:lastColumn="0" w:noHBand="0" w:noVBand="1"/>
        <w:tblCaption w:val="Consumer summary table"/>
      </w:tblPr>
      <w:tblGrid>
        <w:gridCol w:w="1163"/>
        <w:gridCol w:w="2268"/>
        <w:gridCol w:w="4678"/>
        <w:gridCol w:w="2835"/>
        <w:gridCol w:w="2556"/>
      </w:tblGrid>
      <w:tr w:rsidR="00D35B85" w:rsidRPr="00671D22" w14:paraId="5DAE2A3B" w14:textId="77777777" w:rsidTr="00267803">
        <w:trPr>
          <w:trHeight w:val="465"/>
          <w:tblHeader/>
        </w:trPr>
        <w:tc>
          <w:tcPr>
            <w:tcW w:w="1163" w:type="dxa"/>
          </w:tcPr>
          <w:p w14:paraId="10CD25AF" w14:textId="77777777" w:rsidR="00D35B85" w:rsidRPr="00671D22" w:rsidRDefault="00D35B85" w:rsidP="00267803">
            <w:pPr>
              <w:pStyle w:val="Tableheading"/>
            </w:pPr>
            <w:r w:rsidRPr="00671D22">
              <w:t xml:space="preserve">Item </w:t>
            </w:r>
          </w:p>
        </w:tc>
        <w:tc>
          <w:tcPr>
            <w:tcW w:w="2268" w:type="dxa"/>
          </w:tcPr>
          <w:p w14:paraId="292B5A3B" w14:textId="77777777" w:rsidR="00D35B85" w:rsidRPr="00671D22" w:rsidRDefault="00D35B85" w:rsidP="00267803">
            <w:pPr>
              <w:pStyle w:val="Tableheading"/>
            </w:pPr>
            <w:r w:rsidRPr="00671D22">
              <w:t xml:space="preserve">What it does </w:t>
            </w:r>
          </w:p>
        </w:tc>
        <w:tc>
          <w:tcPr>
            <w:tcW w:w="4678" w:type="dxa"/>
          </w:tcPr>
          <w:p w14:paraId="7F3150FD" w14:textId="77777777" w:rsidR="00D35B85" w:rsidRPr="00671D22" w:rsidRDefault="00D35B85" w:rsidP="00267803">
            <w:pPr>
              <w:pStyle w:val="Tableheading"/>
            </w:pPr>
            <w:r w:rsidRPr="00671D22">
              <w:t>Committee recommendation</w:t>
            </w:r>
          </w:p>
        </w:tc>
        <w:tc>
          <w:tcPr>
            <w:tcW w:w="2835" w:type="dxa"/>
          </w:tcPr>
          <w:p w14:paraId="21FCE5A9" w14:textId="77777777" w:rsidR="00D35B85" w:rsidRPr="00671D22" w:rsidRDefault="00D35B85" w:rsidP="00267803">
            <w:pPr>
              <w:pStyle w:val="Tableheading"/>
            </w:pPr>
            <w:r w:rsidRPr="00671D22">
              <w:t>What would be different</w:t>
            </w:r>
          </w:p>
        </w:tc>
        <w:tc>
          <w:tcPr>
            <w:tcW w:w="2556" w:type="dxa"/>
          </w:tcPr>
          <w:p w14:paraId="7E033FA9" w14:textId="77777777" w:rsidR="00D35B85" w:rsidRPr="00671D22" w:rsidRDefault="00D35B85" w:rsidP="00267803">
            <w:pPr>
              <w:pStyle w:val="Tableheading"/>
            </w:pPr>
            <w:r w:rsidRPr="00671D22">
              <w:t>Why</w:t>
            </w:r>
          </w:p>
        </w:tc>
      </w:tr>
      <w:tr w:rsidR="00D35B85" w:rsidRPr="00E82749" w14:paraId="641E8D71" w14:textId="77777777" w:rsidTr="00267803">
        <w:trPr>
          <w:cantSplit/>
          <w:trHeight w:val="2141"/>
        </w:trPr>
        <w:tc>
          <w:tcPr>
            <w:tcW w:w="1163" w:type="dxa"/>
          </w:tcPr>
          <w:p w14:paraId="7D9712BD" w14:textId="77777777" w:rsidR="00D35B85" w:rsidRPr="00E82749" w:rsidRDefault="00D35B85" w:rsidP="00267803">
            <w:pPr>
              <w:pStyle w:val="Tabletext"/>
              <w:rPr>
                <w:color w:val="FF0000"/>
              </w:rPr>
            </w:pPr>
            <w:r w:rsidRPr="00370907">
              <w:t xml:space="preserve">Items 55808, 55809, 55810 and 55811 for ultrasound of the shoulder or upper arm </w:t>
            </w:r>
          </w:p>
        </w:tc>
        <w:tc>
          <w:tcPr>
            <w:tcW w:w="2268" w:type="dxa"/>
          </w:tcPr>
          <w:p w14:paraId="27B6DFC9" w14:textId="77777777" w:rsidR="00D35B85" w:rsidRDefault="00D35B85" w:rsidP="00267803">
            <w:pPr>
              <w:pStyle w:val="Tabletext"/>
            </w:pPr>
            <w:r w:rsidRPr="00EA4EFB">
              <w:t xml:space="preserve">These items provide a rebate for ultrasounds conducted on the </w:t>
            </w:r>
            <w:r>
              <w:t xml:space="preserve">shoulder and upper arm. </w:t>
            </w:r>
          </w:p>
          <w:p w14:paraId="2DB3F711" w14:textId="77777777" w:rsidR="00D35B85" w:rsidRPr="00EA4EFB" w:rsidRDefault="00D35B85" w:rsidP="00267803">
            <w:pPr>
              <w:pStyle w:val="Tabletext"/>
            </w:pPr>
            <w:r w:rsidRPr="00EA4EFB">
              <w:t>An ultrasound creates a real</w:t>
            </w:r>
            <w:r>
              <w:t>-</w:t>
            </w:r>
            <w:r w:rsidRPr="00EA4EFB">
              <w:t xml:space="preserve">time picture </w:t>
            </w:r>
            <w:r>
              <w:t xml:space="preserve">of </w:t>
            </w:r>
            <w:r w:rsidRPr="00EA4EFB">
              <w:t>in</w:t>
            </w:r>
            <w:r>
              <w:t xml:space="preserve">side the body using sound waves. It can be used for screening, diagnosis or to assist with treatment. </w:t>
            </w:r>
          </w:p>
          <w:p w14:paraId="6C1A00DE" w14:textId="77777777" w:rsidR="00D35B85" w:rsidRPr="00E82749" w:rsidRDefault="00D35B85" w:rsidP="00267803">
            <w:pPr>
              <w:pStyle w:val="Tabletext"/>
              <w:rPr>
                <w:color w:val="FF0000"/>
              </w:rPr>
            </w:pPr>
          </w:p>
        </w:tc>
        <w:tc>
          <w:tcPr>
            <w:tcW w:w="4678" w:type="dxa"/>
          </w:tcPr>
          <w:p w14:paraId="3CA03F9B" w14:textId="77777777" w:rsidR="00D35B85" w:rsidRPr="00A57D69" w:rsidRDefault="00D35B85" w:rsidP="00267803">
            <w:pPr>
              <w:pStyle w:val="Tabletext"/>
            </w:pPr>
            <w:r w:rsidRPr="00A57D69">
              <w:t xml:space="preserve">Change the item descriptors for all four items to remove ‘occult fracture’ (a fracture that does not appear on an X-ray) as a reason for requesting ultrasound of this region. </w:t>
            </w:r>
          </w:p>
          <w:p w14:paraId="6AB4F9FE" w14:textId="77777777" w:rsidR="00D35B85" w:rsidRPr="00A57D69" w:rsidRDefault="00D35B85" w:rsidP="00267803">
            <w:pPr>
              <w:pStyle w:val="Tabletext"/>
            </w:pPr>
            <w:r w:rsidRPr="00A57D69">
              <w:t>Restrict the claiming of shoulder ultrasound items in conjunction with shoulder X-ray items.</w:t>
            </w:r>
          </w:p>
          <w:p w14:paraId="3BE77990"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Create a new item for requesting shoulder ultrasound and X-ray at the same time.</w:t>
            </w:r>
          </w:p>
          <w:p w14:paraId="3A2F5F8E" w14:textId="77777777" w:rsidR="00D35B85" w:rsidRPr="00A57D69" w:rsidRDefault="00D35B85" w:rsidP="00267803">
            <w:pPr>
              <w:pStyle w:val="Tabletext"/>
            </w:pPr>
            <w:r w:rsidRPr="00A57D69">
              <w:t xml:space="preserve">Create explanatory notes to provide clarification on when shoulder ultrasound should be requested, and when both shoulder ultrasound and X-ray should be requested. </w:t>
            </w:r>
          </w:p>
          <w:p w14:paraId="4671A70C"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Provide requester and consumer education on the appropriate use of shoulder imaging.</w:t>
            </w:r>
          </w:p>
          <w:p w14:paraId="112256BF"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Encourage provider feedback to requesters on appropriate use of shoulder imaging.  </w:t>
            </w:r>
          </w:p>
          <w:p w14:paraId="6D6699A0" w14:textId="77777777" w:rsidR="00D35B85" w:rsidRPr="005D1DB0" w:rsidRDefault="00D35B85" w:rsidP="00267803">
            <w:r w:rsidRPr="00A57D69">
              <w:rPr>
                <w:sz w:val="18"/>
                <w:szCs w:val="18"/>
              </w:rPr>
              <w:t>Introduce mandated CDS for the requesting of ankle ultrasound if the initial recommendations do not change requesting behaviour. This means that clinicians will be provided with evidence-based imaging recommendations based on the symptoms of the presenting patient</w:t>
            </w:r>
            <w:r w:rsidRPr="005D1DB0">
              <w:rPr>
                <w:sz w:val="16"/>
                <w:szCs w:val="16"/>
              </w:rPr>
              <w:t>.</w:t>
            </w:r>
          </w:p>
          <w:p w14:paraId="142090D4" w14:textId="77777777" w:rsidR="00D35B85" w:rsidRPr="005629BE" w:rsidRDefault="00D35B85" w:rsidP="00267803">
            <w:pPr>
              <w:pStyle w:val="Tabletext"/>
              <w:rPr>
                <w:rFonts w:eastAsiaTheme="minorHAnsi" w:cs="Arial"/>
                <w:lang w:val="en-GB" w:eastAsia="en-US"/>
              </w:rPr>
            </w:pPr>
          </w:p>
        </w:tc>
        <w:tc>
          <w:tcPr>
            <w:tcW w:w="2835" w:type="dxa"/>
          </w:tcPr>
          <w:p w14:paraId="4060D8AD" w14:textId="77777777" w:rsidR="00D35B85" w:rsidRDefault="00D35B85" w:rsidP="00267803">
            <w:pPr>
              <w:pStyle w:val="Tabletext"/>
              <w:rPr>
                <w:rFonts w:eastAsiaTheme="minorHAnsi" w:cs="Arial"/>
                <w:lang w:val="en-GB" w:eastAsia="en-US"/>
              </w:rPr>
            </w:pPr>
            <w:r>
              <w:rPr>
                <w:rFonts w:eastAsiaTheme="minorHAnsi" w:cs="Arial"/>
                <w:lang w:val="en-GB" w:eastAsia="en-US"/>
              </w:rPr>
              <w:t xml:space="preserve">Suspected occult fracture would no longer be a reason to request a shoulder ultrasound. </w:t>
            </w:r>
          </w:p>
          <w:p w14:paraId="5E653F82" w14:textId="77777777" w:rsidR="00D35B85" w:rsidRPr="005629BE" w:rsidRDefault="00D35B85" w:rsidP="00267803">
            <w:pPr>
              <w:pStyle w:val="Tabletext"/>
              <w:rPr>
                <w:rFonts w:eastAsiaTheme="minorHAnsi" w:cs="Arial"/>
                <w:lang w:val="en-GB" w:eastAsia="en-US"/>
              </w:rPr>
            </w:pPr>
            <w:r>
              <w:rPr>
                <w:rFonts w:eastAsiaTheme="minorHAnsi" w:cs="Arial"/>
                <w:lang w:val="en-GB" w:eastAsia="en-US"/>
              </w:rPr>
              <w:t>When requesting a shoulder ultrasound and X-ray at the same time, clinicians would need to use the new MBS item and provide reasons for why both tests are required on the request form.</w:t>
            </w:r>
          </w:p>
        </w:tc>
        <w:tc>
          <w:tcPr>
            <w:tcW w:w="2556" w:type="dxa"/>
          </w:tcPr>
          <w:p w14:paraId="6D42562F" w14:textId="77777777" w:rsidR="00D35B85" w:rsidRDefault="00D35B85" w:rsidP="00267803">
            <w:pPr>
              <w:pStyle w:val="Tabletext"/>
              <w:rPr>
                <w:rFonts w:eastAsiaTheme="minorHAnsi" w:cs="Arial"/>
                <w:lang w:val="en-GB"/>
              </w:rPr>
            </w:pPr>
            <w:r w:rsidRPr="00C2501E">
              <w:rPr>
                <w:rFonts w:eastAsiaTheme="minorHAnsi" w:cs="Arial"/>
                <w:lang w:val="en-GB"/>
              </w:rPr>
              <w:t>Ultrasound is of limited value in the diagnosis of occult fractures</w:t>
            </w:r>
            <w:r>
              <w:rPr>
                <w:rFonts w:eastAsiaTheme="minorHAnsi" w:cs="Arial"/>
                <w:lang w:val="en-GB"/>
              </w:rPr>
              <w:t>.</w:t>
            </w:r>
            <w:r w:rsidRPr="00C2501E">
              <w:rPr>
                <w:rFonts w:eastAsiaTheme="minorHAnsi" w:cs="Arial"/>
                <w:lang w:val="en-GB"/>
              </w:rPr>
              <w:t xml:space="preserve"> CT is preferred in adult patients, </w:t>
            </w:r>
            <w:r>
              <w:rPr>
                <w:rFonts w:eastAsiaTheme="minorHAnsi" w:cs="Arial"/>
                <w:lang w:val="en-GB"/>
              </w:rPr>
              <w:t>and</w:t>
            </w:r>
            <w:r w:rsidRPr="00C2501E">
              <w:rPr>
                <w:rFonts w:eastAsiaTheme="minorHAnsi" w:cs="Arial"/>
                <w:lang w:val="en-GB"/>
              </w:rPr>
              <w:t xml:space="preserve"> MRI i</w:t>
            </w:r>
            <w:r>
              <w:rPr>
                <w:rFonts w:eastAsiaTheme="minorHAnsi" w:cs="Arial"/>
                <w:lang w:val="en-GB"/>
              </w:rPr>
              <w:t>s preferred in</w:t>
            </w:r>
            <w:r w:rsidRPr="00C2501E">
              <w:rPr>
                <w:rFonts w:eastAsiaTheme="minorHAnsi" w:cs="Arial"/>
                <w:lang w:val="en-GB"/>
              </w:rPr>
              <w:t xml:space="preserve"> paediatric patients.</w:t>
            </w:r>
          </w:p>
          <w:p w14:paraId="24F141DC" w14:textId="77777777" w:rsidR="00D35B85" w:rsidRPr="00C2501E" w:rsidRDefault="00D35B85" w:rsidP="00267803">
            <w:pPr>
              <w:pStyle w:val="Tabletext"/>
              <w:rPr>
                <w:rFonts w:eastAsiaTheme="minorHAnsi" w:cs="Arial"/>
                <w:lang w:val="en-GB"/>
              </w:rPr>
            </w:pPr>
            <w:r>
              <w:rPr>
                <w:rFonts w:eastAsiaTheme="minorHAnsi" w:cs="Arial"/>
                <w:lang w:val="en-GB"/>
              </w:rPr>
              <w:t>The changes are intended to ensure that the most appropriate imaging study is used for each patient.</w:t>
            </w:r>
          </w:p>
          <w:p w14:paraId="56786744" w14:textId="77777777" w:rsidR="00D35B85" w:rsidRPr="00E82749" w:rsidRDefault="00D35B85" w:rsidP="00267803">
            <w:pPr>
              <w:pStyle w:val="Tabletext"/>
              <w:rPr>
                <w:rFonts w:eastAsiaTheme="minorHAnsi" w:cs="Arial"/>
                <w:color w:val="FF0000"/>
                <w:lang w:val="en-GB" w:eastAsia="en-US"/>
              </w:rPr>
            </w:pPr>
          </w:p>
        </w:tc>
      </w:tr>
    </w:tbl>
    <w:p w14:paraId="03251DEB" w14:textId="77777777" w:rsidR="00D35B85" w:rsidRDefault="00D35B85" w:rsidP="00D35B85">
      <w:pPr>
        <w:spacing w:before="0" w:after="0" w:line="240" w:lineRule="auto"/>
        <w:rPr>
          <w:b/>
          <w:sz w:val="20"/>
          <w:szCs w:val="20"/>
          <w:lang w:val="en-GB"/>
        </w:rPr>
      </w:pPr>
      <w:r>
        <w:rPr>
          <w:b/>
          <w:sz w:val="20"/>
          <w:szCs w:val="20"/>
          <w:lang w:val="en-GB"/>
        </w:rPr>
        <w:br w:type="page"/>
      </w:r>
    </w:p>
    <w:p w14:paraId="41F96922" w14:textId="77777777" w:rsidR="00D35B85" w:rsidRPr="00A92208" w:rsidRDefault="00D35B85" w:rsidP="005670CF">
      <w:pPr>
        <w:pStyle w:val="Heading3"/>
        <w:rPr>
          <w:color w:val="FF0000"/>
        </w:rPr>
      </w:pPr>
      <w:r>
        <w:lastRenderedPageBreak/>
        <w:t>Recommendations for</w:t>
      </w:r>
      <w:r w:rsidRPr="00671D22">
        <w:t xml:space="preserve"> Lower back imaging</w:t>
      </w:r>
      <w:r>
        <w:t xml:space="preserve"> (</w:t>
      </w:r>
      <w:r w:rsidRPr="00E04B3E">
        <w:t>i</w:t>
      </w:r>
      <w:r>
        <w:t>tem</w:t>
      </w:r>
      <w:r w:rsidRPr="00E04B3E">
        <w:t>s 56223, 56226, 56233, 56234, 56237, 56238, 56106, 56108, 58109, 58112, 58115, 58120, 58121, 59700, 59724, 63151, 63154, 63164, 63167, 63176, 63179, 63201, 63204, 63222, 63225, 63234 and 63237</w:t>
      </w:r>
      <w:r>
        <w:t>)</w:t>
      </w:r>
    </w:p>
    <w:tbl>
      <w:tblPr>
        <w:tblStyle w:val="TableGrid"/>
        <w:tblW w:w="13500" w:type="dxa"/>
        <w:tblInd w:w="108" w:type="dxa"/>
        <w:tblLayout w:type="fixed"/>
        <w:tblLook w:val="04A0" w:firstRow="1" w:lastRow="0" w:firstColumn="1" w:lastColumn="0" w:noHBand="0" w:noVBand="1"/>
        <w:tblCaption w:val="Consumer summary table"/>
      </w:tblPr>
      <w:tblGrid>
        <w:gridCol w:w="1674"/>
        <w:gridCol w:w="1474"/>
        <w:gridCol w:w="3515"/>
        <w:gridCol w:w="2438"/>
        <w:gridCol w:w="4399"/>
      </w:tblGrid>
      <w:tr w:rsidR="00D35B85" w:rsidRPr="00671D22" w14:paraId="195798A2" w14:textId="77777777" w:rsidTr="00267803">
        <w:trPr>
          <w:trHeight w:val="465"/>
          <w:tblHeader/>
        </w:trPr>
        <w:tc>
          <w:tcPr>
            <w:tcW w:w="1674" w:type="dxa"/>
          </w:tcPr>
          <w:p w14:paraId="18431001" w14:textId="77777777" w:rsidR="00D35B85" w:rsidRPr="00671D22" w:rsidRDefault="00D35B85" w:rsidP="00267803">
            <w:pPr>
              <w:pStyle w:val="Tableheading"/>
            </w:pPr>
            <w:r w:rsidRPr="00671D22">
              <w:t xml:space="preserve">Item </w:t>
            </w:r>
          </w:p>
        </w:tc>
        <w:tc>
          <w:tcPr>
            <w:tcW w:w="1474" w:type="dxa"/>
          </w:tcPr>
          <w:p w14:paraId="5FC9A7E4" w14:textId="77777777" w:rsidR="00D35B85" w:rsidRPr="00671D22" w:rsidRDefault="00D35B85" w:rsidP="00267803">
            <w:pPr>
              <w:pStyle w:val="Tableheading"/>
            </w:pPr>
            <w:r w:rsidRPr="00671D22">
              <w:t xml:space="preserve">What it does </w:t>
            </w:r>
          </w:p>
        </w:tc>
        <w:tc>
          <w:tcPr>
            <w:tcW w:w="3515" w:type="dxa"/>
          </w:tcPr>
          <w:p w14:paraId="563AB224" w14:textId="77777777" w:rsidR="00D35B85" w:rsidRPr="00671D22" w:rsidRDefault="00D35B85" w:rsidP="00267803">
            <w:pPr>
              <w:pStyle w:val="Tableheading"/>
            </w:pPr>
            <w:r w:rsidRPr="00671D22">
              <w:t>Committee recommendation</w:t>
            </w:r>
          </w:p>
        </w:tc>
        <w:tc>
          <w:tcPr>
            <w:tcW w:w="2438" w:type="dxa"/>
          </w:tcPr>
          <w:p w14:paraId="24D0E087" w14:textId="77777777" w:rsidR="00D35B85" w:rsidRPr="00671D22" w:rsidRDefault="00D35B85" w:rsidP="00267803">
            <w:pPr>
              <w:pStyle w:val="Tableheading"/>
            </w:pPr>
            <w:r w:rsidRPr="00671D22">
              <w:t>What would be different</w:t>
            </w:r>
          </w:p>
        </w:tc>
        <w:tc>
          <w:tcPr>
            <w:tcW w:w="4399" w:type="dxa"/>
          </w:tcPr>
          <w:p w14:paraId="7C425F86" w14:textId="77777777" w:rsidR="00D35B85" w:rsidRPr="00671D22" w:rsidRDefault="00D35B85" w:rsidP="00267803">
            <w:pPr>
              <w:pStyle w:val="Tableheading"/>
            </w:pPr>
            <w:r w:rsidRPr="00671D22">
              <w:t>Why</w:t>
            </w:r>
          </w:p>
        </w:tc>
      </w:tr>
      <w:tr w:rsidR="00D35B85" w:rsidRPr="00E82749" w14:paraId="5736CCF7" w14:textId="77777777" w:rsidTr="00267803">
        <w:trPr>
          <w:cantSplit/>
          <w:trHeight w:val="2136"/>
        </w:trPr>
        <w:tc>
          <w:tcPr>
            <w:tcW w:w="1674" w:type="dxa"/>
          </w:tcPr>
          <w:p w14:paraId="5087498E" w14:textId="77777777" w:rsidR="00D35B85" w:rsidRPr="00E82749" w:rsidRDefault="00D35B85" w:rsidP="00267803">
            <w:pPr>
              <w:pStyle w:val="Tabletext"/>
              <w:rPr>
                <w:color w:val="FF0000"/>
              </w:rPr>
            </w:pPr>
            <w:r w:rsidRPr="00F15496">
              <w:t xml:space="preserve">Items relating to </w:t>
            </w:r>
            <w:r>
              <w:t xml:space="preserve">CT and MRI imaging </w:t>
            </w:r>
            <w:r w:rsidRPr="00F15496">
              <w:t xml:space="preserve">of </w:t>
            </w:r>
            <w:r>
              <w:t>the lower back: i</w:t>
            </w:r>
            <w:r w:rsidRPr="00F15496">
              <w:t>tem numbers 56223, 56226, 56233, 56234, 56237, 56238, 56106, 56108, 58109, 58112, 58115, 58120, 58121, 59700, 59724, 63151, 63154, 63164, 63167, 63176, 63179, 63201, 63204, 63222, 63225, 63234 and 63237.</w:t>
            </w:r>
          </w:p>
        </w:tc>
        <w:tc>
          <w:tcPr>
            <w:tcW w:w="1474" w:type="dxa"/>
          </w:tcPr>
          <w:p w14:paraId="711DAA18" w14:textId="77777777" w:rsidR="00D35B85" w:rsidRPr="00E82749" w:rsidRDefault="00D35B85" w:rsidP="00267803">
            <w:pPr>
              <w:pStyle w:val="Tabletext"/>
              <w:rPr>
                <w:color w:val="FF0000"/>
              </w:rPr>
            </w:pPr>
            <w:r>
              <w:t>Imaging of the</w:t>
            </w:r>
            <w:r w:rsidRPr="009D5065">
              <w:t xml:space="preserve"> lower back </w:t>
            </w:r>
            <w:r>
              <w:t>(</w:t>
            </w:r>
            <w:r w:rsidRPr="009D5065">
              <w:t>by CT o</w:t>
            </w:r>
            <w:r>
              <w:t>r MRI) is performed to help the clinician make a diagnosis.</w:t>
            </w:r>
          </w:p>
        </w:tc>
        <w:tc>
          <w:tcPr>
            <w:tcW w:w="3515" w:type="dxa"/>
          </w:tcPr>
          <w:p w14:paraId="1A134EEF" w14:textId="77777777" w:rsidR="00D35B85" w:rsidRPr="00A57D69" w:rsidRDefault="00D35B85" w:rsidP="00267803">
            <w:pPr>
              <w:pStyle w:val="Tabletext"/>
            </w:pPr>
            <w:r w:rsidRPr="00A57D69">
              <w:t>Introduce mandatory CDS for clinicians who request lower back imaging. This means clinicians will have to check whether lower back imaging is appropriate for their patient (based on their symptoms) using a CDS system before requesting the test.</w:t>
            </w:r>
          </w:p>
          <w:p w14:paraId="71C7F62C"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Work with a team of clinical experts and specialists to develop criteria for the best use of lower back imaging as part of the development and rollout of a CDS system.</w:t>
            </w:r>
          </w:p>
          <w:p w14:paraId="1F3BDD8A" w14:textId="77777777" w:rsidR="00D35B85" w:rsidRPr="00A57D69" w:rsidRDefault="00D35B85" w:rsidP="00267803">
            <w:pPr>
              <w:pStyle w:val="Tabletext"/>
              <w:rPr>
                <w:lang w:val="en-GB" w:eastAsia="en-US"/>
              </w:rPr>
            </w:pPr>
            <w:r w:rsidRPr="00A57D69">
              <w:rPr>
                <w:rFonts w:eastAsiaTheme="minorHAnsi" w:cs="Arial"/>
                <w:lang w:val="en-GB" w:eastAsia="en-US"/>
              </w:rPr>
              <w:t xml:space="preserve">Provide </w:t>
            </w:r>
            <w:r w:rsidRPr="00A57D69">
              <w:rPr>
                <w:lang w:val="en-GB" w:eastAsia="en-US"/>
              </w:rPr>
              <w:t>more education for clinicians on appropriate imaging choices.</w:t>
            </w:r>
          </w:p>
          <w:p w14:paraId="56AEABCE" w14:textId="77777777" w:rsidR="00D35B85" w:rsidRPr="00A57D69" w:rsidRDefault="00D35B85" w:rsidP="00267803">
            <w:pPr>
              <w:pStyle w:val="Tabletext"/>
              <w:rPr>
                <w:lang w:val="en-GB" w:eastAsia="en-US"/>
              </w:rPr>
            </w:pPr>
            <w:r w:rsidRPr="00A57D69">
              <w:rPr>
                <w:lang w:val="en-GB" w:eastAsia="en-US"/>
              </w:rPr>
              <w:t>Feedback to clinicians who are requesting lower back imaging at higher rates than their peers.</w:t>
            </w:r>
          </w:p>
          <w:p w14:paraId="0601F247" w14:textId="77777777" w:rsidR="00D35B85" w:rsidRPr="00005CCD" w:rsidRDefault="00D35B85" w:rsidP="00267803">
            <w:pPr>
              <w:pStyle w:val="Tabletext"/>
              <w:rPr>
                <w:lang w:val="en-GB" w:eastAsia="en-US"/>
              </w:rPr>
            </w:pPr>
            <w:r w:rsidRPr="00A57D69">
              <w:rPr>
                <w:lang w:val="en-GB" w:eastAsia="en-US"/>
              </w:rPr>
              <w:t>Education to patients about why early imaging of non-specific lower back pain is not appropriate, and what they can and should expect as part of a comprehensive medical examination for back pain</w:t>
            </w:r>
            <w:r w:rsidRPr="005D1DB0">
              <w:rPr>
                <w:sz w:val="12"/>
                <w:szCs w:val="12"/>
                <w:lang w:val="en-GB" w:eastAsia="en-US"/>
              </w:rPr>
              <w:t>.</w:t>
            </w:r>
          </w:p>
        </w:tc>
        <w:tc>
          <w:tcPr>
            <w:tcW w:w="2438" w:type="dxa"/>
          </w:tcPr>
          <w:p w14:paraId="13B84B9D" w14:textId="77777777" w:rsidR="00D35B85" w:rsidRPr="00A53A0F" w:rsidRDefault="00D35B85" w:rsidP="00267803">
            <w:pPr>
              <w:pStyle w:val="Tabletext"/>
            </w:pPr>
            <w:r w:rsidRPr="00A53A0F">
              <w:t>Clinicians would be required to consult clinician-developed, government-approved, evidence</w:t>
            </w:r>
            <w:r>
              <w:t>-based appropriate use criteria</w:t>
            </w:r>
            <w:r w:rsidRPr="00A53A0F">
              <w:t xml:space="preserve"> through a CDS syste</w:t>
            </w:r>
            <w:r>
              <w:t>m before requesting imaging (</w:t>
            </w:r>
            <w:r w:rsidRPr="00A53A0F">
              <w:t>CT or MRI) for the lower back.</w:t>
            </w:r>
          </w:p>
          <w:p w14:paraId="203973E5" w14:textId="77777777" w:rsidR="00D35B85" w:rsidRPr="00560004" w:rsidRDefault="00D35B85" w:rsidP="00267803">
            <w:pPr>
              <w:pStyle w:val="Tabletext"/>
              <w:rPr>
                <w:lang w:val="en-GB" w:eastAsia="en-US"/>
              </w:rPr>
            </w:pPr>
          </w:p>
          <w:p w14:paraId="571FD1F6" w14:textId="77777777" w:rsidR="00D35B85" w:rsidRPr="004F0F92" w:rsidRDefault="00D35B85" w:rsidP="00267803">
            <w:pPr>
              <w:pStyle w:val="Tabletext"/>
              <w:rPr>
                <w:lang w:val="en-GB" w:eastAsia="en-US"/>
              </w:rPr>
            </w:pPr>
          </w:p>
        </w:tc>
        <w:tc>
          <w:tcPr>
            <w:tcW w:w="4399" w:type="dxa"/>
          </w:tcPr>
          <w:p w14:paraId="7AC6A5ED" w14:textId="77777777" w:rsidR="00D35B85" w:rsidRPr="00A53A0F" w:rsidRDefault="00D35B85" w:rsidP="00267803">
            <w:pPr>
              <w:pStyle w:val="Tabletext"/>
            </w:pPr>
            <w:r w:rsidRPr="00A53A0F">
              <w:t>The Committee noted that there is sufficient evidence that inappropriate imaging of the lower back is occurring. The factors contributing to this include:</w:t>
            </w:r>
          </w:p>
          <w:p w14:paraId="31D873F4" w14:textId="77777777" w:rsidR="00D35B85" w:rsidRPr="00A53A0F" w:rsidRDefault="00D35B85" w:rsidP="00267803">
            <w:pPr>
              <w:pStyle w:val="Tabletext"/>
            </w:pPr>
            <w:r w:rsidRPr="00A53A0F">
              <w:t>The</w:t>
            </w:r>
            <w:r>
              <w:t xml:space="preserve"> comparative</w:t>
            </w:r>
            <w:r w:rsidRPr="00A53A0F">
              <w:t xml:space="preserve"> use of CT to MRI in Australia</w:t>
            </w:r>
            <w:r>
              <w:t>.</w:t>
            </w:r>
          </w:p>
          <w:p w14:paraId="57E51F0C" w14:textId="77777777" w:rsidR="00D35B85" w:rsidRPr="00A53A0F" w:rsidRDefault="00D35B85" w:rsidP="00267803">
            <w:pPr>
              <w:pStyle w:val="Tabletext"/>
            </w:pPr>
            <w:r w:rsidRPr="00A53A0F">
              <w:t xml:space="preserve">An expectation </w:t>
            </w:r>
            <w:r>
              <w:t>among</w:t>
            </w:r>
            <w:r w:rsidRPr="00A53A0F">
              <w:t xml:space="preserve"> patients with lower back pain that their treating clinician will request imaging.</w:t>
            </w:r>
          </w:p>
          <w:p w14:paraId="0BE4ED2C" w14:textId="77777777" w:rsidR="00D35B85" w:rsidRPr="001E6462" w:rsidRDefault="00D35B85" w:rsidP="00267803">
            <w:pPr>
              <w:pStyle w:val="Tabletext"/>
              <w:rPr>
                <w:lang w:val="en-GB" w:eastAsia="en-US"/>
              </w:rPr>
            </w:pPr>
            <w:r w:rsidRPr="00F26DF9">
              <w:rPr>
                <w:lang w:val="en-GB"/>
              </w:rPr>
              <w:t xml:space="preserve">A possible lack of awareness </w:t>
            </w:r>
            <w:r>
              <w:rPr>
                <w:lang w:val="en-GB"/>
              </w:rPr>
              <w:t>among</w:t>
            </w:r>
            <w:r w:rsidRPr="00F26DF9">
              <w:rPr>
                <w:lang w:val="en-GB"/>
              </w:rPr>
              <w:t xml:space="preserve"> patients about the potential harms </w:t>
            </w:r>
            <w:r>
              <w:rPr>
                <w:lang w:val="en-GB"/>
              </w:rPr>
              <w:t>associated with</w:t>
            </w:r>
            <w:r w:rsidRPr="00F26DF9">
              <w:rPr>
                <w:lang w:val="en-GB"/>
              </w:rPr>
              <w:t xml:space="preserve"> overuse of imaging tests. These include radiation exposure through CT</w:t>
            </w:r>
            <w:r>
              <w:rPr>
                <w:lang w:val="en-GB" w:eastAsia="en-US"/>
              </w:rPr>
              <w:t>,</w:t>
            </w:r>
            <w:r w:rsidRPr="001B3DFF">
              <w:rPr>
                <w:lang w:val="en-GB"/>
              </w:rPr>
              <w:t xml:space="preserve"> as well as unnecessary tests and treatment </w:t>
            </w:r>
            <w:r>
              <w:rPr>
                <w:lang w:val="en-GB"/>
              </w:rPr>
              <w:t>that</w:t>
            </w:r>
            <w:r w:rsidRPr="001B3DFF">
              <w:rPr>
                <w:lang w:val="en-GB"/>
              </w:rPr>
              <w:t xml:space="preserve"> can result from over-diagnosis.</w:t>
            </w:r>
          </w:p>
          <w:p w14:paraId="686B7458" w14:textId="77777777" w:rsidR="00D35B85" w:rsidRPr="00A53A0F" w:rsidRDefault="00D35B85" w:rsidP="00267803">
            <w:pPr>
              <w:pStyle w:val="Tabletext"/>
              <w:rPr>
                <w:rFonts w:eastAsiaTheme="minorHAnsi" w:cs="Arial"/>
                <w:lang w:val="en-GB" w:eastAsia="en-US"/>
              </w:rPr>
            </w:pPr>
            <w:r w:rsidRPr="00A53A0F">
              <w:rPr>
                <w:rFonts w:eastAsiaTheme="minorHAnsi" w:cs="Arial"/>
                <w:lang w:val="en-GB" w:eastAsia="en-US"/>
              </w:rPr>
              <w:t>Research indicates that early imaging for non-specific lower back pain does not improve clinical outcomes</w:t>
            </w:r>
            <w:r>
              <w:rPr>
                <w:rFonts w:eastAsiaTheme="minorHAnsi" w:cs="Arial"/>
                <w:lang w:val="en-GB" w:eastAsia="en-US"/>
              </w:rPr>
              <w:t>,</w:t>
            </w:r>
            <w:r w:rsidRPr="00A53A0F">
              <w:rPr>
                <w:rFonts w:eastAsiaTheme="minorHAnsi" w:cs="Arial"/>
                <w:lang w:val="en-GB" w:eastAsia="en-US"/>
              </w:rPr>
              <w:t xml:space="preserve"> and </w:t>
            </w:r>
            <w:r>
              <w:rPr>
                <w:rFonts w:eastAsiaTheme="minorHAnsi" w:cs="Arial"/>
                <w:lang w:val="en-GB" w:eastAsia="en-US"/>
              </w:rPr>
              <w:t xml:space="preserve">that </w:t>
            </w:r>
            <w:r w:rsidRPr="00A53A0F">
              <w:rPr>
                <w:rFonts w:eastAsiaTheme="minorHAnsi" w:cs="Arial"/>
                <w:lang w:val="en-GB" w:eastAsia="en-US"/>
              </w:rPr>
              <w:t xml:space="preserve">delayed imaging </w:t>
            </w:r>
            <w:r>
              <w:rPr>
                <w:rFonts w:eastAsiaTheme="minorHAnsi" w:cs="Arial"/>
                <w:lang w:val="en-GB" w:eastAsia="en-US"/>
              </w:rPr>
              <w:t>is</w:t>
            </w:r>
            <w:r w:rsidRPr="00A53A0F">
              <w:rPr>
                <w:rFonts w:eastAsiaTheme="minorHAnsi" w:cs="Arial"/>
                <w:lang w:val="en-GB" w:eastAsia="en-US"/>
              </w:rPr>
              <w:t xml:space="preserve"> a low</w:t>
            </w:r>
            <w:r>
              <w:rPr>
                <w:rFonts w:eastAsiaTheme="minorHAnsi" w:cs="Arial"/>
                <w:lang w:val="en-GB" w:eastAsia="en-US"/>
              </w:rPr>
              <w:t>-</w:t>
            </w:r>
            <w:r w:rsidRPr="00A53A0F">
              <w:rPr>
                <w:rFonts w:eastAsiaTheme="minorHAnsi" w:cs="Arial"/>
                <w:lang w:val="en-GB" w:eastAsia="en-US"/>
              </w:rPr>
              <w:t xml:space="preserve">risk approach. </w:t>
            </w:r>
          </w:p>
          <w:p w14:paraId="7D5B391E" w14:textId="77777777" w:rsidR="00D35B85" w:rsidRPr="00A53A0F" w:rsidRDefault="00D35B85" w:rsidP="00267803">
            <w:pPr>
              <w:pStyle w:val="Tabletext"/>
              <w:rPr>
                <w:rFonts w:eastAsiaTheme="minorHAnsi" w:cs="Arial"/>
                <w:lang w:val="en-GB" w:eastAsia="en-US"/>
              </w:rPr>
            </w:pPr>
            <w:r w:rsidRPr="00A53A0F">
              <w:rPr>
                <w:rFonts w:eastAsiaTheme="minorHAnsi" w:cs="Arial"/>
                <w:lang w:val="en-GB" w:eastAsia="en-US"/>
              </w:rPr>
              <w:t xml:space="preserve">Alternatives to imaging include clinical assessment, referral to allied health professionals (such as physiotherapists) or medical management. </w:t>
            </w:r>
          </w:p>
          <w:p w14:paraId="2FAB3C58" w14:textId="77777777" w:rsidR="00D35B85" w:rsidRPr="00E82749" w:rsidRDefault="00D35B85" w:rsidP="00267803">
            <w:pPr>
              <w:pStyle w:val="Tabletext"/>
              <w:rPr>
                <w:color w:val="FF0000"/>
              </w:rPr>
            </w:pPr>
          </w:p>
        </w:tc>
      </w:tr>
    </w:tbl>
    <w:p w14:paraId="6C620721" w14:textId="77777777" w:rsidR="00D35B85" w:rsidRDefault="00D35B85" w:rsidP="00D35B85">
      <w:pPr>
        <w:spacing w:before="0" w:after="0" w:line="240" w:lineRule="auto"/>
        <w:rPr>
          <w:b/>
          <w:sz w:val="20"/>
          <w:szCs w:val="20"/>
          <w:lang w:val="en-GB"/>
        </w:rPr>
      </w:pPr>
      <w:r>
        <w:rPr>
          <w:b/>
          <w:sz w:val="20"/>
          <w:szCs w:val="20"/>
          <w:lang w:val="en-GB"/>
        </w:rPr>
        <w:br w:type="page"/>
      </w:r>
    </w:p>
    <w:p w14:paraId="07B8704F" w14:textId="77777777" w:rsidR="00D35B85" w:rsidRPr="00671D22" w:rsidRDefault="00D35B85" w:rsidP="005670CF">
      <w:pPr>
        <w:pStyle w:val="Heading3"/>
      </w:pPr>
      <w:r>
        <w:lastRenderedPageBreak/>
        <w:t>Recommendations for</w:t>
      </w:r>
      <w:r w:rsidRPr="00671D22">
        <w:t xml:space="preserve"> Head imaging</w:t>
      </w:r>
      <w:r>
        <w:t xml:space="preserve"> (items </w:t>
      </w:r>
      <w:r w:rsidRPr="00E04B3E">
        <w:t>56001, 56007, 56010, 56013, 56016, 56030, 56036, 63001, 63004, 63007, 63010, 63040, 63043, 63046, 63049, 63052, 63055, 63058, 63061, 63064, 63067, 63070, 63073, 63507 and 63551</w:t>
      </w:r>
      <w:r>
        <w:t>)</w:t>
      </w:r>
    </w:p>
    <w:tbl>
      <w:tblPr>
        <w:tblStyle w:val="TableGrid"/>
        <w:tblW w:w="13500" w:type="dxa"/>
        <w:tblInd w:w="108" w:type="dxa"/>
        <w:tblLayout w:type="fixed"/>
        <w:tblLook w:val="04A0" w:firstRow="1" w:lastRow="0" w:firstColumn="1" w:lastColumn="0" w:noHBand="0" w:noVBand="1"/>
        <w:tblCaption w:val="Consumer summary table"/>
      </w:tblPr>
      <w:tblGrid>
        <w:gridCol w:w="1674"/>
        <w:gridCol w:w="1474"/>
        <w:gridCol w:w="4252"/>
        <w:gridCol w:w="2131"/>
        <w:gridCol w:w="3969"/>
      </w:tblGrid>
      <w:tr w:rsidR="00D35B85" w:rsidRPr="00671D22" w14:paraId="7F793A5E" w14:textId="77777777" w:rsidTr="00267803">
        <w:trPr>
          <w:trHeight w:val="465"/>
          <w:tblHeader/>
        </w:trPr>
        <w:tc>
          <w:tcPr>
            <w:tcW w:w="1674" w:type="dxa"/>
          </w:tcPr>
          <w:p w14:paraId="49B928CB" w14:textId="77777777" w:rsidR="00D35B85" w:rsidRPr="001E6462" w:rsidRDefault="00D35B85" w:rsidP="00267803">
            <w:pPr>
              <w:pStyle w:val="Tableheading"/>
            </w:pPr>
            <w:r w:rsidRPr="001E6462">
              <w:lastRenderedPageBreak/>
              <w:t xml:space="preserve">Item </w:t>
            </w:r>
          </w:p>
        </w:tc>
        <w:tc>
          <w:tcPr>
            <w:tcW w:w="1474" w:type="dxa"/>
          </w:tcPr>
          <w:p w14:paraId="5F5EC006" w14:textId="77777777" w:rsidR="00D35B85" w:rsidRPr="001E6462" w:rsidRDefault="00D35B85" w:rsidP="00267803">
            <w:pPr>
              <w:pStyle w:val="Tableheading"/>
            </w:pPr>
            <w:r w:rsidRPr="001E6462">
              <w:t xml:space="preserve">What it does </w:t>
            </w:r>
          </w:p>
        </w:tc>
        <w:tc>
          <w:tcPr>
            <w:tcW w:w="4252" w:type="dxa"/>
          </w:tcPr>
          <w:p w14:paraId="50F97C92" w14:textId="77777777" w:rsidR="00D35B85" w:rsidRPr="001E6462" w:rsidRDefault="00D35B85" w:rsidP="00267803">
            <w:pPr>
              <w:pStyle w:val="Tableheading"/>
            </w:pPr>
            <w:r w:rsidRPr="001E6462">
              <w:t>Committee recommendation</w:t>
            </w:r>
          </w:p>
        </w:tc>
        <w:tc>
          <w:tcPr>
            <w:tcW w:w="2131" w:type="dxa"/>
          </w:tcPr>
          <w:p w14:paraId="0E2CD771" w14:textId="77777777" w:rsidR="00D35B85" w:rsidRPr="001E6462" w:rsidRDefault="00D35B85" w:rsidP="00267803">
            <w:pPr>
              <w:pStyle w:val="Tableheading"/>
            </w:pPr>
            <w:r w:rsidRPr="001E6462">
              <w:t>What would be different</w:t>
            </w:r>
          </w:p>
        </w:tc>
        <w:tc>
          <w:tcPr>
            <w:tcW w:w="3969" w:type="dxa"/>
          </w:tcPr>
          <w:p w14:paraId="6951BAD4" w14:textId="77777777" w:rsidR="00D35B85" w:rsidRPr="001E6462" w:rsidRDefault="00D35B85" w:rsidP="00267803">
            <w:pPr>
              <w:pStyle w:val="Tableheading"/>
            </w:pPr>
            <w:r w:rsidRPr="001E6462">
              <w:t>Why</w:t>
            </w:r>
          </w:p>
        </w:tc>
      </w:tr>
      <w:tr w:rsidR="00D35B85" w:rsidRPr="00E82749" w14:paraId="5AFA7EA6" w14:textId="77777777" w:rsidTr="00267803">
        <w:trPr>
          <w:cantSplit/>
          <w:trHeight w:val="2781"/>
        </w:trPr>
        <w:tc>
          <w:tcPr>
            <w:tcW w:w="1674" w:type="dxa"/>
          </w:tcPr>
          <w:p w14:paraId="68C122CE" w14:textId="77777777" w:rsidR="00D35B85" w:rsidRPr="005670CF" w:rsidRDefault="00D35B85" w:rsidP="005670CF">
            <w:r w:rsidRPr="005670CF">
              <w:t>Items relating to imaging of the head, including CT and MRI of this area: item numbers: 56001, 56007, 56010, 56013, 56016, 56030, 56036, 63001, 63004, 63007, 63010, 63040, 63043, 63046, 63049, 63052, 63055, 63058, 63061, 63064, 63067, 63070, 63073, 63507 and 63551</w:t>
            </w:r>
          </w:p>
        </w:tc>
        <w:tc>
          <w:tcPr>
            <w:tcW w:w="1474" w:type="dxa"/>
          </w:tcPr>
          <w:p w14:paraId="54612003" w14:textId="77777777" w:rsidR="00D35B85" w:rsidRPr="005670CF" w:rsidRDefault="00D35B85" w:rsidP="005670CF">
            <w:r w:rsidRPr="005670CF">
              <w:rPr>
                <w:rFonts w:eastAsiaTheme="minorHAnsi"/>
              </w:rPr>
              <w:t>Imaging of the head by CT or MRI in order to make a diagnosis.</w:t>
            </w:r>
          </w:p>
        </w:tc>
        <w:tc>
          <w:tcPr>
            <w:tcW w:w="4252" w:type="dxa"/>
          </w:tcPr>
          <w:p w14:paraId="2D15F180" w14:textId="77777777" w:rsidR="00D35B85" w:rsidRPr="00A57D69" w:rsidRDefault="00D35B85" w:rsidP="00267803">
            <w:pPr>
              <w:pStyle w:val="Tabletext"/>
            </w:pPr>
            <w:r w:rsidRPr="00A57D69">
              <w:t>Introduce mandatory CDS for clinicians who request head imaging. This means clinicians will have to check whether head imaging is appropriate for their patient (based on their symptoms) using this system before requesting the test.</w:t>
            </w:r>
          </w:p>
          <w:p w14:paraId="3DDE903F"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Work with a team of clinical experts and specialists to develop criteria for the best use of head imaging as part of the development and rollout of this CDS system.</w:t>
            </w:r>
          </w:p>
          <w:p w14:paraId="1E508513" w14:textId="77777777" w:rsidR="00D35B85" w:rsidRPr="00A57D69" w:rsidRDefault="00D35B85" w:rsidP="00267803">
            <w:pPr>
              <w:pStyle w:val="Tabletext"/>
              <w:rPr>
                <w:rFonts w:eastAsiaTheme="minorHAnsi" w:cs="Arial"/>
                <w:lang w:val="en-GB" w:eastAsia="en-US"/>
              </w:rPr>
            </w:pPr>
            <w:r w:rsidRPr="00A57D69">
              <w:rPr>
                <w:rFonts w:eastAsiaTheme="minorHAnsi" w:cs="Arial"/>
                <w:lang w:val="en-GB" w:eastAsia="en-US"/>
              </w:rPr>
              <w:t xml:space="preserve">In addition to a CDS, the Committee also recommended providing: </w:t>
            </w:r>
          </w:p>
          <w:p w14:paraId="120DE89F" w14:textId="77777777" w:rsidR="00D35B85" w:rsidRPr="00A57D69" w:rsidRDefault="00D35B85" w:rsidP="00267803">
            <w:pPr>
              <w:pStyle w:val="Tabletext"/>
              <w:rPr>
                <w:lang w:val="en-GB" w:eastAsia="en-US"/>
              </w:rPr>
            </w:pPr>
            <w:r w:rsidRPr="00A57D69">
              <w:rPr>
                <w:lang w:val="en-GB" w:eastAsia="en-US"/>
              </w:rPr>
              <w:t>More education for clinicians on appropriate imaging choices.</w:t>
            </w:r>
          </w:p>
          <w:p w14:paraId="3AA1D083" w14:textId="77777777" w:rsidR="00D35B85" w:rsidRPr="00A57D69" w:rsidRDefault="00D35B85" w:rsidP="00267803">
            <w:pPr>
              <w:pStyle w:val="Tabletext"/>
              <w:rPr>
                <w:lang w:val="en-GB" w:eastAsia="en-US"/>
              </w:rPr>
            </w:pPr>
            <w:r w:rsidRPr="00A57D69">
              <w:rPr>
                <w:lang w:val="en-GB" w:eastAsia="en-US"/>
              </w:rPr>
              <w:t>Feedback to clinicians who are requesting head imaging at higher rates than their peers.</w:t>
            </w:r>
          </w:p>
          <w:p w14:paraId="6CC906A2" w14:textId="77777777" w:rsidR="00D35B85" w:rsidRPr="00C62716" w:rsidRDefault="00D35B85" w:rsidP="00267803">
            <w:pPr>
              <w:pStyle w:val="Tabletext"/>
              <w:rPr>
                <w:lang w:val="en-GB" w:eastAsia="en-US"/>
              </w:rPr>
            </w:pPr>
            <w:r w:rsidRPr="00A57D69">
              <w:rPr>
                <w:lang w:val="en-GB" w:eastAsia="en-US"/>
              </w:rPr>
              <w:t>Education to patients about what they can and should expect as part of a comprehensive medical examination when they have signs and symptoms that may indicate head imaging</w:t>
            </w:r>
            <w:r w:rsidRPr="008606C9">
              <w:rPr>
                <w:sz w:val="12"/>
                <w:szCs w:val="12"/>
                <w:lang w:val="en-GB" w:eastAsia="en-US"/>
              </w:rPr>
              <w:t>.</w:t>
            </w:r>
          </w:p>
        </w:tc>
        <w:tc>
          <w:tcPr>
            <w:tcW w:w="2131" w:type="dxa"/>
          </w:tcPr>
          <w:p w14:paraId="771054E8" w14:textId="77777777" w:rsidR="00D35B85" w:rsidRPr="00EE262C" w:rsidRDefault="00D35B85" w:rsidP="00267803">
            <w:pPr>
              <w:pStyle w:val="Tabletext"/>
            </w:pPr>
            <w:r w:rsidRPr="00EE262C">
              <w:t xml:space="preserve">Clinicians would be required to consult clinician-developed, government-approved, evidence-based appropriate use criteria through a CDS system </w:t>
            </w:r>
            <w:r>
              <w:t>before</w:t>
            </w:r>
            <w:r w:rsidRPr="00EE262C">
              <w:t xml:space="preserve"> requesting imaging (CT or MRI) </w:t>
            </w:r>
            <w:r>
              <w:t>of the head.</w:t>
            </w:r>
          </w:p>
          <w:p w14:paraId="48964363" w14:textId="77777777" w:rsidR="00D35B85" w:rsidRDefault="00D35B85" w:rsidP="00267803">
            <w:pPr>
              <w:pStyle w:val="Tabletext"/>
              <w:rPr>
                <w:lang w:val="en-GB" w:eastAsia="en-US"/>
              </w:rPr>
            </w:pPr>
          </w:p>
          <w:p w14:paraId="47A41796" w14:textId="77777777" w:rsidR="00D35B85" w:rsidRPr="00E82749" w:rsidRDefault="00D35B85" w:rsidP="00267803">
            <w:pPr>
              <w:pStyle w:val="Tabletext"/>
              <w:rPr>
                <w:b/>
                <w:bCs/>
                <w:i/>
                <w:color w:val="FF0000"/>
              </w:rPr>
            </w:pPr>
          </w:p>
        </w:tc>
        <w:tc>
          <w:tcPr>
            <w:tcW w:w="3969" w:type="dxa"/>
          </w:tcPr>
          <w:p w14:paraId="7D29C189" w14:textId="77777777" w:rsidR="00D35B85" w:rsidRPr="001E6462" w:rsidRDefault="00D35B85" w:rsidP="00267803">
            <w:pPr>
              <w:pStyle w:val="Tabletext"/>
            </w:pPr>
            <w:r w:rsidRPr="00EE262C">
              <w:t xml:space="preserve">The Committee noted that there is sufficient evidence that inappropriate imaging of the </w:t>
            </w:r>
            <w:r>
              <w:t xml:space="preserve">head </w:t>
            </w:r>
            <w:r w:rsidRPr="00EE262C">
              <w:t>is occurring</w:t>
            </w:r>
            <w:r>
              <w:t xml:space="preserve">. A GP-requested head MRI item for adults was introduced in order to decrease the number of brain CTs ordered. However, in the 12 months following the introduction of this item, there was a 33 per cent increase in total MRI brain services and no corresponding decrease in CT brain services. </w:t>
            </w:r>
          </w:p>
          <w:p w14:paraId="45F2A220" w14:textId="77777777" w:rsidR="00D35B85" w:rsidRPr="00845878" w:rsidRDefault="00D35B85" w:rsidP="00267803">
            <w:pPr>
              <w:pStyle w:val="Tabletext"/>
              <w:rPr>
                <w:rFonts w:eastAsiaTheme="minorHAnsi" w:cs="Arial"/>
                <w:lang w:val="en-GB" w:eastAsia="en-US"/>
              </w:rPr>
            </w:pPr>
            <w:r>
              <w:rPr>
                <w:rFonts w:eastAsiaTheme="minorHAnsi" w:cs="Arial"/>
                <w:lang w:val="en-GB" w:eastAsia="en-US"/>
              </w:rPr>
              <w:t>Inappropriate use of</w:t>
            </w:r>
            <w:r w:rsidRPr="00845878">
              <w:rPr>
                <w:rFonts w:eastAsiaTheme="minorHAnsi" w:cs="Arial"/>
                <w:lang w:val="en-GB" w:eastAsia="en-US"/>
              </w:rPr>
              <w:t xml:space="preserve"> MRI </w:t>
            </w:r>
            <w:r>
              <w:rPr>
                <w:rFonts w:eastAsiaTheme="minorHAnsi" w:cs="Arial"/>
                <w:lang w:val="en-GB" w:eastAsia="en-US"/>
              </w:rPr>
              <w:t>can lead to over-diagnosis and further unnecessary tests, which all carry risks.</w:t>
            </w:r>
            <w:r w:rsidRPr="00845878">
              <w:rPr>
                <w:rFonts w:eastAsiaTheme="minorHAnsi" w:cs="Arial"/>
                <w:lang w:val="en-GB" w:eastAsia="en-US"/>
              </w:rPr>
              <w:t xml:space="preserve"> </w:t>
            </w:r>
            <w:r>
              <w:rPr>
                <w:rFonts w:eastAsiaTheme="minorHAnsi" w:cs="Arial"/>
                <w:lang w:val="en-GB" w:eastAsia="en-US"/>
              </w:rPr>
              <w:t>The u</w:t>
            </w:r>
            <w:r w:rsidRPr="00845878">
              <w:rPr>
                <w:rFonts w:eastAsiaTheme="minorHAnsi" w:cs="Arial"/>
                <w:lang w:val="en-GB" w:eastAsia="en-US"/>
              </w:rPr>
              <w:t>se</w:t>
            </w:r>
            <w:r>
              <w:rPr>
                <w:rFonts w:eastAsiaTheme="minorHAnsi" w:cs="Arial"/>
                <w:lang w:val="en-GB" w:eastAsia="en-US"/>
              </w:rPr>
              <w:t xml:space="preserve"> of MRI</w:t>
            </w:r>
            <w:r w:rsidRPr="00845878">
              <w:rPr>
                <w:rFonts w:eastAsiaTheme="minorHAnsi" w:cs="Arial"/>
                <w:lang w:val="en-GB" w:eastAsia="en-US"/>
              </w:rPr>
              <w:t xml:space="preserve"> should therefore be </w:t>
            </w:r>
            <w:r>
              <w:rPr>
                <w:rFonts w:eastAsiaTheme="minorHAnsi" w:cs="Arial"/>
                <w:lang w:val="en-GB" w:eastAsia="en-US"/>
              </w:rPr>
              <w:t>limited to</w:t>
            </w:r>
            <w:r w:rsidRPr="00845878">
              <w:rPr>
                <w:rFonts w:eastAsiaTheme="minorHAnsi" w:cs="Arial"/>
                <w:lang w:val="en-GB" w:eastAsia="en-US"/>
              </w:rPr>
              <w:t xml:space="preserve"> cases where </w:t>
            </w:r>
            <w:r>
              <w:rPr>
                <w:rFonts w:eastAsiaTheme="minorHAnsi" w:cs="Arial"/>
                <w:lang w:val="en-GB" w:eastAsia="en-US"/>
              </w:rPr>
              <w:t>the value of imaging outweighs concerns about over-diagnosis</w:t>
            </w:r>
            <w:r w:rsidRPr="00845878">
              <w:rPr>
                <w:rFonts w:eastAsiaTheme="minorHAnsi" w:cs="Arial"/>
                <w:lang w:val="en-GB" w:eastAsia="en-US"/>
              </w:rPr>
              <w:t xml:space="preserve">. </w:t>
            </w:r>
          </w:p>
          <w:p w14:paraId="08427B1F" w14:textId="77777777" w:rsidR="00D35B85" w:rsidRDefault="00D35B85" w:rsidP="00267803">
            <w:pPr>
              <w:pStyle w:val="Tabletext"/>
              <w:rPr>
                <w:rFonts w:eastAsiaTheme="minorHAnsi" w:cs="Arial"/>
                <w:lang w:val="en-GB" w:eastAsia="en-US"/>
              </w:rPr>
            </w:pPr>
          </w:p>
          <w:p w14:paraId="797A1166" w14:textId="77777777" w:rsidR="00D35B85" w:rsidRPr="00E82749" w:rsidRDefault="00D35B85" w:rsidP="00267803">
            <w:pPr>
              <w:pStyle w:val="Tabletext"/>
              <w:rPr>
                <w:rFonts w:cs="Arial"/>
                <w:color w:val="FF0000"/>
                <w:lang w:val="en-GB" w:eastAsia="en-US"/>
              </w:rPr>
            </w:pPr>
          </w:p>
        </w:tc>
      </w:tr>
    </w:tbl>
    <w:p w14:paraId="56D9853D" w14:textId="77777777" w:rsidR="00D35B85" w:rsidRDefault="00D35B85" w:rsidP="00CC3E9A">
      <w:pPr>
        <w:rPr>
          <w:szCs w:val="22"/>
          <w:lang w:val="en-GB"/>
        </w:rPr>
      </w:pPr>
    </w:p>
    <w:p w14:paraId="71D95451" w14:textId="77777777" w:rsidR="00320315" w:rsidRDefault="00320315" w:rsidP="00320315">
      <w:pPr>
        <w:pStyle w:val="Header1"/>
        <w:ind w:left="0" w:firstLine="0"/>
        <w:sectPr w:rsidR="00320315" w:rsidSect="00B653E4">
          <w:endnotePr>
            <w:numFmt w:val="decimal"/>
          </w:endnotePr>
          <w:pgSz w:w="16838" w:h="11906" w:orient="landscape" w:code="9"/>
          <w:pgMar w:top="1797" w:right="1440" w:bottom="1797" w:left="1440" w:header="567" w:footer="170" w:gutter="0"/>
          <w:cols w:space="720"/>
          <w:docGrid w:linePitch="326"/>
        </w:sectPr>
      </w:pPr>
    </w:p>
    <w:p w14:paraId="39849B7E" w14:textId="77777777" w:rsidR="00B653E4" w:rsidRPr="00F17139" w:rsidRDefault="008D73B5" w:rsidP="00B653E4">
      <w:pPr>
        <w:pStyle w:val="ApDHead1"/>
      </w:pPr>
      <w:bookmarkStart w:id="301" w:name="_Toc525740547"/>
      <w:bookmarkStart w:id="302" w:name="_Toc525816110"/>
      <w:r>
        <w:lastRenderedPageBreak/>
        <w:t>Appendix B</w:t>
      </w:r>
      <w:r w:rsidR="00B653E4" w:rsidRPr="00F17139">
        <w:t xml:space="preserve"> - Glossary</w:t>
      </w:r>
      <w:bookmarkEnd w:id="301"/>
      <w:bookmarkEnd w:id="302"/>
    </w:p>
    <w:tbl>
      <w:tblPr>
        <w:tblStyle w:val="TableGrid3"/>
        <w:tblW w:w="460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Glossary"/>
        <w:tblDescription w:val="Appendix B is a table of abbreviations used in the report. The table is presented in two columns, column 1 'Term' and Column 2 'Description'"/>
      </w:tblPr>
      <w:tblGrid>
        <w:gridCol w:w="2029"/>
        <w:gridCol w:w="6278"/>
      </w:tblGrid>
      <w:tr w:rsidR="00B653E4" w:rsidRPr="00F17139" w14:paraId="2668F2CA" w14:textId="77777777" w:rsidTr="00C9672D">
        <w:trPr>
          <w:tblHeader/>
        </w:trPr>
        <w:tc>
          <w:tcPr>
            <w:tcW w:w="2038" w:type="dxa"/>
            <w:shd w:val="clear" w:color="auto" w:fill="F2F2F2" w:themeFill="background1" w:themeFillShade="F2"/>
            <w:vAlign w:val="bottom"/>
          </w:tcPr>
          <w:p w14:paraId="2F4DF230" w14:textId="77777777" w:rsidR="00B653E4" w:rsidRPr="00F17139" w:rsidRDefault="00B653E4" w:rsidP="005262A4">
            <w:pPr>
              <w:pStyle w:val="01Tableheaderrow"/>
            </w:pPr>
            <w:r w:rsidRPr="00F17139">
              <w:t>Term</w:t>
            </w:r>
          </w:p>
        </w:tc>
        <w:tc>
          <w:tcPr>
            <w:tcW w:w="6330" w:type="dxa"/>
            <w:shd w:val="clear" w:color="auto" w:fill="F2F2F2" w:themeFill="background1" w:themeFillShade="F2"/>
            <w:vAlign w:val="bottom"/>
          </w:tcPr>
          <w:p w14:paraId="5C50E4DE" w14:textId="77777777" w:rsidR="00B653E4" w:rsidRPr="00F17139" w:rsidRDefault="00B653E4" w:rsidP="005262A4">
            <w:pPr>
              <w:pStyle w:val="01Tableheaderrow"/>
            </w:pPr>
            <w:r w:rsidRPr="00F17139">
              <w:t>Description</w:t>
            </w:r>
          </w:p>
        </w:tc>
      </w:tr>
      <w:tr w:rsidR="00B653E4" w:rsidRPr="00F17139" w14:paraId="59E3E0DA" w14:textId="77777777" w:rsidTr="00C9672D">
        <w:tc>
          <w:tcPr>
            <w:tcW w:w="2038" w:type="dxa"/>
          </w:tcPr>
          <w:p w14:paraId="2336F691" w14:textId="77777777" w:rsidR="00B653E4" w:rsidRPr="00F17139" w:rsidRDefault="00B653E4" w:rsidP="00DA51D1">
            <w:pPr>
              <w:pStyle w:val="Normalpara"/>
            </w:pPr>
            <w:r>
              <w:t>AUC</w:t>
            </w:r>
          </w:p>
        </w:tc>
        <w:tc>
          <w:tcPr>
            <w:tcW w:w="6330" w:type="dxa"/>
          </w:tcPr>
          <w:p w14:paraId="0E9DE196" w14:textId="77777777" w:rsidR="00B653E4" w:rsidRPr="00F17139" w:rsidRDefault="00B653E4" w:rsidP="00DA51D1">
            <w:pPr>
              <w:pStyle w:val="Normalpara"/>
            </w:pPr>
            <w:r>
              <w:t>Appropriate use criteria</w:t>
            </w:r>
          </w:p>
        </w:tc>
      </w:tr>
      <w:tr w:rsidR="00B653E4" w:rsidRPr="00F17139" w14:paraId="345C4712" w14:textId="77777777" w:rsidTr="00C9672D">
        <w:tc>
          <w:tcPr>
            <w:tcW w:w="2038" w:type="dxa"/>
          </w:tcPr>
          <w:p w14:paraId="1635EF3A" w14:textId="77777777" w:rsidR="00B653E4" w:rsidRPr="00F17139" w:rsidRDefault="00B653E4" w:rsidP="00DA51D1">
            <w:pPr>
              <w:pStyle w:val="Normalpara"/>
            </w:pPr>
            <w:r w:rsidRPr="00F17139">
              <w:t>CAGR</w:t>
            </w:r>
          </w:p>
        </w:tc>
        <w:tc>
          <w:tcPr>
            <w:tcW w:w="6330" w:type="dxa"/>
          </w:tcPr>
          <w:p w14:paraId="2E274A5B" w14:textId="77777777" w:rsidR="00B653E4" w:rsidRPr="00F17139" w:rsidRDefault="00B653E4" w:rsidP="00DA51D1">
            <w:pPr>
              <w:pStyle w:val="Normalpara"/>
            </w:pPr>
            <w:r w:rsidRPr="00F17139">
              <w:t xml:space="preserve">Compound annual growth rate, or the average annual growth rate over a specified time period. </w:t>
            </w:r>
          </w:p>
        </w:tc>
      </w:tr>
      <w:tr w:rsidR="00B653E4" w:rsidRPr="00F17139" w14:paraId="6CE5259C" w14:textId="77777777" w:rsidTr="00C9672D">
        <w:tc>
          <w:tcPr>
            <w:tcW w:w="2038" w:type="dxa"/>
          </w:tcPr>
          <w:p w14:paraId="531F585A" w14:textId="77777777" w:rsidR="00B653E4" w:rsidRPr="00F17139" w:rsidRDefault="00B653E4" w:rsidP="00DA51D1">
            <w:pPr>
              <w:pStyle w:val="Normalpara"/>
            </w:pPr>
            <w:r>
              <w:t>CDS</w:t>
            </w:r>
          </w:p>
        </w:tc>
        <w:tc>
          <w:tcPr>
            <w:tcW w:w="6330" w:type="dxa"/>
          </w:tcPr>
          <w:p w14:paraId="748D543A" w14:textId="77777777" w:rsidR="00B653E4" w:rsidRPr="00F17139" w:rsidRDefault="00B653E4" w:rsidP="00DA51D1">
            <w:pPr>
              <w:pStyle w:val="Normalpara"/>
            </w:pPr>
            <w:r>
              <w:t>Clinical decision support</w:t>
            </w:r>
          </w:p>
        </w:tc>
      </w:tr>
      <w:tr w:rsidR="00B653E4" w:rsidRPr="00F17139" w14:paraId="643A2F3D" w14:textId="77777777" w:rsidTr="00C9672D">
        <w:tc>
          <w:tcPr>
            <w:tcW w:w="2038" w:type="dxa"/>
            <w:hideMark/>
          </w:tcPr>
          <w:p w14:paraId="2DE0CB48" w14:textId="77777777" w:rsidR="00B653E4" w:rsidRPr="00F17139" w:rsidRDefault="00B653E4" w:rsidP="00DA51D1">
            <w:pPr>
              <w:pStyle w:val="Normalpara"/>
            </w:pPr>
            <w:r w:rsidRPr="00F17139">
              <w:t>Change</w:t>
            </w:r>
          </w:p>
        </w:tc>
        <w:tc>
          <w:tcPr>
            <w:tcW w:w="6330" w:type="dxa"/>
            <w:hideMark/>
          </w:tcPr>
          <w:p w14:paraId="23E35B81" w14:textId="77777777" w:rsidR="00B653E4" w:rsidRPr="00F17139" w:rsidRDefault="00B653E4" w:rsidP="00DA51D1">
            <w:pPr>
              <w:pStyle w:val="Normalpara"/>
            </w:pPr>
            <w:r w:rsidRPr="00F17139">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B653E4" w:rsidRPr="00F17139" w14:paraId="1A5898FC" w14:textId="77777777" w:rsidTr="00C9672D">
        <w:tc>
          <w:tcPr>
            <w:tcW w:w="2038" w:type="dxa"/>
          </w:tcPr>
          <w:p w14:paraId="27332D06" w14:textId="77777777" w:rsidR="00B653E4" w:rsidRPr="00F17139" w:rsidRDefault="00B653E4" w:rsidP="00DA51D1">
            <w:pPr>
              <w:pStyle w:val="Normalpara"/>
            </w:pPr>
            <w:r>
              <w:t xml:space="preserve">CT </w:t>
            </w:r>
          </w:p>
        </w:tc>
        <w:tc>
          <w:tcPr>
            <w:tcW w:w="6330" w:type="dxa"/>
          </w:tcPr>
          <w:p w14:paraId="71530E4D" w14:textId="77777777" w:rsidR="00B653E4" w:rsidRPr="00F17139" w:rsidRDefault="00B653E4" w:rsidP="00DA51D1">
            <w:pPr>
              <w:pStyle w:val="Normalpara"/>
            </w:pPr>
            <w:r>
              <w:t xml:space="preserve">Computed tomography </w:t>
            </w:r>
          </w:p>
        </w:tc>
      </w:tr>
      <w:tr w:rsidR="00B653E4" w:rsidRPr="00F17139" w14:paraId="69CADAE7" w14:textId="77777777" w:rsidTr="00C9672D">
        <w:tc>
          <w:tcPr>
            <w:tcW w:w="2038" w:type="dxa"/>
          </w:tcPr>
          <w:p w14:paraId="53F1BC82" w14:textId="77777777" w:rsidR="00B653E4" w:rsidRPr="00F17139" w:rsidRDefault="00B653E4" w:rsidP="00DA51D1">
            <w:pPr>
              <w:pStyle w:val="Normalpara"/>
            </w:pPr>
            <w:r>
              <w:t>DICC</w:t>
            </w:r>
          </w:p>
        </w:tc>
        <w:tc>
          <w:tcPr>
            <w:tcW w:w="6330" w:type="dxa"/>
          </w:tcPr>
          <w:p w14:paraId="7BD9B392" w14:textId="77777777" w:rsidR="00B653E4" w:rsidRPr="00F17139" w:rsidRDefault="00B653E4" w:rsidP="00DA51D1">
            <w:pPr>
              <w:pStyle w:val="Normalpara"/>
            </w:pPr>
            <w:r>
              <w:t>Diagnostic Imaging Clinical Committee</w:t>
            </w:r>
          </w:p>
        </w:tc>
      </w:tr>
      <w:tr w:rsidR="00B653E4" w14:paraId="62E4DA9C" w14:textId="77777777" w:rsidTr="00C9672D">
        <w:tc>
          <w:tcPr>
            <w:tcW w:w="2038" w:type="dxa"/>
          </w:tcPr>
          <w:p w14:paraId="263CBB4B" w14:textId="77777777" w:rsidR="00B653E4" w:rsidRDefault="00B653E4" w:rsidP="00DA51D1">
            <w:pPr>
              <w:pStyle w:val="Normalpara"/>
            </w:pPr>
            <w:r>
              <w:t>DIP</w:t>
            </w:r>
          </w:p>
        </w:tc>
        <w:tc>
          <w:tcPr>
            <w:tcW w:w="6330" w:type="dxa"/>
          </w:tcPr>
          <w:p w14:paraId="02E9EAE4" w14:textId="77777777" w:rsidR="00B653E4" w:rsidRDefault="00B653E4" w:rsidP="00DA51D1">
            <w:pPr>
              <w:pStyle w:val="Normalpara"/>
            </w:pPr>
            <w:r>
              <w:t>Diagnostic Imaging Pathways</w:t>
            </w:r>
          </w:p>
        </w:tc>
      </w:tr>
      <w:tr w:rsidR="00B653E4" w14:paraId="24F73603" w14:textId="77777777" w:rsidTr="00C9672D">
        <w:tc>
          <w:tcPr>
            <w:tcW w:w="2038" w:type="dxa"/>
          </w:tcPr>
          <w:p w14:paraId="00A36BD8" w14:textId="77777777" w:rsidR="00B653E4" w:rsidRDefault="00B653E4" w:rsidP="00DA51D1">
            <w:pPr>
              <w:pStyle w:val="Normalpara"/>
            </w:pPr>
            <w:r>
              <w:t>EMR</w:t>
            </w:r>
          </w:p>
        </w:tc>
        <w:tc>
          <w:tcPr>
            <w:tcW w:w="6330" w:type="dxa"/>
          </w:tcPr>
          <w:p w14:paraId="186CE76E" w14:textId="77777777" w:rsidR="00B653E4" w:rsidRDefault="00B653E4" w:rsidP="00DA51D1">
            <w:pPr>
              <w:pStyle w:val="Normalpara"/>
            </w:pPr>
            <w:r>
              <w:t>Electronic Medical Record</w:t>
            </w:r>
          </w:p>
        </w:tc>
      </w:tr>
      <w:tr w:rsidR="00B653E4" w:rsidRPr="00F17139" w14:paraId="02E408AA" w14:textId="77777777" w:rsidTr="00C9672D">
        <w:tc>
          <w:tcPr>
            <w:tcW w:w="2038" w:type="dxa"/>
            <w:hideMark/>
          </w:tcPr>
          <w:p w14:paraId="3ADFE845" w14:textId="77777777" w:rsidR="00B653E4" w:rsidRPr="00F17139" w:rsidRDefault="00B653E4" w:rsidP="00DA51D1">
            <w:pPr>
              <w:pStyle w:val="Normalpara"/>
            </w:pPr>
            <w:r w:rsidRPr="00F17139">
              <w:t>FY</w:t>
            </w:r>
          </w:p>
        </w:tc>
        <w:tc>
          <w:tcPr>
            <w:tcW w:w="6330" w:type="dxa"/>
            <w:hideMark/>
          </w:tcPr>
          <w:p w14:paraId="3ADE72B9" w14:textId="77777777" w:rsidR="00B653E4" w:rsidRPr="00F17139" w:rsidRDefault="00B653E4" w:rsidP="00DA51D1">
            <w:pPr>
              <w:pStyle w:val="Normalpara"/>
            </w:pPr>
            <w:r w:rsidRPr="00F17139">
              <w:t>Financial year</w:t>
            </w:r>
          </w:p>
        </w:tc>
      </w:tr>
      <w:tr w:rsidR="00B653E4" w:rsidRPr="00F17139" w14:paraId="226B3343" w14:textId="77777777" w:rsidTr="00C9672D">
        <w:tc>
          <w:tcPr>
            <w:tcW w:w="2038" w:type="dxa"/>
          </w:tcPr>
          <w:p w14:paraId="012D12FD" w14:textId="77777777" w:rsidR="00B653E4" w:rsidRPr="00F17139" w:rsidRDefault="00B653E4" w:rsidP="00DA51D1">
            <w:pPr>
              <w:pStyle w:val="Normalpara"/>
            </w:pPr>
            <w:r w:rsidRPr="00F17139">
              <w:t>GP</w:t>
            </w:r>
          </w:p>
        </w:tc>
        <w:tc>
          <w:tcPr>
            <w:tcW w:w="6330" w:type="dxa"/>
          </w:tcPr>
          <w:p w14:paraId="393E345A" w14:textId="77777777" w:rsidR="00B653E4" w:rsidRPr="00F17139" w:rsidRDefault="00B653E4" w:rsidP="00DA51D1">
            <w:pPr>
              <w:pStyle w:val="Normalpara"/>
            </w:pPr>
            <w:r w:rsidRPr="00F17139">
              <w:t>General practitioner</w:t>
            </w:r>
          </w:p>
        </w:tc>
      </w:tr>
      <w:tr w:rsidR="00B653E4" w:rsidRPr="00F17139" w14:paraId="4E09C278" w14:textId="77777777" w:rsidTr="00C9672D">
        <w:tc>
          <w:tcPr>
            <w:tcW w:w="2038" w:type="dxa"/>
          </w:tcPr>
          <w:p w14:paraId="059A5E85" w14:textId="77777777" w:rsidR="00B653E4" w:rsidRPr="00F17139" w:rsidRDefault="00B653E4" w:rsidP="00DA51D1">
            <w:pPr>
              <w:pStyle w:val="Normalpara"/>
            </w:pPr>
            <w:r>
              <w:t>GPPCCC</w:t>
            </w:r>
          </w:p>
        </w:tc>
        <w:tc>
          <w:tcPr>
            <w:tcW w:w="6330" w:type="dxa"/>
          </w:tcPr>
          <w:p w14:paraId="0E28CB3E" w14:textId="77777777" w:rsidR="00B653E4" w:rsidRPr="00F17139" w:rsidRDefault="00B653E4" w:rsidP="00DA51D1">
            <w:pPr>
              <w:pStyle w:val="Normalpara"/>
            </w:pPr>
            <w:r>
              <w:t>General Practice and Primary Care Clinical Committee</w:t>
            </w:r>
          </w:p>
        </w:tc>
      </w:tr>
      <w:tr w:rsidR="00B653E4" w:rsidRPr="00F17139" w14:paraId="2FC8CB67" w14:textId="77777777" w:rsidTr="00C9672D">
        <w:tc>
          <w:tcPr>
            <w:tcW w:w="2038" w:type="dxa"/>
            <w:hideMark/>
          </w:tcPr>
          <w:p w14:paraId="6776513B" w14:textId="77777777" w:rsidR="00B653E4" w:rsidRPr="00F17139" w:rsidRDefault="00B653E4" w:rsidP="00DA51D1">
            <w:pPr>
              <w:pStyle w:val="Normalpara"/>
            </w:pPr>
            <w:r w:rsidRPr="00F17139">
              <w:t>High-value care</w:t>
            </w:r>
          </w:p>
        </w:tc>
        <w:tc>
          <w:tcPr>
            <w:tcW w:w="6330" w:type="dxa"/>
            <w:hideMark/>
          </w:tcPr>
          <w:p w14:paraId="411723E4" w14:textId="77777777" w:rsidR="00B653E4" w:rsidRPr="00F17139" w:rsidRDefault="00B653E4" w:rsidP="00DA51D1">
            <w:pPr>
              <w:pStyle w:val="Normalpara"/>
            </w:pPr>
            <w:r w:rsidRPr="00F17139">
              <w:t>Services of proven efficacy reflecting current best medical practice, or for which the potential benefit to consumers exceeds the risk and costs.</w:t>
            </w:r>
          </w:p>
        </w:tc>
      </w:tr>
      <w:tr w:rsidR="00B653E4" w:rsidRPr="00F17139" w14:paraId="7E414884" w14:textId="77777777" w:rsidTr="00C9672D">
        <w:tc>
          <w:tcPr>
            <w:tcW w:w="2038" w:type="dxa"/>
          </w:tcPr>
          <w:p w14:paraId="453005A2" w14:textId="77777777" w:rsidR="00B653E4" w:rsidRPr="00F17139" w:rsidRDefault="00B653E4" w:rsidP="00DA51D1">
            <w:pPr>
              <w:pStyle w:val="Normalpara"/>
            </w:pPr>
            <w:r>
              <w:t>HTACCC</w:t>
            </w:r>
          </w:p>
        </w:tc>
        <w:tc>
          <w:tcPr>
            <w:tcW w:w="6330" w:type="dxa"/>
          </w:tcPr>
          <w:p w14:paraId="5E55022C" w14:textId="77777777" w:rsidR="00B653E4" w:rsidRPr="00F17139" w:rsidRDefault="00B653E4" w:rsidP="00DA51D1">
            <w:pPr>
              <w:pStyle w:val="Normalpara"/>
            </w:pPr>
            <w:r>
              <w:t>Health Technology Assessment Consumer Consultative Committee</w:t>
            </w:r>
          </w:p>
        </w:tc>
      </w:tr>
      <w:tr w:rsidR="00B653E4" w:rsidRPr="00F17139" w14:paraId="29C7CC41" w14:textId="77777777" w:rsidTr="00C9672D">
        <w:tc>
          <w:tcPr>
            <w:tcW w:w="2038" w:type="dxa"/>
            <w:hideMark/>
          </w:tcPr>
          <w:p w14:paraId="2987FDCB" w14:textId="77777777" w:rsidR="00B653E4" w:rsidRPr="00F17139" w:rsidRDefault="00B653E4" w:rsidP="00DA51D1">
            <w:pPr>
              <w:pStyle w:val="Normalpara"/>
            </w:pPr>
            <w:r w:rsidRPr="00F17139">
              <w:t>Inappropriate use / misuse</w:t>
            </w:r>
          </w:p>
        </w:tc>
        <w:tc>
          <w:tcPr>
            <w:tcW w:w="6330" w:type="dxa"/>
            <w:hideMark/>
          </w:tcPr>
          <w:p w14:paraId="612028BD" w14:textId="77777777" w:rsidR="00B653E4" w:rsidRPr="00F17139" w:rsidRDefault="00B653E4" w:rsidP="00DA51D1">
            <w:pPr>
              <w:pStyle w:val="Normalpara"/>
            </w:pPr>
            <w:r w:rsidRPr="00F17139">
              <w:t>The use of MBS services for purposes other than those intended. This includes a range of behaviours, from failing to adhere to particular item descriptors or rules through to deliberate fraud.</w:t>
            </w:r>
          </w:p>
        </w:tc>
      </w:tr>
      <w:tr w:rsidR="00B653E4" w:rsidRPr="00F17139" w14:paraId="07171288" w14:textId="77777777" w:rsidTr="00C9672D">
        <w:tc>
          <w:tcPr>
            <w:tcW w:w="2038" w:type="dxa"/>
            <w:hideMark/>
          </w:tcPr>
          <w:p w14:paraId="70F39B2C" w14:textId="77777777" w:rsidR="00B653E4" w:rsidRPr="00F17139" w:rsidRDefault="00B653E4" w:rsidP="00DA51D1">
            <w:pPr>
              <w:pStyle w:val="Normalpara"/>
            </w:pPr>
            <w:r w:rsidRPr="00F17139">
              <w:t>Low-value care</w:t>
            </w:r>
          </w:p>
        </w:tc>
        <w:tc>
          <w:tcPr>
            <w:tcW w:w="6330" w:type="dxa"/>
            <w:hideMark/>
          </w:tcPr>
          <w:p w14:paraId="4C94E4B7" w14:textId="77777777" w:rsidR="00B653E4" w:rsidRPr="00F17139" w:rsidRDefault="00B653E4" w:rsidP="00DA51D1">
            <w:pPr>
              <w:pStyle w:val="Normalpara"/>
              <w:rPr>
                <w:b/>
                <w:bCs/>
                <w:i/>
              </w:rPr>
            </w:pPr>
            <w:r w:rsidRPr="00F17139">
              <w:t>Services that evidence suggests confer no or very little benefit on consumers; or for which the risk of harm exceeds the likely benefit; or, more broadly, where the added costs of services do not provide proportional added benefits.</w:t>
            </w:r>
          </w:p>
        </w:tc>
      </w:tr>
      <w:tr w:rsidR="00B653E4" w:rsidRPr="00F17139" w14:paraId="38C63A1D" w14:textId="77777777" w:rsidTr="00C9672D">
        <w:tc>
          <w:tcPr>
            <w:tcW w:w="2038" w:type="dxa"/>
            <w:hideMark/>
          </w:tcPr>
          <w:p w14:paraId="1B2E9AEA" w14:textId="77777777" w:rsidR="00B653E4" w:rsidRPr="00F17139" w:rsidRDefault="00B653E4" w:rsidP="00DA51D1">
            <w:pPr>
              <w:pStyle w:val="Normalpara"/>
            </w:pPr>
            <w:r w:rsidRPr="00F17139">
              <w:t>MBS</w:t>
            </w:r>
          </w:p>
        </w:tc>
        <w:tc>
          <w:tcPr>
            <w:tcW w:w="6330" w:type="dxa"/>
            <w:hideMark/>
          </w:tcPr>
          <w:p w14:paraId="65F9BCA0" w14:textId="77777777" w:rsidR="00B653E4" w:rsidRPr="00F17139" w:rsidRDefault="00B653E4" w:rsidP="00DA51D1">
            <w:pPr>
              <w:pStyle w:val="Normalpara"/>
            </w:pPr>
            <w:r w:rsidRPr="00F17139">
              <w:t xml:space="preserve">Medicare Benefits Schedule </w:t>
            </w:r>
          </w:p>
        </w:tc>
      </w:tr>
      <w:tr w:rsidR="00B653E4" w:rsidRPr="00F17139" w14:paraId="26A32A31" w14:textId="77777777" w:rsidTr="00C9672D">
        <w:tc>
          <w:tcPr>
            <w:tcW w:w="2038" w:type="dxa"/>
            <w:hideMark/>
          </w:tcPr>
          <w:p w14:paraId="27B04B45" w14:textId="77777777" w:rsidR="00B653E4" w:rsidRPr="00F17139" w:rsidRDefault="00B653E4" w:rsidP="00DA51D1">
            <w:pPr>
              <w:pStyle w:val="Normalpara"/>
            </w:pPr>
            <w:r w:rsidRPr="00F17139">
              <w:t>MBS item</w:t>
            </w:r>
          </w:p>
        </w:tc>
        <w:tc>
          <w:tcPr>
            <w:tcW w:w="6330" w:type="dxa"/>
            <w:hideMark/>
          </w:tcPr>
          <w:p w14:paraId="31445CA6" w14:textId="77777777" w:rsidR="00B653E4" w:rsidRPr="00F17139" w:rsidRDefault="00B653E4" w:rsidP="00DA51D1">
            <w:pPr>
              <w:pStyle w:val="Normalpara"/>
            </w:pPr>
            <w:r w:rsidRPr="00F17139">
              <w:t xml:space="preserve">An administrative object listed in the MBS and used for the purposes of claiming and paying Medicare benefits, consisting of an item </w:t>
            </w:r>
            <w:r w:rsidRPr="00F17139">
              <w:lastRenderedPageBreak/>
              <w:t>number, service descriptor and supporting information, schedule fee and Medicare benefits.</w:t>
            </w:r>
          </w:p>
        </w:tc>
      </w:tr>
      <w:tr w:rsidR="00B653E4" w:rsidRPr="00F17139" w14:paraId="6BC1CD45" w14:textId="77777777" w:rsidTr="00C9672D">
        <w:tc>
          <w:tcPr>
            <w:tcW w:w="2038" w:type="dxa"/>
            <w:hideMark/>
          </w:tcPr>
          <w:p w14:paraId="5C966421" w14:textId="77777777" w:rsidR="00B653E4" w:rsidRPr="00F17139" w:rsidRDefault="00B653E4" w:rsidP="00DA51D1">
            <w:pPr>
              <w:pStyle w:val="Normalpara"/>
            </w:pPr>
            <w:r w:rsidRPr="00F17139">
              <w:lastRenderedPageBreak/>
              <w:t>MBS service</w:t>
            </w:r>
          </w:p>
        </w:tc>
        <w:tc>
          <w:tcPr>
            <w:tcW w:w="6330" w:type="dxa"/>
            <w:hideMark/>
          </w:tcPr>
          <w:p w14:paraId="108C2706" w14:textId="77777777" w:rsidR="00B653E4" w:rsidRPr="00F17139" w:rsidRDefault="00B653E4" w:rsidP="00DA51D1">
            <w:pPr>
              <w:pStyle w:val="Normalpara"/>
            </w:pPr>
            <w:r w:rsidRPr="00F17139">
              <w:t>The actual medical consultation, procedure or test to which the relevant MBS item refers.</w:t>
            </w:r>
          </w:p>
        </w:tc>
      </w:tr>
      <w:tr w:rsidR="00B653E4" w:rsidRPr="00F17139" w14:paraId="445C3A12" w14:textId="77777777" w:rsidTr="00C9672D">
        <w:tc>
          <w:tcPr>
            <w:tcW w:w="2038" w:type="dxa"/>
            <w:hideMark/>
          </w:tcPr>
          <w:p w14:paraId="04ECC3D6" w14:textId="77777777" w:rsidR="00B653E4" w:rsidRPr="00F17139" w:rsidRDefault="00B653E4" w:rsidP="00DA51D1">
            <w:pPr>
              <w:pStyle w:val="Normalpara"/>
            </w:pPr>
            <w:r w:rsidRPr="00F17139">
              <w:t>Misuse (of MBS item)</w:t>
            </w:r>
          </w:p>
        </w:tc>
        <w:tc>
          <w:tcPr>
            <w:tcW w:w="6330" w:type="dxa"/>
            <w:hideMark/>
          </w:tcPr>
          <w:p w14:paraId="0A218E49" w14:textId="77777777" w:rsidR="00B653E4" w:rsidRPr="00F17139" w:rsidRDefault="00B653E4" w:rsidP="00DA51D1">
            <w:pPr>
              <w:pStyle w:val="Normalpara"/>
            </w:pPr>
            <w:r w:rsidRPr="00F17139">
              <w:t>The use of MBS services for purposes other than those intended. This includes a range of behaviours, from failing to adhere to particular item descriptors or rules through to deliberate fraud.</w:t>
            </w:r>
          </w:p>
        </w:tc>
      </w:tr>
      <w:tr w:rsidR="00B653E4" w:rsidRPr="00F17139" w14:paraId="7DC2E5C8" w14:textId="77777777" w:rsidTr="00C9672D">
        <w:tc>
          <w:tcPr>
            <w:tcW w:w="2038" w:type="dxa"/>
          </w:tcPr>
          <w:p w14:paraId="212C9D2E" w14:textId="77777777" w:rsidR="00B653E4" w:rsidRPr="00F17139" w:rsidRDefault="00B653E4" w:rsidP="00DA51D1">
            <w:pPr>
              <w:pStyle w:val="Normalpara"/>
            </w:pPr>
            <w:r>
              <w:t>MRI</w:t>
            </w:r>
          </w:p>
        </w:tc>
        <w:tc>
          <w:tcPr>
            <w:tcW w:w="6330" w:type="dxa"/>
          </w:tcPr>
          <w:p w14:paraId="4796C2FB" w14:textId="77777777" w:rsidR="00B653E4" w:rsidRPr="00F17139" w:rsidRDefault="00B653E4" w:rsidP="00DA51D1">
            <w:pPr>
              <w:pStyle w:val="Normalpara"/>
            </w:pPr>
            <w:r>
              <w:t>Magnetic resonance imaging</w:t>
            </w:r>
          </w:p>
        </w:tc>
      </w:tr>
      <w:tr w:rsidR="00B653E4" w:rsidRPr="00F17139" w14:paraId="1883A24E" w14:textId="77777777" w:rsidTr="00C9672D">
        <w:tc>
          <w:tcPr>
            <w:tcW w:w="2038" w:type="dxa"/>
            <w:hideMark/>
          </w:tcPr>
          <w:p w14:paraId="38F61840" w14:textId="77777777" w:rsidR="00B653E4" w:rsidRPr="00F17139" w:rsidRDefault="00B653E4" w:rsidP="00DA51D1">
            <w:pPr>
              <w:pStyle w:val="Normalpara"/>
            </w:pPr>
            <w:r w:rsidRPr="00F17139">
              <w:t>MSAC</w:t>
            </w:r>
          </w:p>
        </w:tc>
        <w:tc>
          <w:tcPr>
            <w:tcW w:w="6330" w:type="dxa"/>
            <w:hideMark/>
          </w:tcPr>
          <w:p w14:paraId="540D2CFC" w14:textId="77777777" w:rsidR="00B653E4" w:rsidRPr="00F17139" w:rsidRDefault="00B653E4" w:rsidP="00DA51D1">
            <w:pPr>
              <w:pStyle w:val="Normalpara"/>
            </w:pPr>
            <w:r w:rsidRPr="00F17139">
              <w:t>Medical Services Advisory Committee</w:t>
            </w:r>
          </w:p>
        </w:tc>
      </w:tr>
      <w:tr w:rsidR="00B653E4" w:rsidRPr="00F17139" w14:paraId="39A6DAAA" w14:textId="77777777" w:rsidTr="00C9672D">
        <w:tc>
          <w:tcPr>
            <w:tcW w:w="2038" w:type="dxa"/>
          </w:tcPr>
          <w:p w14:paraId="0CF64D40" w14:textId="77777777" w:rsidR="00B653E4" w:rsidRPr="00F17139" w:rsidRDefault="00B653E4" w:rsidP="00DA51D1">
            <w:pPr>
              <w:pStyle w:val="Normalpara"/>
            </w:pPr>
            <w:r>
              <w:t>NHMRC</w:t>
            </w:r>
          </w:p>
        </w:tc>
        <w:tc>
          <w:tcPr>
            <w:tcW w:w="6330" w:type="dxa"/>
          </w:tcPr>
          <w:p w14:paraId="5FFE4B97" w14:textId="77777777" w:rsidR="00B653E4" w:rsidRPr="00F17139" w:rsidRDefault="00B653E4" w:rsidP="00DA51D1">
            <w:pPr>
              <w:pStyle w:val="Normalpara"/>
            </w:pPr>
            <w:r>
              <w:t>National Health and Medicine Research Council</w:t>
            </w:r>
          </w:p>
        </w:tc>
      </w:tr>
      <w:tr w:rsidR="00B653E4" w:rsidRPr="00F17139" w14:paraId="4861C54B" w14:textId="77777777" w:rsidTr="00C9672D">
        <w:tc>
          <w:tcPr>
            <w:tcW w:w="2038" w:type="dxa"/>
            <w:hideMark/>
          </w:tcPr>
          <w:p w14:paraId="511F7A6F" w14:textId="77777777" w:rsidR="00B653E4" w:rsidRPr="00F17139" w:rsidRDefault="00B653E4" w:rsidP="00DA51D1">
            <w:pPr>
              <w:pStyle w:val="Normalpara"/>
            </w:pPr>
            <w:r w:rsidRPr="00F17139">
              <w:t>No change or leave unchanged</w:t>
            </w:r>
          </w:p>
        </w:tc>
        <w:tc>
          <w:tcPr>
            <w:tcW w:w="6330" w:type="dxa"/>
            <w:hideMark/>
          </w:tcPr>
          <w:p w14:paraId="3FA8C386" w14:textId="77777777" w:rsidR="00B653E4" w:rsidRPr="00F17139" w:rsidRDefault="00B653E4" w:rsidP="00DA51D1">
            <w:pPr>
              <w:pStyle w:val="Normalpara"/>
            </w:pPr>
            <w:r w:rsidRPr="00F17139">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B653E4" w:rsidRPr="00F17139" w14:paraId="21200E97" w14:textId="77777777" w:rsidTr="00C9672D">
        <w:tc>
          <w:tcPr>
            <w:tcW w:w="2038" w:type="dxa"/>
            <w:hideMark/>
          </w:tcPr>
          <w:p w14:paraId="69DAB160" w14:textId="77777777" w:rsidR="00B653E4" w:rsidRPr="00F17139" w:rsidRDefault="00B653E4" w:rsidP="00DA51D1">
            <w:pPr>
              <w:pStyle w:val="Normalpara"/>
            </w:pPr>
            <w:r w:rsidRPr="00F17139">
              <w:t>Obsolete services / items</w:t>
            </w:r>
          </w:p>
        </w:tc>
        <w:tc>
          <w:tcPr>
            <w:tcW w:w="6330" w:type="dxa"/>
            <w:hideMark/>
          </w:tcPr>
          <w:p w14:paraId="05D395A2" w14:textId="77777777" w:rsidR="00B653E4" w:rsidRPr="00F17139" w:rsidRDefault="00B653E4" w:rsidP="00DA51D1">
            <w:pPr>
              <w:pStyle w:val="Normalpara"/>
            </w:pPr>
            <w:r w:rsidRPr="00F17139">
              <w:t>Services that should no longer be performed because they do not represent current clinical best practice and have been superseded by superior tests or procedures.</w:t>
            </w:r>
          </w:p>
        </w:tc>
      </w:tr>
      <w:tr w:rsidR="00B653E4" w:rsidRPr="00F17139" w14:paraId="56B621C5" w14:textId="77777777" w:rsidTr="00C9672D">
        <w:tc>
          <w:tcPr>
            <w:tcW w:w="2038" w:type="dxa"/>
          </w:tcPr>
          <w:p w14:paraId="65DC8D2C" w14:textId="77777777" w:rsidR="00B653E4" w:rsidRPr="00F17139" w:rsidRDefault="00B653E4" w:rsidP="00DA51D1">
            <w:pPr>
              <w:pStyle w:val="Normalpara"/>
            </w:pPr>
            <w:r w:rsidRPr="00F17139">
              <w:t>PBS</w:t>
            </w:r>
          </w:p>
        </w:tc>
        <w:tc>
          <w:tcPr>
            <w:tcW w:w="6330" w:type="dxa"/>
          </w:tcPr>
          <w:p w14:paraId="5920B46A" w14:textId="77777777" w:rsidR="00B653E4" w:rsidRPr="00F17139" w:rsidRDefault="00B653E4" w:rsidP="00DA51D1">
            <w:pPr>
              <w:pStyle w:val="Normalpara"/>
            </w:pPr>
            <w:r w:rsidRPr="00F17139">
              <w:t>Pharmaceutical Benefits Scheme</w:t>
            </w:r>
          </w:p>
        </w:tc>
      </w:tr>
      <w:tr w:rsidR="00B653E4" w:rsidRPr="00F17139" w14:paraId="65065930" w14:textId="77777777" w:rsidTr="00C9672D">
        <w:tc>
          <w:tcPr>
            <w:tcW w:w="2038" w:type="dxa"/>
          </w:tcPr>
          <w:p w14:paraId="243A658C" w14:textId="77777777" w:rsidR="00B653E4" w:rsidRPr="00F17139" w:rsidRDefault="00B653E4" w:rsidP="00DA51D1">
            <w:pPr>
              <w:pStyle w:val="Normalpara"/>
            </w:pPr>
            <w:r>
              <w:t>PCC</w:t>
            </w:r>
          </w:p>
        </w:tc>
        <w:tc>
          <w:tcPr>
            <w:tcW w:w="6330" w:type="dxa"/>
          </w:tcPr>
          <w:p w14:paraId="6F5683AC" w14:textId="77777777" w:rsidR="00B653E4" w:rsidRPr="00F17139" w:rsidRDefault="00B653E4" w:rsidP="00DA51D1">
            <w:pPr>
              <w:pStyle w:val="Normalpara"/>
            </w:pPr>
            <w:r>
              <w:t>Pathology Clinical Committee</w:t>
            </w:r>
          </w:p>
        </w:tc>
      </w:tr>
      <w:tr w:rsidR="00B653E4" w14:paraId="68F22DC3" w14:textId="77777777" w:rsidTr="00C9672D">
        <w:tc>
          <w:tcPr>
            <w:tcW w:w="2038" w:type="dxa"/>
          </w:tcPr>
          <w:p w14:paraId="3F988272" w14:textId="77777777" w:rsidR="00B653E4" w:rsidRDefault="00B653E4" w:rsidP="00DA51D1">
            <w:pPr>
              <w:pStyle w:val="Normalpara"/>
            </w:pPr>
            <w:r>
              <w:t>PHN</w:t>
            </w:r>
          </w:p>
        </w:tc>
        <w:tc>
          <w:tcPr>
            <w:tcW w:w="6330" w:type="dxa"/>
          </w:tcPr>
          <w:p w14:paraId="58D11A7E" w14:textId="77777777" w:rsidR="00B653E4" w:rsidRDefault="00B653E4" w:rsidP="00DA51D1">
            <w:pPr>
              <w:pStyle w:val="Normalpara"/>
            </w:pPr>
            <w:r>
              <w:t>Primary Health Network</w:t>
            </w:r>
          </w:p>
        </w:tc>
      </w:tr>
      <w:tr w:rsidR="00B653E4" w:rsidRPr="00F17139" w14:paraId="118A6813" w14:textId="77777777" w:rsidTr="00C9672D">
        <w:tc>
          <w:tcPr>
            <w:tcW w:w="2038" w:type="dxa"/>
          </w:tcPr>
          <w:p w14:paraId="2DD27173" w14:textId="77777777" w:rsidR="00B653E4" w:rsidRPr="00F17139" w:rsidRDefault="00B653E4" w:rsidP="00DA51D1">
            <w:pPr>
              <w:pStyle w:val="Normalpara"/>
            </w:pPr>
            <w:r>
              <w:t>PSA</w:t>
            </w:r>
          </w:p>
        </w:tc>
        <w:tc>
          <w:tcPr>
            <w:tcW w:w="6330" w:type="dxa"/>
          </w:tcPr>
          <w:p w14:paraId="7D5719EC" w14:textId="77777777" w:rsidR="00B653E4" w:rsidRPr="00F17139" w:rsidRDefault="00B653E4" w:rsidP="00DA51D1">
            <w:pPr>
              <w:pStyle w:val="Normalpara"/>
            </w:pPr>
            <w:r>
              <w:t>Prostate-specific antigen</w:t>
            </w:r>
          </w:p>
        </w:tc>
      </w:tr>
      <w:tr w:rsidR="00B653E4" w14:paraId="51D060AB" w14:textId="77777777" w:rsidTr="00C9672D">
        <w:tc>
          <w:tcPr>
            <w:tcW w:w="2038" w:type="dxa"/>
          </w:tcPr>
          <w:p w14:paraId="05C765C4" w14:textId="77777777" w:rsidR="00B653E4" w:rsidRDefault="00B653E4" w:rsidP="00DA51D1">
            <w:pPr>
              <w:pStyle w:val="Normalpara"/>
            </w:pPr>
            <w:r>
              <w:t>RACGP</w:t>
            </w:r>
          </w:p>
        </w:tc>
        <w:tc>
          <w:tcPr>
            <w:tcW w:w="6330" w:type="dxa"/>
          </w:tcPr>
          <w:p w14:paraId="4D97C0E8" w14:textId="77777777" w:rsidR="00B653E4" w:rsidRDefault="00B653E4" w:rsidP="00DA51D1">
            <w:pPr>
              <w:pStyle w:val="Normalpara"/>
            </w:pPr>
            <w:r>
              <w:t>Royal Australian College of General Practitioners</w:t>
            </w:r>
          </w:p>
        </w:tc>
      </w:tr>
      <w:tr w:rsidR="00B653E4" w:rsidRPr="00F17139" w14:paraId="3076F11A" w14:textId="77777777" w:rsidTr="00C9672D">
        <w:tc>
          <w:tcPr>
            <w:tcW w:w="2038" w:type="dxa"/>
          </w:tcPr>
          <w:p w14:paraId="42195889" w14:textId="77777777" w:rsidR="00B653E4" w:rsidRPr="00F17139" w:rsidRDefault="00B653E4" w:rsidP="00DA51D1">
            <w:pPr>
              <w:pStyle w:val="Normalpara"/>
            </w:pPr>
            <w:r>
              <w:t>RANZCR</w:t>
            </w:r>
          </w:p>
        </w:tc>
        <w:tc>
          <w:tcPr>
            <w:tcW w:w="6330" w:type="dxa"/>
          </w:tcPr>
          <w:p w14:paraId="6166667F" w14:textId="77777777" w:rsidR="00B653E4" w:rsidRPr="00F17139" w:rsidRDefault="00B653E4" w:rsidP="00DA51D1">
            <w:pPr>
              <w:pStyle w:val="Normalpara"/>
            </w:pPr>
            <w:r>
              <w:t>Royal Australian and New Zealand College of Radiologists</w:t>
            </w:r>
          </w:p>
        </w:tc>
      </w:tr>
      <w:tr w:rsidR="00B653E4" w:rsidRPr="00F17139" w14:paraId="6881EE86" w14:textId="77777777" w:rsidTr="00C9672D">
        <w:tc>
          <w:tcPr>
            <w:tcW w:w="2038" w:type="dxa"/>
          </w:tcPr>
          <w:p w14:paraId="5E0C398D" w14:textId="77777777" w:rsidR="00B653E4" w:rsidRPr="00F17139" w:rsidRDefault="00B653E4" w:rsidP="00DA51D1">
            <w:pPr>
              <w:pStyle w:val="Normalpara"/>
            </w:pPr>
            <w:r>
              <w:t>RCPA</w:t>
            </w:r>
          </w:p>
        </w:tc>
        <w:tc>
          <w:tcPr>
            <w:tcW w:w="6330" w:type="dxa"/>
          </w:tcPr>
          <w:p w14:paraId="1608BE87" w14:textId="77777777" w:rsidR="00B653E4" w:rsidRPr="00F17139" w:rsidRDefault="00B653E4" w:rsidP="00DA51D1">
            <w:pPr>
              <w:pStyle w:val="Normalpara"/>
            </w:pPr>
            <w:r>
              <w:t>Royal College of Pathologists Australasia</w:t>
            </w:r>
          </w:p>
        </w:tc>
      </w:tr>
      <w:tr w:rsidR="00B653E4" w:rsidRPr="00F17139" w14:paraId="2584D9FA" w14:textId="77777777" w:rsidTr="00C9672D">
        <w:tc>
          <w:tcPr>
            <w:tcW w:w="2038" w:type="dxa"/>
            <w:hideMark/>
          </w:tcPr>
          <w:p w14:paraId="5BA86E55" w14:textId="77777777" w:rsidR="00B653E4" w:rsidRPr="00F17139" w:rsidRDefault="00B653E4" w:rsidP="00DA51D1">
            <w:pPr>
              <w:pStyle w:val="Normalpara"/>
            </w:pPr>
            <w:r w:rsidRPr="00F17139">
              <w:t xml:space="preserve">The Committee </w:t>
            </w:r>
          </w:p>
        </w:tc>
        <w:tc>
          <w:tcPr>
            <w:tcW w:w="6330" w:type="dxa"/>
            <w:hideMark/>
          </w:tcPr>
          <w:p w14:paraId="679DA30B" w14:textId="77777777" w:rsidR="00B653E4" w:rsidRPr="00F17139" w:rsidRDefault="00B653E4" w:rsidP="00DA51D1">
            <w:pPr>
              <w:pStyle w:val="Normalpara"/>
            </w:pPr>
            <w:r w:rsidRPr="00F17139">
              <w:t>The Diagnostic Medicine Clinical Committee of the MBS Review</w:t>
            </w:r>
          </w:p>
        </w:tc>
      </w:tr>
      <w:tr w:rsidR="00B653E4" w:rsidRPr="00F17139" w14:paraId="05CCED08" w14:textId="77777777" w:rsidTr="00C9672D">
        <w:tc>
          <w:tcPr>
            <w:tcW w:w="2038" w:type="dxa"/>
            <w:hideMark/>
          </w:tcPr>
          <w:p w14:paraId="74AB24C2" w14:textId="77777777" w:rsidR="00B653E4" w:rsidRPr="00F17139" w:rsidRDefault="00B653E4" w:rsidP="00DA51D1">
            <w:pPr>
              <w:pStyle w:val="Normalpara"/>
            </w:pPr>
            <w:r w:rsidRPr="00F17139">
              <w:t xml:space="preserve">The Taskforce </w:t>
            </w:r>
          </w:p>
        </w:tc>
        <w:tc>
          <w:tcPr>
            <w:tcW w:w="6330" w:type="dxa"/>
            <w:hideMark/>
          </w:tcPr>
          <w:p w14:paraId="64AE179E" w14:textId="77777777" w:rsidR="00B653E4" w:rsidRPr="00F17139" w:rsidRDefault="00B653E4" w:rsidP="00DA51D1">
            <w:pPr>
              <w:pStyle w:val="Normalpara"/>
            </w:pPr>
            <w:r w:rsidRPr="00F17139">
              <w:t xml:space="preserve">The MBS Review Taskforce </w:t>
            </w:r>
          </w:p>
        </w:tc>
      </w:tr>
      <w:tr w:rsidR="00B653E4" w:rsidRPr="00F17139" w14:paraId="33216BFE" w14:textId="77777777" w:rsidTr="00C9672D">
        <w:tc>
          <w:tcPr>
            <w:tcW w:w="2038" w:type="dxa"/>
          </w:tcPr>
          <w:p w14:paraId="21ADFD36" w14:textId="77777777" w:rsidR="00B653E4" w:rsidRPr="00F17139" w:rsidRDefault="00B653E4" w:rsidP="00DA51D1">
            <w:pPr>
              <w:pStyle w:val="Normalpara"/>
            </w:pPr>
            <w:r w:rsidRPr="00F17139">
              <w:t>Total benefits</w:t>
            </w:r>
          </w:p>
        </w:tc>
        <w:tc>
          <w:tcPr>
            <w:tcW w:w="6330" w:type="dxa"/>
          </w:tcPr>
          <w:p w14:paraId="2AD7C807" w14:textId="77777777" w:rsidR="00B653E4" w:rsidRPr="00F17139" w:rsidRDefault="00B653E4" w:rsidP="00DA51D1">
            <w:pPr>
              <w:pStyle w:val="Normalpara"/>
            </w:pPr>
            <w:r w:rsidRPr="00F17139">
              <w:t>Total benefits paid in FY2015–16 unless otherwise specified.</w:t>
            </w:r>
          </w:p>
        </w:tc>
      </w:tr>
      <w:tr w:rsidR="00B653E4" w:rsidRPr="00F17139" w14:paraId="1603C673" w14:textId="77777777" w:rsidTr="00C9672D">
        <w:tc>
          <w:tcPr>
            <w:tcW w:w="2038" w:type="dxa"/>
          </w:tcPr>
          <w:p w14:paraId="2438B2A3" w14:textId="77777777" w:rsidR="00B653E4" w:rsidRPr="00F17139" w:rsidRDefault="00B653E4" w:rsidP="00DA51D1">
            <w:pPr>
              <w:pStyle w:val="Normalpara"/>
            </w:pPr>
            <w:r>
              <w:t>TSH</w:t>
            </w:r>
          </w:p>
        </w:tc>
        <w:tc>
          <w:tcPr>
            <w:tcW w:w="6330" w:type="dxa"/>
          </w:tcPr>
          <w:p w14:paraId="2E29D602" w14:textId="77777777" w:rsidR="00B653E4" w:rsidRPr="00F17139" w:rsidRDefault="00B653E4" w:rsidP="00DA51D1">
            <w:pPr>
              <w:pStyle w:val="Normalpara"/>
            </w:pPr>
            <w:r>
              <w:t>Thyroid stimulating hormone</w:t>
            </w:r>
          </w:p>
        </w:tc>
      </w:tr>
      <w:tr w:rsidR="00B653E4" w14:paraId="507F08EB" w14:textId="77777777" w:rsidTr="00C9672D">
        <w:tc>
          <w:tcPr>
            <w:tcW w:w="2038" w:type="dxa"/>
          </w:tcPr>
          <w:p w14:paraId="29E0D457" w14:textId="77777777" w:rsidR="00B653E4" w:rsidRDefault="00B653E4" w:rsidP="00DA51D1">
            <w:pPr>
              <w:pStyle w:val="Normalpara"/>
            </w:pPr>
            <w:r>
              <w:t>TST</w:t>
            </w:r>
          </w:p>
        </w:tc>
        <w:tc>
          <w:tcPr>
            <w:tcW w:w="6330" w:type="dxa"/>
          </w:tcPr>
          <w:p w14:paraId="313EC7AD" w14:textId="77777777" w:rsidR="00B653E4" w:rsidRDefault="00B653E4" w:rsidP="00DA51D1">
            <w:pPr>
              <w:pStyle w:val="Normalpara"/>
            </w:pPr>
            <w:r>
              <w:t>Thyroid function test</w:t>
            </w:r>
          </w:p>
        </w:tc>
      </w:tr>
      <w:tr w:rsidR="00B653E4" w14:paraId="00A96C51" w14:textId="77777777" w:rsidTr="00C9672D">
        <w:tc>
          <w:tcPr>
            <w:tcW w:w="2038" w:type="dxa"/>
          </w:tcPr>
          <w:p w14:paraId="34860DBE" w14:textId="77777777" w:rsidR="00B653E4" w:rsidRDefault="00B653E4" w:rsidP="00DA51D1">
            <w:pPr>
              <w:pStyle w:val="Normalpara"/>
            </w:pPr>
            <w:r>
              <w:t>USANZ</w:t>
            </w:r>
          </w:p>
        </w:tc>
        <w:tc>
          <w:tcPr>
            <w:tcW w:w="6330" w:type="dxa"/>
          </w:tcPr>
          <w:p w14:paraId="15C9FADB" w14:textId="77777777" w:rsidR="00B653E4" w:rsidRDefault="00B653E4" w:rsidP="00DA51D1">
            <w:pPr>
              <w:pStyle w:val="Normalpara"/>
            </w:pPr>
            <w:r>
              <w:t>Urological Society of Australia and New Zealand</w:t>
            </w:r>
          </w:p>
        </w:tc>
      </w:tr>
    </w:tbl>
    <w:p w14:paraId="7EAD2136" w14:textId="01AC057F" w:rsidR="00C9672D" w:rsidRDefault="008D73B5" w:rsidP="005670CF">
      <w:pPr>
        <w:pStyle w:val="ApDHead1"/>
        <w:sectPr w:rsidR="00C9672D" w:rsidSect="00151F01">
          <w:headerReference w:type="even" r:id="rId20"/>
          <w:headerReference w:type="default" r:id="rId21"/>
          <w:footerReference w:type="even" r:id="rId22"/>
          <w:headerReference w:type="first" r:id="rId23"/>
          <w:footerReference w:type="first" r:id="rId24"/>
          <w:pgSz w:w="11906" w:h="16838" w:code="9"/>
          <w:pgMar w:top="1440" w:right="1440" w:bottom="1276" w:left="1440" w:header="720" w:footer="720" w:gutter="0"/>
          <w:paperSrc w:first="2" w:other="2"/>
          <w:cols w:space="720"/>
          <w:docGrid w:linePitch="326"/>
        </w:sectPr>
      </w:pPr>
      <w:bookmarkStart w:id="303" w:name="_Toc525740548"/>
      <w:bookmarkStart w:id="304" w:name="_Toc525816111"/>
      <w:r w:rsidRPr="005670CF">
        <w:lastRenderedPageBreak/>
        <w:t>Appendix C</w:t>
      </w:r>
      <w:r w:rsidR="00C9672D" w:rsidRPr="00945251">
        <w:rPr>
          <w:rStyle w:val="HTMLCite"/>
          <w:iCs/>
        </w:rPr>
        <w:t xml:space="preserve"> </w:t>
      </w:r>
      <w:r w:rsidR="00C9672D">
        <w:rPr>
          <w:rStyle w:val="HTMLCite"/>
          <w:iCs/>
        </w:rPr>
        <w:t>–</w:t>
      </w:r>
      <w:r w:rsidR="00C9672D" w:rsidRPr="00945251">
        <w:rPr>
          <w:rStyle w:val="HTMLCite"/>
          <w:iCs/>
        </w:rPr>
        <w:t xml:space="preserve"> </w:t>
      </w:r>
      <w:r w:rsidR="00C9672D">
        <w:t>Literature review: Interventions to improve the appropriateness and clinical utility of diagnostic investigation</w:t>
      </w:r>
      <w:bookmarkEnd w:id="303"/>
      <w:bookmarkEnd w:id="304"/>
    </w:p>
    <w:p w14:paraId="52E000E4" w14:textId="77777777" w:rsidR="00C9672D" w:rsidRPr="00553C63" w:rsidRDefault="00C9672D" w:rsidP="00553C63">
      <w:pPr>
        <w:pStyle w:val="Subtitle"/>
      </w:pPr>
      <w:r>
        <w:lastRenderedPageBreak/>
        <w:t>A Review for the Medicare Review Taskforce</w:t>
      </w:r>
    </w:p>
    <w:p w14:paraId="3F0300A5" w14:textId="77777777" w:rsidR="005670CF" w:rsidRDefault="00C9672D" w:rsidP="00553C63">
      <w:pPr>
        <w:pStyle w:val="Title"/>
        <w:outlineLvl w:val="0"/>
      </w:pPr>
      <w:r w:rsidRPr="005A46ED">
        <w:t>Interventions to improve the appropriateness and clinical utility of diagnostic investigations</w:t>
      </w:r>
    </w:p>
    <w:p w14:paraId="768EFBF9" w14:textId="0CDE161D" w:rsidR="00C9672D" w:rsidRPr="00E82749" w:rsidRDefault="00C9672D" w:rsidP="00553C63">
      <w:pPr>
        <w:pStyle w:val="Subtitle"/>
        <w:pBdr>
          <w:top w:val="none" w:sz="0" w:space="0" w:color="auto"/>
        </w:pBdr>
      </w:pPr>
      <w:r>
        <w:t xml:space="preserve">March </w:t>
      </w:r>
      <w:r w:rsidRPr="00E82749">
        <w:t>2017</w:t>
      </w:r>
    </w:p>
    <w:p w14:paraId="41005329" w14:textId="54C31EF7" w:rsidR="00C9672D" w:rsidRPr="00396C76" w:rsidRDefault="00C9672D" w:rsidP="00C9672D">
      <w:pPr>
        <w:pStyle w:val="BodyText1"/>
      </w:pPr>
      <w:r w:rsidRPr="00396C76">
        <w:br w:type="page"/>
      </w:r>
      <w:r w:rsidRPr="00396C76">
        <w:lastRenderedPageBreak/>
        <w:t>©</w:t>
      </w:r>
      <w:r w:rsidRPr="00396C76">
        <w:fldChar w:fldCharType="begin"/>
      </w:r>
      <w:r w:rsidRPr="00396C76">
        <w:instrText xml:space="preserve"> DATE  \@ "yyyy"  \* MERGEFORMAT </w:instrText>
      </w:r>
      <w:r w:rsidRPr="00396C76">
        <w:fldChar w:fldCharType="separate"/>
      </w:r>
      <w:r w:rsidR="00041F25">
        <w:rPr>
          <w:noProof/>
        </w:rPr>
        <w:t>2020</w:t>
      </w:r>
      <w:r w:rsidRPr="00396C76">
        <w:fldChar w:fldCharType="end"/>
      </w:r>
      <w:r w:rsidRPr="00396C76">
        <w:t xml:space="preserve"> Natio</w:t>
      </w:r>
      <w:r>
        <w:t>nal Prescribing Service Limited</w:t>
      </w:r>
    </w:p>
    <w:p w14:paraId="44832848" w14:textId="77777777" w:rsidR="00C9672D" w:rsidRPr="00396C76" w:rsidRDefault="00C9672D" w:rsidP="00C9672D">
      <w:pPr>
        <w:pStyle w:val="BodyText1"/>
      </w:pPr>
      <w:r w:rsidRPr="00396C76">
        <w:t xml:space="preserve">This work is copyright. You may download, display print and reproduce this work in unaltered form (only retaining this notice) </w:t>
      </w:r>
      <w:r w:rsidRPr="009A66DC">
        <w:t>for non-</w:t>
      </w:r>
      <w:r w:rsidRPr="001170C9">
        <w:t>commercial</w:t>
      </w:r>
      <w:r w:rsidRPr="009A66DC">
        <w:t xml:space="preserve"> use either personally or within </w:t>
      </w:r>
      <w:r w:rsidRPr="001170C9">
        <w:t>your organisation. Apart from any such use or otherwise as permitted</w:t>
      </w:r>
      <w:r w:rsidRPr="00396C76">
        <w:t xml:space="preserve"> </w:t>
      </w:r>
      <w:r w:rsidRPr="001170C9">
        <w:t>under the Copyright Act</w:t>
      </w:r>
      <w:r w:rsidRPr="00396C76">
        <w:t xml:space="preserve"> </w:t>
      </w:r>
      <w:r w:rsidRPr="005F360B">
        <w:t>1968,</w:t>
      </w:r>
      <w:r w:rsidRPr="00396C76">
        <w:t xml:space="preserve"> all </w:t>
      </w:r>
      <w:r w:rsidRPr="00E8235B">
        <w:t>rights</w:t>
      </w:r>
      <w:r w:rsidRPr="00396C76">
        <w:t xml:space="preserve"> are reserved.</w:t>
      </w:r>
    </w:p>
    <w:p w14:paraId="76AD2A92" w14:textId="77777777" w:rsidR="00C9672D" w:rsidRPr="00E8235B" w:rsidRDefault="00C9672D" w:rsidP="00C9672D">
      <w:pPr>
        <w:pStyle w:val="BodyText1"/>
      </w:pPr>
      <w:r w:rsidRPr="00396C76">
        <w:t xml:space="preserve">This work may contain other works (subworks) reproduced with permission from third party copyright owners. Please ensure that you have permission from the copyright owner or pursuant to the Copyright Act before using </w:t>
      </w:r>
      <w:r w:rsidRPr="00E8235B">
        <w:t>such subworks.</w:t>
      </w:r>
    </w:p>
    <w:p w14:paraId="7C4E7F3D" w14:textId="0495F22B" w:rsidR="00C9672D" w:rsidRPr="00396C76" w:rsidRDefault="00C9672D" w:rsidP="00C9672D">
      <w:pPr>
        <w:pStyle w:val="BodyText1"/>
      </w:pPr>
      <w:r w:rsidRPr="00396C76">
        <w:t xml:space="preserve">Queries concerning reproduction and rights should be sent to </w:t>
      </w:r>
      <w:hyperlink r:id="rId25" w:history="1">
        <w:r w:rsidRPr="00396C76">
          <w:rPr>
            <w:rStyle w:val="Hyperlink"/>
            <w:bCs/>
            <w:iCs/>
          </w:rPr>
          <w:t>info@nps.org.au</w:t>
        </w:r>
      </w:hyperlink>
      <w:r w:rsidRPr="00396C76">
        <w:t>.</w:t>
      </w:r>
    </w:p>
    <w:p w14:paraId="082220B6" w14:textId="780BFE49" w:rsidR="00267803" w:rsidRPr="00553C63" w:rsidRDefault="00C9672D" w:rsidP="00553C63">
      <w:pPr>
        <w:pStyle w:val="ApDCont"/>
      </w:pPr>
      <w:r w:rsidRPr="00396C76">
        <w:br w:type="page"/>
      </w:r>
      <w:bookmarkStart w:id="305" w:name="_Toc525816112"/>
      <w:r w:rsidRPr="00BA665C">
        <w:lastRenderedPageBreak/>
        <w:t>Contents</w:t>
      </w:r>
      <w:bookmarkEnd w:id="305"/>
      <w:r>
        <w:rPr>
          <w:rFonts w:cs="Times New Roman"/>
          <w:i/>
          <w:sz w:val="20"/>
          <w:szCs w:val="24"/>
          <w:lang w:val="en-AU"/>
        </w:rPr>
        <w:fldChar w:fldCharType="begin"/>
      </w:r>
      <w:r>
        <w:instrText xml:space="preserve"> TOC \h \z \t "ApD Head 1,1,ApD Head 2,2,ApD Head 3,3,ApD 1 Head,1,ApD 2 Head,2,ApD 3 Head,3" </w:instrText>
      </w:r>
      <w:r>
        <w:rPr>
          <w:rFonts w:cs="Times New Roman"/>
          <w:i/>
          <w:sz w:val="20"/>
          <w:szCs w:val="24"/>
          <w:lang w:val="en-AU"/>
        </w:rPr>
        <w:fldChar w:fldCharType="separate"/>
      </w:r>
    </w:p>
    <w:p w14:paraId="204D96D3" w14:textId="77777777" w:rsidR="00267803" w:rsidRDefault="00041F25" w:rsidP="00D20CCE">
      <w:pPr>
        <w:pStyle w:val="TOC1"/>
        <w:rPr>
          <w:rFonts w:eastAsiaTheme="minorEastAsia" w:cstheme="minorBidi"/>
          <w:noProof/>
          <w:sz w:val="22"/>
          <w:szCs w:val="22"/>
        </w:rPr>
      </w:pPr>
      <w:hyperlink w:anchor="_Toc525740549" w:history="1">
        <w:r w:rsidR="00267803" w:rsidRPr="00945CC8">
          <w:rPr>
            <w:rStyle w:val="Hyperlink"/>
            <w:noProof/>
          </w:rPr>
          <w:t>Abbreviations</w:t>
        </w:r>
        <w:r w:rsidR="00267803">
          <w:rPr>
            <w:noProof/>
            <w:webHidden/>
          </w:rPr>
          <w:tab/>
        </w:r>
        <w:r w:rsidR="00267803">
          <w:rPr>
            <w:noProof/>
            <w:webHidden/>
          </w:rPr>
          <w:fldChar w:fldCharType="begin"/>
        </w:r>
        <w:r w:rsidR="00267803">
          <w:rPr>
            <w:noProof/>
            <w:webHidden/>
          </w:rPr>
          <w:instrText xml:space="preserve"> PAGEREF _Toc525740549 \h </w:instrText>
        </w:r>
        <w:r w:rsidR="00267803">
          <w:rPr>
            <w:noProof/>
            <w:webHidden/>
          </w:rPr>
        </w:r>
        <w:r w:rsidR="00267803">
          <w:rPr>
            <w:noProof/>
            <w:webHidden/>
          </w:rPr>
          <w:fldChar w:fldCharType="separate"/>
        </w:r>
        <w:r w:rsidR="00267803">
          <w:rPr>
            <w:noProof/>
            <w:webHidden/>
          </w:rPr>
          <w:t>5</w:t>
        </w:r>
        <w:r w:rsidR="00267803">
          <w:rPr>
            <w:noProof/>
            <w:webHidden/>
          </w:rPr>
          <w:fldChar w:fldCharType="end"/>
        </w:r>
      </w:hyperlink>
    </w:p>
    <w:p w14:paraId="5B9FD2AD" w14:textId="77777777" w:rsidR="00267803" w:rsidRDefault="00041F25" w:rsidP="00D20CCE">
      <w:pPr>
        <w:pStyle w:val="TOC1"/>
        <w:rPr>
          <w:rFonts w:eastAsiaTheme="minorEastAsia" w:cstheme="minorBidi"/>
          <w:noProof/>
          <w:sz w:val="22"/>
          <w:szCs w:val="22"/>
        </w:rPr>
      </w:pPr>
      <w:hyperlink w:anchor="_Toc525740550" w:history="1">
        <w:r w:rsidR="00267803" w:rsidRPr="00945CC8">
          <w:rPr>
            <w:rStyle w:val="Hyperlink"/>
            <w:noProof/>
          </w:rPr>
          <w:t>Executive summary</w:t>
        </w:r>
        <w:r w:rsidR="00267803">
          <w:rPr>
            <w:noProof/>
            <w:webHidden/>
          </w:rPr>
          <w:tab/>
        </w:r>
        <w:r w:rsidR="00267803">
          <w:rPr>
            <w:noProof/>
            <w:webHidden/>
          </w:rPr>
          <w:fldChar w:fldCharType="begin"/>
        </w:r>
        <w:r w:rsidR="00267803">
          <w:rPr>
            <w:noProof/>
            <w:webHidden/>
          </w:rPr>
          <w:instrText xml:space="preserve"> PAGEREF _Toc525740550 \h </w:instrText>
        </w:r>
        <w:r w:rsidR="00267803">
          <w:rPr>
            <w:noProof/>
            <w:webHidden/>
          </w:rPr>
        </w:r>
        <w:r w:rsidR="00267803">
          <w:rPr>
            <w:noProof/>
            <w:webHidden/>
          </w:rPr>
          <w:fldChar w:fldCharType="separate"/>
        </w:r>
        <w:r w:rsidR="00267803">
          <w:rPr>
            <w:noProof/>
            <w:webHidden/>
          </w:rPr>
          <w:t>6</w:t>
        </w:r>
        <w:r w:rsidR="00267803">
          <w:rPr>
            <w:noProof/>
            <w:webHidden/>
          </w:rPr>
          <w:fldChar w:fldCharType="end"/>
        </w:r>
      </w:hyperlink>
    </w:p>
    <w:p w14:paraId="1D620F44" w14:textId="77777777" w:rsidR="00267803" w:rsidRDefault="00041F25">
      <w:pPr>
        <w:pStyle w:val="TOC2"/>
        <w:tabs>
          <w:tab w:val="right" w:leader="dot" w:pos="9061"/>
        </w:tabs>
        <w:rPr>
          <w:rFonts w:eastAsiaTheme="minorEastAsia" w:cstheme="minorBidi"/>
          <w:b w:val="0"/>
          <w:bCs w:val="0"/>
          <w:noProof/>
        </w:rPr>
      </w:pPr>
      <w:hyperlink w:anchor="_Toc525740551" w:history="1">
        <w:r w:rsidR="00267803" w:rsidRPr="00945CC8">
          <w:rPr>
            <w:rStyle w:val="Hyperlink"/>
            <w:noProof/>
          </w:rPr>
          <w:t>Literature search and review</w:t>
        </w:r>
        <w:r w:rsidR="00267803">
          <w:rPr>
            <w:noProof/>
            <w:webHidden/>
          </w:rPr>
          <w:tab/>
        </w:r>
        <w:r w:rsidR="00267803">
          <w:rPr>
            <w:noProof/>
            <w:webHidden/>
          </w:rPr>
          <w:fldChar w:fldCharType="begin"/>
        </w:r>
        <w:r w:rsidR="00267803">
          <w:rPr>
            <w:noProof/>
            <w:webHidden/>
          </w:rPr>
          <w:instrText xml:space="preserve"> PAGEREF _Toc525740551 \h </w:instrText>
        </w:r>
        <w:r w:rsidR="00267803">
          <w:rPr>
            <w:noProof/>
            <w:webHidden/>
          </w:rPr>
        </w:r>
        <w:r w:rsidR="00267803">
          <w:rPr>
            <w:noProof/>
            <w:webHidden/>
          </w:rPr>
          <w:fldChar w:fldCharType="separate"/>
        </w:r>
        <w:r w:rsidR="00267803">
          <w:rPr>
            <w:noProof/>
            <w:webHidden/>
          </w:rPr>
          <w:t>6</w:t>
        </w:r>
        <w:r w:rsidR="00267803">
          <w:rPr>
            <w:noProof/>
            <w:webHidden/>
          </w:rPr>
          <w:fldChar w:fldCharType="end"/>
        </w:r>
      </w:hyperlink>
    </w:p>
    <w:p w14:paraId="55F06411" w14:textId="77777777" w:rsidR="00267803" w:rsidRDefault="00041F25">
      <w:pPr>
        <w:pStyle w:val="TOC3"/>
        <w:tabs>
          <w:tab w:val="right" w:leader="dot" w:pos="9061"/>
        </w:tabs>
        <w:rPr>
          <w:rFonts w:eastAsiaTheme="minorEastAsia" w:cstheme="minorBidi"/>
          <w:noProof/>
          <w:sz w:val="22"/>
          <w:szCs w:val="22"/>
        </w:rPr>
      </w:pPr>
      <w:hyperlink w:anchor="_Toc525740552" w:history="1">
        <w:r w:rsidR="00267803" w:rsidRPr="00945CC8">
          <w:rPr>
            <w:rStyle w:val="Hyperlink"/>
            <w:noProof/>
          </w:rPr>
          <w:t>Literature search</w:t>
        </w:r>
        <w:r w:rsidR="00267803">
          <w:rPr>
            <w:noProof/>
            <w:webHidden/>
          </w:rPr>
          <w:tab/>
        </w:r>
        <w:r w:rsidR="00267803">
          <w:rPr>
            <w:noProof/>
            <w:webHidden/>
          </w:rPr>
          <w:fldChar w:fldCharType="begin"/>
        </w:r>
        <w:r w:rsidR="00267803">
          <w:rPr>
            <w:noProof/>
            <w:webHidden/>
          </w:rPr>
          <w:instrText xml:space="preserve"> PAGEREF _Toc525740552 \h </w:instrText>
        </w:r>
        <w:r w:rsidR="00267803">
          <w:rPr>
            <w:noProof/>
            <w:webHidden/>
          </w:rPr>
        </w:r>
        <w:r w:rsidR="00267803">
          <w:rPr>
            <w:noProof/>
            <w:webHidden/>
          </w:rPr>
          <w:fldChar w:fldCharType="separate"/>
        </w:r>
        <w:r w:rsidR="00267803">
          <w:rPr>
            <w:noProof/>
            <w:webHidden/>
          </w:rPr>
          <w:t>7</w:t>
        </w:r>
        <w:r w:rsidR="00267803">
          <w:rPr>
            <w:noProof/>
            <w:webHidden/>
          </w:rPr>
          <w:fldChar w:fldCharType="end"/>
        </w:r>
      </w:hyperlink>
    </w:p>
    <w:p w14:paraId="023BBB25" w14:textId="77777777" w:rsidR="00267803" w:rsidRDefault="00041F25">
      <w:pPr>
        <w:pStyle w:val="TOC3"/>
        <w:tabs>
          <w:tab w:val="right" w:leader="dot" w:pos="9061"/>
        </w:tabs>
        <w:rPr>
          <w:rFonts w:eastAsiaTheme="minorEastAsia" w:cstheme="minorBidi"/>
          <w:noProof/>
          <w:sz w:val="22"/>
          <w:szCs w:val="22"/>
        </w:rPr>
      </w:pPr>
      <w:hyperlink w:anchor="_Toc525740553" w:history="1">
        <w:r w:rsidR="00267803" w:rsidRPr="00945CC8">
          <w:rPr>
            <w:rStyle w:val="Hyperlink"/>
            <w:noProof/>
          </w:rPr>
          <w:t>Included studies</w:t>
        </w:r>
        <w:r w:rsidR="00267803">
          <w:rPr>
            <w:noProof/>
            <w:webHidden/>
          </w:rPr>
          <w:tab/>
        </w:r>
        <w:r w:rsidR="00267803">
          <w:rPr>
            <w:noProof/>
            <w:webHidden/>
          </w:rPr>
          <w:fldChar w:fldCharType="begin"/>
        </w:r>
        <w:r w:rsidR="00267803">
          <w:rPr>
            <w:noProof/>
            <w:webHidden/>
          </w:rPr>
          <w:instrText xml:space="preserve"> PAGEREF _Toc525740553 \h </w:instrText>
        </w:r>
        <w:r w:rsidR="00267803">
          <w:rPr>
            <w:noProof/>
            <w:webHidden/>
          </w:rPr>
        </w:r>
        <w:r w:rsidR="00267803">
          <w:rPr>
            <w:noProof/>
            <w:webHidden/>
          </w:rPr>
          <w:fldChar w:fldCharType="separate"/>
        </w:r>
        <w:r w:rsidR="00267803">
          <w:rPr>
            <w:noProof/>
            <w:webHidden/>
          </w:rPr>
          <w:t>7</w:t>
        </w:r>
        <w:r w:rsidR="00267803">
          <w:rPr>
            <w:noProof/>
            <w:webHidden/>
          </w:rPr>
          <w:fldChar w:fldCharType="end"/>
        </w:r>
      </w:hyperlink>
    </w:p>
    <w:p w14:paraId="48871B2F" w14:textId="77777777" w:rsidR="00267803" w:rsidRDefault="00041F25">
      <w:pPr>
        <w:pStyle w:val="TOC3"/>
        <w:tabs>
          <w:tab w:val="right" w:leader="dot" w:pos="9061"/>
        </w:tabs>
        <w:rPr>
          <w:rFonts w:eastAsiaTheme="minorEastAsia" w:cstheme="minorBidi"/>
          <w:noProof/>
          <w:sz w:val="22"/>
          <w:szCs w:val="22"/>
        </w:rPr>
      </w:pPr>
      <w:hyperlink w:anchor="_Toc525740554" w:history="1">
        <w:r w:rsidR="00267803" w:rsidRPr="00945CC8">
          <w:rPr>
            <w:rStyle w:val="Hyperlink"/>
            <w:noProof/>
          </w:rPr>
          <w:t>Key findings</w:t>
        </w:r>
        <w:r w:rsidR="00267803">
          <w:rPr>
            <w:noProof/>
            <w:webHidden/>
          </w:rPr>
          <w:tab/>
        </w:r>
        <w:r w:rsidR="00267803">
          <w:rPr>
            <w:noProof/>
            <w:webHidden/>
          </w:rPr>
          <w:fldChar w:fldCharType="begin"/>
        </w:r>
        <w:r w:rsidR="00267803">
          <w:rPr>
            <w:noProof/>
            <w:webHidden/>
          </w:rPr>
          <w:instrText xml:space="preserve"> PAGEREF _Toc525740554 \h </w:instrText>
        </w:r>
        <w:r w:rsidR="00267803">
          <w:rPr>
            <w:noProof/>
            <w:webHidden/>
          </w:rPr>
        </w:r>
        <w:r w:rsidR="00267803">
          <w:rPr>
            <w:noProof/>
            <w:webHidden/>
          </w:rPr>
          <w:fldChar w:fldCharType="separate"/>
        </w:r>
        <w:r w:rsidR="00267803">
          <w:rPr>
            <w:noProof/>
            <w:webHidden/>
          </w:rPr>
          <w:t>8</w:t>
        </w:r>
        <w:r w:rsidR="00267803">
          <w:rPr>
            <w:noProof/>
            <w:webHidden/>
          </w:rPr>
          <w:fldChar w:fldCharType="end"/>
        </w:r>
      </w:hyperlink>
    </w:p>
    <w:p w14:paraId="022AC261" w14:textId="77777777" w:rsidR="00267803" w:rsidRDefault="00041F25">
      <w:pPr>
        <w:pStyle w:val="TOC3"/>
        <w:tabs>
          <w:tab w:val="right" w:leader="dot" w:pos="9061"/>
        </w:tabs>
        <w:rPr>
          <w:rFonts w:eastAsiaTheme="minorEastAsia" w:cstheme="minorBidi"/>
          <w:noProof/>
          <w:sz w:val="22"/>
          <w:szCs w:val="22"/>
        </w:rPr>
      </w:pPr>
      <w:hyperlink w:anchor="_Toc525740555" w:history="1">
        <w:r w:rsidR="00267803" w:rsidRPr="00945CC8">
          <w:rPr>
            <w:rStyle w:val="Hyperlink"/>
            <w:noProof/>
          </w:rPr>
          <w:t>System-based interventions</w:t>
        </w:r>
        <w:r w:rsidR="00267803">
          <w:rPr>
            <w:noProof/>
            <w:webHidden/>
          </w:rPr>
          <w:tab/>
        </w:r>
        <w:r w:rsidR="00267803">
          <w:rPr>
            <w:noProof/>
            <w:webHidden/>
          </w:rPr>
          <w:fldChar w:fldCharType="begin"/>
        </w:r>
        <w:r w:rsidR="00267803">
          <w:rPr>
            <w:noProof/>
            <w:webHidden/>
          </w:rPr>
          <w:instrText xml:space="preserve"> PAGEREF _Toc525740555 \h </w:instrText>
        </w:r>
        <w:r w:rsidR="00267803">
          <w:rPr>
            <w:noProof/>
            <w:webHidden/>
          </w:rPr>
        </w:r>
        <w:r w:rsidR="00267803">
          <w:rPr>
            <w:noProof/>
            <w:webHidden/>
          </w:rPr>
          <w:fldChar w:fldCharType="separate"/>
        </w:r>
        <w:r w:rsidR="00267803">
          <w:rPr>
            <w:noProof/>
            <w:webHidden/>
          </w:rPr>
          <w:t>9</w:t>
        </w:r>
        <w:r w:rsidR="00267803">
          <w:rPr>
            <w:noProof/>
            <w:webHidden/>
          </w:rPr>
          <w:fldChar w:fldCharType="end"/>
        </w:r>
      </w:hyperlink>
    </w:p>
    <w:p w14:paraId="3D6FC7B9" w14:textId="77777777" w:rsidR="00267803" w:rsidRDefault="00041F25" w:rsidP="00D20CCE">
      <w:pPr>
        <w:pStyle w:val="TOC1"/>
        <w:rPr>
          <w:rFonts w:eastAsiaTheme="minorEastAsia" w:cstheme="minorBidi"/>
          <w:noProof/>
          <w:sz w:val="22"/>
          <w:szCs w:val="22"/>
        </w:rPr>
      </w:pPr>
      <w:hyperlink w:anchor="_Toc525740556" w:history="1">
        <w:r w:rsidR="00267803" w:rsidRPr="00945CC8">
          <w:rPr>
            <w:rStyle w:val="Hyperlink"/>
            <w:noProof/>
          </w:rPr>
          <w:t>1.</w:t>
        </w:r>
        <w:r w:rsidR="00267803">
          <w:rPr>
            <w:rFonts w:eastAsiaTheme="minorEastAsia" w:cstheme="minorBidi"/>
            <w:noProof/>
            <w:sz w:val="22"/>
            <w:szCs w:val="22"/>
          </w:rPr>
          <w:tab/>
        </w:r>
        <w:r w:rsidR="00267803" w:rsidRPr="00945CC8">
          <w:rPr>
            <w:rStyle w:val="Hyperlink"/>
            <w:noProof/>
          </w:rPr>
          <w:t>Introduction</w:t>
        </w:r>
        <w:r w:rsidR="00267803">
          <w:rPr>
            <w:noProof/>
            <w:webHidden/>
          </w:rPr>
          <w:tab/>
        </w:r>
        <w:r w:rsidR="00267803">
          <w:rPr>
            <w:noProof/>
            <w:webHidden/>
          </w:rPr>
          <w:fldChar w:fldCharType="begin"/>
        </w:r>
        <w:r w:rsidR="00267803">
          <w:rPr>
            <w:noProof/>
            <w:webHidden/>
          </w:rPr>
          <w:instrText xml:space="preserve"> PAGEREF _Toc525740556 \h </w:instrText>
        </w:r>
        <w:r w:rsidR="00267803">
          <w:rPr>
            <w:noProof/>
            <w:webHidden/>
          </w:rPr>
        </w:r>
        <w:r w:rsidR="00267803">
          <w:rPr>
            <w:noProof/>
            <w:webHidden/>
          </w:rPr>
          <w:fldChar w:fldCharType="separate"/>
        </w:r>
        <w:r w:rsidR="00267803">
          <w:rPr>
            <w:noProof/>
            <w:webHidden/>
          </w:rPr>
          <w:t>15</w:t>
        </w:r>
        <w:r w:rsidR="00267803">
          <w:rPr>
            <w:noProof/>
            <w:webHidden/>
          </w:rPr>
          <w:fldChar w:fldCharType="end"/>
        </w:r>
      </w:hyperlink>
    </w:p>
    <w:p w14:paraId="044DDECD" w14:textId="77777777" w:rsidR="00267803" w:rsidRDefault="00041F25" w:rsidP="00D20CCE">
      <w:pPr>
        <w:pStyle w:val="TOC1"/>
        <w:rPr>
          <w:rFonts w:eastAsiaTheme="minorEastAsia" w:cstheme="minorBidi"/>
          <w:noProof/>
          <w:sz w:val="22"/>
          <w:szCs w:val="22"/>
        </w:rPr>
      </w:pPr>
      <w:hyperlink w:anchor="_Toc525740557" w:history="1">
        <w:r w:rsidR="00267803" w:rsidRPr="00945CC8">
          <w:rPr>
            <w:rStyle w:val="Hyperlink"/>
            <w:noProof/>
          </w:rPr>
          <w:t>2.</w:t>
        </w:r>
        <w:r w:rsidR="00267803">
          <w:rPr>
            <w:rFonts w:eastAsiaTheme="minorEastAsia" w:cstheme="minorBidi"/>
            <w:noProof/>
            <w:sz w:val="22"/>
            <w:szCs w:val="22"/>
          </w:rPr>
          <w:tab/>
        </w:r>
        <w:r w:rsidR="00267803" w:rsidRPr="00945CC8">
          <w:rPr>
            <w:rStyle w:val="Hyperlink"/>
            <w:noProof/>
          </w:rPr>
          <w:t>Methods</w:t>
        </w:r>
        <w:r w:rsidR="00267803">
          <w:rPr>
            <w:noProof/>
            <w:webHidden/>
          </w:rPr>
          <w:tab/>
        </w:r>
        <w:r w:rsidR="00267803">
          <w:rPr>
            <w:noProof/>
            <w:webHidden/>
          </w:rPr>
          <w:fldChar w:fldCharType="begin"/>
        </w:r>
        <w:r w:rsidR="00267803">
          <w:rPr>
            <w:noProof/>
            <w:webHidden/>
          </w:rPr>
          <w:instrText xml:space="preserve"> PAGEREF _Toc525740557 \h </w:instrText>
        </w:r>
        <w:r w:rsidR="00267803">
          <w:rPr>
            <w:noProof/>
            <w:webHidden/>
          </w:rPr>
        </w:r>
        <w:r w:rsidR="00267803">
          <w:rPr>
            <w:noProof/>
            <w:webHidden/>
          </w:rPr>
          <w:fldChar w:fldCharType="separate"/>
        </w:r>
        <w:r w:rsidR="00267803">
          <w:rPr>
            <w:noProof/>
            <w:webHidden/>
          </w:rPr>
          <w:t>16</w:t>
        </w:r>
        <w:r w:rsidR="00267803">
          <w:rPr>
            <w:noProof/>
            <w:webHidden/>
          </w:rPr>
          <w:fldChar w:fldCharType="end"/>
        </w:r>
      </w:hyperlink>
    </w:p>
    <w:p w14:paraId="3A6919BE" w14:textId="77777777" w:rsidR="00267803" w:rsidRDefault="00041F25">
      <w:pPr>
        <w:pStyle w:val="TOC2"/>
        <w:tabs>
          <w:tab w:val="left" w:pos="880"/>
          <w:tab w:val="right" w:leader="dot" w:pos="9061"/>
        </w:tabs>
        <w:rPr>
          <w:rFonts w:eastAsiaTheme="minorEastAsia" w:cstheme="minorBidi"/>
          <w:b w:val="0"/>
          <w:bCs w:val="0"/>
          <w:noProof/>
        </w:rPr>
      </w:pPr>
      <w:hyperlink w:anchor="_Toc525740558" w:history="1">
        <w:r w:rsidR="00267803" w:rsidRPr="00945CC8">
          <w:rPr>
            <w:rStyle w:val="Hyperlink"/>
            <w:noProof/>
          </w:rPr>
          <w:t>2.1.</w:t>
        </w:r>
        <w:r w:rsidR="00267803">
          <w:rPr>
            <w:rFonts w:eastAsiaTheme="minorEastAsia" w:cstheme="minorBidi"/>
            <w:b w:val="0"/>
            <w:bCs w:val="0"/>
            <w:noProof/>
          </w:rPr>
          <w:tab/>
        </w:r>
        <w:r w:rsidR="00267803" w:rsidRPr="00945CC8">
          <w:rPr>
            <w:rStyle w:val="Hyperlink"/>
            <w:noProof/>
          </w:rPr>
          <w:t>Eligibility criteria</w:t>
        </w:r>
        <w:r w:rsidR="00267803">
          <w:rPr>
            <w:noProof/>
            <w:webHidden/>
          </w:rPr>
          <w:tab/>
        </w:r>
        <w:r w:rsidR="00267803">
          <w:rPr>
            <w:noProof/>
            <w:webHidden/>
          </w:rPr>
          <w:fldChar w:fldCharType="begin"/>
        </w:r>
        <w:r w:rsidR="00267803">
          <w:rPr>
            <w:noProof/>
            <w:webHidden/>
          </w:rPr>
          <w:instrText xml:space="preserve"> PAGEREF _Toc525740558 \h </w:instrText>
        </w:r>
        <w:r w:rsidR="00267803">
          <w:rPr>
            <w:noProof/>
            <w:webHidden/>
          </w:rPr>
        </w:r>
        <w:r w:rsidR="00267803">
          <w:rPr>
            <w:noProof/>
            <w:webHidden/>
          </w:rPr>
          <w:fldChar w:fldCharType="separate"/>
        </w:r>
        <w:r w:rsidR="00267803">
          <w:rPr>
            <w:noProof/>
            <w:webHidden/>
          </w:rPr>
          <w:t>16</w:t>
        </w:r>
        <w:r w:rsidR="00267803">
          <w:rPr>
            <w:noProof/>
            <w:webHidden/>
          </w:rPr>
          <w:fldChar w:fldCharType="end"/>
        </w:r>
      </w:hyperlink>
    </w:p>
    <w:p w14:paraId="6D0D5B7F" w14:textId="77777777" w:rsidR="00267803" w:rsidRDefault="00041F25">
      <w:pPr>
        <w:pStyle w:val="TOC2"/>
        <w:tabs>
          <w:tab w:val="left" w:pos="880"/>
          <w:tab w:val="right" w:leader="dot" w:pos="9061"/>
        </w:tabs>
        <w:rPr>
          <w:rFonts w:eastAsiaTheme="minorEastAsia" w:cstheme="minorBidi"/>
          <w:b w:val="0"/>
          <w:bCs w:val="0"/>
          <w:noProof/>
        </w:rPr>
      </w:pPr>
      <w:hyperlink w:anchor="_Toc525740559" w:history="1">
        <w:r w:rsidR="00267803" w:rsidRPr="00945CC8">
          <w:rPr>
            <w:rStyle w:val="Hyperlink"/>
            <w:noProof/>
          </w:rPr>
          <w:t>2.2.</w:t>
        </w:r>
        <w:r w:rsidR="00267803">
          <w:rPr>
            <w:rFonts w:eastAsiaTheme="minorEastAsia" w:cstheme="minorBidi"/>
            <w:b w:val="0"/>
            <w:bCs w:val="0"/>
            <w:noProof/>
          </w:rPr>
          <w:tab/>
        </w:r>
        <w:r w:rsidR="00267803" w:rsidRPr="00945CC8">
          <w:rPr>
            <w:rStyle w:val="Hyperlink"/>
            <w:noProof/>
          </w:rPr>
          <w:t>Information sources</w:t>
        </w:r>
        <w:r w:rsidR="00267803">
          <w:rPr>
            <w:noProof/>
            <w:webHidden/>
          </w:rPr>
          <w:tab/>
        </w:r>
        <w:r w:rsidR="00267803">
          <w:rPr>
            <w:noProof/>
            <w:webHidden/>
          </w:rPr>
          <w:fldChar w:fldCharType="begin"/>
        </w:r>
        <w:r w:rsidR="00267803">
          <w:rPr>
            <w:noProof/>
            <w:webHidden/>
          </w:rPr>
          <w:instrText xml:space="preserve"> PAGEREF _Toc525740559 \h </w:instrText>
        </w:r>
        <w:r w:rsidR="00267803">
          <w:rPr>
            <w:noProof/>
            <w:webHidden/>
          </w:rPr>
        </w:r>
        <w:r w:rsidR="00267803">
          <w:rPr>
            <w:noProof/>
            <w:webHidden/>
          </w:rPr>
          <w:fldChar w:fldCharType="separate"/>
        </w:r>
        <w:r w:rsidR="00267803">
          <w:rPr>
            <w:noProof/>
            <w:webHidden/>
          </w:rPr>
          <w:t>16</w:t>
        </w:r>
        <w:r w:rsidR="00267803">
          <w:rPr>
            <w:noProof/>
            <w:webHidden/>
          </w:rPr>
          <w:fldChar w:fldCharType="end"/>
        </w:r>
      </w:hyperlink>
    </w:p>
    <w:p w14:paraId="347C104C" w14:textId="77777777" w:rsidR="00267803" w:rsidRDefault="00041F25">
      <w:pPr>
        <w:pStyle w:val="TOC2"/>
        <w:tabs>
          <w:tab w:val="left" w:pos="880"/>
          <w:tab w:val="right" w:leader="dot" w:pos="9061"/>
        </w:tabs>
        <w:rPr>
          <w:rFonts w:eastAsiaTheme="minorEastAsia" w:cstheme="minorBidi"/>
          <w:b w:val="0"/>
          <w:bCs w:val="0"/>
          <w:noProof/>
        </w:rPr>
      </w:pPr>
      <w:hyperlink w:anchor="_Toc525740560" w:history="1">
        <w:r w:rsidR="00267803" w:rsidRPr="00945CC8">
          <w:rPr>
            <w:rStyle w:val="Hyperlink"/>
            <w:noProof/>
          </w:rPr>
          <w:t>2.3.</w:t>
        </w:r>
        <w:r w:rsidR="00267803">
          <w:rPr>
            <w:rFonts w:eastAsiaTheme="minorEastAsia" w:cstheme="minorBidi"/>
            <w:b w:val="0"/>
            <w:bCs w:val="0"/>
            <w:noProof/>
          </w:rPr>
          <w:tab/>
        </w:r>
        <w:r w:rsidR="00267803" w:rsidRPr="00945CC8">
          <w:rPr>
            <w:rStyle w:val="Hyperlink"/>
            <w:noProof/>
          </w:rPr>
          <w:t>Literature searches</w:t>
        </w:r>
        <w:r w:rsidR="00267803">
          <w:rPr>
            <w:noProof/>
            <w:webHidden/>
          </w:rPr>
          <w:tab/>
        </w:r>
        <w:r w:rsidR="00267803">
          <w:rPr>
            <w:noProof/>
            <w:webHidden/>
          </w:rPr>
          <w:fldChar w:fldCharType="begin"/>
        </w:r>
        <w:r w:rsidR="00267803">
          <w:rPr>
            <w:noProof/>
            <w:webHidden/>
          </w:rPr>
          <w:instrText xml:space="preserve"> PAGEREF _Toc525740560 \h </w:instrText>
        </w:r>
        <w:r w:rsidR="00267803">
          <w:rPr>
            <w:noProof/>
            <w:webHidden/>
          </w:rPr>
        </w:r>
        <w:r w:rsidR="00267803">
          <w:rPr>
            <w:noProof/>
            <w:webHidden/>
          </w:rPr>
          <w:fldChar w:fldCharType="separate"/>
        </w:r>
        <w:r w:rsidR="00267803">
          <w:rPr>
            <w:noProof/>
            <w:webHidden/>
          </w:rPr>
          <w:t>17</w:t>
        </w:r>
        <w:r w:rsidR="00267803">
          <w:rPr>
            <w:noProof/>
            <w:webHidden/>
          </w:rPr>
          <w:fldChar w:fldCharType="end"/>
        </w:r>
      </w:hyperlink>
    </w:p>
    <w:p w14:paraId="168A0283" w14:textId="77777777" w:rsidR="00267803" w:rsidRDefault="00041F25">
      <w:pPr>
        <w:pStyle w:val="TOC2"/>
        <w:tabs>
          <w:tab w:val="left" w:pos="880"/>
          <w:tab w:val="right" w:leader="dot" w:pos="9061"/>
        </w:tabs>
        <w:rPr>
          <w:rFonts w:eastAsiaTheme="minorEastAsia" w:cstheme="minorBidi"/>
          <w:b w:val="0"/>
          <w:bCs w:val="0"/>
          <w:noProof/>
        </w:rPr>
      </w:pPr>
      <w:hyperlink w:anchor="_Toc525740561" w:history="1">
        <w:r w:rsidR="00267803" w:rsidRPr="00945CC8">
          <w:rPr>
            <w:rStyle w:val="Hyperlink"/>
            <w:noProof/>
          </w:rPr>
          <w:t>2.4.</w:t>
        </w:r>
        <w:r w:rsidR="00267803">
          <w:rPr>
            <w:rFonts w:eastAsiaTheme="minorEastAsia" w:cstheme="minorBidi"/>
            <w:b w:val="0"/>
            <w:bCs w:val="0"/>
            <w:noProof/>
          </w:rPr>
          <w:tab/>
        </w:r>
        <w:r w:rsidR="00267803" w:rsidRPr="00945CC8">
          <w:rPr>
            <w:rStyle w:val="Hyperlink"/>
            <w:noProof/>
          </w:rPr>
          <w:t>Included studies</w:t>
        </w:r>
        <w:r w:rsidR="00267803">
          <w:rPr>
            <w:noProof/>
            <w:webHidden/>
          </w:rPr>
          <w:tab/>
        </w:r>
        <w:r w:rsidR="00267803">
          <w:rPr>
            <w:noProof/>
            <w:webHidden/>
          </w:rPr>
          <w:fldChar w:fldCharType="begin"/>
        </w:r>
        <w:r w:rsidR="00267803">
          <w:rPr>
            <w:noProof/>
            <w:webHidden/>
          </w:rPr>
          <w:instrText xml:space="preserve"> PAGEREF _Toc525740561 \h </w:instrText>
        </w:r>
        <w:r w:rsidR="00267803">
          <w:rPr>
            <w:noProof/>
            <w:webHidden/>
          </w:rPr>
        </w:r>
        <w:r w:rsidR="00267803">
          <w:rPr>
            <w:noProof/>
            <w:webHidden/>
          </w:rPr>
          <w:fldChar w:fldCharType="separate"/>
        </w:r>
        <w:r w:rsidR="00267803">
          <w:rPr>
            <w:noProof/>
            <w:webHidden/>
          </w:rPr>
          <w:t>17</w:t>
        </w:r>
        <w:r w:rsidR="00267803">
          <w:rPr>
            <w:noProof/>
            <w:webHidden/>
          </w:rPr>
          <w:fldChar w:fldCharType="end"/>
        </w:r>
      </w:hyperlink>
    </w:p>
    <w:p w14:paraId="478F1955" w14:textId="77777777" w:rsidR="00267803" w:rsidRDefault="00041F25">
      <w:pPr>
        <w:pStyle w:val="TOC2"/>
        <w:tabs>
          <w:tab w:val="left" w:pos="880"/>
          <w:tab w:val="right" w:leader="dot" w:pos="9061"/>
        </w:tabs>
        <w:rPr>
          <w:rFonts w:eastAsiaTheme="minorEastAsia" w:cstheme="minorBidi"/>
          <w:b w:val="0"/>
          <w:bCs w:val="0"/>
          <w:noProof/>
        </w:rPr>
      </w:pPr>
      <w:hyperlink w:anchor="_Toc525740562" w:history="1">
        <w:r w:rsidR="00267803" w:rsidRPr="00945CC8">
          <w:rPr>
            <w:rStyle w:val="Hyperlink"/>
            <w:noProof/>
          </w:rPr>
          <w:t>2.5.</w:t>
        </w:r>
        <w:r w:rsidR="00267803">
          <w:rPr>
            <w:rFonts w:eastAsiaTheme="minorEastAsia" w:cstheme="minorBidi"/>
            <w:b w:val="0"/>
            <w:bCs w:val="0"/>
            <w:noProof/>
          </w:rPr>
          <w:tab/>
        </w:r>
        <w:r w:rsidR="00267803" w:rsidRPr="00945CC8">
          <w:rPr>
            <w:rStyle w:val="Hyperlink"/>
            <w:noProof/>
          </w:rPr>
          <w:t>Review selection and data collection</w:t>
        </w:r>
        <w:r w:rsidR="00267803">
          <w:rPr>
            <w:noProof/>
            <w:webHidden/>
          </w:rPr>
          <w:tab/>
        </w:r>
        <w:r w:rsidR="00267803">
          <w:rPr>
            <w:noProof/>
            <w:webHidden/>
          </w:rPr>
          <w:fldChar w:fldCharType="begin"/>
        </w:r>
        <w:r w:rsidR="00267803">
          <w:rPr>
            <w:noProof/>
            <w:webHidden/>
          </w:rPr>
          <w:instrText xml:space="preserve"> PAGEREF _Toc525740562 \h </w:instrText>
        </w:r>
        <w:r w:rsidR="00267803">
          <w:rPr>
            <w:noProof/>
            <w:webHidden/>
          </w:rPr>
        </w:r>
        <w:r w:rsidR="00267803">
          <w:rPr>
            <w:noProof/>
            <w:webHidden/>
          </w:rPr>
          <w:fldChar w:fldCharType="separate"/>
        </w:r>
        <w:r w:rsidR="00267803">
          <w:rPr>
            <w:noProof/>
            <w:webHidden/>
          </w:rPr>
          <w:t>17</w:t>
        </w:r>
        <w:r w:rsidR="00267803">
          <w:rPr>
            <w:noProof/>
            <w:webHidden/>
          </w:rPr>
          <w:fldChar w:fldCharType="end"/>
        </w:r>
      </w:hyperlink>
    </w:p>
    <w:p w14:paraId="57CB9F21" w14:textId="77777777" w:rsidR="00267803" w:rsidRDefault="00041F25" w:rsidP="00D20CCE">
      <w:pPr>
        <w:pStyle w:val="TOC1"/>
        <w:rPr>
          <w:rFonts w:eastAsiaTheme="minorEastAsia" w:cstheme="minorBidi"/>
          <w:noProof/>
          <w:sz w:val="22"/>
          <w:szCs w:val="22"/>
        </w:rPr>
      </w:pPr>
      <w:hyperlink w:anchor="_Toc525740563" w:history="1">
        <w:r w:rsidR="00267803" w:rsidRPr="00945CC8">
          <w:rPr>
            <w:rStyle w:val="Hyperlink"/>
            <w:noProof/>
          </w:rPr>
          <w:t>3.</w:t>
        </w:r>
        <w:r w:rsidR="00267803">
          <w:rPr>
            <w:rFonts w:eastAsiaTheme="minorEastAsia" w:cstheme="minorBidi"/>
            <w:noProof/>
            <w:sz w:val="22"/>
            <w:szCs w:val="22"/>
          </w:rPr>
          <w:tab/>
        </w:r>
        <w:r w:rsidR="00267803" w:rsidRPr="00945CC8">
          <w:rPr>
            <w:rStyle w:val="Hyperlink"/>
            <w:noProof/>
          </w:rPr>
          <w:t>Results</w:t>
        </w:r>
        <w:r w:rsidR="00267803">
          <w:rPr>
            <w:noProof/>
            <w:webHidden/>
          </w:rPr>
          <w:tab/>
        </w:r>
        <w:r w:rsidR="00267803">
          <w:rPr>
            <w:noProof/>
            <w:webHidden/>
          </w:rPr>
          <w:fldChar w:fldCharType="begin"/>
        </w:r>
        <w:r w:rsidR="00267803">
          <w:rPr>
            <w:noProof/>
            <w:webHidden/>
          </w:rPr>
          <w:instrText xml:space="preserve"> PAGEREF _Toc525740563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39A4993E" w14:textId="77777777" w:rsidR="00267803" w:rsidRDefault="00041F25">
      <w:pPr>
        <w:pStyle w:val="TOC2"/>
        <w:tabs>
          <w:tab w:val="left" w:pos="880"/>
          <w:tab w:val="right" w:leader="dot" w:pos="9061"/>
        </w:tabs>
        <w:rPr>
          <w:rFonts w:eastAsiaTheme="minorEastAsia" w:cstheme="minorBidi"/>
          <w:b w:val="0"/>
          <w:bCs w:val="0"/>
          <w:noProof/>
        </w:rPr>
      </w:pPr>
      <w:hyperlink w:anchor="_Toc525740564" w:history="1">
        <w:r w:rsidR="00267803" w:rsidRPr="00945CC8">
          <w:rPr>
            <w:rStyle w:val="Hyperlink"/>
            <w:noProof/>
          </w:rPr>
          <w:t>3.1.</w:t>
        </w:r>
        <w:r w:rsidR="00267803">
          <w:rPr>
            <w:rFonts w:eastAsiaTheme="minorEastAsia" w:cstheme="minorBidi"/>
            <w:b w:val="0"/>
            <w:bCs w:val="0"/>
            <w:noProof/>
          </w:rPr>
          <w:tab/>
        </w:r>
        <w:r w:rsidR="00267803" w:rsidRPr="00945CC8">
          <w:rPr>
            <w:rStyle w:val="Hyperlink"/>
            <w:noProof/>
          </w:rPr>
          <w:t>Search results</w:t>
        </w:r>
        <w:r w:rsidR="00267803">
          <w:rPr>
            <w:noProof/>
            <w:webHidden/>
          </w:rPr>
          <w:tab/>
        </w:r>
        <w:r w:rsidR="00267803">
          <w:rPr>
            <w:noProof/>
            <w:webHidden/>
          </w:rPr>
          <w:fldChar w:fldCharType="begin"/>
        </w:r>
        <w:r w:rsidR="00267803">
          <w:rPr>
            <w:noProof/>
            <w:webHidden/>
          </w:rPr>
          <w:instrText xml:space="preserve"> PAGEREF _Toc525740564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7A97BAB5" w14:textId="77777777" w:rsidR="00267803" w:rsidRDefault="00041F25">
      <w:pPr>
        <w:pStyle w:val="TOC2"/>
        <w:tabs>
          <w:tab w:val="left" w:pos="880"/>
          <w:tab w:val="right" w:leader="dot" w:pos="9061"/>
        </w:tabs>
        <w:rPr>
          <w:rFonts w:eastAsiaTheme="minorEastAsia" w:cstheme="minorBidi"/>
          <w:b w:val="0"/>
          <w:bCs w:val="0"/>
          <w:noProof/>
        </w:rPr>
      </w:pPr>
      <w:hyperlink w:anchor="_Toc525740565" w:history="1">
        <w:r w:rsidR="00267803" w:rsidRPr="00945CC8">
          <w:rPr>
            <w:rStyle w:val="Hyperlink"/>
            <w:noProof/>
          </w:rPr>
          <w:t>3.2.</w:t>
        </w:r>
        <w:r w:rsidR="00267803">
          <w:rPr>
            <w:rFonts w:eastAsiaTheme="minorEastAsia" w:cstheme="minorBidi"/>
            <w:b w:val="0"/>
            <w:bCs w:val="0"/>
            <w:noProof/>
          </w:rPr>
          <w:tab/>
        </w:r>
        <w:r w:rsidR="00267803" w:rsidRPr="00945CC8">
          <w:rPr>
            <w:rStyle w:val="Hyperlink"/>
            <w:noProof/>
          </w:rPr>
          <w:t>Methodological quality</w:t>
        </w:r>
        <w:r w:rsidR="00267803">
          <w:rPr>
            <w:noProof/>
            <w:webHidden/>
          </w:rPr>
          <w:tab/>
        </w:r>
        <w:r w:rsidR="00267803">
          <w:rPr>
            <w:noProof/>
            <w:webHidden/>
          </w:rPr>
          <w:fldChar w:fldCharType="begin"/>
        </w:r>
        <w:r w:rsidR="00267803">
          <w:rPr>
            <w:noProof/>
            <w:webHidden/>
          </w:rPr>
          <w:instrText xml:space="preserve"> PAGEREF _Toc525740565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29E2B421" w14:textId="77777777" w:rsidR="00267803" w:rsidRDefault="00041F25">
      <w:pPr>
        <w:pStyle w:val="TOC2"/>
        <w:tabs>
          <w:tab w:val="left" w:pos="880"/>
          <w:tab w:val="right" w:leader="dot" w:pos="9061"/>
        </w:tabs>
        <w:rPr>
          <w:rFonts w:eastAsiaTheme="minorEastAsia" w:cstheme="minorBidi"/>
          <w:b w:val="0"/>
          <w:bCs w:val="0"/>
          <w:noProof/>
        </w:rPr>
      </w:pPr>
      <w:hyperlink w:anchor="_Toc525740566" w:history="1">
        <w:r w:rsidR="00267803" w:rsidRPr="00945CC8">
          <w:rPr>
            <w:rStyle w:val="Hyperlink"/>
            <w:noProof/>
          </w:rPr>
          <w:t>3.3.</w:t>
        </w:r>
        <w:r w:rsidR="00267803">
          <w:rPr>
            <w:rFonts w:eastAsiaTheme="minorEastAsia" w:cstheme="minorBidi"/>
            <w:b w:val="0"/>
            <w:bCs w:val="0"/>
            <w:noProof/>
          </w:rPr>
          <w:tab/>
        </w:r>
        <w:r w:rsidR="00267803" w:rsidRPr="00945CC8">
          <w:rPr>
            <w:rStyle w:val="Hyperlink"/>
            <w:noProof/>
          </w:rPr>
          <w:t>Intervention strategies</w:t>
        </w:r>
        <w:r w:rsidR="00267803">
          <w:rPr>
            <w:noProof/>
            <w:webHidden/>
          </w:rPr>
          <w:tab/>
        </w:r>
        <w:r w:rsidR="00267803">
          <w:rPr>
            <w:noProof/>
            <w:webHidden/>
          </w:rPr>
          <w:fldChar w:fldCharType="begin"/>
        </w:r>
        <w:r w:rsidR="00267803">
          <w:rPr>
            <w:noProof/>
            <w:webHidden/>
          </w:rPr>
          <w:instrText xml:space="preserve"> PAGEREF _Toc525740566 \h </w:instrText>
        </w:r>
        <w:r w:rsidR="00267803">
          <w:rPr>
            <w:noProof/>
            <w:webHidden/>
          </w:rPr>
        </w:r>
        <w:r w:rsidR="00267803">
          <w:rPr>
            <w:noProof/>
            <w:webHidden/>
          </w:rPr>
          <w:fldChar w:fldCharType="separate"/>
        </w:r>
        <w:r w:rsidR="00267803">
          <w:rPr>
            <w:noProof/>
            <w:webHidden/>
          </w:rPr>
          <w:t>19</w:t>
        </w:r>
        <w:r w:rsidR="00267803">
          <w:rPr>
            <w:noProof/>
            <w:webHidden/>
          </w:rPr>
          <w:fldChar w:fldCharType="end"/>
        </w:r>
      </w:hyperlink>
    </w:p>
    <w:p w14:paraId="792531EC" w14:textId="77777777" w:rsidR="00267803" w:rsidRDefault="00041F25">
      <w:pPr>
        <w:pStyle w:val="TOC2"/>
        <w:tabs>
          <w:tab w:val="left" w:pos="880"/>
          <w:tab w:val="right" w:leader="dot" w:pos="9061"/>
        </w:tabs>
        <w:rPr>
          <w:rFonts w:eastAsiaTheme="minorEastAsia" w:cstheme="minorBidi"/>
          <w:b w:val="0"/>
          <w:bCs w:val="0"/>
          <w:noProof/>
        </w:rPr>
      </w:pPr>
      <w:hyperlink w:anchor="_Toc525740567" w:history="1">
        <w:r w:rsidR="00267803" w:rsidRPr="00945CC8">
          <w:rPr>
            <w:rStyle w:val="Hyperlink"/>
            <w:noProof/>
          </w:rPr>
          <w:t>3.4.</w:t>
        </w:r>
        <w:r w:rsidR="00267803">
          <w:rPr>
            <w:rFonts w:eastAsiaTheme="minorEastAsia" w:cstheme="minorBidi"/>
            <w:b w:val="0"/>
            <w:bCs w:val="0"/>
            <w:noProof/>
          </w:rPr>
          <w:tab/>
        </w:r>
        <w:r w:rsidR="00267803" w:rsidRPr="00945CC8">
          <w:rPr>
            <w:rStyle w:val="Hyperlink"/>
            <w:noProof/>
          </w:rPr>
          <w:t>Clinical decision support</w:t>
        </w:r>
        <w:r w:rsidR="00151388">
          <w:rPr>
            <w:rStyle w:val="Hyperlink"/>
            <w:noProof/>
          </w:rPr>
          <w:t xml:space="preserve"> (CDS)</w:t>
        </w:r>
        <w:r w:rsidR="00267803">
          <w:rPr>
            <w:noProof/>
            <w:webHidden/>
          </w:rPr>
          <w:tab/>
        </w:r>
        <w:r w:rsidR="00267803">
          <w:rPr>
            <w:noProof/>
            <w:webHidden/>
          </w:rPr>
          <w:fldChar w:fldCharType="begin"/>
        </w:r>
        <w:r w:rsidR="00267803">
          <w:rPr>
            <w:noProof/>
            <w:webHidden/>
          </w:rPr>
          <w:instrText xml:space="preserve"> PAGEREF _Toc525740567 \h </w:instrText>
        </w:r>
        <w:r w:rsidR="00267803">
          <w:rPr>
            <w:noProof/>
            <w:webHidden/>
          </w:rPr>
        </w:r>
        <w:r w:rsidR="00267803">
          <w:rPr>
            <w:noProof/>
            <w:webHidden/>
          </w:rPr>
          <w:fldChar w:fldCharType="separate"/>
        </w:r>
        <w:r w:rsidR="00267803">
          <w:rPr>
            <w:noProof/>
            <w:webHidden/>
          </w:rPr>
          <w:t>20</w:t>
        </w:r>
        <w:r w:rsidR="00267803">
          <w:rPr>
            <w:noProof/>
            <w:webHidden/>
          </w:rPr>
          <w:fldChar w:fldCharType="end"/>
        </w:r>
      </w:hyperlink>
    </w:p>
    <w:p w14:paraId="22F92612" w14:textId="77777777" w:rsidR="00267803" w:rsidRDefault="00041F25">
      <w:pPr>
        <w:pStyle w:val="TOC3"/>
        <w:tabs>
          <w:tab w:val="left" w:pos="1320"/>
          <w:tab w:val="right" w:leader="dot" w:pos="9061"/>
        </w:tabs>
        <w:rPr>
          <w:rFonts w:eastAsiaTheme="minorEastAsia" w:cstheme="minorBidi"/>
          <w:noProof/>
          <w:sz w:val="22"/>
          <w:szCs w:val="22"/>
        </w:rPr>
      </w:pPr>
      <w:hyperlink w:anchor="_Toc525740568" w:history="1">
        <w:r w:rsidR="00267803" w:rsidRPr="00945CC8">
          <w:rPr>
            <w:rStyle w:val="Hyperlink"/>
            <w:noProof/>
          </w:rPr>
          <w:t>3.4.1.</w:t>
        </w:r>
        <w:r w:rsidR="00267803">
          <w:rPr>
            <w:rFonts w:eastAsiaTheme="minorEastAsia" w:cstheme="minorBidi"/>
            <w:noProof/>
            <w:sz w:val="22"/>
            <w:szCs w:val="22"/>
          </w:rPr>
          <w:tab/>
        </w:r>
        <w:r w:rsidR="00267803" w:rsidRPr="00945CC8">
          <w:rPr>
            <w:rStyle w:val="Hyperlink"/>
            <w:noProof/>
          </w:rPr>
          <w:t>Alerts, prompts or reminders</w:t>
        </w:r>
        <w:r w:rsidR="00267803">
          <w:rPr>
            <w:noProof/>
            <w:webHidden/>
          </w:rPr>
          <w:tab/>
        </w:r>
        <w:r w:rsidR="00267803">
          <w:rPr>
            <w:noProof/>
            <w:webHidden/>
          </w:rPr>
          <w:fldChar w:fldCharType="begin"/>
        </w:r>
        <w:r w:rsidR="00267803">
          <w:rPr>
            <w:noProof/>
            <w:webHidden/>
          </w:rPr>
          <w:instrText xml:space="preserve"> PAGEREF _Toc525740568 \h </w:instrText>
        </w:r>
        <w:r w:rsidR="00267803">
          <w:rPr>
            <w:noProof/>
            <w:webHidden/>
          </w:rPr>
        </w:r>
        <w:r w:rsidR="00267803">
          <w:rPr>
            <w:noProof/>
            <w:webHidden/>
          </w:rPr>
          <w:fldChar w:fldCharType="separate"/>
        </w:r>
        <w:r w:rsidR="00267803">
          <w:rPr>
            <w:noProof/>
            <w:webHidden/>
          </w:rPr>
          <w:t>21</w:t>
        </w:r>
        <w:r w:rsidR="00267803">
          <w:rPr>
            <w:noProof/>
            <w:webHidden/>
          </w:rPr>
          <w:fldChar w:fldCharType="end"/>
        </w:r>
      </w:hyperlink>
    </w:p>
    <w:p w14:paraId="4B36336A" w14:textId="77777777" w:rsidR="00267803" w:rsidRDefault="00041F25">
      <w:pPr>
        <w:pStyle w:val="TOC3"/>
        <w:tabs>
          <w:tab w:val="left" w:pos="1320"/>
          <w:tab w:val="right" w:leader="dot" w:pos="9061"/>
        </w:tabs>
        <w:rPr>
          <w:rFonts w:eastAsiaTheme="minorEastAsia" w:cstheme="minorBidi"/>
          <w:noProof/>
          <w:sz w:val="22"/>
          <w:szCs w:val="22"/>
        </w:rPr>
      </w:pPr>
      <w:hyperlink w:anchor="_Toc525740569" w:history="1">
        <w:r w:rsidR="00267803" w:rsidRPr="00945CC8">
          <w:rPr>
            <w:rStyle w:val="Hyperlink"/>
            <w:noProof/>
          </w:rPr>
          <w:t>3.4.2.</w:t>
        </w:r>
        <w:r w:rsidR="00267803">
          <w:rPr>
            <w:rFonts w:eastAsiaTheme="minorEastAsia" w:cstheme="minorBidi"/>
            <w:noProof/>
            <w:sz w:val="22"/>
            <w:szCs w:val="22"/>
          </w:rPr>
          <w:tab/>
        </w:r>
        <w:r w:rsidR="00267803" w:rsidRPr="00945CC8">
          <w:rPr>
            <w:rStyle w:val="Hyperlink"/>
            <w:noProof/>
          </w:rPr>
          <w:t>CPOE and CDSS</w:t>
        </w:r>
        <w:r w:rsidR="00267803">
          <w:rPr>
            <w:noProof/>
            <w:webHidden/>
          </w:rPr>
          <w:tab/>
        </w:r>
        <w:r w:rsidR="00267803">
          <w:rPr>
            <w:noProof/>
            <w:webHidden/>
          </w:rPr>
          <w:fldChar w:fldCharType="begin"/>
        </w:r>
        <w:r w:rsidR="00267803">
          <w:rPr>
            <w:noProof/>
            <w:webHidden/>
          </w:rPr>
          <w:instrText xml:space="preserve"> PAGEREF _Toc525740569 \h </w:instrText>
        </w:r>
        <w:r w:rsidR="00267803">
          <w:rPr>
            <w:noProof/>
            <w:webHidden/>
          </w:rPr>
        </w:r>
        <w:r w:rsidR="00267803">
          <w:rPr>
            <w:noProof/>
            <w:webHidden/>
          </w:rPr>
          <w:fldChar w:fldCharType="separate"/>
        </w:r>
        <w:r w:rsidR="00267803">
          <w:rPr>
            <w:noProof/>
            <w:webHidden/>
          </w:rPr>
          <w:t>21</w:t>
        </w:r>
        <w:r w:rsidR="00267803">
          <w:rPr>
            <w:noProof/>
            <w:webHidden/>
          </w:rPr>
          <w:fldChar w:fldCharType="end"/>
        </w:r>
      </w:hyperlink>
    </w:p>
    <w:p w14:paraId="795F5028"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0" w:history="1">
        <w:r w:rsidR="00267803" w:rsidRPr="00945CC8">
          <w:rPr>
            <w:rStyle w:val="Hyperlink"/>
            <w:noProof/>
          </w:rPr>
          <w:t>3.4.3.</w:t>
        </w:r>
        <w:r w:rsidR="00267803">
          <w:rPr>
            <w:rFonts w:eastAsiaTheme="minorEastAsia" w:cstheme="minorBidi"/>
            <w:noProof/>
            <w:sz w:val="22"/>
            <w:szCs w:val="22"/>
          </w:rPr>
          <w:tab/>
        </w:r>
        <w:r w:rsidR="00267803" w:rsidRPr="00945CC8">
          <w:rPr>
            <w:rStyle w:val="Hyperlink"/>
            <w:noProof/>
          </w:rPr>
          <w:t>System-based interventions</w:t>
        </w:r>
        <w:r w:rsidR="00267803">
          <w:rPr>
            <w:noProof/>
            <w:webHidden/>
          </w:rPr>
          <w:tab/>
        </w:r>
        <w:r w:rsidR="00267803">
          <w:rPr>
            <w:noProof/>
            <w:webHidden/>
          </w:rPr>
          <w:fldChar w:fldCharType="begin"/>
        </w:r>
        <w:r w:rsidR="00267803">
          <w:rPr>
            <w:noProof/>
            <w:webHidden/>
          </w:rPr>
          <w:instrText xml:space="preserve"> PAGEREF _Toc525740570 \h </w:instrText>
        </w:r>
        <w:r w:rsidR="00267803">
          <w:rPr>
            <w:noProof/>
            <w:webHidden/>
          </w:rPr>
        </w:r>
        <w:r w:rsidR="00267803">
          <w:rPr>
            <w:noProof/>
            <w:webHidden/>
          </w:rPr>
          <w:fldChar w:fldCharType="separate"/>
        </w:r>
        <w:r w:rsidR="00267803">
          <w:rPr>
            <w:noProof/>
            <w:webHidden/>
          </w:rPr>
          <w:t>23</w:t>
        </w:r>
        <w:r w:rsidR="00267803">
          <w:rPr>
            <w:noProof/>
            <w:webHidden/>
          </w:rPr>
          <w:fldChar w:fldCharType="end"/>
        </w:r>
      </w:hyperlink>
    </w:p>
    <w:p w14:paraId="589308E3"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1" w:history="1">
        <w:r w:rsidR="00267803" w:rsidRPr="00945CC8">
          <w:rPr>
            <w:rStyle w:val="Hyperlink"/>
            <w:noProof/>
          </w:rPr>
          <w:t>3.4.4.</w:t>
        </w:r>
        <w:r w:rsidR="00267803">
          <w:rPr>
            <w:rFonts w:eastAsiaTheme="minorEastAsia" w:cstheme="minorBidi"/>
            <w:noProof/>
            <w:sz w:val="22"/>
            <w:szCs w:val="22"/>
          </w:rPr>
          <w:tab/>
        </w:r>
        <w:r w:rsidR="00267803" w:rsidRPr="00945CC8">
          <w:rPr>
            <w:rStyle w:val="Hyperlink"/>
            <w:noProof/>
          </w:rPr>
          <w:t>Utility score ratings, health information exchanges and clinical team decision support</w:t>
        </w:r>
        <w:r w:rsidR="00267803">
          <w:rPr>
            <w:noProof/>
            <w:webHidden/>
          </w:rPr>
          <w:tab/>
        </w:r>
        <w:r w:rsidR="00267803">
          <w:rPr>
            <w:noProof/>
            <w:webHidden/>
          </w:rPr>
          <w:fldChar w:fldCharType="begin"/>
        </w:r>
        <w:r w:rsidR="00267803">
          <w:rPr>
            <w:noProof/>
            <w:webHidden/>
          </w:rPr>
          <w:instrText xml:space="preserve"> PAGEREF _Toc525740571 \h </w:instrText>
        </w:r>
        <w:r w:rsidR="00267803">
          <w:rPr>
            <w:noProof/>
            <w:webHidden/>
          </w:rPr>
        </w:r>
        <w:r w:rsidR="00267803">
          <w:rPr>
            <w:noProof/>
            <w:webHidden/>
          </w:rPr>
          <w:fldChar w:fldCharType="separate"/>
        </w:r>
        <w:r w:rsidR="00267803">
          <w:rPr>
            <w:noProof/>
            <w:webHidden/>
          </w:rPr>
          <w:t>23</w:t>
        </w:r>
        <w:r w:rsidR="00267803">
          <w:rPr>
            <w:noProof/>
            <w:webHidden/>
          </w:rPr>
          <w:fldChar w:fldCharType="end"/>
        </w:r>
      </w:hyperlink>
    </w:p>
    <w:p w14:paraId="1BC8DE22"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2" w:history="1">
        <w:r w:rsidR="00267803" w:rsidRPr="00945CC8">
          <w:rPr>
            <w:rStyle w:val="Hyperlink"/>
            <w:noProof/>
          </w:rPr>
          <w:t>3.4.5.</w:t>
        </w:r>
        <w:r w:rsidR="00267803">
          <w:rPr>
            <w:rFonts w:eastAsiaTheme="minorEastAsia" w:cstheme="minorBidi"/>
            <w:noProof/>
            <w:sz w:val="22"/>
            <w:szCs w:val="22"/>
          </w:rPr>
          <w:tab/>
        </w:r>
        <w:r w:rsidR="00267803" w:rsidRPr="00945CC8">
          <w:rPr>
            <w:rStyle w:val="Hyperlink"/>
            <w:noProof/>
          </w:rPr>
          <w:t>Guideline dissemination or implementation tools</w:t>
        </w:r>
        <w:r w:rsidR="00267803">
          <w:rPr>
            <w:noProof/>
            <w:webHidden/>
          </w:rPr>
          <w:tab/>
        </w:r>
        <w:r w:rsidR="00267803">
          <w:rPr>
            <w:noProof/>
            <w:webHidden/>
          </w:rPr>
          <w:fldChar w:fldCharType="begin"/>
        </w:r>
        <w:r w:rsidR="00267803">
          <w:rPr>
            <w:noProof/>
            <w:webHidden/>
          </w:rPr>
          <w:instrText xml:space="preserve"> PAGEREF _Toc525740572 \h </w:instrText>
        </w:r>
        <w:r w:rsidR="00267803">
          <w:rPr>
            <w:noProof/>
            <w:webHidden/>
          </w:rPr>
        </w:r>
        <w:r w:rsidR="00267803">
          <w:rPr>
            <w:noProof/>
            <w:webHidden/>
          </w:rPr>
          <w:fldChar w:fldCharType="separate"/>
        </w:r>
        <w:r w:rsidR="00267803">
          <w:rPr>
            <w:noProof/>
            <w:webHidden/>
          </w:rPr>
          <w:t>23</w:t>
        </w:r>
        <w:r w:rsidR="00267803">
          <w:rPr>
            <w:noProof/>
            <w:webHidden/>
          </w:rPr>
          <w:fldChar w:fldCharType="end"/>
        </w:r>
      </w:hyperlink>
    </w:p>
    <w:p w14:paraId="03FE86E3"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3" w:history="1">
        <w:r w:rsidR="00267803" w:rsidRPr="00945CC8">
          <w:rPr>
            <w:rStyle w:val="Hyperlink"/>
            <w:noProof/>
          </w:rPr>
          <w:t>3.4.6.</w:t>
        </w:r>
        <w:r w:rsidR="00267803">
          <w:rPr>
            <w:rFonts w:eastAsiaTheme="minorEastAsia" w:cstheme="minorBidi"/>
            <w:noProof/>
            <w:sz w:val="22"/>
            <w:szCs w:val="22"/>
          </w:rPr>
          <w:tab/>
        </w:r>
        <w:r w:rsidR="00267803" w:rsidRPr="00945CC8">
          <w:rPr>
            <w:rStyle w:val="Hyperlink"/>
            <w:noProof/>
          </w:rPr>
          <w:t>Price display</w:t>
        </w:r>
        <w:r w:rsidR="00267803">
          <w:rPr>
            <w:noProof/>
            <w:webHidden/>
          </w:rPr>
          <w:tab/>
        </w:r>
        <w:r w:rsidR="00267803">
          <w:rPr>
            <w:noProof/>
            <w:webHidden/>
          </w:rPr>
          <w:fldChar w:fldCharType="begin"/>
        </w:r>
        <w:r w:rsidR="00267803">
          <w:rPr>
            <w:noProof/>
            <w:webHidden/>
          </w:rPr>
          <w:instrText xml:space="preserve"> PAGEREF _Toc525740573 \h </w:instrText>
        </w:r>
        <w:r w:rsidR="00267803">
          <w:rPr>
            <w:noProof/>
            <w:webHidden/>
          </w:rPr>
        </w:r>
        <w:r w:rsidR="00267803">
          <w:rPr>
            <w:noProof/>
            <w:webHidden/>
          </w:rPr>
          <w:fldChar w:fldCharType="separate"/>
        </w:r>
        <w:r w:rsidR="00267803">
          <w:rPr>
            <w:noProof/>
            <w:webHidden/>
          </w:rPr>
          <w:t>24</w:t>
        </w:r>
        <w:r w:rsidR="00267803">
          <w:rPr>
            <w:noProof/>
            <w:webHidden/>
          </w:rPr>
          <w:fldChar w:fldCharType="end"/>
        </w:r>
      </w:hyperlink>
    </w:p>
    <w:p w14:paraId="56895F59"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4" w:history="1">
        <w:r w:rsidR="00267803" w:rsidRPr="00945CC8">
          <w:rPr>
            <w:rStyle w:val="Hyperlink"/>
            <w:noProof/>
          </w:rPr>
          <w:t>3.4.7.</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_Toc525740574 \h </w:instrText>
        </w:r>
        <w:r w:rsidR="00267803">
          <w:rPr>
            <w:noProof/>
            <w:webHidden/>
          </w:rPr>
        </w:r>
        <w:r w:rsidR="00267803">
          <w:rPr>
            <w:noProof/>
            <w:webHidden/>
          </w:rPr>
          <w:fldChar w:fldCharType="separate"/>
        </w:r>
        <w:r w:rsidR="00267803">
          <w:rPr>
            <w:noProof/>
            <w:webHidden/>
          </w:rPr>
          <w:t>24</w:t>
        </w:r>
        <w:r w:rsidR="00267803">
          <w:rPr>
            <w:noProof/>
            <w:webHidden/>
          </w:rPr>
          <w:fldChar w:fldCharType="end"/>
        </w:r>
      </w:hyperlink>
    </w:p>
    <w:p w14:paraId="6F1BAB9A" w14:textId="77777777" w:rsidR="00267803" w:rsidRDefault="00041F25">
      <w:pPr>
        <w:pStyle w:val="TOC2"/>
        <w:tabs>
          <w:tab w:val="left" w:pos="880"/>
          <w:tab w:val="right" w:leader="dot" w:pos="9061"/>
        </w:tabs>
        <w:rPr>
          <w:rFonts w:eastAsiaTheme="minorEastAsia" w:cstheme="minorBidi"/>
          <w:b w:val="0"/>
          <w:bCs w:val="0"/>
          <w:noProof/>
        </w:rPr>
      </w:pPr>
      <w:hyperlink w:anchor="_Toc525740575" w:history="1">
        <w:r w:rsidR="00267803" w:rsidRPr="00945CC8">
          <w:rPr>
            <w:rStyle w:val="Hyperlink"/>
            <w:noProof/>
          </w:rPr>
          <w:t>3.5.</w:t>
        </w:r>
        <w:r w:rsidR="00267803">
          <w:rPr>
            <w:rFonts w:eastAsiaTheme="minorEastAsia" w:cstheme="minorBidi"/>
            <w:b w:val="0"/>
            <w:bCs w:val="0"/>
            <w:noProof/>
          </w:rPr>
          <w:tab/>
        </w:r>
        <w:r w:rsidR="00267803" w:rsidRPr="00945CC8">
          <w:rPr>
            <w:rStyle w:val="Hyperlink"/>
            <w:noProof/>
          </w:rPr>
          <w:t>Education</w:t>
        </w:r>
        <w:r w:rsidR="00267803">
          <w:rPr>
            <w:noProof/>
            <w:webHidden/>
          </w:rPr>
          <w:tab/>
        </w:r>
        <w:r w:rsidR="00267803">
          <w:rPr>
            <w:noProof/>
            <w:webHidden/>
          </w:rPr>
          <w:fldChar w:fldCharType="begin"/>
        </w:r>
        <w:r w:rsidR="00267803">
          <w:rPr>
            <w:noProof/>
            <w:webHidden/>
          </w:rPr>
          <w:instrText xml:space="preserve"> PAGEREF _Toc525740575 \h </w:instrText>
        </w:r>
        <w:r w:rsidR="00267803">
          <w:rPr>
            <w:noProof/>
            <w:webHidden/>
          </w:rPr>
        </w:r>
        <w:r w:rsidR="00267803">
          <w:rPr>
            <w:noProof/>
            <w:webHidden/>
          </w:rPr>
          <w:fldChar w:fldCharType="separate"/>
        </w:r>
        <w:r w:rsidR="00267803">
          <w:rPr>
            <w:noProof/>
            <w:webHidden/>
          </w:rPr>
          <w:t>26</w:t>
        </w:r>
        <w:r w:rsidR="00267803">
          <w:rPr>
            <w:noProof/>
            <w:webHidden/>
          </w:rPr>
          <w:fldChar w:fldCharType="end"/>
        </w:r>
      </w:hyperlink>
    </w:p>
    <w:p w14:paraId="13931DB9"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6" w:history="1">
        <w:r w:rsidR="00267803" w:rsidRPr="00945CC8">
          <w:rPr>
            <w:rStyle w:val="Hyperlink"/>
            <w:noProof/>
          </w:rPr>
          <w:t>3.5.1.</w:t>
        </w:r>
        <w:r w:rsidR="00267803">
          <w:rPr>
            <w:rFonts w:eastAsiaTheme="minorEastAsia" w:cstheme="minorBidi"/>
            <w:noProof/>
            <w:sz w:val="22"/>
            <w:szCs w:val="22"/>
          </w:rPr>
          <w:tab/>
        </w:r>
        <w:r w:rsidR="00267803" w:rsidRPr="00945CC8">
          <w:rPr>
            <w:rStyle w:val="Hyperlink"/>
            <w:noProof/>
          </w:rPr>
          <w:t>Traditional educational</w:t>
        </w:r>
        <w:r w:rsidR="00267803">
          <w:rPr>
            <w:noProof/>
            <w:webHidden/>
          </w:rPr>
          <w:tab/>
        </w:r>
        <w:r w:rsidR="00267803">
          <w:rPr>
            <w:noProof/>
            <w:webHidden/>
          </w:rPr>
          <w:fldChar w:fldCharType="begin"/>
        </w:r>
        <w:r w:rsidR="00267803">
          <w:rPr>
            <w:noProof/>
            <w:webHidden/>
          </w:rPr>
          <w:instrText xml:space="preserve"> PAGEREF _Toc525740576 \h </w:instrText>
        </w:r>
        <w:r w:rsidR="00267803">
          <w:rPr>
            <w:noProof/>
            <w:webHidden/>
          </w:rPr>
        </w:r>
        <w:r w:rsidR="00267803">
          <w:rPr>
            <w:noProof/>
            <w:webHidden/>
          </w:rPr>
          <w:fldChar w:fldCharType="separate"/>
        </w:r>
        <w:r w:rsidR="00267803">
          <w:rPr>
            <w:noProof/>
            <w:webHidden/>
          </w:rPr>
          <w:t>26</w:t>
        </w:r>
        <w:r w:rsidR="00267803">
          <w:rPr>
            <w:noProof/>
            <w:webHidden/>
          </w:rPr>
          <w:fldChar w:fldCharType="end"/>
        </w:r>
      </w:hyperlink>
    </w:p>
    <w:p w14:paraId="0DE7EF8B"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7" w:history="1">
        <w:r w:rsidR="00267803" w:rsidRPr="00945CC8">
          <w:rPr>
            <w:rStyle w:val="Hyperlink"/>
            <w:noProof/>
          </w:rPr>
          <w:t>3.5.2.</w:t>
        </w:r>
        <w:r w:rsidR="00267803">
          <w:rPr>
            <w:rFonts w:eastAsiaTheme="minorEastAsia" w:cstheme="minorBidi"/>
            <w:noProof/>
            <w:sz w:val="22"/>
            <w:szCs w:val="22"/>
          </w:rPr>
          <w:tab/>
        </w:r>
        <w:r w:rsidR="00267803" w:rsidRPr="00945CC8">
          <w:rPr>
            <w:rStyle w:val="Hyperlink"/>
            <w:noProof/>
          </w:rPr>
          <w:t>Education and audit and feedback</w:t>
        </w:r>
        <w:r w:rsidR="00267803">
          <w:rPr>
            <w:noProof/>
            <w:webHidden/>
          </w:rPr>
          <w:tab/>
        </w:r>
        <w:r w:rsidR="00267803">
          <w:rPr>
            <w:noProof/>
            <w:webHidden/>
          </w:rPr>
          <w:fldChar w:fldCharType="begin"/>
        </w:r>
        <w:r w:rsidR="00267803">
          <w:rPr>
            <w:noProof/>
            <w:webHidden/>
          </w:rPr>
          <w:instrText xml:space="preserve"> PAGEREF _Toc525740577 \h </w:instrText>
        </w:r>
        <w:r w:rsidR="00267803">
          <w:rPr>
            <w:noProof/>
            <w:webHidden/>
          </w:rPr>
        </w:r>
        <w:r w:rsidR="00267803">
          <w:rPr>
            <w:noProof/>
            <w:webHidden/>
          </w:rPr>
          <w:fldChar w:fldCharType="separate"/>
        </w:r>
        <w:r w:rsidR="00267803">
          <w:rPr>
            <w:noProof/>
            <w:webHidden/>
          </w:rPr>
          <w:t>27</w:t>
        </w:r>
        <w:r w:rsidR="00267803">
          <w:rPr>
            <w:noProof/>
            <w:webHidden/>
          </w:rPr>
          <w:fldChar w:fldCharType="end"/>
        </w:r>
      </w:hyperlink>
    </w:p>
    <w:p w14:paraId="15DD56DB"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8" w:history="1">
        <w:r w:rsidR="00267803" w:rsidRPr="00945CC8">
          <w:rPr>
            <w:rStyle w:val="Hyperlink"/>
            <w:noProof/>
          </w:rPr>
          <w:t>3.5.3.</w:t>
        </w:r>
        <w:r w:rsidR="00267803">
          <w:rPr>
            <w:rFonts w:eastAsiaTheme="minorEastAsia" w:cstheme="minorBidi"/>
            <w:noProof/>
            <w:sz w:val="22"/>
            <w:szCs w:val="22"/>
          </w:rPr>
          <w:tab/>
        </w:r>
        <w:r w:rsidR="00267803" w:rsidRPr="00945CC8">
          <w:rPr>
            <w:rStyle w:val="Hyperlink"/>
            <w:noProof/>
          </w:rPr>
          <w:t>Interactive educational</w:t>
        </w:r>
        <w:r w:rsidR="00267803">
          <w:rPr>
            <w:noProof/>
            <w:webHidden/>
          </w:rPr>
          <w:tab/>
        </w:r>
        <w:r w:rsidR="00267803">
          <w:rPr>
            <w:noProof/>
            <w:webHidden/>
          </w:rPr>
          <w:fldChar w:fldCharType="begin"/>
        </w:r>
        <w:r w:rsidR="00267803">
          <w:rPr>
            <w:noProof/>
            <w:webHidden/>
          </w:rPr>
          <w:instrText xml:space="preserve"> PAGEREF _Toc525740578 \h </w:instrText>
        </w:r>
        <w:r w:rsidR="00267803">
          <w:rPr>
            <w:noProof/>
            <w:webHidden/>
          </w:rPr>
        </w:r>
        <w:r w:rsidR="00267803">
          <w:rPr>
            <w:noProof/>
            <w:webHidden/>
          </w:rPr>
          <w:fldChar w:fldCharType="separate"/>
        </w:r>
        <w:r w:rsidR="00267803">
          <w:rPr>
            <w:noProof/>
            <w:webHidden/>
          </w:rPr>
          <w:t>27</w:t>
        </w:r>
        <w:r w:rsidR="00267803">
          <w:rPr>
            <w:noProof/>
            <w:webHidden/>
          </w:rPr>
          <w:fldChar w:fldCharType="end"/>
        </w:r>
      </w:hyperlink>
    </w:p>
    <w:p w14:paraId="6759BB3D" w14:textId="77777777" w:rsidR="00267803" w:rsidRDefault="00041F25">
      <w:pPr>
        <w:pStyle w:val="TOC3"/>
        <w:tabs>
          <w:tab w:val="left" w:pos="1320"/>
          <w:tab w:val="right" w:leader="dot" w:pos="9061"/>
        </w:tabs>
        <w:rPr>
          <w:rFonts w:eastAsiaTheme="minorEastAsia" w:cstheme="minorBidi"/>
          <w:noProof/>
          <w:sz w:val="22"/>
          <w:szCs w:val="22"/>
        </w:rPr>
      </w:pPr>
      <w:hyperlink w:anchor="_Toc525740579" w:history="1">
        <w:r w:rsidR="00267803" w:rsidRPr="00945CC8">
          <w:rPr>
            <w:rStyle w:val="Hyperlink"/>
            <w:noProof/>
          </w:rPr>
          <w:t>3.5.4.</w:t>
        </w:r>
        <w:r w:rsidR="00267803">
          <w:rPr>
            <w:rFonts w:eastAsiaTheme="minorEastAsia" w:cstheme="minorBidi"/>
            <w:noProof/>
            <w:sz w:val="22"/>
            <w:szCs w:val="22"/>
          </w:rPr>
          <w:tab/>
        </w:r>
        <w:r w:rsidR="00267803" w:rsidRPr="00945CC8">
          <w:rPr>
            <w:rStyle w:val="Hyperlink"/>
            <w:noProof/>
          </w:rPr>
          <w:t>Multicomponent interventions</w:t>
        </w:r>
        <w:r w:rsidR="00267803">
          <w:rPr>
            <w:noProof/>
            <w:webHidden/>
          </w:rPr>
          <w:tab/>
        </w:r>
        <w:r w:rsidR="00267803">
          <w:rPr>
            <w:noProof/>
            <w:webHidden/>
          </w:rPr>
          <w:fldChar w:fldCharType="begin"/>
        </w:r>
        <w:r w:rsidR="00267803">
          <w:rPr>
            <w:noProof/>
            <w:webHidden/>
          </w:rPr>
          <w:instrText xml:space="preserve"> PAGEREF _Toc525740579 \h </w:instrText>
        </w:r>
        <w:r w:rsidR="00267803">
          <w:rPr>
            <w:noProof/>
            <w:webHidden/>
          </w:rPr>
        </w:r>
        <w:r w:rsidR="00267803">
          <w:rPr>
            <w:noProof/>
            <w:webHidden/>
          </w:rPr>
          <w:fldChar w:fldCharType="separate"/>
        </w:r>
        <w:r w:rsidR="00267803">
          <w:rPr>
            <w:noProof/>
            <w:webHidden/>
          </w:rPr>
          <w:t>28</w:t>
        </w:r>
        <w:r w:rsidR="00267803">
          <w:rPr>
            <w:noProof/>
            <w:webHidden/>
          </w:rPr>
          <w:fldChar w:fldCharType="end"/>
        </w:r>
      </w:hyperlink>
    </w:p>
    <w:p w14:paraId="78710F63" w14:textId="77777777" w:rsidR="00267803" w:rsidRDefault="00041F25">
      <w:pPr>
        <w:pStyle w:val="TOC3"/>
        <w:tabs>
          <w:tab w:val="left" w:pos="1320"/>
          <w:tab w:val="right" w:leader="dot" w:pos="9061"/>
        </w:tabs>
        <w:rPr>
          <w:rFonts w:eastAsiaTheme="minorEastAsia" w:cstheme="minorBidi"/>
          <w:noProof/>
          <w:sz w:val="22"/>
          <w:szCs w:val="22"/>
        </w:rPr>
      </w:pPr>
      <w:hyperlink w:anchor="_Toc525740580" w:history="1">
        <w:r w:rsidR="00267803" w:rsidRPr="00945CC8">
          <w:rPr>
            <w:rStyle w:val="Hyperlink"/>
            <w:noProof/>
          </w:rPr>
          <w:t>3.5.5.</w:t>
        </w:r>
        <w:r w:rsidR="00267803">
          <w:rPr>
            <w:rFonts w:eastAsiaTheme="minorEastAsia" w:cstheme="minorBidi"/>
            <w:noProof/>
            <w:sz w:val="22"/>
            <w:szCs w:val="22"/>
          </w:rPr>
          <w:tab/>
        </w:r>
        <w:r w:rsidR="00267803" w:rsidRPr="00945CC8">
          <w:rPr>
            <w:rStyle w:val="Hyperlink"/>
            <w:noProof/>
          </w:rPr>
          <w:t>Interventions including a patient-mediated component</w:t>
        </w:r>
        <w:r w:rsidR="00267803">
          <w:rPr>
            <w:noProof/>
            <w:webHidden/>
          </w:rPr>
          <w:tab/>
        </w:r>
        <w:r w:rsidR="00267803">
          <w:rPr>
            <w:noProof/>
            <w:webHidden/>
          </w:rPr>
          <w:fldChar w:fldCharType="begin"/>
        </w:r>
        <w:r w:rsidR="00267803">
          <w:rPr>
            <w:noProof/>
            <w:webHidden/>
          </w:rPr>
          <w:instrText xml:space="preserve"> PAGEREF _Toc525740580 \h </w:instrText>
        </w:r>
        <w:r w:rsidR="00267803">
          <w:rPr>
            <w:noProof/>
            <w:webHidden/>
          </w:rPr>
        </w:r>
        <w:r w:rsidR="00267803">
          <w:rPr>
            <w:noProof/>
            <w:webHidden/>
          </w:rPr>
          <w:fldChar w:fldCharType="separate"/>
        </w:r>
        <w:r w:rsidR="00267803">
          <w:rPr>
            <w:noProof/>
            <w:webHidden/>
          </w:rPr>
          <w:t>29</w:t>
        </w:r>
        <w:r w:rsidR="00267803">
          <w:rPr>
            <w:noProof/>
            <w:webHidden/>
          </w:rPr>
          <w:fldChar w:fldCharType="end"/>
        </w:r>
      </w:hyperlink>
    </w:p>
    <w:p w14:paraId="24684F50" w14:textId="77777777" w:rsidR="00267803" w:rsidRDefault="00041F25">
      <w:pPr>
        <w:pStyle w:val="TOC3"/>
        <w:tabs>
          <w:tab w:val="left" w:pos="1320"/>
          <w:tab w:val="right" w:leader="dot" w:pos="9061"/>
        </w:tabs>
        <w:rPr>
          <w:rFonts w:eastAsiaTheme="minorEastAsia" w:cstheme="minorBidi"/>
          <w:noProof/>
          <w:sz w:val="22"/>
          <w:szCs w:val="22"/>
        </w:rPr>
      </w:pPr>
      <w:hyperlink w:anchor="_Toc525740581" w:history="1">
        <w:r w:rsidR="00267803" w:rsidRPr="00945CC8">
          <w:rPr>
            <w:rStyle w:val="Hyperlink"/>
            <w:noProof/>
          </w:rPr>
          <w:t>3.5.6.</w:t>
        </w:r>
        <w:r w:rsidR="00267803">
          <w:rPr>
            <w:rFonts w:eastAsiaTheme="minorEastAsia" w:cstheme="minorBidi"/>
            <w:noProof/>
            <w:sz w:val="22"/>
            <w:szCs w:val="22"/>
          </w:rPr>
          <w:tab/>
        </w:r>
        <w:r w:rsidR="00267803" w:rsidRPr="00945CC8">
          <w:rPr>
            <w:rStyle w:val="Hyperlink"/>
            <w:noProof/>
          </w:rPr>
          <w:t>Outcomes for interventions aiming to increase or decrease a clinical behaviour</w:t>
        </w:r>
        <w:r w:rsidR="00267803">
          <w:rPr>
            <w:noProof/>
            <w:webHidden/>
          </w:rPr>
          <w:tab/>
        </w:r>
        <w:r w:rsidR="00267803">
          <w:rPr>
            <w:noProof/>
            <w:webHidden/>
          </w:rPr>
          <w:fldChar w:fldCharType="begin"/>
        </w:r>
        <w:r w:rsidR="00267803">
          <w:rPr>
            <w:noProof/>
            <w:webHidden/>
          </w:rPr>
          <w:instrText xml:space="preserve"> PAGEREF _Toc525740581 \h </w:instrText>
        </w:r>
        <w:r w:rsidR="00267803">
          <w:rPr>
            <w:noProof/>
            <w:webHidden/>
          </w:rPr>
        </w:r>
        <w:r w:rsidR="00267803">
          <w:rPr>
            <w:noProof/>
            <w:webHidden/>
          </w:rPr>
          <w:fldChar w:fldCharType="separate"/>
        </w:r>
        <w:r w:rsidR="00267803">
          <w:rPr>
            <w:noProof/>
            <w:webHidden/>
          </w:rPr>
          <w:t>29</w:t>
        </w:r>
        <w:r w:rsidR="00267803">
          <w:rPr>
            <w:noProof/>
            <w:webHidden/>
          </w:rPr>
          <w:fldChar w:fldCharType="end"/>
        </w:r>
      </w:hyperlink>
    </w:p>
    <w:p w14:paraId="50B77DC3" w14:textId="77777777" w:rsidR="00267803" w:rsidRDefault="00041F25">
      <w:pPr>
        <w:pStyle w:val="TOC3"/>
        <w:tabs>
          <w:tab w:val="left" w:pos="1320"/>
          <w:tab w:val="right" w:leader="dot" w:pos="9061"/>
        </w:tabs>
        <w:rPr>
          <w:rFonts w:eastAsiaTheme="minorEastAsia" w:cstheme="minorBidi"/>
          <w:noProof/>
          <w:sz w:val="22"/>
          <w:szCs w:val="22"/>
        </w:rPr>
      </w:pPr>
      <w:hyperlink w:anchor="_Toc525740582" w:history="1">
        <w:r w:rsidR="00267803" w:rsidRPr="00945CC8">
          <w:rPr>
            <w:rStyle w:val="Hyperlink"/>
            <w:noProof/>
          </w:rPr>
          <w:t>3.5.7.</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_Toc525740582 \h </w:instrText>
        </w:r>
        <w:r w:rsidR="00267803">
          <w:rPr>
            <w:noProof/>
            <w:webHidden/>
          </w:rPr>
        </w:r>
        <w:r w:rsidR="00267803">
          <w:rPr>
            <w:noProof/>
            <w:webHidden/>
          </w:rPr>
          <w:fldChar w:fldCharType="separate"/>
        </w:r>
        <w:r w:rsidR="00267803">
          <w:rPr>
            <w:noProof/>
            <w:webHidden/>
          </w:rPr>
          <w:t>30</w:t>
        </w:r>
        <w:r w:rsidR="00267803">
          <w:rPr>
            <w:noProof/>
            <w:webHidden/>
          </w:rPr>
          <w:fldChar w:fldCharType="end"/>
        </w:r>
      </w:hyperlink>
    </w:p>
    <w:p w14:paraId="2A60898B" w14:textId="77777777" w:rsidR="00267803" w:rsidRDefault="00041F25">
      <w:pPr>
        <w:pStyle w:val="TOC2"/>
        <w:tabs>
          <w:tab w:val="left" w:pos="880"/>
          <w:tab w:val="right" w:leader="dot" w:pos="9061"/>
        </w:tabs>
        <w:rPr>
          <w:rFonts w:eastAsiaTheme="minorEastAsia" w:cstheme="minorBidi"/>
          <w:b w:val="0"/>
          <w:bCs w:val="0"/>
          <w:noProof/>
        </w:rPr>
      </w:pPr>
      <w:hyperlink w:anchor="_Toc525740583" w:history="1">
        <w:r w:rsidR="00267803" w:rsidRPr="00945CC8">
          <w:rPr>
            <w:rStyle w:val="Hyperlink"/>
            <w:noProof/>
          </w:rPr>
          <w:t>3.6.</w:t>
        </w:r>
        <w:r w:rsidR="00267803">
          <w:rPr>
            <w:rFonts w:eastAsiaTheme="minorEastAsia" w:cstheme="minorBidi"/>
            <w:b w:val="0"/>
            <w:bCs w:val="0"/>
            <w:noProof/>
          </w:rPr>
          <w:tab/>
        </w:r>
        <w:r w:rsidR="00267803" w:rsidRPr="00945CC8">
          <w:rPr>
            <w:rStyle w:val="Hyperlink"/>
            <w:noProof/>
          </w:rPr>
          <w:t>Audit and feedback</w:t>
        </w:r>
        <w:r w:rsidR="00267803">
          <w:rPr>
            <w:noProof/>
            <w:webHidden/>
          </w:rPr>
          <w:tab/>
        </w:r>
        <w:r w:rsidR="00267803">
          <w:rPr>
            <w:noProof/>
            <w:webHidden/>
          </w:rPr>
          <w:fldChar w:fldCharType="begin"/>
        </w:r>
        <w:r w:rsidR="00267803">
          <w:rPr>
            <w:noProof/>
            <w:webHidden/>
          </w:rPr>
          <w:instrText xml:space="preserve"> PAGEREF _Toc525740583 \h </w:instrText>
        </w:r>
        <w:r w:rsidR="00267803">
          <w:rPr>
            <w:noProof/>
            <w:webHidden/>
          </w:rPr>
        </w:r>
        <w:r w:rsidR="00267803">
          <w:rPr>
            <w:noProof/>
            <w:webHidden/>
          </w:rPr>
          <w:fldChar w:fldCharType="separate"/>
        </w:r>
        <w:r w:rsidR="00267803">
          <w:rPr>
            <w:noProof/>
            <w:webHidden/>
          </w:rPr>
          <w:t>31</w:t>
        </w:r>
        <w:r w:rsidR="00267803">
          <w:rPr>
            <w:noProof/>
            <w:webHidden/>
          </w:rPr>
          <w:fldChar w:fldCharType="end"/>
        </w:r>
      </w:hyperlink>
    </w:p>
    <w:p w14:paraId="54895BF5" w14:textId="77777777" w:rsidR="00267803" w:rsidRDefault="00041F25">
      <w:pPr>
        <w:pStyle w:val="TOC3"/>
        <w:tabs>
          <w:tab w:val="left" w:pos="1320"/>
          <w:tab w:val="right" w:leader="dot" w:pos="9061"/>
        </w:tabs>
        <w:rPr>
          <w:rFonts w:eastAsiaTheme="minorEastAsia" w:cstheme="minorBidi"/>
          <w:noProof/>
          <w:sz w:val="22"/>
          <w:szCs w:val="22"/>
        </w:rPr>
      </w:pPr>
      <w:hyperlink w:anchor="_Toc525740584" w:history="1">
        <w:r w:rsidR="00267803" w:rsidRPr="00945CC8">
          <w:rPr>
            <w:rStyle w:val="Hyperlink"/>
            <w:noProof/>
          </w:rPr>
          <w:t>3.6.1.</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_Toc525740584 \h </w:instrText>
        </w:r>
        <w:r w:rsidR="00267803">
          <w:rPr>
            <w:noProof/>
            <w:webHidden/>
          </w:rPr>
        </w:r>
        <w:r w:rsidR="00267803">
          <w:rPr>
            <w:noProof/>
            <w:webHidden/>
          </w:rPr>
          <w:fldChar w:fldCharType="separate"/>
        </w:r>
        <w:r w:rsidR="00267803">
          <w:rPr>
            <w:noProof/>
            <w:webHidden/>
          </w:rPr>
          <w:t>32</w:t>
        </w:r>
        <w:r w:rsidR="00267803">
          <w:rPr>
            <w:noProof/>
            <w:webHidden/>
          </w:rPr>
          <w:fldChar w:fldCharType="end"/>
        </w:r>
      </w:hyperlink>
    </w:p>
    <w:p w14:paraId="3499A444" w14:textId="77777777" w:rsidR="00267803" w:rsidRDefault="00041F25">
      <w:pPr>
        <w:pStyle w:val="TOC2"/>
        <w:tabs>
          <w:tab w:val="left" w:pos="880"/>
          <w:tab w:val="right" w:leader="dot" w:pos="9061"/>
        </w:tabs>
        <w:rPr>
          <w:rFonts w:eastAsiaTheme="minorEastAsia" w:cstheme="minorBidi"/>
          <w:b w:val="0"/>
          <w:bCs w:val="0"/>
          <w:noProof/>
        </w:rPr>
      </w:pPr>
      <w:hyperlink w:anchor="_Toc525740585" w:history="1">
        <w:r w:rsidR="00267803" w:rsidRPr="00945CC8">
          <w:rPr>
            <w:rStyle w:val="Hyperlink"/>
            <w:noProof/>
          </w:rPr>
          <w:t>3.7.</w:t>
        </w:r>
        <w:r w:rsidR="00267803">
          <w:rPr>
            <w:rFonts w:eastAsiaTheme="minorEastAsia" w:cstheme="minorBidi"/>
            <w:b w:val="0"/>
            <w:bCs w:val="0"/>
            <w:noProof/>
          </w:rPr>
          <w:tab/>
        </w:r>
        <w:r w:rsidR="00267803" w:rsidRPr="00945CC8">
          <w:rPr>
            <w:rStyle w:val="Hyperlink"/>
            <w:noProof/>
          </w:rPr>
          <w:t>Payment systems</w:t>
        </w:r>
        <w:r w:rsidR="00267803">
          <w:rPr>
            <w:noProof/>
            <w:webHidden/>
          </w:rPr>
          <w:tab/>
        </w:r>
        <w:r w:rsidR="00267803">
          <w:rPr>
            <w:noProof/>
            <w:webHidden/>
          </w:rPr>
          <w:fldChar w:fldCharType="begin"/>
        </w:r>
        <w:r w:rsidR="00267803">
          <w:rPr>
            <w:noProof/>
            <w:webHidden/>
          </w:rPr>
          <w:instrText xml:space="preserve"> PAGEREF _Toc525740585 \h </w:instrText>
        </w:r>
        <w:r w:rsidR="00267803">
          <w:rPr>
            <w:noProof/>
            <w:webHidden/>
          </w:rPr>
        </w:r>
        <w:r w:rsidR="00267803">
          <w:rPr>
            <w:noProof/>
            <w:webHidden/>
          </w:rPr>
          <w:fldChar w:fldCharType="separate"/>
        </w:r>
        <w:r w:rsidR="00267803">
          <w:rPr>
            <w:noProof/>
            <w:webHidden/>
          </w:rPr>
          <w:t>32</w:t>
        </w:r>
        <w:r w:rsidR="00267803">
          <w:rPr>
            <w:noProof/>
            <w:webHidden/>
          </w:rPr>
          <w:fldChar w:fldCharType="end"/>
        </w:r>
      </w:hyperlink>
    </w:p>
    <w:p w14:paraId="053F8B84" w14:textId="77777777" w:rsidR="00267803" w:rsidRDefault="00041F25">
      <w:pPr>
        <w:pStyle w:val="TOC3"/>
        <w:tabs>
          <w:tab w:val="left" w:pos="1320"/>
          <w:tab w:val="right" w:leader="dot" w:pos="9061"/>
        </w:tabs>
        <w:rPr>
          <w:rFonts w:eastAsiaTheme="minorEastAsia" w:cstheme="minorBidi"/>
          <w:noProof/>
          <w:sz w:val="22"/>
          <w:szCs w:val="22"/>
        </w:rPr>
      </w:pPr>
      <w:hyperlink w:anchor="_Toc525740586" w:history="1">
        <w:r w:rsidR="00267803" w:rsidRPr="00945CC8">
          <w:rPr>
            <w:rStyle w:val="Hyperlink"/>
            <w:noProof/>
          </w:rPr>
          <w:t>3.7.1.</w:t>
        </w:r>
        <w:r w:rsidR="00267803">
          <w:rPr>
            <w:rFonts w:eastAsiaTheme="minorEastAsia" w:cstheme="minorBidi"/>
            <w:noProof/>
            <w:sz w:val="22"/>
            <w:szCs w:val="22"/>
          </w:rPr>
          <w:tab/>
        </w:r>
        <w:r w:rsidR="00267803" w:rsidRPr="00945CC8">
          <w:rPr>
            <w:rStyle w:val="Hyperlink"/>
            <w:noProof/>
          </w:rPr>
          <w:t>Pay-for-performance</w:t>
        </w:r>
        <w:r w:rsidR="00267803">
          <w:rPr>
            <w:noProof/>
            <w:webHidden/>
          </w:rPr>
          <w:tab/>
        </w:r>
        <w:r w:rsidR="00267803">
          <w:rPr>
            <w:noProof/>
            <w:webHidden/>
          </w:rPr>
          <w:fldChar w:fldCharType="begin"/>
        </w:r>
        <w:r w:rsidR="00267803">
          <w:rPr>
            <w:noProof/>
            <w:webHidden/>
          </w:rPr>
          <w:instrText xml:space="preserve"> PAGEREF _Toc525740586 \h </w:instrText>
        </w:r>
        <w:r w:rsidR="00267803">
          <w:rPr>
            <w:noProof/>
            <w:webHidden/>
          </w:rPr>
        </w:r>
        <w:r w:rsidR="00267803">
          <w:rPr>
            <w:noProof/>
            <w:webHidden/>
          </w:rPr>
          <w:fldChar w:fldCharType="separate"/>
        </w:r>
        <w:r w:rsidR="00267803">
          <w:rPr>
            <w:noProof/>
            <w:webHidden/>
          </w:rPr>
          <w:t>32</w:t>
        </w:r>
        <w:r w:rsidR="00267803">
          <w:rPr>
            <w:noProof/>
            <w:webHidden/>
          </w:rPr>
          <w:fldChar w:fldCharType="end"/>
        </w:r>
      </w:hyperlink>
    </w:p>
    <w:p w14:paraId="71D7ED04" w14:textId="77777777" w:rsidR="00267803" w:rsidRDefault="00041F25">
      <w:pPr>
        <w:pStyle w:val="TOC3"/>
        <w:tabs>
          <w:tab w:val="left" w:pos="1320"/>
          <w:tab w:val="right" w:leader="dot" w:pos="9061"/>
        </w:tabs>
        <w:rPr>
          <w:rFonts w:eastAsiaTheme="minorEastAsia" w:cstheme="minorBidi"/>
          <w:noProof/>
          <w:sz w:val="22"/>
          <w:szCs w:val="22"/>
        </w:rPr>
      </w:pPr>
      <w:hyperlink w:anchor="_Toc525740587" w:history="1">
        <w:r w:rsidR="00267803" w:rsidRPr="00945CC8">
          <w:rPr>
            <w:rStyle w:val="Hyperlink"/>
            <w:noProof/>
          </w:rPr>
          <w:t>3.7.2.</w:t>
        </w:r>
        <w:r w:rsidR="00267803">
          <w:rPr>
            <w:rFonts w:eastAsiaTheme="minorEastAsia" w:cstheme="minorBidi"/>
            <w:noProof/>
            <w:sz w:val="22"/>
            <w:szCs w:val="22"/>
          </w:rPr>
          <w:tab/>
        </w:r>
        <w:r w:rsidR="00267803" w:rsidRPr="00945CC8">
          <w:rPr>
            <w:rStyle w:val="Hyperlink"/>
            <w:noProof/>
          </w:rPr>
          <w:t>Other payment systems</w:t>
        </w:r>
        <w:r w:rsidR="00267803">
          <w:rPr>
            <w:noProof/>
            <w:webHidden/>
          </w:rPr>
          <w:tab/>
        </w:r>
        <w:r w:rsidR="00267803">
          <w:rPr>
            <w:noProof/>
            <w:webHidden/>
          </w:rPr>
          <w:fldChar w:fldCharType="begin"/>
        </w:r>
        <w:r w:rsidR="00267803">
          <w:rPr>
            <w:noProof/>
            <w:webHidden/>
          </w:rPr>
          <w:instrText xml:space="preserve"> PAGEREF _Toc525740587 \h </w:instrText>
        </w:r>
        <w:r w:rsidR="00267803">
          <w:rPr>
            <w:noProof/>
            <w:webHidden/>
          </w:rPr>
        </w:r>
        <w:r w:rsidR="00267803">
          <w:rPr>
            <w:noProof/>
            <w:webHidden/>
          </w:rPr>
          <w:fldChar w:fldCharType="separate"/>
        </w:r>
        <w:r w:rsidR="00267803">
          <w:rPr>
            <w:noProof/>
            <w:webHidden/>
          </w:rPr>
          <w:t>33</w:t>
        </w:r>
        <w:r w:rsidR="00267803">
          <w:rPr>
            <w:noProof/>
            <w:webHidden/>
          </w:rPr>
          <w:fldChar w:fldCharType="end"/>
        </w:r>
      </w:hyperlink>
    </w:p>
    <w:p w14:paraId="03AC96C9" w14:textId="77777777" w:rsidR="00267803" w:rsidRDefault="00041F25">
      <w:pPr>
        <w:pStyle w:val="TOC3"/>
        <w:tabs>
          <w:tab w:val="left" w:pos="1320"/>
          <w:tab w:val="right" w:leader="dot" w:pos="9061"/>
        </w:tabs>
        <w:rPr>
          <w:rFonts w:eastAsiaTheme="minorEastAsia" w:cstheme="minorBidi"/>
          <w:noProof/>
          <w:sz w:val="22"/>
          <w:szCs w:val="22"/>
        </w:rPr>
      </w:pPr>
      <w:hyperlink w:anchor="_Toc525740588" w:history="1">
        <w:r w:rsidR="00267803" w:rsidRPr="00945CC8">
          <w:rPr>
            <w:rStyle w:val="Hyperlink"/>
            <w:noProof/>
          </w:rPr>
          <w:t>3.7.3.</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_Toc525740588 \h </w:instrText>
        </w:r>
        <w:r w:rsidR="00267803">
          <w:rPr>
            <w:noProof/>
            <w:webHidden/>
          </w:rPr>
        </w:r>
        <w:r w:rsidR="00267803">
          <w:rPr>
            <w:noProof/>
            <w:webHidden/>
          </w:rPr>
          <w:fldChar w:fldCharType="separate"/>
        </w:r>
        <w:r w:rsidR="00267803">
          <w:rPr>
            <w:noProof/>
            <w:webHidden/>
          </w:rPr>
          <w:t>33</w:t>
        </w:r>
        <w:r w:rsidR="00267803">
          <w:rPr>
            <w:noProof/>
            <w:webHidden/>
          </w:rPr>
          <w:fldChar w:fldCharType="end"/>
        </w:r>
      </w:hyperlink>
    </w:p>
    <w:p w14:paraId="0F2158E4" w14:textId="77777777" w:rsidR="00267803" w:rsidRDefault="00041F25">
      <w:pPr>
        <w:pStyle w:val="TOC2"/>
        <w:tabs>
          <w:tab w:val="left" w:pos="880"/>
          <w:tab w:val="right" w:leader="dot" w:pos="9061"/>
        </w:tabs>
        <w:rPr>
          <w:rFonts w:eastAsiaTheme="minorEastAsia" w:cstheme="minorBidi"/>
          <w:b w:val="0"/>
          <w:bCs w:val="0"/>
          <w:noProof/>
        </w:rPr>
      </w:pPr>
      <w:hyperlink w:anchor="_Toc525740589" w:history="1">
        <w:r w:rsidR="00267803" w:rsidRPr="00945CC8">
          <w:rPr>
            <w:rStyle w:val="Hyperlink"/>
            <w:noProof/>
          </w:rPr>
          <w:t>3.8.</w:t>
        </w:r>
        <w:r w:rsidR="00267803">
          <w:rPr>
            <w:rFonts w:eastAsiaTheme="minorEastAsia" w:cstheme="minorBidi"/>
            <w:b w:val="0"/>
            <w:bCs w:val="0"/>
            <w:noProof/>
          </w:rPr>
          <w:tab/>
        </w:r>
        <w:r w:rsidR="00267803" w:rsidRPr="00945CC8">
          <w:rPr>
            <w:rStyle w:val="Hyperlink"/>
            <w:noProof/>
          </w:rPr>
          <w:t>Quality improvement</w:t>
        </w:r>
        <w:r w:rsidR="00267803">
          <w:rPr>
            <w:noProof/>
            <w:webHidden/>
          </w:rPr>
          <w:tab/>
        </w:r>
        <w:r w:rsidR="00267803">
          <w:rPr>
            <w:noProof/>
            <w:webHidden/>
          </w:rPr>
          <w:fldChar w:fldCharType="begin"/>
        </w:r>
        <w:r w:rsidR="00267803">
          <w:rPr>
            <w:noProof/>
            <w:webHidden/>
          </w:rPr>
          <w:instrText xml:space="preserve"> PAGEREF _Toc525740589 \h </w:instrText>
        </w:r>
        <w:r w:rsidR="00267803">
          <w:rPr>
            <w:noProof/>
            <w:webHidden/>
          </w:rPr>
        </w:r>
        <w:r w:rsidR="00267803">
          <w:rPr>
            <w:noProof/>
            <w:webHidden/>
          </w:rPr>
          <w:fldChar w:fldCharType="separate"/>
        </w:r>
        <w:r w:rsidR="00267803">
          <w:rPr>
            <w:noProof/>
            <w:webHidden/>
          </w:rPr>
          <w:t>33</w:t>
        </w:r>
        <w:r w:rsidR="00267803">
          <w:rPr>
            <w:noProof/>
            <w:webHidden/>
          </w:rPr>
          <w:fldChar w:fldCharType="end"/>
        </w:r>
      </w:hyperlink>
    </w:p>
    <w:p w14:paraId="0D5BDB54" w14:textId="77777777" w:rsidR="00267803" w:rsidRDefault="00041F25">
      <w:pPr>
        <w:pStyle w:val="TOC3"/>
        <w:tabs>
          <w:tab w:val="left" w:pos="1320"/>
          <w:tab w:val="right" w:leader="dot" w:pos="9061"/>
        </w:tabs>
        <w:rPr>
          <w:rFonts w:eastAsiaTheme="minorEastAsia" w:cstheme="minorBidi"/>
          <w:noProof/>
          <w:sz w:val="22"/>
          <w:szCs w:val="22"/>
        </w:rPr>
      </w:pPr>
      <w:hyperlink w:anchor="_Toc525740590" w:history="1">
        <w:r w:rsidR="00267803" w:rsidRPr="00945CC8">
          <w:rPr>
            <w:rStyle w:val="Hyperlink"/>
            <w:noProof/>
          </w:rPr>
          <w:t>3.8.1.</w:t>
        </w:r>
        <w:r w:rsidR="00267803">
          <w:rPr>
            <w:rFonts w:eastAsiaTheme="minorEastAsia" w:cstheme="minorBidi"/>
            <w:noProof/>
            <w:sz w:val="22"/>
            <w:szCs w:val="22"/>
          </w:rPr>
          <w:tab/>
        </w:r>
        <w:r w:rsidR="00267803" w:rsidRPr="00945CC8">
          <w:rPr>
            <w:rStyle w:val="Hyperlink"/>
            <w:noProof/>
          </w:rPr>
          <w:t>Modifications or restrictions to referral or order forms</w:t>
        </w:r>
        <w:r w:rsidR="00267803">
          <w:rPr>
            <w:noProof/>
            <w:webHidden/>
          </w:rPr>
          <w:tab/>
        </w:r>
        <w:r w:rsidR="00267803">
          <w:rPr>
            <w:noProof/>
            <w:webHidden/>
          </w:rPr>
          <w:fldChar w:fldCharType="begin"/>
        </w:r>
        <w:r w:rsidR="00267803">
          <w:rPr>
            <w:noProof/>
            <w:webHidden/>
          </w:rPr>
          <w:instrText xml:space="preserve"> PAGEREF _Toc525740590 \h </w:instrText>
        </w:r>
        <w:r w:rsidR="00267803">
          <w:rPr>
            <w:noProof/>
            <w:webHidden/>
          </w:rPr>
        </w:r>
        <w:r w:rsidR="00267803">
          <w:rPr>
            <w:noProof/>
            <w:webHidden/>
          </w:rPr>
          <w:fldChar w:fldCharType="separate"/>
        </w:r>
        <w:r w:rsidR="00267803">
          <w:rPr>
            <w:noProof/>
            <w:webHidden/>
          </w:rPr>
          <w:t>34</w:t>
        </w:r>
        <w:r w:rsidR="00267803">
          <w:rPr>
            <w:noProof/>
            <w:webHidden/>
          </w:rPr>
          <w:fldChar w:fldCharType="end"/>
        </w:r>
      </w:hyperlink>
    </w:p>
    <w:p w14:paraId="17F9D759" w14:textId="77777777" w:rsidR="00267803" w:rsidRDefault="00041F25">
      <w:pPr>
        <w:pStyle w:val="TOC3"/>
        <w:tabs>
          <w:tab w:val="left" w:pos="1320"/>
          <w:tab w:val="right" w:leader="dot" w:pos="9061"/>
        </w:tabs>
        <w:rPr>
          <w:rFonts w:eastAsiaTheme="minorEastAsia" w:cstheme="minorBidi"/>
          <w:noProof/>
          <w:sz w:val="22"/>
          <w:szCs w:val="22"/>
        </w:rPr>
      </w:pPr>
      <w:hyperlink w:anchor="_Toc525740591" w:history="1">
        <w:r w:rsidR="00267803" w:rsidRPr="00945CC8">
          <w:rPr>
            <w:rStyle w:val="Hyperlink"/>
            <w:noProof/>
          </w:rPr>
          <w:t>3.8.2.</w:t>
        </w:r>
        <w:r w:rsidR="00267803">
          <w:rPr>
            <w:rFonts w:eastAsiaTheme="minorEastAsia" w:cstheme="minorBidi"/>
            <w:noProof/>
            <w:sz w:val="22"/>
            <w:szCs w:val="22"/>
          </w:rPr>
          <w:tab/>
        </w:r>
        <w:r w:rsidR="00267803" w:rsidRPr="00945CC8">
          <w:rPr>
            <w:rStyle w:val="Hyperlink"/>
            <w:noProof/>
          </w:rPr>
          <w:t>Summary of findings</w:t>
        </w:r>
        <w:r w:rsidR="00267803">
          <w:rPr>
            <w:noProof/>
            <w:webHidden/>
          </w:rPr>
          <w:tab/>
        </w:r>
        <w:r w:rsidR="00267803">
          <w:rPr>
            <w:noProof/>
            <w:webHidden/>
          </w:rPr>
          <w:fldChar w:fldCharType="begin"/>
        </w:r>
        <w:r w:rsidR="00267803">
          <w:rPr>
            <w:noProof/>
            <w:webHidden/>
          </w:rPr>
          <w:instrText xml:space="preserve"> PAGEREF _Toc525740591 \h </w:instrText>
        </w:r>
        <w:r w:rsidR="00267803">
          <w:rPr>
            <w:noProof/>
            <w:webHidden/>
          </w:rPr>
        </w:r>
        <w:r w:rsidR="00267803">
          <w:rPr>
            <w:noProof/>
            <w:webHidden/>
          </w:rPr>
          <w:fldChar w:fldCharType="separate"/>
        </w:r>
        <w:r w:rsidR="00267803">
          <w:rPr>
            <w:noProof/>
            <w:webHidden/>
          </w:rPr>
          <w:t>34</w:t>
        </w:r>
        <w:r w:rsidR="00267803">
          <w:rPr>
            <w:noProof/>
            <w:webHidden/>
          </w:rPr>
          <w:fldChar w:fldCharType="end"/>
        </w:r>
      </w:hyperlink>
    </w:p>
    <w:p w14:paraId="66C71CCA" w14:textId="77777777" w:rsidR="00267803" w:rsidRDefault="00041F25" w:rsidP="00D20CCE">
      <w:pPr>
        <w:pStyle w:val="TOC1"/>
        <w:rPr>
          <w:rFonts w:eastAsiaTheme="minorEastAsia" w:cstheme="minorBidi"/>
          <w:noProof/>
          <w:sz w:val="22"/>
          <w:szCs w:val="22"/>
        </w:rPr>
      </w:pPr>
      <w:hyperlink w:anchor="_Toc525740592" w:history="1">
        <w:r w:rsidR="00267803" w:rsidRPr="00945CC8">
          <w:rPr>
            <w:rStyle w:val="Hyperlink"/>
            <w:noProof/>
          </w:rPr>
          <w:t>4.</w:t>
        </w:r>
        <w:r w:rsidR="00267803">
          <w:rPr>
            <w:rFonts w:eastAsiaTheme="minorEastAsia" w:cstheme="minorBidi"/>
            <w:noProof/>
            <w:sz w:val="22"/>
            <w:szCs w:val="22"/>
          </w:rPr>
          <w:tab/>
        </w:r>
        <w:r w:rsidR="00267803" w:rsidRPr="00945CC8">
          <w:rPr>
            <w:rStyle w:val="Hyperlink"/>
            <w:noProof/>
          </w:rPr>
          <w:t>Discussion</w:t>
        </w:r>
        <w:r w:rsidR="00267803">
          <w:rPr>
            <w:noProof/>
            <w:webHidden/>
          </w:rPr>
          <w:tab/>
        </w:r>
        <w:r w:rsidR="00267803">
          <w:rPr>
            <w:noProof/>
            <w:webHidden/>
          </w:rPr>
          <w:fldChar w:fldCharType="begin"/>
        </w:r>
        <w:r w:rsidR="00267803">
          <w:rPr>
            <w:noProof/>
            <w:webHidden/>
          </w:rPr>
          <w:instrText xml:space="preserve"> PAGEREF _Toc525740592 \h </w:instrText>
        </w:r>
        <w:r w:rsidR="00267803">
          <w:rPr>
            <w:noProof/>
            <w:webHidden/>
          </w:rPr>
        </w:r>
        <w:r w:rsidR="00267803">
          <w:rPr>
            <w:noProof/>
            <w:webHidden/>
          </w:rPr>
          <w:fldChar w:fldCharType="separate"/>
        </w:r>
        <w:r w:rsidR="00267803">
          <w:rPr>
            <w:noProof/>
            <w:webHidden/>
          </w:rPr>
          <w:t>36</w:t>
        </w:r>
        <w:r w:rsidR="00267803">
          <w:rPr>
            <w:noProof/>
            <w:webHidden/>
          </w:rPr>
          <w:fldChar w:fldCharType="end"/>
        </w:r>
      </w:hyperlink>
    </w:p>
    <w:p w14:paraId="7FA858B5" w14:textId="77777777" w:rsidR="00267803" w:rsidRDefault="00041F25">
      <w:pPr>
        <w:pStyle w:val="TOC2"/>
        <w:tabs>
          <w:tab w:val="left" w:pos="880"/>
          <w:tab w:val="right" w:leader="dot" w:pos="9061"/>
        </w:tabs>
        <w:rPr>
          <w:rFonts w:eastAsiaTheme="minorEastAsia" w:cstheme="minorBidi"/>
          <w:b w:val="0"/>
          <w:bCs w:val="0"/>
          <w:noProof/>
        </w:rPr>
      </w:pPr>
      <w:hyperlink w:anchor="_Toc525740593" w:history="1">
        <w:r w:rsidR="00267803" w:rsidRPr="00945CC8">
          <w:rPr>
            <w:rStyle w:val="Hyperlink"/>
            <w:noProof/>
          </w:rPr>
          <w:t>4.1.</w:t>
        </w:r>
        <w:r w:rsidR="00267803">
          <w:rPr>
            <w:rFonts w:eastAsiaTheme="minorEastAsia" w:cstheme="minorBidi"/>
            <w:b w:val="0"/>
            <w:bCs w:val="0"/>
            <w:noProof/>
          </w:rPr>
          <w:tab/>
        </w:r>
        <w:r w:rsidR="00267803" w:rsidRPr="00945CC8">
          <w:rPr>
            <w:rStyle w:val="Hyperlink"/>
            <w:noProof/>
          </w:rPr>
          <w:t>Conclusions</w:t>
        </w:r>
        <w:r w:rsidR="00267803">
          <w:rPr>
            <w:noProof/>
            <w:webHidden/>
          </w:rPr>
          <w:tab/>
        </w:r>
        <w:r w:rsidR="00267803">
          <w:rPr>
            <w:noProof/>
            <w:webHidden/>
          </w:rPr>
          <w:fldChar w:fldCharType="begin"/>
        </w:r>
        <w:r w:rsidR="00267803">
          <w:rPr>
            <w:noProof/>
            <w:webHidden/>
          </w:rPr>
          <w:instrText xml:space="preserve"> PAGEREF _Toc525740593 \h </w:instrText>
        </w:r>
        <w:r w:rsidR="00267803">
          <w:rPr>
            <w:noProof/>
            <w:webHidden/>
          </w:rPr>
        </w:r>
        <w:r w:rsidR="00267803">
          <w:rPr>
            <w:noProof/>
            <w:webHidden/>
          </w:rPr>
          <w:fldChar w:fldCharType="separate"/>
        </w:r>
        <w:r w:rsidR="00267803">
          <w:rPr>
            <w:noProof/>
            <w:webHidden/>
          </w:rPr>
          <w:t>37</w:t>
        </w:r>
        <w:r w:rsidR="00267803">
          <w:rPr>
            <w:noProof/>
            <w:webHidden/>
          </w:rPr>
          <w:fldChar w:fldCharType="end"/>
        </w:r>
      </w:hyperlink>
    </w:p>
    <w:p w14:paraId="78600419" w14:textId="77777777" w:rsidR="00267803" w:rsidRDefault="00041F25" w:rsidP="00D20CCE">
      <w:pPr>
        <w:pStyle w:val="TOC1"/>
        <w:rPr>
          <w:rFonts w:eastAsiaTheme="minorEastAsia" w:cstheme="minorBidi"/>
          <w:noProof/>
          <w:sz w:val="22"/>
          <w:szCs w:val="22"/>
        </w:rPr>
      </w:pPr>
      <w:hyperlink w:anchor="_Toc525740594" w:history="1">
        <w:r w:rsidR="00267803" w:rsidRPr="00945CC8">
          <w:rPr>
            <w:rStyle w:val="Hyperlink"/>
            <w:rFonts w:eastAsia="TimesNewRomanPSMT"/>
            <w:noProof/>
          </w:rPr>
          <w:t>Figures and Tables</w:t>
        </w:r>
        <w:r w:rsidR="00267803">
          <w:rPr>
            <w:noProof/>
            <w:webHidden/>
          </w:rPr>
          <w:tab/>
        </w:r>
        <w:r w:rsidR="00267803">
          <w:rPr>
            <w:noProof/>
            <w:webHidden/>
          </w:rPr>
          <w:fldChar w:fldCharType="begin"/>
        </w:r>
        <w:r w:rsidR="00267803">
          <w:rPr>
            <w:noProof/>
            <w:webHidden/>
          </w:rPr>
          <w:instrText xml:space="preserve"> PAGEREF _Toc525740594 \h </w:instrText>
        </w:r>
        <w:r w:rsidR="00267803">
          <w:rPr>
            <w:noProof/>
            <w:webHidden/>
          </w:rPr>
        </w:r>
        <w:r w:rsidR="00267803">
          <w:rPr>
            <w:noProof/>
            <w:webHidden/>
          </w:rPr>
          <w:fldChar w:fldCharType="separate"/>
        </w:r>
        <w:r w:rsidR="00267803">
          <w:rPr>
            <w:noProof/>
            <w:webHidden/>
          </w:rPr>
          <w:t>39</w:t>
        </w:r>
        <w:r w:rsidR="00267803">
          <w:rPr>
            <w:noProof/>
            <w:webHidden/>
          </w:rPr>
          <w:fldChar w:fldCharType="end"/>
        </w:r>
      </w:hyperlink>
    </w:p>
    <w:p w14:paraId="168A261A" w14:textId="77777777" w:rsidR="00267803" w:rsidRDefault="00041F25" w:rsidP="00D20CCE">
      <w:pPr>
        <w:pStyle w:val="TOC1"/>
        <w:rPr>
          <w:rFonts w:eastAsiaTheme="minorEastAsia" w:cstheme="minorBidi"/>
          <w:noProof/>
          <w:sz w:val="22"/>
          <w:szCs w:val="22"/>
        </w:rPr>
      </w:pPr>
      <w:hyperlink w:anchor="_Toc525740595" w:history="1">
        <w:r w:rsidR="00267803" w:rsidRPr="00945CC8">
          <w:rPr>
            <w:rStyle w:val="Hyperlink"/>
            <w:rFonts w:eastAsia="TimesNewRomanPSMT"/>
            <w:noProof/>
          </w:rPr>
          <w:t>Appendices</w:t>
        </w:r>
        <w:r w:rsidR="00267803">
          <w:rPr>
            <w:noProof/>
            <w:webHidden/>
          </w:rPr>
          <w:tab/>
        </w:r>
        <w:r w:rsidR="00267803">
          <w:rPr>
            <w:noProof/>
            <w:webHidden/>
          </w:rPr>
          <w:fldChar w:fldCharType="begin"/>
        </w:r>
        <w:r w:rsidR="00267803">
          <w:rPr>
            <w:noProof/>
            <w:webHidden/>
          </w:rPr>
          <w:instrText xml:space="preserve"> PAGEREF _Toc525740595 \h </w:instrText>
        </w:r>
        <w:r w:rsidR="00267803">
          <w:rPr>
            <w:noProof/>
            <w:webHidden/>
          </w:rPr>
        </w:r>
        <w:r w:rsidR="00267803">
          <w:rPr>
            <w:noProof/>
            <w:webHidden/>
          </w:rPr>
          <w:fldChar w:fldCharType="separate"/>
        </w:r>
        <w:r w:rsidR="00267803">
          <w:rPr>
            <w:noProof/>
            <w:webHidden/>
          </w:rPr>
          <w:t>92</w:t>
        </w:r>
        <w:r w:rsidR="00267803">
          <w:rPr>
            <w:noProof/>
            <w:webHidden/>
          </w:rPr>
          <w:fldChar w:fldCharType="end"/>
        </w:r>
      </w:hyperlink>
    </w:p>
    <w:p w14:paraId="4CE46007" w14:textId="77777777" w:rsidR="00267803" w:rsidRDefault="00041F25">
      <w:pPr>
        <w:pStyle w:val="TOC2"/>
        <w:tabs>
          <w:tab w:val="right" w:leader="dot" w:pos="9061"/>
        </w:tabs>
        <w:rPr>
          <w:rFonts w:eastAsiaTheme="minorEastAsia" w:cstheme="minorBidi"/>
          <w:b w:val="0"/>
          <w:bCs w:val="0"/>
          <w:noProof/>
        </w:rPr>
      </w:pPr>
      <w:hyperlink w:anchor="_Toc525740596" w:history="1">
        <w:r w:rsidR="00267803" w:rsidRPr="00945CC8">
          <w:rPr>
            <w:rStyle w:val="Hyperlink"/>
            <w:noProof/>
          </w:rPr>
          <w:t>Appendix 1: The full electronic search strategies used for the systematic searches</w:t>
        </w:r>
        <w:r w:rsidR="00267803">
          <w:rPr>
            <w:noProof/>
            <w:webHidden/>
          </w:rPr>
          <w:tab/>
        </w:r>
        <w:r w:rsidR="00267803">
          <w:rPr>
            <w:noProof/>
            <w:webHidden/>
          </w:rPr>
          <w:fldChar w:fldCharType="begin"/>
        </w:r>
        <w:r w:rsidR="00267803">
          <w:rPr>
            <w:noProof/>
            <w:webHidden/>
          </w:rPr>
          <w:instrText xml:space="preserve"> PAGEREF _Toc525740596 \h </w:instrText>
        </w:r>
        <w:r w:rsidR="00267803">
          <w:rPr>
            <w:noProof/>
            <w:webHidden/>
          </w:rPr>
        </w:r>
        <w:r w:rsidR="00267803">
          <w:rPr>
            <w:noProof/>
            <w:webHidden/>
          </w:rPr>
          <w:fldChar w:fldCharType="separate"/>
        </w:r>
        <w:r w:rsidR="00267803">
          <w:rPr>
            <w:noProof/>
            <w:webHidden/>
          </w:rPr>
          <w:t>92</w:t>
        </w:r>
        <w:r w:rsidR="00267803">
          <w:rPr>
            <w:noProof/>
            <w:webHidden/>
          </w:rPr>
          <w:fldChar w:fldCharType="end"/>
        </w:r>
      </w:hyperlink>
    </w:p>
    <w:p w14:paraId="7044C94D" w14:textId="77777777" w:rsidR="00267803" w:rsidRDefault="00041F25">
      <w:pPr>
        <w:pStyle w:val="TOC3"/>
        <w:tabs>
          <w:tab w:val="right" w:leader="dot" w:pos="9061"/>
        </w:tabs>
        <w:rPr>
          <w:rFonts w:eastAsiaTheme="minorEastAsia" w:cstheme="minorBidi"/>
          <w:noProof/>
          <w:sz w:val="22"/>
          <w:szCs w:val="22"/>
        </w:rPr>
      </w:pPr>
      <w:hyperlink w:anchor="_Toc525740597" w:history="1">
        <w:r w:rsidR="00267803" w:rsidRPr="00945CC8">
          <w:rPr>
            <w:rStyle w:val="Hyperlink"/>
            <w:rFonts w:eastAsia="Arial Unicode MS"/>
            <w:noProof/>
          </w:rPr>
          <w:t xml:space="preserve">Embase search for </w:t>
        </w:r>
        <w:r w:rsidR="00267803" w:rsidRPr="00945CC8">
          <w:rPr>
            <w:rStyle w:val="Hyperlink"/>
            <w:noProof/>
          </w:rPr>
          <w:t>reviews</w:t>
        </w:r>
        <w:r w:rsidR="00267803" w:rsidRPr="00945CC8">
          <w:rPr>
            <w:rStyle w:val="Hyperlink"/>
            <w:rFonts w:eastAsia="Arial Unicode MS"/>
            <w:noProof/>
          </w:rPr>
          <w:t xml:space="preserve"> investigating diagnostic imaging</w:t>
        </w:r>
        <w:r w:rsidR="00267803">
          <w:rPr>
            <w:noProof/>
            <w:webHidden/>
          </w:rPr>
          <w:tab/>
        </w:r>
        <w:r w:rsidR="00267803">
          <w:rPr>
            <w:noProof/>
            <w:webHidden/>
          </w:rPr>
          <w:fldChar w:fldCharType="begin"/>
        </w:r>
        <w:r w:rsidR="00267803">
          <w:rPr>
            <w:noProof/>
            <w:webHidden/>
          </w:rPr>
          <w:instrText xml:space="preserve"> PAGEREF _Toc525740597 \h </w:instrText>
        </w:r>
        <w:r w:rsidR="00267803">
          <w:rPr>
            <w:noProof/>
            <w:webHidden/>
          </w:rPr>
        </w:r>
        <w:r w:rsidR="00267803">
          <w:rPr>
            <w:noProof/>
            <w:webHidden/>
          </w:rPr>
          <w:fldChar w:fldCharType="separate"/>
        </w:r>
        <w:r w:rsidR="00267803">
          <w:rPr>
            <w:noProof/>
            <w:webHidden/>
          </w:rPr>
          <w:t>92</w:t>
        </w:r>
        <w:r w:rsidR="00267803">
          <w:rPr>
            <w:noProof/>
            <w:webHidden/>
          </w:rPr>
          <w:fldChar w:fldCharType="end"/>
        </w:r>
      </w:hyperlink>
    </w:p>
    <w:p w14:paraId="19EB8A3B" w14:textId="77777777" w:rsidR="00267803" w:rsidRDefault="00041F25">
      <w:pPr>
        <w:pStyle w:val="TOC3"/>
        <w:tabs>
          <w:tab w:val="right" w:leader="dot" w:pos="9061"/>
        </w:tabs>
        <w:rPr>
          <w:rFonts w:eastAsiaTheme="minorEastAsia" w:cstheme="minorBidi"/>
          <w:noProof/>
          <w:sz w:val="22"/>
          <w:szCs w:val="22"/>
        </w:rPr>
      </w:pPr>
      <w:hyperlink w:anchor="_Toc525740598" w:history="1">
        <w:r w:rsidR="00267803" w:rsidRPr="00945CC8">
          <w:rPr>
            <w:rStyle w:val="Hyperlink"/>
            <w:rFonts w:eastAsia="Arial Unicode MS"/>
            <w:noProof/>
          </w:rPr>
          <w:t xml:space="preserve">Medline search for </w:t>
        </w:r>
        <w:r w:rsidR="00267803" w:rsidRPr="00945CC8">
          <w:rPr>
            <w:rStyle w:val="Hyperlink"/>
            <w:noProof/>
          </w:rPr>
          <w:t>reviews</w:t>
        </w:r>
        <w:r w:rsidR="00267803" w:rsidRPr="00945CC8">
          <w:rPr>
            <w:rStyle w:val="Hyperlink"/>
            <w:rFonts w:eastAsia="Arial Unicode MS"/>
            <w:noProof/>
          </w:rPr>
          <w:t xml:space="preserve"> investigating diagnostic imaging</w:t>
        </w:r>
        <w:r w:rsidR="00267803">
          <w:rPr>
            <w:noProof/>
            <w:webHidden/>
          </w:rPr>
          <w:tab/>
        </w:r>
        <w:r w:rsidR="00267803">
          <w:rPr>
            <w:noProof/>
            <w:webHidden/>
          </w:rPr>
          <w:fldChar w:fldCharType="begin"/>
        </w:r>
        <w:r w:rsidR="00267803">
          <w:rPr>
            <w:noProof/>
            <w:webHidden/>
          </w:rPr>
          <w:instrText xml:space="preserve"> PAGEREF _Toc525740598 \h </w:instrText>
        </w:r>
        <w:r w:rsidR="00267803">
          <w:rPr>
            <w:noProof/>
            <w:webHidden/>
          </w:rPr>
        </w:r>
        <w:r w:rsidR="00267803">
          <w:rPr>
            <w:noProof/>
            <w:webHidden/>
          </w:rPr>
          <w:fldChar w:fldCharType="separate"/>
        </w:r>
        <w:r w:rsidR="00267803">
          <w:rPr>
            <w:noProof/>
            <w:webHidden/>
          </w:rPr>
          <w:t>96</w:t>
        </w:r>
        <w:r w:rsidR="00267803">
          <w:rPr>
            <w:noProof/>
            <w:webHidden/>
          </w:rPr>
          <w:fldChar w:fldCharType="end"/>
        </w:r>
      </w:hyperlink>
    </w:p>
    <w:p w14:paraId="7C22CBA0" w14:textId="77777777" w:rsidR="00267803" w:rsidRDefault="00041F25">
      <w:pPr>
        <w:pStyle w:val="TOC3"/>
        <w:tabs>
          <w:tab w:val="right" w:leader="dot" w:pos="9061"/>
        </w:tabs>
        <w:rPr>
          <w:rFonts w:eastAsiaTheme="minorEastAsia" w:cstheme="minorBidi"/>
          <w:noProof/>
          <w:sz w:val="22"/>
          <w:szCs w:val="22"/>
        </w:rPr>
      </w:pPr>
      <w:hyperlink w:anchor="_Toc525740599" w:history="1">
        <w:r w:rsidR="00267803" w:rsidRPr="00945CC8">
          <w:rPr>
            <w:rStyle w:val="Hyperlink"/>
            <w:rFonts w:eastAsia="Arial Unicode MS"/>
            <w:noProof/>
          </w:rPr>
          <w:t xml:space="preserve">Medline search for </w:t>
        </w:r>
        <w:r w:rsidR="00267803" w:rsidRPr="00945CC8">
          <w:rPr>
            <w:rStyle w:val="Hyperlink"/>
            <w:noProof/>
          </w:rPr>
          <w:t>reviews</w:t>
        </w:r>
        <w:r w:rsidR="00267803" w:rsidRPr="00945CC8">
          <w:rPr>
            <w:rStyle w:val="Hyperlink"/>
            <w:rFonts w:eastAsia="Arial Unicode MS"/>
            <w:noProof/>
          </w:rPr>
          <w:t xml:space="preserve"> investigating pathology tests</w:t>
        </w:r>
        <w:r w:rsidR="00267803">
          <w:rPr>
            <w:noProof/>
            <w:webHidden/>
          </w:rPr>
          <w:tab/>
        </w:r>
        <w:r w:rsidR="00267803">
          <w:rPr>
            <w:noProof/>
            <w:webHidden/>
          </w:rPr>
          <w:fldChar w:fldCharType="begin"/>
        </w:r>
        <w:r w:rsidR="00267803">
          <w:rPr>
            <w:noProof/>
            <w:webHidden/>
          </w:rPr>
          <w:instrText xml:space="preserve"> PAGEREF _Toc525740599 \h </w:instrText>
        </w:r>
        <w:r w:rsidR="00267803">
          <w:rPr>
            <w:noProof/>
            <w:webHidden/>
          </w:rPr>
        </w:r>
        <w:r w:rsidR="00267803">
          <w:rPr>
            <w:noProof/>
            <w:webHidden/>
          </w:rPr>
          <w:fldChar w:fldCharType="separate"/>
        </w:r>
        <w:r w:rsidR="00267803">
          <w:rPr>
            <w:noProof/>
            <w:webHidden/>
          </w:rPr>
          <w:t>98</w:t>
        </w:r>
        <w:r w:rsidR="00267803">
          <w:rPr>
            <w:noProof/>
            <w:webHidden/>
          </w:rPr>
          <w:fldChar w:fldCharType="end"/>
        </w:r>
      </w:hyperlink>
    </w:p>
    <w:p w14:paraId="5DEAC34B" w14:textId="77777777" w:rsidR="00267803" w:rsidRDefault="00041F25">
      <w:pPr>
        <w:pStyle w:val="TOC3"/>
        <w:tabs>
          <w:tab w:val="right" w:leader="dot" w:pos="9061"/>
        </w:tabs>
        <w:rPr>
          <w:rFonts w:eastAsiaTheme="minorEastAsia" w:cstheme="minorBidi"/>
          <w:noProof/>
          <w:sz w:val="22"/>
          <w:szCs w:val="22"/>
        </w:rPr>
      </w:pPr>
      <w:hyperlink w:anchor="_Toc525740600" w:history="1">
        <w:r w:rsidR="00267803" w:rsidRPr="00945CC8">
          <w:rPr>
            <w:rStyle w:val="Hyperlink"/>
            <w:rFonts w:eastAsia="Arial Unicode MS"/>
            <w:noProof/>
          </w:rPr>
          <w:t xml:space="preserve">PsycINFO search for </w:t>
        </w:r>
        <w:r w:rsidR="00267803" w:rsidRPr="00945CC8">
          <w:rPr>
            <w:rStyle w:val="Hyperlink"/>
            <w:noProof/>
          </w:rPr>
          <w:t>reviews</w:t>
        </w:r>
        <w:r w:rsidR="00267803" w:rsidRPr="00945CC8">
          <w:rPr>
            <w:rStyle w:val="Hyperlink"/>
            <w:rFonts w:eastAsia="Arial Unicode MS"/>
            <w:noProof/>
          </w:rPr>
          <w:t xml:space="preserve"> investigating diagnostic imaging</w:t>
        </w:r>
        <w:r w:rsidR="00267803">
          <w:rPr>
            <w:noProof/>
            <w:webHidden/>
          </w:rPr>
          <w:tab/>
        </w:r>
        <w:r w:rsidR="00267803">
          <w:rPr>
            <w:noProof/>
            <w:webHidden/>
          </w:rPr>
          <w:fldChar w:fldCharType="begin"/>
        </w:r>
        <w:r w:rsidR="00267803">
          <w:rPr>
            <w:noProof/>
            <w:webHidden/>
          </w:rPr>
          <w:instrText xml:space="preserve"> PAGEREF _Toc525740600 \h </w:instrText>
        </w:r>
        <w:r w:rsidR="00267803">
          <w:rPr>
            <w:noProof/>
            <w:webHidden/>
          </w:rPr>
        </w:r>
        <w:r w:rsidR="00267803">
          <w:rPr>
            <w:noProof/>
            <w:webHidden/>
          </w:rPr>
          <w:fldChar w:fldCharType="separate"/>
        </w:r>
        <w:r w:rsidR="00267803">
          <w:rPr>
            <w:noProof/>
            <w:webHidden/>
          </w:rPr>
          <w:t>100</w:t>
        </w:r>
        <w:r w:rsidR="00267803">
          <w:rPr>
            <w:noProof/>
            <w:webHidden/>
          </w:rPr>
          <w:fldChar w:fldCharType="end"/>
        </w:r>
      </w:hyperlink>
    </w:p>
    <w:p w14:paraId="1252EBFE" w14:textId="77777777" w:rsidR="00267803" w:rsidRDefault="00041F25">
      <w:pPr>
        <w:pStyle w:val="TOC3"/>
        <w:tabs>
          <w:tab w:val="right" w:leader="dot" w:pos="9061"/>
        </w:tabs>
        <w:rPr>
          <w:rFonts w:eastAsiaTheme="minorEastAsia" w:cstheme="minorBidi"/>
          <w:noProof/>
          <w:sz w:val="22"/>
          <w:szCs w:val="22"/>
        </w:rPr>
      </w:pPr>
      <w:hyperlink w:anchor="_Toc525740601" w:history="1">
        <w:r w:rsidR="00267803" w:rsidRPr="00945CC8">
          <w:rPr>
            <w:rStyle w:val="Hyperlink"/>
            <w:rFonts w:eastAsia="Arial Unicode MS"/>
            <w:noProof/>
          </w:rPr>
          <w:t xml:space="preserve">PsycINFO search for </w:t>
        </w:r>
        <w:r w:rsidR="00267803" w:rsidRPr="00945CC8">
          <w:rPr>
            <w:rStyle w:val="Hyperlink"/>
            <w:noProof/>
          </w:rPr>
          <w:t>reviews</w:t>
        </w:r>
        <w:r w:rsidR="00267803" w:rsidRPr="00945CC8">
          <w:rPr>
            <w:rStyle w:val="Hyperlink"/>
            <w:rFonts w:eastAsia="Arial Unicode MS"/>
            <w:noProof/>
          </w:rPr>
          <w:t xml:space="preserve"> investigating pathology tests</w:t>
        </w:r>
        <w:r w:rsidR="00267803">
          <w:rPr>
            <w:noProof/>
            <w:webHidden/>
          </w:rPr>
          <w:tab/>
        </w:r>
        <w:r w:rsidR="00267803">
          <w:rPr>
            <w:noProof/>
            <w:webHidden/>
          </w:rPr>
          <w:fldChar w:fldCharType="begin"/>
        </w:r>
        <w:r w:rsidR="00267803">
          <w:rPr>
            <w:noProof/>
            <w:webHidden/>
          </w:rPr>
          <w:instrText xml:space="preserve"> PAGEREF _Toc525740601 \h </w:instrText>
        </w:r>
        <w:r w:rsidR="00267803">
          <w:rPr>
            <w:noProof/>
            <w:webHidden/>
          </w:rPr>
        </w:r>
        <w:r w:rsidR="00267803">
          <w:rPr>
            <w:noProof/>
            <w:webHidden/>
          </w:rPr>
          <w:fldChar w:fldCharType="separate"/>
        </w:r>
        <w:r w:rsidR="00267803">
          <w:rPr>
            <w:noProof/>
            <w:webHidden/>
          </w:rPr>
          <w:t>102</w:t>
        </w:r>
        <w:r w:rsidR="00267803">
          <w:rPr>
            <w:noProof/>
            <w:webHidden/>
          </w:rPr>
          <w:fldChar w:fldCharType="end"/>
        </w:r>
      </w:hyperlink>
    </w:p>
    <w:p w14:paraId="1234174A" w14:textId="77777777" w:rsidR="00267803" w:rsidRDefault="00041F25" w:rsidP="00D20CCE">
      <w:pPr>
        <w:pStyle w:val="TOC1"/>
        <w:rPr>
          <w:rFonts w:eastAsiaTheme="minorEastAsia" w:cstheme="minorBidi"/>
          <w:noProof/>
          <w:sz w:val="22"/>
          <w:szCs w:val="22"/>
        </w:rPr>
      </w:pPr>
      <w:hyperlink w:anchor="_Toc525740602" w:history="1">
        <w:r w:rsidR="00267803" w:rsidRPr="00945CC8">
          <w:rPr>
            <w:rStyle w:val="Hyperlink"/>
            <w:rFonts w:eastAsia="TimesNewRomanPSMT"/>
            <w:noProof/>
          </w:rPr>
          <w:t>References</w:t>
        </w:r>
        <w:r w:rsidR="00267803">
          <w:rPr>
            <w:noProof/>
            <w:webHidden/>
          </w:rPr>
          <w:tab/>
        </w:r>
        <w:r w:rsidR="00267803">
          <w:rPr>
            <w:noProof/>
            <w:webHidden/>
          </w:rPr>
          <w:fldChar w:fldCharType="begin"/>
        </w:r>
        <w:r w:rsidR="00267803">
          <w:rPr>
            <w:noProof/>
            <w:webHidden/>
          </w:rPr>
          <w:instrText xml:space="preserve"> PAGEREF _Toc525740602 \h </w:instrText>
        </w:r>
        <w:r w:rsidR="00267803">
          <w:rPr>
            <w:noProof/>
            <w:webHidden/>
          </w:rPr>
        </w:r>
        <w:r w:rsidR="00267803">
          <w:rPr>
            <w:noProof/>
            <w:webHidden/>
          </w:rPr>
          <w:fldChar w:fldCharType="separate"/>
        </w:r>
        <w:r w:rsidR="00267803">
          <w:rPr>
            <w:noProof/>
            <w:webHidden/>
          </w:rPr>
          <w:t>104</w:t>
        </w:r>
        <w:r w:rsidR="00267803">
          <w:rPr>
            <w:noProof/>
            <w:webHidden/>
          </w:rPr>
          <w:fldChar w:fldCharType="end"/>
        </w:r>
      </w:hyperlink>
    </w:p>
    <w:p w14:paraId="17FBFA54" w14:textId="100FCAC3" w:rsidR="00C9672D" w:rsidRPr="00553C63" w:rsidRDefault="00C9672D" w:rsidP="00553C63">
      <w:pPr>
        <w:pStyle w:val="BodyText"/>
      </w:pPr>
      <w:r>
        <w:fldChar w:fldCharType="end"/>
      </w:r>
      <w:r w:rsidRPr="00553C63">
        <w:br w:type="page"/>
      </w:r>
    </w:p>
    <w:p w14:paraId="38BF35FE" w14:textId="77777777" w:rsidR="00C9672D" w:rsidRDefault="00C9672D" w:rsidP="00C9672D">
      <w:pPr>
        <w:pStyle w:val="ApDHead1"/>
      </w:pPr>
      <w:bookmarkStart w:id="306" w:name="_Toc525740549"/>
      <w:bookmarkStart w:id="307" w:name="_Toc525816113"/>
      <w:r>
        <w:lastRenderedPageBreak/>
        <w:t>Abbreviations</w:t>
      </w:r>
      <w:bookmarkEnd w:id="306"/>
      <w:bookmarkEnd w:id="307"/>
    </w:p>
    <w:p w14:paraId="1A872412" w14:textId="77777777" w:rsidR="00C9672D" w:rsidRDefault="00C9672D" w:rsidP="00C9672D">
      <w:pPr>
        <w:pStyle w:val="Normalpara"/>
      </w:pPr>
      <w:r>
        <w:t>BMD bone mineral density</w:t>
      </w:r>
    </w:p>
    <w:p w14:paraId="4D7F955D" w14:textId="77777777" w:rsidR="00C9672D" w:rsidRDefault="00C9672D" w:rsidP="00C9672D">
      <w:pPr>
        <w:pStyle w:val="Normalpara"/>
      </w:pPr>
      <w:r>
        <w:t>CBC complete blood count</w:t>
      </w:r>
    </w:p>
    <w:p w14:paraId="3291EDEC" w14:textId="77777777" w:rsidR="00C9672D" w:rsidRDefault="00C9672D" w:rsidP="00C9672D">
      <w:pPr>
        <w:pStyle w:val="Normalpara"/>
      </w:pPr>
      <w:r w:rsidRPr="00863FD1">
        <w:t>CDSS clinical decision</w:t>
      </w:r>
      <w:r>
        <w:t xml:space="preserve"> </w:t>
      </w:r>
      <w:r w:rsidRPr="00863FD1">
        <w:t>support sys</w:t>
      </w:r>
      <w:r>
        <w:t>tems</w:t>
      </w:r>
    </w:p>
    <w:p w14:paraId="2361481C" w14:textId="77777777" w:rsidR="00C9672D" w:rsidRDefault="00C9672D" w:rsidP="00C9672D">
      <w:pPr>
        <w:pStyle w:val="Normalpara"/>
      </w:pPr>
      <w:r>
        <w:t>CI confidence interval</w:t>
      </w:r>
    </w:p>
    <w:p w14:paraId="661817B0" w14:textId="77777777" w:rsidR="00C9672D" w:rsidRDefault="00C9672D" w:rsidP="00C9672D">
      <w:pPr>
        <w:pStyle w:val="Normalpara"/>
      </w:pPr>
      <w:r>
        <w:t>CPOE</w:t>
      </w:r>
      <w:r w:rsidRPr="000404FA">
        <w:t xml:space="preserve"> computerised </w:t>
      </w:r>
      <w:r>
        <w:t xml:space="preserve">physician order entry </w:t>
      </w:r>
    </w:p>
    <w:p w14:paraId="455199A6" w14:textId="77777777" w:rsidR="00C9672D" w:rsidRDefault="00C9672D" w:rsidP="00C9672D">
      <w:pPr>
        <w:pStyle w:val="Normalpara"/>
      </w:pPr>
      <w:r>
        <w:t>C-RCT cluster randomised controlled trial</w:t>
      </w:r>
    </w:p>
    <w:p w14:paraId="66803F8E" w14:textId="77777777" w:rsidR="00C9672D" w:rsidRDefault="00C9672D" w:rsidP="00C9672D">
      <w:pPr>
        <w:pStyle w:val="Normalpara"/>
      </w:pPr>
      <w:r>
        <w:t>CRP C-reactive protein</w:t>
      </w:r>
    </w:p>
    <w:p w14:paraId="61132B03" w14:textId="77777777" w:rsidR="00C9672D" w:rsidRDefault="00C9672D" w:rsidP="00C9672D">
      <w:pPr>
        <w:pStyle w:val="Normalpara"/>
      </w:pPr>
      <w:r>
        <w:t>CT computed tomography</w:t>
      </w:r>
    </w:p>
    <w:p w14:paraId="3765F8AB" w14:textId="77777777" w:rsidR="00C9672D" w:rsidRDefault="00C9672D" w:rsidP="00C9672D">
      <w:pPr>
        <w:pStyle w:val="Normalpara"/>
      </w:pPr>
      <w:r>
        <w:t>ESR erythrocyte sedimentation rate</w:t>
      </w:r>
    </w:p>
    <w:p w14:paraId="5E018525" w14:textId="77777777" w:rsidR="00C9672D" w:rsidRDefault="00C9672D" w:rsidP="00C9672D">
      <w:pPr>
        <w:pStyle w:val="Normalpara"/>
      </w:pPr>
      <w:r>
        <w:t>GP general practitioner</w:t>
      </w:r>
    </w:p>
    <w:p w14:paraId="7B5DD227" w14:textId="77777777" w:rsidR="00C9672D" w:rsidRDefault="00C9672D" w:rsidP="00C9672D">
      <w:pPr>
        <w:pStyle w:val="Normalpara"/>
      </w:pPr>
      <w:r>
        <w:t>Hb haemoglobin</w:t>
      </w:r>
    </w:p>
    <w:p w14:paraId="595409B8" w14:textId="77777777" w:rsidR="00C9672D" w:rsidRDefault="00C9672D" w:rsidP="00C9672D">
      <w:pPr>
        <w:pStyle w:val="Normalpara"/>
      </w:pPr>
      <w:r>
        <w:t>HbA</w:t>
      </w:r>
      <w:r w:rsidRPr="00FF6FC6">
        <w:rPr>
          <w:vertAlign w:val="subscript"/>
        </w:rPr>
        <w:t>1c</w:t>
      </w:r>
      <w:r>
        <w:t xml:space="preserve"> glycated haemoglobin</w:t>
      </w:r>
    </w:p>
    <w:p w14:paraId="0805B2E3" w14:textId="77777777" w:rsidR="00C9672D" w:rsidRDefault="00C9672D" w:rsidP="00C9672D">
      <w:pPr>
        <w:pStyle w:val="Normalpara"/>
      </w:pPr>
      <w:r>
        <w:t>HIE health information exchange</w:t>
      </w:r>
    </w:p>
    <w:p w14:paraId="5DAC562D" w14:textId="77777777" w:rsidR="00C9672D" w:rsidRDefault="00C9672D" w:rsidP="00C9672D">
      <w:pPr>
        <w:pStyle w:val="Normalpara"/>
      </w:pPr>
      <w:r>
        <w:t>ICU intensive care unit</w:t>
      </w:r>
    </w:p>
    <w:p w14:paraId="3772E087" w14:textId="77777777" w:rsidR="00C9672D" w:rsidRDefault="00C9672D" w:rsidP="00C9672D">
      <w:pPr>
        <w:pStyle w:val="Normalpara"/>
      </w:pPr>
      <w:r>
        <w:t>INR international normalised ratio</w:t>
      </w:r>
    </w:p>
    <w:p w14:paraId="4D1C6F43" w14:textId="77777777" w:rsidR="00C9672D" w:rsidRDefault="00C9672D" w:rsidP="00C9672D">
      <w:pPr>
        <w:pStyle w:val="Normalpara"/>
      </w:pPr>
      <w:r>
        <w:t>IQR interquartile range</w:t>
      </w:r>
    </w:p>
    <w:p w14:paraId="56E53D79" w14:textId="77777777" w:rsidR="00C9672D" w:rsidRDefault="00C9672D" w:rsidP="00C9672D">
      <w:pPr>
        <w:pStyle w:val="Normalpara"/>
      </w:pPr>
      <w:r>
        <w:t>IRR incident rate ratio</w:t>
      </w:r>
    </w:p>
    <w:p w14:paraId="33742685" w14:textId="77777777" w:rsidR="00C9672D" w:rsidRDefault="00C9672D" w:rsidP="00C9672D">
      <w:pPr>
        <w:pStyle w:val="Normalpara"/>
      </w:pPr>
      <w:r>
        <w:t>ITS interrupted time series</w:t>
      </w:r>
    </w:p>
    <w:p w14:paraId="09F694CF" w14:textId="77777777" w:rsidR="00C9672D" w:rsidRDefault="00C9672D" w:rsidP="00C9672D">
      <w:pPr>
        <w:pStyle w:val="Normalpara"/>
      </w:pPr>
      <w:r>
        <w:t>LDH lactate dehydrogenase</w:t>
      </w:r>
    </w:p>
    <w:p w14:paraId="53B79088" w14:textId="77777777" w:rsidR="00C9672D" w:rsidRDefault="00C9672D" w:rsidP="00C9672D">
      <w:pPr>
        <w:pStyle w:val="Normalpara"/>
      </w:pPr>
      <w:r>
        <w:t>LDL low-density lipoprotein</w:t>
      </w:r>
    </w:p>
    <w:p w14:paraId="44308840" w14:textId="77777777" w:rsidR="00C9672D" w:rsidRDefault="00C9672D" w:rsidP="00C9672D">
      <w:pPr>
        <w:pStyle w:val="Normalpara"/>
      </w:pPr>
      <w:r>
        <w:t>MRI magnetic resonance imaging</w:t>
      </w:r>
    </w:p>
    <w:p w14:paraId="14E7C6BC" w14:textId="77777777" w:rsidR="00C9672D" w:rsidRDefault="00C9672D" w:rsidP="00C9672D">
      <w:pPr>
        <w:pStyle w:val="Normalpara"/>
      </w:pPr>
      <w:r>
        <w:t>OCS order communications systems</w:t>
      </w:r>
    </w:p>
    <w:p w14:paraId="1ABFD8B7" w14:textId="77777777" w:rsidR="00C9672D" w:rsidRDefault="00C9672D" w:rsidP="00C9672D">
      <w:pPr>
        <w:pStyle w:val="Normalpara"/>
      </w:pPr>
      <w:r>
        <w:t>OR odds ratio</w:t>
      </w:r>
    </w:p>
    <w:p w14:paraId="4CE9A3B8" w14:textId="77777777" w:rsidR="00C9672D" w:rsidRDefault="00C9672D" w:rsidP="00C9672D">
      <w:pPr>
        <w:pStyle w:val="Normalpara"/>
      </w:pPr>
      <w:r>
        <w:t>RCT randomised controlled trial</w:t>
      </w:r>
    </w:p>
    <w:p w14:paraId="3A3AAF5F" w14:textId="77777777" w:rsidR="00C9672D" w:rsidRDefault="00C9672D" w:rsidP="00C9672D">
      <w:pPr>
        <w:pStyle w:val="Normalpara"/>
      </w:pPr>
      <w:r>
        <w:t>RD risk difference</w:t>
      </w:r>
    </w:p>
    <w:p w14:paraId="7866AE11" w14:textId="77777777" w:rsidR="00C9672D" w:rsidRDefault="00C9672D" w:rsidP="00C9672D">
      <w:pPr>
        <w:pStyle w:val="Normalpara"/>
      </w:pPr>
      <w:r>
        <w:t>RF rheumatoid factor</w:t>
      </w:r>
    </w:p>
    <w:p w14:paraId="1630CB39" w14:textId="77777777" w:rsidR="00C9672D" w:rsidRDefault="00C9672D" w:rsidP="00C9672D">
      <w:pPr>
        <w:pStyle w:val="Normalpara"/>
      </w:pPr>
      <w:r>
        <w:t>RR risk ratio</w:t>
      </w:r>
    </w:p>
    <w:p w14:paraId="68F105B9" w14:textId="77777777" w:rsidR="00C9672D" w:rsidRDefault="00C9672D" w:rsidP="00C9672D">
      <w:pPr>
        <w:pStyle w:val="Normalpara"/>
      </w:pPr>
      <w:r>
        <w:t>SD standard deviation</w:t>
      </w:r>
    </w:p>
    <w:p w14:paraId="01757702" w14:textId="77777777" w:rsidR="00C9672D" w:rsidRDefault="00C9672D" w:rsidP="00C9672D">
      <w:pPr>
        <w:pStyle w:val="Normalpara"/>
      </w:pPr>
      <w:r>
        <w:t xml:space="preserve">STAT (L. </w:t>
      </w:r>
      <w:r w:rsidRPr="00FF6FC6">
        <w:rPr>
          <w:i/>
        </w:rPr>
        <w:t>statum</w:t>
      </w:r>
      <w:r>
        <w:t>) immediate</w:t>
      </w:r>
    </w:p>
    <w:p w14:paraId="12633151" w14:textId="77777777" w:rsidR="00C9672D" w:rsidRDefault="00C9672D" w:rsidP="00C9672D">
      <w:pPr>
        <w:pStyle w:val="Normalpara"/>
      </w:pPr>
      <w:r>
        <w:t>TSH thyroid-stimulating hormone</w:t>
      </w:r>
    </w:p>
    <w:p w14:paraId="02679CA4" w14:textId="77777777" w:rsidR="00C9672D" w:rsidRDefault="00C9672D" w:rsidP="00C9672D">
      <w:pPr>
        <w:pStyle w:val="Normalpara"/>
      </w:pPr>
      <w:r>
        <w:t xml:space="preserve">TTE </w:t>
      </w:r>
      <w:r w:rsidRPr="00FC3A5B">
        <w:t>tr</w:t>
      </w:r>
      <w:r>
        <w:t>ansthoracic echocardiograms</w:t>
      </w:r>
    </w:p>
    <w:p w14:paraId="5BF0DEA2" w14:textId="77777777" w:rsidR="00C9672D" w:rsidRDefault="00C9672D" w:rsidP="00C9672D">
      <w:pPr>
        <w:pStyle w:val="Normalpara"/>
      </w:pPr>
      <w:r>
        <w:t>UAE unit of analysis error</w:t>
      </w:r>
    </w:p>
    <w:p w14:paraId="4299E500" w14:textId="77777777" w:rsidR="00C9672D" w:rsidRPr="00553C63" w:rsidRDefault="00C9672D" w:rsidP="00553C63">
      <w:r w:rsidRPr="00553C63">
        <w:br w:type="page"/>
      </w:r>
    </w:p>
    <w:p w14:paraId="24F318A1" w14:textId="77777777" w:rsidR="00C9672D" w:rsidRPr="00AD4A8D" w:rsidRDefault="00C9672D" w:rsidP="00C9672D">
      <w:pPr>
        <w:pStyle w:val="ApDHead1"/>
      </w:pPr>
      <w:bookmarkStart w:id="308" w:name="_Toc525740550"/>
      <w:bookmarkStart w:id="309" w:name="_Toc525816114"/>
      <w:r w:rsidRPr="00AD4A8D">
        <w:lastRenderedPageBreak/>
        <w:t>Executive summary</w:t>
      </w:r>
      <w:bookmarkEnd w:id="308"/>
      <w:bookmarkEnd w:id="309"/>
    </w:p>
    <w:p w14:paraId="1D0493FC" w14:textId="77777777" w:rsidR="00C9672D" w:rsidRPr="001664F0" w:rsidRDefault="00C9672D" w:rsidP="00C9672D">
      <w:pPr>
        <w:pStyle w:val="Normalpara"/>
        <w:rPr>
          <w:sz w:val="16"/>
        </w:rPr>
      </w:pPr>
      <w:r>
        <w:t xml:space="preserve">To </w:t>
      </w:r>
      <w:r w:rsidRPr="001E390A">
        <w:t>inform discussion at the</w:t>
      </w:r>
      <w:r>
        <w:t xml:space="preserve"> </w:t>
      </w:r>
      <w:r w:rsidRPr="001E390A">
        <w:t xml:space="preserve">meeting of </w:t>
      </w:r>
      <w:r>
        <w:t>the Medicare Review Taskforce, a</w:t>
      </w:r>
      <w:r w:rsidRPr="001E390A">
        <w:t xml:space="preserve"> </w:t>
      </w:r>
      <w:r>
        <w:t>rapid</w:t>
      </w:r>
      <w:r w:rsidRPr="001E390A">
        <w:t xml:space="preserve"> literature review </w:t>
      </w:r>
      <w:r>
        <w:t>was undertaken to answer the question, ‘W</w:t>
      </w:r>
      <w:r w:rsidRPr="001E390A">
        <w:t>hat interventions improve the appropriateness and clinical utility of diagnostic investigations requested by medical practitioners?</w:t>
      </w:r>
      <w:r>
        <w:t>’ The key findings of the literature review are summarised in this executive summary.</w:t>
      </w:r>
    </w:p>
    <w:p w14:paraId="53ADE690" w14:textId="77777777" w:rsidR="00C9672D" w:rsidRPr="00BA665C" w:rsidRDefault="00C9672D" w:rsidP="00C9672D">
      <w:pPr>
        <w:pStyle w:val="ApDHead2"/>
      </w:pPr>
      <w:bookmarkStart w:id="310" w:name="_Toc481582799"/>
      <w:bookmarkStart w:id="311" w:name="_Toc525740551"/>
      <w:bookmarkStart w:id="312" w:name="_Toc525816115"/>
      <w:r w:rsidRPr="00BA665C">
        <w:t>Literature search and review</w:t>
      </w:r>
      <w:bookmarkEnd w:id="310"/>
      <w:bookmarkEnd w:id="311"/>
      <w:bookmarkEnd w:id="312"/>
      <w:r w:rsidRPr="00BA665C">
        <w:t xml:space="preserve"> </w:t>
      </w:r>
    </w:p>
    <w:p w14:paraId="51730F1C" w14:textId="77777777" w:rsidR="00C9672D" w:rsidRPr="001E390A" w:rsidRDefault="00C9672D" w:rsidP="00C9672D">
      <w:pPr>
        <w:pStyle w:val="Normalpara"/>
      </w:pPr>
      <w:r>
        <w:t>A</w:t>
      </w:r>
      <w:r w:rsidRPr="001E390A">
        <w:t xml:space="preserve"> systematic search of the literature was conducted using pre-defined eligibility criteria</w:t>
      </w:r>
      <w:r>
        <w:t xml:space="preserve">. However, </w:t>
      </w:r>
      <w:r w:rsidRPr="001E390A">
        <w:t>this review was not intended to be a formal systematic review.</w:t>
      </w:r>
    </w:p>
    <w:p w14:paraId="4617751F" w14:textId="77777777" w:rsidR="00C9672D" w:rsidRPr="001E390A" w:rsidRDefault="00C9672D" w:rsidP="00C9672D">
      <w:pPr>
        <w:pStyle w:val="Normalpara"/>
      </w:pPr>
      <w:r>
        <w:t>Studies were eligible for inclusion if they were s</w:t>
      </w:r>
      <w:r w:rsidRPr="001E390A">
        <w:t>ystematic reviews</w:t>
      </w:r>
      <w:r>
        <w:t xml:space="preserve"> or meta-analyses </w:t>
      </w:r>
      <w:r w:rsidRPr="001E390A">
        <w:t xml:space="preserve">from Australia, </w:t>
      </w:r>
      <w:r>
        <w:t xml:space="preserve">the </w:t>
      </w:r>
      <w:r w:rsidRPr="001E390A">
        <w:t>UK</w:t>
      </w:r>
      <w:r>
        <w:t xml:space="preserve"> and Ireland</w:t>
      </w:r>
      <w:r w:rsidRPr="001E390A">
        <w:t xml:space="preserve">, </w:t>
      </w:r>
      <w:r>
        <w:t xml:space="preserve">the </w:t>
      </w:r>
      <w:r w:rsidRPr="001E390A">
        <w:t xml:space="preserve">US and Canada that were published in the last 10 years. Only articles published in English </w:t>
      </w:r>
      <w:r>
        <w:t>l</w:t>
      </w:r>
      <w:r w:rsidRPr="001E390A">
        <w:t>anguage were considered for inclusion.</w:t>
      </w:r>
      <w:r>
        <w:t xml:space="preserve"> We did not include lower levels of evidence or grey literature.</w:t>
      </w:r>
    </w:p>
    <w:p w14:paraId="0CF4F8D6" w14:textId="77777777" w:rsidR="00C9672D" w:rsidRPr="001E390A" w:rsidRDefault="00C9672D" w:rsidP="00C9672D">
      <w:pPr>
        <w:pStyle w:val="Normalpara"/>
      </w:pPr>
      <w:r w:rsidRPr="001E390A">
        <w:t>Studies had to include medical practitioners who request or utilise diagnostic interventions</w:t>
      </w:r>
      <w:r>
        <w:t>. I</w:t>
      </w:r>
      <w:r w:rsidRPr="001E390A">
        <w:t xml:space="preserve">nterventions </w:t>
      </w:r>
      <w:r>
        <w:t xml:space="preserve">were </w:t>
      </w:r>
      <w:r w:rsidRPr="001E390A">
        <w:t>broadly grouped into one or more of the following categories of interest:</w:t>
      </w:r>
    </w:p>
    <w:p w14:paraId="2CFAE3AA" w14:textId="77777777" w:rsidR="00C9672D" w:rsidRPr="001E390A" w:rsidRDefault="00C9672D" w:rsidP="00C9672D">
      <w:pPr>
        <w:pStyle w:val="NormalBulleted"/>
      </w:pPr>
      <w:r w:rsidRPr="001E390A">
        <w:t>Audit and feedback</w:t>
      </w:r>
      <w:r>
        <w:t>.</w:t>
      </w:r>
    </w:p>
    <w:p w14:paraId="2FFCB3E5" w14:textId="77777777" w:rsidR="00C9672D" w:rsidRPr="001E390A" w:rsidRDefault="00C9672D" w:rsidP="00C9672D">
      <w:pPr>
        <w:pStyle w:val="NormalBulleted"/>
      </w:pPr>
      <w:r w:rsidRPr="001E390A">
        <w:t>Clinical decision support</w:t>
      </w:r>
      <w:r w:rsidR="00151388">
        <w:t xml:space="preserve"> (CDS)</w:t>
      </w:r>
      <w:r>
        <w:t>.</w:t>
      </w:r>
    </w:p>
    <w:p w14:paraId="0C8E2871" w14:textId="77777777" w:rsidR="00C9672D" w:rsidRPr="001E390A" w:rsidRDefault="00C9672D" w:rsidP="00C9672D">
      <w:pPr>
        <w:pStyle w:val="NormalBulleted"/>
      </w:pPr>
      <w:r w:rsidRPr="001E390A">
        <w:t>Education</w:t>
      </w:r>
      <w:r>
        <w:t>.</w:t>
      </w:r>
    </w:p>
    <w:p w14:paraId="44B23F22" w14:textId="77777777" w:rsidR="00C9672D" w:rsidRPr="001E390A" w:rsidRDefault="00C9672D" w:rsidP="00C9672D">
      <w:pPr>
        <w:pStyle w:val="NormalBulleted"/>
      </w:pPr>
      <w:r w:rsidRPr="001E390A">
        <w:t>Payment systems</w:t>
      </w:r>
      <w:r>
        <w:t>.</w:t>
      </w:r>
    </w:p>
    <w:p w14:paraId="052CCB27" w14:textId="77777777" w:rsidR="00C9672D" w:rsidRDefault="00C9672D" w:rsidP="00C9672D">
      <w:pPr>
        <w:pStyle w:val="NormalBulleted"/>
      </w:pPr>
      <w:r w:rsidRPr="001E390A">
        <w:t>Quality improvement</w:t>
      </w:r>
      <w:r>
        <w:t>.</w:t>
      </w:r>
    </w:p>
    <w:p w14:paraId="227A5BCE" w14:textId="77777777" w:rsidR="00C9672D" w:rsidRPr="001E390A" w:rsidRDefault="00C9672D" w:rsidP="00C9672D">
      <w:pPr>
        <w:pStyle w:val="BodyText1"/>
      </w:pPr>
      <w:r w:rsidRPr="001E390A">
        <w:t>Studies had to investigate an outcome before and after one of the above intervention categories. Outcomes were broadly grouped into the following categories of interest:</w:t>
      </w:r>
    </w:p>
    <w:p w14:paraId="4B20AFFF" w14:textId="77777777" w:rsidR="00C9672D" w:rsidRPr="001E390A" w:rsidRDefault="00C9672D" w:rsidP="00C9672D">
      <w:pPr>
        <w:pStyle w:val="NormalBulleted"/>
      </w:pPr>
      <w:r w:rsidRPr="001E390A">
        <w:t>Clinical utility (including positive and negative predictive value)</w:t>
      </w:r>
      <w:r>
        <w:t>.</w:t>
      </w:r>
    </w:p>
    <w:p w14:paraId="400CB263" w14:textId="77777777" w:rsidR="00C9672D" w:rsidRPr="001E390A" w:rsidRDefault="00C9672D" w:rsidP="00C9672D">
      <w:pPr>
        <w:pStyle w:val="NormalBulleted"/>
      </w:pPr>
      <w:r w:rsidRPr="001E390A">
        <w:t>Rates of diagnostic imaging/pathology tests, or rates of their requests or referrals</w:t>
      </w:r>
      <w:r>
        <w:t>.</w:t>
      </w:r>
    </w:p>
    <w:p w14:paraId="42245742" w14:textId="77777777" w:rsidR="00C9672D" w:rsidRPr="001E390A" w:rsidRDefault="00C9672D" w:rsidP="00C9672D">
      <w:pPr>
        <w:pStyle w:val="NormalBulleted"/>
      </w:pPr>
      <w:r w:rsidRPr="001E390A">
        <w:t>Rates of medicine prescribing after diagnostic imaging/pathology tests</w:t>
      </w:r>
      <w:r>
        <w:t>.</w:t>
      </w:r>
    </w:p>
    <w:p w14:paraId="073449E9" w14:textId="77777777" w:rsidR="00C9672D" w:rsidRPr="001E390A" w:rsidRDefault="00C9672D" w:rsidP="00C9672D">
      <w:pPr>
        <w:pStyle w:val="NormalBulleted"/>
      </w:pPr>
      <w:r w:rsidRPr="001E390A">
        <w:t>Rates of invasive treatments or procedures.</w:t>
      </w:r>
    </w:p>
    <w:p w14:paraId="7C041555" w14:textId="77777777" w:rsidR="00C9672D" w:rsidRPr="001E390A" w:rsidRDefault="00C9672D" w:rsidP="00C9672D">
      <w:pPr>
        <w:pStyle w:val="NormalBulleted"/>
      </w:pPr>
      <w:r w:rsidRPr="001E390A">
        <w:t>Health outcomes (morbidity, mortality, quality of life)</w:t>
      </w:r>
      <w:r>
        <w:t>.</w:t>
      </w:r>
    </w:p>
    <w:p w14:paraId="43B345BB" w14:textId="77777777" w:rsidR="00C9672D" w:rsidRPr="001E390A" w:rsidRDefault="00C9672D" w:rsidP="00C9672D">
      <w:pPr>
        <w:pStyle w:val="NormalBulleted"/>
      </w:pPr>
      <w:r w:rsidRPr="001E390A">
        <w:t>Rates of inappropriate requesting for diagnostic imaging/pathology tests</w:t>
      </w:r>
      <w:r>
        <w:t>.</w:t>
      </w:r>
    </w:p>
    <w:p w14:paraId="4F86E77B" w14:textId="77777777" w:rsidR="00C9672D" w:rsidRPr="001E390A" w:rsidRDefault="00C9672D" w:rsidP="00C9672D">
      <w:pPr>
        <w:pStyle w:val="NormalBulleted"/>
      </w:pPr>
      <w:r w:rsidRPr="001E390A">
        <w:t>Costs or cost effectiveness</w:t>
      </w:r>
      <w:r>
        <w:t>.</w:t>
      </w:r>
    </w:p>
    <w:p w14:paraId="056B3DA4" w14:textId="77777777" w:rsidR="00C9672D" w:rsidRDefault="00C9672D" w:rsidP="00C9672D">
      <w:pPr>
        <w:pStyle w:val="Normalpara"/>
      </w:pPr>
      <w:r w:rsidRPr="001E390A">
        <w:t>Studies were identified by systematically searching the online libraries of Medline</w:t>
      </w:r>
      <w:r>
        <w:t xml:space="preserve">, </w:t>
      </w:r>
      <w:r w:rsidRPr="001E390A">
        <w:t>Embase</w:t>
      </w:r>
      <w:r>
        <w:t xml:space="preserve"> </w:t>
      </w:r>
      <w:r w:rsidRPr="001E390A">
        <w:t>and PsycINF</w:t>
      </w:r>
      <w:r>
        <w:t xml:space="preserve">O, and supplemented with </w:t>
      </w:r>
      <w:r w:rsidRPr="001E390A">
        <w:t>searches of the Cochrane Library</w:t>
      </w:r>
      <w:r>
        <w:t>, Health</w:t>
      </w:r>
      <w:r w:rsidRPr="001E390A">
        <w:t xml:space="preserve"> Systems Evidence</w:t>
      </w:r>
      <w:r>
        <w:t xml:space="preserve">, </w:t>
      </w:r>
      <w:r w:rsidRPr="001E390A">
        <w:t>P</w:t>
      </w:r>
      <w:r>
        <w:t xml:space="preserve">ubMed and </w:t>
      </w:r>
      <w:r w:rsidRPr="001E390A">
        <w:t>Google Scholar</w:t>
      </w:r>
      <w:r>
        <w:t>.</w:t>
      </w:r>
      <w:r w:rsidRPr="001E390A">
        <w:t xml:space="preserve"> All searches were conducted in February or March 2017</w:t>
      </w:r>
      <w:r>
        <w:t>.</w:t>
      </w:r>
    </w:p>
    <w:p w14:paraId="7E287BE4" w14:textId="77777777" w:rsidR="00C9672D" w:rsidRDefault="00C9672D" w:rsidP="00C9672D">
      <w:pPr>
        <w:pStyle w:val="Normalpara"/>
      </w:pPr>
      <w:r w:rsidRPr="001E390A">
        <w:t>Eligibility assessment was performed independently in an unbl</w:t>
      </w:r>
      <w:r>
        <w:t>i</w:t>
      </w:r>
      <w:r w:rsidRPr="001E390A">
        <w:t xml:space="preserve">nded standardised manner by two </w:t>
      </w:r>
      <w:r>
        <w:t>reviewers, d</w:t>
      </w:r>
      <w:r w:rsidRPr="001E390A">
        <w:t>ata were ex</w:t>
      </w:r>
      <w:r>
        <w:t>tracted by two reviewers, and t</w:t>
      </w:r>
      <w:r w:rsidRPr="001E390A">
        <w:t>he AMSTAR Checklist was used to assess the quality of the included reviews.</w:t>
      </w:r>
    </w:p>
    <w:p w14:paraId="7225C652" w14:textId="77777777" w:rsidR="00C9672D" w:rsidRPr="00553C63" w:rsidRDefault="00C9672D" w:rsidP="00553C63">
      <w:r w:rsidRPr="00553C63">
        <w:br w:type="page"/>
      </w:r>
    </w:p>
    <w:p w14:paraId="2E363898" w14:textId="77777777" w:rsidR="00C9672D" w:rsidRDefault="00C9672D" w:rsidP="00C9672D">
      <w:pPr>
        <w:pStyle w:val="Heading2Report"/>
      </w:pPr>
      <w:bookmarkStart w:id="313" w:name="_Toc481582800"/>
      <w:bookmarkStart w:id="314" w:name="_Toc498516988"/>
      <w:bookmarkStart w:id="315" w:name="_Toc525816116"/>
      <w:r>
        <w:lastRenderedPageBreak/>
        <w:t>Summary of results</w:t>
      </w:r>
      <w:bookmarkEnd w:id="313"/>
      <w:bookmarkEnd w:id="314"/>
      <w:bookmarkEnd w:id="315"/>
    </w:p>
    <w:p w14:paraId="7125DBFC" w14:textId="77777777" w:rsidR="00C9672D" w:rsidRPr="0089198C" w:rsidRDefault="00C9672D" w:rsidP="00553C63">
      <w:pPr>
        <w:pStyle w:val="ApDHead3"/>
      </w:pPr>
      <w:bookmarkStart w:id="316" w:name="_Toc481582801"/>
      <w:bookmarkStart w:id="317" w:name="_Toc525740552"/>
      <w:bookmarkStart w:id="318" w:name="_Toc525816117"/>
      <w:r>
        <w:t xml:space="preserve">Literature </w:t>
      </w:r>
      <w:r w:rsidRPr="00553C63">
        <w:t>search</w:t>
      </w:r>
      <w:bookmarkEnd w:id="316"/>
      <w:bookmarkEnd w:id="317"/>
      <w:bookmarkEnd w:id="318"/>
    </w:p>
    <w:p w14:paraId="5475384C" w14:textId="77777777" w:rsidR="00C9672D" w:rsidRDefault="00C9672D" w:rsidP="00C9672D">
      <w:pPr>
        <w:pStyle w:val="BodyText1"/>
      </w:pPr>
      <w:r>
        <w:t xml:space="preserve">The search of Medline, Embase and PsycINFO provided a total of 90 citations, and the additional searches provided 96 citations. After removal of 29 duplicate publications, a further 107 articles were removed after reviewing their abstracts against the pre-specified eligibility criteria. </w:t>
      </w:r>
    </w:p>
    <w:p w14:paraId="2FFDAF3A" w14:textId="77777777" w:rsidR="00C9672D" w:rsidRDefault="00C9672D" w:rsidP="00C9672D">
      <w:pPr>
        <w:pStyle w:val="BodyText1"/>
      </w:pPr>
      <w:r w:rsidRPr="001F4178">
        <w:t>The full text of the remaining</w:t>
      </w:r>
      <w:r>
        <w:t xml:space="preserve"> 50</w:t>
      </w:r>
      <w:r w:rsidRPr="001F4178">
        <w:t xml:space="preserve"> articles </w:t>
      </w:r>
      <w:r>
        <w:t>was</w:t>
      </w:r>
      <w:r w:rsidRPr="001F4178">
        <w:t xml:space="preserve"> screened against the eligibility criteria in more detail</w:t>
      </w:r>
      <w:r>
        <w:t xml:space="preserve"> and a further 31 articles were removed, resulting in </w:t>
      </w:r>
      <w:r w:rsidRPr="001F4178">
        <w:t xml:space="preserve">the </w:t>
      </w:r>
      <w:r>
        <w:t xml:space="preserve">final 19 articles included in this review. </w:t>
      </w:r>
    </w:p>
    <w:p w14:paraId="323801F6" w14:textId="77777777" w:rsidR="00C9672D" w:rsidRPr="00BA665C" w:rsidRDefault="00C9672D" w:rsidP="00C9672D">
      <w:pPr>
        <w:pStyle w:val="ApDHead3"/>
      </w:pPr>
      <w:bookmarkStart w:id="319" w:name="_Toc481582802"/>
      <w:bookmarkStart w:id="320" w:name="_Toc525740553"/>
      <w:bookmarkStart w:id="321" w:name="_Toc525816118"/>
      <w:r w:rsidRPr="00BA665C">
        <w:t>Included studies</w:t>
      </w:r>
      <w:bookmarkEnd w:id="319"/>
      <w:bookmarkEnd w:id="320"/>
      <w:bookmarkEnd w:id="321"/>
    </w:p>
    <w:p w14:paraId="29B0158E" w14:textId="77777777" w:rsidR="00C9672D" w:rsidRDefault="00C9672D" w:rsidP="00C9672D">
      <w:pPr>
        <w:pStyle w:val="BodyText1"/>
      </w:pPr>
      <w:r>
        <w:t xml:space="preserve">A brief overview of the 19 included articles is provided in </w:t>
      </w:r>
      <w:r>
        <w:fldChar w:fldCharType="begin"/>
      </w:r>
      <w:r>
        <w:instrText xml:space="preserve"> REF _Ref485887634 \h </w:instrText>
      </w:r>
      <w:r>
        <w:fldChar w:fldCharType="separate"/>
      </w:r>
      <w:r w:rsidR="00763A89" w:rsidRPr="00EB46E4">
        <w:rPr>
          <w:rStyle w:val="Bold"/>
        </w:rPr>
        <w:t>Table 2. Summary of included studies</w:t>
      </w:r>
      <w:r>
        <w:fldChar w:fldCharType="end"/>
      </w:r>
      <w:r w:rsidRPr="00C8554F">
        <w:t>.</w:t>
      </w:r>
    </w:p>
    <w:p w14:paraId="6337C499" w14:textId="77777777" w:rsidR="00C9672D" w:rsidRDefault="00C9672D" w:rsidP="00C9672D">
      <w:pPr>
        <w:pStyle w:val="BodyText1"/>
      </w:pPr>
      <w:r w:rsidRPr="0037570E">
        <w:t>The reviews varied in quality, with AMSTAR scores ranging from 2</w:t>
      </w:r>
      <w:r>
        <w:t xml:space="preserve"> to </w:t>
      </w:r>
      <w:r w:rsidRPr="0037570E">
        <w:t xml:space="preserve">10 (median </w:t>
      </w:r>
      <w:r>
        <w:t>6).</w:t>
      </w:r>
    </w:p>
    <w:p w14:paraId="6D7DFD84" w14:textId="77777777" w:rsidR="00C9672D" w:rsidRDefault="00C9672D" w:rsidP="00C9672D">
      <w:pPr>
        <w:pStyle w:val="BodyText1"/>
      </w:pPr>
      <w:r w:rsidRPr="0037570E">
        <w:t xml:space="preserve">The </w:t>
      </w:r>
      <w:r>
        <w:t xml:space="preserve">included </w:t>
      </w:r>
      <w:r w:rsidRPr="0037570E">
        <w:t xml:space="preserve">reviews varied considerably in focus, and </w:t>
      </w:r>
      <w:r>
        <w:t>fell into one of three</w:t>
      </w:r>
      <w:r w:rsidRPr="0037570E">
        <w:t xml:space="preserve"> general categories:</w:t>
      </w:r>
    </w:p>
    <w:p w14:paraId="1573AC4A" w14:textId="77777777" w:rsidR="00C9672D" w:rsidRDefault="00C9672D" w:rsidP="00C9672D">
      <w:pPr>
        <w:pStyle w:val="NormalBulleted"/>
      </w:pPr>
      <w:r>
        <w:t>B</w:t>
      </w:r>
      <w:r w:rsidRPr="0037570E">
        <w:t>road reviews (for example, on all types of educational interventions)</w:t>
      </w:r>
      <w:r>
        <w:t>.</w:t>
      </w:r>
    </w:p>
    <w:p w14:paraId="11A545C3" w14:textId="77777777" w:rsidR="00C9672D" w:rsidRDefault="00C9672D" w:rsidP="00C9672D">
      <w:pPr>
        <w:pStyle w:val="NormalBulleted"/>
      </w:pPr>
      <w:r>
        <w:t>R</w:t>
      </w:r>
      <w:r w:rsidRPr="0037570E">
        <w:t>eviews of specific settings (for example, primary care)</w:t>
      </w:r>
      <w:r>
        <w:t>.</w:t>
      </w:r>
    </w:p>
    <w:p w14:paraId="0C720A22" w14:textId="77777777" w:rsidR="00C9672D" w:rsidRDefault="00C9672D" w:rsidP="00C9672D">
      <w:pPr>
        <w:pStyle w:val="NormalBulleted"/>
      </w:pPr>
      <w:r>
        <w:t>R</w:t>
      </w:r>
      <w:r w:rsidRPr="0037570E">
        <w:t>eviews of specific behaviours (for example, laboratory test ordering)</w:t>
      </w:r>
      <w:r>
        <w:t>.</w:t>
      </w:r>
    </w:p>
    <w:p w14:paraId="0DFB67FC" w14:textId="77777777" w:rsidR="00C9672D" w:rsidRPr="00BA665C" w:rsidRDefault="00C9672D" w:rsidP="00C9672D">
      <w:pPr>
        <w:pStyle w:val="ApDHead4"/>
      </w:pPr>
      <w:r w:rsidRPr="00BA665C">
        <w:t>Number of included studies by intervention</w:t>
      </w:r>
    </w:p>
    <w:p w14:paraId="00D0F9C7" w14:textId="77777777" w:rsidR="00C9672D" w:rsidRPr="0037570E" w:rsidRDefault="00C9672D" w:rsidP="00C9672D">
      <w:pPr>
        <w:pStyle w:val="Normalpara"/>
      </w:pPr>
      <w:r w:rsidRPr="0037570E">
        <w:t xml:space="preserve">A range of intervention strategies </w:t>
      </w:r>
      <w:r>
        <w:t xml:space="preserve">was </w:t>
      </w:r>
      <w:r w:rsidRPr="0037570E">
        <w:t>identified. However, many distinctly different strategies were sometimes considered together under broad headings (for example, ‘education’</w:t>
      </w:r>
      <w:r>
        <w:t>)</w:t>
      </w:r>
      <w:r w:rsidRPr="0037570E">
        <w:t>, while similar strategies were considered separately (for example, ‘education + feedback + system change’).</w:t>
      </w:r>
    </w:p>
    <w:p w14:paraId="6C0B08DA" w14:textId="77777777" w:rsidR="00C9672D" w:rsidRDefault="00C9672D" w:rsidP="00C9672D">
      <w:pPr>
        <w:pStyle w:val="Normalpara"/>
      </w:pPr>
      <w:r>
        <w:t>Of the included reviews that met the eligibility criteria:</w:t>
      </w:r>
    </w:p>
    <w:p w14:paraId="7E5F90EC" w14:textId="573DEF4E" w:rsidR="00C9672D" w:rsidRPr="00F57BFD" w:rsidRDefault="00C9672D" w:rsidP="00C9672D">
      <w:pPr>
        <w:pStyle w:val="NormalBulleted"/>
      </w:pPr>
      <w:r w:rsidRPr="00F57BFD">
        <w:t xml:space="preserve">16 investigated </w:t>
      </w:r>
      <w:r w:rsidR="00151388">
        <w:t>CDS</w:t>
      </w:r>
      <w:r w:rsidRPr="00F57BFD">
        <w:t xml:space="preserve"> interventions.</w: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fldChar w:fldCharType="separate"/>
      </w:r>
      <w:r>
        <w:rPr>
          <w:noProof/>
        </w:rPr>
        <w:t>[1-16]</w:t>
      </w:r>
      <w:r>
        <w:fldChar w:fldCharType="end"/>
      </w:r>
    </w:p>
    <w:p w14:paraId="3347B189" w14:textId="77777777" w:rsidR="00C9672D" w:rsidRPr="00F57BFD" w:rsidRDefault="00C9672D" w:rsidP="00C9672D">
      <w:pPr>
        <w:pStyle w:val="NormalBulleted"/>
      </w:pPr>
      <w:r w:rsidRPr="00F57BFD">
        <w:t>10 investigated educational interventions.</w:t>
      </w:r>
      <w:r w:rsidRPr="003E433A">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 </w:instrText>
      </w:r>
      <w:r>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EN.CITE.DATA </w:instrText>
      </w:r>
      <w:r>
        <w:fldChar w:fldCharType="end"/>
      </w:r>
      <w:r w:rsidRPr="003E433A">
        <w:fldChar w:fldCharType="separate"/>
      </w:r>
      <w:r>
        <w:rPr>
          <w:noProof/>
        </w:rPr>
        <w:t>[1,3,4,6,10,11,15-18]</w:t>
      </w:r>
      <w:r w:rsidRPr="003E433A">
        <w:fldChar w:fldCharType="end"/>
      </w:r>
    </w:p>
    <w:p w14:paraId="60729BBA" w14:textId="77777777" w:rsidR="00C9672D" w:rsidRPr="00F57BFD" w:rsidRDefault="00C9672D" w:rsidP="00C9672D">
      <w:pPr>
        <w:pStyle w:val="NormalBulleted"/>
      </w:pPr>
      <w:r w:rsidRPr="00F57BFD">
        <w:t>11 investigated audit and feedback interventions.</w: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[1,3,4,6,10,11,14-18]</w:t>
      </w:r>
      <w:r>
        <w:fldChar w:fldCharType="end"/>
      </w:r>
    </w:p>
    <w:p w14:paraId="27CD08F0" w14:textId="77777777" w:rsidR="00C9672D" w:rsidRDefault="00C9672D" w:rsidP="00C9672D">
      <w:pPr>
        <w:pStyle w:val="NormalBulleted"/>
      </w:pPr>
      <w:r w:rsidRPr="00F57BFD">
        <w:t>3 investigated payment systems.</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p>
    <w:p w14:paraId="7FDC94E8" w14:textId="77777777" w:rsidR="00C9672D" w:rsidRDefault="00C9672D" w:rsidP="00C9672D">
      <w:pPr>
        <w:pStyle w:val="NormalBulleted"/>
      </w:pPr>
      <w:r w:rsidRPr="00F57BFD">
        <w:t>5 investigated methods for quality improvement</w:t>
      </w:r>
      <w:r w:rsidRPr="0065182D">
        <w:t>.</w:t>
      </w:r>
      <w:r w:rsidRPr="0082690C">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82690C">
        <w:fldChar w:fldCharType="separate"/>
      </w:r>
      <w:r>
        <w:rPr>
          <w:noProof/>
        </w:rPr>
        <w:t>[3,4,10,17,19]</w:t>
      </w:r>
      <w:r w:rsidRPr="0082690C">
        <w:fldChar w:fldCharType="end"/>
      </w:r>
    </w:p>
    <w:p w14:paraId="4C49918D" w14:textId="77777777" w:rsidR="00C9672D" w:rsidRPr="00C8554F" w:rsidRDefault="00C9672D" w:rsidP="00C9672D">
      <w:pPr>
        <w:pStyle w:val="ApDHead4"/>
      </w:pPr>
      <w:r w:rsidRPr="00C8554F">
        <w:t>Details of investigated interventions</w:t>
      </w:r>
    </w:p>
    <w:p w14:paraId="3D619F12" w14:textId="1F3CDCD4" w:rsidR="00C9672D" w:rsidRPr="00863FD1" w:rsidRDefault="00151388" w:rsidP="00C9672D">
      <w:pPr>
        <w:pStyle w:val="BodyText"/>
      </w:pPr>
      <w:r>
        <w:t>CDS</w:t>
      </w:r>
      <w:r w:rsidR="00C9672D" w:rsidRPr="00863FD1">
        <w:t xml:space="preserve"> interventions that were investigated included:</w:t>
      </w:r>
    </w:p>
    <w:p w14:paraId="65204F00" w14:textId="77777777" w:rsidR="00C9672D" w:rsidRPr="00863FD1" w:rsidRDefault="00C9672D" w:rsidP="00C9672D">
      <w:pPr>
        <w:pStyle w:val="NormalBulleted"/>
      </w:pPr>
      <w:r>
        <w:t>A</w:t>
      </w:r>
      <w:r w:rsidRPr="000404FA">
        <w:t>lerts, prompts or reminders</w:t>
      </w:r>
      <w:r>
        <w:t>.</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p>
    <w:p w14:paraId="2383AE8F" w14:textId="77777777" w:rsidR="00C9672D" w:rsidRPr="00863FD1" w:rsidRDefault="00C9672D" w:rsidP="00C9672D">
      <w:pPr>
        <w:pStyle w:val="NormalBulleted"/>
      </w:pPr>
      <w:r w:rsidRPr="003D63D3">
        <w:t>Computerised physician order entry (CPOE) or clinical decision support systems (CDSS)</w:t>
      </w:r>
      <w:r>
        <w:t>.</w: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[2,4,7,8,12,13]</w:t>
      </w:r>
      <w:r>
        <w:fldChar w:fldCharType="end"/>
      </w:r>
    </w:p>
    <w:p w14:paraId="0DCC6B96" w14:textId="77777777" w:rsidR="00C9672D" w:rsidRPr="00863FD1" w:rsidRDefault="00C9672D" w:rsidP="00C9672D">
      <w:pPr>
        <w:pStyle w:val="NormalBulleted"/>
      </w:pPr>
      <w:r>
        <w:t>U</w:t>
      </w:r>
      <w:r w:rsidRPr="000404FA">
        <w:t>tility score ratings</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7647FF7A" w14:textId="77777777" w:rsidR="00C9672D" w:rsidRPr="00863FD1" w:rsidRDefault="00C9672D" w:rsidP="00C9672D">
      <w:pPr>
        <w:pStyle w:val="NormalBulleted"/>
      </w:pPr>
      <w:r>
        <w:t>H</w:t>
      </w:r>
      <w:r w:rsidRPr="003D63D3">
        <w:t>ealth information exchange (HIE)</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4320EF0B" w14:textId="77777777" w:rsidR="00C9672D" w:rsidRPr="00863FD1" w:rsidRDefault="00C9672D" w:rsidP="00C9672D">
      <w:pPr>
        <w:pStyle w:val="NormalBulleted"/>
      </w:pPr>
      <w:r>
        <w:t>C</w:t>
      </w:r>
      <w:r w:rsidRPr="00863FD1">
        <w:t>linical team decision support</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617F5F6C" w14:textId="77777777" w:rsidR="00C9672D" w:rsidRPr="00863FD1" w:rsidRDefault="00C9672D" w:rsidP="00C9672D">
      <w:pPr>
        <w:pStyle w:val="NormalBulleted"/>
      </w:pPr>
      <w:r>
        <w:t>G</w:t>
      </w:r>
      <w:r w:rsidRPr="00863FD1">
        <w:t>uideline dissemination</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863FD1">
        <w:t xml:space="preserve"> or implementation tools</w:t>
      </w:r>
      <w:r>
        <w:t>.</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p>
    <w:p w14:paraId="6E7C97AF" w14:textId="77777777" w:rsidR="00C9672D" w:rsidRPr="00F5733C" w:rsidRDefault="00C9672D" w:rsidP="00C9672D">
      <w:pPr>
        <w:pStyle w:val="NormalBulleted"/>
      </w:pPr>
      <w:r>
        <w:t>P</w:t>
      </w:r>
      <w:r w:rsidRPr="00863FD1">
        <w:t>rice dis</w:t>
      </w:r>
      <w:r w:rsidRPr="00F5733C">
        <w:t>play</w:t>
      </w:r>
      <w:r>
        <w:t>.</w:t>
      </w:r>
      <w:r w:rsidRPr="00F5733C">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F5733C">
        <w:fldChar w:fldCharType="separate"/>
      </w:r>
      <w:r>
        <w:rPr>
          <w:noProof/>
        </w:rPr>
        <w:t>[3,9,14]</w:t>
      </w:r>
      <w:r w:rsidRPr="00F5733C">
        <w:fldChar w:fldCharType="end"/>
      </w:r>
    </w:p>
    <w:p w14:paraId="3CD41287" w14:textId="77777777" w:rsidR="00C9672D" w:rsidRDefault="00C9672D" w:rsidP="00C9672D">
      <w:pPr>
        <w:pStyle w:val="BodyText1"/>
      </w:pPr>
      <w:r w:rsidRPr="00337517">
        <w:t xml:space="preserve">Educational interventions </w:t>
      </w:r>
      <w:r>
        <w:t xml:space="preserve">that were investigated included </w:t>
      </w:r>
      <w:r w:rsidRPr="0037570E">
        <w:t xml:space="preserve">physician </w:t>
      </w:r>
      <w:r>
        <w:t xml:space="preserve">strategies and </w:t>
      </w:r>
      <w:r w:rsidRPr="0037570E">
        <w:t>combinations of both physician and patient-mediated strategies</w:t>
      </w:r>
      <w:r>
        <w:t>.</w:t>
      </w:r>
      <w:r w:rsidRPr="003E433A">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 </w:instrText>
      </w:r>
      <w:r>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EN.CITE.DATA </w:instrText>
      </w:r>
      <w:r>
        <w:fldChar w:fldCharType="end"/>
      </w:r>
      <w:r w:rsidRPr="003E433A">
        <w:fldChar w:fldCharType="separate"/>
      </w:r>
      <w:r>
        <w:rPr>
          <w:noProof/>
        </w:rPr>
        <w:t>[1,3,4,6,10,11,15-18]</w:t>
      </w:r>
      <w:r w:rsidRPr="003E433A">
        <w:fldChar w:fldCharType="end"/>
      </w:r>
      <w:r>
        <w:t xml:space="preserve"> Payment systems that were investigated included </w:t>
      </w:r>
      <w:r w:rsidRPr="007B2C85">
        <w:t>pay-for-performance</w:t>
      </w:r>
      <w:r>
        <w:t xml:space="preserve">, </w:t>
      </w:r>
      <w:r w:rsidRPr="007B2C85">
        <w:t>insurer restrictions</w:t>
      </w:r>
      <w:r>
        <w:t xml:space="preserve"> and </w:t>
      </w:r>
      <w:r w:rsidRPr="007B2C85">
        <w:t>risk sharing.</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r>
        <w:t xml:space="preserve"> </w:t>
      </w:r>
      <w:r w:rsidRPr="0065182D">
        <w:t xml:space="preserve">All </w:t>
      </w:r>
      <w:r>
        <w:t xml:space="preserve">methods </w:t>
      </w:r>
      <w:r w:rsidRPr="0065182D">
        <w:lastRenderedPageBreak/>
        <w:t>for quality improvement</w:t>
      </w:r>
      <w:r w:rsidRPr="0082690C">
        <w:t xml:space="preserve"> </w:t>
      </w:r>
      <w:r>
        <w:t xml:space="preserve">that were investigated included </w:t>
      </w:r>
      <w:r w:rsidRPr="0082690C">
        <w:t>modifications or restrictions to referral or order forms</w:t>
      </w:r>
      <w:r>
        <w:t>.</w:t>
      </w:r>
      <w:r w:rsidRPr="0082690C">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82690C">
        <w:fldChar w:fldCharType="separate"/>
      </w:r>
      <w:r>
        <w:rPr>
          <w:noProof/>
        </w:rPr>
        <w:t>[3,4,10,17,19]</w:t>
      </w:r>
      <w:r w:rsidRPr="0082690C">
        <w:fldChar w:fldCharType="end"/>
      </w:r>
    </w:p>
    <w:p w14:paraId="2ED7ABEC" w14:textId="77777777" w:rsidR="00C9672D" w:rsidRPr="004E7E8C" w:rsidRDefault="00C9672D" w:rsidP="00C9672D">
      <w:pPr>
        <w:pStyle w:val="ApDHead3"/>
      </w:pPr>
      <w:bookmarkStart w:id="322" w:name="_Toc481582803"/>
      <w:bookmarkStart w:id="323" w:name="_Toc525740554"/>
      <w:bookmarkStart w:id="324" w:name="_Toc525816119"/>
      <w:r>
        <w:t>Key findings</w:t>
      </w:r>
      <w:bookmarkEnd w:id="322"/>
      <w:bookmarkEnd w:id="323"/>
      <w:bookmarkEnd w:id="324"/>
    </w:p>
    <w:p w14:paraId="22EB3F46" w14:textId="77777777" w:rsidR="00C9672D" w:rsidRPr="00692DBC" w:rsidRDefault="00C9672D" w:rsidP="00C9672D">
      <w:pPr>
        <w:pStyle w:val="ApDHead4"/>
      </w:pPr>
      <w:r w:rsidRPr="00692DBC">
        <w:t>Clinical decision support</w:t>
      </w:r>
    </w:p>
    <w:p w14:paraId="35E71F4C" w14:textId="7CF08455" w:rsidR="00C9672D" w:rsidRDefault="00C9672D" w:rsidP="00C9672D">
      <w:pPr>
        <w:pStyle w:val="Normalpara"/>
      </w:pPr>
      <w:r w:rsidRPr="00B16285">
        <w:t>Overall, based on the number of reviews that conducted a meta-analysis and the number of relevant articles included within e</w:t>
      </w:r>
      <w:r>
        <w:t>ach review, CPOE or CDSS appeared</w:t>
      </w:r>
      <w:r w:rsidRPr="00B16285">
        <w:t xml:space="preserve"> to be the </w:t>
      </w:r>
      <w:r w:rsidR="00151388">
        <w:t>CDS</w:t>
      </w:r>
      <w:r w:rsidRPr="00B16285">
        <w:t xml:space="preserve"> intervention with the greatest body of evidence. However, it has been difficult to make direct comparisons between interventions. </w:t>
      </w:r>
    </w:p>
    <w:p w14:paraId="7EA8694B" w14:textId="77777777" w:rsidR="00C9672D" w:rsidRPr="00B16285" w:rsidRDefault="00C9672D" w:rsidP="00C9672D">
      <w:pPr>
        <w:pStyle w:val="Normalpara"/>
      </w:pPr>
      <w:r>
        <w:t>There</w:t>
      </w:r>
      <w:r w:rsidRPr="00B16285">
        <w:t xml:space="preserve"> was substantial heterogeneity between studies, which resulted in a low number of meta-analyses and led to a high proportion of reviews that narratively summarised the results of individual studies. In addition, there was variation in the way outcomes were described, overall effect sizes were often not summarised, and some review authors only reported the proportion of included studies that showed a particular outcome. </w:t>
      </w:r>
    </w:p>
    <w:p w14:paraId="1DDC556A" w14:textId="77777777" w:rsidR="00C9672D" w:rsidRDefault="00C9672D" w:rsidP="00C9672D">
      <w:pPr>
        <w:pStyle w:val="Normalpara"/>
      </w:pPr>
      <w:r w:rsidRPr="00B16285">
        <w:t>In total, relevant results from only three meta-analyses were available, one for alerts, prompts or reminders,</w:t>
      </w:r>
      <w:r w:rsidRPr="00B16285">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rsidRPr="00B16285">
        <w:fldChar w:fldCharType="separate"/>
      </w:r>
      <w:r>
        <w:rPr>
          <w:noProof/>
        </w:rPr>
        <w:t>[16]</w:t>
      </w:r>
      <w:r w:rsidRPr="00B16285">
        <w:fldChar w:fldCharType="end"/>
      </w:r>
      <w:r w:rsidRPr="00B16285">
        <w:t xml:space="preserve"> and two for CPOE or CDSS.</w:t>
      </w:r>
      <w:r w:rsidRPr="00B16285">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 </w:instrTex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EN.CITE.DATA </w:instrText>
      </w:r>
      <w:r>
        <w:fldChar w:fldCharType="end"/>
      </w:r>
      <w:r w:rsidRPr="00B16285">
        <w:fldChar w:fldCharType="separate"/>
      </w:r>
      <w:r>
        <w:rPr>
          <w:noProof/>
        </w:rPr>
        <w:t>[2,4]</w:t>
      </w:r>
      <w:r w:rsidRPr="00B16285">
        <w:fldChar w:fldCharType="end"/>
      </w:r>
      <w:r w:rsidRPr="00B16285">
        <w:t xml:space="preserve"> </w:t>
      </w:r>
      <w:r>
        <w:t xml:space="preserve">Also pertinent to the interpretation of the findings is that the meta-analyses </w:t>
      </w:r>
      <w:r w:rsidRPr="00B16285">
        <w:t>performed by Chaudhuri et al. (2016) and Tzortziou Brown et al. (2016)</w:t>
      </w:r>
      <w:r>
        <w:t xml:space="preserve"> each only included </w:t>
      </w:r>
      <w:r w:rsidRPr="00B16285">
        <w:t>two studies</w:t>
      </w:r>
      <w:r>
        <w:t>.</w:t>
      </w:r>
      <w:r w:rsidRPr="00B16285">
        <w:t xml:space="preserve"> </w:t>
      </w:r>
    </w:p>
    <w:p w14:paraId="28C57E07" w14:textId="3211B07C" w:rsidR="00C9672D" w:rsidRPr="00B16285" w:rsidRDefault="00C9672D" w:rsidP="00C9672D">
      <w:pPr>
        <w:pStyle w:val="Normalpara"/>
      </w:pPr>
      <w:r w:rsidRPr="00B16285">
        <w:t xml:space="preserve">Overall, each type of </w:t>
      </w:r>
      <w:r w:rsidR="00151388">
        <w:t xml:space="preserve">CDS </w:t>
      </w:r>
      <w:r w:rsidRPr="00B16285">
        <w:t xml:space="preserve">intervention demonstrated improvements in at least one of the assessed outcomes, including: </w:t>
      </w:r>
    </w:p>
    <w:p w14:paraId="3B80A710" w14:textId="77777777" w:rsidR="00C9672D" w:rsidRPr="00B16285" w:rsidRDefault="00C9672D" w:rsidP="00C9672D">
      <w:pPr>
        <w:pStyle w:val="NormalBulleted"/>
      </w:pPr>
      <w:r w:rsidRPr="00B16285">
        <w:t>improved rates or ordering of laboratory or diagnostic tests (alerts, reminders, CDSS, system-based interventions, administrative interventions, price display)</w:t>
      </w:r>
      <w:r w:rsidRPr="00B16285">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rsidRPr="00B16285">
        <w:fldChar w:fldCharType="separate"/>
      </w:r>
      <w:r>
        <w:rPr>
          <w:noProof/>
        </w:rPr>
        <w:t>[3,6,11,13,15,16]</w:t>
      </w:r>
      <w:r w:rsidRPr="00B16285">
        <w:fldChar w:fldCharType="end"/>
      </w:r>
      <w:r w:rsidRPr="00B16285">
        <w:t xml:space="preserve"> </w:t>
      </w:r>
    </w:p>
    <w:p w14:paraId="5195E674" w14:textId="77777777" w:rsidR="00C9672D" w:rsidRPr="00B16285" w:rsidRDefault="00C9672D" w:rsidP="00C9672D">
      <w:pPr>
        <w:pStyle w:val="NormalBulleted"/>
      </w:pPr>
      <w:r w:rsidRPr="00B16285">
        <w:t>improved rates or ordering of imaging (reminders, utility scores, CDSS, administrative interventions)</w:t>
      </w:r>
      <w:r w:rsidRPr="00B16285">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EN.CITE.DATA </w:instrText>
      </w:r>
      <w:r>
        <w:fldChar w:fldCharType="end"/>
      </w:r>
      <w:r w:rsidRPr="00B16285">
        <w:fldChar w:fldCharType="separate"/>
      </w:r>
      <w:r>
        <w:rPr>
          <w:noProof/>
        </w:rPr>
        <w:t>[6,7,10,20]</w:t>
      </w:r>
      <w:r w:rsidRPr="00B16285">
        <w:fldChar w:fldCharType="end"/>
      </w:r>
    </w:p>
    <w:p w14:paraId="7EB6E194" w14:textId="77777777" w:rsidR="00C9672D" w:rsidRPr="00B16285" w:rsidRDefault="00C9672D" w:rsidP="00C9672D">
      <w:pPr>
        <w:pStyle w:val="NormalBulleted"/>
      </w:pPr>
      <w:r w:rsidRPr="00B16285">
        <w:t>improved medicine prescribing rates (alerts)</w:t>
      </w:r>
      <w:r w:rsidRPr="00B16285">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rsidRPr="00B16285">
        <w:fldChar w:fldCharType="separate"/>
      </w:r>
      <w:r>
        <w:rPr>
          <w:noProof/>
        </w:rPr>
        <w:t>[16]</w:t>
      </w:r>
      <w:r w:rsidRPr="00B16285">
        <w:fldChar w:fldCharType="end"/>
      </w:r>
    </w:p>
    <w:p w14:paraId="48F8EB1E" w14:textId="77777777" w:rsidR="00C9672D" w:rsidRPr="00B16285" w:rsidRDefault="00C9672D" w:rsidP="00C9672D">
      <w:pPr>
        <w:pStyle w:val="NormalBulleted"/>
      </w:pPr>
      <w:r w:rsidRPr="00B16285">
        <w:t>increased compliance with guidelines or recommended treatment criteria (prompts, CPOE with CDSS, utility scores, guideline dissemination tools)</w:t>
      </w:r>
      <w:r w:rsidRPr="00B16285">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rsidRPr="00B16285">
        <w:fldChar w:fldCharType="separate"/>
      </w:r>
      <w:r>
        <w:rPr>
          <w:noProof/>
        </w:rPr>
        <w:t>[1,5,8]</w:t>
      </w:r>
      <w:r w:rsidRPr="00B16285">
        <w:fldChar w:fldCharType="end"/>
      </w:r>
    </w:p>
    <w:p w14:paraId="1060BD96" w14:textId="77777777" w:rsidR="00C9672D" w:rsidRPr="00B16285" w:rsidRDefault="00C9672D" w:rsidP="00C9672D">
      <w:pPr>
        <w:pStyle w:val="NormalBulleted"/>
      </w:pPr>
      <w:r w:rsidRPr="00B16285">
        <w:t>reduced rates or ordering of redundant or inappropriate laboratory tests (alerts, CDSS)</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6A55D53E" w14:textId="77777777" w:rsidR="00C9672D" w:rsidRPr="00B16285" w:rsidRDefault="00C9672D" w:rsidP="00C9672D">
      <w:pPr>
        <w:pStyle w:val="NormalBulleted"/>
      </w:pPr>
      <w:r w:rsidRPr="00B16285">
        <w:t>reduced rates or ordering of redundant or inappropriate imaging (CDSS)</w:t>
      </w:r>
      <w:r w:rsidRPr="00B16285">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rsidRPr="00B16285">
        <w:fldChar w:fldCharType="separate"/>
      </w:r>
      <w:r>
        <w:rPr>
          <w:noProof/>
        </w:rPr>
        <w:t>[4]</w:t>
      </w:r>
      <w:r w:rsidRPr="00B16285">
        <w:fldChar w:fldCharType="end"/>
      </w:r>
    </w:p>
    <w:p w14:paraId="79E29CBD" w14:textId="77777777" w:rsidR="00C9672D" w:rsidRPr="00B16285" w:rsidRDefault="00C9672D" w:rsidP="00C9672D">
      <w:pPr>
        <w:pStyle w:val="NormalBulleted"/>
      </w:pPr>
      <w:r w:rsidRPr="00B16285">
        <w:t>increased completion of a recommended preventive care service, clinical study or prescription (CDSS)</w:t>
      </w:r>
      <w:r w:rsidRPr="00B16285">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B16285">
        <w:fldChar w:fldCharType="separate"/>
      </w:r>
      <w:r>
        <w:rPr>
          <w:noProof/>
        </w:rPr>
        <w:t>[2]</w:t>
      </w:r>
      <w:r w:rsidRPr="00B16285">
        <w:fldChar w:fldCharType="end"/>
      </w:r>
    </w:p>
    <w:p w14:paraId="05A3EA1C" w14:textId="77777777" w:rsidR="00C9672D" w:rsidRPr="00B16285" w:rsidRDefault="00C9672D" w:rsidP="00C9672D">
      <w:pPr>
        <w:pStyle w:val="NormalBulleted"/>
      </w:pPr>
      <w:r w:rsidRPr="00B16285">
        <w:t>improved overall practitioner performance (CDSS)</w:t>
      </w:r>
      <w:r w:rsidRPr="00B16285">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B16285">
        <w:fldChar w:fldCharType="separate"/>
      </w:r>
      <w:r>
        <w:rPr>
          <w:noProof/>
        </w:rPr>
        <w:t>[12]</w:t>
      </w:r>
      <w:r w:rsidRPr="00B16285">
        <w:fldChar w:fldCharType="end"/>
      </w:r>
    </w:p>
    <w:p w14:paraId="7C58F9ED" w14:textId="77777777" w:rsidR="00C9672D" w:rsidRPr="00B16285" w:rsidRDefault="00C9672D" w:rsidP="00C9672D">
      <w:pPr>
        <w:pStyle w:val="NormalBulleted"/>
      </w:pPr>
      <w:r w:rsidRPr="00B16285">
        <w:t>reduced rates of low-utility imaging (utility scores used with CPOE)</w:t>
      </w:r>
      <w:r w:rsidRPr="00B16285">
        <w:fldChar w:fldCharType="begin"/>
      </w:r>
      <w:r>
        <w:instrText xml:space="preserve"> ADDIN EN.CITE &lt;EndNote&gt;&lt;Cite&gt;&lt;Author&gt;Colla&lt;/Author&gt;&lt;Year&gt;2015&lt;/Year&gt;&lt;RecNum&gt;9&lt;/RecNum&gt;&lt;DisplayText&gt;[20]&lt;/DisplayText&gt;&lt;record&gt;&lt;rec-number&gt;9&lt;/rec-number&gt;&lt;foreign-keys&gt;&lt;key app="EN" db-id="x9fffa25dxde9newers5xv249pterpfdd5z9" timestamp="1488421580"&gt;9&lt;/key&gt;&lt;/foreign-keys&gt;&lt;ref-type name="Journal Article"&gt;17&lt;/ref-type&gt;&lt;contributors&gt;&lt;authors&gt;&lt;author&gt;Colla, C. H.&lt;/author&gt;&lt;author&gt;Sequist, T. D.&lt;/author&gt;&lt;author&gt;Rosenthal, M. B.&lt;/author&gt;&lt;author&gt;Schpero, W. L.&lt;/author&gt;&lt;author&gt;Gottlieb, D. J.&lt;/author&gt;&lt;author&gt;Morden, N. E.&lt;/author&gt;&lt;/authors&gt;&lt;/contributors&gt;&lt;titles&gt;&lt;title&gt;Use of non-indicated cardiac testing in low-risk patients: Choosing Wisely&lt;/title&gt;&lt;secondary-title&gt;BMJ Qual Saf&lt;/secondary-title&gt;&lt;/titles&gt;&lt;periodical&gt;&lt;full-title&gt;BMJ Qual Saf&lt;/full-title&gt;&lt;/periodical&gt;&lt;pages&gt;149–153&lt;/pages&gt;&lt;volume&gt;24&lt;/volume&gt;&lt;number&gt;2&lt;/number&gt;&lt;dates&gt;&lt;year&gt;2015&lt;/year&gt;&lt;/dates&gt;&lt;isbn&gt;2044-5423&lt;/isbn&gt;&lt;urls&gt;&lt;/urls&gt;&lt;/record&gt;&lt;/Cite&gt;&lt;/EndNote&gt;</w:instrText>
      </w:r>
      <w:r w:rsidRPr="00B16285">
        <w:fldChar w:fldCharType="separate"/>
      </w:r>
      <w:r>
        <w:rPr>
          <w:noProof/>
        </w:rPr>
        <w:t>[20]</w:t>
      </w:r>
      <w:r w:rsidRPr="00B16285">
        <w:fldChar w:fldCharType="end"/>
      </w:r>
    </w:p>
    <w:p w14:paraId="7C78FD6B" w14:textId="77777777" w:rsidR="00C9672D" w:rsidRPr="00FF7DD8" w:rsidRDefault="00C9672D" w:rsidP="00C9672D">
      <w:pPr>
        <w:pStyle w:val="NormalBulleted"/>
      </w:pPr>
      <w:r w:rsidRPr="00B16285">
        <w:t>reduced cost of tests or imaging (price display, CDSS).</w:t>
      </w:r>
      <w:r w:rsidRPr="00B16285">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 </w:instrText>
      </w:r>
      <w:r>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EN.CITE.DATA </w:instrText>
      </w:r>
      <w:r>
        <w:fldChar w:fldCharType="end"/>
      </w:r>
      <w:r w:rsidRPr="00B16285">
        <w:fldChar w:fldCharType="separate"/>
      </w:r>
      <w:r>
        <w:rPr>
          <w:noProof/>
        </w:rPr>
        <w:t>[7,9,14]</w:t>
      </w:r>
      <w:r w:rsidRPr="00B16285">
        <w:fldChar w:fldCharType="end"/>
      </w:r>
    </w:p>
    <w:p w14:paraId="489EE9AE" w14:textId="77777777" w:rsidR="00C9672D" w:rsidRPr="002A53F0" w:rsidRDefault="00C9672D" w:rsidP="00C9672D">
      <w:pPr>
        <w:pStyle w:val="ApDHead4"/>
      </w:pPr>
      <w:r w:rsidRPr="002A53F0">
        <w:t>CPOE and CDSS</w:t>
      </w:r>
    </w:p>
    <w:p w14:paraId="1377A323" w14:textId="77777777" w:rsidR="00C9672D" w:rsidRDefault="00C9672D" w:rsidP="00C9672D">
      <w:pPr>
        <w:pStyle w:val="Normalpara"/>
      </w:pPr>
      <w:r w:rsidRPr="00B16285">
        <w:t>Although their meta-analysis was not specific to studies investigating diagnostic imaging or pathology tests, ‘diagnosis’ and ‘laboratory test ordering’ were described as ‘topics’ evaluated in studies included in each of the analyses below.</w:t>
      </w:r>
      <w:r>
        <w:t xml:space="preserve"> Comparators included usual care or no CDSS, direct comparison against the same CDSS with additional features, or comparison of the same CDSS for different conditions.</w:t>
      </w:r>
      <w:r w:rsidRPr="00B16285">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B16285">
        <w:fldChar w:fldCharType="separate"/>
      </w:r>
      <w:r>
        <w:rPr>
          <w:noProof/>
        </w:rPr>
        <w:t>[2]</w:t>
      </w:r>
      <w:r w:rsidRPr="00B16285">
        <w:fldChar w:fldCharType="end"/>
      </w:r>
    </w:p>
    <w:p w14:paraId="6FBA30E8" w14:textId="77777777" w:rsidR="00C9672D" w:rsidRPr="00B16285" w:rsidRDefault="00C9672D" w:rsidP="00C9672D">
      <w:pPr>
        <w:pStyle w:val="Normalpara"/>
      </w:pPr>
      <w:r>
        <w:t>Both commercially and locally developed CDSS improved health care process measures related to:</w:t>
      </w:r>
      <w:r w:rsidRPr="00B16285">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B16285">
        <w:fldChar w:fldCharType="separate"/>
      </w:r>
      <w:r>
        <w:rPr>
          <w:noProof/>
        </w:rPr>
        <w:t>[2]</w:t>
      </w:r>
      <w:r w:rsidRPr="00B16285">
        <w:fldChar w:fldCharType="end"/>
      </w:r>
    </w:p>
    <w:p w14:paraId="54F32127" w14:textId="77777777" w:rsidR="00C9672D" w:rsidRPr="00B16285" w:rsidRDefault="00C9672D" w:rsidP="00C9672D">
      <w:pPr>
        <w:pStyle w:val="NormalBulleted"/>
      </w:pPr>
      <w:r>
        <w:t>ordering or completing r</w:t>
      </w:r>
      <w:r w:rsidRPr="00B16285">
        <w:t>ecommended preventive care service</w:t>
      </w:r>
      <w:r>
        <w:t>s</w:t>
      </w:r>
      <w:r w:rsidRPr="00B16285">
        <w:t xml:space="preserve"> (high evidence strength, 25 studies in the meta-analysis): odds ratio (OR) 1.42 (95% CI 1.27 to 1.58)</w:t>
      </w:r>
    </w:p>
    <w:p w14:paraId="0E4BAC2A" w14:textId="77777777" w:rsidR="00C9672D" w:rsidRPr="00B16285" w:rsidRDefault="00C9672D" w:rsidP="00C9672D">
      <w:pPr>
        <w:pStyle w:val="NormalBulleted"/>
      </w:pPr>
      <w:r>
        <w:lastRenderedPageBreak/>
        <w:t>ordering or completing r</w:t>
      </w:r>
      <w:r w:rsidRPr="00B16285">
        <w:t>ecommended clinical stud</w:t>
      </w:r>
      <w:r>
        <w:t>ies</w:t>
      </w:r>
      <w:r w:rsidRPr="00B16285">
        <w:t xml:space="preserve"> (moderate evidence strength, 20 studies in the meta-analysis): OR 1.72 (95% CI 1.47 to 2.00)</w:t>
      </w:r>
    </w:p>
    <w:p w14:paraId="08187651" w14:textId="77777777" w:rsidR="00C9672D" w:rsidRDefault="00C9672D" w:rsidP="00C9672D">
      <w:pPr>
        <w:pStyle w:val="NormalBulleted"/>
      </w:pPr>
      <w:r>
        <w:t>ordering or prescribing r</w:t>
      </w:r>
      <w:r w:rsidRPr="00B16285">
        <w:t>ecommended treatment</w:t>
      </w:r>
      <w:r>
        <w:t>s</w:t>
      </w:r>
      <w:r w:rsidRPr="00B16285">
        <w:t xml:space="preserve"> (high evidence strength, 46 studies in the meta-analysis): OR 1.57 (95% CI 1.35 to 1.82).</w:t>
      </w:r>
    </w:p>
    <w:p w14:paraId="2D7FB79A" w14:textId="77777777" w:rsidR="00C9672D" w:rsidRPr="00B16285" w:rsidRDefault="00C9672D" w:rsidP="00C9672D">
      <w:pPr>
        <w:pStyle w:val="Normalpara"/>
      </w:pPr>
      <w:r w:rsidRPr="00B16285">
        <w:t>The impact of CPOE on pathology or medical imaging services was investigated in two separate reviews by Georgiou et al. (2007, 2011). Implementation of CPOE resulted in a reduction in:</w:t>
      </w:r>
      <w:r w:rsidRPr="00B16285">
        <w:fldChar w:fldCharType="begin"/>
      </w:r>
      <w:r>
        <w:instrText xml:space="preserve"> ADDIN EN.CITE &lt;EndNote&gt;&lt;Cite&gt;&lt;Author&gt;Georgiou&lt;/Author&gt;&lt;Year&gt;2007&lt;/Year&gt;&lt;RecNum&gt;14&lt;/RecNum&gt;&lt;DisplayText&gt;[7,8]&lt;/DisplayText&gt;&lt;record&gt;&lt;rec-number&gt;14&lt;/rec-number&gt;&lt;foreign-keys&gt;&lt;key app="EN" db-id="x9fffa25dxde9newers5xv249pterpfdd5z9" timestamp="1488421580"&gt;14&lt;/key&gt;&lt;/foreign-keys&gt;&lt;ref-type name="Journal Article"&gt;17&lt;/ref-type&gt;&lt;contributors&gt;&lt;authors&gt;&lt;author&gt;Georgiou, Andrew&lt;/author&gt;&lt;author&gt;Williamson, Margaret&lt;/author&gt;&lt;author&gt;Westbrook, Johanna I&lt;/author&gt;&lt;author&gt;Ray, Sangeeta&lt;/author&gt;&lt;/authors&gt;&lt;/contributors&gt;&lt;titles&gt;&lt;title&gt;The impact of computerised physician order entry systems on pathology services: a systematic review&lt;/title&gt;&lt;secondary-title&gt;Int J Med Inform&lt;/secondary-title&gt;&lt;/titles&gt;&lt;periodical&gt;&lt;full-title&gt;Int J Med Inform&lt;/full-title&gt;&lt;/periodical&gt;&lt;pages&gt;514–529&lt;/pages&gt;&lt;volume&gt;76&lt;/volume&gt;&lt;number&gt;7&lt;/number&gt;&lt;dates&gt;&lt;year&gt;2007&lt;/year&gt;&lt;/dates&gt;&lt;isbn&gt;1386-5056&lt;/isbn&gt;&lt;urls&gt;&lt;/urls&gt;&lt;/record&gt;&lt;/Cite&gt;&lt;Cite&gt;&lt;Author&gt;Georgiou&lt;/Author&gt;&lt;Year&gt;2011&lt;/Year&gt;&lt;RecNum&gt;13&lt;/RecNum&gt;&lt;record&gt;&lt;rec-number&gt;13&lt;/rec-number&gt;&lt;foreign-keys&gt;&lt;key app="EN" db-id="x9fffa25dxde9newers5xv249pterpfdd5z9" timestamp="1488421580"&gt;13&lt;/key&gt;&lt;/foreign-keys&gt;&lt;ref-type name="Journal Article"&gt;17&lt;/ref-type&gt;&lt;contributors&gt;&lt;authors&gt;&lt;author&gt;Georgiou, Andrew&lt;/author&gt;&lt;author&gt;Prgomet, Mirela&lt;/author&gt;&lt;author&gt;Markewycz, Andrew&lt;/author&gt;&lt;author&gt;Adams, Edwina&lt;/author&gt;&lt;author&gt;Westbrook, Johanna I&lt;/author&gt;&lt;/authors&gt;&lt;/contributors&gt;&lt;titles&gt;&lt;title&gt;The impact of computerized provider order entry systems on medical-imaging services: a systematic review&lt;/title&gt;&lt;secondary-title&gt;J Am Med Inform Assoc&lt;/secondary-title&gt;&lt;/titles&gt;&lt;periodical&gt;&lt;full-title&gt;J Am Med Inform Assoc&lt;/full-title&gt;&lt;/periodical&gt;&lt;pages&gt;335–340&lt;/pages&gt;&lt;volume&gt;18&lt;/volume&gt;&lt;number&gt;3&lt;/number&gt;&lt;dates&gt;&lt;year&gt;2011&lt;/year&gt;&lt;/dates&gt;&lt;isbn&gt;1067-5027&lt;/isbn&gt;&lt;urls&gt;&lt;related-urls&gt;&lt;url&gt;https://www.ncbi.nlm.nih.gov/pmc/articles/PMC3078656/pdf/amiajnl-2010-000043.pdf&lt;/url&gt;&lt;/related-urls&gt;&lt;/urls&gt;&lt;/record&gt;&lt;/Cite&gt;&lt;/EndNote&gt;</w:instrText>
      </w:r>
      <w:r w:rsidRPr="00B16285">
        <w:fldChar w:fldCharType="separate"/>
      </w:r>
      <w:r>
        <w:rPr>
          <w:noProof/>
        </w:rPr>
        <w:t>[7,8]</w:t>
      </w:r>
      <w:r w:rsidRPr="00B16285">
        <w:fldChar w:fldCharType="end"/>
      </w:r>
    </w:p>
    <w:p w14:paraId="17B34EF0" w14:textId="77777777" w:rsidR="00C9672D" w:rsidRPr="00B16285" w:rsidRDefault="00C9672D" w:rsidP="00C9672D">
      <w:pPr>
        <w:pStyle w:val="NormalBulleted"/>
      </w:pPr>
      <w:r w:rsidRPr="00B16285">
        <w:t>rates of redundant pathology tests (27% with intervention versus 51% with controls)</w:t>
      </w:r>
    </w:p>
    <w:p w14:paraId="54E8054F" w14:textId="77777777" w:rsidR="00C9672D" w:rsidRPr="00B16285" w:rsidRDefault="00C9672D" w:rsidP="00C9672D">
      <w:pPr>
        <w:pStyle w:val="NormalBulleted"/>
      </w:pPr>
      <w:r w:rsidRPr="00B16285">
        <w:t>utilisation rates for portable chest X-rays (reduction of 18.6 orders/day)</w:t>
      </w:r>
    </w:p>
    <w:p w14:paraId="64208369" w14:textId="77777777" w:rsidR="00C9672D" w:rsidRPr="00B16285" w:rsidRDefault="00C9672D" w:rsidP="00C9672D">
      <w:pPr>
        <w:pStyle w:val="NormalBulleted"/>
      </w:pPr>
      <w:r w:rsidRPr="00B16285">
        <w:t>growth rates for the use of CT, MRI and ultrasound examinations (decrease of 2.75%, 1.2% and 1.3%, respectively)</w:t>
      </w:r>
    </w:p>
    <w:p w14:paraId="4E5E3992" w14:textId="77777777" w:rsidR="00C9672D" w:rsidRPr="00B16285" w:rsidRDefault="00C9672D" w:rsidP="00C9672D">
      <w:pPr>
        <w:pStyle w:val="NormalBulleted"/>
      </w:pPr>
      <w:r w:rsidRPr="00B16285">
        <w:t>rates of low-yield CT, MR and nuclear medicine examinations (5.4% to 1.9%).</w:t>
      </w:r>
    </w:p>
    <w:p w14:paraId="0FD37B7F" w14:textId="77777777" w:rsidR="00C9672D" w:rsidRPr="00256950" w:rsidRDefault="00C9672D" w:rsidP="00C9672D">
      <w:pPr>
        <w:pStyle w:val="NormalBulleted"/>
      </w:pPr>
      <w:r w:rsidRPr="00B16285">
        <w:t xml:space="preserve">radiology orders not conforming to guidelines (33.2% to 26.9%). </w:t>
      </w:r>
    </w:p>
    <w:p w14:paraId="3F35685D" w14:textId="77777777" w:rsidR="00C9672D" w:rsidRDefault="00C9672D" w:rsidP="00C9672D">
      <w:pPr>
        <w:pStyle w:val="Normalpara"/>
      </w:pPr>
      <w:r>
        <w:t>Reducing the proliferation of common items in laboratory utilisation which have become used excessively through two factors, bundling (such as coagulation panels and liver function tests) and automated repetition, was the focus of several included studies. Unbundling of tests on request forms was shown to contribute to a relative reduction in test ordering of 34.5%.</w: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 </w:instrTex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EN.CITE.DATA </w:instrText>
      </w:r>
      <w:r>
        <w:fldChar w:fldCharType="end"/>
      </w:r>
      <w:r>
        <w:fldChar w:fldCharType="separate"/>
      </w:r>
      <w:r>
        <w:rPr>
          <w:noProof/>
        </w:rPr>
        <w:t>[11,17]</w:t>
      </w:r>
      <w:r>
        <w:fldChar w:fldCharType="end"/>
      </w:r>
    </w:p>
    <w:p w14:paraId="7EF19E95" w14:textId="77777777" w:rsidR="00C9672D" w:rsidRPr="00C935FE" w:rsidRDefault="00C9672D" w:rsidP="00C9672D">
      <w:pPr>
        <w:pStyle w:val="ApDHead3"/>
      </w:pPr>
      <w:bookmarkStart w:id="325" w:name="_Toc525740555"/>
      <w:bookmarkStart w:id="326" w:name="_Toc525816120"/>
      <w:r w:rsidRPr="00C935FE">
        <w:t>System-based interventions</w:t>
      </w:r>
      <w:bookmarkEnd w:id="325"/>
      <w:bookmarkEnd w:id="326"/>
    </w:p>
    <w:p w14:paraId="165DC26D" w14:textId="77777777" w:rsidR="00C9672D" w:rsidRPr="00C935FE" w:rsidRDefault="00C9672D" w:rsidP="00C9672D">
      <w:pPr>
        <w:pStyle w:val="Normalpara"/>
      </w:pPr>
      <w:r w:rsidRPr="00C935FE">
        <w:t>Two reviews grouped changes to test ordering processes and computer order entry systems as ‘system-based interventions’. Neither review conducted a meta-analysis.</w:t>
      </w:r>
      <w:r w:rsidRPr="00C935FE">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rsidRPr="00C935FE">
        <w:instrText xml:space="preserve"> ADDIN EN.CITE </w:instrText>
      </w:r>
      <w:r w:rsidRPr="00C935FE">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rsidRPr="00C935FE">
        <w:instrText xml:space="preserve"> ADDIN EN.CITE.DATA </w:instrText>
      </w:r>
      <w:r w:rsidRPr="00C935FE">
        <w:fldChar w:fldCharType="end"/>
      </w:r>
      <w:r w:rsidRPr="00C935FE">
        <w:fldChar w:fldCharType="separate"/>
      </w:r>
      <w:r w:rsidRPr="00C935FE">
        <w:t>[11,15]</w:t>
      </w:r>
      <w:r w:rsidRPr="00C935FE">
        <w:fldChar w:fldCharType="end"/>
      </w:r>
    </w:p>
    <w:p w14:paraId="25F892A9" w14:textId="77777777" w:rsidR="00C9672D" w:rsidRPr="00B16285" w:rsidRDefault="00C9672D" w:rsidP="00C9672D">
      <w:pPr>
        <w:pStyle w:val="Normalpara"/>
      </w:pPr>
      <w:r>
        <w:t xml:space="preserve">In the review by </w:t>
      </w:r>
      <w:r w:rsidRPr="00031BF1">
        <w:t xml:space="preserve">Kobewka </w:t>
      </w:r>
      <w:r>
        <w:t xml:space="preserve">et al. (2015), it was noted that the removal of automated repetition from ordering systems can have a significant impact decreasing laboratory utilisation, with reductions in product testing of up to 48.3%. </w:t>
      </w:r>
    </w:p>
    <w:p w14:paraId="4C1F26AD" w14:textId="77777777" w:rsidR="00C9672D" w:rsidRPr="00C935FE" w:rsidRDefault="00C9672D" w:rsidP="00C9672D">
      <w:pPr>
        <w:pStyle w:val="ApDHead4"/>
        <w:rPr>
          <w:rStyle w:val="Bold"/>
          <w:b w:val="0"/>
        </w:rPr>
      </w:pPr>
      <w:r w:rsidRPr="00C935FE">
        <w:rPr>
          <w:rStyle w:val="Bold"/>
        </w:rPr>
        <w:t>Utility score ratings, health information exchange and clinical team decision support</w:t>
      </w:r>
    </w:p>
    <w:p w14:paraId="621B870C" w14:textId="77777777" w:rsidR="00C9672D" w:rsidRPr="00B16285" w:rsidRDefault="00C9672D" w:rsidP="00C9672D">
      <w:pPr>
        <w:pStyle w:val="BodyText1"/>
      </w:pPr>
      <w:r>
        <w:t>Based</w:t>
      </w:r>
      <w:r w:rsidRPr="00B16285">
        <w:t xml:space="preserve"> on the results of separate studies, Colla et al. (2016) described that the use of utility scores can:</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5518CD25" w14:textId="77777777" w:rsidR="00C9672D" w:rsidRPr="00B16285" w:rsidRDefault="00C9672D" w:rsidP="00C9672D">
      <w:pPr>
        <w:pStyle w:val="NormalBulleted"/>
      </w:pPr>
      <w:r w:rsidRPr="00B16285">
        <w:t>reduce the rate of growth of CT and MRI use from 12% to 7% and 1%, respectively</w:t>
      </w:r>
    </w:p>
    <w:p w14:paraId="3382F2F6" w14:textId="77777777" w:rsidR="00C9672D" w:rsidRPr="00B16285" w:rsidRDefault="00C9672D" w:rsidP="00C9672D">
      <w:pPr>
        <w:pStyle w:val="NormalBulleted"/>
      </w:pPr>
      <w:r w:rsidRPr="00B16285">
        <w:t xml:space="preserve">reduce low-utility radiology examinations from 6% to 2% when used with a CPOE. </w:t>
      </w:r>
    </w:p>
    <w:p w14:paraId="41AF9E22" w14:textId="77777777" w:rsidR="00C9672D" w:rsidRPr="00B16285" w:rsidRDefault="00C9672D" w:rsidP="00C9672D">
      <w:pPr>
        <w:pStyle w:val="Normalpara"/>
      </w:pPr>
      <w:r>
        <w:t xml:space="preserve">Department-level non–payer-based utilisation management </w:t>
      </w:r>
      <w:r w:rsidRPr="00B16285">
        <w:t>decreased the number of inappropriate outpatient imaging orders that were scheduled and performed from 5.4% to 1.9%</w:t>
      </w:r>
      <w:r>
        <w:t xml:space="preserve">. An administrative intervention to restrict available emergency laboratory tests and commonly repeated orders (coupled with educational feedback measures) </w:t>
      </w:r>
      <w:r w:rsidRPr="00B16285">
        <w:t>reduced the number of laboratory tests ordered per year by 19%. Requiring clinical justification for repeat CT orders decreased the number of repeat orders by 23%.</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0952653B" w14:textId="77777777" w:rsidR="00C9672D" w:rsidRDefault="00C9672D" w:rsidP="00C9672D">
      <w:pPr>
        <w:pStyle w:val="Normalpara"/>
      </w:pPr>
      <w:r w:rsidRPr="00B16285">
        <w:t>A separate study conclude</w:t>
      </w:r>
      <w:r>
        <w:t>d</w:t>
      </w:r>
      <w:r w:rsidRPr="00B16285">
        <w:t xml:space="preserve"> that HIE can reduce duplicate imaging for back pain and increase the odds of guideline adherence by 33%.</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39024AF8" w14:textId="77777777" w:rsidR="00C9672D" w:rsidRPr="00C935FE" w:rsidRDefault="00C9672D" w:rsidP="00C9672D">
      <w:pPr>
        <w:pStyle w:val="ApDHead4"/>
        <w:rPr>
          <w:rStyle w:val="Bold"/>
          <w:b w:val="0"/>
        </w:rPr>
      </w:pPr>
      <w:r w:rsidRPr="00C935FE">
        <w:rPr>
          <w:rStyle w:val="Bold"/>
        </w:rPr>
        <w:t>Guideline dissemination or implementation tools</w:t>
      </w:r>
    </w:p>
    <w:p w14:paraId="2802F153" w14:textId="77777777" w:rsidR="00C9672D" w:rsidRPr="00B16285" w:rsidRDefault="00C9672D" w:rsidP="00C9672D">
      <w:pPr>
        <w:pStyle w:val="BodyText1"/>
      </w:pPr>
      <w:r w:rsidRPr="00B16285">
        <w:t>Guideline implementation tools were investigated in one review, and guideline dissemination in another. Each review only included one relevant study.</w:t>
      </w:r>
      <w:r>
        <w:t xml:space="preserve"> In summary:</w:t>
      </w:r>
    </w:p>
    <w:p w14:paraId="13F0BFD7" w14:textId="77777777" w:rsidR="00C9672D" w:rsidRPr="00B16285" w:rsidRDefault="00C9672D" w:rsidP="00C9672D">
      <w:pPr>
        <w:pStyle w:val="NormalBulleted"/>
      </w:pPr>
      <w:r w:rsidRPr="00B16285">
        <w:t>adherence to guidelines for appropriate ordering of thyroid function tests increased from 62.0% to 77.9% after implementation of a memorandum pocket card and a test request form that indicated inappropriate tests.</w:t>
      </w:r>
      <w:r w:rsidRPr="00B16285">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rsidRPr="00B16285">
        <w:fldChar w:fldCharType="separate"/>
      </w:r>
      <w:r>
        <w:rPr>
          <w:noProof/>
        </w:rPr>
        <w:t>[5]</w:t>
      </w:r>
      <w:r w:rsidRPr="00B16285">
        <w:fldChar w:fldCharType="end"/>
      </w:r>
    </w:p>
    <w:p w14:paraId="15FC67E9" w14:textId="77777777" w:rsidR="00C9672D" w:rsidRPr="00B16285" w:rsidRDefault="00C9672D" w:rsidP="00C9672D">
      <w:pPr>
        <w:pStyle w:val="NormalBulleted"/>
      </w:pPr>
      <w:r>
        <w:lastRenderedPageBreak/>
        <w:t>p</w:t>
      </w:r>
      <w:r w:rsidRPr="00B16285">
        <w:t xml:space="preserve">ostal guideline dissemination </w:t>
      </w:r>
      <w:r>
        <w:t xml:space="preserve">decreased imaging </w:t>
      </w:r>
      <w:r w:rsidRPr="00B16285">
        <w:t xml:space="preserve">referrals </w:t>
      </w:r>
      <w:r>
        <w:t xml:space="preserve">by general practitioners by </w:t>
      </w:r>
      <w:r w:rsidRPr="00B16285">
        <w:t xml:space="preserve">7.7% in the first month after the intervention, </w:t>
      </w:r>
      <w:r>
        <w:t xml:space="preserve">however </w:t>
      </w:r>
      <w:r w:rsidRPr="00B16285">
        <w:t>the effect was not statistically significant or sustained over time.</w:t>
      </w:r>
      <w:r w:rsidRPr="00B16285">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rsidRPr="00B16285">
        <w:fldChar w:fldCharType="separate"/>
      </w:r>
      <w:r>
        <w:rPr>
          <w:noProof/>
        </w:rPr>
        <w:t>[10]</w:t>
      </w:r>
      <w:r w:rsidRPr="00B16285">
        <w:fldChar w:fldCharType="end"/>
      </w:r>
    </w:p>
    <w:p w14:paraId="0F2B1018" w14:textId="77777777" w:rsidR="00C9672D" w:rsidRPr="002A53F0" w:rsidRDefault="00C9672D" w:rsidP="00C9672D">
      <w:pPr>
        <w:pStyle w:val="ApDHead4"/>
      </w:pPr>
      <w:r w:rsidRPr="002A53F0">
        <w:t xml:space="preserve">Price </w:t>
      </w:r>
      <w:r w:rsidRPr="00FF7DD8">
        <w:t>display</w:t>
      </w:r>
    </w:p>
    <w:p w14:paraId="02150FE9" w14:textId="77777777" w:rsidR="00C9672D" w:rsidRDefault="00C9672D" w:rsidP="00C9672D">
      <w:pPr>
        <w:pStyle w:val="Normalpara"/>
      </w:pPr>
      <w:r w:rsidRPr="00B16285">
        <w:t>Price d</w:t>
      </w:r>
      <w:r>
        <w:t>isplay was investigated in four</w:t>
      </w:r>
      <w:r w:rsidRPr="00B16285">
        <w:t xml:space="preserve"> reviews.</w:t>
      </w:r>
      <w:r w:rsidRPr="00B16285">
        <w:fldChar w:fldCharType="begin">
          <w:fldData xml:space="preserve">PEVuZE5vdGU+PENpdGU+PEF1dGhvcj5DYWRvZ2FuPC9BdXRob3I+PFllYXI+MjAxNTwvWWVhcj48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PEVuZE5vdGU+PENpdGU+PEF1dGhvcj5DYWRvZ2FuPC9BdXRob3I+PFllYXI+MjAxNTwvWWVhcj48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</w:fldData>
        </w:fldChar>
      </w:r>
      <w:r>
        <w:instrText xml:space="preserve"> ADDIN EN.CITE.DATA </w:instrText>
      </w:r>
      <w:r>
        <w:fldChar w:fldCharType="end"/>
      </w:r>
      <w:r w:rsidRPr="00B16285">
        <w:fldChar w:fldCharType="separate"/>
      </w:r>
      <w:r>
        <w:rPr>
          <w:noProof/>
        </w:rPr>
        <w:t>[3,9,12,14]</w:t>
      </w:r>
      <w:r w:rsidRPr="00B16285">
        <w:fldChar w:fldCharType="end"/>
      </w:r>
      <w:r w:rsidRPr="00B16285">
        <w:t xml:space="preserve"> In two reviews meta-analys</w:t>
      </w:r>
      <w:r>
        <w:t>e</w:t>
      </w:r>
      <w:r w:rsidRPr="00B16285">
        <w:t xml:space="preserve">s </w:t>
      </w:r>
      <w:r>
        <w:t>were</w:t>
      </w:r>
      <w:r w:rsidRPr="00B16285">
        <w:t xml:space="preserve"> not performed due to study heterogeneity</w:t>
      </w:r>
      <w:r w:rsidRPr="00B16285">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rsidRPr="00B16285">
        <w:fldChar w:fldCharType="separate"/>
      </w:r>
      <w:r>
        <w:rPr>
          <w:noProof/>
        </w:rPr>
        <w:t>[9,14]</w:t>
      </w:r>
      <w:r w:rsidRPr="00B16285">
        <w:fldChar w:fldCharType="end"/>
      </w:r>
      <w:r w:rsidRPr="00B16285">
        <w:t xml:space="preserve"> and only a single relevant study was included in the third review.</w:t>
      </w:r>
      <w:r w:rsidRPr="00B16285">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B16285">
        <w:fldChar w:fldCharType="separate"/>
      </w:r>
      <w:r>
        <w:rPr>
          <w:noProof/>
        </w:rPr>
        <w:t>[3]</w:t>
      </w:r>
      <w:r w:rsidRPr="00B16285">
        <w:fldChar w:fldCharType="end"/>
      </w:r>
      <w:r>
        <w:t xml:space="preserve"> </w:t>
      </w:r>
      <w:r w:rsidRPr="00B16285">
        <w:t>Overall, price display was associated with reductions in cost and/or the number of tests ordered.</w:t>
      </w:r>
      <w:r w:rsidRPr="00B16285">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B16285">
        <w:fldChar w:fldCharType="separate"/>
      </w:r>
      <w:r>
        <w:rPr>
          <w:noProof/>
        </w:rPr>
        <w:t>[3,9,14]</w:t>
      </w:r>
      <w:r w:rsidRPr="00B16285">
        <w:fldChar w:fldCharType="end"/>
      </w:r>
    </w:p>
    <w:p w14:paraId="7D10110B" w14:textId="77777777" w:rsidR="00C9672D" w:rsidRPr="000770EC" w:rsidRDefault="00C9672D" w:rsidP="00C9672D">
      <w:pPr>
        <w:pStyle w:val="ApDHead4"/>
      </w:pPr>
      <w:r>
        <w:t>Reminders and alerts</w:t>
      </w:r>
    </w:p>
    <w:p w14:paraId="6C6AC410" w14:textId="77777777" w:rsidR="00C9672D" w:rsidRDefault="00C9672D" w:rsidP="00C9672D">
      <w:pPr>
        <w:pStyle w:val="Normalpara"/>
      </w:pPr>
      <w:r>
        <w:t xml:space="preserve">The implementation of reminders and alerts can </w:t>
      </w:r>
      <w:r w:rsidRPr="00247A77">
        <w:t>substantially affect inappropriate test orders</w:t>
      </w:r>
      <w:r>
        <w:t>.</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r>
        <w:t xml:space="preserve"> </w:t>
      </w:r>
    </w:p>
    <w:p w14:paraId="56F08E53" w14:textId="77777777" w:rsidR="00C9672D" w:rsidRPr="00B16285" w:rsidRDefault="00C9672D" w:rsidP="00C9672D">
      <w:pPr>
        <w:pStyle w:val="Normalpara"/>
      </w:pPr>
      <w:r w:rsidRPr="00247A77">
        <w:t xml:space="preserve">Prompts alerting physicians to non-compliance with guidelines </w:t>
      </w:r>
      <w:r>
        <w:t xml:space="preserve">was shown to </w:t>
      </w:r>
      <w:r w:rsidRPr="00247A77">
        <w:t>improve</w:t>
      </w:r>
      <w:r>
        <w:t xml:space="preserve"> compliance with</w:t>
      </w:r>
      <w:r w:rsidRPr="00247A77">
        <w:t xml:space="preserve"> guidelines</w:t>
      </w:r>
      <w:r>
        <w:t xml:space="preserve"> across a range of studies and settings, including</w:t>
      </w:r>
      <w:r w:rsidRPr="00247A77">
        <w:t xml:space="preserve"> neonatal intensive care units (</w:t>
      </w:r>
      <w:r>
        <w:t xml:space="preserve">reduction in transfusions </w:t>
      </w:r>
      <w:r w:rsidRPr="00247A77">
        <w:t>from 65% to 90%).</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Alerts were also effective</w:t>
      </w:r>
      <w:r w:rsidRPr="00247A77">
        <w:t xml:space="preserve"> to discontinue low-value car</w:t>
      </w:r>
      <w:r>
        <w:t>e, such as the use of</w:t>
      </w:r>
      <w:r w:rsidRPr="00247A77">
        <w:t xml:space="preserve"> electronic health record prompts to decrease or discontinue standing or repeat test orders after 72 hours,</w:t>
      </w:r>
      <w:r>
        <w:t xml:space="preserve"> significantly reducing testing, or discontinue redundant testing.</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rsidRPr="00247A77">
        <w:t xml:space="preserve"> </w:t>
      </w:r>
      <w:r>
        <w:t>This also applied to imaging studies, where decreases in radiology examinations were noted after prompts and reminders were implemented.</w:t>
      </w:r>
      <w:r>
        <w:fldChar w:fldCharType="begin">
          <w:fldData xml:space="preserve">PEVuZE5vdGU+PENpdGU+PEF1dGhvcj5KZW5raW5zPC9BdXRob3I+PFllYXI+MjAxNTwvWWVhcj48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aWV3czwvYWJici0xPjwvYWx0LXBlcmlvZGljYWw+PHBhZ2VzPkNEMDA2MDk0PC9wYWdlcz48bnVt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PEVuZE5vdGU+PENpdGU+PEF1dGhvcj5KZW5raW5zPC9BdXRob3I+PFllYXI+MjAxNTwvWWVhcj48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aWV3czwvYWJici0xPjwvYWx0LXBlcmlvZGljYWw+PHBhZ2VzPkNEMDA2MDk0PC9wYWdlcz48bnVt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[6,10]</w:t>
      </w:r>
      <w:r>
        <w:fldChar w:fldCharType="end"/>
      </w:r>
    </w:p>
    <w:p w14:paraId="6590F15F" w14:textId="77777777" w:rsidR="00C9672D" w:rsidRPr="001926CD" w:rsidRDefault="00C9672D" w:rsidP="00C9672D">
      <w:pPr>
        <w:pStyle w:val="ApDHead4"/>
      </w:pPr>
      <w:r w:rsidRPr="001926CD">
        <w:t>Education</w:t>
      </w:r>
    </w:p>
    <w:p w14:paraId="0488C6F2" w14:textId="77777777" w:rsidR="00C9672D" w:rsidRPr="00B16285" w:rsidRDefault="00C9672D" w:rsidP="00C9672D">
      <w:pPr>
        <w:pStyle w:val="Normalpara"/>
      </w:pPr>
      <w:r w:rsidRPr="00B16285">
        <w:t>Overall</w:t>
      </w:r>
      <w:r>
        <w:t>,</w:t>
      </w:r>
      <w:r w:rsidRPr="00B16285">
        <w:t xml:space="preserve"> educational intervention</w:t>
      </w:r>
      <w:r>
        <w:t>s</w:t>
      </w:r>
      <w:r w:rsidRPr="00B16285">
        <w:t xml:space="preserve"> demonstrated improvements in at least one of the assessed outcomes, including: </w:t>
      </w:r>
    </w:p>
    <w:p w14:paraId="0E44E7F1" w14:textId="77777777" w:rsidR="00C9672D" w:rsidRPr="00B16285" w:rsidRDefault="00C9672D" w:rsidP="00C9672D">
      <w:pPr>
        <w:pStyle w:val="NormalBulleted"/>
      </w:pPr>
      <w:r w:rsidRPr="00B16285">
        <w:t xml:space="preserve">improvement in compliance and behavioural change </w:t>
      </w:r>
      <w:r>
        <w:t>(</w:t>
      </w:r>
      <w:r w:rsidRPr="00B16285">
        <w:t>multicomponent intervention strategies</w:t>
      </w:r>
      <w:r>
        <w:t xml:space="preserve">; </w:t>
      </w:r>
      <w:r w:rsidRPr="00B16285">
        <w:t>in 5/7</w:t>
      </w:r>
      <w:r>
        <w:t xml:space="preserve"> reviews)</w:t>
      </w:r>
      <w:r w:rsidRPr="00B16285">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rsidRPr="00B16285">
        <w:fldChar w:fldCharType="separate"/>
      </w:r>
      <w:r>
        <w:rPr>
          <w:noProof/>
        </w:rPr>
        <w:t>[1,3,11,15,17]</w:t>
      </w:r>
      <w:r w:rsidRPr="00B16285">
        <w:fldChar w:fldCharType="end"/>
      </w:r>
    </w:p>
    <w:p w14:paraId="0482BA9B" w14:textId="77777777" w:rsidR="00C9672D" w:rsidRDefault="00C9672D" w:rsidP="00C9672D">
      <w:pPr>
        <w:pStyle w:val="NormalBulleted"/>
      </w:pPr>
      <w:r w:rsidRPr="00B16285">
        <w:t>improved rates of diagnostic imaging tests or laboratory test ordering (traditional education)</w:t>
      </w:r>
      <w:r w:rsidRPr="00B16285">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rsidRPr="00B16285">
        <w:fldChar w:fldCharType="separate"/>
      </w:r>
      <w:r>
        <w:rPr>
          <w:noProof/>
        </w:rPr>
        <w:t>[1,3,4,6,11,17]</w:t>
      </w:r>
      <w:r w:rsidRPr="00B16285">
        <w:fldChar w:fldCharType="end"/>
      </w:r>
    </w:p>
    <w:p w14:paraId="263D8CAD" w14:textId="77777777" w:rsidR="00C9672D" w:rsidRPr="00B16285" w:rsidRDefault="00C9672D" w:rsidP="00C9672D">
      <w:pPr>
        <w:pStyle w:val="NormalBulleted"/>
      </w:pPr>
      <w:r>
        <w:t>interactive small group strategies with problem solving and feedback can lead to modest improvements in test ordering in primary care.</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224A7D73" w14:textId="77777777" w:rsidR="00C9672D" w:rsidRPr="00B16285" w:rsidRDefault="00C9672D" w:rsidP="00C9672D">
      <w:pPr>
        <w:pStyle w:val="NormalBulleted"/>
      </w:pPr>
      <w:r w:rsidRPr="00B16285">
        <w:t>small improvements in rates of diagnostic imaging tests or laboratory test ordering (education with audit and feedback)</w:t>
      </w:r>
      <w:r w:rsidRPr="00B16285">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rsidRPr="00B16285">
        <w:fldChar w:fldCharType="separate"/>
      </w:r>
      <w:r>
        <w:rPr>
          <w:noProof/>
        </w:rPr>
        <w:t>[6,15,16]</w:t>
      </w:r>
      <w:r w:rsidRPr="00B16285">
        <w:fldChar w:fldCharType="end"/>
      </w:r>
    </w:p>
    <w:p w14:paraId="1EBB6BE3" w14:textId="77777777" w:rsidR="00C9672D" w:rsidRPr="00B16285" w:rsidRDefault="00C9672D" w:rsidP="00C9672D">
      <w:pPr>
        <w:pStyle w:val="NormalBulleted"/>
      </w:pPr>
      <w:r w:rsidRPr="00B16285">
        <w:t>reduction of inappropriate test use (multicomponent interventions)</w:t>
      </w:r>
      <w:r w:rsidRPr="00B16285">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 </w:instrText>
      </w:r>
      <w:r>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EN.CITE.DATA </w:instrText>
      </w:r>
      <w:r>
        <w:fldChar w:fldCharType="end"/>
      </w:r>
      <w:r w:rsidRPr="00B16285">
        <w:fldChar w:fldCharType="separate"/>
      </w:r>
      <w:r>
        <w:rPr>
          <w:noProof/>
        </w:rPr>
        <w:t>[1,3,6,15,17]</w:t>
      </w:r>
      <w:r w:rsidRPr="00B16285">
        <w:fldChar w:fldCharType="end"/>
      </w:r>
    </w:p>
    <w:p w14:paraId="1726A568" w14:textId="77777777" w:rsidR="00C9672D" w:rsidRPr="00B16285" w:rsidRDefault="00C9672D" w:rsidP="00C9672D">
      <w:pPr>
        <w:pStyle w:val="NormalBulleted"/>
      </w:pPr>
      <w:r w:rsidRPr="00B16285">
        <w:t>improvement in guideline-consistent GP behaviour (interventions including a patient-mediated component)</w:t>
      </w:r>
      <w:r w:rsidRPr="00B16285">
        <w:fldChar w:fldCharType="begin">
          <w:fldData xml:space="preserve">PEVuZE5vdGU+PENpdGU+PEF1dGhvcj5Uem9ydHppb3UgQnJvd248L0F1dGhvcj48WWVhcj4yMDE2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PjwvYWx0LXBlcmlvZGljYWw+PHBhZ2VzPkNEMDA3NDk1PC9wYWdlcz48bnVtYmVyPjU8L251bWJl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</w:fldData>
        </w:fldChar>
      </w:r>
      <w:r>
        <w:instrText xml:space="preserve"> ADDIN EN.CITE </w:instrText>
      </w:r>
      <w:r>
        <w:fldChar w:fldCharType="begin">
          <w:fldData xml:space="preserve">PEVuZE5vdGU+PENpdGU+PEF1dGhvcj5Uem9ydHppb3UgQnJvd248L0F1dGhvcj48WWVhcj4yMDE2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PjwvYWx0LXBlcmlvZGljYWw+PHBhZ2VzPkNEMDA3NDk1PC9wYWdlcz48bnVtYmVyPjU8L251bWJl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</w:fldData>
        </w:fldChar>
      </w:r>
      <w:r>
        <w:instrText xml:space="preserve"> ADDIN EN.CITE.DATA </w:instrText>
      </w:r>
      <w:r>
        <w:fldChar w:fldCharType="end"/>
      </w:r>
      <w:r w:rsidRPr="00B16285">
        <w:fldChar w:fldCharType="separate"/>
      </w:r>
      <w:r>
        <w:rPr>
          <w:noProof/>
        </w:rPr>
        <w:t>[11,16]</w:t>
      </w:r>
      <w:r w:rsidRPr="00B16285">
        <w:fldChar w:fldCharType="end"/>
      </w:r>
    </w:p>
    <w:p w14:paraId="40A43443" w14:textId="77777777" w:rsidR="00C9672D" w:rsidRDefault="00C9672D" w:rsidP="00C9672D">
      <w:pPr>
        <w:pStyle w:val="NormalBulleted"/>
      </w:pPr>
      <w:r w:rsidRPr="00B16285">
        <w:t>improvement in patient outcomes (referrals to physiotherapy, medicine prescribing rates, interactive educational, interventions including a patient-mediated component).</w:t>
      </w:r>
      <w:r w:rsidRPr="00B16285">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rsidRPr="00B16285">
        <w:fldChar w:fldCharType="separate"/>
      </w:r>
      <w:r>
        <w:rPr>
          <w:noProof/>
        </w:rPr>
        <w:t>[6,10,16]</w:t>
      </w:r>
      <w:r w:rsidRPr="00B16285">
        <w:fldChar w:fldCharType="end"/>
      </w:r>
    </w:p>
    <w:p w14:paraId="7675D1FE" w14:textId="77777777" w:rsidR="00C9672D" w:rsidRPr="00B16285" w:rsidRDefault="00C9672D" w:rsidP="00C9672D">
      <w:pPr>
        <w:pStyle w:val="Normalpara"/>
      </w:pPr>
      <w:r w:rsidRPr="00B16285">
        <w:t xml:space="preserve">Many interventions cited in </w:t>
      </w:r>
      <w:r>
        <w:t xml:space="preserve">the included </w:t>
      </w:r>
      <w:r w:rsidRPr="00B16285">
        <w:t xml:space="preserve">reviews were poorly defined or did not include data, </w:t>
      </w:r>
      <w:r>
        <w:t xml:space="preserve">thereby </w:t>
      </w:r>
      <w:r w:rsidRPr="00B16285">
        <w:t>precluding analysis. No conclusion can be drawn as to whether the direction of the targeted behaviour (that is, increasing or decreasing a behaviour) can affect the effectiveness of an intervention.</w:t>
      </w:r>
    </w:p>
    <w:p w14:paraId="2105ED71" w14:textId="77777777" w:rsidR="00C9672D" w:rsidRPr="00B16285" w:rsidRDefault="00C9672D" w:rsidP="00C9672D">
      <w:pPr>
        <w:pStyle w:val="Normalpara"/>
      </w:pPr>
      <w:r>
        <w:t>No</w:t>
      </w:r>
      <w:r w:rsidRPr="00B16285">
        <w:t xml:space="preserve"> review reported an optimal length of educational programs in terms of either number of sessions, frequency, or total time.</w:t>
      </w:r>
    </w:p>
    <w:p w14:paraId="7B72DEBD" w14:textId="77777777" w:rsidR="00C9672D" w:rsidRDefault="00C9672D" w:rsidP="00C9672D">
      <w:pPr>
        <w:pStyle w:val="Normalpara"/>
      </w:pPr>
      <w:r>
        <w:t>E</w:t>
      </w:r>
      <w:r w:rsidRPr="00B16285">
        <w:t xml:space="preserve">ducational interventions with potential </w:t>
      </w:r>
      <w:r>
        <w:t>for</w:t>
      </w:r>
      <w:r w:rsidRPr="00B16285">
        <w:t xml:space="preserve"> improving diagnostic imaging and laboratory test ordering include</w:t>
      </w:r>
      <w:r>
        <w:t>d</w:t>
      </w:r>
      <w:r w:rsidRPr="00B16285">
        <w:t xml:space="preserve"> those with an audit–feedback component, multi</w:t>
      </w:r>
      <w:r>
        <w:t>-</w:t>
      </w:r>
      <w:r w:rsidRPr="00B16285">
        <w:t>component interventions, and combined physician–patient-mediated strategies</w:t>
      </w:r>
      <w:r>
        <w:t xml:space="preserve">. </w:t>
      </w:r>
    </w:p>
    <w:p w14:paraId="00D7FEF0" w14:textId="77777777" w:rsidR="00C9672D" w:rsidRDefault="00C9672D" w:rsidP="00C9672D">
      <w:pPr>
        <w:pStyle w:val="Normalpara"/>
      </w:pPr>
      <w:r w:rsidRPr="00B16285">
        <w:lastRenderedPageBreak/>
        <w:t xml:space="preserve">Less-effective strategies included didactic education and passive dissemination strategies such as providing educational materials to clinicians in printed form. </w:t>
      </w:r>
    </w:p>
    <w:p w14:paraId="795BDD7A" w14:textId="77777777" w:rsidR="00C9672D" w:rsidRPr="000A10A6" w:rsidRDefault="00C9672D" w:rsidP="00C9672D">
      <w:pPr>
        <w:pStyle w:val="Normalpara"/>
      </w:pPr>
      <w:r>
        <w:t>It was noted that t</w:t>
      </w:r>
      <w:r w:rsidRPr="00360283">
        <w:t>he threshold of intervention intensity necessary to affect clinician behaviour in areas where there are substantial barriers to change may need to be higher</w:t>
      </w:r>
      <w:r>
        <w: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t xml:space="preserve"> The need for ongoing reinforcement of interventions to maintain effectiveness was also acknowledged.</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544C9C8A" w14:textId="77777777" w:rsidR="00C9672D" w:rsidRDefault="00C9672D" w:rsidP="00C9672D">
      <w:pPr>
        <w:pStyle w:val="Normalpara"/>
      </w:pPr>
      <w:r w:rsidRPr="00B16285">
        <w:t>Multicomponent intervention strategies resulted in significant improvements in compliance and behavioural change in most reviews (5/7).</w:t>
      </w:r>
      <w:r w:rsidRPr="00B16285">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rsidRPr="00B16285">
        <w:fldChar w:fldCharType="separate"/>
      </w:r>
      <w:r>
        <w:rPr>
          <w:noProof/>
        </w:rPr>
        <w:t>[1,3,11,15,17]</w:t>
      </w:r>
      <w:r w:rsidRPr="00B16285">
        <w:fldChar w:fldCharType="end"/>
      </w:r>
      <w:r w:rsidRPr="00B16285">
        <w:t xml:space="preserve"> A range of strategy combinations was described, although there was no conclusive evidence of any relationship between the number of components and strategy effectiveness. </w:t>
      </w:r>
    </w:p>
    <w:p w14:paraId="1A1E2BE2" w14:textId="77777777" w:rsidR="00C9672D" w:rsidRPr="001926CD" w:rsidRDefault="00C9672D" w:rsidP="00C9672D">
      <w:pPr>
        <w:pStyle w:val="ApDHead4"/>
      </w:pPr>
      <w:r w:rsidRPr="001926CD">
        <w:t>Audit and feedback</w:t>
      </w:r>
    </w:p>
    <w:p w14:paraId="12863719" w14:textId="77777777" w:rsidR="00C9672D" w:rsidRDefault="00C9672D" w:rsidP="00C9672D">
      <w:pPr>
        <w:pStyle w:val="Normalpara"/>
      </w:pPr>
      <w:r w:rsidRPr="00B16285">
        <w:t>Audit and feedback generally leads to small-to-moderate improvements in professional practice, including reductions in test ordering and inappropriate imaging.</w:t>
      </w:r>
      <w:r w:rsidRPr="00B16285">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rsidRPr="00B16285">
        <w:fldChar w:fldCharType="separate"/>
      </w:r>
      <w:r>
        <w:rPr>
          <w:noProof/>
        </w:rPr>
        <w:t>[1,11,17]</w:t>
      </w:r>
      <w:r w:rsidRPr="00B16285">
        <w:fldChar w:fldCharType="end"/>
      </w:r>
      <w:r w:rsidRPr="00B16285">
        <w:t xml:space="preserve"> However, many interventions cited in </w:t>
      </w:r>
      <w:r>
        <w:t xml:space="preserve">the included </w:t>
      </w:r>
      <w:r w:rsidRPr="00B16285">
        <w:t xml:space="preserve">reviews were poorly defined or did not include data, </w:t>
      </w:r>
      <w:r>
        <w:t xml:space="preserve">thereby </w:t>
      </w:r>
      <w:r w:rsidRPr="00B16285">
        <w:t xml:space="preserve">precluding analysis. </w:t>
      </w:r>
    </w:p>
    <w:p w14:paraId="41FC8430" w14:textId="77777777" w:rsidR="00C9672D" w:rsidRDefault="00C9672D" w:rsidP="00C9672D">
      <w:pPr>
        <w:pStyle w:val="Normalpara"/>
      </w:pPr>
      <w:r w:rsidRPr="00B16285">
        <w:t xml:space="preserve">Additionally, interventions were multifaceted; hence, their effects were dependent on the particular combination of strategies used. </w:t>
      </w:r>
    </w:p>
    <w:p w14:paraId="0F67F191" w14:textId="77777777" w:rsidR="00C9672D" w:rsidRDefault="00C9672D" w:rsidP="00C9672D">
      <w:pPr>
        <w:pStyle w:val="Normalpara"/>
      </w:pPr>
      <w:r w:rsidRPr="00B16285">
        <w:t>Multiple and repeated strategies are most likely necessary to maintain an effect</w:t>
      </w:r>
      <w:r>
        <w:t>.</w:t>
      </w:r>
      <w:r w:rsidRPr="00B16285">
        <w:t xml:space="preserve"> </w:t>
      </w:r>
    </w:p>
    <w:p w14:paraId="21AB1022" w14:textId="77777777" w:rsidR="00C9672D" w:rsidRDefault="00C9672D" w:rsidP="00C9672D">
      <w:pPr>
        <w:pStyle w:val="Normalpara"/>
      </w:pPr>
      <w:r w:rsidRPr="00B16285">
        <w:t>Overall, when clinicians were provided feedback on their use of low-value services compared with their peers, in addition to educational materials, large reductions in laboratory testing and imaging were observed.</w:t>
      </w:r>
      <w:r w:rsidRPr="00B16285">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rsidRPr="00B16285">
        <w:fldChar w:fldCharType="separate"/>
      </w:r>
      <w:r>
        <w:rPr>
          <w:noProof/>
        </w:rPr>
        <w:t>[1,11]</w:t>
      </w:r>
      <w:r w:rsidRPr="00B16285">
        <w:fldChar w:fldCharType="end"/>
      </w:r>
      <w:r>
        <w:t xml:space="preserve"> One review emphasised the role of feedback in successful learning, noting that facilitation of reflective practice, such as providing feedback from mentors and educators or asking reflective questions regarding decisions related to laboratory ordering or prescribing to give trainees insight into their past and current behaviour was key to accomplishing lasting practice change.</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3A96B4A1" w14:textId="77777777" w:rsidR="00C9672D" w:rsidRPr="001926CD" w:rsidRDefault="00C9672D" w:rsidP="00C9672D">
      <w:pPr>
        <w:pStyle w:val="ApDHead4"/>
      </w:pPr>
      <w:r w:rsidRPr="001926CD">
        <w:t>Payment systems</w:t>
      </w:r>
    </w:p>
    <w:p w14:paraId="429C5AE1" w14:textId="77777777" w:rsidR="00C9672D" w:rsidRPr="00B16285" w:rsidRDefault="00C9672D" w:rsidP="00C9672D">
      <w:pPr>
        <w:pStyle w:val="Normalpara"/>
      </w:pPr>
      <w:r>
        <w:t>P</w:t>
      </w:r>
      <w:r w:rsidRPr="00B16285">
        <w:t>ay-for-performance substantially reduced laboratory test utilisation</w:t>
      </w:r>
      <w:r>
        <w:t>.</w:t>
      </w:r>
      <w:r w:rsidRPr="00B16285">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 </w:instrText>
      </w:r>
      <w:r>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EN.CITE.DATA </w:instrText>
      </w:r>
      <w:r>
        <w:fldChar w:fldCharType="end"/>
      </w:r>
      <w:r w:rsidRPr="00B16285">
        <w:fldChar w:fldCharType="separate"/>
      </w:r>
      <w:r>
        <w:rPr>
          <w:noProof/>
        </w:rPr>
        <w:t>[1,11]</w:t>
      </w:r>
      <w:r w:rsidRPr="00B16285">
        <w:fldChar w:fldCharType="end"/>
      </w:r>
      <w:r w:rsidRPr="00B16285">
        <w:t xml:space="preserve"> </w:t>
      </w:r>
      <w:r>
        <w:t>T</w:t>
      </w:r>
      <w:r w:rsidRPr="00B16285">
        <w:t>hird-party review and prepaid insurance plans reduced the utilisation of imaging, diagnostic or laboratory tests</w:t>
      </w:r>
      <w:r>
        <w:t>.</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r w:rsidRPr="00B16285">
        <w:t xml:space="preserve"> </w:t>
      </w:r>
      <w:r>
        <w:t>E</w:t>
      </w:r>
      <w:r w:rsidRPr="00B16285">
        <w:t>ducation on the utility and cost of testing combined with fines for overuse reduced rates of laboratory test ordering.</w:t>
      </w:r>
      <w:r w:rsidRPr="00B16285">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rsidRPr="00B16285">
        <w:fldChar w:fldCharType="separate"/>
      </w:r>
      <w:r>
        <w:rPr>
          <w:noProof/>
        </w:rPr>
        <w:t>[17]</w:t>
      </w:r>
      <w:r w:rsidRPr="00B16285">
        <w:fldChar w:fldCharType="end"/>
      </w:r>
    </w:p>
    <w:p w14:paraId="03575424" w14:textId="77777777" w:rsidR="00C9672D" w:rsidRDefault="00C9672D" w:rsidP="00C9672D">
      <w:pPr>
        <w:pStyle w:val="Normalpara"/>
      </w:pPr>
      <w:r w:rsidRPr="00B16285">
        <w:t xml:space="preserve">However, these results were only derived from </w:t>
      </w:r>
      <w:r>
        <w:t xml:space="preserve">a limited number of </w:t>
      </w:r>
      <w:r w:rsidRPr="00B16285">
        <w:t>reviews, and each of these only provided a narrative report of individual studies.</w:t>
      </w:r>
      <w:r w:rsidRPr="00B16285">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rsidRPr="00B16285">
        <w:fldChar w:fldCharType="separate"/>
      </w:r>
      <w:r>
        <w:rPr>
          <w:noProof/>
        </w:rPr>
        <w:t>[1,11,17]</w:t>
      </w:r>
      <w:r w:rsidRPr="00B16285">
        <w:fldChar w:fldCharType="end"/>
      </w:r>
    </w:p>
    <w:p w14:paraId="484399DB" w14:textId="77777777" w:rsidR="00C9672D" w:rsidRPr="00FF7DD8" w:rsidRDefault="00C9672D" w:rsidP="00C9672D">
      <w:pPr>
        <w:pStyle w:val="Normalpara"/>
      </w:pPr>
      <w:r>
        <w:t>Overall, p</w:t>
      </w:r>
      <w:r w:rsidRPr="00B16285">
        <w:t>ay-for-performance interventions must be carefully stratified to minimise risk of reductions to appropriate care; risk sharing has been incompletely tested for low-value care; and further research is needed on the effectiveness of pay-for-performance, insurer restrictions, and risk-sharing.</w:t>
      </w:r>
      <w:r w:rsidRPr="00B16285">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B16285">
        <w:fldChar w:fldCharType="separate"/>
      </w:r>
      <w:r>
        <w:rPr>
          <w:noProof/>
        </w:rPr>
        <w:t>[1]</w:t>
      </w:r>
      <w:r w:rsidRPr="00B16285">
        <w:fldChar w:fldCharType="end"/>
      </w:r>
    </w:p>
    <w:p w14:paraId="647249E9" w14:textId="77777777" w:rsidR="00C9672D" w:rsidRPr="001926CD" w:rsidRDefault="00C9672D" w:rsidP="00C9672D">
      <w:pPr>
        <w:pStyle w:val="ApDHead4"/>
      </w:pPr>
      <w:r w:rsidRPr="001926CD">
        <w:t>Quality improvement</w:t>
      </w:r>
    </w:p>
    <w:p w14:paraId="0F8A6A4E" w14:textId="77777777" w:rsidR="00C9672D" w:rsidRPr="00B16285" w:rsidRDefault="00C9672D" w:rsidP="00C9672D">
      <w:pPr>
        <w:pStyle w:val="Normalpara"/>
      </w:pPr>
      <w:r w:rsidRPr="00B16285">
        <w:t>All of the five included reviews investigated modifications or restrictions to referral or order forms.</w:t>
      </w:r>
      <w:r w:rsidRPr="00B16285">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B16285">
        <w:fldChar w:fldCharType="separate"/>
      </w:r>
      <w:r>
        <w:rPr>
          <w:noProof/>
        </w:rPr>
        <w:t>[3,4,10,17,19]</w:t>
      </w:r>
      <w:r w:rsidRPr="00B16285">
        <w:fldChar w:fldCharType="end"/>
      </w:r>
    </w:p>
    <w:p w14:paraId="4C1CF313" w14:textId="77777777" w:rsidR="00C9672D" w:rsidRPr="00B16285" w:rsidRDefault="00C9672D" w:rsidP="00C9672D">
      <w:pPr>
        <w:pStyle w:val="Normalpara"/>
      </w:pPr>
      <w:r w:rsidRPr="00B16285">
        <w:t xml:space="preserve">The main body of evidence was derived from three </w:t>
      </w:r>
      <w:r>
        <w:t>r</w:t>
      </w:r>
      <w:r w:rsidRPr="00B16285">
        <w:t>eviews, which did not conduct meta-analyses and instead reported the results of individual studies.</w:t>
      </w:r>
      <w:r w:rsidRPr="00B16285">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rsidRPr="00B16285">
        <w:fldChar w:fldCharType="separate"/>
      </w:r>
      <w:r>
        <w:rPr>
          <w:noProof/>
        </w:rPr>
        <w:t>[10,17,19]</w:t>
      </w:r>
      <w:r w:rsidRPr="00B16285">
        <w:fldChar w:fldCharType="end"/>
      </w:r>
      <w:r>
        <w:t xml:space="preserve"> </w:t>
      </w:r>
      <w:r w:rsidRPr="00B16285">
        <w:t>Imaging was reduced by 22.5%</w:t>
      </w:r>
      <w:r>
        <w:t>–</w:t>
      </w:r>
      <w:r w:rsidRPr="00B16285">
        <w:t>36.8% after modification to a referral or order form,</w:t>
      </w:r>
      <w:r w:rsidRPr="00B16285">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rsidRPr="00B16285">
        <w:fldChar w:fldCharType="separate"/>
      </w:r>
      <w:r>
        <w:rPr>
          <w:noProof/>
        </w:rPr>
        <w:t>[10,17]</w:t>
      </w:r>
      <w:r w:rsidRPr="00B16285">
        <w:fldChar w:fldCharType="end"/>
      </w:r>
      <w:r w:rsidRPr="00B16285">
        <w:t xml:space="preserve"> whereas request rates for laboratory tests decreased by </w:t>
      </w:r>
      <w:r>
        <w:t xml:space="preserve">between </w:t>
      </w:r>
      <w:r w:rsidRPr="00B16285">
        <w:t xml:space="preserve">2% </w:t>
      </w:r>
      <w:r>
        <w:t>and</w:t>
      </w:r>
      <w:r w:rsidRPr="00B16285">
        <w:t xml:space="preserve"> 100% after modification of order forms.</w:t>
      </w:r>
      <w:r w:rsidRPr="00B16285">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rsidRPr="00B16285">
        <w:fldChar w:fldCharType="separate"/>
      </w:r>
      <w:r>
        <w:rPr>
          <w:noProof/>
        </w:rPr>
        <w:t>[19]</w:t>
      </w:r>
      <w:r w:rsidRPr="00B16285">
        <w:fldChar w:fldCharType="end"/>
      </w:r>
    </w:p>
    <w:p w14:paraId="0DA5F759" w14:textId="77777777" w:rsidR="00C9672D" w:rsidRDefault="00C9672D" w:rsidP="00C9672D">
      <w:pPr>
        <w:pStyle w:val="Normalpara"/>
      </w:pPr>
      <w:r w:rsidRPr="00B16285">
        <w:t xml:space="preserve">Most data </w:t>
      </w:r>
      <w:r>
        <w:t xml:space="preserve">in the review by </w:t>
      </w:r>
      <w:r w:rsidRPr="00B16285">
        <w:t xml:space="preserve">were derived from one study, </w:t>
      </w:r>
      <w:r>
        <w:t xml:space="preserve">by </w:t>
      </w:r>
      <w:r w:rsidRPr="00B16285">
        <w:t>Thomas et al. (2015)</w:t>
      </w:r>
      <w:r>
        <w:t xml:space="preserve">, </w:t>
      </w:r>
      <w:r w:rsidRPr="00B16285">
        <w:t>which highlighted the limitations of the findings: the rationale for choosing specific tests was often not explained, most studies targeted a few tests for several months, and the tests and test volumes differed widely across studies.</w:t>
      </w:r>
      <w:r w:rsidRPr="00B16285">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rsidRPr="00B16285">
        <w:fldChar w:fldCharType="separate"/>
      </w:r>
      <w:r>
        <w:rPr>
          <w:noProof/>
        </w:rPr>
        <w:t>[19]</w:t>
      </w:r>
      <w:r w:rsidRPr="00B16285">
        <w:fldChar w:fldCharType="end"/>
      </w:r>
    </w:p>
    <w:p w14:paraId="330EC3D6" w14:textId="77777777" w:rsidR="00C9672D" w:rsidRPr="00B16285" w:rsidRDefault="00C9672D" w:rsidP="00C9672D">
      <w:pPr>
        <w:pStyle w:val="Normalpara"/>
      </w:pPr>
      <w:r>
        <w:lastRenderedPageBreak/>
        <w:t>This review noted</w:t>
      </w:r>
      <w:r w:rsidRPr="00B16285">
        <w:t xml:space="preserve"> there was a reduction in request rates for laboratory tests after modification of order forms to:</w:t>
      </w:r>
      <w:r w:rsidRPr="00B16285">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rsidRPr="00B16285">
        <w:fldChar w:fldCharType="separate"/>
      </w:r>
      <w:r>
        <w:rPr>
          <w:noProof/>
        </w:rPr>
        <w:t>[19]</w:t>
      </w:r>
      <w:r w:rsidRPr="00B16285">
        <w:fldChar w:fldCharType="end"/>
      </w:r>
    </w:p>
    <w:p w14:paraId="587BAC8D" w14:textId="77777777" w:rsidR="00C9672D" w:rsidRPr="00B16285" w:rsidRDefault="00C9672D" w:rsidP="00C9672D">
      <w:pPr>
        <w:pStyle w:val="NormalBulleted"/>
      </w:pPr>
      <w:r w:rsidRPr="00B16285">
        <w:t xml:space="preserve">remove separate individual tests from groups of tests (2% to 58% reduction, depending on the test) </w:t>
      </w:r>
    </w:p>
    <w:p w14:paraId="1B9785D3" w14:textId="77777777" w:rsidR="00C9672D" w:rsidRPr="00B16285" w:rsidRDefault="00C9672D" w:rsidP="00C9672D">
      <w:pPr>
        <w:pStyle w:val="NormalBulleted"/>
      </w:pPr>
      <w:r w:rsidRPr="00B16285">
        <w:t>reduce the total number of tests included on an order form (17% to 79% reduction, depending on the test and study)</w:t>
      </w:r>
    </w:p>
    <w:p w14:paraId="1EF5B902" w14:textId="77777777" w:rsidR="00C9672D" w:rsidRPr="00B16285" w:rsidRDefault="00C9672D" w:rsidP="00C9672D">
      <w:pPr>
        <w:pStyle w:val="NormalBulleted"/>
      </w:pPr>
      <w:r w:rsidRPr="00B16285">
        <w:t>deny family physicians the option to order certain tests (100% reduction)</w:t>
      </w:r>
    </w:p>
    <w:p w14:paraId="53C754E5" w14:textId="77777777" w:rsidR="00C9672D" w:rsidRPr="00B16285" w:rsidRDefault="00C9672D" w:rsidP="00C9672D">
      <w:pPr>
        <w:pStyle w:val="NormalBulleted"/>
      </w:pPr>
      <w:r w:rsidRPr="00B16285">
        <w:t>justify costs over a specified value (61% reduction)</w:t>
      </w:r>
    </w:p>
    <w:p w14:paraId="2110C6DC" w14:textId="77777777" w:rsidR="00C9672D" w:rsidRPr="00B16285" w:rsidRDefault="00C9672D" w:rsidP="00C9672D">
      <w:pPr>
        <w:pStyle w:val="NormalBulleted"/>
      </w:pPr>
      <w:r w:rsidRPr="00B16285">
        <w:t xml:space="preserve">re-organise tests into screening, tests to assess the extent of a problem, and tests to fully evaluate a problem (2% reduction, 3 months after the intervention). </w:t>
      </w:r>
    </w:p>
    <w:p w14:paraId="1BA9AE74" w14:textId="77777777" w:rsidR="00C9672D" w:rsidRDefault="00C9672D" w:rsidP="00C9672D">
      <w:pPr>
        <w:rPr>
          <w:rFonts w:asciiTheme="majorHAnsi" w:hAnsiTheme="majorHAnsi"/>
          <w:iCs/>
          <w:color w:val="1F497D" w:themeColor="text2"/>
          <w:kern w:val="32"/>
          <w:sz w:val="32"/>
          <w:szCs w:val="28"/>
        </w:rPr>
      </w:pPr>
      <w:bookmarkStart w:id="327" w:name="_Toc481582804"/>
      <w:r>
        <w:br w:type="page"/>
      </w:r>
    </w:p>
    <w:p w14:paraId="57966B63" w14:textId="77777777" w:rsidR="00C9672D" w:rsidRDefault="00C9672D" w:rsidP="00C9672D">
      <w:pPr>
        <w:pStyle w:val="Heading2Report"/>
      </w:pPr>
      <w:bookmarkStart w:id="328" w:name="_Toc498516989"/>
      <w:bookmarkStart w:id="329" w:name="_Toc525816121"/>
      <w:r>
        <w:lastRenderedPageBreak/>
        <w:t>Conclusion</w:t>
      </w:r>
      <w:bookmarkEnd w:id="327"/>
      <w:bookmarkEnd w:id="328"/>
      <w:bookmarkEnd w:id="329"/>
    </w:p>
    <w:p w14:paraId="40A2873D" w14:textId="77777777" w:rsidR="00C9672D" w:rsidRPr="00B16285" w:rsidRDefault="00C9672D" w:rsidP="00C9672D">
      <w:pPr>
        <w:pStyle w:val="Normalpara"/>
      </w:pPr>
      <w:r>
        <w:t>Continuing medical education is necessary for physician knowledge and methods that could be described as traditional, such as didactic conferences or printed materials, are important to affect physician knowledge or attitude. However, the most successful interventions combined education with peer review, feedback, and administrative (order entry) changes.</w:t>
      </w:r>
      <w:r>
        <w:fldChar w:fldCharType="begin">
          <w:fldData xml:space="preserve">PEVuZE5vdGU+PENpdGU+PEF1dGhvcj5Lb2Jld2thPC9BdXRob3I+PFllYXI+MjAxNTwvWWVhcj48
UmVjTnVtPjkwPC9SZWNOdW0+PERpc3BsYXlUZXh0PlszLDExXTwvRGlzcGxheVRleHQ+PHJlY29y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PjxBdXRob3I+Q2Fkb2dhbjwvQXV0aG9yPjxZZWFyPjIwMTU8L1llYXI+PFJlY051bT4xMDk8L1Jl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</w:fldData>
        </w:fldChar>
      </w:r>
      <w:r>
        <w:instrText xml:space="preserve"> ADDIN EN.CITE </w:instrText>
      </w:r>
      <w:r>
        <w:fldChar w:fldCharType="begin">
          <w:fldData xml:space="preserve">PEVuZE5vdGU+PENpdGU+PEF1dGhvcj5Lb2Jld2thPC9BdXRob3I+PFllYXI+MjAxNTwvWWVhcj48
UmVjTnVtPjkwPC9SZWNOdW0+PERpc3BsYXlUZXh0PlszLDExXTwvRGlzcGxheVRleHQ+PHJlY29y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PjxBdXRob3I+Q2Fkb2dhbjwvQXV0aG9yPjxZZWFyPjIwMTU8L1llYXI+PFJlY051bT4xMDk8L1Jl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</w:fldData>
        </w:fldChar>
      </w:r>
      <w:r>
        <w:instrText xml:space="preserve"> ADDIN EN.CITE.DATA </w:instrText>
      </w:r>
      <w:r>
        <w:fldChar w:fldCharType="end"/>
      </w:r>
      <w:r>
        <w:fldChar w:fldCharType="separate"/>
      </w:r>
      <w:r>
        <w:rPr>
          <w:noProof/>
        </w:rPr>
        <w:t>[3,11]</w:t>
      </w:r>
      <w:r>
        <w:fldChar w:fldCharType="end"/>
      </w:r>
      <w:r>
        <w:t xml:space="preserve"> M</w:t>
      </w:r>
      <w:r w:rsidRPr="00B16285">
        <w:t>ulti</w:t>
      </w:r>
      <w:r>
        <w:t>-</w:t>
      </w:r>
      <w:r w:rsidRPr="00B16285">
        <w:t xml:space="preserve">component </w:t>
      </w:r>
      <w:r>
        <w:t xml:space="preserve">educational </w:t>
      </w:r>
      <w:r w:rsidRPr="00B16285">
        <w:t>intervention strategies may result in significant improvements in compliance and behavioural change</w:t>
      </w:r>
      <w:r>
        <w:t>.</w:t>
      </w:r>
      <w:r w:rsidRPr="00B16285">
        <w:t xml:space="preserve"> </w:t>
      </w:r>
      <w:r>
        <w:t>Targeted education for junior trainees in teaching hospital settings or via senior educators and physicians can be an effective strategy to improve appropriate care and reduce waste.</w: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 </w:instrTex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EN.CITE.DATA </w:instrText>
      </w:r>
      <w:r>
        <w:fldChar w:fldCharType="end"/>
      </w:r>
      <w:r>
        <w:fldChar w:fldCharType="separate"/>
      </w:r>
      <w:r>
        <w:rPr>
          <w:noProof/>
        </w:rPr>
        <w:t>[11,17]</w:t>
      </w:r>
      <w:r>
        <w:fldChar w:fldCharType="end"/>
      </w:r>
    </w:p>
    <w:p w14:paraId="362AF392" w14:textId="77777777" w:rsidR="00C9672D" w:rsidRDefault="00C9672D" w:rsidP="00C9672D">
      <w:pPr>
        <w:pStyle w:val="Normalpara"/>
      </w:pPr>
      <w:r>
        <w:t>Small group strategies with problem solving and feedback can lead to modest improvements in test ordering in primary care. No inference can be made as to timing of strategies within multi-component interventions, that is for example, whether education should precede administrative or other changes, and what is the optimal time frame for subsequent audit and feedback. Sequential or longitudinal components may be more effective.</w:t>
      </w:r>
    </w:p>
    <w:p w14:paraId="28CEFBA9" w14:textId="6BAC4568" w:rsidR="00C9672D" w:rsidRPr="000639AC" w:rsidRDefault="00C9672D" w:rsidP="00C9672D">
      <w:pPr>
        <w:pStyle w:val="Normalpara"/>
      </w:pPr>
      <w:r>
        <w:t>Top-down administrative changes or ‘enabling’ strategies are effective, with</w:t>
      </w:r>
      <w:r w:rsidRPr="00B16285">
        <w:t xml:space="preserve"> evidence to suggest that </w:t>
      </w:r>
      <w:r w:rsidR="00151388">
        <w:t>CDS</w:t>
      </w:r>
      <w:r w:rsidRPr="00B16285">
        <w:t xml:space="preserve"> interventions improve the appropriateness of diagnostic imaging and pathology tests requested by health professionals, with CPOE or CDSS appearing to have the greatest body of evidence. </w:t>
      </w:r>
      <w:r w:rsidRPr="00B16285">
        <w:rPr>
          <w:color w:val="000000"/>
          <w:szCs w:val="18"/>
        </w:rPr>
        <w:t>Modifying systems such as order entry can change physician behavio</w:t>
      </w:r>
      <w:r>
        <w:rPr>
          <w:color w:val="000000"/>
          <w:szCs w:val="18"/>
        </w:rPr>
        <w:t>u</w:t>
      </w:r>
      <w:r w:rsidRPr="00B16285">
        <w:rPr>
          <w:color w:val="000000"/>
          <w:szCs w:val="18"/>
        </w:rPr>
        <w:t>r, encouraging greater interaction with the decision support system,</w:t>
      </w:r>
      <w:r>
        <w:rPr>
          <w:color w:val="000000"/>
          <w:szCs w:val="18"/>
        </w:rPr>
        <w:t xml:space="preserve"> </w:t>
      </w:r>
      <w:r w:rsidRPr="00B16285">
        <w:rPr>
          <w:color w:val="000000"/>
          <w:szCs w:val="18"/>
        </w:rPr>
        <w:t>resul</w:t>
      </w:r>
      <w:r>
        <w:rPr>
          <w:color w:val="000000"/>
          <w:szCs w:val="18"/>
        </w:rPr>
        <w:t xml:space="preserve">ting in fewer low-yield orders. </w:t>
      </w:r>
      <w:r>
        <w:t>M</w:t>
      </w:r>
      <w:r w:rsidRPr="00B16285">
        <w:t>odifications or restrictions to test order forms may improve the appropriateness of diagnostic imaging and pathology tests</w:t>
      </w:r>
      <w:r>
        <w:t xml:space="preserve">. Reminders and alerts embedded into the process of care can </w:t>
      </w:r>
      <w:r w:rsidRPr="00247A77">
        <w:rPr>
          <w:color w:val="000000"/>
        </w:rPr>
        <w:t>substantially affect inappropriate test orders</w:t>
      </w:r>
      <w:r>
        <w:rPr>
          <w:color w:val="000000"/>
        </w:rPr>
        <w:t>.</w:t>
      </w:r>
    </w:p>
    <w:p w14:paraId="27995125" w14:textId="77777777" w:rsidR="00C9672D" w:rsidRDefault="00C9672D" w:rsidP="00C9672D">
      <w:pPr>
        <w:pStyle w:val="Normalpara"/>
      </w:pPr>
      <w:r>
        <w:t>Although price display has not consistently shown to be effective, cost-awareness strategies are easy to implement and less time and labour intensive than active education, and are hence worthy of consideration.</w:t>
      </w:r>
    </w:p>
    <w:p w14:paraId="3FCACE9C" w14:textId="77777777" w:rsidR="00C9672D" w:rsidRDefault="00C9672D" w:rsidP="00C9672D">
      <w:pPr>
        <w:pStyle w:val="Normalpara"/>
      </w:pPr>
      <w:r w:rsidRPr="00B16285">
        <w:t>Audit and feedback generally leads to small-to-moderate improvements in professional practice</w:t>
      </w:r>
      <w:r>
        <w:t>; comparison with peers can lead to effective behaviour change. Chart review and feedback about practice have been shown to be effective in reducing laboratory utilisation, and reducing unnecessary blood transfusions. Interventions that employed physician audit and feedback were associated with significantly lower odds of inappropriate cardiac testing, particularly in hospital settings. However, strategies based on addressing clinical problems and associated tests can be effective in primary care.</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r>
        <w:t xml:space="preserve"> In this review, decreases in unnecessary laboratory tests were not accompanied by decreases in clinically indicated appropriate testing.</w:t>
      </w:r>
    </w:p>
    <w:p w14:paraId="62650C2A" w14:textId="77777777" w:rsidR="00C9672D" w:rsidRPr="009B6256" w:rsidRDefault="00C9672D" w:rsidP="00C9672D">
      <w:pPr>
        <w:pStyle w:val="Normalpara"/>
      </w:pPr>
      <w:r w:rsidRPr="009B6256">
        <w:t>This literature review has a number of limitations, which should be considered when interpreting the findings.</w:t>
      </w:r>
    </w:p>
    <w:p w14:paraId="59908AC3" w14:textId="77777777" w:rsidR="00C9672D" w:rsidRPr="009B6256" w:rsidRDefault="00C9672D" w:rsidP="00C9672D">
      <w:pPr>
        <w:pStyle w:val="Normalpara"/>
        <w:rPr>
          <w:color w:val="000000"/>
        </w:rPr>
      </w:pPr>
      <w:r w:rsidRPr="009B6256">
        <w:t xml:space="preserve">This was a rapid review with a broad scope. As a result, only systematic reviews were considered for inclusion, sources of grey literature were not searched and </w:t>
      </w:r>
      <w:r w:rsidRPr="009B6256">
        <w:rPr>
          <w:color w:val="000000"/>
        </w:rPr>
        <w:t>data from the included reviews were not re-analysed</w:t>
      </w:r>
      <w:r>
        <w:rPr>
          <w:color w:val="000000"/>
        </w:rPr>
        <w:t xml:space="preserve">. Therefore, </w:t>
      </w:r>
      <w:r w:rsidRPr="009B6256">
        <w:rPr>
          <w:color w:val="000000"/>
        </w:rPr>
        <w:t>this literature review has largely relied on the reporting, analysis and interpretation of the authors of the included reviews</w:t>
      </w:r>
      <w:r>
        <w:rPr>
          <w:color w:val="000000"/>
        </w:rPr>
        <w:t xml:space="preserve"> and </w:t>
      </w:r>
      <w:r w:rsidRPr="00AD1C9F">
        <w:rPr>
          <w:color w:val="000000"/>
        </w:rPr>
        <w:t>some relevant studies may not have been included</w:t>
      </w:r>
      <w:r w:rsidRPr="009B6256">
        <w:rPr>
          <w:color w:val="000000"/>
        </w:rPr>
        <w:t>.</w:t>
      </w:r>
    </w:p>
    <w:p w14:paraId="19283D13" w14:textId="77777777" w:rsidR="00C9672D" w:rsidRDefault="00C9672D" w:rsidP="00C9672D">
      <w:pPr>
        <w:pStyle w:val="Normalpara"/>
      </w:pPr>
      <w:r w:rsidRPr="009B6256">
        <w:t>In addition, it was not possible to perform a detailed analysis of interventions to determine which individual components lead to the greatest improvements in outcomes</w:t>
      </w:r>
      <w:r>
        <w:t xml:space="preserve">, and this review did not investigate whether greater improvements in outcomes would occur with data derived specifically from large-scale or accredited data or educational or programs. Terminology is inconsistent across the literature, particularly with what is considered an educational intervention. Many educational interventions with an interactive component (such as case discussions, practice sessions, and didactic activities that permit peer discussion and case-based learning also included other educational strategies) also commonly included strategies such as guideline dissemination, and were considered multi-component for this reason. This is not to say that these particular educational efforts are not </w:t>
      </w:r>
      <w:r>
        <w:lastRenderedPageBreak/>
        <w:t xml:space="preserve">worthwhile. It is readily apparent that education, while necessary, is insufficient alone and must be combined with other modalities to be effective. </w:t>
      </w:r>
    </w:p>
    <w:p w14:paraId="37BBBA66" w14:textId="77777777" w:rsidR="00C9672D" w:rsidRDefault="00C9672D" w:rsidP="00C9672D">
      <w:pPr>
        <w:pStyle w:val="Normalpara"/>
      </w:pPr>
      <w:r>
        <w:t xml:space="preserve">Baseline rates of inappropriate testing were low in some included studies; improving on low levels of inappropriate testing with some simple interventions may be unlikely. </w:t>
      </w:r>
    </w:p>
    <w:p w14:paraId="37EAB33F" w14:textId="77777777" w:rsidR="00C9672D" w:rsidRPr="00DB3E37" w:rsidRDefault="00C9672D" w:rsidP="00C9672D">
      <w:pPr>
        <w:pStyle w:val="Normalpara"/>
      </w:pPr>
      <w:r>
        <w:t>Some</w:t>
      </w:r>
      <w:r w:rsidRPr="0037570E">
        <w:t xml:space="preserve"> of the interventions have questionable generalisability</w:t>
      </w:r>
      <w:r>
        <w:t>; opportunities for reducing overuse locally, based on local driving and restraining forces, may determine what is clinically and financially feasible and meaningful.</w:t>
      </w:r>
    </w:p>
    <w:p w14:paraId="41EB49B5" w14:textId="77777777" w:rsidR="00C9672D" w:rsidRDefault="00C9672D" w:rsidP="00C9672D">
      <w:pPr>
        <w:pStyle w:val="Normalpara"/>
      </w:pPr>
      <w:r>
        <w:t>No conclusions can be made as to the impact of stakeholders, including end users, or perceived needs of end users, from this review. Involvement of end users from the outset in the design and implementation of interventions may significantly ensure buy-in.</w:t>
      </w:r>
    </w:p>
    <w:p w14:paraId="7A778C14" w14:textId="77777777" w:rsidR="00C9672D" w:rsidRDefault="00C9672D" w:rsidP="00C9672D">
      <w:pPr>
        <w:pStyle w:val="Normalpara"/>
        <w:rPr>
          <w:color w:val="000000"/>
        </w:rPr>
      </w:pPr>
    </w:p>
    <w:p w14:paraId="5745C79C" w14:textId="77777777" w:rsidR="00C9672D" w:rsidRPr="00417AB8" w:rsidRDefault="00C9672D" w:rsidP="00C9672D">
      <w:pPr>
        <w:rPr>
          <w:lang w:eastAsia="en-US"/>
        </w:rPr>
        <w:sectPr w:rsidR="00C9672D" w:rsidRPr="00417AB8" w:rsidSect="00C9672D">
          <w:footerReference w:type="even" r:id="rId26"/>
          <w:footerReference w:type="default" r:id="rId27"/>
          <w:headerReference w:type="first" r:id="rId28"/>
          <w:footerReference w:type="first" r:id="rId29"/>
          <w:footnotePr>
            <w:numFmt w:val="chicago"/>
            <w:numRestart w:val="eachPage"/>
          </w:footnotePr>
          <w:pgSz w:w="11906" w:h="16838" w:code="9"/>
          <w:pgMar w:top="1134" w:right="1134" w:bottom="1134" w:left="1134" w:header="720" w:footer="442" w:gutter="567"/>
          <w:pgNumType w:start="1"/>
          <w:cols w:space="708"/>
          <w:titlePg/>
          <w:docGrid w:linePitch="360"/>
        </w:sectPr>
      </w:pPr>
    </w:p>
    <w:p w14:paraId="2B079EB0" w14:textId="77777777" w:rsidR="00C9672D" w:rsidRPr="00F07241" w:rsidRDefault="00C9672D" w:rsidP="00C9672D">
      <w:pPr>
        <w:pStyle w:val="ApD1Head"/>
      </w:pPr>
      <w:bookmarkStart w:id="330" w:name="_Toc525740556"/>
      <w:bookmarkStart w:id="331" w:name="_Toc525816122"/>
      <w:r w:rsidRPr="00F07241">
        <w:lastRenderedPageBreak/>
        <w:t>Introduction</w:t>
      </w:r>
      <w:bookmarkEnd w:id="330"/>
      <w:bookmarkEnd w:id="331"/>
    </w:p>
    <w:p w14:paraId="5E5F98CF" w14:textId="77777777" w:rsidR="00C9672D" w:rsidRPr="001E390A" w:rsidRDefault="00C9672D" w:rsidP="00C9672D">
      <w:pPr>
        <w:pStyle w:val="Normalpara"/>
      </w:pPr>
      <w:r w:rsidRPr="001E390A">
        <w:t xml:space="preserve">In March 2017 </w:t>
      </w:r>
      <w:r>
        <w:t>t</w:t>
      </w:r>
      <w:r w:rsidRPr="001E390A">
        <w:t xml:space="preserve">he </w:t>
      </w:r>
      <w:r>
        <w:t xml:space="preserve">Australian Government </w:t>
      </w:r>
      <w:r w:rsidRPr="001E390A">
        <w:t>Department of Health engaged NPS MedicineWise to undertake a brief literature review examining the body of evidence on interventions that aim to improve the requesting of pathology testing and diagnostic imaging services.</w:t>
      </w:r>
      <w:r>
        <w:t xml:space="preserve"> </w:t>
      </w:r>
    </w:p>
    <w:p w14:paraId="147612FF" w14:textId="77777777" w:rsidR="00C9672D" w:rsidRPr="001E390A" w:rsidRDefault="00C9672D" w:rsidP="00C9672D">
      <w:pPr>
        <w:pStyle w:val="Normalpara"/>
      </w:pPr>
      <w:r w:rsidRPr="001E390A">
        <w:t>Research question was:</w:t>
      </w:r>
    </w:p>
    <w:p w14:paraId="10C3734B" w14:textId="77777777" w:rsidR="00C9672D" w:rsidRPr="001E390A" w:rsidRDefault="00C9672D" w:rsidP="00C9672D">
      <w:pPr>
        <w:pStyle w:val="NormalBulleted"/>
      </w:pPr>
      <w:r w:rsidRPr="001E390A">
        <w:t>What interventions improve the appropriateness and clinical utility of diagnostic investigations requested by medical practitioners?</w:t>
      </w:r>
    </w:p>
    <w:p w14:paraId="352AAFA1" w14:textId="77777777" w:rsidR="00C9672D" w:rsidRPr="001E390A" w:rsidRDefault="00C9672D" w:rsidP="00C9672D">
      <w:pPr>
        <w:pStyle w:val="Normalpara"/>
      </w:pPr>
      <w:r w:rsidRPr="001E390A">
        <w:t xml:space="preserve">The purpose of the literature report was to inform the discussion at the next meeting of </w:t>
      </w:r>
      <w:r>
        <w:t>the Medicare Review Taskforce</w:t>
      </w:r>
      <w:r w:rsidRPr="001E390A">
        <w:t>.</w:t>
      </w:r>
    </w:p>
    <w:p w14:paraId="41A093D9" w14:textId="77777777" w:rsidR="00C9672D" w:rsidRDefault="00C9672D" w:rsidP="00C9672D">
      <w:pPr>
        <w:sectPr w:rsidR="00C9672D" w:rsidSect="00C9672D">
          <w:headerReference w:type="even" r:id="rId30"/>
          <w:headerReference w:type="default" r:id="rId31"/>
          <w:footerReference w:type="even" r:id="rId32"/>
          <w:footerReference w:type="default" r:id="rId33"/>
          <w:headerReference w:type="first" r:id="rId34"/>
          <w:footnotePr>
            <w:numFmt w:val="chicago"/>
            <w:numRestart w:val="eachPage"/>
          </w:footnotePr>
          <w:pgSz w:w="11906" w:h="16838" w:code="9"/>
          <w:pgMar w:top="1134" w:right="1134" w:bottom="1134" w:left="1134" w:header="720" w:footer="442" w:gutter="567"/>
          <w:cols w:space="708"/>
          <w:docGrid w:linePitch="360"/>
        </w:sectPr>
      </w:pPr>
    </w:p>
    <w:p w14:paraId="4854B5F0" w14:textId="77777777" w:rsidR="00C9672D" w:rsidRDefault="00C9672D" w:rsidP="00C9672D">
      <w:pPr>
        <w:pStyle w:val="ApD1Head"/>
      </w:pPr>
      <w:bookmarkStart w:id="332" w:name="_Toc525740557"/>
      <w:bookmarkStart w:id="333" w:name="_Toc525816123"/>
      <w:r w:rsidRPr="001E390A">
        <w:lastRenderedPageBreak/>
        <w:t>Methods</w:t>
      </w:r>
      <w:bookmarkEnd w:id="332"/>
      <w:bookmarkEnd w:id="333"/>
    </w:p>
    <w:p w14:paraId="74D48450" w14:textId="77777777" w:rsidR="00C9672D" w:rsidRPr="001E390A" w:rsidRDefault="00C9672D" w:rsidP="00C9672D">
      <w:pPr>
        <w:pStyle w:val="BodyText1"/>
      </w:pPr>
      <w:r w:rsidRPr="00642628">
        <w:rPr>
          <w:rStyle w:val="NormalparaChar"/>
        </w:rPr>
        <w:t>This literature review was restricted to a search for systematic reviews or economic costing studies. Although a systematic search of the literature was conducted using pre-defined eligibility criteria, this review was not intended to be a formal systematic review</w:t>
      </w:r>
      <w:r w:rsidRPr="001E390A">
        <w:t>.</w:t>
      </w:r>
    </w:p>
    <w:p w14:paraId="17E4DFE2" w14:textId="77777777" w:rsidR="00C9672D" w:rsidRPr="00F07241" w:rsidRDefault="00C9672D" w:rsidP="00553C63">
      <w:pPr>
        <w:pStyle w:val="ApD2Head"/>
      </w:pPr>
      <w:bookmarkStart w:id="334" w:name="_Toc525740558"/>
      <w:bookmarkStart w:id="335" w:name="_Toc525816124"/>
      <w:r w:rsidRPr="00F07241">
        <w:t>Eligibility criteria</w:t>
      </w:r>
      <w:bookmarkEnd w:id="334"/>
      <w:bookmarkEnd w:id="335"/>
    </w:p>
    <w:p w14:paraId="426DAD74" w14:textId="77777777" w:rsidR="00C9672D" w:rsidRPr="001E390A" w:rsidRDefault="00C9672D" w:rsidP="00C9672D">
      <w:pPr>
        <w:pStyle w:val="Normalpara"/>
      </w:pPr>
      <w:r w:rsidRPr="00FF6FC6">
        <w:rPr>
          <w:b/>
        </w:rPr>
        <w:t>Types of studies:</w:t>
      </w:r>
      <w:r w:rsidRPr="001E390A">
        <w:t xml:space="preserve"> Systematic reviews or economic costing studies from Australia, </w:t>
      </w:r>
      <w:r>
        <w:t xml:space="preserve">the </w:t>
      </w:r>
      <w:r w:rsidRPr="001E390A">
        <w:t>UK</w:t>
      </w:r>
      <w:r>
        <w:t xml:space="preserve"> and Ireland</w:t>
      </w:r>
      <w:r w:rsidRPr="001E390A">
        <w:t xml:space="preserve">, </w:t>
      </w:r>
      <w:r>
        <w:t xml:space="preserve">the </w:t>
      </w:r>
      <w:r w:rsidRPr="001E390A">
        <w:t xml:space="preserve">US and Canada that were published in the last 10 years. Only articles published in English </w:t>
      </w:r>
      <w:r>
        <w:t>l</w:t>
      </w:r>
      <w:r w:rsidRPr="001E390A">
        <w:t>anguage were considered for inclusion.</w:t>
      </w:r>
    </w:p>
    <w:p w14:paraId="04A41881" w14:textId="77777777" w:rsidR="00C9672D" w:rsidRPr="001E390A" w:rsidRDefault="00C9672D" w:rsidP="00C9672D">
      <w:pPr>
        <w:pStyle w:val="Normalpara"/>
      </w:pPr>
      <w:r w:rsidRPr="00FF6FC6">
        <w:rPr>
          <w:b/>
        </w:rPr>
        <w:t>Types of participants:</w:t>
      </w:r>
      <w:r w:rsidRPr="001E390A">
        <w:t xml:space="preserve"> Studies had to include medical practitioners who request or utilise diagnostic interventions, with a focus on diagnostic imaging or pathology tests.</w:t>
      </w:r>
    </w:p>
    <w:p w14:paraId="264CCCC7" w14:textId="77777777" w:rsidR="00C9672D" w:rsidRPr="001E390A" w:rsidRDefault="00C9672D" w:rsidP="00C9672D">
      <w:pPr>
        <w:pStyle w:val="Normalpara"/>
      </w:pPr>
      <w:r w:rsidRPr="00FF6FC6">
        <w:rPr>
          <w:b/>
        </w:rPr>
        <w:t>Types of intervention:</w:t>
      </w:r>
      <w:r w:rsidRPr="001E390A">
        <w:t xml:space="preserve"> </w:t>
      </w:r>
      <w:r>
        <w:t xml:space="preserve">An intervention had to </w:t>
      </w:r>
      <w:r w:rsidRPr="006C3DED">
        <w:t>modif</w:t>
      </w:r>
      <w:r>
        <w:t xml:space="preserve">y </w:t>
      </w:r>
      <w:r w:rsidRPr="006C3DED">
        <w:t xml:space="preserve">(improve) </w:t>
      </w:r>
      <w:r>
        <w:t xml:space="preserve">diagnostic </w:t>
      </w:r>
      <w:r w:rsidRPr="006C3DED">
        <w:t>imaging or laboratory</w:t>
      </w:r>
      <w:r>
        <w:t xml:space="preserve"> testing. </w:t>
      </w:r>
      <w:r w:rsidRPr="001E390A">
        <w:t>Studies had to investigate interventions that could be broadly grouped into one or more of the following categories of interest:</w:t>
      </w:r>
    </w:p>
    <w:p w14:paraId="6B58C5CF" w14:textId="77777777" w:rsidR="00C9672D" w:rsidRPr="001E390A" w:rsidRDefault="00C9672D" w:rsidP="00C9672D">
      <w:pPr>
        <w:pStyle w:val="NormalBulleted"/>
      </w:pPr>
      <w:r w:rsidRPr="001E390A">
        <w:t>Audit and feedback</w:t>
      </w:r>
      <w:r>
        <w:t>.</w:t>
      </w:r>
    </w:p>
    <w:p w14:paraId="47A97608" w14:textId="6711016D" w:rsidR="00C9672D" w:rsidRPr="001E390A" w:rsidRDefault="00151388" w:rsidP="00C9672D">
      <w:pPr>
        <w:pStyle w:val="NormalBulleted"/>
      </w:pPr>
      <w:r>
        <w:t>CDS</w:t>
      </w:r>
      <w:r w:rsidR="00C9672D">
        <w:t>.</w:t>
      </w:r>
    </w:p>
    <w:p w14:paraId="4B21F708" w14:textId="77777777" w:rsidR="00C9672D" w:rsidRPr="001E390A" w:rsidRDefault="00C9672D" w:rsidP="00C9672D">
      <w:pPr>
        <w:pStyle w:val="NormalBulleted"/>
      </w:pPr>
      <w:r w:rsidRPr="001E390A">
        <w:t>Education</w:t>
      </w:r>
      <w:r>
        <w:t>.</w:t>
      </w:r>
    </w:p>
    <w:p w14:paraId="710EDDD9" w14:textId="77777777" w:rsidR="00C9672D" w:rsidRPr="001E390A" w:rsidRDefault="00C9672D" w:rsidP="00C9672D">
      <w:pPr>
        <w:pStyle w:val="NormalBulleted"/>
      </w:pPr>
      <w:r w:rsidRPr="001E390A">
        <w:t>Payment systems</w:t>
      </w:r>
      <w:r>
        <w:t>.</w:t>
      </w:r>
    </w:p>
    <w:p w14:paraId="6261B5E8" w14:textId="77777777" w:rsidR="00C9672D" w:rsidRDefault="00C9672D" w:rsidP="00C9672D">
      <w:pPr>
        <w:pStyle w:val="NormalBulleted"/>
      </w:pPr>
      <w:r w:rsidRPr="001E390A">
        <w:t>Quality improvement</w:t>
      </w:r>
      <w:r>
        <w:t>.</w:t>
      </w:r>
    </w:p>
    <w:p w14:paraId="598C6AA8" w14:textId="77777777" w:rsidR="00C9672D" w:rsidRPr="001E390A" w:rsidRDefault="00C9672D" w:rsidP="00C9672D">
      <w:pPr>
        <w:pStyle w:val="Normalpara"/>
      </w:pPr>
      <w:r w:rsidRPr="00FF6FC6">
        <w:rPr>
          <w:b/>
        </w:rPr>
        <w:t>Types of comparator:</w:t>
      </w:r>
      <w:r w:rsidRPr="001E390A">
        <w:t xml:space="preserve"> All types of comparator were considered, and were reported as described in the eligible studies.</w:t>
      </w:r>
    </w:p>
    <w:p w14:paraId="7AE4A604" w14:textId="77777777" w:rsidR="00C9672D" w:rsidRPr="001E390A" w:rsidRDefault="00C9672D" w:rsidP="00C9672D">
      <w:pPr>
        <w:pStyle w:val="Normalpara"/>
      </w:pPr>
      <w:r w:rsidRPr="00FF6FC6">
        <w:rPr>
          <w:b/>
        </w:rPr>
        <w:t>Types of outcome:</w:t>
      </w:r>
      <w:r w:rsidRPr="001E390A">
        <w:t xml:space="preserve"> Studies had to investigate an outcome before and after one of the above intervention categories. Outcomes were broadly grouped into the following categories of interest:</w:t>
      </w:r>
    </w:p>
    <w:p w14:paraId="30C1D261" w14:textId="77777777" w:rsidR="00C9672D" w:rsidRPr="001E390A" w:rsidRDefault="00C9672D" w:rsidP="00C9672D">
      <w:pPr>
        <w:pStyle w:val="NormalBulleted"/>
      </w:pPr>
      <w:r w:rsidRPr="001E390A">
        <w:t>Clinical utility (including positive and negative predictive value)</w:t>
      </w:r>
      <w:r>
        <w:t>.</w:t>
      </w:r>
    </w:p>
    <w:p w14:paraId="16B08E82" w14:textId="77777777" w:rsidR="00C9672D" w:rsidRPr="001E390A" w:rsidRDefault="00C9672D" w:rsidP="00C9672D">
      <w:pPr>
        <w:pStyle w:val="NormalBulleted"/>
      </w:pPr>
      <w:r w:rsidRPr="001E390A">
        <w:t>Rates of diagnostic imaging/pathology tests, or rates of their requests or referrals</w:t>
      </w:r>
      <w:r>
        <w:t>.</w:t>
      </w:r>
    </w:p>
    <w:p w14:paraId="0E57DEB5" w14:textId="77777777" w:rsidR="00C9672D" w:rsidRPr="001E390A" w:rsidRDefault="00C9672D" w:rsidP="00C9672D">
      <w:pPr>
        <w:pStyle w:val="NormalBulleted"/>
      </w:pPr>
      <w:r w:rsidRPr="001E390A">
        <w:t>Rates of medicine prescribing after diagnostic imaging/pathology tests</w:t>
      </w:r>
      <w:r>
        <w:t>.</w:t>
      </w:r>
    </w:p>
    <w:p w14:paraId="5C07722F" w14:textId="77777777" w:rsidR="00C9672D" w:rsidRPr="001E390A" w:rsidRDefault="00C9672D" w:rsidP="00C9672D">
      <w:pPr>
        <w:pStyle w:val="NormalBulleted"/>
      </w:pPr>
      <w:r w:rsidRPr="001E390A">
        <w:t>Rates of invasive treatments or procedures.</w:t>
      </w:r>
    </w:p>
    <w:p w14:paraId="24B46A44" w14:textId="77777777" w:rsidR="00C9672D" w:rsidRPr="001E390A" w:rsidRDefault="00C9672D" w:rsidP="00C9672D">
      <w:pPr>
        <w:pStyle w:val="NormalBulleted"/>
      </w:pPr>
      <w:r w:rsidRPr="001E390A">
        <w:t>Health outcomes (morbidity, mortality, quality of life)</w:t>
      </w:r>
      <w:r>
        <w:t>.</w:t>
      </w:r>
    </w:p>
    <w:p w14:paraId="385D697A" w14:textId="77777777" w:rsidR="00C9672D" w:rsidRPr="001E390A" w:rsidRDefault="00C9672D" w:rsidP="00C9672D">
      <w:pPr>
        <w:pStyle w:val="NormalBulleted"/>
      </w:pPr>
      <w:r w:rsidRPr="001E390A">
        <w:t>Rates of inappropriate requesting for diagnostic imaging/pathology tests</w:t>
      </w:r>
      <w:r>
        <w:t>.</w:t>
      </w:r>
    </w:p>
    <w:p w14:paraId="72A43EB1" w14:textId="77777777" w:rsidR="00C9672D" w:rsidRPr="001E390A" w:rsidRDefault="00C9672D" w:rsidP="00C9672D">
      <w:pPr>
        <w:pStyle w:val="NormalBulleted"/>
      </w:pPr>
      <w:r w:rsidRPr="001E390A">
        <w:t>Costs or cost effectiveness</w:t>
      </w:r>
      <w:r>
        <w:t>.</w:t>
      </w:r>
    </w:p>
    <w:p w14:paraId="2205F02F" w14:textId="77777777" w:rsidR="00C9672D" w:rsidRPr="00537135" w:rsidRDefault="00C9672D" w:rsidP="00C9672D">
      <w:pPr>
        <w:pStyle w:val="ApD2Head"/>
      </w:pPr>
      <w:bookmarkStart w:id="336" w:name="_Toc525740559"/>
      <w:bookmarkStart w:id="337" w:name="_Toc525816125"/>
      <w:r w:rsidRPr="00537135">
        <w:t>Information sources</w:t>
      </w:r>
      <w:bookmarkEnd w:id="336"/>
      <w:bookmarkEnd w:id="337"/>
    </w:p>
    <w:p w14:paraId="58DBF37E" w14:textId="77777777" w:rsidR="00C9672D" w:rsidRPr="001E390A" w:rsidRDefault="00C9672D" w:rsidP="00C9672D">
      <w:pPr>
        <w:pStyle w:val="Normalpara"/>
      </w:pPr>
      <w:r w:rsidRPr="001E390A">
        <w:t>Studies were identified by systematically searching the online libraries of Medline (</w:t>
      </w:r>
      <w:r w:rsidRPr="00FF6FC6">
        <w:t>www.medline.com</w:t>
      </w:r>
      <w:r w:rsidRPr="001E390A">
        <w:t>), Embase (</w:t>
      </w:r>
      <w:r w:rsidRPr="00FF6FC6">
        <w:t>www.embase.com</w:t>
      </w:r>
      <w:r w:rsidRPr="001E390A">
        <w:t>) and PsycINFO (</w:t>
      </w:r>
      <w:r w:rsidRPr="00FF6FC6">
        <w:t>www.apa.org/pubs/databases/psycinfo</w:t>
      </w:r>
      <w:r w:rsidRPr="001E390A">
        <w:t>). The systematic searches were supplemented with searches of the Cochrane Library (</w:t>
      </w:r>
      <w:r w:rsidRPr="00FF6FC6">
        <w:t>www.cochranelibrary.com</w:t>
      </w:r>
      <w:r w:rsidRPr="001E390A">
        <w:t>) and Health Systems Evidence (</w:t>
      </w:r>
      <w:r w:rsidRPr="00FF6FC6">
        <w:t>www.healthsystemsevidence.org</w:t>
      </w:r>
      <w:r w:rsidRPr="001E390A">
        <w:t xml:space="preserve">). </w:t>
      </w:r>
    </w:p>
    <w:p w14:paraId="0919205D" w14:textId="77777777" w:rsidR="00C9672D" w:rsidRDefault="00C9672D" w:rsidP="00C9672D">
      <w:pPr>
        <w:pStyle w:val="Normalpara"/>
        <w:sectPr w:rsidR="00C9672D" w:rsidSect="00C9672D">
          <w:footerReference w:type="default" r:id="rId35"/>
          <w:footnotePr>
            <w:numFmt w:val="chicago"/>
            <w:numRestart w:val="eachPage"/>
          </w:footnotePr>
          <w:pgSz w:w="11906" w:h="16838" w:code="9"/>
          <w:pgMar w:top="1134" w:right="1134" w:bottom="1134" w:left="1134" w:header="720" w:footer="442" w:gutter="567"/>
          <w:cols w:space="708"/>
          <w:docGrid w:linePitch="360"/>
        </w:sectPr>
      </w:pPr>
      <w:r w:rsidRPr="001E390A">
        <w:t>Hand searching of reference lists for key articles was conducted to search for articles not previously identified. These searches were further supplemented by selective searches using the ‘similar articles’ function of PubMed (</w:t>
      </w:r>
      <w:r w:rsidRPr="00FF6FC6">
        <w:t>www.ncbi.nlm.nih.gov/pubmed</w:t>
      </w:r>
      <w:r w:rsidRPr="001E390A">
        <w:t>) and Google Scholar</w:t>
      </w:r>
      <w:r>
        <w:t xml:space="preserve"> </w:t>
      </w:r>
      <w:r w:rsidRPr="001E390A">
        <w:t>(</w:t>
      </w:r>
      <w:r w:rsidRPr="00FF6FC6">
        <w:t>http://scholar.google.com.au</w:t>
      </w:r>
      <w:r w:rsidRPr="001E390A">
        <w:t xml:space="preserve">). </w:t>
      </w:r>
    </w:p>
    <w:p w14:paraId="23FB3F5E" w14:textId="77777777" w:rsidR="00C9672D" w:rsidRPr="001E390A" w:rsidRDefault="00C9672D" w:rsidP="00C9672D">
      <w:pPr>
        <w:pStyle w:val="ApD2Head"/>
      </w:pPr>
      <w:bookmarkStart w:id="338" w:name="_Toc525740560"/>
      <w:bookmarkStart w:id="339" w:name="_Toc525816126"/>
      <w:r>
        <w:lastRenderedPageBreak/>
        <w:t>Literature s</w:t>
      </w:r>
      <w:r w:rsidRPr="001E390A">
        <w:t>earches</w:t>
      </w:r>
      <w:bookmarkEnd w:id="338"/>
      <w:bookmarkEnd w:id="339"/>
    </w:p>
    <w:p w14:paraId="78BAB9BC" w14:textId="77777777" w:rsidR="00C9672D" w:rsidRDefault="00C9672D" w:rsidP="00C9672D">
      <w:pPr>
        <w:pStyle w:val="Normalpara"/>
      </w:pPr>
      <w:r w:rsidRPr="001E390A">
        <w:t xml:space="preserve">Literature review search terms and concepts are summarised in </w:t>
      </w:r>
      <w:r>
        <w:t>T</w:t>
      </w:r>
      <w:r w:rsidRPr="001E390A">
        <w:t xml:space="preserve">able </w:t>
      </w:r>
      <w:r>
        <w:t xml:space="preserve">1 </w:t>
      </w:r>
      <w:r w:rsidRPr="001E390A">
        <w:t>below. The full electronic search strategies used for the systematic searches are summarised in Appendix 1. All searches were conducted in February or March 2017.</w:t>
      </w:r>
    </w:p>
    <w:p w14:paraId="2E74512B" w14:textId="77777777" w:rsidR="00C9672D" w:rsidRDefault="00C9672D" w:rsidP="00C9672D">
      <w:pPr>
        <w:pStyle w:val="BodyText1"/>
      </w:pPr>
    </w:p>
    <w:p w14:paraId="3F5A9971" w14:textId="77777777" w:rsidR="00C9672D" w:rsidRPr="005B409E" w:rsidRDefault="00C9672D" w:rsidP="00C9672D">
      <w:pPr>
        <w:pStyle w:val="Normalpara"/>
        <w:rPr>
          <w:rStyle w:val="Bold"/>
          <w:rFonts w:eastAsiaTheme="minorHAnsi"/>
        </w:rPr>
      </w:pPr>
      <w:r w:rsidRPr="005B409E">
        <w:rPr>
          <w:rStyle w:val="Bold"/>
          <w:rFonts w:eastAsiaTheme="minorHAnsi"/>
        </w:rPr>
        <w:t>Table 1: Literature review search terms and concepts</w:t>
      </w:r>
    </w:p>
    <w:tbl>
      <w:tblPr>
        <w:tblStyle w:val="TableNPSstandard"/>
        <w:tblW w:w="5000" w:type="pct"/>
        <w:tblLook w:val="0620" w:firstRow="1" w:lastRow="0" w:firstColumn="0" w:lastColumn="0" w:noHBand="1" w:noVBand="1"/>
        <w:tblCaption w:val="Table 1: Literature review search terms and concepts"/>
        <w:tblDescription w:val="The table features two columns, column 1 is 'concepts (sub-concepts) and column 2 is 'Search terms (keywords and subject heading).  "/>
      </w:tblPr>
      <w:tblGrid>
        <w:gridCol w:w="2487"/>
        <w:gridCol w:w="6584"/>
      </w:tblGrid>
      <w:tr w:rsidR="00C9672D" w:rsidRPr="001E390A" w14:paraId="2EE751F6" w14:textId="77777777" w:rsidTr="008D10A5">
        <w:trPr>
          <w:cnfStyle w:val="100000000000" w:firstRow="1" w:lastRow="0" w:firstColumn="0" w:lastColumn="0" w:oddVBand="0" w:evenVBand="0" w:oddHBand="0" w:evenHBand="0" w:firstRowFirstColumn="0" w:firstRowLastColumn="0" w:lastRowFirstColumn="0" w:lastRowLastColumn="0"/>
          <w:tblHeader/>
        </w:trPr>
        <w:tc>
          <w:tcPr>
            <w:tcW w:w="1371" w:type="pct"/>
            <w:tcBorders>
              <w:bottom w:val="single" w:sz="6" w:space="0" w:color="B66113"/>
            </w:tcBorders>
          </w:tcPr>
          <w:p w14:paraId="11BD4E15" w14:textId="77777777" w:rsidR="00C9672D" w:rsidRPr="001E390A" w:rsidRDefault="00C9672D" w:rsidP="00C9672D">
            <w:pPr>
              <w:pStyle w:val="Normalpara"/>
            </w:pPr>
            <w:r w:rsidRPr="001E390A">
              <w:t>Concepts (sub-concepts)</w:t>
            </w:r>
          </w:p>
        </w:tc>
        <w:tc>
          <w:tcPr>
            <w:tcW w:w="3629" w:type="pct"/>
            <w:tcBorders>
              <w:bottom w:val="single" w:sz="6" w:space="0" w:color="B66113"/>
            </w:tcBorders>
          </w:tcPr>
          <w:p w14:paraId="266940CA" w14:textId="77777777" w:rsidR="00C9672D" w:rsidRPr="001E390A" w:rsidRDefault="00C9672D" w:rsidP="00C9672D">
            <w:pPr>
              <w:pStyle w:val="Normalpara"/>
            </w:pPr>
            <w:r w:rsidRPr="001E390A">
              <w:t>Search terms (keywords and subject headings)</w:t>
            </w:r>
          </w:p>
        </w:tc>
      </w:tr>
      <w:tr w:rsidR="00C9672D" w:rsidRPr="001E390A" w14:paraId="48F412EC" w14:textId="77777777" w:rsidTr="00C9672D">
        <w:tc>
          <w:tcPr>
            <w:tcW w:w="1371" w:type="pct"/>
            <w:tcBorders>
              <w:top w:val="single" w:sz="6" w:space="0" w:color="B66113"/>
              <w:bottom w:val="single" w:sz="4" w:space="0" w:color="C0C0C0"/>
            </w:tcBorders>
          </w:tcPr>
          <w:p w14:paraId="7B401644" w14:textId="77777777" w:rsidR="00C9672D" w:rsidRPr="001E390A" w:rsidRDefault="00C9672D" w:rsidP="00C9672D">
            <w:pPr>
              <w:pStyle w:val="Normalpara"/>
            </w:pPr>
            <w:r w:rsidRPr="001E390A">
              <w:t>Pathology testing</w:t>
            </w:r>
          </w:p>
        </w:tc>
        <w:tc>
          <w:tcPr>
            <w:tcW w:w="3629" w:type="pct"/>
            <w:tcBorders>
              <w:top w:val="single" w:sz="6" w:space="0" w:color="B66113"/>
              <w:bottom w:val="single" w:sz="4" w:space="0" w:color="C0C0C0"/>
            </w:tcBorders>
          </w:tcPr>
          <w:p w14:paraId="64A32EFA" w14:textId="77777777" w:rsidR="00A656F0" w:rsidRDefault="00C9672D" w:rsidP="00C9672D">
            <w:pPr>
              <w:pStyle w:val="Normalpara"/>
            </w:pPr>
            <w:r w:rsidRPr="001E390A">
              <w:t xml:space="preserve">Diagnostic tests routine, medical tests, blood tests, pathology clinical, </w:t>
            </w:r>
            <w:r>
              <w:t>haemato</w:t>
            </w:r>
            <w:r w:rsidRPr="001E390A">
              <w:t>logic</w:t>
            </w:r>
            <w:r>
              <w:t>al</w:t>
            </w:r>
            <w:r w:rsidRPr="001E390A">
              <w:t xml:space="preserve"> test</w:t>
            </w:r>
          </w:p>
          <w:p w14:paraId="634E2BD2" w14:textId="77777777" w:rsidR="00C9672D" w:rsidRPr="001E390A" w:rsidRDefault="00C9672D" w:rsidP="00C9672D">
            <w:pPr>
              <w:pStyle w:val="Normalpara"/>
            </w:pPr>
            <w:r w:rsidRPr="001E390A">
              <w:t>s, clinical laboratory techniques</w:t>
            </w:r>
          </w:p>
        </w:tc>
      </w:tr>
      <w:tr w:rsidR="00C9672D" w:rsidRPr="001E390A" w14:paraId="70F704B1" w14:textId="77777777" w:rsidTr="00C9672D">
        <w:tc>
          <w:tcPr>
            <w:tcW w:w="1371" w:type="pct"/>
            <w:tcBorders>
              <w:top w:val="single" w:sz="4" w:space="0" w:color="C0C0C0"/>
            </w:tcBorders>
          </w:tcPr>
          <w:p w14:paraId="5686B655" w14:textId="77777777" w:rsidR="00C9672D" w:rsidRPr="001E390A" w:rsidRDefault="00C9672D" w:rsidP="00C9672D">
            <w:pPr>
              <w:pStyle w:val="Normalpara"/>
            </w:pPr>
            <w:r w:rsidRPr="001E390A">
              <w:t>Diagnostic imaging</w:t>
            </w:r>
          </w:p>
        </w:tc>
        <w:tc>
          <w:tcPr>
            <w:tcW w:w="3629" w:type="pct"/>
            <w:tcBorders>
              <w:top w:val="single" w:sz="4" w:space="0" w:color="C0C0C0"/>
            </w:tcBorders>
          </w:tcPr>
          <w:p w14:paraId="090DC97A" w14:textId="77777777" w:rsidR="00C9672D" w:rsidRPr="001E390A" w:rsidRDefault="00C9672D" w:rsidP="00C9672D">
            <w:pPr>
              <w:pStyle w:val="Normalpara"/>
            </w:pPr>
            <w:r w:rsidRPr="001E390A">
              <w:t xml:space="preserve">Diagnostic tests routine, imaging, ultrasound, MRI, CT scan, tomography, magnetic resonance imaging, </w:t>
            </w:r>
            <w:r>
              <w:t>X-ray</w:t>
            </w:r>
            <w:r w:rsidRPr="001E390A">
              <w:t>, ultrasonography</w:t>
            </w:r>
            <w:r>
              <w:t xml:space="preserve"> </w:t>
            </w:r>
            <w:r w:rsidRPr="001E390A">
              <w:t xml:space="preserve"> </w:t>
            </w:r>
          </w:p>
        </w:tc>
      </w:tr>
      <w:tr w:rsidR="00C9672D" w:rsidRPr="001E390A" w14:paraId="6749A9DE" w14:textId="77777777" w:rsidTr="00C9672D">
        <w:tc>
          <w:tcPr>
            <w:tcW w:w="1371" w:type="pct"/>
            <w:tcBorders>
              <w:bottom w:val="single" w:sz="4" w:space="0" w:color="C0C0C0"/>
            </w:tcBorders>
          </w:tcPr>
          <w:p w14:paraId="4F7BDD0E" w14:textId="77777777" w:rsidR="00C9672D" w:rsidRPr="001E390A" w:rsidRDefault="00C9672D" w:rsidP="00C9672D">
            <w:pPr>
              <w:pStyle w:val="Normalpara"/>
            </w:pPr>
            <w:r w:rsidRPr="001E390A">
              <w:t>Interventions</w:t>
            </w:r>
          </w:p>
        </w:tc>
        <w:tc>
          <w:tcPr>
            <w:tcW w:w="3629" w:type="pct"/>
            <w:tcBorders>
              <w:bottom w:val="single" w:sz="4" w:space="0" w:color="C0C0C0"/>
            </w:tcBorders>
          </w:tcPr>
          <w:p w14:paraId="5DDC4B82" w14:textId="77777777" w:rsidR="00C9672D" w:rsidRPr="001E390A" w:rsidRDefault="00C9672D" w:rsidP="00C9672D">
            <w:pPr>
              <w:pStyle w:val="Normalpara"/>
            </w:pPr>
            <w:r w:rsidRPr="001E390A">
              <w:t>Interventions, education medical continuing, clinical audit, decision support techniques, quality improvement, decision support systems clinical, guideline adherence, practice guidelines, practice guidelines as topic, practice pattern feedback, feedback, inservice training, general practitioner’s education</w:t>
            </w:r>
          </w:p>
        </w:tc>
      </w:tr>
      <w:tr w:rsidR="00C9672D" w:rsidRPr="001E390A" w14:paraId="396DD7F5" w14:textId="77777777" w:rsidTr="00C9672D">
        <w:tc>
          <w:tcPr>
            <w:tcW w:w="1371" w:type="pct"/>
            <w:tcBorders>
              <w:top w:val="single" w:sz="4" w:space="0" w:color="C0C0C0"/>
              <w:bottom w:val="single" w:sz="6" w:space="0" w:color="B66113"/>
            </w:tcBorders>
          </w:tcPr>
          <w:p w14:paraId="10069C38" w14:textId="77777777" w:rsidR="00C9672D" w:rsidRPr="001E390A" w:rsidRDefault="00C9672D" w:rsidP="00C9672D">
            <w:pPr>
              <w:pStyle w:val="Normalpara"/>
            </w:pPr>
            <w:r w:rsidRPr="001E390A">
              <w:t>Setting</w:t>
            </w:r>
            <w:r>
              <w:br/>
            </w:r>
            <w:r>
              <w:rPr>
                <w:sz w:val="16"/>
              </w:rPr>
              <w:t>(</w:t>
            </w:r>
            <w:r w:rsidRPr="006975D5">
              <w:rPr>
                <w:sz w:val="16"/>
              </w:rPr>
              <w:t>Primary care</w:t>
            </w:r>
            <w:r>
              <w:rPr>
                <w:sz w:val="16"/>
              </w:rPr>
              <w:t xml:space="preserve"> or h</w:t>
            </w:r>
            <w:r w:rsidRPr="006975D5">
              <w:rPr>
                <w:sz w:val="16"/>
              </w:rPr>
              <w:t>ospital</w:t>
            </w:r>
            <w:r>
              <w:rPr>
                <w:sz w:val="16"/>
              </w:rPr>
              <w:t>)</w:t>
            </w:r>
          </w:p>
        </w:tc>
        <w:tc>
          <w:tcPr>
            <w:tcW w:w="3629" w:type="pct"/>
            <w:tcBorders>
              <w:top w:val="single" w:sz="4" w:space="0" w:color="C0C0C0"/>
              <w:bottom w:val="single" w:sz="6" w:space="0" w:color="B66113"/>
            </w:tcBorders>
          </w:tcPr>
          <w:p w14:paraId="68A3B967" w14:textId="77777777" w:rsidR="00C9672D" w:rsidRPr="001E390A" w:rsidRDefault="00C9672D" w:rsidP="00C9672D">
            <w:pPr>
              <w:pStyle w:val="Normalpara"/>
            </w:pPr>
            <w:r w:rsidRPr="001E390A">
              <w:t xml:space="preserve">Primary </w:t>
            </w:r>
            <w:r>
              <w:t>healthcare</w:t>
            </w:r>
            <w:r w:rsidRPr="001E390A">
              <w:t>, GPs, family practice, general practice, general practitioners, physicians family, practice patterns, quality of</w:t>
            </w:r>
            <w:r>
              <w:t xml:space="preserve"> healthcare, healthcare costs, </w:t>
            </w:r>
            <w:r w:rsidRPr="001E390A">
              <w:t>unnecessary procedures</w:t>
            </w:r>
          </w:p>
          <w:p w14:paraId="6C0C92EF" w14:textId="77777777" w:rsidR="00C9672D" w:rsidRPr="001E390A" w:rsidRDefault="00C9672D" w:rsidP="00C9672D">
            <w:pPr>
              <w:pStyle w:val="Normalpara"/>
            </w:pPr>
            <w:r w:rsidRPr="001E390A">
              <w:t>Hospital care, tertiary healthcare, hospital admission</w:t>
            </w:r>
          </w:p>
        </w:tc>
      </w:tr>
    </w:tbl>
    <w:p w14:paraId="460292AB" w14:textId="0488AF3D" w:rsidR="00C9672D" w:rsidRDefault="00C9672D" w:rsidP="00C9672D">
      <w:pPr>
        <w:pStyle w:val="ApD2Head"/>
      </w:pPr>
      <w:bookmarkStart w:id="340" w:name="_Toc525740561"/>
      <w:bookmarkStart w:id="341" w:name="_Toc525816127"/>
      <w:r>
        <w:t>Included studies</w:t>
      </w:r>
      <w:bookmarkEnd w:id="340"/>
      <w:bookmarkEnd w:id="341"/>
    </w:p>
    <w:p w14:paraId="6BC17A97" w14:textId="77777777" w:rsidR="00C9672D" w:rsidRDefault="00C9672D" w:rsidP="00C9672D">
      <w:pPr>
        <w:pStyle w:val="Normalpara"/>
      </w:pPr>
      <w:r>
        <w:t>Articles were included if they were as described below.</w:t>
      </w:r>
    </w:p>
    <w:p w14:paraId="7888F634" w14:textId="77777777" w:rsidR="00C9672D" w:rsidRPr="005129E5" w:rsidRDefault="00C9672D" w:rsidP="00C9672D">
      <w:pPr>
        <w:pStyle w:val="NormalBulleted"/>
      </w:pPr>
      <w:r w:rsidRPr="005129E5">
        <w:t>Systematic reviews</w:t>
      </w:r>
      <w:r>
        <w:t xml:space="preserve">: </w:t>
      </w:r>
      <w:r w:rsidRPr="005129E5">
        <w:t>whe</w:t>
      </w:r>
      <w:r>
        <w:t>n</w:t>
      </w:r>
      <w:r w:rsidRPr="005129E5">
        <w:t xml:space="preserve"> relevant literature had been</w:t>
      </w:r>
      <w:r>
        <w:t xml:space="preserve"> </w:t>
      </w:r>
      <w:r w:rsidRPr="005129E5">
        <w:t>identified by means of structured search of bibliographic</w:t>
      </w:r>
      <w:r>
        <w:t xml:space="preserve">al </w:t>
      </w:r>
      <w:r w:rsidRPr="005129E5">
        <w:t>and other databases, where transparent methodological</w:t>
      </w:r>
      <w:r>
        <w:t xml:space="preserve"> </w:t>
      </w:r>
      <w:r w:rsidRPr="005129E5">
        <w:t>criteria were used to exclude papers that did not meet an</w:t>
      </w:r>
      <w:r>
        <w:t xml:space="preserve"> </w:t>
      </w:r>
      <w:r w:rsidRPr="005129E5">
        <w:t>explicit methodological benchmark, and which presented</w:t>
      </w:r>
      <w:r>
        <w:t xml:space="preserve"> </w:t>
      </w:r>
      <w:r w:rsidRPr="005129E5">
        <w:t>rigorous conclusions about outcomes.</w:t>
      </w:r>
    </w:p>
    <w:p w14:paraId="395A12C4" w14:textId="77777777" w:rsidR="00C9672D" w:rsidRPr="008B3E08" w:rsidRDefault="00C9672D" w:rsidP="00C9672D">
      <w:pPr>
        <w:pStyle w:val="NormalBulleted"/>
      </w:pPr>
      <w:r>
        <w:rPr>
          <w:lang w:eastAsia="en-US"/>
        </w:rPr>
        <w:t xml:space="preserve">Meta-analyses: </w:t>
      </w:r>
      <w:r>
        <w:t>as for systematic reviews, including the use of statistical methods to summarise the results of included studies.</w:t>
      </w:r>
    </w:p>
    <w:p w14:paraId="4F8EB601" w14:textId="77777777" w:rsidR="00C9672D" w:rsidRPr="001E390A" w:rsidRDefault="00C9672D" w:rsidP="00C9672D">
      <w:pPr>
        <w:pStyle w:val="ApD2Head"/>
      </w:pPr>
      <w:bookmarkStart w:id="342" w:name="_Toc525740562"/>
      <w:bookmarkStart w:id="343" w:name="_Toc525816128"/>
      <w:r>
        <w:t>Review</w:t>
      </w:r>
      <w:r w:rsidRPr="001E390A">
        <w:t xml:space="preserve"> selection and data collection</w:t>
      </w:r>
      <w:bookmarkEnd w:id="342"/>
      <w:bookmarkEnd w:id="343"/>
    </w:p>
    <w:p w14:paraId="30E9252C" w14:textId="77777777" w:rsidR="00C9672D" w:rsidRPr="006C3DED" w:rsidRDefault="00C9672D" w:rsidP="00C9672D">
      <w:pPr>
        <w:pStyle w:val="Normalpara"/>
      </w:pPr>
      <w:r w:rsidRPr="001E390A">
        <w:t>Eligibility assessment was performed independently in an unbl</w:t>
      </w:r>
      <w:r>
        <w:t>i</w:t>
      </w:r>
      <w:r w:rsidRPr="001E390A">
        <w:t xml:space="preserve">nded standardised manner by two </w:t>
      </w:r>
      <w:r w:rsidRPr="006C3DED">
        <w:t xml:space="preserve">reviewers. Disagreements between reviewers were resolved by consensus. </w:t>
      </w:r>
    </w:p>
    <w:p w14:paraId="7B43D688" w14:textId="77777777" w:rsidR="00C9672D" w:rsidRPr="001E390A" w:rsidRDefault="00C9672D" w:rsidP="00C9672D">
      <w:pPr>
        <w:pStyle w:val="Normalpara"/>
      </w:pPr>
      <w:r>
        <w:t>First, a</w:t>
      </w:r>
      <w:r w:rsidRPr="006C3DED">
        <w:t xml:space="preserve">bstracts were reviewed for eligibility. All abstracts reporting on the effect of an intervention on diagnostic imaging laboratory utilisation were selected for full text review. Full text articles were then assessed to determine if the study met the specified </w:t>
      </w:r>
      <w:r>
        <w:t>eligibility</w:t>
      </w:r>
      <w:r w:rsidRPr="006C3DED">
        <w:t xml:space="preserve"> criteria.</w:t>
      </w:r>
      <w:r>
        <w:t xml:space="preserve"> Included reviews </w:t>
      </w:r>
      <w:r w:rsidRPr="006C3DED">
        <w:t xml:space="preserve">had to quantify test utilisation with and without </w:t>
      </w:r>
      <w:r>
        <w:t>the</w:t>
      </w:r>
      <w:r w:rsidRPr="006C3DED">
        <w:t xml:space="preserve"> intervention, with </w:t>
      </w:r>
      <w:r>
        <w:t>a</w:t>
      </w:r>
      <w:r w:rsidRPr="006C3DED">
        <w:t xml:space="preserve"> change identified, preferably calculated, and reported</w:t>
      </w:r>
      <w:r>
        <w:t>.</w:t>
      </w:r>
    </w:p>
    <w:p w14:paraId="748A1F88" w14:textId="77777777" w:rsidR="00C9672D" w:rsidRPr="001E390A" w:rsidRDefault="00C9672D" w:rsidP="00C9672D">
      <w:pPr>
        <w:pStyle w:val="Normalpara"/>
      </w:pPr>
      <w:r w:rsidRPr="001E390A">
        <w:t xml:space="preserve">Data were extracted by two reviewers. When available, relevant data on the participants, interventions, comparators and outcomes (PICO) were extracted and summarised. Summary measures and data analyses were recorded as described within the eligible </w:t>
      </w:r>
      <w:r>
        <w:t>reviews</w:t>
      </w:r>
      <w:r w:rsidRPr="001E390A">
        <w:t>. No additional data analyses were conducted.</w:t>
      </w:r>
      <w:r>
        <w:t xml:space="preserve"> </w:t>
      </w:r>
    </w:p>
    <w:p w14:paraId="71E8959F" w14:textId="77777777" w:rsidR="00C9672D" w:rsidRPr="001E390A" w:rsidRDefault="00C9672D" w:rsidP="00C9672D">
      <w:pPr>
        <w:pStyle w:val="Normalpara"/>
      </w:pPr>
      <w:r w:rsidRPr="001E390A">
        <w:lastRenderedPageBreak/>
        <w:t xml:space="preserve">The AMSTAR Checklist (A Measurement Tool to Assess Systematic Reviews: </w:t>
      </w:r>
      <w:r w:rsidRPr="00FF6FC6">
        <w:t>https://amstar.ca/Amstar_Checklist.php</w:t>
      </w:r>
      <w:r w:rsidRPr="001E390A">
        <w:t>)</w:t>
      </w:r>
      <w:r>
        <w:t xml:space="preserve"> </w:t>
      </w:r>
      <w:r w:rsidRPr="001E390A">
        <w:t>was used to assess the quality of the included systematic reviews.</w:t>
      </w:r>
    </w:p>
    <w:p w14:paraId="02C0E04A" w14:textId="77777777" w:rsidR="00C9672D" w:rsidRDefault="00C9672D" w:rsidP="00C9672D">
      <w:pPr>
        <w:rPr>
          <w:rFonts w:ascii="Arial Bold" w:hAnsi="Arial Bold" w:cs="Arial"/>
          <w:b/>
          <w:iCs/>
          <w:color w:val="4B306A"/>
          <w:kern w:val="32"/>
          <w:sz w:val="28"/>
          <w:szCs w:val="28"/>
          <w:lang w:eastAsia="en-US"/>
        </w:rPr>
      </w:pPr>
      <w:r>
        <w:br w:type="page"/>
      </w:r>
    </w:p>
    <w:p w14:paraId="3C691D2C" w14:textId="77777777" w:rsidR="00C9672D" w:rsidRPr="0089198C" w:rsidRDefault="00C9672D" w:rsidP="00C9672D">
      <w:pPr>
        <w:pStyle w:val="ApD1Head"/>
      </w:pPr>
      <w:r>
        <w:lastRenderedPageBreak/>
        <w:t xml:space="preserve"> </w:t>
      </w:r>
      <w:bookmarkStart w:id="344" w:name="_Toc525740563"/>
      <w:bookmarkStart w:id="345" w:name="_Toc525816129"/>
      <w:r w:rsidRPr="001B29EE">
        <w:t>Results</w:t>
      </w:r>
      <w:bookmarkEnd w:id="344"/>
      <w:bookmarkEnd w:id="345"/>
    </w:p>
    <w:p w14:paraId="2790F3DC" w14:textId="77777777" w:rsidR="00C9672D" w:rsidRPr="0089198C" w:rsidRDefault="00C9672D" w:rsidP="00C9672D">
      <w:pPr>
        <w:pStyle w:val="ApD2Head"/>
      </w:pPr>
      <w:bookmarkStart w:id="346" w:name="_Toc525740564"/>
      <w:bookmarkStart w:id="347" w:name="_Toc525816130"/>
      <w:r w:rsidRPr="0089198C">
        <w:t xml:space="preserve">Search </w:t>
      </w:r>
      <w:r w:rsidRPr="001B29EE">
        <w:t>results</w:t>
      </w:r>
      <w:bookmarkEnd w:id="346"/>
      <w:bookmarkEnd w:id="347"/>
      <w:r w:rsidRPr="0089198C">
        <w:t xml:space="preserve"> </w:t>
      </w:r>
    </w:p>
    <w:p w14:paraId="7EE8055A" w14:textId="77777777" w:rsidR="00C9672D" w:rsidRDefault="00C9672D" w:rsidP="00C9672D">
      <w:pPr>
        <w:pStyle w:val="Normalpara"/>
      </w:pPr>
      <w:r>
        <w:t>In</w:t>
      </w:r>
      <w:r w:rsidRPr="001F4178">
        <w:t xml:space="preserve"> total</w:t>
      </w:r>
      <w:r>
        <w:t>,</w:t>
      </w:r>
      <w:r w:rsidRPr="001F4178">
        <w:t xml:space="preserve"> 19 systematic reviews</w:t>
      </w:r>
      <w:r>
        <w:t xml:space="preserve"> were identified for inclusion in this literature review. The search of Medline, Embase and PsycINFO provided a total of 90 citations, and the additional searches provided 96 citations. After removal of duplicate publications, a further 107 articles were removed because, after reviewing their abstracts, it appeared that they would not meet the pre-specified eligibility criteria for this review (see Appendix 1. Search strategy for database searches, and Figure 1. Flow chart of information through the literature search).</w:t>
      </w:r>
    </w:p>
    <w:p w14:paraId="26224402" w14:textId="77777777" w:rsidR="00C9672D" w:rsidRDefault="00C9672D" w:rsidP="00C9672D">
      <w:pPr>
        <w:pStyle w:val="Normalpara"/>
      </w:pPr>
      <w:r w:rsidRPr="001F4178">
        <w:t>The full text of the remaining</w:t>
      </w:r>
      <w:r>
        <w:t xml:space="preserve"> 50</w:t>
      </w:r>
      <w:r w:rsidRPr="001F4178">
        <w:t xml:space="preserve"> articles </w:t>
      </w:r>
      <w:r>
        <w:t>was</w:t>
      </w:r>
      <w:r w:rsidRPr="001F4178">
        <w:t xml:space="preserve"> screened against the eligibility criteria in more detail</w:t>
      </w:r>
      <w:r>
        <w:t xml:space="preserve"> and a further 31 articles were removed, resulting in </w:t>
      </w:r>
      <w:r w:rsidRPr="001F4178">
        <w:t xml:space="preserve">the </w:t>
      </w:r>
      <w:r>
        <w:t>final 19 articles included in this review.</w:t>
      </w:r>
    </w:p>
    <w:p w14:paraId="0B97D360" w14:textId="77777777" w:rsidR="00C9672D" w:rsidRPr="0037570E" w:rsidRDefault="00C9672D" w:rsidP="00C9672D">
      <w:pPr>
        <w:pStyle w:val="Normalpara"/>
      </w:pPr>
      <w:r>
        <w:t>Several studies (identified as key studies) were</w:t>
      </w:r>
      <w:r w:rsidRPr="0037570E">
        <w:t xml:space="preserve"> included in more than one review, resulting in double counting and a convergence of findings across some of the interventions.</w:t>
      </w:r>
      <w:r>
        <w:t xml:space="preserve"> </w:t>
      </w:r>
      <w:r w:rsidRPr="0037570E">
        <w:t xml:space="preserve">There was </w:t>
      </w:r>
      <w:r>
        <w:t xml:space="preserve">also </w:t>
      </w:r>
      <w:r w:rsidRPr="0037570E">
        <w:t>considerable overlap</w:t>
      </w:r>
      <w:r>
        <w:t xml:space="preserve"> resulting from inconsistent definitions of interventions i</w:t>
      </w:r>
      <w:r w:rsidRPr="0037570E">
        <w:t>ncluded in the systematic reviews</w:t>
      </w:r>
      <w:r>
        <w:t>.</w:t>
      </w:r>
    </w:p>
    <w:p w14:paraId="5A94CAC3" w14:textId="77777777" w:rsidR="00C9672D" w:rsidRPr="0089198C" w:rsidRDefault="00C9672D" w:rsidP="00C9672D">
      <w:pPr>
        <w:pStyle w:val="ApD2Head"/>
      </w:pPr>
      <w:bookmarkStart w:id="348" w:name="_Toc525740565"/>
      <w:bookmarkStart w:id="349" w:name="_Toc525816131"/>
      <w:r w:rsidRPr="001B29EE">
        <w:t>Methodological</w:t>
      </w:r>
      <w:r w:rsidRPr="0089198C">
        <w:t xml:space="preserve"> quality</w:t>
      </w:r>
      <w:bookmarkEnd w:id="348"/>
      <w:bookmarkEnd w:id="349"/>
    </w:p>
    <w:p w14:paraId="19338038" w14:textId="77777777" w:rsidR="00C9672D" w:rsidRDefault="00C9672D" w:rsidP="00C9672D">
      <w:pPr>
        <w:pStyle w:val="Normalpara"/>
      </w:pPr>
      <w:r w:rsidRPr="0037570E">
        <w:t>The reviews varied in quality, with AMSTAR scores ranging from 2</w:t>
      </w:r>
      <w:r>
        <w:t xml:space="preserve"> to </w:t>
      </w:r>
      <w:r w:rsidRPr="0037570E">
        <w:t xml:space="preserve">10 (median </w:t>
      </w:r>
      <w:r>
        <w:t xml:space="preserve">6; </w:t>
      </w:r>
      <w:r w:rsidRPr="0037570E">
        <w:t xml:space="preserve">Table </w:t>
      </w:r>
      <w:r>
        <w:t>2</w:t>
      </w:r>
      <w:r w:rsidRPr="0037570E">
        <w:t xml:space="preserve">). Several AMSTAR items were </w:t>
      </w:r>
      <w:r>
        <w:t xml:space="preserve">infrequently </w:t>
      </w:r>
      <w:r w:rsidRPr="0037570E">
        <w:t>reported in the included reviews:</w:t>
      </w:r>
    </w:p>
    <w:p w14:paraId="67CAB4F7" w14:textId="77777777" w:rsidR="00C9672D" w:rsidRDefault="00C9672D" w:rsidP="00C9672D">
      <w:pPr>
        <w:pStyle w:val="NormalBulleted"/>
      </w:pPr>
      <w:r>
        <w:t>An a priori design (five reviews).</w:t>
      </w:r>
    </w:p>
    <w:p w14:paraId="668D52A7" w14:textId="77777777" w:rsidR="00C9672D" w:rsidRDefault="00C9672D" w:rsidP="00C9672D">
      <w:pPr>
        <w:pStyle w:val="NormalBulleted"/>
      </w:pPr>
      <w:r>
        <w:t>D</w:t>
      </w:r>
      <w:r w:rsidRPr="0037570E">
        <w:t>isclosing conflict of interest for individual studies (no reviews)</w:t>
      </w:r>
      <w:r>
        <w:t>.</w:t>
      </w:r>
    </w:p>
    <w:p w14:paraId="56A8B239" w14:textId="77777777" w:rsidR="00C9672D" w:rsidRDefault="00C9672D" w:rsidP="00C9672D">
      <w:pPr>
        <w:pStyle w:val="NormalBulleted"/>
      </w:pPr>
      <w:r>
        <w:t>Including a list of included and excluded studies (6 reviews</w:t>
      </w:r>
      <w:r w:rsidRPr="0037570E">
        <w:t>)</w:t>
      </w:r>
      <w:r>
        <w:t>.</w:t>
      </w:r>
    </w:p>
    <w:p w14:paraId="20CA2194" w14:textId="77777777" w:rsidR="00C9672D" w:rsidRDefault="00C9672D" w:rsidP="00C9672D">
      <w:pPr>
        <w:pStyle w:val="NormalBulleted"/>
      </w:pPr>
      <w:r>
        <w:t>Assessing the likelihood of publication bias (6 reviews)</w:t>
      </w:r>
      <w:r w:rsidRPr="0037570E">
        <w:t>.</w:t>
      </w:r>
    </w:p>
    <w:p w14:paraId="057701B0" w14:textId="77777777" w:rsidR="00C9672D" w:rsidRPr="0037570E" w:rsidRDefault="00C9672D" w:rsidP="00C9672D">
      <w:pPr>
        <w:pStyle w:val="Normalpara"/>
      </w:pPr>
      <w:r w:rsidRPr="0037570E">
        <w:t xml:space="preserve">This may in fact reflect journal word limits or publication space limitations rather than poor </w:t>
      </w:r>
      <w:r>
        <w:t>design</w:t>
      </w:r>
      <w:r w:rsidRPr="0037570E">
        <w:t>.</w:t>
      </w:r>
      <w:r>
        <w:t xml:space="preserve"> A lack of reporting for publication bias most likely reflected the heterogeneity of the included </w:t>
      </w:r>
      <w:r w:rsidRPr="0092142F">
        <w:t>studies.</w:t>
      </w:r>
    </w:p>
    <w:p w14:paraId="41886506" w14:textId="77777777" w:rsidR="00C9672D" w:rsidRPr="0089198C" w:rsidRDefault="00C9672D" w:rsidP="00C9672D">
      <w:pPr>
        <w:pStyle w:val="ApD2Head"/>
      </w:pPr>
      <w:bookmarkStart w:id="350" w:name="_Toc525740566"/>
      <w:bookmarkStart w:id="351" w:name="_Toc525816132"/>
      <w:r w:rsidRPr="0089198C">
        <w:t xml:space="preserve">Intervention </w:t>
      </w:r>
      <w:r w:rsidRPr="001B29EE">
        <w:t>strategies</w:t>
      </w:r>
      <w:bookmarkEnd w:id="350"/>
      <w:bookmarkEnd w:id="351"/>
    </w:p>
    <w:p w14:paraId="289877D7" w14:textId="77777777" w:rsidR="00C9672D" w:rsidRPr="0037570E" w:rsidRDefault="00C9672D" w:rsidP="00C9672D">
      <w:pPr>
        <w:pStyle w:val="Normalpara"/>
      </w:pPr>
      <w:r w:rsidRPr="0037570E">
        <w:t xml:space="preserve">A range of intervention strategies </w:t>
      </w:r>
      <w:r>
        <w:t xml:space="preserve">was </w:t>
      </w:r>
      <w:r w:rsidRPr="0037570E">
        <w:t xml:space="preserve">identified. However, many distinctly different strategies were sometimes considered together under broad headings (for example, ‘education’, while similar strategies were considered separately (for example, ‘education + feedback + system change’). Due to this variation in methodology, some combinations of strategies within given interventions were </w:t>
      </w:r>
      <w:r w:rsidRPr="003E433A">
        <w:t>collapsed into broader headings. The range of definitions may also have accounted for the variation in reported effectiveness between seemingly similar approaches. Results of each type of intervention are presented in Tables 3–6; results of key studies for each intervention are listed, as well as the general findings of each review</w:t>
      </w:r>
      <w:r w:rsidRPr="0037570E">
        <w:t>.</w:t>
      </w:r>
    </w:p>
    <w:p w14:paraId="7C3A32B7" w14:textId="77777777" w:rsidR="00C9672D" w:rsidRDefault="00C9672D" w:rsidP="00C9672D">
      <w:pPr>
        <w:pStyle w:val="Normalpara"/>
      </w:pPr>
      <w:r w:rsidRPr="0037570E">
        <w:t xml:space="preserve">The </w:t>
      </w:r>
      <w:r>
        <w:t xml:space="preserve">included </w:t>
      </w:r>
      <w:r w:rsidRPr="0037570E">
        <w:t xml:space="preserve">reviews varied considerably in focus, and </w:t>
      </w:r>
      <w:r>
        <w:t>fell into one of three</w:t>
      </w:r>
      <w:r w:rsidRPr="0037570E">
        <w:t xml:space="preserve"> general categories:</w:t>
      </w:r>
    </w:p>
    <w:p w14:paraId="5FB89ED9" w14:textId="77777777" w:rsidR="00C9672D" w:rsidRDefault="00C9672D" w:rsidP="00C9672D">
      <w:pPr>
        <w:pStyle w:val="NormalBulleted"/>
      </w:pPr>
      <w:r>
        <w:t>B</w:t>
      </w:r>
      <w:r w:rsidRPr="0037570E">
        <w:t>road reviews (for example, on all types of educational interventions)</w:t>
      </w:r>
      <w:r>
        <w:t>.</w:t>
      </w:r>
    </w:p>
    <w:p w14:paraId="48B2DB26" w14:textId="77777777" w:rsidR="00C9672D" w:rsidRDefault="00C9672D" w:rsidP="00C9672D">
      <w:pPr>
        <w:pStyle w:val="NormalBulleted"/>
      </w:pPr>
      <w:r>
        <w:t>R</w:t>
      </w:r>
      <w:r w:rsidRPr="0037570E">
        <w:t>eviews of specific settings (for example, primary care)</w:t>
      </w:r>
      <w:r>
        <w:t>.</w:t>
      </w:r>
    </w:p>
    <w:p w14:paraId="108E255D" w14:textId="77777777" w:rsidR="00C9672D" w:rsidRDefault="00C9672D" w:rsidP="00C9672D">
      <w:pPr>
        <w:pStyle w:val="NormalBulleted"/>
      </w:pPr>
      <w:r>
        <w:t>R</w:t>
      </w:r>
      <w:r w:rsidRPr="0037570E">
        <w:t>eviews of specific behaviours (for example, laboratory test ordering)</w:t>
      </w:r>
      <w:r>
        <w:t>.</w:t>
      </w:r>
    </w:p>
    <w:p w14:paraId="383C0B1F" w14:textId="77777777" w:rsidR="00C9672D" w:rsidRPr="00D81A7C" w:rsidRDefault="00C9672D" w:rsidP="00553C63">
      <w:pPr>
        <w:pStyle w:val="ApDHead3"/>
        <w:rPr>
          <w:rStyle w:val="Bold"/>
          <w:rFonts w:ascii="Arial" w:hAnsi="Arial"/>
          <w:b/>
        </w:rPr>
      </w:pPr>
      <w:r w:rsidRPr="00D81A7C">
        <w:rPr>
          <w:rStyle w:val="Bold"/>
          <w:rFonts w:ascii="Arial" w:hAnsi="Arial"/>
        </w:rPr>
        <w:t>Intervention classification</w:t>
      </w:r>
    </w:p>
    <w:p w14:paraId="72836FC9" w14:textId="77777777" w:rsidR="00C9672D" w:rsidRPr="009B3DAC" w:rsidRDefault="00C9672D" w:rsidP="00C9672D">
      <w:pPr>
        <w:pStyle w:val="Normalpara"/>
      </w:pPr>
      <w:r w:rsidRPr="009B3DAC">
        <w:t>Interventions used to affect physician diagnostic imaging or laboratory ordering practices were categorised into one or more of the following non-exclusive categories</w:t>
      </w:r>
      <w:r>
        <w:t>, based on Effective Practice and Organisation of Care (EPOC) taxonomy (</w:t>
      </w:r>
      <w:r w:rsidRPr="00D2108C">
        <w:t>http://epoc.cochrane.org/epoc-taxonomy</w:t>
      </w:r>
      <w:r>
        <w:t>)</w:t>
      </w:r>
      <w:r w:rsidRPr="009B3DAC">
        <w:t>:</w:t>
      </w:r>
    </w:p>
    <w:p w14:paraId="376475D2" w14:textId="77777777" w:rsidR="00C9672D" w:rsidRDefault="00C9672D" w:rsidP="00C9672D">
      <w:pPr>
        <w:pStyle w:val="NormalBulleted"/>
      </w:pPr>
      <w:r w:rsidRPr="009B3DAC">
        <w:rPr>
          <w:i/>
          <w:iCs/>
        </w:rPr>
        <w:lastRenderedPageBreak/>
        <w:t>Educational interventions</w:t>
      </w:r>
      <w:r w:rsidRPr="009B3DAC">
        <w:t> in which appropriate test ordering (including the distribution of guidelines) was taught to physicians</w:t>
      </w:r>
      <w:r>
        <w:t>.</w:t>
      </w:r>
    </w:p>
    <w:p w14:paraId="2408C040" w14:textId="1270A8D6" w:rsidR="00C9672D" w:rsidRPr="00D2108C" w:rsidRDefault="00151388" w:rsidP="00C9672D">
      <w:pPr>
        <w:pStyle w:val="NormalBulleted"/>
      </w:pPr>
      <w:r>
        <w:rPr>
          <w:i/>
          <w:iCs/>
        </w:rPr>
        <w:t xml:space="preserve">CDSS </w:t>
      </w:r>
      <w:r w:rsidR="00C9672D">
        <w:rPr>
          <w:i/>
          <w:iCs/>
        </w:rPr>
        <w:t xml:space="preserve"> </w:t>
      </w:r>
      <w:r w:rsidR="00C9672D" w:rsidRPr="009B3DAC">
        <w:rPr>
          <w:iCs/>
        </w:rPr>
        <w:t>involving</w:t>
      </w:r>
      <w:r w:rsidR="00C9672D">
        <w:rPr>
          <w:i/>
          <w:iCs/>
        </w:rPr>
        <w:t>:</w:t>
      </w:r>
    </w:p>
    <w:p w14:paraId="7EC40B3F" w14:textId="77777777" w:rsidR="00C9672D" w:rsidRPr="00E508BC" w:rsidRDefault="00C9672D" w:rsidP="00C9672D">
      <w:pPr>
        <w:pStyle w:val="02dash"/>
        <w:numPr>
          <w:ilvl w:val="1"/>
          <w:numId w:val="17"/>
        </w:numPr>
        <w:spacing w:before="0" w:line="240" w:lineRule="auto"/>
        <w:ind w:left="641" w:right="0"/>
      </w:pPr>
      <w:r w:rsidRPr="00E508BC">
        <w:t>CPOE systems with rules disallowing test ordering in specific circumstances</w:t>
      </w:r>
    </w:p>
    <w:p w14:paraId="41F07256" w14:textId="77777777" w:rsidR="00C9672D" w:rsidRPr="00E508BC" w:rsidRDefault="00C9672D" w:rsidP="00C9672D">
      <w:pPr>
        <w:pStyle w:val="02dash"/>
        <w:numPr>
          <w:ilvl w:val="1"/>
          <w:numId w:val="17"/>
        </w:numPr>
        <w:spacing w:before="0" w:line="240" w:lineRule="auto"/>
        <w:ind w:left="641" w:right="0"/>
      </w:pPr>
      <w:r w:rsidRPr="00E508BC">
        <w:t>an interactive computer system that forces physicians to integrate previous knowledge about the patient and/or the medical literature into the test-ordering process</w:t>
      </w:r>
    </w:p>
    <w:p w14:paraId="405F3039" w14:textId="77777777" w:rsidR="00C9672D" w:rsidRPr="00E508BC" w:rsidRDefault="00C9672D" w:rsidP="00C9672D">
      <w:pPr>
        <w:pStyle w:val="02dash"/>
        <w:numPr>
          <w:ilvl w:val="1"/>
          <w:numId w:val="17"/>
        </w:numPr>
        <w:spacing w:before="0" w:line="240" w:lineRule="auto"/>
        <w:ind w:left="641" w:right="0"/>
      </w:pPr>
      <w:r w:rsidRPr="00E508BC">
        <w:t>alerts, prompts and reminders</w:t>
      </w:r>
    </w:p>
    <w:p w14:paraId="1EC9D286" w14:textId="77777777" w:rsidR="00C9672D" w:rsidRPr="00E508BC" w:rsidRDefault="00C9672D" w:rsidP="00C9672D">
      <w:pPr>
        <w:pStyle w:val="02dash"/>
        <w:numPr>
          <w:ilvl w:val="1"/>
          <w:numId w:val="17"/>
        </w:numPr>
        <w:spacing w:before="0" w:line="240" w:lineRule="auto"/>
        <w:ind w:left="641" w:right="0"/>
      </w:pPr>
      <w:r w:rsidRPr="00E508BC">
        <w:t>utility score ratings in which the appropriateness of imaging requests are rate</w:t>
      </w:r>
    </w:p>
    <w:p w14:paraId="3F9E3406" w14:textId="77777777" w:rsidR="00C9672D" w:rsidRPr="00E508BC" w:rsidRDefault="00C9672D" w:rsidP="00C9672D">
      <w:pPr>
        <w:pStyle w:val="02dash"/>
        <w:numPr>
          <w:ilvl w:val="1"/>
          <w:numId w:val="17"/>
        </w:numPr>
        <w:spacing w:before="0" w:line="240" w:lineRule="auto"/>
        <w:ind w:left="641" w:right="0"/>
      </w:pPr>
      <w:r w:rsidRPr="00E508BC">
        <w:t>health information exchange (HIE) in which information is mobilised electronically across organisations</w:t>
      </w:r>
    </w:p>
    <w:p w14:paraId="333E9FC0" w14:textId="77777777" w:rsidR="00C9672D" w:rsidRPr="00E508BC" w:rsidRDefault="00C9672D" w:rsidP="00C9672D">
      <w:pPr>
        <w:pStyle w:val="02dash"/>
        <w:numPr>
          <w:ilvl w:val="1"/>
          <w:numId w:val="17"/>
        </w:numPr>
        <w:spacing w:before="0" w:line="240" w:lineRule="auto"/>
        <w:ind w:left="641" w:right="0"/>
      </w:pPr>
      <w:r w:rsidRPr="00E508BC">
        <w:t>clinical team decision support</w:t>
      </w:r>
    </w:p>
    <w:p w14:paraId="04834CDD" w14:textId="77777777" w:rsidR="00C9672D" w:rsidRPr="00E508BC" w:rsidRDefault="00C9672D" w:rsidP="00C9672D">
      <w:pPr>
        <w:pStyle w:val="02dash"/>
        <w:numPr>
          <w:ilvl w:val="1"/>
          <w:numId w:val="17"/>
        </w:numPr>
        <w:spacing w:before="0" w:line="240" w:lineRule="auto"/>
        <w:ind w:left="641" w:right="0"/>
      </w:pPr>
      <w:r w:rsidRPr="00E508BC">
        <w:t>guideline dissemination</w:t>
      </w:r>
    </w:p>
    <w:p w14:paraId="3C287208" w14:textId="77777777" w:rsidR="00C9672D" w:rsidRPr="00E508BC" w:rsidRDefault="00C9672D" w:rsidP="00C9672D">
      <w:pPr>
        <w:pStyle w:val="02dash"/>
        <w:numPr>
          <w:ilvl w:val="1"/>
          <w:numId w:val="17"/>
        </w:numPr>
        <w:spacing w:before="0" w:line="240" w:lineRule="auto"/>
        <w:ind w:left="641" w:right="0"/>
      </w:pPr>
      <w:r w:rsidRPr="00E508BC">
        <w:t>price display.</w:t>
      </w:r>
    </w:p>
    <w:p w14:paraId="76AB7C23" w14:textId="77777777" w:rsidR="00C9672D" w:rsidRPr="009B3DAC" w:rsidRDefault="00C9672D" w:rsidP="00C9672D">
      <w:pPr>
        <w:pStyle w:val="NormalBulleted"/>
      </w:pPr>
      <w:r w:rsidRPr="009B3DAC">
        <w:rPr>
          <w:i/>
          <w:iCs/>
        </w:rPr>
        <w:t>Audit and feedback interventions</w:t>
      </w:r>
      <w:r w:rsidRPr="009B3DAC">
        <w:t xml:space="preserve"> in which physicians were presented </w:t>
      </w:r>
      <w:r>
        <w:t xml:space="preserve">with statement of </w:t>
      </w:r>
      <w:r w:rsidRPr="009B3DAC">
        <w:t>their test utili</w:t>
      </w:r>
      <w:r>
        <w:t>s</w:t>
      </w:r>
      <w:r w:rsidRPr="009B3DAC">
        <w:t>ation c</w:t>
      </w:r>
      <w:r>
        <w:t>ompared with their previous utilisation or peer utilis</w:t>
      </w:r>
      <w:r w:rsidRPr="009B3DAC">
        <w:t>ation</w:t>
      </w:r>
      <w:r>
        <w:t>,</w:t>
      </w:r>
      <w:r w:rsidRPr="009B3DAC">
        <w:t xml:space="preserve"> or the total costs of the tests they ordered</w:t>
      </w:r>
      <w:r>
        <w:t>.</w:t>
      </w:r>
    </w:p>
    <w:p w14:paraId="2BC645C0" w14:textId="77777777" w:rsidR="00C9672D" w:rsidRDefault="00C9672D" w:rsidP="00C9672D">
      <w:pPr>
        <w:pStyle w:val="NormalBulleted"/>
      </w:pPr>
      <w:r w:rsidRPr="009B3DAC">
        <w:rPr>
          <w:i/>
          <w:iCs/>
        </w:rPr>
        <w:t>System-based interventions</w:t>
      </w:r>
      <w:r w:rsidRPr="009B3DAC">
        <w:t> involving one-time, permanent changes to test</w:t>
      </w:r>
      <w:r>
        <w:t>-</w:t>
      </w:r>
      <w:r w:rsidRPr="009B3DAC">
        <w:t xml:space="preserve">ordering processes </w:t>
      </w:r>
      <w:r>
        <w:t>(</w:t>
      </w:r>
      <w:r w:rsidRPr="009B3DAC">
        <w:t>inclu</w:t>
      </w:r>
      <w:r>
        <w:t>ding order form modifications).</w:t>
      </w:r>
    </w:p>
    <w:p w14:paraId="706E941D" w14:textId="77777777" w:rsidR="00C9672D" w:rsidRDefault="00C9672D" w:rsidP="00C9672D">
      <w:pPr>
        <w:pStyle w:val="NormalBulleted"/>
      </w:pPr>
      <w:r>
        <w:rPr>
          <w:i/>
          <w:iCs/>
        </w:rPr>
        <w:t xml:space="preserve">Quality improvement, </w:t>
      </w:r>
      <w:r w:rsidRPr="00A42C9F">
        <w:rPr>
          <w:iCs/>
        </w:rPr>
        <w:t xml:space="preserve">which was predominantly </w:t>
      </w:r>
      <w:r w:rsidRPr="00A42C9F">
        <w:t>modifications</w:t>
      </w:r>
      <w:r w:rsidRPr="0065182D">
        <w:t xml:space="preserve"> or restrictions to referral or order forms</w:t>
      </w:r>
      <w:r>
        <w:t>.</w:t>
      </w:r>
    </w:p>
    <w:p w14:paraId="5D3513AB" w14:textId="77777777" w:rsidR="00C9672D" w:rsidRPr="009B3DAC" w:rsidRDefault="00C9672D" w:rsidP="00C9672D">
      <w:pPr>
        <w:pStyle w:val="NormalBulleted"/>
      </w:pPr>
      <w:r>
        <w:rPr>
          <w:i/>
          <w:iCs/>
        </w:rPr>
        <w:t xml:space="preserve">Payment systems </w:t>
      </w:r>
      <w:r w:rsidRPr="009B3DAC">
        <w:t>in which physicians received rewards or punishments for certain test ordering practices.</w:t>
      </w:r>
    </w:p>
    <w:p w14:paraId="58408021" w14:textId="77777777" w:rsidR="00C9672D" w:rsidRDefault="00C9672D" w:rsidP="00C9672D">
      <w:pPr>
        <w:pStyle w:val="ApD2Head"/>
        <w:sectPr w:rsidR="00C9672D" w:rsidSect="00C9672D">
          <w:footerReference w:type="default" r:id="rId36"/>
          <w:footnotePr>
            <w:numFmt w:val="chicago"/>
            <w:numRestart w:val="eachPage"/>
          </w:footnotePr>
          <w:type w:val="continuous"/>
          <w:pgSz w:w="11906" w:h="16838" w:code="9"/>
          <w:pgMar w:top="1134" w:right="1134" w:bottom="1134" w:left="1134" w:header="720" w:footer="442" w:gutter="567"/>
          <w:cols w:space="708"/>
          <w:docGrid w:linePitch="360"/>
        </w:sectPr>
      </w:pPr>
      <w:bookmarkStart w:id="352" w:name="_Toc525740567"/>
      <w:bookmarkStart w:id="353" w:name="_Toc525816133"/>
      <w:r w:rsidRPr="000404FA">
        <w:t>Clinical decision support</w:t>
      </w:r>
      <w:bookmarkEnd w:id="352"/>
      <w:bookmarkEnd w:id="353"/>
      <w:r w:rsidR="00151388">
        <w:t xml:space="preserve"> (CDS)</w:t>
      </w:r>
    </w:p>
    <w:p w14:paraId="3D80593D" w14:textId="0709E559" w:rsidR="00C9672D" w:rsidRPr="000404FA" w:rsidRDefault="00C9672D" w:rsidP="00C9672D">
      <w:pPr>
        <w:pStyle w:val="Normalpara"/>
      </w:pPr>
      <w:r w:rsidRPr="000404FA">
        <w:t xml:space="preserve">A total of 16 </w:t>
      </w:r>
      <w:r>
        <w:t>reviews</w:t>
      </w:r>
      <w:r w:rsidRPr="000404FA">
        <w:t xml:space="preserve"> that met the eligibility criteria investigated </w:t>
      </w:r>
      <w:r w:rsidR="00151388">
        <w:t>CDS</w:t>
      </w:r>
      <w:r w:rsidRPr="000404FA">
        <w:t xml:space="preserve"> interventions.</w: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Y051bT4xMDA8L1JlY051bT48RGlzcGxheVRleHQ+WzEtMTZdPC9EaXNwbGF5VGV4dD48cmVjb3Jk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PC9sYW5ndWFnZT48L3JlY29yZD48L0NpdGU+PENpdGU+PEF1dGhvcj5CcmlnaHQ8L0F1dGhvcj48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bHQtcGVyaW9kaWNhbD48cGFnZXM+MjnigJM0MzwvcGFnZXM+PHZvbHVtZT4xNTc8L3ZvbHVtZT48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ZXJpb2RpY2FsPjxwYWdlcz5DRDAxMDY2OTwvcGFnZXM+PG51bWJlcj44PC9udW1iZXI+PGVkaXRp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TWFnbnVzc2VuKSwgTWFjcXVhcmllIFVuaXZlcnNpdHksIFN5ZG5leSwgQXVzdHJhbGlhLjwvYXV0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aXRlPjxBdXRob3I+TWFpbjwvQXV0aG9yPjxZZWFyPjIwMTA8L1llYXI+PFJlY051bT40NTwvUmVj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PC9sYW5ndWFnZT48L3JlY29yZD48L0NpdGU+PENpdGU+PEF1dGhvcj5UaG9tYXM8L0F1dGhvcj48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fldChar w:fldCharType="separate"/>
      </w:r>
      <w:r>
        <w:rPr>
          <w:noProof/>
        </w:rPr>
        <w:t>[1-16]</w:t>
      </w:r>
      <w:r>
        <w:fldChar w:fldCharType="end"/>
      </w:r>
    </w:p>
    <w:p w14:paraId="7FEC5E89" w14:textId="2A35463D" w:rsidR="00C9672D" w:rsidRPr="00863FD1" w:rsidRDefault="00C9672D" w:rsidP="00C9672D">
      <w:pPr>
        <w:pStyle w:val="Normalpara"/>
      </w:pPr>
      <w:r w:rsidRPr="003E433A">
        <w:t xml:space="preserve">The key findings on </w:t>
      </w:r>
      <w:r w:rsidR="00151388">
        <w:t>CDS</w:t>
      </w:r>
      <w:r w:rsidRPr="003E433A">
        <w:t xml:space="preserve"> interventions from these reviews are summarised in Table 3.</w:t>
      </w:r>
      <w:r w:rsidRPr="00863FD1">
        <w:t xml:space="preserve"> </w:t>
      </w:r>
      <w:r w:rsidR="00151388">
        <w:t>CDS</w:t>
      </w:r>
      <w:r w:rsidRPr="00863FD1">
        <w:t xml:space="preserve"> interventions that were investigated included:</w:t>
      </w:r>
    </w:p>
    <w:p w14:paraId="29F3A4C2" w14:textId="77777777" w:rsidR="00C9672D" w:rsidRPr="00863FD1" w:rsidRDefault="00C9672D" w:rsidP="00C9672D">
      <w:pPr>
        <w:pStyle w:val="NormalBulleted"/>
      </w:pPr>
      <w:r w:rsidRPr="000404FA">
        <w:t>alerts, prompts or reminders</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p>
    <w:p w14:paraId="03046B0A" w14:textId="77777777" w:rsidR="00C9672D" w:rsidRPr="00863FD1" w:rsidRDefault="00C9672D" w:rsidP="00C9672D">
      <w:pPr>
        <w:pStyle w:val="NormalBulleted"/>
      </w:pPr>
      <w:r w:rsidRPr="000404FA">
        <w:t>CPOE</w:t>
      </w:r>
      <w:r>
        <w:t xml:space="preserve"> </w:t>
      </w:r>
      <w:r w:rsidRPr="000404FA">
        <w:t xml:space="preserve">or </w:t>
      </w:r>
      <w:r w:rsidRPr="00863FD1">
        <w:t>CDSS</w: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[2,4,7,8,12,13]</w:t>
      </w:r>
      <w:r>
        <w:fldChar w:fldCharType="end"/>
      </w:r>
    </w:p>
    <w:p w14:paraId="5B8B19D3" w14:textId="77777777" w:rsidR="00C9672D" w:rsidRPr="00863FD1" w:rsidRDefault="00C9672D" w:rsidP="00C9672D">
      <w:pPr>
        <w:pStyle w:val="NormalBulleted"/>
      </w:pPr>
      <w:r w:rsidRPr="000404FA">
        <w:t>utility score ratings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026AA088" w14:textId="77777777" w:rsidR="00C9672D" w:rsidRPr="00863FD1" w:rsidRDefault="00C9672D" w:rsidP="00C9672D">
      <w:pPr>
        <w:pStyle w:val="NormalBulleted"/>
      </w:pPr>
      <w:r w:rsidRPr="00863FD1">
        <w:t>HIE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4F9D2299" w14:textId="77777777" w:rsidR="00C9672D" w:rsidRPr="00863FD1" w:rsidRDefault="00C9672D" w:rsidP="00C9672D">
      <w:pPr>
        <w:pStyle w:val="NormalBulleted"/>
      </w:pPr>
      <w:r w:rsidRPr="000404FA">
        <w:t>c</w:t>
      </w:r>
      <w:r w:rsidRPr="00863FD1">
        <w:t>linical team decision support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5A453354" w14:textId="77777777" w:rsidR="00C9672D" w:rsidRPr="00863FD1" w:rsidRDefault="00C9672D" w:rsidP="00C9672D">
      <w:pPr>
        <w:pStyle w:val="NormalBulleted"/>
      </w:pPr>
      <w:r w:rsidRPr="000404FA">
        <w:t>g</w:t>
      </w:r>
      <w:r w:rsidRPr="00863FD1">
        <w:t>uideline dissemination</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863FD1">
        <w:t xml:space="preserve"> or implementation tools</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p>
    <w:p w14:paraId="2BCF1600" w14:textId="77777777" w:rsidR="00C9672D" w:rsidRPr="00F5733C" w:rsidRDefault="00C9672D" w:rsidP="00C9672D">
      <w:pPr>
        <w:pStyle w:val="NormalBulleted"/>
      </w:pPr>
      <w:r w:rsidRPr="000404FA">
        <w:t>p</w:t>
      </w:r>
      <w:r w:rsidRPr="00863FD1">
        <w:t>rice dis</w:t>
      </w:r>
      <w:r w:rsidRPr="00F5733C">
        <w:t>play</w:t>
      </w:r>
      <w:r>
        <w:t>.</w:t>
      </w:r>
      <w:r w:rsidRPr="00F5733C">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rsidRPr="00F5733C">
        <w:fldChar w:fldCharType="separate"/>
      </w:r>
      <w:r>
        <w:rPr>
          <w:noProof/>
        </w:rPr>
        <w:t>[3,9,14]</w:t>
      </w:r>
      <w:r w:rsidRPr="00F5733C">
        <w:fldChar w:fldCharType="end"/>
      </w:r>
    </w:p>
    <w:p w14:paraId="428BDAD6" w14:textId="58D450B7" w:rsidR="00C9672D" w:rsidRDefault="00C9672D" w:rsidP="00C9672D">
      <w:pPr>
        <w:pStyle w:val="Normalpara"/>
      </w:pPr>
      <w:r w:rsidRPr="002A3649">
        <w:t xml:space="preserve">Overall, </w:t>
      </w:r>
      <w:r w:rsidR="00151388">
        <w:t>CDS</w:t>
      </w:r>
      <w:r w:rsidRPr="002A3649">
        <w:t xml:space="preserve"> interventions improved the appropriateness and clinical utility of diagnostic imaging and pathology tests requested by health professionals</w:t>
      </w:r>
      <w:r>
        <w:t>,</w:t>
      </w:r>
      <w:r w:rsidRPr="002A3649">
        <w:t xml:space="preserve"> with each type of intervention investigated leading to improvements in at least one of the assessed outcomes.</w:t>
      </w:r>
    </w:p>
    <w:p w14:paraId="0A571F9C" w14:textId="77777777" w:rsidR="00C9672D" w:rsidRPr="000404FA" w:rsidRDefault="00C9672D" w:rsidP="00C9672D">
      <w:pPr>
        <w:pStyle w:val="Normalpara"/>
      </w:pPr>
      <w:r w:rsidRPr="000404FA">
        <w:t xml:space="preserve">Two </w:t>
      </w:r>
      <w:r>
        <w:t>reviews</w:t>
      </w:r>
      <w:r w:rsidRPr="000404FA">
        <w:t xml:space="preserve"> investigated ‘system-based interventions’.</w: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 </w:instrTex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EN.CITE.DATA </w:instrText>
      </w:r>
      <w:r>
        <w:fldChar w:fldCharType="end"/>
      </w:r>
      <w:r>
        <w:fldChar w:fldCharType="separate"/>
      </w:r>
      <w:r>
        <w:rPr>
          <w:noProof/>
        </w:rPr>
        <w:t>[11,15]</w:t>
      </w:r>
      <w:r>
        <w:fldChar w:fldCharType="end"/>
      </w:r>
      <w:r w:rsidRPr="000404FA">
        <w:t xml:space="preserve"> In one </w:t>
      </w:r>
      <w:r>
        <w:t>review</w:t>
      </w:r>
      <w:r w:rsidRPr="000404FA">
        <w:t xml:space="preserve"> this was described as one-time, permanent changes to test ordering processes</w:t>
      </w:r>
      <w:r>
        <w:t>,</w:t>
      </w:r>
      <w:r w:rsidRPr="000404FA">
        <w:t xml:space="preserve"> including order form modifications, computer order entry systems with rules disallowing test ordering in specific circumstances, and CDSS in which an interactive computer system forces physicians to integrate previous knowledge about the patient and/or the medical literature into the test ordering process.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4B644B4F" w14:textId="77777777" w:rsidR="00C9672D" w:rsidRPr="000404FA" w:rsidRDefault="00C9672D" w:rsidP="00C9672D">
      <w:pPr>
        <w:pStyle w:val="Normalpara"/>
      </w:pPr>
      <w:r w:rsidRPr="000404FA">
        <w:lastRenderedPageBreak/>
        <w:t xml:space="preserve">In the second </w:t>
      </w:r>
      <w:r>
        <w:t>review</w:t>
      </w:r>
      <w:r w:rsidRPr="000404FA">
        <w:t>, system-based interventions were described more briefly as order form modifications and computerised CDSS.</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61A9F2E9" w14:textId="77777777" w:rsidR="00C9672D" w:rsidRPr="000404FA" w:rsidRDefault="00C9672D" w:rsidP="00C9672D">
      <w:pPr>
        <w:pStyle w:val="Normalpara"/>
      </w:pPr>
      <w:r w:rsidRPr="000404FA">
        <w:t>Although results below have been categorised by intervention, there was some overlap. For example, a CDSS can include alerts, reminders or recommendations.</w:t>
      </w:r>
    </w:p>
    <w:p w14:paraId="4FD8ACFC" w14:textId="77777777" w:rsidR="00C9672D" w:rsidRPr="005B409E" w:rsidRDefault="00C9672D" w:rsidP="00553C63">
      <w:pPr>
        <w:pStyle w:val="ApD3Head"/>
        <w:rPr>
          <w:rStyle w:val="Bold"/>
          <w:b/>
        </w:rPr>
      </w:pPr>
      <w:bookmarkStart w:id="354" w:name="_Toc525740568"/>
      <w:bookmarkStart w:id="355" w:name="_Toc525816134"/>
      <w:r w:rsidRPr="005B409E">
        <w:rPr>
          <w:rStyle w:val="Bold"/>
        </w:rPr>
        <w:t>Alerts, prompts or reminders</w:t>
      </w:r>
      <w:bookmarkEnd w:id="354"/>
      <w:bookmarkEnd w:id="355"/>
    </w:p>
    <w:p w14:paraId="46711F4E" w14:textId="77777777" w:rsidR="00C9672D" w:rsidRPr="00863FD1" w:rsidRDefault="00C9672D" w:rsidP="00C9672D">
      <w:pPr>
        <w:pStyle w:val="Normalpara"/>
      </w:pPr>
      <w:r w:rsidRPr="00863FD1">
        <w:t xml:space="preserve">Alerts, prompts or reminders were investigated in four </w:t>
      </w:r>
      <w:r>
        <w:t>reviews</w:t>
      </w:r>
      <w:r w:rsidRPr="00863FD1">
        <w:t>.</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ZT5lbmc8L2xhbmd1YWdlPjwvcmVjb3JkPjwvQ2l0ZT48Q2l0ZT48QXV0aG9yPlR6b3J0emlvdSBC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dXN0cmFsaWEgaGF6ZWwuamVua2luc0BtcS5lZHUuYXUuJiN4RDtEZXBhcnRtZW50IG9mIEhlYWx0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ZW4pLCBNYWNxdWFyaWUgVW5pdmVyc2l0eSwgU3lkbmV5LCBBdXN0cmFsaWEuPC9hdXRoLWFkZHJl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ZT5lbmc8L2xhbmd1YWdlPjwvcmVjb3JkPjwvQ2l0ZT48Q2l0ZT48QXV0aG9yPlR6b3J0emlvdSBC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dXN0cmFsaWEgaGF6ZWwuamVua2luc0BtcS5lZHUuYXUuJiN4RDtEZXBhcnRtZW50IG9mIEhlYWx0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ZW4pLCBNYWNxdWFyaWUgVW5pdmVyc2l0eSwgU3lkbmV5LCBBdXN0cmFsaWEuPC9hdXRoLWFkZHJl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r w:rsidRPr="00863FD1">
        <w:t xml:space="preserve"> Only the </w:t>
      </w:r>
      <w:r>
        <w:t>review</w:t>
      </w:r>
      <w:r w:rsidRPr="00863FD1">
        <w:t xml:space="preserve"> by Tzortziou et al. (2016) included an analysis of pooled results.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863FD1">
        <w:t xml:space="preserve"> </w:t>
      </w:r>
    </w:p>
    <w:p w14:paraId="7CCAD26B" w14:textId="77777777" w:rsidR="00C9672D" w:rsidRPr="00863FD1" w:rsidRDefault="00C9672D" w:rsidP="00C9672D">
      <w:pPr>
        <w:pStyle w:val="Normalpara"/>
      </w:pPr>
      <w:r w:rsidRPr="00863FD1">
        <w:t>In a meta-analysis of two studies, alerts for general practitioners (including a patient-specific letter or electronic reminder message) led to improved bone mineral density testing rates (risk ratio 4.75, 95% confidence interval [CI] 3.62 to 6.24; 3047 participants) and osteoporosis medicine prescribing rates (risk ratio 1.52, 95% CI 1.26 to 1.84; 3047 participants).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0BF73FF8" w14:textId="77777777" w:rsidR="00C9672D" w:rsidRPr="00863FD1" w:rsidRDefault="00C9672D" w:rsidP="00C9672D">
      <w:pPr>
        <w:pStyle w:val="Normalpara"/>
      </w:pPr>
      <w:r w:rsidRPr="00863FD1">
        <w:t xml:space="preserve">However, the </w:t>
      </w:r>
      <w:r w:rsidRPr="000404FA">
        <w:t xml:space="preserve">certainty of evidence was downgraded due to the fact that only two studies were included, due to the relatively low number of patients and events in one </w:t>
      </w:r>
      <w:r>
        <w:t>review</w:t>
      </w:r>
      <w:r w:rsidRPr="000404FA">
        <w:t>, and also due to the considerable statistical heterogeneity observed</w:t>
      </w:r>
      <w:r w:rsidRPr="00863FD1">
        <w: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275DD28E" w14:textId="77777777" w:rsidR="00C9672D" w:rsidRPr="00863FD1" w:rsidRDefault="00C9672D" w:rsidP="00C9672D">
      <w:pPr>
        <w:pStyle w:val="Normalpara"/>
      </w:pPr>
      <w:r w:rsidRPr="00863FD1">
        <w:t xml:space="preserve">The three other </w:t>
      </w:r>
      <w:r>
        <w:t xml:space="preserve">reviews </w:t>
      </w:r>
      <w:r w:rsidRPr="00863FD1">
        <w:t>showed that alerts, prompts or reminders can improve compliance with guidelines, or reduce rates of testing, repeat testing or redundant testing.</w: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Y051bT4xMDA8L1JlY051bT48RGlzcGxheVRleHQ+WzEsNiwxMCwxNl08L0Rpc3BsYXlUZXh0Pjxy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eWRuZXksIEF1c3RyYWxpYSBoYXplbC5qZW5raW5zQG1xLmVkdS5hdS4mI3hEO0RlcGFydG1lbnQg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ci0xPjwvYWx0LXBlcmlvZGljYWw+PHBhZ2VzPkNEMDA3NDk1PC9wYWdlcz48bnVtYmVyPjU8L251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[1,6,10,16]</w:t>
      </w:r>
      <w:r>
        <w:fldChar w:fldCharType="end"/>
      </w:r>
      <w:r w:rsidRPr="00863FD1">
        <w:t xml:space="preserve"> </w:t>
      </w:r>
    </w:p>
    <w:p w14:paraId="556353AC" w14:textId="77777777" w:rsidR="00C9672D" w:rsidRPr="00863FD1" w:rsidRDefault="00C9672D" w:rsidP="00C9672D">
      <w:pPr>
        <w:pStyle w:val="Normalpara"/>
      </w:pPr>
      <w:r w:rsidRPr="00863FD1">
        <w:t>From values that were reported in the individual studies:</w:t>
      </w:r>
    </w:p>
    <w:p w14:paraId="5E8DCF44" w14:textId="77777777" w:rsidR="00C9672D" w:rsidRPr="00863FD1" w:rsidRDefault="00C9672D" w:rsidP="00C9672D">
      <w:pPr>
        <w:pStyle w:val="NormalBulleted"/>
      </w:pPr>
      <w:r w:rsidRPr="000404FA">
        <w:t>Prompts alerting non-compliance with guidelines increased compliance with guidelines from 65% to 90%.</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01553F1F" w14:textId="77777777" w:rsidR="00C9672D" w:rsidRPr="00863FD1" w:rsidRDefault="00C9672D" w:rsidP="00C9672D">
      <w:pPr>
        <w:pStyle w:val="NormalBulleted"/>
      </w:pPr>
      <w:r w:rsidRPr="000404FA">
        <w:t>Alerts decreased inappropriate redundant ordering from 54% to</w:t>
      </w:r>
      <w:r w:rsidRPr="00863FD1">
        <w:t xml:space="preserve"> 15% in one study, and by 21% </w:t>
      </w:r>
      <w:r>
        <w:t>or</w:t>
      </w:r>
      <w:r w:rsidRPr="00863FD1">
        <w:t xml:space="preserve"> 24% relative to baseline in another study.</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3E632C74" w14:textId="77777777" w:rsidR="00C9672D" w:rsidRPr="00863FD1" w:rsidRDefault="00C9672D" w:rsidP="00C9672D">
      <w:pPr>
        <w:pStyle w:val="NormalBulleted"/>
      </w:pPr>
      <w:r w:rsidRPr="000404FA">
        <w:t>Reminders improved bone mineral density test ordering by 7.1%, and reduced lumbar imaging by 22.5% to 47% (depending on the study).</w: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 </w:instrTex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EN.CITE.DATA </w:instrText>
      </w:r>
      <w:r>
        <w:fldChar w:fldCharType="end"/>
      </w:r>
      <w:r>
        <w:fldChar w:fldCharType="separate"/>
      </w:r>
      <w:r>
        <w:rPr>
          <w:noProof/>
        </w:rPr>
        <w:t>[6,10]</w:t>
      </w:r>
      <w:r>
        <w:fldChar w:fldCharType="end"/>
      </w:r>
    </w:p>
    <w:p w14:paraId="7DAD2DB6" w14:textId="77777777" w:rsidR="00C9672D" w:rsidRPr="00863FD1" w:rsidRDefault="00C9672D" w:rsidP="00C9672D">
      <w:pPr>
        <w:pStyle w:val="Normalpara"/>
      </w:pPr>
      <w:r w:rsidRPr="00863FD1">
        <w:t>Both Jenkins et al. (2015) and French et al. (2010), described that no meta-analysis was performed due to study heterogeneity.</w: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 </w:instrText>
      </w:r>
      <w:r>
        <w:fldChar w:fldCharType="begin">
          <w:fldData xml:space="preserve">PEVuZE5vdGU+PENpdGU+PEF1dGhvcj5GcmVuY2g8L0F1dGhvcj48WWVhcj4yMDEwPC9ZZWFyPjxS
ZWNOdW0+MTI8L1JlY051bT48RGlzcGxheVRleHQ+WzYsMTBdPC9EaXNwbGF5VGV4dD48cmVjb3Jk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Z3VhZ2U+PC9yZWNvcmQ+PC9DaXRlPjxDaXRlPjxBdXRob3I+SmVua2luczwvQXV0aG9yPjxZZWFy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dmVyc2l0eSwgU3lkbmV5LCBBdXN0cmFsaWEgaGF6ZWwuamVua2luc0BtcS5lZHUuYXUuJiN4RDtE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</w:fldData>
        </w:fldChar>
      </w:r>
      <w:r>
        <w:instrText xml:space="preserve"> ADDIN EN.CITE.DATA </w:instrText>
      </w:r>
      <w:r>
        <w:fldChar w:fldCharType="end"/>
      </w:r>
      <w:r>
        <w:fldChar w:fldCharType="separate"/>
      </w:r>
      <w:r>
        <w:rPr>
          <w:noProof/>
        </w:rPr>
        <w:t>[6,10]</w:t>
      </w:r>
      <w:r>
        <w:fldChar w:fldCharType="end"/>
      </w:r>
    </w:p>
    <w:p w14:paraId="77BFA709" w14:textId="77777777" w:rsidR="00C9672D" w:rsidRPr="00863FD1" w:rsidRDefault="00C9672D" w:rsidP="00C9672D">
      <w:pPr>
        <w:pStyle w:val="Normalpara"/>
      </w:pPr>
      <w:r w:rsidRPr="00863FD1">
        <w:t>French et al. (2015) demonstrated differences in the effectiveness of interventions for the appropriate use of imaging, depending on the indication. Reminder (and organisational interventions) had most potential for improving imaging use in osteoporosis, but interventions for low back pain showed variable effects.</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863FD1">
        <w:t xml:space="preserve"> </w:t>
      </w:r>
    </w:p>
    <w:p w14:paraId="0E77F14B" w14:textId="77777777" w:rsidR="00C9672D" w:rsidRPr="005B409E" w:rsidRDefault="00C9672D" w:rsidP="00C9672D">
      <w:pPr>
        <w:pStyle w:val="ApD3Head"/>
        <w:rPr>
          <w:rStyle w:val="Bold"/>
          <w:b/>
        </w:rPr>
      </w:pPr>
      <w:bookmarkStart w:id="356" w:name="_Toc525740569"/>
      <w:bookmarkStart w:id="357" w:name="_Toc525816135"/>
      <w:r w:rsidRPr="005B409E">
        <w:rPr>
          <w:rStyle w:val="Bold"/>
        </w:rPr>
        <w:t>CPOE and CDSS</w:t>
      </w:r>
      <w:bookmarkEnd w:id="356"/>
      <w:bookmarkEnd w:id="357"/>
    </w:p>
    <w:p w14:paraId="2A7088D0" w14:textId="77777777" w:rsidR="00C9672D" w:rsidRPr="000404FA" w:rsidRDefault="00C9672D" w:rsidP="00C9672D">
      <w:pPr>
        <w:pStyle w:val="Normalpara"/>
      </w:pPr>
      <w:r w:rsidRPr="000404FA">
        <w:t xml:space="preserve">Six </w:t>
      </w:r>
      <w:r>
        <w:t>reviews</w:t>
      </w:r>
      <w:r w:rsidRPr="000404FA">
        <w:t xml:space="preserve"> investigated CPOE</w:t>
      </w:r>
      <w:r>
        <w:t xml:space="preserve"> or CDSS</w:t>
      </w:r>
      <w:r w:rsidRPr="000404FA">
        <w:t>.</w: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PEVuZE5vdGU+PENpdGU+PEF1dGhvcj5CcmlnaHQ8L0F1dGhvcj48WWVhcj4yMDEyPC9ZZWFyPjxS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[2,4,7,8,12,13]</w:t>
      </w:r>
      <w:r>
        <w:fldChar w:fldCharType="end"/>
      </w:r>
      <w:r w:rsidRPr="000404FA">
        <w:t xml:space="preserve"> A meta-analysis was conducted in two </w:t>
      </w:r>
      <w:r>
        <w:t>reviews</w:t>
      </w:r>
      <w:r w:rsidRPr="000404FA">
        <w:t>,</w: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 </w:instrTex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EN.CITE.DATA </w:instrText>
      </w:r>
      <w:r>
        <w:fldChar w:fldCharType="end"/>
      </w:r>
      <w:r>
        <w:fldChar w:fldCharType="separate"/>
      </w:r>
      <w:r>
        <w:rPr>
          <w:noProof/>
        </w:rPr>
        <w:t>[2,4]</w:t>
      </w:r>
      <w:r>
        <w:fldChar w:fldCharType="end"/>
      </w:r>
      <w:r w:rsidRPr="000404FA">
        <w:t xml:space="preserve"> and three </w:t>
      </w:r>
      <w:r>
        <w:t>reviews</w:t>
      </w:r>
      <w:r w:rsidRPr="000404FA">
        <w:t xml:space="preserve"> described that a meta-analysis was not performed due to heterogeneity.</w:t>
      </w:r>
      <w:r>
        <w:fldChar w:fldCharType="begin">
          <w:fldData xml:space="preserve">PEVuZE5vdGU+PENpdGU+PEF1dGhvcj5Sb3NoYW5vdjwvQXV0aG9yPjxZZWFyPjIwMTE8L1llYXI+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UzwvYWJici0xPjwvYWx0LXBlcmlvZGljYWw+PHBhZ2VzPjg4PC9wYWdlcz48dm9sdW1lPjY8L3Zv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</w:fldData>
        </w:fldChar>
      </w:r>
      <w:r>
        <w:instrText xml:space="preserve"> ADDIN EN.CITE </w:instrText>
      </w:r>
      <w:r>
        <w:fldChar w:fldCharType="begin">
          <w:fldData xml:space="preserve">PEVuZE5vdGU+PENpdGU+PEF1dGhvcj5Sb3NoYW5vdjwvQXV0aG9yPjxZZWFyPjIwMTE8L1llYXI+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UzwvYWJici0xPjwvYWx0LXBlcmlvZGljYWw+PHBhZ2VzPjg4PC9wYWdlcz48dm9sdW1lPjY8L3Zv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</w:fldData>
        </w:fldChar>
      </w:r>
      <w:r>
        <w:instrText xml:space="preserve"> ADDIN EN.CITE.DATA </w:instrText>
      </w:r>
      <w:r>
        <w:fldChar w:fldCharType="end"/>
      </w:r>
      <w:r>
        <w:fldChar w:fldCharType="separate"/>
      </w:r>
      <w:r>
        <w:rPr>
          <w:noProof/>
        </w:rPr>
        <w:t>[7,12,13]</w:t>
      </w:r>
      <w:r>
        <w:fldChar w:fldCharType="end"/>
      </w:r>
    </w:p>
    <w:p w14:paraId="3A3D60BD" w14:textId="77777777" w:rsidR="00C9672D" w:rsidRPr="000404FA" w:rsidRDefault="00C9672D" w:rsidP="00C9672D">
      <w:pPr>
        <w:pStyle w:val="Normalpara"/>
      </w:pPr>
      <w:r w:rsidRPr="000404FA">
        <w:t>In Bright et al. (2012), commercially and locally developed CDSS improved healthcare process measures related to performing preventive services, ordering clinical studies and prescribing therapies.</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p>
    <w:p w14:paraId="5FB50FF2" w14:textId="77777777" w:rsidR="00C9672D" w:rsidRPr="000404FA" w:rsidRDefault="00C9672D" w:rsidP="00C9672D">
      <w:pPr>
        <w:pStyle w:val="Normalpara"/>
      </w:pPr>
      <w:r w:rsidRPr="000404FA">
        <w:t>Although their meta-analysis was not specific to studies investigating diagnostic imaging or pathology tests, ‘diagnosis’ and ‘laboratory test ordering’ were described as ‘topics’ evaluated in studies included in each of the analyses</w:t>
      </w:r>
      <w:r>
        <w:t xml:space="preserve"> </w:t>
      </w:r>
      <w:r w:rsidRPr="000404FA">
        <w:t>below.</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p>
    <w:p w14:paraId="40319639" w14:textId="77777777" w:rsidR="00C9672D" w:rsidRPr="00863FD1" w:rsidRDefault="00C9672D" w:rsidP="00C9672D">
      <w:pPr>
        <w:pStyle w:val="NormalBulleted"/>
      </w:pPr>
      <w:r w:rsidRPr="000404FA">
        <w:t xml:space="preserve">Recommended preventive care service ordered or completed (high evidence strength, 25 </w:t>
      </w:r>
      <w:r w:rsidRPr="00863FD1">
        <w:t>studies in the meta-analysis): odds ratio (OR) 1.42 (95% CI 1.27 to 1.58) favouring CDSS.</w:t>
      </w:r>
    </w:p>
    <w:p w14:paraId="495CE458" w14:textId="77777777" w:rsidR="00C9672D" w:rsidRPr="00863FD1" w:rsidRDefault="00C9672D" w:rsidP="00C9672D">
      <w:pPr>
        <w:pStyle w:val="NormalBulleted"/>
      </w:pPr>
      <w:r w:rsidRPr="000404FA">
        <w:t xml:space="preserve">Recommended clinical study ordered or completed (moderate evidence strength, 20 </w:t>
      </w:r>
      <w:r w:rsidRPr="00863FD1">
        <w:t>studies in the meta-analysis): OR 1.72 (95% CI 1.47 to 2.00) favouring CDSS.</w:t>
      </w:r>
    </w:p>
    <w:p w14:paraId="0BB0E36E" w14:textId="77777777" w:rsidR="00C9672D" w:rsidRPr="00863FD1" w:rsidRDefault="00C9672D" w:rsidP="00C9672D">
      <w:pPr>
        <w:pStyle w:val="NormalBulleted"/>
      </w:pPr>
      <w:r w:rsidRPr="000404FA">
        <w:lastRenderedPageBreak/>
        <w:t xml:space="preserve">Recommended treatment ordered or prescribed (high evidence strength, 46 </w:t>
      </w:r>
      <w:r w:rsidRPr="00863FD1">
        <w:t>studies in the meta-analysis): OR 1.57 (95% CI 1.35 to 1.82) favouring CDSS.</w:t>
      </w:r>
    </w:p>
    <w:p w14:paraId="1C11B62D" w14:textId="77777777" w:rsidR="00C9672D" w:rsidRPr="000404FA" w:rsidRDefault="00C9672D" w:rsidP="00C9672D">
      <w:pPr>
        <w:pStyle w:val="Normalpara"/>
      </w:pPr>
      <w:r w:rsidRPr="000404FA">
        <w:t xml:space="preserve">The </w:t>
      </w:r>
      <w:r>
        <w:t>review</w:t>
      </w:r>
      <w:r w:rsidRPr="000404FA">
        <w:t xml:space="preserve"> by Chaudhuri et al.</w:t>
      </w:r>
      <w:r>
        <w:t xml:space="preserve"> (2016)</w:t>
      </w:r>
      <w:r w:rsidRPr="000404FA">
        <w:t xml:space="preserve"> included two studies that investigated the use of point-of-care decision support tools for cardiac imaging. However, only one of the two studies used a computer-based process as its primary intervention.</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r w:rsidRPr="000404FA">
        <w:t xml:space="preserve"> </w:t>
      </w:r>
    </w:p>
    <w:p w14:paraId="6E868D33" w14:textId="77777777" w:rsidR="00C9672D" w:rsidRPr="000404FA" w:rsidRDefault="00C9672D" w:rsidP="00C9672D">
      <w:pPr>
        <w:pStyle w:val="Normalpara"/>
      </w:pPr>
      <w:r w:rsidRPr="000404FA">
        <w:t>Stratifying by the use decision support tools demonstrated that initiatives using these interventions were associated with significantly (OR 0.35, 95% CI 0.22 to 0.56) and consistently (</w:t>
      </w:r>
      <w:r>
        <w:t xml:space="preserve">heterogeneity, </w:t>
      </w:r>
      <w:r w:rsidRPr="000404FA">
        <w:t>I</w:t>
      </w:r>
      <w:r w:rsidRPr="00F82ED6">
        <w:rPr>
          <w:vertAlign w:val="subscript"/>
        </w:rPr>
        <w:t xml:space="preserve">2 </w:t>
      </w:r>
      <w:r w:rsidRPr="000404FA">
        <w:t>within group 22%) lower odds of inappropriate testing, but the observed benefit did not significantly differ from initiatives</w:t>
      </w:r>
      <w:r>
        <w:t>,</w:t>
      </w:r>
      <w:r w:rsidRPr="000404FA">
        <w:t xml:space="preserve"> such as education or audit and feedback</w:t>
      </w:r>
      <w:r>
        <w:t>,</w:t>
      </w:r>
      <w:r w:rsidRPr="000404FA">
        <w:t xml:space="preserve"> that did not incorporate decision support tools.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3AE3C7DA" w14:textId="77777777" w:rsidR="00C9672D" w:rsidRPr="000404FA" w:rsidRDefault="00C9672D" w:rsidP="00C9672D">
      <w:pPr>
        <w:pStyle w:val="Normalpara"/>
      </w:pPr>
      <w:r w:rsidRPr="000404FA">
        <w:t xml:space="preserve">In their </w:t>
      </w:r>
      <w:r>
        <w:t>review</w:t>
      </w:r>
      <w:r w:rsidRPr="000404FA">
        <w:t>, Roshanov et al. (2011) assessed whether computerised CDSS were able to improve diagnostic test ordering, disease monitoring, or treatment monitoring. They focused exclusively on diagnostic testing measures and defined these broadly to include perf</w:t>
      </w:r>
      <w:r>
        <w:t>orming physical examinations (for example</w:t>
      </w:r>
      <w:r w:rsidRPr="000404FA">
        <w:t>, eye and foot exams), blood pressure measurements, and ordering laboratory, imaging, and functional tests.</w: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[13]</w:t>
      </w:r>
      <w:r>
        <w:fldChar w:fldCharType="end"/>
      </w:r>
    </w:p>
    <w:p w14:paraId="4F76C671" w14:textId="77777777" w:rsidR="00C9672D" w:rsidRPr="000404FA" w:rsidRDefault="00C9672D" w:rsidP="00C9672D">
      <w:pPr>
        <w:pStyle w:val="Normalpara"/>
      </w:pPr>
      <w:r w:rsidRPr="000404FA">
        <w:t xml:space="preserve">Overall, 18/33 (55%) included studies reported improvements in diagnostic testing </w:t>
      </w:r>
      <w:r>
        <w:t>after</w:t>
      </w:r>
      <w:r w:rsidRPr="000404FA">
        <w:t xml:space="preserve"> implementation of the CDSS. Four of the systems explicitly attempted to reduce test ordering rates and all succeeded. Effect sizes were not summarised for the included studies.</w: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fldChar w:fldCharType="separate"/>
      </w:r>
      <w:r>
        <w:rPr>
          <w:noProof/>
        </w:rPr>
        <w:t>[13]</w:t>
      </w:r>
      <w:r>
        <w:fldChar w:fldCharType="end"/>
      </w:r>
      <w:r w:rsidRPr="000404FA">
        <w:t xml:space="preserve"> </w:t>
      </w:r>
    </w:p>
    <w:p w14:paraId="1AA7CB7F" w14:textId="77777777" w:rsidR="00C9672D" w:rsidRPr="000404FA" w:rsidRDefault="00C9672D" w:rsidP="00C9672D">
      <w:pPr>
        <w:pStyle w:val="Normalpara"/>
      </w:pPr>
      <w:r w:rsidRPr="000404FA">
        <w:t xml:space="preserve">Two relevant questions were asked in the </w:t>
      </w:r>
      <w:r>
        <w:t>review</w:t>
      </w:r>
      <w:r w:rsidRPr="000404FA">
        <w:t xml:space="preserve"> by Main et al.(2010):</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r w:rsidRPr="000404FA">
        <w:t xml:space="preserve"> </w:t>
      </w:r>
    </w:p>
    <w:p w14:paraId="323696F0" w14:textId="77777777" w:rsidR="00C9672D" w:rsidRPr="00863FD1" w:rsidRDefault="00C9672D" w:rsidP="00C9672D">
      <w:pPr>
        <w:pStyle w:val="NormalBulleted"/>
      </w:pPr>
      <w:r w:rsidRPr="000404FA">
        <w:t xml:space="preserve">‘What is the impact of CDSS in order communication systems (OCS) for diagnostic, screening or monitoring test ordering compared </w:t>
      </w:r>
      <w:r w:rsidRPr="00863FD1">
        <w:t>with OCS without CDSS on process outcomes, patient outcomes and adverse events/safety?’</w:t>
      </w:r>
    </w:p>
    <w:p w14:paraId="734939D2" w14:textId="77777777" w:rsidR="00C9672D" w:rsidRPr="00863FD1" w:rsidRDefault="00C9672D" w:rsidP="00C9672D">
      <w:pPr>
        <w:pStyle w:val="NormalBulleted"/>
      </w:pPr>
      <w:r w:rsidRPr="000404FA">
        <w:t>What is known about the cost-effectiveness of CDSS in diagnostic, screening or monitoring test OCS compared with OCS without CDSS?</w:t>
      </w:r>
    </w:p>
    <w:p w14:paraId="5B3C15D0" w14:textId="77777777" w:rsidR="00C9672D" w:rsidRPr="000404FA" w:rsidRDefault="00C9672D" w:rsidP="00C9672D">
      <w:pPr>
        <w:pStyle w:val="Normalpara"/>
      </w:pPr>
      <w:r w:rsidRPr="000404FA">
        <w:t xml:space="preserve">Taking into account primary and secondary outcomes, CDSS significantly improved practitioner performance in 15/24 </w:t>
      </w:r>
      <w:r>
        <w:t>studies</w:t>
      </w:r>
      <w:r w:rsidRPr="000404FA">
        <w:t xml:space="preserve"> (62.5%), including:</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p>
    <w:p w14:paraId="2B1DB564" w14:textId="77777777" w:rsidR="00C9672D" w:rsidRPr="00863FD1" w:rsidRDefault="00C9672D" w:rsidP="00C9672D">
      <w:pPr>
        <w:pStyle w:val="NormalBulleted"/>
      </w:pPr>
      <w:r w:rsidRPr="000404FA">
        <w:t xml:space="preserve">1/3 </w:t>
      </w:r>
      <w:r w:rsidRPr="00863FD1">
        <w:t>studies assessing cost display</w:t>
      </w:r>
    </w:p>
    <w:p w14:paraId="2DC4753A" w14:textId="77777777" w:rsidR="00C9672D" w:rsidRPr="00863FD1" w:rsidRDefault="00C9672D" w:rsidP="00C9672D">
      <w:pPr>
        <w:pStyle w:val="NormalBulleted"/>
      </w:pPr>
      <w:r w:rsidRPr="000404FA">
        <w:t>1/2</w:t>
      </w:r>
      <w:r w:rsidRPr="00863FD1">
        <w:t xml:space="preserve"> studies assessing display of previous test results</w:t>
      </w:r>
    </w:p>
    <w:p w14:paraId="64D1F8E0" w14:textId="77777777" w:rsidR="00C9672D" w:rsidRPr="00863FD1" w:rsidRDefault="00C9672D" w:rsidP="00C9672D">
      <w:pPr>
        <w:pStyle w:val="NormalBulleted"/>
      </w:pPr>
      <w:r w:rsidRPr="000404FA">
        <w:t>6/10</w:t>
      </w:r>
      <w:r w:rsidRPr="00863FD1">
        <w:t xml:space="preserve"> studies assessing use of reminders</w:t>
      </w:r>
    </w:p>
    <w:p w14:paraId="66459C2A" w14:textId="77777777" w:rsidR="00C9672D" w:rsidRPr="00863FD1" w:rsidRDefault="00C9672D" w:rsidP="00C9672D">
      <w:pPr>
        <w:pStyle w:val="NormalBulleted"/>
      </w:pPr>
      <w:r w:rsidRPr="000404FA">
        <w:t xml:space="preserve">2/7 </w:t>
      </w:r>
      <w:r w:rsidRPr="00863FD1">
        <w:t>studies assessing display of recommendations.</w:t>
      </w:r>
    </w:p>
    <w:p w14:paraId="1784DB97" w14:textId="77777777" w:rsidR="00C9672D" w:rsidRPr="000404FA" w:rsidRDefault="00C9672D" w:rsidP="00C9672D">
      <w:pPr>
        <w:pStyle w:val="Normalpara"/>
      </w:pPr>
      <w:r w:rsidRPr="000404FA">
        <w:t xml:space="preserve">Only two included </w:t>
      </w:r>
      <w:r>
        <w:t>reviews</w:t>
      </w:r>
      <w:r w:rsidRPr="000404FA">
        <w:t xml:space="preserve"> investigated the cost-effectiveness of CDSS. A Dutch study reported a mean cost decrease of 3% for blood test orders compared with a 2% increase in control clinics, whereas a Spanish study reported a significant increase in the cost of laboratory tests </w:t>
      </w:r>
      <w:r>
        <w:t>after</w:t>
      </w:r>
      <w:r w:rsidRPr="000404FA">
        <w:t xml:space="preserve"> CDSS implementation.</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p>
    <w:p w14:paraId="5EE8EBA6" w14:textId="77777777" w:rsidR="00C9672D" w:rsidRPr="000404FA" w:rsidRDefault="00C9672D" w:rsidP="00C9672D">
      <w:pPr>
        <w:pStyle w:val="Normalpara"/>
      </w:pPr>
      <w:r w:rsidRPr="000404FA">
        <w:t xml:space="preserve">The impact of CPOE on pathology or medical imaging services was investigated in two separate </w:t>
      </w:r>
      <w:r>
        <w:t>reviews</w:t>
      </w:r>
      <w:r w:rsidRPr="000404FA">
        <w:t xml:space="preserve"> by Georgiou et al.</w:t>
      </w:r>
      <w:r>
        <w:t xml:space="preserve"> </w:t>
      </w:r>
      <w:r w:rsidRPr="000404FA">
        <w:t>(2007, 2011)</w:t>
      </w:r>
      <w:r>
        <w:t>.</w:t>
      </w:r>
      <w:r w:rsidRPr="000404FA">
        <w:t xml:space="preserve"> Implementation of CPOE resulted in a reduction in:</w:t>
      </w:r>
      <w:r>
        <w:fldChar w:fldCharType="begin"/>
      </w:r>
      <w:r>
        <w:instrText xml:space="preserve"> ADDIN EN.CITE &lt;EndNote&gt;&lt;Cite&gt;&lt;Author&gt;Georgiou&lt;/Author&gt;&lt;Year&gt;2007&lt;/Year&gt;&lt;RecNum&gt;14&lt;/RecNum&gt;&lt;DisplayText&gt;[7,8]&lt;/DisplayText&gt;&lt;record&gt;&lt;rec-number&gt;14&lt;/rec-number&gt;&lt;foreign-keys&gt;&lt;key app="EN" db-id="x9fffa25dxde9newers5xv249pterpfdd5z9" timestamp="1488421580"&gt;14&lt;/key&gt;&lt;/foreign-keys&gt;&lt;ref-type name="Journal Article"&gt;17&lt;/ref-type&gt;&lt;contributors&gt;&lt;authors&gt;&lt;author&gt;Georgiou, Andrew&lt;/author&gt;&lt;author&gt;Williamson, Margaret&lt;/author&gt;&lt;author&gt;Westbrook, Johanna I&lt;/author&gt;&lt;author&gt;Ray, Sangeeta&lt;/author&gt;&lt;/authors&gt;&lt;/contributors&gt;&lt;titles&gt;&lt;title&gt;The impact of computerised physician order entry systems on pathology services: a systematic review&lt;/title&gt;&lt;secondary-title&gt;Int J Med Inform&lt;/secondary-title&gt;&lt;/titles&gt;&lt;periodical&gt;&lt;full-title&gt;Int J Med Inform&lt;/full-title&gt;&lt;/periodical&gt;&lt;pages&gt;514–529&lt;/pages&gt;&lt;volume&gt;76&lt;/volume&gt;&lt;number&gt;7&lt;/number&gt;&lt;dates&gt;&lt;year&gt;2007&lt;/year&gt;&lt;/dates&gt;&lt;isbn&gt;1386-5056&lt;/isbn&gt;&lt;urls&gt;&lt;/urls&gt;&lt;/record&gt;&lt;/Cite&gt;&lt;Cite&gt;&lt;Author&gt;Georgiou&lt;/Author&gt;&lt;Year&gt;2011&lt;/Year&gt;&lt;RecNum&gt;13&lt;/RecNum&gt;&lt;record&gt;&lt;rec-number&gt;13&lt;/rec-number&gt;&lt;foreign-keys&gt;&lt;key app="EN" db-id="x9fffa25dxde9newers5xv249pterpfdd5z9" timestamp="1488421580"&gt;13&lt;/key&gt;&lt;/foreign-keys&gt;&lt;ref-type name="Journal Article"&gt;17&lt;/ref-type&gt;&lt;contributors&gt;&lt;authors&gt;&lt;author&gt;Georgiou, Andrew&lt;/author&gt;&lt;author&gt;Prgomet, Mirela&lt;/author&gt;&lt;author&gt;Markewycz, Andrew&lt;/author&gt;&lt;author&gt;Adams, Edwina&lt;/author&gt;&lt;author&gt;Westbrook, Johanna I&lt;/author&gt;&lt;/authors&gt;&lt;/contributors&gt;&lt;titles&gt;&lt;title&gt;The impact of computerized provider order entry systems on medical-imaging services: a systematic review&lt;/title&gt;&lt;secondary-title&gt;J Am Med Inform Assoc&lt;/secondary-title&gt;&lt;/titles&gt;&lt;periodical&gt;&lt;full-title&gt;J Am Med Inform Assoc&lt;/full-title&gt;&lt;/periodical&gt;&lt;pages&gt;335–340&lt;/pages&gt;&lt;volume&gt;18&lt;/volume&gt;&lt;number&gt;3&lt;/number&gt;&lt;dates&gt;&lt;year&gt;2011&lt;/year&gt;&lt;/dates&gt;&lt;isbn&gt;1067-5027&lt;/isbn&gt;&lt;urls&gt;&lt;related-urls&gt;&lt;url&gt;https://www.ncbi.nlm.nih.gov/pmc/articles/PMC3078656/pdf/amiajnl-2010-000043.pdf&lt;/url&gt;&lt;/related-urls&gt;&lt;/urls&gt;&lt;/record&gt;&lt;/Cite&gt;&lt;/EndNote&gt;</w:instrText>
      </w:r>
      <w:r>
        <w:fldChar w:fldCharType="separate"/>
      </w:r>
      <w:r>
        <w:rPr>
          <w:noProof/>
        </w:rPr>
        <w:t>[7,8]</w:t>
      </w:r>
      <w:r>
        <w:fldChar w:fldCharType="end"/>
      </w:r>
    </w:p>
    <w:p w14:paraId="28A51733" w14:textId="77777777" w:rsidR="00C9672D" w:rsidRPr="00863FD1" w:rsidRDefault="00C9672D" w:rsidP="00C9672D">
      <w:pPr>
        <w:pStyle w:val="NormalBulleted"/>
      </w:pPr>
      <w:r w:rsidRPr="000404FA">
        <w:t xml:space="preserve">pathology test volumes </w:t>
      </w:r>
      <w:r w:rsidRPr="00863FD1">
        <w:t>and costs (7/11 and 4/5 studies, respectively)</w:t>
      </w:r>
    </w:p>
    <w:p w14:paraId="6077B579" w14:textId="77777777" w:rsidR="00C9672D" w:rsidRPr="00863FD1" w:rsidRDefault="00C9672D" w:rsidP="00C9672D">
      <w:pPr>
        <w:pStyle w:val="NormalBulleted"/>
      </w:pPr>
      <w:r w:rsidRPr="000404FA">
        <w:t>rate</w:t>
      </w:r>
      <w:r w:rsidRPr="00863FD1">
        <w:t>s of redundant pathology tests (27% with intervention versus 51% with controls)</w:t>
      </w:r>
    </w:p>
    <w:p w14:paraId="6B79DAC4" w14:textId="77777777" w:rsidR="00C9672D" w:rsidRPr="00863FD1" w:rsidRDefault="00C9672D" w:rsidP="00C9672D">
      <w:pPr>
        <w:pStyle w:val="NormalBulleted"/>
      </w:pPr>
      <w:r w:rsidRPr="000404FA">
        <w:t xml:space="preserve">utilisation rates for portable chest </w:t>
      </w:r>
      <w:r>
        <w:t>X</w:t>
      </w:r>
      <w:r w:rsidRPr="000404FA">
        <w:t>-rays</w:t>
      </w:r>
      <w:r w:rsidRPr="00863FD1">
        <w:t xml:space="preserve"> (reduction </w:t>
      </w:r>
      <w:r>
        <w:t xml:space="preserve">of </w:t>
      </w:r>
      <w:r w:rsidRPr="00863FD1">
        <w:t>18.6 orders/day)</w:t>
      </w:r>
    </w:p>
    <w:p w14:paraId="3CCA7C0D" w14:textId="77777777" w:rsidR="00C9672D" w:rsidRPr="00863FD1" w:rsidRDefault="00C9672D" w:rsidP="00C9672D">
      <w:pPr>
        <w:pStyle w:val="NormalBulleted"/>
      </w:pPr>
      <w:r w:rsidRPr="000404FA">
        <w:t>growth rate</w:t>
      </w:r>
      <w:r w:rsidRPr="00863FD1">
        <w:t>s for the use of CT, MRI and ultrasound examinations (decrease of 2.75%, 1.2% and 1.3%, respectively)</w:t>
      </w:r>
    </w:p>
    <w:p w14:paraId="3F05D976" w14:textId="77777777" w:rsidR="00C9672D" w:rsidRPr="00863FD1" w:rsidRDefault="00C9672D" w:rsidP="00C9672D">
      <w:pPr>
        <w:pStyle w:val="NormalBulleted"/>
      </w:pPr>
      <w:r w:rsidRPr="000404FA">
        <w:t>rates of low-yield CT, MR and nuclear medicine examinations (5.4% to 1.9%).</w:t>
      </w:r>
    </w:p>
    <w:p w14:paraId="5E745C6E" w14:textId="77777777" w:rsidR="00C9672D" w:rsidRPr="00863FD1" w:rsidRDefault="00C9672D" w:rsidP="00C9672D">
      <w:pPr>
        <w:pStyle w:val="NormalBulleted"/>
      </w:pPr>
      <w:r w:rsidRPr="000404FA">
        <w:t>radiology orders not conforming to guidelines</w:t>
      </w:r>
      <w:r w:rsidRPr="00863FD1">
        <w:t xml:space="preserve"> (33.2% to 26.9%). </w:t>
      </w:r>
    </w:p>
    <w:p w14:paraId="310ADCA0" w14:textId="77777777" w:rsidR="00C9672D" w:rsidRPr="000404FA" w:rsidRDefault="00C9672D" w:rsidP="00C9672D">
      <w:pPr>
        <w:pStyle w:val="Normalpara"/>
      </w:pPr>
      <w:r w:rsidRPr="000404FA">
        <w:lastRenderedPageBreak/>
        <w:t>In addition, four studies showed that CPOE systems with computerised decision support improved compliance with guideline advice.</w:t>
      </w:r>
      <w:r>
        <w:fldChar w:fldCharType="begin"/>
      </w:r>
      <w:r>
        <w:instrText xml:space="preserve"> ADDIN EN.CITE &lt;EndNote&gt;&lt;Cite&gt;&lt;Author&gt;Georgiou&lt;/Author&gt;&lt;Year&gt;2007&lt;/Year&gt;&lt;RecNum&gt;14&lt;/RecNum&gt;&lt;DisplayText&gt;[8]&lt;/DisplayText&gt;&lt;record&gt;&lt;rec-number&gt;14&lt;/rec-number&gt;&lt;foreign-keys&gt;&lt;key app="EN" db-id="x9fffa25dxde9newers5xv249pterpfdd5z9" timestamp="1488421580"&gt;14&lt;/key&gt;&lt;/foreign-keys&gt;&lt;ref-type name="Journal Article"&gt;17&lt;/ref-type&gt;&lt;contributors&gt;&lt;authors&gt;&lt;author&gt;Georgiou, Andrew&lt;/author&gt;&lt;author&gt;Williamson, Margaret&lt;/author&gt;&lt;author&gt;Westbrook, Johanna I&lt;/author&gt;&lt;author&gt;Ray, Sangeeta&lt;/author&gt;&lt;/authors&gt;&lt;/contributors&gt;&lt;titles&gt;&lt;title&gt;The impact of computerised physician order entry systems on pathology services: a systematic review&lt;/title&gt;&lt;secondary-title&gt;Int J Med Inform&lt;/secondary-title&gt;&lt;/titles&gt;&lt;periodical&gt;&lt;full-title&gt;Int J Med Inform&lt;/full-title&gt;&lt;/periodical&gt;&lt;pages&gt;514–529&lt;/pages&gt;&lt;volume&gt;76&lt;/volume&gt;&lt;number&gt;7&lt;/number&gt;&lt;dates&gt;&lt;year&gt;2007&lt;/year&gt;&lt;/dates&gt;&lt;isbn&gt;1386-5056&lt;/isbn&gt;&lt;urls&gt;&lt;/urls&gt;&lt;/record&gt;&lt;/Cite&gt;&lt;/EndNote&gt;</w:instrText>
      </w:r>
      <w:r>
        <w:fldChar w:fldCharType="separate"/>
      </w:r>
      <w:r>
        <w:rPr>
          <w:noProof/>
        </w:rPr>
        <w:t>[8]</w:t>
      </w:r>
      <w:r>
        <w:fldChar w:fldCharType="end"/>
      </w:r>
    </w:p>
    <w:p w14:paraId="08BEB8D9" w14:textId="77777777" w:rsidR="00C9672D" w:rsidRPr="00E1754D" w:rsidRDefault="00C9672D" w:rsidP="00C9672D">
      <w:pPr>
        <w:pStyle w:val="ApD3Head"/>
      </w:pPr>
      <w:bookmarkStart w:id="358" w:name="_Toc525740570"/>
      <w:bookmarkStart w:id="359" w:name="_Toc525816136"/>
      <w:r w:rsidRPr="00E1754D">
        <w:t>System-based interventions</w:t>
      </w:r>
      <w:bookmarkEnd w:id="358"/>
      <w:bookmarkEnd w:id="359"/>
    </w:p>
    <w:p w14:paraId="17C624B1" w14:textId="77777777" w:rsidR="00C9672D" w:rsidRPr="00863FD1" w:rsidRDefault="00C9672D" w:rsidP="00C9672D">
      <w:pPr>
        <w:pStyle w:val="Normalpara"/>
      </w:pPr>
      <w:r w:rsidRPr="00863FD1">
        <w:t xml:space="preserve">Two </w:t>
      </w:r>
      <w:r>
        <w:t>reviews</w:t>
      </w:r>
      <w:r w:rsidRPr="00863FD1">
        <w:t xml:space="preserve"> grouped changes to test ordering processes and computer order entry systems as ‘system-based interventions’. Neither </w:t>
      </w:r>
      <w:r>
        <w:t>review</w:t>
      </w:r>
      <w:r w:rsidRPr="00863FD1">
        <w:t xml:space="preserve"> conducted a meta-analysis</w:t>
      </w:r>
      <w:r>
        <w:t xml:space="preserve">; </w:t>
      </w:r>
      <w:r w:rsidRPr="00863FD1">
        <w:t>Kobewka et al. (2015) described that this was due to study heterogeneity.</w: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 </w:instrText>
      </w:r>
      <w:r>
        <w:fldChar w:fldCharType="begin">
          <w:fldData xml:space="preserve">PEVuZE5vdGU+PENpdGU+PEF1dGhvcj5Lb2Jld2thPC9BdXRob3I+PFllYXI+MjAxNTwvWWVhcj48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</w:fldData>
        </w:fldChar>
      </w:r>
      <w:r>
        <w:instrText xml:space="preserve"> ADDIN EN.CITE.DATA </w:instrText>
      </w:r>
      <w:r>
        <w:fldChar w:fldCharType="end"/>
      </w:r>
      <w:r>
        <w:fldChar w:fldCharType="separate"/>
      </w:r>
      <w:r>
        <w:rPr>
          <w:noProof/>
        </w:rPr>
        <w:t>[11,15]</w:t>
      </w:r>
      <w:r>
        <w:fldChar w:fldCharType="end"/>
      </w:r>
    </w:p>
    <w:p w14:paraId="277A5532" w14:textId="77777777" w:rsidR="00C9672D" w:rsidRPr="00863FD1" w:rsidRDefault="00C9672D" w:rsidP="00C9672D">
      <w:pPr>
        <w:pStyle w:val="Normalpara"/>
      </w:pPr>
      <w:r w:rsidRPr="00863FD1">
        <w:t>Kobewka et al. (2015) included 109 studies that investigated 119 interventions aimed at reducing laboratory test utilisation. Of 119 interventions, 54 (45.4%) had a system-based component.</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863FD1">
        <w:t xml:space="preserve"> </w:t>
      </w:r>
    </w:p>
    <w:p w14:paraId="1B23302A" w14:textId="77777777" w:rsidR="00C9672D" w:rsidRPr="00863FD1" w:rsidRDefault="00C9672D" w:rsidP="00C9672D">
      <w:pPr>
        <w:pStyle w:val="Normalpara"/>
      </w:pPr>
      <w:r w:rsidRPr="00863FD1">
        <w:t>The overall median relative reduction (RR) in test utilisation was 22.2% (interquartile range [IQR] 3.6 to 68.3). The percent</w:t>
      </w:r>
      <w:r>
        <w:t>age</w:t>
      </w:r>
      <w:r w:rsidRPr="00863FD1">
        <w:t xml:space="preserve"> relative reduction in test utilisation was statistically significantly decreased versus controls</w:t>
      </w:r>
      <w:r>
        <w:t>,</w:t>
      </w:r>
      <w:r w:rsidRPr="00863FD1">
        <w:t xml:space="preserve"> with 36 out of 54 interventions (median RR 19.6, IQR 10.4 to 36.1).</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2FFB7C4C" w14:textId="77777777" w:rsidR="00C9672D" w:rsidRPr="000404FA" w:rsidRDefault="00C9672D" w:rsidP="00C9672D">
      <w:pPr>
        <w:pStyle w:val="Normalpara"/>
      </w:pPr>
      <w:r w:rsidRPr="000404FA">
        <w:t xml:space="preserve">Thomas et al. (2015) included </w:t>
      </w:r>
      <w:r>
        <w:t xml:space="preserve">10 </w:t>
      </w:r>
      <w:r w:rsidRPr="000404FA">
        <w:t>studies that investigated system-based interventions, which usually consisted of computer-assisted decision</w:t>
      </w:r>
      <w:r>
        <w:t xml:space="preserve"> </w:t>
      </w:r>
      <w:r w:rsidRPr="000404FA">
        <w:t>making. The unweighted average desired change in testing for 26 outcomes in the intervention group compared with the control group was 14.9%.</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5DDC3C8F" w14:textId="77777777" w:rsidR="00C9672D" w:rsidRPr="005B409E" w:rsidRDefault="00C9672D" w:rsidP="00C9672D">
      <w:pPr>
        <w:pStyle w:val="ApD3Head"/>
        <w:rPr>
          <w:rStyle w:val="Bold"/>
          <w:b/>
        </w:rPr>
      </w:pPr>
      <w:bookmarkStart w:id="360" w:name="_Toc525740571"/>
      <w:bookmarkStart w:id="361" w:name="_Toc525816137"/>
      <w:r w:rsidRPr="005B409E">
        <w:rPr>
          <w:rStyle w:val="Bold"/>
        </w:rPr>
        <w:t>Utility score ratings, health information exchanges and clinical team decision support</w:t>
      </w:r>
      <w:bookmarkEnd w:id="360"/>
      <w:bookmarkEnd w:id="361"/>
    </w:p>
    <w:p w14:paraId="650C28B1" w14:textId="77777777" w:rsidR="00C9672D" w:rsidRPr="000404FA" w:rsidRDefault="00C9672D" w:rsidP="00C9672D">
      <w:pPr>
        <w:pStyle w:val="Normalpara"/>
      </w:pPr>
      <w:r w:rsidRPr="000404FA">
        <w:t>These findings are all derived from the narrative review by Colla et al. (2016).</w:t>
      </w:r>
      <w:r w:rsidRPr="00863FD1">
        <w:t xml:space="preserve"> </w:t>
      </w:r>
      <w:r w:rsidRPr="000404FA">
        <w:t>Based on the results of three separate studies, Colla et al. (2016) described that the use of utility scores can:</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1E81F9FA" w14:textId="77777777" w:rsidR="00C9672D" w:rsidRPr="00863FD1" w:rsidRDefault="00C9672D" w:rsidP="00C9672D">
      <w:pPr>
        <w:pStyle w:val="NormalBulleted"/>
      </w:pPr>
      <w:r w:rsidRPr="000404FA">
        <w:t xml:space="preserve">reduce the rate of growth </w:t>
      </w:r>
      <w:r w:rsidRPr="00863FD1">
        <w:t>of CT and MRI use from 12% to 7% and 1%, respectively</w:t>
      </w:r>
    </w:p>
    <w:p w14:paraId="7B5F9FF8" w14:textId="77777777" w:rsidR="00C9672D" w:rsidRPr="00863FD1" w:rsidRDefault="00C9672D" w:rsidP="00C9672D">
      <w:pPr>
        <w:pStyle w:val="NormalBulleted"/>
      </w:pPr>
      <w:r w:rsidRPr="000404FA">
        <w:t>increase compliance with appropriateness criteria for head CT</w:t>
      </w:r>
      <w:r w:rsidRPr="00863FD1">
        <w:t xml:space="preserve"> and head and spine MRI</w:t>
      </w:r>
    </w:p>
    <w:p w14:paraId="1E88D71F" w14:textId="77777777" w:rsidR="00C9672D" w:rsidRPr="00863FD1" w:rsidRDefault="00C9672D" w:rsidP="00C9672D">
      <w:pPr>
        <w:pStyle w:val="NormalBulleted"/>
      </w:pPr>
      <w:r w:rsidRPr="000404FA">
        <w:t xml:space="preserve">reduce low-utility </w:t>
      </w:r>
      <w:r w:rsidRPr="00863FD1">
        <w:t xml:space="preserve">radiology examinations from 6% to 2% when used with a CPOE. </w:t>
      </w:r>
    </w:p>
    <w:p w14:paraId="02B174A4" w14:textId="77777777" w:rsidR="00C9672D" w:rsidRPr="00863FD1" w:rsidRDefault="00C9672D" w:rsidP="00C9672D">
      <w:pPr>
        <w:pStyle w:val="Normalpara"/>
      </w:pPr>
      <w:r w:rsidRPr="000404FA">
        <w:t xml:space="preserve">Colla et al. (2016) found that administrative interventions decreased the number of inappropriate outpatient imaging orders that were scheduled and performed from 5.4% to 1.9% and reduced the number of laboratory tests ordered per year by 19%. </w:t>
      </w:r>
      <w:r w:rsidRPr="00863FD1">
        <w:t>Requiring clinical justification for repeat CT orders decreased the number of repeat orders by 23%.</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6CD469C7" w14:textId="77777777" w:rsidR="00C9672D" w:rsidRPr="00863FD1" w:rsidRDefault="00C9672D" w:rsidP="00C9672D">
      <w:pPr>
        <w:pStyle w:val="Normalpara"/>
      </w:pPr>
      <w:r w:rsidRPr="00863FD1">
        <w:t>A separate study was used to conclude that HIE can reduce duplicate imaging for back pain and increase the odds of guideline adherence by 33%.</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2BEAEBF6" w14:textId="77777777" w:rsidR="00C9672D" w:rsidRPr="00863FD1" w:rsidRDefault="00C9672D" w:rsidP="00C9672D">
      <w:pPr>
        <w:pStyle w:val="Normalpara"/>
      </w:pPr>
      <w:r w:rsidRPr="00863FD1">
        <w:t xml:space="preserve">However, </w:t>
      </w:r>
      <w:r w:rsidRPr="000404FA">
        <w:t>Colla et al. (2016)</w:t>
      </w:r>
      <w:r w:rsidRPr="00863FD1">
        <w:t xml:space="preserve"> acknowledged that their review was limited by potential publication bias, and a focus on the effect of a policy or intervention on acute or low-value care.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6E6AFFBA" w14:textId="77777777" w:rsidR="00C9672D" w:rsidRPr="005B409E" w:rsidRDefault="00C9672D" w:rsidP="00C9672D">
      <w:pPr>
        <w:pStyle w:val="ApD3Head"/>
        <w:rPr>
          <w:rStyle w:val="Bold"/>
          <w:b/>
        </w:rPr>
      </w:pPr>
      <w:bookmarkStart w:id="362" w:name="_Toc525740572"/>
      <w:bookmarkStart w:id="363" w:name="_Toc525816138"/>
      <w:r w:rsidRPr="005B409E">
        <w:rPr>
          <w:rStyle w:val="Bold"/>
        </w:rPr>
        <w:t>Guideline dissemination or implementation tools</w:t>
      </w:r>
      <w:bookmarkEnd w:id="362"/>
      <w:bookmarkEnd w:id="363"/>
    </w:p>
    <w:p w14:paraId="19E167BA" w14:textId="77777777" w:rsidR="00C9672D" w:rsidRPr="000404FA" w:rsidRDefault="00C9672D" w:rsidP="00C9672D">
      <w:pPr>
        <w:pStyle w:val="Normalpara"/>
      </w:pPr>
      <w:r w:rsidRPr="000404FA">
        <w:t xml:space="preserve">Guideline implementation tools were investigated in one </w:t>
      </w:r>
      <w:r>
        <w:t>review</w:t>
      </w:r>
      <w:r w:rsidRPr="000404FA">
        <w:t xml:space="preserve">, and guideline dissemination in another. Each </w:t>
      </w:r>
      <w:r>
        <w:t>review</w:t>
      </w:r>
      <w:r w:rsidRPr="000404FA">
        <w:t xml:space="preserve"> only included one relevant study.</w:t>
      </w:r>
    </w:p>
    <w:p w14:paraId="7755066F" w14:textId="77777777" w:rsidR="00C9672D" w:rsidRPr="00863FD1" w:rsidRDefault="00C9672D" w:rsidP="00C9672D">
      <w:pPr>
        <w:pStyle w:val="Normalpara"/>
      </w:pPr>
      <w:r w:rsidRPr="000404FA">
        <w:t xml:space="preserve">The </w:t>
      </w:r>
      <w:r>
        <w:t>review</w:t>
      </w:r>
      <w:r w:rsidRPr="000404FA">
        <w:t xml:space="preserve"> by Flodgren et al. (2016)</w:t>
      </w:r>
      <w:r w:rsidRPr="00863FD1">
        <w:t xml:space="preserve"> specifically investigated the implementation of tools developed and disseminated by guideline producers </w:t>
      </w:r>
      <w:r>
        <w:t>after</w:t>
      </w:r>
      <w:r w:rsidRPr="00863FD1">
        <w:t xml:space="preserve"> publication of clinical practice guidelines.</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r>
        <w:t xml:space="preserve"> </w:t>
      </w:r>
    </w:p>
    <w:p w14:paraId="13E4D58D" w14:textId="77777777" w:rsidR="00C9672D" w:rsidRPr="00863FD1" w:rsidRDefault="00C9672D" w:rsidP="00C9672D">
      <w:pPr>
        <w:pStyle w:val="Normalpara"/>
      </w:pPr>
      <w:r w:rsidRPr="00863FD1">
        <w:t xml:space="preserve">In the single relevant </w:t>
      </w:r>
      <w:r w:rsidRPr="000404FA">
        <w:t xml:space="preserve">included study, adherence to guidelines for appropriate ordering of thyroid function tests increased from 62.0% to 77.9% </w:t>
      </w:r>
      <w:r>
        <w:t xml:space="preserve">after </w:t>
      </w:r>
      <w:r w:rsidRPr="000404FA">
        <w:t>implementation of a memorandum pocket card and a test request form that indicated inappropriate tests. The included study was determined to have complete outcome data, and adequate randomisation sequence and allocation concealment.</w: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PEVuZE5vdGU+PENpdGU+PEF1dGhvcj5GbG9kZ3JlbjwvQXV0aG9yPjxZZWFyPjIwMTY8L1llYXI+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YWw+PHBhZ2VzPkNEMDEwNjY5PC9wYWdlcz48bnVtYmVyPjg8L251bWJlcj48ZWRpdGlvbj4yMDE2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</w:fldData>
        </w:fldChar>
      </w:r>
      <w:r>
        <w:instrText xml:space="preserve"> ADDIN EN.CITE.DATA </w:instrText>
      </w:r>
      <w:r>
        <w:fldChar w:fldCharType="end"/>
      </w:r>
      <w:r>
        <w:fldChar w:fldCharType="separate"/>
      </w:r>
      <w:r>
        <w:rPr>
          <w:noProof/>
        </w:rPr>
        <w:t>[5]</w:t>
      </w:r>
      <w:r>
        <w:fldChar w:fldCharType="end"/>
      </w:r>
    </w:p>
    <w:p w14:paraId="4CE13433" w14:textId="77777777" w:rsidR="00C9672D" w:rsidRPr="00863FD1" w:rsidRDefault="00C9672D" w:rsidP="00C9672D">
      <w:pPr>
        <w:pStyle w:val="Normalpara"/>
      </w:pPr>
      <w:r w:rsidRPr="000404FA">
        <w:t xml:space="preserve">The </w:t>
      </w:r>
      <w:r>
        <w:t>review</w:t>
      </w:r>
      <w:r w:rsidRPr="000404FA">
        <w:t xml:space="preserve"> by Jenkins et al. (2015), was more general and focused on the effectiveness of interventions designed to reduce the use of imaging for low</w:t>
      </w:r>
      <w:r>
        <w:t xml:space="preserve"> </w:t>
      </w:r>
      <w:r w:rsidRPr="000404FA">
        <w:t>back pain. A single included study investigated the effect of postal guideline dissemination on the number of imaging referrals made by general practitioners. Although imaging referrals decreased by 7.7% in the first month after the intervention, the effect was not statistically significant or sustained over time.</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p>
    <w:p w14:paraId="769C6848" w14:textId="77777777" w:rsidR="00C9672D" w:rsidRPr="005B409E" w:rsidRDefault="00C9672D" w:rsidP="00C9672D">
      <w:pPr>
        <w:pStyle w:val="ApD3Head"/>
        <w:rPr>
          <w:rStyle w:val="Bold"/>
          <w:b/>
        </w:rPr>
      </w:pPr>
      <w:bookmarkStart w:id="364" w:name="_Toc525740573"/>
      <w:bookmarkStart w:id="365" w:name="_Toc525816139"/>
      <w:r w:rsidRPr="005B409E">
        <w:rPr>
          <w:rStyle w:val="Bold"/>
        </w:rPr>
        <w:lastRenderedPageBreak/>
        <w:t>Price display</w:t>
      </w:r>
      <w:bookmarkEnd w:id="364"/>
      <w:bookmarkEnd w:id="365"/>
    </w:p>
    <w:p w14:paraId="6959979A" w14:textId="77777777" w:rsidR="00C9672D" w:rsidRPr="000404FA" w:rsidRDefault="00C9672D" w:rsidP="00C9672D">
      <w:pPr>
        <w:pStyle w:val="Normalpara"/>
      </w:pPr>
      <w:r w:rsidRPr="000404FA">
        <w:t>Price d</w:t>
      </w:r>
      <w:r>
        <w:t>isplay was investigated in four</w:t>
      </w:r>
      <w:r w:rsidRPr="000404FA">
        <w:t xml:space="preserve"> </w:t>
      </w:r>
      <w:r>
        <w:t>review</w:t>
      </w:r>
      <w:r w:rsidRPr="000404FA">
        <w:t>s.</w: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PENpdGU+PEF1dGhvcj5NYWluPC9BdXRob3I+PFllYXI+MjAxMDwvWWVhcj48UmVjTnVtPjQ1PC9S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KFdpbmNoZXN0ZXIsIEVuZ2xhbmQpPC9hYmJyLTE+PC9hbHQtcGVyaW9kaWNhbD48cGFnZXM+MeKA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PENpdGU+PEF1dGhvcj5NYWluPC9BdXRob3I+PFllYXI+MjAxMDwvWWVhcj48UmVjTnVtPjQ1PC9S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rPr>
          <w:noProof/>
        </w:rPr>
        <w:t>{Cadogan, 2015 #109;Goetz, 2015 #39;Silvestri, 2016 #84;Main, 2010 #45}</w:t>
      </w:r>
      <w:r>
        <w:fldChar w:fldCharType="end"/>
      </w:r>
      <w:r w:rsidRPr="000404FA">
        <w:t xml:space="preserve"> In two </w:t>
      </w:r>
      <w:r>
        <w:t>reviews</w:t>
      </w:r>
      <w:r w:rsidRPr="000404FA">
        <w:t xml:space="preserve"> a meta-analysis was not performed due to study heterogeneity,</w:t>
      </w:r>
      <w:r>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PEVuZE5vdGU+PENpdGU+PEF1dGhvcj5TaWx2ZXN0cmk8L0F1dGhvcj48WWVhcj4yMDE2PC9ZZWFy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fldChar w:fldCharType="separate"/>
      </w:r>
      <w:r>
        <w:rPr>
          <w:noProof/>
        </w:rPr>
        <w:t>[9,14]</w:t>
      </w:r>
      <w:r>
        <w:fldChar w:fldCharType="end"/>
      </w:r>
      <w:r w:rsidRPr="000404FA">
        <w:t xml:space="preserve"> and only a single relevant study was included in the third </w:t>
      </w:r>
      <w:r>
        <w:t>review</w:t>
      </w:r>
      <w:r w:rsidRPr="000404FA">
        <w:t>.</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2D19DC1E" w14:textId="77777777" w:rsidR="00C9672D" w:rsidRPr="000404FA" w:rsidRDefault="00C9672D" w:rsidP="00C9672D">
      <w:pPr>
        <w:pStyle w:val="Normalpara"/>
      </w:pPr>
      <w:r w:rsidRPr="000404FA">
        <w:t>Overall, price display was associated with reductions in cost and/or the number of tests ordered, although the results may be limited by study heterogeneity and need for higher levels of evidence, and effects on cost may only be modest.</w: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PEVuZE5vdGU+PENpdGU+PEF1dGhvcj5DYWRvZ2FuPC9BdXRob3I+PFllYXI+MjAxNTwvWWVhcj48
UmVjTnVtPjEwOTwvUmVjTnVtPjxEaXNwbGF5VGV4dD5bMyw5LDE0XTwvRGlzcGxheVRleHQ+PHJl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PC9yZWNvcmQ+PC9DaXRlPjxDaXRlPjxBdXRob3I+R29ldHo8L0F1dGhvcj48WWVhcj4yMDE1PC9Z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fldChar w:fldCharType="separate"/>
      </w:r>
      <w:r>
        <w:rPr>
          <w:noProof/>
        </w:rPr>
        <w:t>[3,9,14]</w:t>
      </w:r>
      <w:r>
        <w:fldChar w:fldCharType="end"/>
      </w:r>
    </w:p>
    <w:p w14:paraId="541E3753" w14:textId="77777777" w:rsidR="00C9672D" w:rsidRPr="000404FA" w:rsidRDefault="00C9672D" w:rsidP="00C9672D">
      <w:pPr>
        <w:pStyle w:val="Normalpara"/>
      </w:pPr>
      <w:r w:rsidRPr="000404FA">
        <w:t>Silvestri et al. (2016) included studies that showed the price of laboratory tests, imaging studies or medicines to providers in real-time during the ordering process and evaluated the impact on provider ordering.</w: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[14]</w:t>
      </w:r>
      <w:r>
        <w:fldChar w:fldCharType="end"/>
      </w:r>
      <w:r w:rsidRPr="000404FA">
        <w:t xml:space="preserve"> </w:t>
      </w:r>
    </w:p>
    <w:p w14:paraId="263D4F7C" w14:textId="77777777" w:rsidR="00C9672D" w:rsidRPr="000404FA" w:rsidRDefault="00C9672D" w:rsidP="00C9672D">
      <w:pPr>
        <w:pStyle w:val="Normalpara"/>
      </w:pPr>
      <w:r w:rsidRPr="000404FA">
        <w:t>Thirteen studies reported the numeric impact of price display on aggregate order costs, and nine demonstrated a statistically significant decrease in order costs with effect sizes ranging from 10.7% to 62.8%. Eight studies reported the numeric impact of price display on aggregate order volume, and three demonstrated a statistically significant decrease in order volume with effect sizes ranging from 14.2% to 25.5%.</w: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[14]</w:t>
      </w:r>
      <w:r>
        <w:fldChar w:fldCharType="end"/>
      </w:r>
      <w:r w:rsidRPr="000404FA">
        <w:t xml:space="preserve"> </w:t>
      </w:r>
    </w:p>
    <w:p w14:paraId="191F03D8" w14:textId="77777777" w:rsidR="00C9672D" w:rsidRPr="000404FA" w:rsidRDefault="00C9672D" w:rsidP="00C9672D">
      <w:pPr>
        <w:pStyle w:val="Normalpara"/>
      </w:pPr>
      <w:r w:rsidRPr="000404FA">
        <w:t xml:space="preserve">Goetz et al. (2015) included 17 studies that investigated the effect of price display on radiology and laboratory test ordering, or medicine choice. In </w:t>
      </w:r>
      <w:r>
        <w:t>most</w:t>
      </w:r>
      <w:r w:rsidRPr="000404FA">
        <w:t xml:space="preserve"> studies, price information changed ordering and prescribing behaviour. However, effect sizes were not summarised.</w: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fldChar w:fldCharType="separate"/>
      </w:r>
      <w:r>
        <w:rPr>
          <w:noProof/>
        </w:rPr>
        <w:t>[9]</w:t>
      </w:r>
      <w:r>
        <w:fldChar w:fldCharType="end"/>
      </w:r>
    </w:p>
    <w:p w14:paraId="55E326FF" w14:textId="77777777" w:rsidR="00C9672D" w:rsidRPr="000404FA" w:rsidRDefault="00C9672D" w:rsidP="00C9672D">
      <w:pPr>
        <w:pStyle w:val="Normalpara"/>
      </w:pPr>
      <w:r w:rsidRPr="000404FA">
        <w:t>Of nine clinically based interventions that examined test ordering, seven showed statistically significant reductions in cost and/or the number of tests ordered. Significant reductions in cost were also shown in two of the three clinical studies that investigated medicine expenditures. The authors stated that awareness of price may have led to the ordering of less expensive, rather than fewer, tests.</w: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fldChar w:fldCharType="separate"/>
      </w:r>
      <w:r>
        <w:rPr>
          <w:noProof/>
        </w:rPr>
        <w:t>[9]</w:t>
      </w:r>
      <w:r>
        <w:fldChar w:fldCharType="end"/>
      </w:r>
      <w:r w:rsidRPr="000404FA">
        <w:t xml:space="preserve"> </w:t>
      </w:r>
    </w:p>
    <w:p w14:paraId="065BE0F4" w14:textId="77777777" w:rsidR="00C9672D" w:rsidRDefault="00C9672D" w:rsidP="00C9672D">
      <w:pPr>
        <w:pStyle w:val="Normalpara"/>
      </w:pPr>
      <w:r w:rsidRPr="000404FA">
        <w:t xml:space="preserve">Cadogan et al. (2015) included one relevant study. </w:t>
      </w:r>
      <w:r>
        <w:t xml:space="preserve">After </w:t>
      </w:r>
      <w:r w:rsidRPr="000404FA">
        <w:t>price display there was a 1% to 2.6% reduction in the volume of tests ordered for 5/27 different laboratory tests (estimated reduction of 0.4/1000 and 5.6/1000 visits per month). Although significant, the reduction was small and principally for low-cost tests.</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0DD19BBA" w14:textId="77777777" w:rsidR="00C9672D" w:rsidRPr="000404FA" w:rsidRDefault="00C9672D" w:rsidP="00C9672D">
      <w:pPr>
        <w:pStyle w:val="Normalpara"/>
      </w:pPr>
      <w:r>
        <w:t>Findings by Main et al. (2010) were equivocal. The authors concluded that the display of test costs may be differentially effective in reducing the number of test orders and their corresponding costs according to baseline ordering rates, and that the effect of displaying test charges may be relatively transient.</w:t>
      </w:r>
      <w:r>
        <w:fldChar w:fldCharType="begin">
          <w:fldData xml:space="preserve">PEVuZE5vdGU+PENpdGU+PEF1dGhvcj5NYWluPC9BdXRob3I+PFllYXI+MjAxMDwvWWVhcj48UmVj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PEVuZE5vdGU+PENpdGU+PEF1dGhvcj5NYWluPC9BdXRob3I+PFllYXI+MjAxMDwvWWVhcj48UmVj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{Main, 2010 #45}</w:t>
      </w:r>
      <w:r>
        <w:fldChar w:fldCharType="end"/>
      </w:r>
    </w:p>
    <w:p w14:paraId="3D4FF30E" w14:textId="77777777" w:rsidR="00C9672D" w:rsidRPr="005B409E" w:rsidRDefault="00C9672D" w:rsidP="00C9672D">
      <w:pPr>
        <w:pStyle w:val="ApD3Head"/>
      </w:pPr>
      <w:bookmarkStart w:id="366" w:name="_Toc525740574"/>
      <w:bookmarkStart w:id="367" w:name="_Toc525816140"/>
      <w:r w:rsidRPr="005B409E">
        <w:t>Summary of findings</w:t>
      </w:r>
      <w:bookmarkEnd w:id="366"/>
      <w:bookmarkEnd w:id="367"/>
    </w:p>
    <w:p w14:paraId="3F2C3AAD" w14:textId="642960C5" w:rsidR="00C9672D" w:rsidRDefault="00C9672D" w:rsidP="00C9672D">
      <w:pPr>
        <w:pStyle w:val="Normalpara"/>
      </w:pPr>
      <w:r>
        <w:t>The included reviews provided</w:t>
      </w:r>
      <w:r w:rsidRPr="0085628D">
        <w:t xml:space="preserve"> evidence to suggest that </w:t>
      </w:r>
      <w:r w:rsidR="00151388">
        <w:t>CDS</w:t>
      </w:r>
      <w:r w:rsidRPr="0085628D">
        <w:t xml:space="preserve"> interventions improve the appropriateness of diagnostic imaging and pathology tests requ</w:t>
      </w:r>
      <w:r>
        <w:t xml:space="preserve">ested by health professionals. </w:t>
      </w:r>
    </w:p>
    <w:p w14:paraId="1ED3C97B" w14:textId="179200F1" w:rsidR="00C9672D" w:rsidRPr="000404FA" w:rsidRDefault="00C9672D" w:rsidP="00C9672D">
      <w:pPr>
        <w:pStyle w:val="Normalpara"/>
      </w:pPr>
      <w:r w:rsidRPr="000404FA">
        <w:t xml:space="preserve">Overall, each type of </w:t>
      </w:r>
      <w:r w:rsidR="00151388">
        <w:t>CDS</w:t>
      </w:r>
      <w:r w:rsidRPr="000404FA">
        <w:t xml:space="preserve"> intervention demonstrated improvements in at least one of the assessed outcomes, including: </w:t>
      </w:r>
    </w:p>
    <w:p w14:paraId="3DE523DD" w14:textId="77777777" w:rsidR="00C9672D" w:rsidRPr="00863FD1" w:rsidRDefault="00C9672D" w:rsidP="00C9672D">
      <w:pPr>
        <w:pStyle w:val="NormalBulleted"/>
      </w:pPr>
      <w:r>
        <w:t>i</w:t>
      </w:r>
      <w:r w:rsidRPr="000404FA">
        <w:t>mproved rates or ordering of laboratory or diagnostic tests (alerts, reminders, CDSS</w:t>
      </w:r>
      <w:r w:rsidRPr="00863FD1">
        <w:t>, system-based interventions, administrative interventions, price display)</w:t>
      </w:r>
      <w:r>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PC9ZZWFyPjxSZWNOdW0+NjE8L1JlY051bT48RGlzcGxheVRleHQ+WzMsNiwxMSwxMywxNSwxNl08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d3M8L2FiYnItMT48L2FsdC1wZXJpb2RpY2FsPjxwYWdlcz5DRDAwNzQ5NTwvcGFnZXM+PG51bWJl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aWMgcmV2aWV3czwvYWJici0xPjwvYWx0LXBlcmlvZGljYWw+PHBhZ2VzPkNEMDA2MDk0PC9wYWdl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Pr>
          <w:noProof/>
        </w:rPr>
        <w:t>[3,6,11,13,15,16]</w:t>
      </w:r>
      <w:r>
        <w:fldChar w:fldCharType="end"/>
      </w:r>
      <w:r w:rsidRPr="00863FD1">
        <w:t xml:space="preserve"> </w:t>
      </w:r>
    </w:p>
    <w:p w14:paraId="1A9DA742" w14:textId="77777777" w:rsidR="00C9672D" w:rsidRPr="00863FD1" w:rsidRDefault="00C9672D" w:rsidP="00C9672D">
      <w:pPr>
        <w:pStyle w:val="NormalBulleted"/>
      </w:pPr>
      <w:r>
        <w:t>i</w:t>
      </w:r>
      <w:r w:rsidRPr="000404FA">
        <w:t>mproved rates or ordering of imaging (reminders</w:t>
      </w:r>
      <w:r w:rsidRPr="00863FD1">
        <w:t>, utility scores, CDSS, administrative interventions)</w:t>
      </w:r>
      <w:r>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UmVjTnVtPjk0PC9SZWNOdW0+PERpc3BsYXlUZXh0Pls2LDcsMTAsMjBdPC9EaXNwbGF5VGV4dD48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=
</w:fldData>
        </w:fldChar>
      </w:r>
      <w:r>
        <w:instrText xml:space="preserve"> ADDIN EN.CITE.DATA </w:instrText>
      </w:r>
      <w:r>
        <w:fldChar w:fldCharType="end"/>
      </w:r>
      <w:r>
        <w:fldChar w:fldCharType="separate"/>
      </w:r>
      <w:r>
        <w:rPr>
          <w:noProof/>
        </w:rPr>
        <w:t>[6,7,10,20]</w:t>
      </w:r>
      <w:r>
        <w:fldChar w:fldCharType="end"/>
      </w:r>
    </w:p>
    <w:p w14:paraId="2D265DE1" w14:textId="77777777" w:rsidR="00C9672D" w:rsidRPr="00863FD1" w:rsidRDefault="00C9672D" w:rsidP="00C9672D">
      <w:pPr>
        <w:pStyle w:val="NormalBulleted"/>
      </w:pPr>
      <w:r>
        <w:t>i</w:t>
      </w:r>
      <w:r w:rsidRPr="000404FA">
        <w:t>mproved medicine prescribing rates (alerts)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33EC3E7B" w14:textId="77777777" w:rsidR="00C9672D" w:rsidRPr="00863FD1" w:rsidRDefault="00C9672D" w:rsidP="00C9672D">
      <w:pPr>
        <w:pStyle w:val="NormalBulleted"/>
      </w:pPr>
      <w:r>
        <w:t>i</w:t>
      </w:r>
      <w:r w:rsidRPr="000404FA">
        <w:t>ncreased compliance with guidelines</w:t>
      </w:r>
      <w:r w:rsidRPr="00863FD1">
        <w:t xml:space="preserve"> or recommended treatment criteria (prompts, CPOE with CDSS, utility scores, guideline dissemination tools)</w:t>
      </w:r>
      <w:r>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PEVuZE5vdGU+PENpdGU+PEF1dGhvcj5Db2xsYTwvQXV0aG9yPjxZZWFyPjIwMTY8L1llYXI+PFJl
Y051bT4xMDA8L1JlY051bT48RGlzcGxheVRleHQ+WzEsNSw4XTwvRGlzcGxheVRleHQ+PHJlY29y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ZzwvbGFuZ3VhZ2U+PC9yZWNvcmQ+PC9DaXRlPjxDaXRlPjxBdXRob3I+R2Vvcmdpb3U8L0F1dGhv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rPr>
          <w:noProof/>
        </w:rPr>
        <w:t>[1,5,8]</w:t>
      </w:r>
      <w:r>
        <w:fldChar w:fldCharType="end"/>
      </w:r>
    </w:p>
    <w:p w14:paraId="0925C1F0" w14:textId="77777777" w:rsidR="00C9672D" w:rsidRPr="00863FD1" w:rsidRDefault="00C9672D" w:rsidP="00C9672D">
      <w:pPr>
        <w:pStyle w:val="NormalBulleted"/>
      </w:pPr>
      <w:r>
        <w:t>r</w:t>
      </w:r>
      <w:r w:rsidRPr="000404FA">
        <w:t>educed rates o</w:t>
      </w:r>
      <w:r w:rsidRPr="00863FD1">
        <w:t>r ordering of redundant or inappropriate laboratory tests (alerts, CDSS)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088DD215" w14:textId="77777777" w:rsidR="00C9672D" w:rsidRPr="00863FD1" w:rsidRDefault="00C9672D" w:rsidP="00C9672D">
      <w:pPr>
        <w:pStyle w:val="NormalBulleted"/>
      </w:pPr>
      <w:r>
        <w:t>r</w:t>
      </w:r>
      <w:r w:rsidRPr="000404FA">
        <w:t>educed rates o</w:t>
      </w:r>
      <w:r w:rsidRPr="00863FD1">
        <w:t>r ordering of redundant or inappropriate imaging (CDSS)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43C12474" w14:textId="77777777" w:rsidR="00C9672D" w:rsidRPr="00863FD1" w:rsidRDefault="00C9672D" w:rsidP="00C9672D">
      <w:pPr>
        <w:pStyle w:val="NormalBulleted"/>
      </w:pPr>
      <w:r>
        <w:lastRenderedPageBreak/>
        <w:t>i</w:t>
      </w:r>
      <w:r w:rsidRPr="000404FA">
        <w:t xml:space="preserve">ncreased </w:t>
      </w:r>
      <w:r w:rsidRPr="00863FD1">
        <w:t>completion of a recommended preventive care service, clinical study or prescription (CDSS)</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p>
    <w:p w14:paraId="63A05227" w14:textId="77777777" w:rsidR="00C9672D" w:rsidRPr="00863FD1" w:rsidRDefault="00C9672D" w:rsidP="00C9672D">
      <w:pPr>
        <w:pStyle w:val="NormalBulleted"/>
      </w:pPr>
      <w:r>
        <w:t>i</w:t>
      </w:r>
      <w:r w:rsidRPr="000404FA">
        <w:t>mproved o</w:t>
      </w:r>
      <w:r w:rsidRPr="00863FD1">
        <w:t>verall practitioner performance (CDSS)</w: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fldChar w:fldCharType="separate"/>
      </w:r>
      <w:r>
        <w:rPr>
          <w:noProof/>
        </w:rPr>
        <w:t>[12]</w:t>
      </w:r>
      <w:r>
        <w:fldChar w:fldCharType="end"/>
      </w:r>
    </w:p>
    <w:p w14:paraId="187C7E1C" w14:textId="77777777" w:rsidR="00C9672D" w:rsidRPr="00863FD1" w:rsidRDefault="00C9672D" w:rsidP="00C9672D">
      <w:pPr>
        <w:pStyle w:val="NormalBulleted"/>
      </w:pPr>
      <w:r>
        <w:t>r</w:t>
      </w:r>
      <w:r w:rsidRPr="000404FA">
        <w:t>educed rates of low-utility imaging (utility scores used with CPOE)</w:t>
      </w:r>
      <w:r>
        <w:fldChar w:fldCharType="begin"/>
      </w:r>
      <w:r>
        <w:instrText xml:space="preserve"> ADDIN EN.CITE &lt;EndNote&gt;&lt;Cite&gt;&lt;Author&gt;Colla&lt;/Author&gt;&lt;Year&gt;2015&lt;/Year&gt;&lt;RecNum&gt;9&lt;/RecNum&gt;&lt;DisplayText&gt;[20]&lt;/DisplayText&gt;&lt;record&gt;&lt;rec-number&gt;9&lt;/rec-number&gt;&lt;foreign-keys&gt;&lt;key app="EN" db-id="x9fffa25dxde9newers5xv249pterpfdd5z9" timestamp="1488421580"&gt;9&lt;/key&gt;&lt;/foreign-keys&gt;&lt;ref-type name="Journal Article"&gt;17&lt;/ref-type&gt;&lt;contributors&gt;&lt;authors&gt;&lt;author&gt;Colla, C. H.&lt;/author&gt;&lt;author&gt;Sequist, T. D.&lt;/author&gt;&lt;author&gt;Rosenthal, M. B.&lt;/author&gt;&lt;author&gt;Schpero, W. L.&lt;/author&gt;&lt;author&gt;Gottlieb, D. J.&lt;/author&gt;&lt;author&gt;Morden, N. E.&lt;/author&gt;&lt;/authors&gt;&lt;/contributors&gt;&lt;titles&gt;&lt;title&gt;Use of non-indicated cardiac testing in low-risk patients: Choosing Wisely&lt;/title&gt;&lt;secondary-title&gt;BMJ Qual Saf&lt;/secondary-title&gt;&lt;/titles&gt;&lt;periodical&gt;&lt;full-title&gt;BMJ Qual Saf&lt;/full-title&gt;&lt;/periodical&gt;&lt;pages&gt;149–153&lt;/pages&gt;&lt;volume&gt;24&lt;/volume&gt;&lt;number&gt;2&lt;/number&gt;&lt;dates&gt;&lt;year&gt;2015&lt;/year&gt;&lt;/dates&gt;&lt;isbn&gt;2044-5423&lt;/isbn&gt;&lt;urls&gt;&lt;/urls&gt;&lt;/record&gt;&lt;/Cite&gt;&lt;/EndNote&gt;</w:instrText>
      </w:r>
      <w:r>
        <w:fldChar w:fldCharType="separate"/>
      </w:r>
      <w:r>
        <w:rPr>
          <w:noProof/>
        </w:rPr>
        <w:t>[20]</w:t>
      </w:r>
      <w:r>
        <w:fldChar w:fldCharType="end"/>
      </w:r>
    </w:p>
    <w:p w14:paraId="7AFEA6C6" w14:textId="77777777" w:rsidR="00C9672D" w:rsidRPr="00863FD1" w:rsidRDefault="00C9672D" w:rsidP="00C9672D">
      <w:pPr>
        <w:pStyle w:val="NormalBulleted"/>
      </w:pPr>
      <w:r>
        <w:t>r</w:t>
      </w:r>
      <w:r w:rsidRPr="000404FA">
        <w:t>educed cost of tests or imaging (price display</w:t>
      </w:r>
      <w:r w:rsidRPr="00863FD1">
        <w:t>, CDSS).</w:t>
      </w:r>
      <w:r>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 </w:instrText>
      </w:r>
      <w:r>
        <w:fldChar w:fldCharType="begin">
          <w:fldData xml:space="preserve">PEVuZE5vdGU+PENpdGU+PEF1dGhvcj5TaWx2ZXN0cmk8L0F1dGhvcj48WWVhcj4yMDE2PC9ZZWFy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cz44MzXigJM0MjwvcGFnZXM+PHZvbHVtZT4zMDwvdm9sdW1lPjxudW1iZXI+NjwvbnVtYmVyPjxl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</w:fldData>
        </w:fldChar>
      </w:r>
      <w:r>
        <w:instrText xml:space="preserve"> ADDIN EN.CITE.DATA </w:instrText>
      </w:r>
      <w:r>
        <w:fldChar w:fldCharType="end"/>
      </w:r>
      <w:r>
        <w:fldChar w:fldCharType="separate"/>
      </w:r>
      <w:r>
        <w:rPr>
          <w:noProof/>
        </w:rPr>
        <w:t>[7,9,14]</w:t>
      </w:r>
      <w:r>
        <w:fldChar w:fldCharType="end"/>
      </w:r>
    </w:p>
    <w:p w14:paraId="1650F963" w14:textId="573AE46F" w:rsidR="00C9672D" w:rsidRDefault="00C9672D" w:rsidP="00C9672D">
      <w:pPr>
        <w:pStyle w:val="Normalpara"/>
      </w:pPr>
      <w:r w:rsidRPr="000404FA">
        <w:t xml:space="preserve">Overall, based on the number of </w:t>
      </w:r>
      <w:r>
        <w:t>reviews</w:t>
      </w:r>
      <w:r w:rsidRPr="000404FA">
        <w:t xml:space="preserve"> that conducted a </w:t>
      </w:r>
      <w:r>
        <w:t>meta-analysi</w:t>
      </w:r>
      <w:r w:rsidRPr="000404FA">
        <w:t xml:space="preserve">s and the number of relevant articles included within each </w:t>
      </w:r>
      <w:r>
        <w:t>review</w:t>
      </w:r>
      <w:r w:rsidRPr="000404FA">
        <w:t xml:space="preserve">, CPOE or CDSS appears to be the </w:t>
      </w:r>
      <w:r w:rsidR="00151388">
        <w:t>CDS</w:t>
      </w:r>
      <w:r w:rsidRPr="000404FA">
        <w:t xml:space="preserve"> intervention with the greatest body of evidence.</w:t>
      </w:r>
      <w:r>
        <w:t xml:space="preserve"> </w:t>
      </w:r>
      <w:r w:rsidRPr="000404FA">
        <w:t xml:space="preserve">However, it has been difficult to make direct comparisons between interventions. </w:t>
      </w:r>
    </w:p>
    <w:p w14:paraId="3B7BFD64" w14:textId="77777777" w:rsidR="00C9672D" w:rsidRPr="000404FA" w:rsidRDefault="00C9672D" w:rsidP="00C9672D">
      <w:pPr>
        <w:pStyle w:val="Normalpara"/>
      </w:pPr>
      <w:r w:rsidRPr="000404FA">
        <w:t xml:space="preserve">As acknowledged in many of the included </w:t>
      </w:r>
      <w:r>
        <w:t>reviews</w:t>
      </w:r>
      <w:r w:rsidRPr="000404FA">
        <w:t xml:space="preserve">, there was substantial heterogeneity between studies, which resulted in a low number of meta-analyses and led to a high proportion of </w:t>
      </w:r>
      <w:r>
        <w:t>reviews</w:t>
      </w:r>
      <w:r w:rsidRPr="000404FA">
        <w:t xml:space="preserve"> that narratively summarised the results of individual studies. In addition, there was variation in the way outcomes were described, overall effect sizes were often not summarised, and some </w:t>
      </w:r>
      <w:r>
        <w:t>review</w:t>
      </w:r>
      <w:r w:rsidRPr="000404FA">
        <w:t xml:space="preserve"> authors only reported the proportion of included studies that showed a particular outcome. </w:t>
      </w:r>
    </w:p>
    <w:p w14:paraId="1EB4C889" w14:textId="77777777" w:rsidR="00C9672D" w:rsidRPr="00863FD1" w:rsidRDefault="00C9672D" w:rsidP="00C9672D">
      <w:pPr>
        <w:pStyle w:val="Normalpara"/>
      </w:pPr>
      <w:r w:rsidRPr="000404FA">
        <w:t>In total, relevant results from only three meta-analyses were available, one for alerts, prompts or reminders,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0404FA">
        <w:t xml:space="preserve"> and two for CPOE or CDSS.</w: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 </w:instrText>
      </w:r>
      <w:r>
        <w:fldChar w:fldCharType="begin">
          <w:fldData xml:space="preserve">PEVuZE5vdGU+PENpdGU+PEF1dGhvcj5CcmlnaHQ8L0F1dGhvcj48WWVhcj4yMDEyPC9ZZWFyPjxS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bmU8L2FiYnItMT48L2FsdC1wZXJpb2RpY2FsPjxwYWdlcz4yOeKAkzQzPC9wYWdlcz48dm9sdW1l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</w:fldData>
        </w:fldChar>
      </w:r>
      <w:r>
        <w:instrText xml:space="preserve"> ADDIN EN.CITE.DATA </w:instrText>
      </w:r>
      <w:r>
        <w:fldChar w:fldCharType="end"/>
      </w:r>
      <w:r>
        <w:fldChar w:fldCharType="separate"/>
      </w:r>
      <w:r>
        <w:rPr>
          <w:noProof/>
        </w:rPr>
        <w:t>[2,4]</w:t>
      </w:r>
      <w:r>
        <w:fldChar w:fldCharType="end"/>
      </w:r>
      <w:r w:rsidRPr="000404FA">
        <w:t xml:space="preserve"> However, only two studies were included in the meta-analys</w:t>
      </w:r>
      <w:r>
        <w:t>e</w:t>
      </w:r>
      <w:r w:rsidRPr="000404FA">
        <w:t xml:space="preserve">s performed by </w:t>
      </w:r>
      <w:r w:rsidRPr="00863FD1">
        <w:t xml:space="preserve">Chaudhuri et al. (2016) and Tzortziou Brown et al. (2016). </w:t>
      </w:r>
    </w:p>
    <w:p w14:paraId="187DF621" w14:textId="095A49B9" w:rsidR="00C9672D" w:rsidRPr="000404FA" w:rsidRDefault="00C9672D" w:rsidP="00C9672D">
      <w:pPr>
        <w:pStyle w:val="Normalpara"/>
      </w:pPr>
      <w:r w:rsidRPr="00863FD1">
        <w:t xml:space="preserve">In addition, the meta-analysis by Tzortziou Brown et al. (2016) was downgraded due to the heterogeneity and the small number included patients and events, and a detailed explanation of the </w:t>
      </w:r>
      <w:r w:rsidR="00151388">
        <w:t>CDS</w:t>
      </w:r>
      <w:r w:rsidRPr="00863FD1">
        <w:t xml:space="preserve"> intervention was not provided in the meta-analysis conducted by Chaudhuri et al. (2016).</w:t>
      </w:r>
      <w:r>
        <w:fldChar w:fldCharType="begin">
          <w:fldData xml:space="preserve">PEVuZE5vdGU+PENpdGU+PEF1dGhvcj5DaGF1ZGh1cmk8L0F1dGhvcj48WWVhcj4yMDE2PC9ZZWFy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czwvYWJici0xPjwvYWx0LXBlcmlvZGljYWw+PHBhZ2VzPkNEMDA3NDk1PC9wYWdlcz48bnVtYmVy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PEVuZE5vdGU+PENpdGU+PEF1dGhvcj5DaGF1ZGh1cmk8L0F1dGhvcj48WWVhcj4yMDE2PC9ZZWFy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fldChar w:fldCharType="separate"/>
      </w:r>
      <w:r>
        <w:rPr>
          <w:noProof/>
        </w:rPr>
        <w:t>[4,16]</w:t>
      </w:r>
      <w:r>
        <w:fldChar w:fldCharType="end"/>
      </w:r>
      <w:r w:rsidRPr="000404FA">
        <w:t xml:space="preserve"> </w:t>
      </w:r>
    </w:p>
    <w:p w14:paraId="335818F8" w14:textId="77777777" w:rsidR="00C9672D" w:rsidRPr="0085628D" w:rsidRDefault="00C9672D" w:rsidP="00C9672D">
      <w:pPr>
        <w:pStyle w:val="Normalpara"/>
      </w:pPr>
      <w:r w:rsidRPr="000404FA">
        <w:t>The meta-analysis by Bright et al. (2010) included a large number of studies with moderate</w:t>
      </w:r>
      <w:r>
        <w:t>–</w:t>
      </w:r>
      <w:r w:rsidRPr="000404FA">
        <w:t>high evidence strength to sho</w:t>
      </w:r>
      <w:r>
        <w:t>w that CDSS can improve preven</w:t>
      </w:r>
      <w:r w:rsidRPr="000404FA">
        <w:t xml:space="preserve">tive care services, ordering or completing clinical studies, and ordering the appropriate treatment. However, this </w:t>
      </w:r>
      <w:r>
        <w:t>review</w:t>
      </w:r>
      <w:r w:rsidRPr="000404FA">
        <w:t xml:space="preserve"> did not specifically investigate pathology tests or diagnostic imaging. Instead, these investigations were ‘topics’ incorporated within the included studies.</w: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[2]</w:t>
      </w:r>
      <w:r>
        <w:fldChar w:fldCharType="end"/>
      </w:r>
      <w:r>
        <w:t xml:space="preserve"> Authors </w:t>
      </w:r>
      <w:r w:rsidRPr="0085628D">
        <w:t xml:space="preserve">concluded that both commercially and locally developed CDSS are effective at improving </w:t>
      </w:r>
      <w:r>
        <w:t>healthcare</w:t>
      </w:r>
      <w:r w:rsidRPr="0085628D">
        <w:t xml:space="preserve"> process measures across diverse settings, but evidence for clinical, economic, workload, and efficiency outcomes remains sparse.</w:t>
      </w:r>
      <w:r w:rsidRPr="0085628D">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PEVuZE5vdGU+PENpdGU+PEF1dGhvcj5CcmlnaHQ8L0F1dGhvcj48WWVhcj4yMDEyPC9ZZWFyPjxS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rsidRPr="0085628D">
        <w:fldChar w:fldCharType="separate"/>
      </w:r>
      <w:r>
        <w:rPr>
          <w:noProof/>
        </w:rPr>
        <w:t>[2]</w:t>
      </w:r>
      <w:r w:rsidRPr="0085628D">
        <w:fldChar w:fldCharType="end"/>
      </w:r>
    </w:p>
    <w:p w14:paraId="55C2B8C9" w14:textId="77777777" w:rsidR="00C9672D" w:rsidRPr="0085628D" w:rsidRDefault="00C9672D" w:rsidP="00C9672D">
      <w:pPr>
        <w:pStyle w:val="Normalpara"/>
      </w:pPr>
      <w:r w:rsidRPr="0085628D">
        <w:t>There was consistent and substantial heterogeneity between included studies. The relevance of data in the retrieved meta-analyses should also be questioned, due to the low number of included studies, low strength of evidence, or lack of specific data for pathology testing or diagnostic imaging in the only comprehensive meta-analysis that included a high number of studies with moderate–high-strength evidence.</w:t>
      </w:r>
    </w:p>
    <w:p w14:paraId="2A37D6EE" w14:textId="67CAF80D" w:rsidR="00C9672D" w:rsidRPr="0085628D" w:rsidRDefault="00C9672D" w:rsidP="00C9672D">
      <w:pPr>
        <w:pStyle w:val="Normalpara"/>
      </w:pPr>
      <w:r w:rsidRPr="0085628D">
        <w:t xml:space="preserve">The heterogeneity between studies, low number of meta-analyses, high proportion of reviews that did not present overall effect sizes for a particular intervention, and differences in the way outcomes or interventions were reported or described made direct comparisons between interventions difficult. However, overall, CPOE or CDSS appeared to be the </w:t>
      </w:r>
      <w:r w:rsidR="00151388">
        <w:t>CDS</w:t>
      </w:r>
      <w:r w:rsidRPr="0085628D">
        <w:t xml:space="preserve"> intervention with the greatest body of evidence, and these interventions led to improvement for the greatest number of outcomes. </w:t>
      </w:r>
    </w:p>
    <w:p w14:paraId="3B3D2F1E" w14:textId="77777777" w:rsidR="00C9672D" w:rsidRPr="0085628D" w:rsidRDefault="00C9672D" w:rsidP="00C9672D">
      <w:pPr>
        <w:pStyle w:val="Normalpara"/>
      </w:pPr>
      <w:r>
        <w:t>L</w:t>
      </w:r>
      <w:r w:rsidRPr="0085628D">
        <w:t xml:space="preserve">imited data </w:t>
      </w:r>
      <w:r>
        <w:t xml:space="preserve">are </w:t>
      </w:r>
      <w:r w:rsidRPr="0085628D">
        <w:t xml:space="preserve">available on the cost-effectiveness of CDSS plus order communication systems compared with order communications systems alone, and it is unclear whether the use of CDSS, either for curtailing unnecessary or redundant tests, or increasing the appropriateness of tests and their timing, has any potential impact on </w:t>
      </w:r>
      <w:r>
        <w:t>healthcare</w:t>
      </w:r>
      <w:r w:rsidRPr="0085628D">
        <w:t xml:space="preserve"> outcomes that are relevant to patients.</w:t>
      </w:r>
      <w:r w:rsidRPr="0085628D">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 </w:instrText>
      </w:r>
      <w:r>
        <w:fldChar w:fldCharType="begin">
          <w:fldData xml:space="preserve">PEVuZE5vdGU+PENpdGU+PEF1dGhvcj5NYWluPC9BdXRob3I+PFllYXI+MjAxMDwvWWVhcj48UmVj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</w:fldData>
        </w:fldChar>
      </w:r>
      <w:r>
        <w:instrText xml:space="preserve"> ADDIN EN.CITE.DATA </w:instrText>
      </w:r>
      <w:r>
        <w:fldChar w:fldCharType="end"/>
      </w:r>
      <w:r w:rsidRPr="0085628D">
        <w:fldChar w:fldCharType="separate"/>
      </w:r>
      <w:r>
        <w:rPr>
          <w:noProof/>
        </w:rPr>
        <w:t>[12]</w:t>
      </w:r>
      <w:r w:rsidRPr="0085628D">
        <w:fldChar w:fldCharType="end"/>
      </w:r>
    </w:p>
    <w:p w14:paraId="354576C1" w14:textId="77777777" w:rsidR="00C9672D" w:rsidRPr="0085628D" w:rsidRDefault="00C9672D" w:rsidP="00C9672D">
      <w:pPr>
        <w:pStyle w:val="Normalpara"/>
      </w:pPr>
      <w:r w:rsidRPr="0085628D">
        <w:t>Additionally, Roshanov et al. (2011) stated that, to better inform development and implementation of computerised CDSS, studies should describe in more detail potentially important factors such as system design, user interface, local context</w:t>
      </w:r>
      <w:r>
        <w:t xml:space="preserve"> and</w:t>
      </w:r>
      <w:r w:rsidRPr="0085628D">
        <w:t xml:space="preserve"> implementation strategy, and evaluate impact on user satisfaction and workflow, costs and unintended consequences.</w:t>
      </w:r>
      <w:r w:rsidRPr="0085628D">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 </w:instrText>
      </w:r>
      <w:r>
        <w:fldChar w:fldCharType="begin">
          <w:fldData xml:space="preserve">PEVuZE5vdGU+PENpdGU+PEF1dGhvcj5Sb3NoYW5vdjwvQXV0aG9yPjxZZWFyPjIwMTE8L1llYXI+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YnItMT48L2FsdC1wZXJpb2RpY2FsPjxwYWdlcz44ODwvcGFnZXM+PHZvbHVtZT42PC92b2x1bWU+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</w:fldData>
        </w:fldChar>
      </w:r>
      <w:r>
        <w:instrText xml:space="preserve"> ADDIN EN.CITE.DATA </w:instrText>
      </w:r>
      <w:r>
        <w:fldChar w:fldCharType="end"/>
      </w:r>
      <w:r w:rsidRPr="0085628D">
        <w:fldChar w:fldCharType="separate"/>
      </w:r>
      <w:r>
        <w:rPr>
          <w:noProof/>
        </w:rPr>
        <w:t>[13]</w:t>
      </w:r>
      <w:r w:rsidRPr="0085628D">
        <w:fldChar w:fldCharType="end"/>
      </w:r>
    </w:p>
    <w:p w14:paraId="44E99052" w14:textId="77777777" w:rsidR="00C9672D" w:rsidRPr="0085628D" w:rsidRDefault="00C9672D" w:rsidP="00C9672D">
      <w:pPr>
        <w:pStyle w:val="Normalpara"/>
      </w:pPr>
      <w:r w:rsidRPr="0085628D">
        <w:t xml:space="preserve">In interpreting the findings of this review, a number of other practical factors should also be considered, as highlighted by the authors of the reviews below. </w:t>
      </w:r>
    </w:p>
    <w:p w14:paraId="4F527B32" w14:textId="77777777" w:rsidR="00C9672D" w:rsidRPr="0085628D" w:rsidRDefault="00C9672D" w:rsidP="00C9672D">
      <w:pPr>
        <w:pStyle w:val="Normalpara"/>
      </w:pPr>
      <w:r w:rsidRPr="0085628D">
        <w:lastRenderedPageBreak/>
        <w:t>Colla et al (2016) highlighted practical aspects that may need to be considered when implementing alerts or reminders. The review concluded that appropriateness scores and alerts integrated directly into electronic health records can reduce redundant testing and inappropriate care. However, physicians can experience alert fatigue, which introduces challenges such as overriding potentially critical notifications.</w:t>
      </w:r>
      <w:r w:rsidRPr="0085628D">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rsidRPr="0085628D">
        <w:fldChar w:fldCharType="separate"/>
      </w:r>
      <w:r>
        <w:rPr>
          <w:noProof/>
        </w:rPr>
        <w:t>[1]</w:t>
      </w:r>
      <w:r w:rsidRPr="0085628D">
        <w:fldChar w:fldCharType="end"/>
      </w:r>
    </w:p>
    <w:p w14:paraId="2A4D0C1A" w14:textId="77777777" w:rsidR="00C9672D" w:rsidRPr="0085628D" w:rsidRDefault="00C9672D" w:rsidP="00C9672D">
      <w:pPr>
        <w:pStyle w:val="Normalpara"/>
      </w:pPr>
      <w:r w:rsidRPr="0085628D">
        <w:t>French et al. (2010) highlighted the need to consider specific indications. They concluded that patient</w:t>
      </w:r>
      <w:r>
        <w:t>-</w:t>
      </w:r>
      <w:r w:rsidRPr="0085628D">
        <w:t>mediated, reminder, and organisational interventions had most potential for improving imaging use in osteoporosis, but interventions for low back pain showed variable effects</w:t>
      </w:r>
      <w:r>
        <w:t>,</w:t>
      </w:r>
      <w:r w:rsidRPr="0085628D">
        <w:t xml:space="preserve"> and no firm conclusions could be made for other musculoskeletal conditions.</w:t>
      </w:r>
      <w:r w:rsidRPr="0085628D">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rsidRPr="0085628D">
        <w:fldChar w:fldCharType="separate"/>
      </w:r>
      <w:r>
        <w:rPr>
          <w:noProof/>
        </w:rPr>
        <w:t>[6]</w:t>
      </w:r>
      <w:r w:rsidRPr="0085628D">
        <w:fldChar w:fldCharType="end"/>
      </w:r>
    </w:p>
    <w:p w14:paraId="68D5FA3D" w14:textId="77777777" w:rsidR="00C9672D" w:rsidRDefault="00C9672D" w:rsidP="00C9672D">
      <w:pPr>
        <w:pStyle w:val="Normalpara"/>
        <w:rPr>
          <w:lang w:eastAsia="en-US"/>
        </w:rPr>
      </w:pPr>
      <w:r w:rsidRPr="0085628D">
        <w:t>Regarding price display, Goetz et al. (2015) suggested that awareness of price may lead to the ordering of less expensive, rather than fewer, tests.</w:t>
      </w:r>
      <w:r w:rsidRPr="0085628D">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 </w:instrText>
      </w:r>
      <w:r>
        <w:fldChar w:fldCharType="begin">
          <w:fldData xml:space="preserve">PEVuZE5vdGU+PENpdGU+PEF1dGhvcj5Hb2V0ejwvQXV0aG9yPjxZZWFyPjIwMTU8L1llYXI+PFJl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=
</w:fldData>
        </w:fldChar>
      </w:r>
      <w:r>
        <w:instrText xml:space="preserve"> ADDIN EN.CITE.DATA </w:instrText>
      </w:r>
      <w:r>
        <w:fldChar w:fldCharType="end"/>
      </w:r>
      <w:r w:rsidRPr="0085628D">
        <w:fldChar w:fldCharType="separate"/>
      </w:r>
      <w:r>
        <w:rPr>
          <w:noProof/>
        </w:rPr>
        <w:t>[9]</w:t>
      </w:r>
      <w:r w:rsidRPr="0085628D">
        <w:fldChar w:fldCharType="end"/>
      </w:r>
      <w:r w:rsidRPr="0085628D">
        <w:t xml:space="preserve"> Additionally, Cadogan et al. (2015) included a study that showed that price display may lead to price reduction in low-cost tests rather than high-cost tests.</w:t>
      </w:r>
      <w:r w:rsidRPr="0085628D">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rsidRPr="0085628D">
        <w:fldChar w:fldCharType="separate"/>
      </w:r>
      <w:r>
        <w:rPr>
          <w:noProof/>
        </w:rPr>
        <w:t>[3]</w:t>
      </w:r>
      <w:r w:rsidRPr="0085628D">
        <w:fldChar w:fldCharType="end"/>
      </w:r>
    </w:p>
    <w:p w14:paraId="73EDEA39" w14:textId="77777777" w:rsidR="00C9672D" w:rsidRPr="0089198C" w:rsidRDefault="00C9672D" w:rsidP="00C9672D">
      <w:pPr>
        <w:pStyle w:val="ApD2Head"/>
      </w:pPr>
      <w:bookmarkStart w:id="368" w:name="_Toc525740575"/>
      <w:bookmarkStart w:id="369" w:name="_Toc525816141"/>
      <w:r w:rsidRPr="001B29EE">
        <w:t>Education</w:t>
      </w:r>
      <w:bookmarkEnd w:id="368"/>
      <w:bookmarkEnd w:id="369"/>
    </w:p>
    <w:p w14:paraId="093F7469" w14:textId="77777777" w:rsidR="00C9672D" w:rsidRPr="0037570E" w:rsidRDefault="00C9672D" w:rsidP="00C9672D">
      <w:pPr>
        <w:pStyle w:val="Normalpara"/>
      </w:pPr>
      <w:r w:rsidRPr="0037570E">
        <w:t xml:space="preserve">A total of 10 </w:t>
      </w:r>
      <w:r>
        <w:t>reviews</w:t>
      </w:r>
      <w:r w:rsidRPr="0037570E">
        <w:t xml:space="preserve"> that met the eligibility criteria investigated educational</w:t>
      </w:r>
      <w:r>
        <w:t xml:space="preserve"> </w:t>
      </w:r>
      <w:r w:rsidRPr="0037570E">
        <w:t>interventions.</w:t>
      </w:r>
      <w:r w:rsidRPr="003E433A">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 </w:instrText>
      </w:r>
      <w:r>
        <w:fldChar w:fldCharType="begin">
          <w:fldData xml:space="preserve">PEVuZE5vdGU+PENpdGU+PEF1dGhvcj5DYWRvZ2FuPC9BdXRob3I+PFllYXI+MjAxNTwvWWVhcj48
UmVjTnVtPjEwOTwvUmVjTnVtPjxEaXNwbGF5VGV4dD5bMSwzLDQsNiwxMCwxMSwxNS0xOF08L0Rp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MDAxODM2PC9lbGVjdHJvbmljLXJlc291cmNlLW51bT48L3JlY29yZD48L0NpdGU+PC9FbmROb3Rl
Pn==
</w:fldData>
        </w:fldChar>
      </w:r>
      <w:r>
        <w:instrText xml:space="preserve"> ADDIN EN.CITE.DATA </w:instrText>
      </w:r>
      <w:r>
        <w:fldChar w:fldCharType="end"/>
      </w:r>
      <w:r w:rsidRPr="003E433A">
        <w:fldChar w:fldCharType="separate"/>
      </w:r>
      <w:r>
        <w:rPr>
          <w:noProof/>
        </w:rPr>
        <w:t>[1,3,4,6,10,11,15-18]</w:t>
      </w:r>
      <w:r w:rsidRPr="003E433A">
        <w:fldChar w:fldCharType="end"/>
      </w:r>
      <w:r w:rsidRPr="003E433A">
        <w:t xml:space="preserve"> The key findings on educational interventions from these reviews are summarised in Table 4.</w:t>
      </w:r>
    </w:p>
    <w:p w14:paraId="6261A29B" w14:textId="77777777" w:rsidR="00C9672D" w:rsidRPr="0037570E" w:rsidRDefault="00C9672D" w:rsidP="00C9672D">
      <w:pPr>
        <w:pStyle w:val="Normalpara"/>
      </w:pPr>
      <w:r w:rsidRPr="0037570E">
        <w:t xml:space="preserve">Educational interventions that were investigated included physician </w:t>
      </w:r>
      <w:r>
        <w:t xml:space="preserve">strategies </w:t>
      </w:r>
      <w:r w:rsidRPr="0037570E">
        <w:t>and combinations of both physician and patient-mediated strategies.</w:t>
      </w:r>
    </w:p>
    <w:p w14:paraId="56A7F291" w14:textId="77777777" w:rsidR="00C9672D" w:rsidRPr="005B409E" w:rsidRDefault="00C9672D" w:rsidP="00C9672D">
      <w:pPr>
        <w:pStyle w:val="ApD3Head"/>
        <w:rPr>
          <w:rStyle w:val="Bold"/>
          <w:b/>
        </w:rPr>
      </w:pPr>
      <w:bookmarkStart w:id="370" w:name="_Toc525740576"/>
      <w:bookmarkStart w:id="371" w:name="_Toc525816142"/>
      <w:r w:rsidRPr="005B409E">
        <w:rPr>
          <w:rStyle w:val="Bold"/>
        </w:rPr>
        <w:t>Traditional educational</w:t>
      </w:r>
      <w:bookmarkEnd w:id="370"/>
      <w:bookmarkEnd w:id="371"/>
      <w:r w:rsidRPr="005B409E">
        <w:rPr>
          <w:rStyle w:val="Bold"/>
        </w:rPr>
        <w:t xml:space="preserve"> </w:t>
      </w:r>
    </w:p>
    <w:p w14:paraId="041191DA" w14:textId="77777777" w:rsidR="00C9672D" w:rsidRPr="0037570E" w:rsidRDefault="00C9672D" w:rsidP="00C9672D">
      <w:pPr>
        <w:pStyle w:val="Normalpara"/>
      </w:pPr>
      <w:r w:rsidRPr="0037570E">
        <w:t>‘Traditional’ strategies typically incorporated passive education and information dissemination such as didactic lectures, seminars, educational emails and flyers and distribution of educational materials, and were reported by 10 reviews.</w:t>
      </w:r>
      <w:r>
        <w:fldChar w:fldCharType="begin">
          <w:fldData xml:space="preserve">PEVuZE5vdGU+PENpdGU+PEF1dGhvcj5Db2xsYTwvQXV0aG9yPjxZZWFyPjIwMTY8L1llYXI+PFJl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PjwvcmVjb3JkPjwvQ2l0ZT48Q2l0ZT48QXV0aG9yPkxlZ2FyZTwvQXV0aG9yPjxZZWFyPjIwMTY8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YmJyLTE+PC9hbHQtcGVyaW9kaWNhbD48cGFnZXM+ZTAxNTAxMjM8L3BhZ2VzPjx2b2x1bWU+MTE8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Y3F1YXJpZSBVbml2ZXJzaXR5LCBTeWRuZXksIEF1c3RyYWxpYSBoYXplbC5qZW5raW5zQG1xLmVk
dS5hdS4mI3hEO0RlcGFydG1lbnQgb2YgSGVhbHRoIFByb2Zlc3Npb25zIChKZW5raW5zLCBIYW5j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eWRuZXksIEF1c3RyYWxpYS48L2F1dGgtYWRkcmVzcz48dGl0bGVzPjx0aXRsZT5FZmZlY3RpdmVu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ci0xPjwvYWx0LXBlcmlvZGljYWw+PHBhZ2VzPkNEMDA2MDk0PC9wYWdlcz48bnVtYmVyPjE8L251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PEVuZE5vdGU+PENpdGU+PEF1dGhvcj5Db2xsYTwvQXV0aG9yPjxZZWFyPjIwMTY8L1llYXI+PFJl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PjwvcmVjb3JkPjwvQ2l0ZT48Q2l0ZT48QXV0aG9yPkxlZ2FyZTwvQXV0aG9yPjxZZWFyPjIwMTY8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YmJyLTE+PC9hbHQtcGVyaW9kaWNhbD48cGFnZXM+ZTAxNTAxMjM8L3BhZ2VzPjx2b2x1bWU+MTE8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Y3F1YXJpZSBVbml2ZXJzaXR5LCBTeWRuZXksIEF1c3RyYWxpYSBoYXplbC5qZW5raW5zQG1xLmVk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fldChar w:fldCharType="separate"/>
      </w:r>
      <w:r>
        <w:rPr>
          <w:noProof/>
        </w:rPr>
        <w:t>[1,3,4,6,10,11,15,16,18]</w:t>
      </w:r>
      <w:r>
        <w:fldChar w:fldCharType="end"/>
      </w:r>
      <w:r w:rsidRPr="0037570E">
        <w:t xml:space="preserve"> </w:t>
      </w:r>
    </w:p>
    <w:p w14:paraId="3114FE43" w14:textId="77777777" w:rsidR="00C9672D" w:rsidRPr="0037570E" w:rsidRDefault="00C9672D" w:rsidP="00C9672D">
      <w:pPr>
        <w:pStyle w:val="Normalpara"/>
      </w:pPr>
      <w:r w:rsidRPr="0037570E">
        <w:t>Evidence of effectiveness was inconsistently reported for both imaging and ordering of laboratory tests.</w:t>
      </w:r>
      <w:r>
        <w:t xml:space="preserve"> Details of the intervention were often insufficiently described. Most included studies were before-after with no time series analysis.</w:t>
      </w:r>
    </w:p>
    <w:p w14:paraId="0D6B0E4F" w14:textId="77777777" w:rsidR="00C9672D" w:rsidRPr="0037570E" w:rsidRDefault="00C9672D" w:rsidP="00C9672D">
      <w:pPr>
        <w:pStyle w:val="Normalpara"/>
      </w:pPr>
      <w:r>
        <w:t>Reviews</w:t>
      </w:r>
      <w:r w:rsidRPr="0037570E">
        <w:t xml:space="preserve"> that reported positive findings overall:</w:t>
      </w:r>
    </w:p>
    <w:p w14:paraId="5F10A87E" w14:textId="77777777" w:rsidR="00C9672D" w:rsidRPr="0037570E" w:rsidRDefault="00C9672D" w:rsidP="00C9672D">
      <w:pPr>
        <w:pStyle w:val="NormalBulleted"/>
      </w:pPr>
      <w:r w:rsidRPr="0037570E">
        <w:t xml:space="preserve">A meta-analysis of two studies by Chaudhuri et al. </w:t>
      </w:r>
      <w:r>
        <w:t xml:space="preserve">(2016) </w:t>
      </w:r>
      <w:r w:rsidRPr="0037570E">
        <w:t xml:space="preserve">found that the odds of inappropriate cardiac testing were marginally improved </w:t>
      </w:r>
      <w:r>
        <w:t xml:space="preserve">after </w:t>
      </w:r>
      <w:r w:rsidRPr="0037570E">
        <w:t xml:space="preserve">use of lectures (OR 0.89, 95% </w:t>
      </w:r>
      <w:r>
        <w:t xml:space="preserve">CI </w:t>
      </w:r>
      <w:r w:rsidRPr="0037570E">
        <w:t>0.61</w:t>
      </w:r>
      <w:r>
        <w:t xml:space="preserve"> to </w:t>
      </w:r>
      <w:r w:rsidRPr="0037570E">
        <w:t>1.29).</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r w:rsidRPr="0037570E">
        <w:t xml:space="preserve"> </w:t>
      </w:r>
    </w:p>
    <w:p w14:paraId="1D1CC1AB" w14:textId="77777777" w:rsidR="00C9672D" w:rsidRPr="0037570E" w:rsidRDefault="00C9672D" w:rsidP="00C9672D">
      <w:pPr>
        <w:pStyle w:val="NormalBulleted"/>
      </w:pPr>
      <w:r w:rsidRPr="0037570E">
        <w:t>A systematic review by Kobewka et al.</w:t>
      </w:r>
      <w:r>
        <w:t xml:space="preserve"> </w:t>
      </w:r>
      <w:r w:rsidRPr="0037570E">
        <w:t>(2015) found that interventions with an educational component</w:t>
      </w:r>
      <w:r>
        <w:t xml:space="preserve"> (including but not exclusively traditional educational)</w:t>
      </w:r>
      <w:r w:rsidRPr="0037570E">
        <w:t xml:space="preserve"> had the highest median relative reduction in test ordering</w:t>
      </w:r>
      <w:r>
        <w:t xml:space="preserve"> </w:t>
      </w:r>
      <w:r w:rsidRPr="0037570E">
        <w:t>volume at 34.5% (IQR 16.5</w:t>
      </w:r>
      <w:r>
        <w:t xml:space="preserve"> to </w:t>
      </w:r>
      <w:r w:rsidRPr="0037570E">
        <w:t>49.0).</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t xml:space="preserve"> </w:t>
      </w:r>
      <w:r w:rsidRPr="0037570E">
        <w:t xml:space="preserve">Six studies in this review of traditional educational interventions such as lectures and distributed materials all had positive findings, with reductions in testing ranging from 22% to 60% </w:t>
      </w:r>
      <w:r>
        <w:t>after</w:t>
      </w:r>
      <w:r w:rsidRPr="0037570E">
        <w:t xml:space="preserve"> the intervention. Interventions that were exclusively educational had a median relative reduction in test ordering of 30.6% (16.5</w:t>
      </w:r>
      <w:r>
        <w:t xml:space="preserve"> to </w:t>
      </w:r>
      <w:r w:rsidRPr="0037570E">
        <w:t>48.5).</w:t>
      </w:r>
      <w:r>
        <w:t xml:space="preserve"> However, the vast majority of included studies targeted physicians and were set in teaching hospitals. Only 10 out of 109 included studies addressed primary care physicians and family doctors.</w:t>
      </w:r>
    </w:p>
    <w:p w14:paraId="733E7311" w14:textId="77777777" w:rsidR="00C9672D" w:rsidRPr="0037570E" w:rsidRDefault="00C9672D" w:rsidP="00C9672D">
      <w:pPr>
        <w:pStyle w:val="NormalBulleted"/>
      </w:pPr>
      <w:r w:rsidRPr="0037570E">
        <w:t xml:space="preserve">Colla et al. </w:t>
      </w:r>
      <w:r>
        <w:t xml:space="preserve">(2016) </w:t>
      </w:r>
      <w:r w:rsidRPr="0037570E">
        <w:t>found that passive educational interventions, those with a narrow scope, or those with only one educational tactic are often less successful at reducing low-value care.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3DD14AFD" w14:textId="77777777" w:rsidR="00C9672D" w:rsidRPr="0037570E" w:rsidRDefault="00C9672D" w:rsidP="00C9672D">
      <w:pPr>
        <w:pStyle w:val="NormalBulleted"/>
      </w:pPr>
      <w:r w:rsidRPr="0037570E">
        <w:t>Stammen et al.</w:t>
      </w:r>
      <w:r>
        <w:t xml:space="preserve"> (2015)</w:t>
      </w:r>
      <w:r w:rsidRPr="0037570E">
        <w:t xml:space="preserve"> found that lectures and educational sessions could lead to reductions in test ordering, especially if a cost-containment element was included, but did not provide any analysis.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21369079" w14:textId="77777777" w:rsidR="00C9672D" w:rsidRPr="0037570E" w:rsidRDefault="00C9672D" w:rsidP="00C9672D">
      <w:pPr>
        <w:pStyle w:val="NormalBulleted"/>
      </w:pPr>
      <w:r w:rsidRPr="0037570E">
        <w:t xml:space="preserve">A systematic review by Cadogan et al. </w:t>
      </w:r>
      <w:r>
        <w:t xml:space="preserve">(2015) </w:t>
      </w:r>
      <w:r w:rsidRPr="0037570E">
        <w:t>includ</w:t>
      </w:r>
      <w:r>
        <w:t>ed</w:t>
      </w:r>
      <w:r w:rsidRPr="0037570E">
        <w:t xml:space="preserve"> two studies of educational lectures </w:t>
      </w:r>
      <w:r>
        <w:t xml:space="preserve">that </w:t>
      </w:r>
      <w:r w:rsidRPr="0037570E">
        <w:t>found a small</w:t>
      </w:r>
      <w:r>
        <w:t xml:space="preserve"> </w:t>
      </w:r>
      <w:r w:rsidRPr="0037570E">
        <w:t>reduction in test ordering a</w:t>
      </w:r>
      <w:r>
        <w:t>t 1 year follow-up (by 5%), and an</w:t>
      </w:r>
      <w:r w:rsidRPr="0037570E">
        <w:t xml:space="preserve"> improvement in laboratory testing orders at </w:t>
      </w:r>
      <w:r>
        <w:t>4</w:t>
      </w:r>
      <w:r w:rsidRPr="0037570E">
        <w:t xml:space="preserve"> months post</w:t>
      </w:r>
      <w:r>
        <w:t xml:space="preserve"> </w:t>
      </w:r>
      <w:r w:rsidRPr="0037570E">
        <w:t xml:space="preserve">intervention </w:t>
      </w:r>
      <w:r>
        <w:t>(</w:t>
      </w:r>
      <w:r w:rsidRPr="0037570E">
        <w:t>of 64%</w:t>
      </w:r>
      <w:r>
        <w:t xml:space="preserve">; </w:t>
      </w:r>
      <w:r w:rsidRPr="0037570E">
        <w:t>no analysis provided).</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45512D26" w14:textId="77777777" w:rsidR="00C9672D" w:rsidRPr="0037570E" w:rsidRDefault="00C9672D" w:rsidP="00C9672D">
      <w:pPr>
        <w:pStyle w:val="Normalpara"/>
      </w:pPr>
      <w:r>
        <w:lastRenderedPageBreak/>
        <w:t>Reviews</w:t>
      </w:r>
      <w:r w:rsidRPr="0037570E">
        <w:t xml:space="preserve"> that reported negative findings overall:</w:t>
      </w:r>
    </w:p>
    <w:p w14:paraId="563DF7AD" w14:textId="77777777" w:rsidR="00C9672D" w:rsidRPr="0037570E" w:rsidRDefault="00C9672D" w:rsidP="00C9672D">
      <w:pPr>
        <w:pStyle w:val="NormalBulleted"/>
      </w:pPr>
      <w:r w:rsidRPr="0037570E">
        <w:t>The review by Thomas et al.</w:t>
      </w:r>
      <w:r>
        <w:t xml:space="preserve"> (2016)</w:t>
      </w:r>
      <w:r w:rsidRPr="0037570E">
        <w:t xml:space="preserve"> included an individual study of an educational intervention to increase lipid testing, which found a small increase (1.4%) in cholesterol testing in the control group </w:t>
      </w:r>
      <w:r>
        <w:t>after</w:t>
      </w:r>
      <w:r w:rsidRPr="0037570E">
        <w:t xml:space="preserve"> a 3-hour lecture with guidelines.</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r>
        <w:t xml:space="preserve"> </w:t>
      </w:r>
    </w:p>
    <w:p w14:paraId="22537EC4" w14:textId="77777777" w:rsidR="00C9672D" w:rsidRPr="0037570E" w:rsidRDefault="00C9672D" w:rsidP="00C9672D">
      <w:pPr>
        <w:pStyle w:val="NormalBulleted"/>
      </w:pPr>
      <w:r w:rsidRPr="0037570E">
        <w:t>The reviews by French et al.</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37570E">
        <w:t xml:space="preserve"> and Tzortziou-Brown</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found that the distribution of educational materials had no impact on the ordering of diagnostic imaging for back pain, or limb and joint </w:t>
      </w:r>
      <w:r>
        <w:t>X</w:t>
      </w:r>
      <w:r w:rsidRPr="0037570E">
        <w:t xml:space="preserve">-rays. One small study found that educational materials provided to GPs from surgeons </w:t>
      </w:r>
      <w:r>
        <w:t>after</w:t>
      </w:r>
      <w:r w:rsidRPr="0037570E">
        <w:t xml:space="preserve"> a BMD test may lead to an improvement in the rates of osteoporosis </w:t>
      </w:r>
      <w:r>
        <w:t>medicine</w:t>
      </w:r>
      <w:r w:rsidRPr="0037570E">
        <w:t xml:space="preserve"> prescribing (74% compared with 26%, large risk difference of 48%) by GPs.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7832F3A6" w14:textId="77777777" w:rsidR="00C9672D" w:rsidRPr="0037570E" w:rsidRDefault="00C9672D" w:rsidP="00C9672D">
      <w:pPr>
        <w:pStyle w:val="Normalpara"/>
      </w:pPr>
      <w:r w:rsidRPr="0037570E">
        <w:t>The review by French et al.</w:t>
      </w:r>
      <w:r>
        <w:t xml:space="preserve"> (2010)</w:t>
      </w:r>
      <w:r w:rsidRPr="0037570E">
        <w:t xml:space="preserve"> found that for all interventions with a distributional educational component, the median absolute effect size was 3.8 (IQR </w:t>
      </w:r>
      <w:r>
        <w:t>–</w:t>
      </w:r>
      <w:r w:rsidRPr="0037570E">
        <w:t xml:space="preserve">0.2 to 27.7) compared </w:t>
      </w:r>
      <w:r>
        <w:t>with</w:t>
      </w:r>
      <w:r w:rsidRPr="0037570E">
        <w:t xml:space="preserve"> 15.0 (IQR 10.6 to 18.1) for those without.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p>
    <w:p w14:paraId="55BA2E53" w14:textId="77777777" w:rsidR="00C9672D" w:rsidRPr="0037570E" w:rsidRDefault="00C9672D" w:rsidP="00C9672D">
      <w:pPr>
        <w:pStyle w:val="Normalpara"/>
      </w:pPr>
      <w:r w:rsidRPr="0037570E">
        <w:t>Only one review provided cost data.</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r w:rsidRPr="0037570E">
        <w:t xml:space="preserve"> Interventions with distributed educational materials consistently demonstrated cost savings as a result of fewer test orders, with reported savings ranging from 16% to 22%.</w:t>
      </w:r>
    </w:p>
    <w:p w14:paraId="62900C47" w14:textId="77777777" w:rsidR="00C9672D" w:rsidRPr="005B409E" w:rsidRDefault="00C9672D" w:rsidP="00C9672D">
      <w:pPr>
        <w:pStyle w:val="ApD3Head"/>
        <w:rPr>
          <w:rStyle w:val="Bold"/>
          <w:b/>
        </w:rPr>
      </w:pPr>
      <w:bookmarkStart w:id="372" w:name="_Toc525740577"/>
      <w:bookmarkStart w:id="373" w:name="_Toc525816143"/>
      <w:r w:rsidRPr="005B409E">
        <w:rPr>
          <w:rStyle w:val="Bold"/>
        </w:rPr>
        <w:t>Education and audit</w:t>
      </w:r>
      <w:r>
        <w:rPr>
          <w:rStyle w:val="Bold"/>
        </w:rPr>
        <w:t xml:space="preserve"> and </w:t>
      </w:r>
      <w:r w:rsidRPr="005B409E">
        <w:rPr>
          <w:rStyle w:val="Bold"/>
        </w:rPr>
        <w:t>feedback</w:t>
      </w:r>
      <w:bookmarkEnd w:id="372"/>
      <w:bookmarkEnd w:id="373"/>
    </w:p>
    <w:p w14:paraId="4B33EFBC" w14:textId="77777777" w:rsidR="00C9672D" w:rsidRPr="0037570E" w:rsidRDefault="00C9672D" w:rsidP="00C9672D">
      <w:pPr>
        <w:pStyle w:val="Normalpara"/>
      </w:pPr>
      <w:r w:rsidRPr="0037570E">
        <w:t>Whe</w:t>
      </w:r>
      <w:r>
        <w:t>n</w:t>
      </w:r>
      <w:r w:rsidRPr="0037570E">
        <w:t xml:space="preserve"> the major intervention was continuing medical education with an audit</w:t>
      </w:r>
      <w:r>
        <w:t>–</w:t>
      </w:r>
      <w:r w:rsidRPr="0037570E">
        <w:t>feedback component, reviews found:</w:t>
      </w:r>
    </w:p>
    <w:p w14:paraId="2280E760" w14:textId="77777777" w:rsidR="00C9672D" w:rsidRPr="0037570E" w:rsidRDefault="00C9672D" w:rsidP="00C9672D">
      <w:pPr>
        <w:pStyle w:val="NormalBulleted"/>
      </w:pPr>
      <w:r w:rsidRPr="0037570E">
        <w:t>The combination of educational guidelines and audit</w:t>
      </w:r>
      <w:r>
        <w:t>–</w:t>
      </w:r>
      <w:r w:rsidRPr="0037570E">
        <w:t>feedback may result in a slight reduction in spinal radiology requests.</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37570E">
        <w:t xml:space="preserve"> However, </w:t>
      </w:r>
      <w:r>
        <w:t xml:space="preserve">in a </w:t>
      </w:r>
      <w:r w:rsidRPr="0037570E">
        <w:t>key study</w:t>
      </w:r>
      <w:r>
        <w:t xml:space="preserve"> found by two reviews,</w:t>
      </w:r>
      <w:r w:rsidRPr="0037570E">
        <w:t xml:space="preserve"> the distribution of educational materials with audit</w:t>
      </w:r>
      <w:r>
        <w:t>–</w:t>
      </w:r>
      <w:r w:rsidRPr="0037570E">
        <w:t>feedback resulted in little or no reduction in GP radiology referrals overall.</w: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[6,16]</w:t>
      </w:r>
      <w:r>
        <w:fldChar w:fldCharType="end"/>
      </w:r>
    </w:p>
    <w:p w14:paraId="46390CD1" w14:textId="77777777" w:rsidR="00C9672D" w:rsidRPr="0037570E" w:rsidRDefault="00C9672D" w:rsidP="00C9672D">
      <w:pPr>
        <w:pStyle w:val="NormalBulleted"/>
      </w:pPr>
      <w:r w:rsidRPr="0037570E">
        <w:t>A continuing medical education plan with a feedback component to improve test ordering for lipids found a 1% increase in improvement in the control group.</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15AD7795" w14:textId="77777777" w:rsidR="00C9672D" w:rsidRPr="005B409E" w:rsidRDefault="00C9672D" w:rsidP="00C9672D">
      <w:pPr>
        <w:pStyle w:val="ApD3Head"/>
        <w:rPr>
          <w:rStyle w:val="Bold"/>
          <w:b/>
        </w:rPr>
      </w:pPr>
      <w:bookmarkStart w:id="374" w:name="_Toc525740578"/>
      <w:bookmarkStart w:id="375" w:name="_Toc525816144"/>
      <w:r w:rsidRPr="005B409E">
        <w:rPr>
          <w:rStyle w:val="Bold"/>
        </w:rPr>
        <w:t>Interactive educational</w:t>
      </w:r>
      <w:bookmarkEnd w:id="374"/>
      <w:bookmarkEnd w:id="375"/>
    </w:p>
    <w:p w14:paraId="3AD157CF" w14:textId="77777777" w:rsidR="00C9672D" w:rsidRPr="0037570E" w:rsidRDefault="00C9672D" w:rsidP="00C9672D">
      <w:pPr>
        <w:pStyle w:val="Normalpara"/>
      </w:pPr>
      <w:r w:rsidRPr="0037570E">
        <w:t>Educational outreach, also known as academic detailing, is defined as the use of a trained person who me</w:t>
      </w:r>
      <w:r>
        <w:t>e</w:t>
      </w:r>
      <w:r w:rsidRPr="0037570E">
        <w:t>t</w:t>
      </w:r>
      <w:r>
        <w:t>s</w:t>
      </w:r>
      <w:r w:rsidRPr="0037570E">
        <w:t xml:space="preserve"> with providers in their practice settings to give information with the intent of changing the provider’s practice</w:t>
      </w:r>
      <w:r>
        <w: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r w:rsidRPr="0037570E">
        <w:t xml:space="preserve"> </w:t>
      </w:r>
      <w:r>
        <w:t xml:space="preserve">This </w:t>
      </w:r>
      <w:r w:rsidRPr="0037570E">
        <w:t xml:space="preserve">typically consisted of practice visits by educators, the provision of promotional material, and subsequent reminders or educational follow-up. </w:t>
      </w:r>
      <w:r>
        <w:t>W</w:t>
      </w:r>
      <w:r w:rsidRPr="0037570E">
        <w:t>orkshops</w:t>
      </w:r>
      <w:r>
        <w:t xml:space="preserve"> and educational meetings</w:t>
      </w:r>
      <w:r w:rsidRPr="0037570E">
        <w:t xml:space="preserve"> </w:t>
      </w:r>
      <w:r>
        <w:t xml:space="preserve">were also included </w:t>
      </w:r>
      <w:r w:rsidRPr="0037570E">
        <w:t>in this group</w:t>
      </w:r>
      <w:r>
        <w:t xml:space="preserve"> if they had an evaluation process component</w:t>
      </w:r>
      <w:r w:rsidRPr="0037570E">
        <w:t>.</w:t>
      </w:r>
    </w:p>
    <w:p w14:paraId="0C228162" w14:textId="77777777" w:rsidR="00C9672D" w:rsidRPr="0037570E" w:rsidRDefault="00C9672D" w:rsidP="00C9672D">
      <w:pPr>
        <w:pStyle w:val="Normalpara"/>
      </w:pPr>
      <w:r w:rsidRPr="0037570E">
        <w:t>Individual studies evaluating reduction in imaging requests and laboratory test ordering showed little or no change in ordering outcomes. Overall, educational sessions, workshops and guidelines may result in some positive changes in GP behaviour and patient-related outcomes. However, these interventions showed no improvements in GP prescribing.</w:t>
      </w:r>
    </w:p>
    <w:p w14:paraId="22CA56A2" w14:textId="77777777" w:rsidR="00C9672D" w:rsidRDefault="00C9672D" w:rsidP="00C9672D">
      <w:pPr>
        <w:pStyle w:val="Normalpara"/>
      </w:pPr>
      <w:r w:rsidRPr="0037570E">
        <w:t>Key studies reviewed</w:t>
      </w:r>
      <w:r>
        <w:t xml:space="preserve"> </w:t>
      </w:r>
      <w:r w:rsidRPr="0037570E">
        <w:t>found no evidence of effectiveness for face-to-face education sessions, including guideline dissemination and implementation strategies for reducing unnecessary imaging for low back pain.</w:t>
      </w:r>
      <w:r>
        <w:fldChar w:fldCharType="begin">
          <w:fldData xml:space="preserve">PEVuZE5vdGU+PENpdGU+PEF1dGhvcj5KZW5raW5zPC9BdXRob3I+PFllYXI+MjAxNTwvWWVhcj48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ZS1wcm92aWRlcj48bGFuZ3VhZ2U+ZW5nPC9sYW5ndWFnZT48L3JlY29yZD48L0NpdGU+PENpdGU+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PEVuZE5vdGU+PENpdGU+PEF1dGhvcj5KZW5raW5zPC9BdXRob3I+PFllYXI+MjAxNTwvWWVhcj48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ZS1wcm92aWRlcj48bGFuZ3VhZ2U+ZW5nPC9sYW5ndWFnZT48L3JlY29yZD48L0NpdGU+PENpdGU+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[6,10,16]</w:t>
      </w:r>
      <w:r>
        <w:fldChar w:fldCharType="end"/>
      </w:r>
      <w:r>
        <w:t xml:space="preserve"> </w:t>
      </w:r>
      <w:r w:rsidRPr="0037570E">
        <w:t xml:space="preserve">One included study reported no change in GP behaviour with regard to ordering </w:t>
      </w:r>
      <w:r>
        <w:t>X</w:t>
      </w:r>
      <w:r w:rsidRPr="0037570E">
        <w:t>-rays, issuing sickness certificates and prescribing opioids.</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37570E">
        <w:t xml:space="preserve"> </w:t>
      </w:r>
    </w:p>
    <w:p w14:paraId="476A4A03" w14:textId="77777777" w:rsidR="00C9672D" w:rsidRPr="0037570E" w:rsidRDefault="00C9672D" w:rsidP="00C9672D">
      <w:pPr>
        <w:pStyle w:val="Normalpara"/>
      </w:pPr>
      <w:r w:rsidRPr="0037570E">
        <w:t>Another s</w:t>
      </w:r>
      <w:r>
        <w:t>tudy found academic detailing (two</w:t>
      </w:r>
      <w:r w:rsidRPr="0037570E">
        <w:t xml:space="preserve"> sessions) with educational material (DVD) plus guideline and a follow-up session 3 months afterwards (distribution of educational material) demonstrated temporary, slight reduction in </w:t>
      </w:r>
      <w:r>
        <w:t xml:space="preserve">the number of </w:t>
      </w:r>
      <w:r w:rsidRPr="0037570E">
        <w:t xml:space="preserve">ultrasound requests, but little or no change in </w:t>
      </w:r>
      <w:r>
        <w:t>the number of X-ray</w:t>
      </w:r>
      <w:r w:rsidRPr="0037570E">
        <w:t xml:space="preserve"> requests.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A study to increase testing </w:t>
      </w:r>
      <w:r>
        <w:t>after</w:t>
      </w:r>
      <w:r w:rsidRPr="0037570E">
        <w:t xml:space="preserve"> dispensing </w:t>
      </w:r>
      <w:r>
        <w:t xml:space="preserve">of </w:t>
      </w:r>
      <w:r w:rsidRPr="0037570E">
        <w:t>angiotensin-converting enzyme</w:t>
      </w:r>
      <w:r>
        <w:t xml:space="preserve"> inhinitors or</w:t>
      </w:r>
      <w:r w:rsidRPr="0037570E">
        <w:t xml:space="preserve"> angiotensin</w:t>
      </w:r>
      <w:r>
        <w:t>-II</w:t>
      </w:r>
      <w:r w:rsidRPr="0037570E">
        <w:t xml:space="preserve"> receptor blockers (ACE</w:t>
      </w:r>
      <w:r>
        <w:t>Is</w:t>
      </w:r>
      <w:r w:rsidRPr="0037570E">
        <w:t>/ARBs), diuretics or digoxin found no increase in follow-up testing after prescribing digoxin, a 3.3% increase in testing after prescribing ACE</w:t>
      </w:r>
      <w:r>
        <w:t>Is</w:t>
      </w:r>
      <w:r w:rsidRPr="0037570E">
        <w:t>/ARBs, and a 4.9% increase after prescribing a diuretic.</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53A621AA" w14:textId="77777777" w:rsidR="00C9672D" w:rsidRPr="0037570E" w:rsidRDefault="00C9672D" w:rsidP="00C9672D">
      <w:pPr>
        <w:pStyle w:val="Normalpara"/>
      </w:pPr>
      <w:r w:rsidRPr="0037570E">
        <w:lastRenderedPageBreak/>
        <w:t xml:space="preserve">A study by </w:t>
      </w:r>
      <w:r w:rsidRPr="00914889">
        <w:t>Légaré</w:t>
      </w:r>
      <w:r w:rsidRPr="0037570E">
        <w:t xml:space="preserve"> et al.</w:t>
      </w:r>
      <w:r>
        <w:t xml:space="preserve"> (2016)</w:t>
      </w:r>
      <w:r w:rsidRPr="0037570E">
        <w:t xml:space="preserve"> found that outreach may improve efficient use of laboratory tests in primary care; however, the level of evidence </w:t>
      </w:r>
      <w:r>
        <w:t>wa</w:t>
      </w:r>
      <w:r w:rsidRPr="0037570E">
        <w:t>s quite low and the quality</w:t>
      </w:r>
      <w:r>
        <w:t xml:space="preserve"> wa</w:t>
      </w:r>
      <w:r w:rsidRPr="0037570E">
        <w:t>s poor.</w:t>
      </w:r>
      <w:r>
        <w:fldChar w:fldCharType="begin">
          <w:fldData xml:space="preserve">PEVuZE5vdGU+PENpdGU+PEF1dGhvcj5MZWdhcmU8L0F1dGhvcj48WWVhcj4yMDE2PC9ZZWFyPjxS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dGxlPjxhYmJyLTE+UGxvUyBvbmU8L2FiYnItMT48L2FsdC1wZXJpb2RpY2FsPjxwYWdlcz5lMDE1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PEVuZE5vdGU+PENpdGU+PEF1dGhvcj5MZWdhcmU8L0F1dGhvcj48WWVhcj4yMDE2PC9ZZWFyPjxS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dGxlPjxhYmJyLTE+UGxvUyBvbmU8L2FiYnItMT48L2FsdC1wZXJpb2RpY2FsPjxwYWdlcz5lMDE1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[18]</w:t>
      </w:r>
      <w:r>
        <w:fldChar w:fldCharType="end"/>
      </w:r>
    </w:p>
    <w:p w14:paraId="27666906" w14:textId="77777777" w:rsidR="00C9672D" w:rsidRPr="0037570E" w:rsidRDefault="00C9672D" w:rsidP="00C9672D">
      <w:pPr>
        <w:pStyle w:val="Normalpara"/>
      </w:pPr>
      <w:r w:rsidRPr="0037570E">
        <w:t>Patient outcomes were reported by one study covered by three reviews.</w:t>
      </w:r>
      <w:r>
        <w:fldChar w:fldCharType="begin">
          <w:fldData xml:space="preserve">PEVuZE5vdGU+PENpdGU+PEF1dGhvcj5Uem9ydHppb3UgQnJvd248L0F1dGhvcj48WWVhcj4yMDE2
PC9ZZWFyPjxSZWNOdW0+NjE8L1JlY051bT48RGlzcGxheVRleHQ+WzYsMTAsMTZdPC9EaXNwbGF5
VGV4dD48cmVjb3JkPjxyZWMtbnVtYmVyPjYxPC9yZWMtbnVtYmVyPjxmb3JlaWduLWtleXM+PGtl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PjwvcmVjb3JkPjwvQ2l0ZT48Q2l0ZT48QXV0aG9yPkZyZW5jaDwvQXV0aG9yPjxZZWFyPjIwMTA8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d3M8L2FiYnItMT48L2FsdC1wZXJpb2RpY2FsPjxwYWdlcz5DRDAwNjA5NDwvcGFnZXM+PG51bWJl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Y3F1YXJpZSBVbml2ZXJzaXR5LCBTeWRuZXksIEF1c3RyYWxpYS48L2F1dGgtYWRkcmVzcz48dGl0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</w:fldData>
        </w:fldChar>
      </w:r>
      <w:r>
        <w:instrText xml:space="preserve"> ADDIN EN.CITE </w:instrText>
      </w:r>
      <w:r>
        <w:fldChar w:fldCharType="begin">
          <w:fldData xml:space="preserve">PEVuZE5vdGU+PENpdGU+PEF1dGhvcj5Uem9ydHppb3UgQnJvd248L0F1dGhvcj48WWVhcj4yMDE2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LTE+PC9hbHQtcGVyaW9kaWNhbD48cGFnZXM+Q0QwMDc0OTU8L3BhZ2VzPjxudW1iZXI+NTwvbnVt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</w:fldData>
        </w:fldChar>
      </w:r>
      <w:r>
        <w:instrText xml:space="preserve"> ADDIN EN.CITE.DATA </w:instrText>
      </w:r>
      <w:r>
        <w:fldChar w:fldCharType="end"/>
      </w:r>
      <w:r>
        <w:fldChar w:fldCharType="separate"/>
      </w:r>
      <w:r>
        <w:rPr>
          <w:noProof/>
        </w:rPr>
        <w:t>[6,10,16]</w:t>
      </w:r>
      <w:r>
        <w:fldChar w:fldCharType="end"/>
      </w:r>
      <w:r w:rsidRPr="0037570E">
        <w:t xml:space="preserve"> After adjustment for cluster varianc</w:t>
      </w:r>
      <w:r>
        <w:t>e this study found</w:t>
      </w:r>
      <w:r w:rsidRPr="0037570E">
        <w:t xml:space="preserve"> a 12.2% (95% CI 2.8% to 21.6%) increase in the number of patients in the intervention group being referred to physiotherapy or to educational programs at the back clinic. The increase in these referrals was considered to be a positive effect of the intervention.</w:t>
      </w:r>
    </w:p>
    <w:p w14:paraId="1ED7E519" w14:textId="77777777" w:rsidR="00C9672D" w:rsidRPr="005B409E" w:rsidRDefault="00C9672D" w:rsidP="00C9672D">
      <w:pPr>
        <w:pStyle w:val="ApD3Head"/>
        <w:rPr>
          <w:rStyle w:val="Bold"/>
          <w:b/>
        </w:rPr>
      </w:pPr>
      <w:bookmarkStart w:id="376" w:name="_Toc525740579"/>
      <w:bookmarkStart w:id="377" w:name="_Toc525816145"/>
      <w:r w:rsidRPr="005B409E">
        <w:rPr>
          <w:rStyle w:val="Bold"/>
        </w:rPr>
        <w:t>Multicomponent interventions</w:t>
      </w:r>
      <w:bookmarkEnd w:id="376"/>
      <w:bookmarkEnd w:id="377"/>
    </w:p>
    <w:p w14:paraId="5B7CA25C" w14:textId="77777777" w:rsidR="00C9672D" w:rsidRDefault="00C9672D" w:rsidP="00C9672D">
      <w:pPr>
        <w:pStyle w:val="Normalpara"/>
      </w:pPr>
      <w:r w:rsidRPr="0037570E">
        <w:t>Multicomponent intervention strategies resulted in significant improvements in compliance and behavioural chan</w:t>
      </w:r>
      <w:r>
        <w:t>ge in most reviews (5/7</w:t>
      </w:r>
      <w:r w:rsidRPr="0037570E">
        <w:t>).</w: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fldChar w:fldCharType="separate"/>
      </w:r>
      <w:r>
        <w:rPr>
          <w:noProof/>
        </w:rPr>
        <w:t>[1,3,11,15,17]</w:t>
      </w:r>
      <w:r>
        <w:fldChar w:fldCharType="end"/>
      </w:r>
      <w:r w:rsidRPr="0037570E">
        <w:t xml:space="preserve"> A range of </w:t>
      </w:r>
      <w:r>
        <w:t xml:space="preserve">strategy </w:t>
      </w:r>
      <w:r w:rsidRPr="0037570E">
        <w:t xml:space="preserve">combinations </w:t>
      </w:r>
      <w:r>
        <w:t xml:space="preserve">was </w:t>
      </w:r>
      <w:r w:rsidRPr="0037570E">
        <w:t xml:space="preserve">described, although there was no conclusive evidence of any relationship between the number of components and strategy effectiveness. </w:t>
      </w:r>
    </w:p>
    <w:p w14:paraId="576D78B0" w14:textId="77777777" w:rsidR="00C9672D" w:rsidRDefault="00C9672D" w:rsidP="00C9672D">
      <w:pPr>
        <w:pStyle w:val="Normalpara"/>
      </w:pPr>
      <w:r w:rsidRPr="0037570E">
        <w:t>Colla et al.</w:t>
      </w:r>
      <w:r>
        <w:t xml:space="preserve"> (2016) </w:t>
      </w:r>
      <w:r w:rsidRPr="0037570E">
        <w:t xml:space="preserve">concluded that </w:t>
      </w:r>
      <w:r w:rsidRPr="0037570E">
        <w:rPr>
          <w:rFonts w:eastAsia="TimesNewRomanPSMT"/>
        </w:rPr>
        <w:t>the effectiveness of education interventions to reduce low-value care varies depending on the intensity of the education program.</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rsidRPr="0037570E">
        <w:rPr>
          <w:rFonts w:eastAsia="TimesNewRomanPSMT"/>
        </w:rPr>
        <w:t xml:space="preserve"> The authors concluded that</w:t>
      </w:r>
      <w:r w:rsidRPr="0037570E">
        <w:t xml:space="preserve"> multicomponent educational interventions, although costly and time-consuming, are more effective at reducing utilisation and targeted inappropriate use than passive educational interventions, those with a narrow scope, or those with only one educational tactic are often less successful at reducing low-value care.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1DBBECE7" w14:textId="77777777" w:rsidR="00C9672D" w:rsidRPr="0037570E" w:rsidRDefault="00C9672D" w:rsidP="00C9672D">
      <w:pPr>
        <w:pStyle w:val="Normalpara"/>
      </w:pPr>
      <w:r>
        <w:t>This was supported by Kobewka et al. 92015) who found that 30</w:t>
      </w:r>
      <w:r w:rsidRPr="0053013E">
        <w:t xml:space="preserve"> interventions (25.2%) </w:t>
      </w:r>
      <w:r>
        <w:t>used multiple strategies</w:t>
      </w:r>
      <w:r w:rsidRPr="0053013E">
        <w:t>; these multifaceted interventions had larger reductions in test use with a median relative reduction in test volume of 32.7% (IQR 15.1</w:t>
      </w:r>
      <w:r>
        <w:t xml:space="preserve"> to </w:t>
      </w:r>
      <w:r w:rsidRPr="0053013E">
        <w:t>47.5) versus 21.4% (IQR 9.5</w:t>
      </w:r>
      <w:r>
        <w:t xml:space="preserve"> to </w:t>
      </w:r>
      <w:r w:rsidRPr="0053013E">
        <w:t>33.3) for interventions that were classified into a single category.</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4D7C2226" w14:textId="77777777" w:rsidR="00C9672D" w:rsidRPr="0037570E" w:rsidRDefault="00C9672D" w:rsidP="00C9672D">
      <w:pPr>
        <w:pStyle w:val="Normalpara"/>
        <w:rPr>
          <w:rFonts w:eastAsia="TimesNewRomanPSMT"/>
        </w:rPr>
      </w:pPr>
      <w:r w:rsidRPr="0037570E">
        <w:t xml:space="preserve">In contrast, the review by French et al. </w:t>
      </w:r>
      <w:r>
        <w:t xml:space="preserve">(2010) </w:t>
      </w:r>
      <w:r w:rsidRPr="0037570E">
        <w:rPr>
          <w:rFonts w:eastAsia="TimesNewRomanPSMT"/>
        </w:rPr>
        <w:t>found no relationship between effect size and number of components in the inter</w:t>
      </w:r>
      <w:r>
        <w:rPr>
          <w:rFonts w:eastAsia="TimesNewRomanPSMT"/>
        </w:rPr>
        <w:t xml:space="preserve">ventions (Kruskal–Wallis test, p = </w:t>
      </w:r>
      <w:r w:rsidRPr="0037570E">
        <w:rPr>
          <w:rFonts w:eastAsia="TimesNewRomanPSMT"/>
        </w:rPr>
        <w:t>0.48). Quantile regression analysis also indicated</w:t>
      </w:r>
      <w:r>
        <w:rPr>
          <w:rFonts w:eastAsia="TimesNewRomanPSMT"/>
        </w:rPr>
        <w:t xml:space="preserve"> </w:t>
      </w:r>
      <w:r w:rsidRPr="0037570E">
        <w:rPr>
          <w:rFonts w:eastAsia="TimesNewRomanPSMT"/>
        </w:rPr>
        <w:t xml:space="preserve">that there was no evidence of an increased effect size by increasing the number of components (coefficient </w:t>
      </w:r>
      <w:r>
        <w:rPr>
          <w:rFonts w:eastAsia="TimesNewRomanPSMT"/>
        </w:rPr>
        <w:t>–</w:t>
      </w:r>
      <w:r w:rsidRPr="0037570E">
        <w:rPr>
          <w:rFonts w:eastAsia="TimesNewRomanPSMT"/>
        </w:rPr>
        <w:t xml:space="preserve">2.51, 95% CI </w:t>
      </w:r>
      <w:r>
        <w:rPr>
          <w:rFonts w:eastAsia="TimesNewRomanPSMT"/>
        </w:rPr>
        <w:t>–</w:t>
      </w:r>
      <w:r w:rsidRPr="0037570E">
        <w:rPr>
          <w:rFonts w:eastAsia="TimesNewRomanPSMT"/>
        </w:rPr>
        <w:t>11.58 to 6.56</w:t>
      </w:r>
      <w:r>
        <w:rPr>
          <w:rFonts w:eastAsia="TimesNewRomanPSMT"/>
        </w:rPr>
        <w:t xml:space="preserve">, p </w:t>
      </w:r>
      <w:r w:rsidRPr="0037570E">
        <w:rPr>
          <w:rFonts w:eastAsia="TimesNewRomanPSMT"/>
        </w:rPr>
        <w:t>= 0.57).</w:t>
      </w:r>
    </w:p>
    <w:p w14:paraId="2E36E98B" w14:textId="77777777" w:rsidR="00C9672D" w:rsidRPr="0037570E" w:rsidRDefault="00C9672D" w:rsidP="00C9672D">
      <w:pPr>
        <w:pStyle w:val="Normalpara"/>
      </w:pPr>
      <w:r w:rsidRPr="0037570E">
        <w:t>Key studies of different format interventions included:</w:t>
      </w:r>
    </w:p>
    <w:p w14:paraId="0BAA35E4" w14:textId="77777777" w:rsidR="00C9672D" w:rsidRDefault="00C9672D" w:rsidP="00C9672D">
      <w:pPr>
        <w:pStyle w:val="NormalBulleted"/>
      </w:pPr>
      <w:r w:rsidRPr="00EA616F">
        <w:t xml:space="preserve">A hospital-based intervention </w:t>
      </w:r>
      <w:r>
        <w:t>in which m</w:t>
      </w:r>
      <w:r w:rsidRPr="00EA616F">
        <w:t>onthly usage statements were</w:t>
      </w:r>
      <w:r>
        <w:t xml:space="preserve"> distributed to physicians, in combination with g</w:t>
      </w:r>
      <w:r w:rsidRPr="00EA616F">
        <w:t>uidelines</w:t>
      </w:r>
      <w:r>
        <w:t xml:space="preserve"> </w:t>
      </w:r>
      <w:r w:rsidRPr="00EA616F">
        <w:t>on appr</w:t>
      </w:r>
      <w:r>
        <w:t xml:space="preserve">opriate testing; </w:t>
      </w:r>
      <w:r w:rsidRPr="00EA616F">
        <w:t>some tests were cancel</w:t>
      </w:r>
      <w:r>
        <w:t>l</w:t>
      </w:r>
      <w:r w:rsidRPr="00EA616F">
        <w:t>ed if</w:t>
      </w:r>
      <w:r>
        <w:t xml:space="preserve"> </w:t>
      </w:r>
      <w:r w:rsidRPr="00EA616F">
        <w:t>inappropriate</w:t>
      </w:r>
      <w:r>
        <w:t>, which reduced unnecessary tests by 62.1%.</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1BE22EBE" w14:textId="77777777" w:rsidR="00C9672D" w:rsidRDefault="00C9672D" w:rsidP="00C9672D">
      <w:pPr>
        <w:pStyle w:val="NormalBulleted"/>
      </w:pPr>
      <w:r>
        <w:t>A hospital-based intervention in which p</w:t>
      </w:r>
      <w:r w:rsidRPr="009C2D01">
        <w:t>ublis</w:t>
      </w:r>
      <w:r>
        <w:t xml:space="preserve">hed guidelines on test ordering </w:t>
      </w:r>
      <w:r w:rsidRPr="009C2D01">
        <w:t>were distributed. A maximum number of</w:t>
      </w:r>
      <w:r>
        <w:t xml:space="preserve"> </w:t>
      </w:r>
      <w:r w:rsidRPr="009C2D01">
        <w:t>tests per patient was instituted and test</w:t>
      </w:r>
      <w:r>
        <w:t xml:space="preserve"> </w:t>
      </w:r>
      <w:r w:rsidRPr="009C2D01">
        <w:t>ordering was reviewed by a consultant</w:t>
      </w:r>
      <w:r>
        <w:t>, resulting in a 37.1% reduction in a number of specified tests.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4F27EA5E" w14:textId="77777777" w:rsidR="00C9672D" w:rsidRPr="00EA616F" w:rsidRDefault="00C9672D" w:rsidP="00C9672D">
      <w:pPr>
        <w:pStyle w:val="NormalBulleted"/>
      </w:pPr>
      <w:r>
        <w:t>An e</w:t>
      </w:r>
      <w:r w:rsidRPr="00EA616F">
        <w:t>ducational lecture about excessive</w:t>
      </w:r>
      <w:r>
        <w:t xml:space="preserve"> </w:t>
      </w:r>
      <w:r w:rsidRPr="00EA616F">
        <w:t>and inappropriate testing</w:t>
      </w:r>
      <w:r>
        <w:t xml:space="preserve"> was combined with </w:t>
      </w:r>
      <w:r w:rsidRPr="00EA616F">
        <w:t>feedback about ordering</w:t>
      </w:r>
      <w:r>
        <w:t xml:space="preserve"> </w:t>
      </w:r>
      <w:r w:rsidRPr="00EA616F">
        <w:t xml:space="preserve">practices </w:t>
      </w:r>
      <w:r>
        <w:t xml:space="preserve">from </w:t>
      </w:r>
      <w:r w:rsidRPr="00EA616F">
        <w:t>a senior</w:t>
      </w:r>
      <w:r>
        <w:t xml:space="preserve"> physician</w:t>
      </w:r>
      <w:r w:rsidRPr="00EA616F">
        <w:t>; tests were</w:t>
      </w:r>
      <w:r>
        <w:t xml:space="preserve"> unbundled on the request form. This decreased all blood tests by 34.5%.</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4956EC98" w14:textId="77777777" w:rsidR="00C9672D" w:rsidRPr="0037570E" w:rsidRDefault="00C9672D" w:rsidP="00C9672D">
      <w:pPr>
        <w:pStyle w:val="NormalBulleted"/>
      </w:pPr>
      <w:r w:rsidRPr="0037570E">
        <w:t>An educational intervention including a lecture on appropriate use criteria, a pocket card, and biweekly e-mail feedback on ordering behaviour which resulted in significantly lower inappropriate echocardiography use.</w:t>
      </w:r>
      <w:r>
        <w:t xml:space="preserve"> </w:t>
      </w:r>
      <w:r w:rsidRPr="0037570E">
        <w:t>Pre</w:t>
      </w:r>
      <w:r>
        <w:t>–</w:t>
      </w:r>
      <w:r w:rsidRPr="0037570E">
        <w:t>post intervention had 26% reduction in number of transthoracic echocardiograms (TTE) ordered per day (</w:t>
      </w:r>
      <w:r>
        <w:t>p</w:t>
      </w:r>
      <w:r w:rsidRPr="0037570E">
        <w:t xml:space="preserve"> &lt; </w:t>
      </w:r>
      <w:r>
        <w:t>0</w:t>
      </w:r>
      <w:r w:rsidRPr="0037570E">
        <w:t>.001); proportion of inappropriate TTE was significantly lower (5% v</w:t>
      </w:r>
      <w:r>
        <w:t>ersus</w:t>
      </w:r>
      <w:r w:rsidRPr="0037570E">
        <w:t xml:space="preserve"> 13%; </w:t>
      </w:r>
      <w:r>
        <w:t>p</w:t>
      </w:r>
      <w:r w:rsidRPr="0037570E">
        <w:t xml:space="preserve"> &lt; </w:t>
      </w:r>
      <w:r>
        <w:t>0</w:t>
      </w:r>
      <w:r w:rsidRPr="0037570E">
        <w:t>.001) and proportion of appropriate TTE</w:t>
      </w:r>
      <w:r>
        <w:t xml:space="preserve"> was significantly higher (93% versus</w:t>
      </w:r>
      <w:r w:rsidRPr="0037570E">
        <w:t xml:space="preserve"> 84%; </w:t>
      </w:r>
      <w:r>
        <w:t>p</w:t>
      </w:r>
      <w:r w:rsidRPr="0037570E">
        <w:t xml:space="preserve"> &lt; </w:t>
      </w:r>
      <w:r>
        <w:t>0</w:t>
      </w:r>
      <w:r w:rsidRPr="0037570E">
        <w:t>.001).</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26BF51E5" w14:textId="77777777" w:rsidR="00C9672D" w:rsidRPr="0037570E" w:rsidRDefault="00C9672D" w:rsidP="00C9672D">
      <w:pPr>
        <w:pStyle w:val="NormalBulleted"/>
      </w:pPr>
      <w:r w:rsidRPr="0037570E">
        <w:t>Feedback on compliance with national guidelines followed by small group discussions on clinical problems</w:t>
      </w:r>
      <w:r>
        <w:t>,</w:t>
      </w:r>
      <w:r w:rsidRPr="0037570E">
        <w:t xml:space="preserve"> </w:t>
      </w:r>
      <w:r>
        <w:t>w</w:t>
      </w:r>
      <w:r w:rsidRPr="0037570E">
        <w:t xml:space="preserve">hich were shown to significantly decrease inappropriate ordering (as defined by guidelines) with a 5% to 12% reduction in testing in physician groups </w:t>
      </w:r>
      <w:r>
        <w:t>after</w:t>
      </w:r>
      <w:r w:rsidRPr="0037570E">
        <w:t xml:space="preserve"> problem-solving strategies.</w:t>
      </w:r>
      <w:r>
        <w:fldChar w:fldCharType="begin">
          <w:fldData xml:space="preserve">PEVuZE5vdGU+PENpdGU+PEF1dGhvcj5DYWRvZ2FuPC9BdXRob3I+PFllYXI+MjAxNTwvWWVhcj48
UmVjTnVtPjEwOTwvUmVjTnVtPjxEaXNwbGF5VGV4dD5bMyw2LDE1XTwvRGlzcGxheVRleHQ+PHJl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ZWxlY3Ryb25pYy1yZXNvdXJjZS1udW0+PC9yZWNvcmQ+PC9DaXRlPjxDaXRlPjxBdXRob3I+RnJl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PkNEMDA2MDk0PC9wYWdlcz48bnVtYmVyPjE8L251bWJlcj48ZWRpdGlvbj4yMDEwLzAxLzIyPC9l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UmVjTnVtPjEwOTwvUmVjTnVtPjxEaXNwbGF5VGV4dD5bMyw2LDE1XTwvRGlzcGxheVRleHQ+PHJl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ZWxlY3Ryb25pYy1yZXNvdXJjZS1udW0+PC9yZWNvcmQ+PC9DaXRlPjxDaXRlPjxBdXRob3I+RnJl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PkNEMDA2MDk0PC9wYWdlcz48bnVtYmVyPjE8L251bWJlcj48ZWRpdGlvbj4yMDEwLzAxLzIyPC9l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</w:fldData>
        </w:fldChar>
      </w:r>
      <w:r>
        <w:instrText xml:space="preserve"> ADDIN EN.CITE.DATA </w:instrText>
      </w:r>
      <w:r>
        <w:fldChar w:fldCharType="end"/>
      </w:r>
      <w:r>
        <w:fldChar w:fldCharType="separate"/>
      </w:r>
      <w:r>
        <w:rPr>
          <w:noProof/>
        </w:rPr>
        <w:t>[3,6,15]</w:t>
      </w:r>
      <w:r>
        <w:fldChar w:fldCharType="end"/>
      </w:r>
    </w:p>
    <w:p w14:paraId="14B58D65" w14:textId="77777777" w:rsidR="00C9672D" w:rsidRPr="0037570E" w:rsidRDefault="00C9672D" w:rsidP="00C9672D">
      <w:pPr>
        <w:pStyle w:val="NormalBulleted"/>
      </w:pPr>
      <w:r w:rsidRPr="0037570E">
        <w:lastRenderedPageBreak/>
        <w:t>A pre</w:t>
      </w:r>
      <w:r>
        <w:t>–</w:t>
      </w:r>
      <w:r w:rsidRPr="0037570E">
        <w:t>post intervention consisting of an education, flyer, email</w:t>
      </w:r>
      <w:r>
        <w:t>,</w:t>
      </w:r>
      <w:r w:rsidRPr="0037570E">
        <w:t xml:space="preserve"> </w:t>
      </w:r>
      <w:r>
        <w:t xml:space="preserve">and </w:t>
      </w:r>
      <w:r w:rsidRPr="0037570E">
        <w:t>cost impact information</w:t>
      </w:r>
      <w:r>
        <w:t>,</w:t>
      </w:r>
      <w:r w:rsidRPr="0037570E">
        <w:t xml:space="preserve"> which led to a reduction in number of overall tests ordered (4.14 v</w:t>
      </w:r>
      <w:r>
        <w:t>ersus</w:t>
      </w:r>
      <w:r w:rsidRPr="0037570E">
        <w:t xml:space="preserve"> 3.79 per patient per day; </w:t>
      </w:r>
      <w:r>
        <w:t>p </w:t>
      </w:r>
      <w:r w:rsidRPr="0037570E">
        <w:t>=</w:t>
      </w:r>
      <w:r>
        <w:t> 0</w:t>
      </w:r>
      <w:r w:rsidRPr="0037570E">
        <w:t>.001), plus a cost reduction of $6.33 per patient per day.</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13FE0EF2" w14:textId="77777777" w:rsidR="00C9672D" w:rsidRPr="005B409E" w:rsidRDefault="00C9672D" w:rsidP="00C9672D">
      <w:pPr>
        <w:pStyle w:val="ApD3Head"/>
        <w:rPr>
          <w:rStyle w:val="Bold"/>
          <w:b/>
        </w:rPr>
      </w:pPr>
      <w:bookmarkStart w:id="378" w:name="_Toc525740580"/>
      <w:bookmarkStart w:id="379" w:name="_Toc525816146"/>
      <w:r w:rsidRPr="005B409E">
        <w:rPr>
          <w:rStyle w:val="Bold"/>
        </w:rPr>
        <w:t>Interventions including a patient-mediated component</w:t>
      </w:r>
      <w:bookmarkEnd w:id="378"/>
      <w:bookmarkEnd w:id="379"/>
    </w:p>
    <w:p w14:paraId="149016AF" w14:textId="77777777" w:rsidR="00C9672D" w:rsidRPr="0037570E" w:rsidRDefault="00C9672D" w:rsidP="00C9672D">
      <w:pPr>
        <w:pStyle w:val="Normalpara"/>
      </w:pPr>
      <w:r w:rsidRPr="0037570E">
        <w:t xml:space="preserve">Three </w:t>
      </w:r>
      <w:r>
        <w:t>reviews</w:t>
      </w:r>
      <w:r w:rsidRPr="0037570E">
        <w:t xml:space="preserve"> had a patient-mediated component aiming to educate the person on the condition and remind them to see their GP to discuss its management. The </w:t>
      </w:r>
      <w:r>
        <w:t>reviews</w:t>
      </w:r>
      <w:r w:rsidRPr="0037570E">
        <w:t xml:space="preserve"> typically included educational material, a GP-reminder system informing the participant’s clinician on the patient’s increased risk either via a patient-specific letter or an electronic reminder. </w:t>
      </w:r>
    </w:p>
    <w:p w14:paraId="76C2F6F6" w14:textId="77777777" w:rsidR="00C9672D" w:rsidRPr="0037570E" w:rsidRDefault="00C9672D" w:rsidP="00C9672D">
      <w:pPr>
        <w:pStyle w:val="Normalpara"/>
      </w:pPr>
      <w:r w:rsidRPr="0037570E">
        <w:t>In the review by Tzortziou et al.</w:t>
      </w:r>
      <w:r>
        <w:t xml:space="preserve"> (2016)</w:t>
      </w:r>
      <w:r w:rsidRPr="0037570E">
        <w:t xml:space="preserve"> </w:t>
      </w:r>
      <w:r>
        <w:t>most</w:t>
      </w:r>
      <w:r w:rsidRPr="0037570E">
        <w:t xml:space="preserve"> the studies reported improvements in GP behaviour and</w:t>
      </w:r>
      <w:r>
        <w:t>,</w:t>
      </w:r>
      <w:r w:rsidRPr="0037570E">
        <w:t xml:space="preserve"> more specifically</w:t>
      </w:r>
      <w:r>
        <w:t>,</w:t>
      </w:r>
      <w:r w:rsidRPr="0037570E">
        <w:t xml:space="preserve"> increases in bone mineral density (BMD) testing and osteoporosis </w:t>
      </w:r>
      <w:r>
        <w:t>medicine</w:t>
      </w:r>
      <w:r w:rsidRPr="0037570E">
        <w:t xml:space="preserve"> prescribing rates</w:t>
      </w:r>
      <w:r>
        <w:t>,</w:t>
      </w:r>
      <w:r w:rsidRPr="0037570E">
        <w:t xml:space="preserve"> with several studies showing moderate to large effects in investigation rates (for BMD testing) and four showing moderate to large effects in the prescribing rates for osteoporosis </w:t>
      </w:r>
      <w:r>
        <w:t>medicine</w:t>
      </w:r>
      <w:r w:rsidRPr="0037570E">
        <w: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A meta-analysis showed that a GP</w:t>
      </w:r>
      <w:r>
        <w:t>-</w:t>
      </w:r>
      <w:r w:rsidRPr="0037570E">
        <w:t xml:space="preserve">alerting system </w:t>
      </w:r>
      <w:r>
        <w:t xml:space="preserve">for </w:t>
      </w:r>
      <w:r w:rsidRPr="0037570E">
        <w:t>a patient’s increased risk of osteoporosis</w:t>
      </w:r>
      <w:r>
        <w:t xml:space="preserve"> combined with </w:t>
      </w:r>
      <w:r w:rsidRPr="0037570E">
        <w:t>a patient-directed intervention (including patient education and a reminder to see their GP) improve</w:t>
      </w:r>
      <w:r>
        <w:t>d</w:t>
      </w:r>
      <w:r w:rsidRPr="0037570E">
        <w:t xml:space="preserve"> GP behaviour with regard to diagnostic BMD testing and osteoporosis </w:t>
      </w:r>
      <w:r>
        <w:t>medicine</w:t>
      </w:r>
      <w:r w:rsidRPr="0037570E">
        <w:t xml:space="preserve"> prescribing (RR 4.44</w:t>
      </w:r>
      <w:r>
        <w:t xml:space="preserve">, </w:t>
      </w:r>
      <w:r w:rsidRPr="0037570E">
        <w:t xml:space="preserve">95% CI 3.54 to 5.55; </w:t>
      </w:r>
      <w:r>
        <w:t>three</w:t>
      </w:r>
      <w:r w:rsidRPr="0037570E">
        <w:t xml:space="preserve"> studies; 3386 participants) </w:t>
      </w:r>
      <w:r>
        <w:t xml:space="preserve">and </w:t>
      </w:r>
      <w:r w:rsidRPr="0037570E">
        <w:t xml:space="preserve">for BMD and osteoporosis </w:t>
      </w:r>
      <w:r>
        <w:t>medicine</w:t>
      </w:r>
      <w:r w:rsidRPr="0037570E">
        <w:t xml:space="preserve"> </w:t>
      </w:r>
      <w:r>
        <w:t>(</w:t>
      </w:r>
      <w:r w:rsidRPr="0037570E">
        <w:t>RR 1.71</w:t>
      </w:r>
      <w:r>
        <w:t xml:space="preserve">, </w:t>
      </w:r>
      <w:r w:rsidRPr="0037570E">
        <w:t xml:space="preserve">95% CI 1.50 to 1.94; </w:t>
      </w:r>
      <w:r>
        <w:t>five</w:t>
      </w:r>
      <w:r w:rsidRPr="0037570E">
        <w:t xml:space="preserve"> studies; 4223 participants)</w:t>
      </w:r>
      <w:r>
        <w:t>.</w:t>
      </w:r>
      <w:r w:rsidRPr="0037570E">
        <w:t xml:space="preserve"> </w:t>
      </w:r>
    </w:p>
    <w:p w14:paraId="30892ED5" w14:textId="77777777" w:rsidR="00C9672D" w:rsidRPr="0037570E" w:rsidRDefault="00C9672D" w:rsidP="00C9672D">
      <w:pPr>
        <w:pStyle w:val="Normalpara"/>
      </w:pPr>
      <w:r>
        <w:t>A m</w:t>
      </w:r>
      <w:r w:rsidRPr="0037570E">
        <w:t>eta-analysis of two studies in the review showed that GP alerting on its own also probably improves osteoporosis guideline-consistent GP behaviour (RR 4.75</w:t>
      </w:r>
      <w:r>
        <w:t xml:space="preserve">, </w:t>
      </w:r>
      <w:r w:rsidRPr="0037570E">
        <w:t>95%</w:t>
      </w:r>
      <w:r>
        <w:t xml:space="preserve"> </w:t>
      </w:r>
      <w:r w:rsidRPr="0037570E">
        <w:t>CI 3.62 to 6.24; 3047 participants) for BMD</w:t>
      </w:r>
      <w:r>
        <w:t xml:space="preserve"> </w:t>
      </w:r>
      <w:r w:rsidRPr="0037570E">
        <w:t xml:space="preserve">and osteoporosis </w:t>
      </w:r>
      <w:r>
        <w:t>medicine</w:t>
      </w:r>
      <w:r w:rsidRPr="00DD3B59">
        <w:t xml:space="preserve"> </w:t>
      </w:r>
      <w:r>
        <w:t>(</w:t>
      </w:r>
      <w:r w:rsidRPr="0037570E">
        <w:t>RR 1.52</w:t>
      </w:r>
      <w:r>
        <w:t xml:space="preserve">, </w:t>
      </w:r>
      <w:r w:rsidRPr="0037570E">
        <w:t>95% CI 1.26 to 1.84; 3047 participants) and that adding the patient-directed component probably does not lead to a greater effect (RR 0.94</w:t>
      </w:r>
      <w:r>
        <w:t xml:space="preserve">, </w:t>
      </w:r>
      <w:r w:rsidRPr="0037570E">
        <w:t xml:space="preserve">95% CI 0.81 to 1.09; 2995 participants) for BMD and osteoporosis </w:t>
      </w:r>
      <w:r>
        <w:t>medicine (</w:t>
      </w:r>
      <w:r w:rsidRPr="0037570E">
        <w:t>RR 0.93</w:t>
      </w:r>
      <w:r>
        <w:t xml:space="preserve">, </w:t>
      </w:r>
      <w:r w:rsidRPr="0037570E">
        <w:t>95% CI 0.79 to 1.10; 2995 participants).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rsidRPr="0037570E">
        <w:t xml:space="preserve"> </w:t>
      </w:r>
    </w:p>
    <w:p w14:paraId="19D677C6" w14:textId="77777777" w:rsidR="00C9672D" w:rsidRPr="0037570E" w:rsidRDefault="00C9672D" w:rsidP="00C9672D">
      <w:pPr>
        <w:pStyle w:val="Normalpara"/>
      </w:pPr>
      <w:r w:rsidRPr="0037570E">
        <w:t xml:space="preserve">The review by French et al. </w:t>
      </w:r>
      <w:r>
        <w:t>(2010)</w:t>
      </w:r>
      <w:r w:rsidRPr="0037570E">
        <w:t xml:space="preserve"> provided contrary findings. Four comparisons reported a significant improvement in BMD test ordering, with results ranging from 3.8% to 44.8% absolute change post</w:t>
      </w:r>
      <w:r>
        <w:t xml:space="preserve"> </w:t>
      </w:r>
      <w:r w:rsidRPr="0037570E">
        <w:t xml:space="preserve">intervention. Across all interventions (for musculoskeletal conditions) with a patient-mediated component, the median absolute effect size was 12.80 (IQR 3.8 to 27.7) compared </w:t>
      </w:r>
      <w:r>
        <w:t xml:space="preserve">with </w:t>
      </w:r>
      <w:r>
        <w:br/>
        <w:t>–</w:t>
      </w:r>
      <w:r w:rsidRPr="0037570E">
        <w:t xml:space="preserve">0.90 (IQR </w:t>
      </w:r>
      <w:r>
        <w:t>–</w:t>
      </w:r>
      <w:r w:rsidRPr="0037570E">
        <w:t>1.9 to 17.3) for interventions without a patient-mediated component.</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p>
    <w:p w14:paraId="53BDAAF7" w14:textId="77777777" w:rsidR="00C9672D" w:rsidRPr="0037570E" w:rsidRDefault="00C9672D" w:rsidP="00C9672D">
      <w:pPr>
        <w:pStyle w:val="Normalpara"/>
      </w:pPr>
      <w:r>
        <w:t>The a</w:t>
      </w:r>
      <w:r w:rsidRPr="0037570E">
        <w:t>uthors concluded that interventions for manag</w:t>
      </w:r>
      <w:r>
        <w:t>ing</w:t>
      </w:r>
      <w:r w:rsidRPr="0037570E">
        <w:t xml:space="preserve"> musculoskeletal disorders that included a patient-mediated component tended to show larger effects than interventions that did not include these components.</w:t>
      </w:r>
      <w:r>
        <w:t xml:space="preserve"> The inclusion of a patient-mediated educational component may be effective if patient counselling is also added.</w:t>
      </w:r>
    </w:p>
    <w:p w14:paraId="2E549CE0" w14:textId="77777777" w:rsidR="00C9672D" w:rsidRDefault="00C9672D" w:rsidP="00C9672D">
      <w:pPr>
        <w:pStyle w:val="BodyText1"/>
      </w:pPr>
      <w:r w:rsidRPr="0037570E">
        <w:t xml:space="preserve">The final review included one study only, which was covered in the reviewsmentioned </w:t>
      </w:r>
      <w:r>
        <w:t>above</w:t>
      </w:r>
      <w:r w:rsidRPr="0037570E">
        <w:t xml:space="preserve">, showing no effect for changes on rates of lumbar </w:t>
      </w:r>
      <w:r>
        <w:t>X-ray</w:t>
      </w:r>
      <w:r w:rsidRPr="0037570E">
        <w:t>s, CT or MRI.</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37570E">
        <w:t xml:space="preserve"> However, this study reported patient referrals to physiotherapy or specialist, but found no difference between the intervention and non-interventions groups (RR 0.8</w:t>
      </w:r>
      <w:r>
        <w:t xml:space="preserve">, </w:t>
      </w:r>
      <w:r w:rsidRPr="0037570E">
        <w:t>95%</w:t>
      </w:r>
      <w:r>
        <w:t xml:space="preserve"> CI</w:t>
      </w:r>
      <w:r w:rsidRPr="0037570E">
        <w:t xml:space="preserve"> 0.6 to 1.1</w:t>
      </w:r>
      <w:r>
        <w:t xml:space="preserve"> </w:t>
      </w:r>
      <w:r w:rsidRPr="0037570E">
        <w:t>and RR 1.2</w:t>
      </w:r>
      <w:r>
        <w:t xml:space="preserve">, </w:t>
      </w:r>
      <w:r w:rsidRPr="0037570E">
        <w:t xml:space="preserve">95% </w:t>
      </w:r>
      <w:r>
        <w:t xml:space="preserve">CI </w:t>
      </w:r>
      <w:r w:rsidRPr="0037570E">
        <w:t>0.8 to 1.8</w:t>
      </w:r>
      <w:r>
        <w:t xml:space="preserve">; </w:t>
      </w:r>
      <w:r w:rsidRPr="0037570E">
        <w:t>no effect size reported</w:t>
      </w:r>
      <w:r>
        <w:t>)</w:t>
      </w:r>
      <w:r w:rsidRPr="0037570E">
        <w:t>.</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p>
    <w:p w14:paraId="7F12FA5D" w14:textId="77777777" w:rsidR="00C9672D" w:rsidRPr="00BE1F39" w:rsidRDefault="00C9672D" w:rsidP="00C9672D">
      <w:pPr>
        <w:pStyle w:val="ApD3Head"/>
        <w:rPr>
          <w:rStyle w:val="Bold"/>
          <w:b/>
        </w:rPr>
      </w:pPr>
      <w:bookmarkStart w:id="380" w:name="_Toc525740581"/>
      <w:bookmarkStart w:id="381" w:name="_Toc525816147"/>
      <w:r w:rsidRPr="00BE1F39">
        <w:rPr>
          <w:rStyle w:val="Bold"/>
        </w:rPr>
        <w:t>Outcomes for interventions aiming to increase or decrease a clinical behaviour</w:t>
      </w:r>
      <w:bookmarkEnd w:id="380"/>
      <w:bookmarkEnd w:id="381"/>
    </w:p>
    <w:p w14:paraId="161BBC72" w14:textId="77777777" w:rsidR="00C9672D" w:rsidRDefault="00C9672D" w:rsidP="00C9672D">
      <w:pPr>
        <w:pStyle w:val="Normalpara"/>
      </w:pPr>
      <w:r w:rsidRPr="0037570E">
        <w:t xml:space="preserve">Among </w:t>
      </w:r>
      <w:r>
        <w:t>reviews</w:t>
      </w:r>
      <w:r w:rsidRPr="0037570E">
        <w:t xml:space="preserve"> that evaluated and reported the effect size of interventions aiming to either increase or decrease a specific practice or behaviour, results in one review overall found that it was easier to increase a targeted practice rather than decrease it (median effect size for comparisons targeting a decreased use of imaging </w:t>
      </w:r>
      <w:r>
        <w:t>–</w:t>
      </w:r>
      <w:r w:rsidRPr="0037570E">
        <w:t>2.4</w:t>
      </w:r>
      <w:r>
        <w:t xml:space="preserve"> [IQR –</w:t>
      </w:r>
      <w:r w:rsidRPr="0037570E">
        <w:t>8.0 to 0.0</w:t>
      </w:r>
      <w:r>
        <w:t>]</w:t>
      </w:r>
      <w:r w:rsidRPr="0037570E">
        <w:t xml:space="preserve"> compared </w:t>
      </w:r>
      <w:r>
        <w:t>with</w:t>
      </w:r>
      <w:r w:rsidRPr="0037570E">
        <w:t xml:space="preserve"> +10.6</w:t>
      </w:r>
      <w:r>
        <w:t xml:space="preserve"> [IQR </w:t>
      </w:r>
      <w:r w:rsidRPr="0037570E">
        <w:t>0.7 to 34.0</w:t>
      </w:r>
      <w:r>
        <w:t>]</w:t>
      </w:r>
      <w:r w:rsidRPr="0037570E">
        <w:t xml:space="preserve"> for comparisons that targeted an increased use of imaging).</w: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 </w:instrText>
      </w:r>
      <w:r>
        <w:fldChar w:fldCharType="begin">
          <w:fldData xml:space="preserve">PEVuZE5vdGU+PENpdGU+PEF1dGhvcj5GcmVuY2g8L0F1dGhvcj48WWVhcj4yMDEwPC9ZZWFyPjxS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</w:fldData>
        </w:fldChar>
      </w:r>
      <w:r>
        <w:instrText xml:space="preserve"> ADDIN EN.CITE.DATA </w:instrText>
      </w:r>
      <w:r>
        <w:fldChar w:fldCharType="end"/>
      </w:r>
      <w:r>
        <w:fldChar w:fldCharType="separate"/>
      </w:r>
      <w:r>
        <w:rPr>
          <w:noProof/>
        </w:rPr>
        <w:t>[6]</w:t>
      </w:r>
      <w:r>
        <w:fldChar w:fldCharType="end"/>
      </w:r>
    </w:p>
    <w:p w14:paraId="4119223A" w14:textId="77777777" w:rsidR="00C9672D" w:rsidRPr="0037570E" w:rsidRDefault="00C9672D" w:rsidP="00C9672D">
      <w:pPr>
        <w:pStyle w:val="Normalpara"/>
      </w:pPr>
      <w:r w:rsidRPr="0037570E">
        <w:t>However, a second review found that the direction of the targeted behaviour (</w:t>
      </w:r>
      <w:r>
        <w:t xml:space="preserve">that is, </w:t>
      </w:r>
      <w:r w:rsidRPr="0037570E">
        <w:t>increasing or decreasing a behaviour) did not affect the effectiveness of an intervention (median effect size for comparisons aiming to increase a behaviour</w:t>
      </w:r>
      <w:r>
        <w:t xml:space="preserve"> of</w:t>
      </w:r>
      <w:r w:rsidRPr="0037570E">
        <w:t xml:space="preserve"> 5</w:t>
      </w:r>
      <w:r>
        <w:t xml:space="preserve"> [IQR </w:t>
      </w:r>
      <w:r w:rsidRPr="0037570E">
        <w:t>0.6 to 12.6</w:t>
      </w:r>
      <w:r>
        <w:t>]</w:t>
      </w:r>
      <w:r w:rsidRPr="0037570E">
        <w:t xml:space="preserve"> compared </w:t>
      </w:r>
      <w:r>
        <w:t xml:space="preserve">with </w:t>
      </w:r>
      <w:r w:rsidRPr="0037570E">
        <w:t>1.1</w:t>
      </w:r>
      <w:r>
        <w:t xml:space="preserve"> [IQR –</w:t>
      </w:r>
      <w:r w:rsidRPr="0037570E">
        <w:t>1.1 to 3</w:t>
      </w:r>
      <w:r>
        <w:t>]</w:t>
      </w:r>
      <w:r w:rsidRPr="0037570E">
        <w:t xml:space="preserve"> for comparisons that aimed to decrease an existing behaviour</w:t>
      </w:r>
      <w:r>
        <w:t>)</w:t>
      </w:r>
      <w:r w:rsidRPr="0037570E">
        <w: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r>
        <w:t xml:space="preserve"> </w:t>
      </w:r>
      <w:r w:rsidRPr="0037570E">
        <w:t>Thomas et al.</w:t>
      </w:r>
      <w:r>
        <w:t xml:space="preserve"> (2016)</w:t>
      </w:r>
      <w:r w:rsidRPr="0037570E">
        <w:t xml:space="preserve"> reported an </w:t>
      </w:r>
      <w:r w:rsidRPr="0037570E">
        <w:lastRenderedPageBreak/>
        <w:t>average decrease of 18% in six studies aiming to decrease test ordering, but did not provide an estimate for studies aiming to increase testing.</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7C42E97A" w14:textId="77777777" w:rsidR="00C9672D" w:rsidRPr="00E30D92" w:rsidRDefault="00C9672D" w:rsidP="00C9672D">
      <w:pPr>
        <w:pStyle w:val="ApD3Head"/>
      </w:pPr>
      <w:bookmarkStart w:id="382" w:name="_Toc525740582"/>
      <w:bookmarkStart w:id="383" w:name="_Toc525816148"/>
      <w:r w:rsidRPr="00E30D92">
        <w:t>Summary of findings</w:t>
      </w:r>
      <w:bookmarkEnd w:id="382"/>
      <w:bookmarkEnd w:id="383"/>
    </w:p>
    <w:p w14:paraId="2E03E86E" w14:textId="77777777" w:rsidR="00C9672D" w:rsidRDefault="00C9672D" w:rsidP="00C9672D">
      <w:pPr>
        <w:pStyle w:val="Normalpara"/>
      </w:pPr>
      <w:r w:rsidRPr="000404FA">
        <w:t>Overall, each t</w:t>
      </w:r>
      <w:r>
        <w:t>ype of educational</w:t>
      </w:r>
      <w:r w:rsidRPr="000404FA">
        <w:t xml:space="preserve"> intervention demonstrated improvements in at least one of the assessed outcomes, including: </w:t>
      </w:r>
    </w:p>
    <w:p w14:paraId="66F88838" w14:textId="77777777" w:rsidR="00C9672D" w:rsidRDefault="00C9672D" w:rsidP="00C9672D">
      <w:pPr>
        <w:pStyle w:val="NormalBulleted"/>
      </w:pPr>
      <w:r>
        <w:t>m</w:t>
      </w:r>
      <w:r w:rsidRPr="0037570E">
        <w:t>ulticomponent intervention strategies</w:t>
      </w:r>
      <w:r>
        <w:t>, which</w:t>
      </w:r>
      <w:r w:rsidRPr="0037570E">
        <w:t xml:space="preserve"> resulted in significant improvements in compliance and behavioural chan</w:t>
      </w:r>
      <w:r>
        <w:t>ge in most reviews (5/7</w:t>
      </w:r>
      <w:r w:rsidRPr="0037570E">
        <w:t>)</w: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 </w:instrText>
      </w:r>
      <w:r>
        <w:fldChar w:fldCharType="begin">
          <w:fldData xml:space="preserve">PEVuZE5vdGU+PENpdGU+PEF1dGhvcj5DYWRvZ2FuPC9BdXRob3I+PFllYXI+MjAxNTwvWWVhcj48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=
</w:fldData>
        </w:fldChar>
      </w:r>
      <w:r>
        <w:instrText xml:space="preserve"> ADDIN EN.CITE.DATA </w:instrText>
      </w:r>
      <w:r>
        <w:fldChar w:fldCharType="end"/>
      </w:r>
      <w:r>
        <w:fldChar w:fldCharType="separate"/>
      </w:r>
      <w:r>
        <w:rPr>
          <w:noProof/>
        </w:rPr>
        <w:t>[1,3,11,15,17]</w:t>
      </w:r>
      <w:r>
        <w:fldChar w:fldCharType="end"/>
      </w:r>
    </w:p>
    <w:p w14:paraId="678EB863" w14:textId="77777777" w:rsidR="00C9672D" w:rsidRDefault="00C9672D" w:rsidP="00C9672D">
      <w:pPr>
        <w:pStyle w:val="NormalBulleted"/>
      </w:pPr>
      <w:r>
        <w:t>i</w:t>
      </w:r>
      <w:r w:rsidRPr="000404FA">
        <w:t>mproved rat</w:t>
      </w:r>
      <w:r>
        <w:t xml:space="preserve">es of </w:t>
      </w:r>
      <w:r w:rsidRPr="000404FA">
        <w:t>diagnostic</w:t>
      </w:r>
      <w:r>
        <w:t xml:space="preserve"> imaging tests or laboratory test ordering (traditional education)</w:t>
      </w:r>
      <w:r>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 </w:instrText>
      </w:r>
      <w:r>
        <w:fldChar w:fldCharType="begin">
          <w:fldData xml:space="preserve">PEVuZE5vdGU+PENpdGU+PEF1dGhvcj5DaGF1ZGh1cmk8L0F1dGhvcj48WWVhcj4yMDE2PC9ZZWFy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dGljIHJldmlld3M8L2FiYnItMT48L2FsdC1wZXJpb2RpY2FsPjxwYWdlcz5DRDAwNjA5NDwvcGFn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</w:fldData>
        </w:fldChar>
      </w:r>
      <w:r>
        <w:instrText xml:space="preserve"> ADDIN EN.CITE.DATA </w:instrText>
      </w:r>
      <w:r>
        <w:fldChar w:fldCharType="end"/>
      </w:r>
      <w:r>
        <w:fldChar w:fldCharType="separate"/>
      </w:r>
      <w:r>
        <w:rPr>
          <w:noProof/>
        </w:rPr>
        <w:t>[1,3,4,6,11,17]</w:t>
      </w:r>
      <w:r>
        <w:fldChar w:fldCharType="end"/>
      </w:r>
    </w:p>
    <w:p w14:paraId="6944AB51" w14:textId="77777777" w:rsidR="00C9672D" w:rsidRDefault="00C9672D" w:rsidP="00C9672D">
      <w:pPr>
        <w:pStyle w:val="NormalBulleted"/>
      </w:pPr>
      <w:r>
        <w:t>small improvements in</w:t>
      </w:r>
      <w:r w:rsidRPr="000404FA">
        <w:t xml:space="preserve"> rat</w:t>
      </w:r>
      <w:r>
        <w:t xml:space="preserve">es of </w:t>
      </w:r>
      <w:r w:rsidRPr="000404FA">
        <w:t>diagnostic</w:t>
      </w:r>
      <w:r>
        <w:t xml:space="preserve"> imaging tests or laboratory test ordering (education with audit and feedback)</w:t>
      </w:r>
      <w:r>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 </w:instrText>
      </w:r>
      <w:r>
        <w:fldChar w:fldCharType="begin">
          <w:fldData xml:space="preserve">PEVuZE5vdGU+PENpdGU+PEF1dGhvcj5GcmVuY2g8L0F1dGhvcj48WWVhcj4yMDEwPC9ZZWFyPjxS
ZWNOdW0+MTI8L1JlY051bT48RGlzcGxheVRleHQ+WzYsMTUsMTZdPC9EaXNwbGF5VGV4dD48cmVj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bGFuZ3VhZ2U+PC9yZWNvcmQ+PC9DaXRlPjxDaXRlPjxBdXRob3I+VGhvbWFzPC9BdXRob3I+PFll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</w:fldData>
        </w:fldChar>
      </w:r>
      <w:r>
        <w:instrText xml:space="preserve"> ADDIN EN.CITE.DATA </w:instrText>
      </w:r>
      <w:r>
        <w:fldChar w:fldCharType="end"/>
      </w:r>
      <w:r>
        <w:fldChar w:fldCharType="separate"/>
      </w:r>
      <w:r>
        <w:rPr>
          <w:noProof/>
        </w:rPr>
        <w:t>[6,15,16]</w:t>
      </w:r>
      <w:r>
        <w:fldChar w:fldCharType="end"/>
      </w:r>
    </w:p>
    <w:p w14:paraId="0A6D3E36" w14:textId="77777777" w:rsidR="00C9672D" w:rsidRDefault="00C9672D" w:rsidP="00C9672D">
      <w:pPr>
        <w:pStyle w:val="NormalBulleted"/>
      </w:pPr>
      <w:r>
        <w:t>reduction of inappropriate test use (multicomponent interventions)</w:t>
      </w:r>
      <w:r>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 </w:instrText>
      </w:r>
      <w:r>
        <w:fldChar w:fldCharType="begin">
          <w:fldData xml:space="preserve">PEVuZE5vdGU+PENpdGU+PEF1dGhvcj5DYWRvZ2FuPC9BdXRob3I+PFllYXI+MjAxNTwvWWVhcj48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PC9hbHQtcGVyaW9kaWNhbD48cGFnZXM+Q0QwMDYwOTQ8L3BhZ2VzPjxudW1iZXI+MTwvbnVtYmVy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PjxsYW5ndWFnZT5lbmc8L2xhbmd1YWdlPjwvcmVjb3JkPjwvQ2l0ZT48Q2l0ZT48QXV0aG9yPlRo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</w:fldData>
        </w:fldChar>
      </w:r>
      <w:r>
        <w:instrText xml:space="preserve"> ADDIN EN.CITE.DATA </w:instrText>
      </w:r>
      <w:r>
        <w:fldChar w:fldCharType="end"/>
      </w:r>
      <w:r>
        <w:fldChar w:fldCharType="separate"/>
      </w:r>
      <w:r>
        <w:rPr>
          <w:noProof/>
        </w:rPr>
        <w:t>[1,3,6,15,17]</w:t>
      </w:r>
      <w:r>
        <w:fldChar w:fldCharType="end"/>
      </w:r>
    </w:p>
    <w:p w14:paraId="1BF853CB" w14:textId="77777777" w:rsidR="00C9672D" w:rsidRDefault="00C9672D" w:rsidP="00C9672D">
      <w:pPr>
        <w:pStyle w:val="NormalBulleted"/>
      </w:pPr>
      <w:r>
        <w:t>improvement in</w:t>
      </w:r>
      <w:r w:rsidRPr="0037570E">
        <w:t xml:space="preserve"> guideline-consistent GP behaviour</w:t>
      </w:r>
      <w:r>
        <w:t xml:space="preserve"> (interventions including a patient-mediated component)</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20B352BD" w14:textId="77777777" w:rsidR="00C9672D" w:rsidRDefault="00C9672D" w:rsidP="00C9672D">
      <w:pPr>
        <w:pStyle w:val="NormalBulleted"/>
      </w:pPr>
      <w:r>
        <w:t>improvements in patient outcomes (referrals to physiotherapy, medicine prescribing rates, interactive educational, interventions including a patient-mediated component).</w:t>
      </w:r>
      <w:r>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 </w:instrText>
      </w:r>
      <w:r>
        <w:fldChar w:fldCharType="begin">
          <w:fldData xml:space="preserve">PEVuZE5vdGU+PENpdGU+PEF1dGhvcj5GcmVuY2g8L0F1dGhvcj48WWVhcj4yMDEwPC9ZZWFyPjxS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cGFnZXM+Q0QwMDYwOTQ8L3BhZ2VzPjxudW1iZXI+MTwvbnVtYmVyPjxlZGl0aW9uPjIwMTAvMDEv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VW5pdmVyc2l0eSwgU3lkbmV5LCBBdXN0cmFsaWEgaGF6ZWwuamVua2luc0BtcS5lZHUuYXUuJiN4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IHJldmlld3M8L2FiYnItMT48L2FsdC1wZXJpb2RpY2FsPjxwYWdlcz5DRDAwNzQ5NTwvcGFnZXM+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</w:fldData>
        </w:fldChar>
      </w:r>
      <w:r>
        <w:instrText xml:space="preserve"> ADDIN EN.CITE.DATA </w:instrText>
      </w:r>
      <w:r>
        <w:fldChar w:fldCharType="end"/>
      </w:r>
      <w:r>
        <w:fldChar w:fldCharType="separate"/>
      </w:r>
      <w:r>
        <w:rPr>
          <w:noProof/>
        </w:rPr>
        <w:t>[6,10,16]</w:t>
      </w:r>
      <w:r>
        <w:fldChar w:fldCharType="end"/>
      </w:r>
    </w:p>
    <w:p w14:paraId="1A79D4C9" w14:textId="77777777" w:rsidR="00C9672D" w:rsidRPr="000404FA" w:rsidRDefault="00C9672D" w:rsidP="00C9672D">
      <w:pPr>
        <w:pStyle w:val="Normalpara"/>
      </w:pPr>
      <w:r>
        <w:t xml:space="preserve">No conclusion can be drawn as to whether </w:t>
      </w:r>
      <w:r w:rsidRPr="0037570E">
        <w:t>the direction of the targeted behaviour (</w:t>
      </w:r>
      <w:r>
        <w:t xml:space="preserve">that is, </w:t>
      </w:r>
      <w:r w:rsidRPr="0037570E">
        <w:t>increasing or decreasing a behaviour)</w:t>
      </w:r>
      <w:r>
        <w:t xml:space="preserve"> can</w:t>
      </w:r>
      <w:r w:rsidRPr="0037570E">
        <w:t xml:space="preserve"> affect the effectiveness of an intervention</w:t>
      </w:r>
      <w:r>
        <w:t>.</w:t>
      </w:r>
    </w:p>
    <w:p w14:paraId="4EE4D85E" w14:textId="77777777" w:rsidR="00C9672D" w:rsidRDefault="00C9672D" w:rsidP="00C9672D">
      <w:pPr>
        <w:pStyle w:val="Normalpara"/>
      </w:pPr>
      <w:r w:rsidRPr="0037570E">
        <w:t xml:space="preserve">The effectiveness of educational interventions, broadly, is contentious. Clinician education can be an effective tool to improve the quality of diagnostic imaging requests and laboratory testing, particularly when used in conjunction with other interventions such as audit and feedback. </w:t>
      </w:r>
    </w:p>
    <w:p w14:paraId="3C4D7493" w14:textId="77777777" w:rsidR="00C9672D" w:rsidRDefault="00C9672D" w:rsidP="00C9672D">
      <w:pPr>
        <w:pStyle w:val="Normalpara"/>
      </w:pPr>
      <w:r w:rsidRPr="0037570E">
        <w:t xml:space="preserve">Many interventions cited in reviews were poorly defined or did not include data, precluding analysis. </w:t>
      </w:r>
      <w:r>
        <w:t>In the review by Kobewka et al. (2015) half of the interventions were not described adequately enough to be replicated, with a high risk of contamination between experimental and control groups, results were reported incorrectly (per institution/physician instead of per patient), and 90% had no time series analysis.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027E10DC" w14:textId="77777777" w:rsidR="00C9672D" w:rsidRDefault="00C9672D" w:rsidP="00C9672D">
      <w:pPr>
        <w:pStyle w:val="Normalpara"/>
      </w:pPr>
      <w:r>
        <w:t>While we included only key studies reporting significant positive effects, the number may be greater, as many studies reporting positive findings did not report significance.</w:t>
      </w:r>
    </w:p>
    <w:p w14:paraId="39597927" w14:textId="77777777" w:rsidR="00C9672D" w:rsidRDefault="00C9672D" w:rsidP="00C9672D">
      <w:pPr>
        <w:pStyle w:val="Normalpara"/>
      </w:pPr>
      <w:r>
        <w:t>Additionally, p</w:t>
      </w:r>
      <w:r w:rsidRPr="006A437E">
        <w:t>otential unit of analysis errors</w:t>
      </w:r>
      <w:r>
        <w:t xml:space="preserve"> were commonly reported.</w:t>
      </w:r>
      <w:r>
        <w:fldChar w:fldCharType="begin">
          <w:fldData xml:space="preserve">PEVuZE5vdGU+PENpdGU+PEF1dGhvcj5GcmVuY2g8L0F1dGhvcj48WWVhcj4yMDEwPC9ZZWFyPjxS
ZWNOdW0+MTI8L1JlY051bT48RGlzcGxheVRleHQ+WzYsMTZdPC9EaXNwbGF5VGV4dD48cmVjb3Jk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PEVuZE5vdGU+PENpdGU+PEF1dGhvcj5GcmVuY2g8L0F1dGhvcj48WWVhcj4yMDEwPC9ZZWFyPjxS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[6,16]</w:t>
      </w:r>
      <w:r>
        <w:fldChar w:fldCharType="end"/>
      </w:r>
      <w:r>
        <w:t xml:space="preserve"> In many cluster </w:t>
      </w:r>
      <w:r w:rsidRPr="006A437E">
        <w:t xml:space="preserve">RCT </w:t>
      </w:r>
      <w:r>
        <w:t xml:space="preserve">(C-RCT) </w:t>
      </w:r>
      <w:r w:rsidRPr="006A437E">
        <w:t>studies the practitioner was randomised but during the statistical analyses individual patient data were analysed as if there was no clustering within practitioner. C-RCT studies that do not account for clustering during analysis h</w:t>
      </w:r>
      <w:r>
        <w:t xml:space="preserve">ave ‘unit of analysis errors’, </w:t>
      </w:r>
      <w:r w:rsidRPr="006A437E">
        <w:t>increasing the chances of spuriously significant findings and misleading conclusions</w:t>
      </w:r>
      <w:r>
        <w:t>.</w:t>
      </w:r>
      <w:r>
        <w:fldChar w:fldCharType="begin"/>
      </w:r>
      <w:r>
        <w:instrText xml:space="preserve"> ADDIN EN.CITE &lt;EndNote&gt;&lt;Cite&gt;&lt;Author&gt;Whiting-O&amp;apos;Keefe&lt;/Author&gt;&lt;Year&gt;1984&lt;/Year&gt;&lt;RecNum&gt;119&lt;/RecNum&gt;&lt;DisplayText&gt;[21]&lt;/DisplayText&gt;&lt;record&gt;&lt;rec-number&gt;119&lt;/rec-number&gt;&lt;foreign-keys&gt;&lt;key app="EN" db-id="x9fffa25dxde9newers5xv249pterpfdd5z9" timestamp="1490231164"&gt;119&lt;/key&gt;&lt;/foreign-keys&gt;&lt;ref-type name="Journal Article"&gt;17&lt;/ref-type&gt;&lt;contributors&gt;&lt;authors&gt;&lt;author&gt;Whiting-O&amp;apos;Keefe, Q. E.&lt;/author&gt;&lt;author&gt;Henke, C.&lt;/author&gt;&lt;author&gt;Simborg, D. W.&lt;/author&gt;&lt;/authors&gt;&lt;/contributors&gt;&lt;titles&gt;&lt;title&gt;Choosing the correct unit of analysis in Medical Care experiments&lt;/title&gt;&lt;secondary-title&gt;Med Care&lt;/secondary-title&gt;&lt;alt-title&gt;Medical care&lt;/alt-title&gt;&lt;/titles&gt;&lt;alt-periodical&gt;&lt;full-title&gt;Medical care&lt;/full-title&gt;&lt;/alt-periodical&gt;&lt;pages&gt;1101–14&lt;/pages&gt;&lt;volume&gt;22&lt;/volume&gt;&lt;number&gt;12&lt;/number&gt;&lt;edition&gt;1984/12/01&lt;/edition&gt;&lt;keywords&gt;&lt;keyword&gt;Health Services Research/ standards&lt;/keyword&gt;&lt;keyword&gt;Humans&lt;/keyword&gt;&lt;keyword&gt;Periodicals as Topic&lt;/keyword&gt;&lt;keyword&gt;Research Design/ standards&lt;/keyword&gt;&lt;keyword&gt;Statistics as Topic&lt;/keyword&gt;&lt;/keywords&gt;&lt;dates&gt;&lt;year&gt;1984&lt;/year&gt;&lt;pub-dates&gt;&lt;date&gt;Dec&lt;/date&gt;&lt;/pub-dates&gt;&lt;/dates&gt;&lt;isbn&gt;0025-7079 (Print)&amp;#xD;0025-7079 (Linking)&lt;/isbn&gt;&lt;accession-num&gt;6513619&lt;/accession-num&gt;&lt;urls&gt;&lt;/urls&gt;&lt;remote-database-provider&gt;NLM&lt;/remote-database-provider&gt;&lt;language&gt;eng&lt;/language&gt;&lt;/record&gt;&lt;/Cite&gt;&lt;/EndNote&gt;</w:instrText>
      </w:r>
      <w:r>
        <w:fldChar w:fldCharType="separate"/>
      </w:r>
      <w:r>
        <w:rPr>
          <w:noProof/>
        </w:rPr>
        <w:t>[21]</w:t>
      </w:r>
      <w:r>
        <w:fldChar w:fldCharType="end"/>
      </w:r>
      <w:r>
        <w:t xml:space="preserve"> </w:t>
      </w:r>
    </w:p>
    <w:p w14:paraId="38898D9C" w14:textId="77777777" w:rsidR="00C9672D" w:rsidRPr="0037570E" w:rsidRDefault="00C9672D" w:rsidP="00C9672D">
      <w:pPr>
        <w:pStyle w:val="Normalpara"/>
      </w:pPr>
      <w:r w:rsidRPr="0037570E">
        <w:t>Conflicting findings were found as to the degree that time and intensity of educational strategies may influence effectiveness, with a large number of included s</w:t>
      </w:r>
      <w:r>
        <w:t>tudies reporting short pre–</w:t>
      </w:r>
      <w:r w:rsidRPr="0037570E">
        <w:t>post intervention findings; no review reported an optimal length of educational programs in terms of either number of sessions, frequency, or total time.</w:t>
      </w:r>
    </w:p>
    <w:p w14:paraId="100A6C3F" w14:textId="77777777" w:rsidR="00C9672D" w:rsidRPr="0037570E" w:rsidRDefault="00C9672D" w:rsidP="00C9672D">
      <w:pPr>
        <w:pStyle w:val="Normalpara"/>
      </w:pPr>
      <w:r w:rsidRPr="0037570E">
        <w:t>The sustainability of education-based strategies is often questioned in the literature.</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37570E">
        <w:t xml:space="preserve"> However, follow-up of long</w:t>
      </w:r>
      <w:r>
        <w:t>-</w:t>
      </w:r>
      <w:r w:rsidRPr="0037570E">
        <w:t>term effects of education programs found it can be achieved with regular re-enforcement, although not captured in this review.</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r w:rsidRPr="0037570E">
        <w:t xml:space="preserve"> Moreover, the literature suggests provider education is inexpensive and feasible for widespread delivery; the few included studies providing cost data consistently reported cost savings.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r w:rsidRPr="0037570E">
        <w:t xml:space="preserve"> </w:t>
      </w:r>
      <w:r>
        <w:t xml:space="preserve">However, no study stated whether savings offset costs of implementation, or consequences of test volume reduction on patient outcomes. </w:t>
      </w:r>
      <w:r w:rsidRPr="0037570E">
        <w:t xml:space="preserve">Few studies reported patient outcomes and overall found that interventions had little impact on </w:t>
      </w:r>
      <w:r>
        <w:t>medicine</w:t>
      </w:r>
      <w:r w:rsidRPr="0037570E">
        <w:t xml:space="preserve"> prescribing rates.</w:t>
      </w:r>
    </w:p>
    <w:p w14:paraId="7AE766CE" w14:textId="77777777" w:rsidR="00C9672D" w:rsidRDefault="00C9672D" w:rsidP="00C9672D">
      <w:pPr>
        <w:pStyle w:val="Normalpara"/>
        <w:rPr>
          <w:rFonts w:ascii="Arial Bold" w:eastAsia="TimesNewRomanPSMT" w:hAnsi="Arial Bold"/>
          <w:color w:val="4B306A"/>
          <w:kern w:val="32"/>
          <w:sz w:val="28"/>
          <w:szCs w:val="28"/>
          <w:lang w:eastAsia="en-US"/>
        </w:rPr>
      </w:pPr>
      <w:r w:rsidRPr="0037570E">
        <w:lastRenderedPageBreak/>
        <w:t>According to this review, educational interventions with potential for effectiveness in improving diagnostic imaging and laboratory test ordering include those with an audit</w:t>
      </w:r>
      <w:r>
        <w:t>–</w:t>
      </w:r>
      <w:r w:rsidRPr="0037570E">
        <w:t>feedback component, multicomponent interventions, and combined physician</w:t>
      </w:r>
      <w:r>
        <w:t>–</w:t>
      </w:r>
      <w:r w:rsidRPr="0037570E">
        <w:t>patient-mediated strategies, although there was little clarity regarding the most effective mix of elements in multicomponent strategies. Less</w:t>
      </w:r>
      <w:r>
        <w:t>-</w:t>
      </w:r>
      <w:r w:rsidRPr="0037570E">
        <w:t>effective strategies included didactic education and passive dissemination strategies such as providing educational materials to clinicians in printed form. There was no research into costs of implementation, or relative costs to benefits.</w:t>
      </w:r>
    </w:p>
    <w:p w14:paraId="1A5FD656" w14:textId="77777777" w:rsidR="00C9672D" w:rsidRPr="0037570E" w:rsidRDefault="00C9672D" w:rsidP="00C9672D">
      <w:pPr>
        <w:pStyle w:val="ApD2Head"/>
      </w:pPr>
      <w:bookmarkStart w:id="384" w:name="_Toc525740583"/>
      <w:bookmarkStart w:id="385" w:name="_Toc525816149"/>
      <w:r w:rsidRPr="0037570E">
        <w:t>Audit and feedback</w:t>
      </w:r>
      <w:bookmarkEnd w:id="384"/>
      <w:bookmarkEnd w:id="385"/>
    </w:p>
    <w:p w14:paraId="69AE717D" w14:textId="77777777" w:rsidR="00C9672D" w:rsidRPr="0037570E" w:rsidRDefault="00C9672D" w:rsidP="00C9672D">
      <w:pPr>
        <w:pStyle w:val="Normalpara"/>
      </w:pPr>
      <w:r w:rsidRPr="0037570E">
        <w:t xml:space="preserve">A total of 11 </w:t>
      </w:r>
      <w:r>
        <w:t>reviews</w:t>
      </w:r>
      <w:r w:rsidRPr="0037570E">
        <w:t xml:space="preserve"> that met the eligibility c</w:t>
      </w:r>
      <w:r>
        <w:t xml:space="preserve">riteria investigated audit and feedback </w:t>
      </w:r>
      <w:r w:rsidRPr="0037570E">
        <w:t>interventions.</w: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PEVuZE5vdGU+PENpdGU+PEF1dGhvcj5DYWRvZ2FuPC9BdXRob3I+PFllYXI+MjAxNTwvWWVhcj48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cmllIFVuaXZlcnNpdHksIFN5ZG5leSwgQXVzdHJhbGlhIGhhemVsLmplbmtpbnNAbXEuZWR1LmF1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PjxwYWdlcz5lMDE1MDEyMzwvcGFnZXM+PHZvbHVtZT4xMTwvdm9sdW1lPjxudW1iZXI+MzwvbnVt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LXBlcmlvZGljYWw+PHBhZ2VzPkNEMDA2MDk0PC9wYWdlcz48bnVtYmVyPjE8L251bWJlcj48ZWRp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[1,3,4,6,10,11,14-18]</w:t>
      </w:r>
      <w:r>
        <w:fldChar w:fldCharType="end"/>
      </w:r>
      <w:r w:rsidRPr="0037570E">
        <w:t xml:space="preserve"> The key findings from these </w:t>
      </w:r>
      <w:r>
        <w:t>reviews</w:t>
      </w:r>
      <w:r w:rsidRPr="0037570E">
        <w:t xml:space="preserve"> are </w:t>
      </w:r>
      <w:r w:rsidRPr="00E30D92">
        <w:t>summarised in Table 5.</w:t>
      </w:r>
      <w:r>
        <w:t xml:space="preserve"> </w:t>
      </w:r>
    </w:p>
    <w:p w14:paraId="6444B6DA" w14:textId="77777777" w:rsidR="00C9672D" w:rsidRPr="0037570E" w:rsidRDefault="00C9672D" w:rsidP="00C9672D">
      <w:pPr>
        <w:pStyle w:val="Normalpara"/>
      </w:pPr>
      <w:r w:rsidRPr="0037570E">
        <w:t>Only one meta-analysis of audit and feedback was included in the reviews. This showed</w:t>
      </w:r>
      <w:r>
        <w:t xml:space="preserve"> that </w:t>
      </w:r>
      <w:r w:rsidRPr="0037570E">
        <w:t>the presence of a physician audit and feedback mechanism was associated with lower odds of inappropriate testing (OR 0.36</w:t>
      </w:r>
      <w:r>
        <w:t xml:space="preserve">, </w:t>
      </w:r>
      <w:r w:rsidRPr="0037570E">
        <w:t>95% CI 0.31</w:t>
      </w:r>
      <w:r>
        <w:t xml:space="preserve"> to </w:t>
      </w:r>
      <w:r w:rsidRPr="0037570E">
        <w:t>0.41</w:t>
      </w:r>
      <w:r>
        <w:t>,</w:t>
      </w:r>
      <w:r w:rsidRPr="0037570E">
        <w:t xml:space="preserve"> </w:t>
      </w:r>
      <w:r>
        <w:t xml:space="preserve">p </w:t>
      </w:r>
      <w:r w:rsidRPr="0037570E">
        <w:t>&lt;</w:t>
      </w:r>
      <w:r>
        <w:t xml:space="preserve"> </w:t>
      </w:r>
      <w:r w:rsidRPr="0037570E">
        <w:t>0.001), whereas studies that lacked this process had no significant effect on inappropriate testing (OR 0.89</w:t>
      </w:r>
      <w:r>
        <w:t xml:space="preserve">, </w:t>
      </w:r>
      <w:r w:rsidRPr="0037570E">
        <w:t>95% CI 0.61</w:t>
      </w:r>
      <w:r>
        <w:t xml:space="preserve"> to </w:t>
      </w:r>
      <w:r w:rsidRPr="0037570E">
        <w:t>1.29</w:t>
      </w:r>
      <w:r>
        <w:t>,</w:t>
      </w:r>
      <w:r w:rsidRPr="0037570E">
        <w:t xml:space="preserve"> </w:t>
      </w:r>
      <w:r>
        <w:t xml:space="preserve">p </w:t>
      </w:r>
      <w:r w:rsidRPr="0037570E">
        <w:t>=</w:t>
      </w:r>
      <w:r>
        <w:t xml:space="preserve"> 0.51; </w:t>
      </w:r>
      <w:r>
        <w:br/>
        <w:t xml:space="preserve">p </w:t>
      </w:r>
      <w:r w:rsidRPr="0037570E">
        <w:t>value for difference &lt;</w:t>
      </w:r>
      <w:r>
        <w:t xml:space="preserve"> </w:t>
      </w:r>
      <w:r w:rsidRPr="0037570E">
        <w:t>0.001).</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3B27BF5C" w14:textId="77777777" w:rsidR="00C9672D" w:rsidRPr="0037570E" w:rsidRDefault="00C9672D" w:rsidP="00C9672D">
      <w:pPr>
        <w:pStyle w:val="Normalpara"/>
      </w:pPr>
      <w:r w:rsidRPr="0037570E">
        <w:t>Systematic reviews of audit and feedback provided the following mixed findings:</w:t>
      </w:r>
    </w:p>
    <w:p w14:paraId="7EE4F10D" w14:textId="77777777" w:rsidR="00C9672D" w:rsidRPr="0037570E" w:rsidRDefault="00C9672D" w:rsidP="00C9672D">
      <w:pPr>
        <w:pStyle w:val="NormalBulleted"/>
      </w:pPr>
      <w:r w:rsidRPr="0037570E">
        <w:t>the percent</w:t>
      </w:r>
      <w:r>
        <w:t>age</w:t>
      </w:r>
      <w:r w:rsidRPr="0037570E">
        <w:t xml:space="preserve"> relative reductions in test ordering interventions were statistically significantly decreased versus controls</w:t>
      </w:r>
      <w:r>
        <w:t>,</w:t>
      </w:r>
      <w:r w:rsidRPr="0037570E">
        <w:t xml:space="preserve"> with 18 out of 51 interventions with an audit/feedback component (median RR 23.2</w:t>
      </w:r>
      <w:r>
        <w:t>, IQR 1</w:t>
      </w:r>
      <w:r w:rsidRPr="0037570E">
        <w:t>3.8</w:t>
      </w:r>
      <w:r>
        <w:t xml:space="preserve"> to </w:t>
      </w:r>
      <w:r w:rsidRPr="0037570E">
        <w:t>34.5)</w:t>
      </w:r>
      <w:r>
        <w:t>.</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37570E">
        <w:t xml:space="preserve"> For exclusively audit and feedback interventions, the median RR (IQR) </w:t>
      </w:r>
      <w:r>
        <w:t>was 1</w:t>
      </w:r>
      <w:r w:rsidRPr="0037570E">
        <w:t>8.4 (2.1</w:t>
      </w:r>
      <w:r>
        <w:t xml:space="preserve"> to </w:t>
      </w:r>
      <w:r w:rsidRPr="0037570E">
        <w:t xml:space="preserve">24.8). For exclusively cost display, the median RR (IQR) </w:t>
      </w:r>
      <w:r>
        <w:t>was</w:t>
      </w:r>
      <w:r w:rsidRPr="0037570E">
        <w:t xml:space="preserve"> 18.4 (2.1</w:t>
      </w:r>
      <w:r>
        <w:t xml:space="preserve"> to </w:t>
      </w:r>
      <w:r w:rsidRPr="0037570E">
        <w:t>28.8).</w:t>
      </w:r>
    </w:p>
    <w:p w14:paraId="30008E9D" w14:textId="77777777" w:rsidR="00C9672D" w:rsidRPr="0037570E" w:rsidRDefault="00C9672D" w:rsidP="00C9672D">
      <w:pPr>
        <w:pStyle w:val="NormalBulleted"/>
      </w:pPr>
      <w:r w:rsidRPr="0037570E">
        <w:t>interventions that used practitioner audit and feedback</w:t>
      </w:r>
      <w:r>
        <w:t xml:space="preserve">, or </w:t>
      </w:r>
      <w:r w:rsidRPr="0037570E">
        <w:t>practitioner education or guideline dissemination had variable results and did not significantly reduce imaging rates.</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p>
    <w:p w14:paraId="206BDF80" w14:textId="77777777" w:rsidR="00C9672D" w:rsidRPr="0037570E" w:rsidRDefault="00C9672D" w:rsidP="00C9672D">
      <w:pPr>
        <w:pStyle w:val="NormalBulleted"/>
      </w:pPr>
      <w:r w:rsidRPr="0037570E">
        <w:t xml:space="preserve">the effectiveness of interventions was closely tied to the use of physician audit and feedback mechanisms; two included studies used feedback alone (one showed a 5% increase, one a 27% desired decrease); eight education and feedback (average increase in desired direction </w:t>
      </w:r>
      <w:r>
        <w:t xml:space="preserve">greater than the </w:t>
      </w:r>
      <w:r w:rsidRPr="0037570E">
        <w:t>control</w:t>
      </w:r>
      <w:r>
        <w:t xml:space="preserve"> of</w:t>
      </w:r>
      <w:r w:rsidRPr="0037570E">
        <w:t xml:space="preserve"> 4.9%), one system change and feedback (increases </w:t>
      </w:r>
      <w:r>
        <w:t xml:space="preserve">of </w:t>
      </w:r>
      <w:r w:rsidRPr="0037570E">
        <w:t>5</w:t>
      </w:r>
      <w:r>
        <w:t xml:space="preserve">% to </w:t>
      </w:r>
      <w:r w:rsidRPr="0037570E">
        <w:t>44%), three education and system change and feedback (average 7.7% increase).</w:t>
      </w:r>
      <w:r>
        <w:fldChar w:fldCharType="begin"/>
      </w:r>
      <w:r>
        <w:instrText xml:space="preserve"> ADDIN EN.CITE &lt;EndNote&gt;&lt;Cite&gt;&lt;Author&gt;Thomas&lt;/Author&gt;&lt;Year&gt;2016&lt;/Year&gt;&lt;RecNum&gt;60&lt;/RecNum&gt;&lt;DisplayText&gt;[15]&lt;/DisplayText&gt;&lt;record&gt;&lt;rec-number&gt;60&lt;/rec-number&gt;&lt;foreign-keys&gt;&lt;key app="EN" db-id="x9fffa25dxde9newers5xv249pterpfdd5z9" timestamp="1488429399"&gt;60&lt;/key&gt;&lt;/foreign-keys&gt;&lt;ref-type name="Journal Article"&gt;17&lt;/ref-type&gt;&lt;contributors&gt;&lt;authors&gt;&lt;author&gt;Thomas, Roger Edmund&lt;/author&gt;&lt;author&gt;Vaska, Marcus&lt;/author&gt;&lt;author&gt;Naugler, Christopher&lt;/author&gt;&lt;author&gt;Chowdhury, Tanvir Turin&lt;/author&gt;&lt;/authors&gt;&lt;/contributors&gt;&lt;titles&gt;&lt;title&gt;Interventions to educate family physicians to change test ordering systematic review of randomized controlled trials&lt;/title&gt;&lt;secondary-title&gt;Academic Pathology&lt;/secondary-title&gt;&lt;/titles&gt;&lt;periodical&gt;&lt;full-title&gt;Academic Pathology&lt;/full-title&gt;&lt;/periodical&gt;&lt;pages&gt;doi:10.1177/2374289516633476&lt;/pages&gt;&lt;volume&gt;3&lt;/volume&gt;&lt;dates&gt;&lt;year&gt;2016&lt;/year&gt;&lt;/dates&gt;&lt;isbn&gt;2374-2895&lt;/isbn&gt;&lt;urls&gt;&lt;related-urls&gt;&lt;url&gt;http://journals.sagepub.com/doi/full/10.1177/2374289516633476&lt;/url&gt;&lt;/related-urls&gt;&lt;/urls&gt;&lt;electronic-resource-num&gt;doi:10.1177/2374289516633476&lt;/electronic-resource-num&gt;&lt;/record&gt;&lt;/Cite&gt;&lt;/EndNote&gt;</w:instrText>
      </w:r>
      <w:r>
        <w:fldChar w:fldCharType="separate"/>
      </w:r>
      <w:r>
        <w:rPr>
          <w:noProof/>
        </w:rPr>
        <w:t>[15]</w:t>
      </w:r>
      <w:r>
        <w:fldChar w:fldCharType="end"/>
      </w:r>
    </w:p>
    <w:p w14:paraId="6569E965" w14:textId="77777777" w:rsidR="00C9672D" w:rsidRPr="00326E28" w:rsidRDefault="00C9672D" w:rsidP="00C9672D">
      <w:pPr>
        <w:pStyle w:val="Normalpara"/>
      </w:pPr>
      <w:r w:rsidRPr="0037570E">
        <w:t>O</w:t>
      </w:r>
      <w:r>
        <w:t>verall, the o</w:t>
      </w:r>
      <w:r w:rsidRPr="0037570E">
        <w:t xml:space="preserve">ther reviews reported that when clinicians were provided feedback on their use of low-value services compared with </w:t>
      </w:r>
      <w:r>
        <w:t xml:space="preserve">their </w:t>
      </w:r>
      <w:r w:rsidRPr="0037570E">
        <w:t xml:space="preserve">peers, </w:t>
      </w:r>
      <w:r>
        <w:t xml:space="preserve">in addition to </w:t>
      </w:r>
      <w:r w:rsidRPr="0037570E">
        <w:t>educational materials, large reductions in laboratory test</w:t>
      </w:r>
      <w:r>
        <w:t>ing</w:t>
      </w:r>
      <w:r w:rsidRPr="0037570E">
        <w:t xml:space="preserve"> and imaging were observed.</w: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r w:rsidRPr="0037570E">
        <w:t xml:space="preserve"> </w:t>
      </w:r>
      <w:r>
        <w:t xml:space="preserve">An RCT study included in the review by Kobewka et al. (2015) investigated ordering by medical students and residents after an intervention involving a manual outlining rational test ordering supplemented with </w:t>
      </w:r>
      <w:r w:rsidRPr="00326E28">
        <w:t>feedback on laboratory usage</w:t>
      </w:r>
      <w:r>
        <w:t xml:space="preserve"> and </w:t>
      </w:r>
      <w:r w:rsidRPr="00326E28">
        <w:t>costs incurred</w:t>
      </w:r>
      <w:r>
        <w:t xml:space="preserve">. Their </w:t>
      </w:r>
      <w:r w:rsidRPr="00326E28">
        <w:t>usage compared</w:t>
      </w:r>
      <w:r>
        <w:t xml:space="preserve"> </w:t>
      </w:r>
      <w:r w:rsidRPr="00326E28">
        <w:t>with peers</w:t>
      </w:r>
      <w:r>
        <w:t xml:space="preserve"> reduced test ordering by 40.9%. A similar study targeting residents with education, audit and individual feedback on test ordering for high users found a reduction in all laboratory test of 21.0%.</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t xml:space="preserve"> One review emphasised the role of feedback in successful learning, noting that facilitation of reflective practice, such as providing feedback from mentors and educators or asking reflective questions regarding decisions related to laboratory ordering or prescribing to give trainees insight into their past and current behaviour was key to accomplishing lasting practice change.</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2B2BB4DD" w14:textId="77777777" w:rsidR="00C9672D" w:rsidRPr="0037570E" w:rsidRDefault="00C9672D" w:rsidP="00C9672D">
      <w:pPr>
        <w:pStyle w:val="Normalpara"/>
      </w:pPr>
      <w:r w:rsidRPr="0037570E">
        <w:t>There was insufficient data for included studies to perform meta-analysis in two reviews, which showed that providing GP feedback combined with guidelines on the total number of investigations requested may result in a slight reduction in the number of radiology requests.</w: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 </w:instrText>
      </w:r>
      <w:r>
        <w:fldChar w:fldCharType="begin">
          <w:fldData xml:space="preserve">PEVuZE5vdGU+PENpdGU+PEF1dGhvcj5Uem9ydHppb3UgQnJvd248L0F1dGhvcj48WWVhcj4yMDE2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</w:fldData>
        </w:fldChar>
      </w:r>
      <w:r>
        <w:instrText xml:space="preserve"> ADDIN EN.CITE.DATA </w:instrText>
      </w:r>
      <w:r>
        <w:fldChar w:fldCharType="end"/>
      </w:r>
      <w:r>
        <w:fldChar w:fldCharType="separate"/>
      </w:r>
      <w:r>
        <w:rPr>
          <w:noProof/>
        </w:rPr>
        <w:t>[6,16]</w:t>
      </w:r>
      <w:r>
        <w:fldChar w:fldCharType="end"/>
      </w:r>
      <w:r w:rsidRPr="0037570E">
        <w:t xml:space="preserve">, and an improvement in </w:t>
      </w:r>
      <w:r>
        <w:t>medicine</w:t>
      </w:r>
      <w:r w:rsidRPr="0037570E">
        <w:t xml:space="preserve"> prescribing rates.</w: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 </w:instrText>
      </w:r>
      <w:r>
        <w:fldChar w:fldCharType="begin">
          <w:fldData xml:space="preserve">PEVuZE5vdGU+PENpdGU+PEF1dGhvcj5Uem9ydHppb3UgQnJvd248L0F1dGhvcj48WWVhcj4yMDE2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</w:fldData>
        </w:fldChar>
      </w:r>
      <w:r>
        <w:instrText xml:space="preserve"> ADDIN EN.CITE.DATA </w:instrText>
      </w:r>
      <w:r>
        <w:fldChar w:fldCharType="end"/>
      </w:r>
      <w:r>
        <w:fldChar w:fldCharType="separate"/>
      </w:r>
      <w:r>
        <w:rPr>
          <w:noProof/>
        </w:rPr>
        <w:t>[16]</w:t>
      </w:r>
      <w:r>
        <w:fldChar w:fldCharType="end"/>
      </w:r>
    </w:p>
    <w:p w14:paraId="46C64EB6" w14:textId="77777777" w:rsidR="00C9672D" w:rsidRPr="0037570E" w:rsidRDefault="00C9672D" w:rsidP="00C9672D">
      <w:pPr>
        <w:pStyle w:val="Normalpara"/>
      </w:pPr>
      <w:r w:rsidRPr="0037570E">
        <w:t>However, according to Colla et al.</w:t>
      </w:r>
      <w:r>
        <w:t xml:space="preserve"> (2016)</w:t>
      </w:r>
      <w:r w:rsidRPr="0037570E">
        <w:t xml:space="preserve">, based on one study that </w:t>
      </w:r>
      <w:r>
        <w:t xml:space="preserve">showed that </w:t>
      </w:r>
      <w:r w:rsidRPr="0037570E">
        <w:t>while over</w:t>
      </w:r>
      <w:r>
        <w:t>-</w:t>
      </w:r>
      <w:r w:rsidRPr="0037570E">
        <w:t xml:space="preserve">utilisation decreased, underutilisation increased, volumes of test orders </w:t>
      </w:r>
      <w:r>
        <w:t xml:space="preserve">may be </w:t>
      </w:r>
      <w:r w:rsidRPr="0037570E">
        <w:t>being reduced regardless of value.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37570E">
        <w:t xml:space="preserve">In a review </w:t>
      </w:r>
      <w:r>
        <w:t xml:space="preserve">examining </w:t>
      </w:r>
      <w:r w:rsidRPr="0037570E">
        <w:t>the impact of cost display on provider ordering, Silvestri et al.</w:t>
      </w:r>
      <w:r>
        <w:t xml:space="preserve"> (2016)</w:t>
      </w:r>
      <w:r w:rsidRPr="0037570E">
        <w:t xml:space="preserve"> found that combining written education regarding costs with feedback regarding laboratory use </w:t>
      </w:r>
      <w:r w:rsidRPr="0037570E">
        <w:lastRenderedPageBreak/>
        <w:t xml:space="preserve">seemed to decreased test utilisation compared </w:t>
      </w:r>
      <w:r>
        <w:t xml:space="preserve">with </w:t>
      </w:r>
      <w:r w:rsidRPr="0037570E">
        <w:t xml:space="preserve">audit and feedback alone (unadjusted difference 22.3%, high risk of bias; no </w:t>
      </w:r>
      <w:r>
        <w:t>p-</w:t>
      </w:r>
      <w:r w:rsidRPr="0037570E">
        <w:t>value reported</w:t>
      </w:r>
      <w:r>
        <w:t>; one</w:t>
      </w:r>
      <w:r w:rsidRPr="0037570E">
        <w:t xml:space="preserve"> study</w:t>
      </w:r>
      <w:r>
        <w:t xml:space="preserve">, </w:t>
      </w:r>
      <w:r w:rsidRPr="0037570E">
        <w:t>no analysis reported).</w: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PEVuZE5vdGU+PENpdGU+PEF1dGhvcj5TaWx2ZXN0cmk8L0F1dGhvcj48WWVhcj4yMDE2PC9ZZWFy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Pr>
          <w:noProof/>
        </w:rPr>
        <w:t>[14]</w:t>
      </w:r>
      <w:r>
        <w:fldChar w:fldCharType="end"/>
      </w:r>
      <w:r>
        <w:t xml:space="preserve"> </w:t>
      </w:r>
      <w:r w:rsidRPr="0037570E">
        <w:t>The authors concluded that although there is insufficient evidence on which to base strong conclusions, review results suggested that provider price display likely reduces order costs to a modest degree. This was supported by a study of audit and feedback combined with educational support, which found a 22% post-intervention reduction in test ordering and subsequent costs.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40C68072" w14:textId="77777777" w:rsidR="00C9672D" w:rsidRDefault="00C9672D" w:rsidP="00C9672D">
      <w:pPr>
        <w:pStyle w:val="Normalpara"/>
      </w:pPr>
      <w:r w:rsidRPr="0037570E">
        <w:t xml:space="preserve">There was little discussion of the impact of frequency of intervention delivery, with </w:t>
      </w:r>
      <w:r>
        <w:t>most</w:t>
      </w:r>
      <w:r w:rsidRPr="0037570E">
        <w:t xml:space="preserve"> studies </w:t>
      </w:r>
      <w:r>
        <w:t xml:space="preserve">being </w:t>
      </w:r>
      <w:r w:rsidRPr="0037570E">
        <w:t>pre</w:t>
      </w:r>
      <w:r>
        <w:t>–</w:t>
      </w:r>
      <w:r w:rsidRPr="0037570E">
        <w:t>post interventions that did not use time series analysis to determine the longer</w:t>
      </w:r>
      <w:r>
        <w:t>-</w:t>
      </w:r>
      <w:r w:rsidRPr="0037570E">
        <w:t>term outcomes. The review by Kobewka et al.</w:t>
      </w:r>
      <w:r>
        <w:t xml:space="preserve"> (2015)</w:t>
      </w:r>
      <w:r w:rsidRPr="0037570E">
        <w:t xml:space="preserve"> included a discussion of sustainability of results, stating that multiple reminders and repeated meetings were necessary to maintain the change in behaviour.</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t xml:space="preserve"> </w:t>
      </w:r>
      <w:r w:rsidRPr="0037570E">
        <w:t>Infrequent reporting of post-intervention results was noted by one other review, where a period of reduction in test ordering during an intervention was followed by a return to baseline.</w:t>
      </w:r>
      <w:r>
        <w:fldChar w:fldCharType="begin">
          <w:fldData xml:space="preserve">PEVuZE5vdGU+PENpdGU+PEF1dGhvcj5Db2xsYTwvQXV0aG9yPjxZZWFyPjIwMTY8L1llYXI+PFJl
Y051bT4xMDA8L1JlY051bT48RGlzcGxheVRleHQ+WzEsMTddPC9EaXNwbGF5VGV4dD48cmVjb3Jk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PC9sYW5ndWFnZT48L3JlY29yZD48L0NpdGU+PENpdGU+PEF1dGhvcj5TdGFtbWVuPC9BdXRob3I+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Y051bT4xMDA8L1JlY051bT48RGlzcGxheVRleHQ+WzEsMTddPC9EaXNwbGF5VGV4dD48cmVjb3Jk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PC9sYW5ndWFnZT48L3JlY29yZD48L0NpdGU+PENpdGU+PEF1dGhvcj5TdGFtbWVuPC9BdXRob3I+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Pr>
          <w:noProof/>
        </w:rPr>
        <w:t>[1,17]</w:t>
      </w:r>
      <w:r>
        <w:fldChar w:fldCharType="end"/>
      </w:r>
      <w:r w:rsidRPr="0037570E">
        <w:t xml:space="preserve"> One other review considered frequency of feedback</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r w:rsidRPr="0037570E">
        <w:t xml:space="preserve"> although without analysis, and suggested that both frequency and timing may be important factors in the effectiveness of interventions.</w:t>
      </w:r>
    </w:p>
    <w:p w14:paraId="1A3A7793" w14:textId="77777777" w:rsidR="00C9672D" w:rsidRPr="00E30D92" w:rsidRDefault="00C9672D" w:rsidP="00C9672D">
      <w:pPr>
        <w:pStyle w:val="ApD3Head"/>
      </w:pPr>
      <w:bookmarkStart w:id="386" w:name="_Toc525740584"/>
      <w:bookmarkStart w:id="387" w:name="_Toc525816150"/>
      <w:r w:rsidRPr="00E30D92">
        <w:t>Summary of findings</w:t>
      </w:r>
      <w:bookmarkEnd w:id="386"/>
      <w:bookmarkEnd w:id="387"/>
    </w:p>
    <w:p w14:paraId="5009F3EE" w14:textId="77777777" w:rsidR="00C9672D" w:rsidRDefault="00C9672D" w:rsidP="00C9672D">
      <w:pPr>
        <w:pStyle w:val="Normalpara"/>
      </w:pPr>
      <w:r w:rsidRPr="0037570E">
        <w:t>Audit and feedback generally leads to small</w:t>
      </w:r>
      <w:r>
        <w:t>-to-moderate</w:t>
      </w:r>
      <w:r w:rsidRPr="0037570E">
        <w:t xml:space="preserve"> improvements in professional practice</w:t>
      </w:r>
      <w:r>
        <w:t xml:space="preserve">, including </w:t>
      </w:r>
      <w:r w:rsidRPr="0037570E">
        <w:t>reductions in test ordering</w:t>
      </w:r>
      <w:r>
        <w:t xml:space="preserve"> and inappropriate imaging.</w:t>
      </w:r>
      <w:r>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PEVuZE5vdGU+PENpdGU+PEF1dGhvcj5Lb2Jld2thPC9BdXRob3I+PFllYXI+MjAxNTwvWWVhcj48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r w:rsidRPr="0037570E">
        <w:t xml:space="preserve"> </w:t>
      </w:r>
    </w:p>
    <w:p w14:paraId="28DFCDC6" w14:textId="77777777" w:rsidR="00C9672D" w:rsidRDefault="00C9672D" w:rsidP="00C9672D">
      <w:pPr>
        <w:pStyle w:val="Normalpara"/>
      </w:pPr>
      <w:r>
        <w:t>Improvements in correct test ordering has consequent cost reductions.</w: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 </w:instrText>
      </w:r>
      <w:r>
        <w:fldChar w:fldCharType="begin">
          <w:fldData xml:space="preserve">PEVuZE5vdGU+PENpdGU+PEF1dGhvcj5TdGFtbWVuPC9BdXRob3I+PFllYXI+MjAxNTwvWWVhcj48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</w:fldData>
        </w:fldChar>
      </w:r>
      <w:r>
        <w:instrText xml:space="preserve"> ADDIN EN.CITE.DATA </w:instrText>
      </w:r>
      <w:r>
        <w:fldChar w:fldCharType="end"/>
      </w:r>
      <w:r>
        <w:fldChar w:fldCharType="separate"/>
      </w:r>
      <w:r>
        <w:rPr>
          <w:noProof/>
        </w:rPr>
        <w:t>[11,17]</w:t>
      </w:r>
      <w:r>
        <w:fldChar w:fldCharType="end"/>
      </w:r>
    </w:p>
    <w:p w14:paraId="2CE5F661" w14:textId="77777777" w:rsidR="00C9672D" w:rsidRDefault="00C9672D" w:rsidP="00C9672D">
      <w:pPr>
        <w:pStyle w:val="Normalpara"/>
      </w:pPr>
      <w:r>
        <w:t xml:space="preserve">A meta-analysis demonstrated lower odds of inappropriate </w:t>
      </w:r>
      <w:r w:rsidRPr="000404FA">
        <w:t>diagnostic</w:t>
      </w:r>
      <w:r>
        <w:t xml:space="preserve"> imaging tests.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0D29ABBA" w14:textId="77777777" w:rsidR="00C9672D" w:rsidRDefault="00C9672D" w:rsidP="00C9672D">
      <w:pPr>
        <w:pStyle w:val="Normalpara"/>
      </w:pPr>
      <w:r>
        <w:t>However, m</w:t>
      </w:r>
      <w:r w:rsidRPr="0037570E">
        <w:t xml:space="preserve">any interventions cited in reviews were poorly defined or did not include data, precluding analysis. </w:t>
      </w:r>
      <w:r>
        <w:t>In the review by Kobewka et al. (2015) half the interventions were not described adequately enough to be replicated, with a high risk of contamination between experimental and control groups, results reported incorrectly (per institution/physician instead of per patient), and 90% had no time series analysis.</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p>
    <w:p w14:paraId="12ADB2CC" w14:textId="77777777" w:rsidR="00C9672D" w:rsidRDefault="00C9672D" w:rsidP="00C9672D">
      <w:pPr>
        <w:pStyle w:val="Normalpara"/>
      </w:pPr>
      <w:r>
        <w:t>Additionally</w:t>
      </w:r>
      <w:r w:rsidRPr="0037570E">
        <w:t>, the interventions in this review were multifaceted</w:t>
      </w:r>
      <w:r>
        <w:t>;</w:t>
      </w:r>
      <w:r w:rsidRPr="0037570E">
        <w:t xml:space="preserve"> hence</w:t>
      </w:r>
      <w:r>
        <w:t>,</w:t>
      </w:r>
      <w:r w:rsidRPr="0037570E">
        <w:t xml:space="preserve"> their effects were dependent on the particular combination of strategies used. </w:t>
      </w:r>
      <w:r>
        <w:t>Most</w:t>
      </w:r>
      <w:r w:rsidRPr="0037570E">
        <w:t xml:space="preserve"> studies were pre</w:t>
      </w:r>
      <w:r>
        <w:t>–</w:t>
      </w:r>
      <w:r w:rsidRPr="0037570E">
        <w:t xml:space="preserve">post and did not include any time series analysis, which brings into question the sustainability of any intervention and the validity of results. Multiple and repeated strategies are most likely necessary to maintain an effect, increasing resources and hence costs. Many of the interventions have questionable generalisability; there is a wide range of relative reductions among included studies due to heterogeneity at every level. </w:t>
      </w:r>
    </w:p>
    <w:p w14:paraId="2CB106BD" w14:textId="77777777" w:rsidR="00C9672D" w:rsidRDefault="00C9672D" w:rsidP="00C9672D">
      <w:pPr>
        <w:pStyle w:val="ApD2Head"/>
      </w:pPr>
      <w:bookmarkStart w:id="388" w:name="_Toc525740585"/>
      <w:bookmarkStart w:id="389" w:name="_Toc525816151"/>
      <w:r>
        <w:t>Payment systems</w:t>
      </w:r>
      <w:bookmarkEnd w:id="388"/>
      <w:bookmarkEnd w:id="389"/>
    </w:p>
    <w:p w14:paraId="1E5C5734" w14:textId="77777777" w:rsidR="00C9672D" w:rsidRPr="0020140C" w:rsidRDefault="00C9672D" w:rsidP="00C9672D">
      <w:pPr>
        <w:pStyle w:val="Normalpara"/>
      </w:pPr>
      <w:r w:rsidRPr="0020140C">
        <w:t xml:space="preserve">A total of three </w:t>
      </w:r>
      <w:r>
        <w:t>reviews</w:t>
      </w:r>
      <w:r w:rsidRPr="0020140C">
        <w:t xml:space="preserve"> that met the eligibility criteria investigated payment systems. The </w:t>
      </w:r>
      <w:r>
        <w:t>reviews</w:t>
      </w:r>
      <w:r w:rsidRPr="0020140C">
        <w:t xml:space="preserve"> investigated pay-for-performance, insurer restrictions and risk sharing.</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p>
    <w:p w14:paraId="578A37DC" w14:textId="77777777" w:rsidR="00C9672D" w:rsidRPr="0082690C" w:rsidRDefault="00C9672D" w:rsidP="00C9672D">
      <w:pPr>
        <w:pStyle w:val="ApD3Head"/>
        <w:rPr>
          <w:rStyle w:val="Bold"/>
          <w:b/>
        </w:rPr>
      </w:pPr>
      <w:bookmarkStart w:id="390" w:name="_Toc525740586"/>
      <w:bookmarkStart w:id="391" w:name="_Toc525816152"/>
      <w:r w:rsidRPr="0082690C">
        <w:rPr>
          <w:rStyle w:val="Bold"/>
        </w:rPr>
        <w:t>Pay-for-performance</w:t>
      </w:r>
      <w:bookmarkEnd w:id="390"/>
      <w:bookmarkEnd w:id="391"/>
    </w:p>
    <w:p w14:paraId="6C8DE82F" w14:textId="77777777" w:rsidR="00C9672D" w:rsidRPr="0020140C" w:rsidRDefault="00C9672D" w:rsidP="00C9672D">
      <w:pPr>
        <w:pStyle w:val="Normalpara"/>
      </w:pPr>
      <w:r w:rsidRPr="0020140C">
        <w:t xml:space="preserve">Two </w:t>
      </w:r>
      <w:r>
        <w:t>reviews</w:t>
      </w:r>
      <w:r w:rsidRPr="0020140C">
        <w:t xml:space="preserve"> investigated pay-for-performance.</w: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p>
    <w:p w14:paraId="1B11372E" w14:textId="77777777" w:rsidR="00C9672D" w:rsidRPr="0020140C" w:rsidRDefault="00C9672D" w:rsidP="00C9672D">
      <w:pPr>
        <w:pStyle w:val="Normalpara"/>
      </w:pPr>
      <w:r w:rsidRPr="0020140C">
        <w:t>Kobewka et al. (2015) investigated the influence of educational, audit and feedback, system-based, and incentive and penalty interventions to reduce laboratory test utilisation.</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20140C">
        <w:t xml:space="preserve"> </w:t>
      </w:r>
    </w:p>
    <w:p w14:paraId="7E7EACF5" w14:textId="77777777" w:rsidR="00C9672D" w:rsidRPr="0020140C" w:rsidRDefault="00C9672D" w:rsidP="00C9672D">
      <w:pPr>
        <w:pStyle w:val="Normalpara"/>
      </w:pPr>
      <w:r w:rsidRPr="0020140C">
        <w:t xml:space="preserve">They included one relevant study for payment systems, in which medical residents received money if their laboratory use decreased </w:t>
      </w:r>
      <w:r>
        <w:t xml:space="preserve">after </w:t>
      </w:r>
      <w:r w:rsidRPr="0020140C">
        <w:t>a 1</w:t>
      </w:r>
      <w:r>
        <w:t>-</w:t>
      </w:r>
      <w:r w:rsidRPr="0020140C">
        <w:t xml:space="preserve">hour lecture on laboratory costs. </w:t>
      </w:r>
      <w:r>
        <w:t>After</w:t>
      </w:r>
      <w:r w:rsidRPr="0020140C">
        <w:t xml:space="preserve"> the intervention, there was a significant reduction in the number of radiology and blood tests performed (relative reduction of 5.8).</w:t>
      </w:r>
      <w:r>
        <w:fldChar w:fldCharType="begin"/>
      </w:r>
      <w:r>
        <w:instrText xml:space="preserve"> ADDIN EN.CITE &lt;EndNote&gt;&lt;Cite&gt;&lt;Author&gt;Kobewka&lt;/Author&gt;&lt;Year&gt;2015&lt;/Year&gt;&lt;RecNum&gt;90&lt;/RecNum&gt;&lt;DisplayText&gt;[11]&lt;/DisplayText&gt;&lt;record&gt;&lt;rec-number&gt;90&lt;/rec-number&gt;&lt;foreign-keys&gt;&lt;key app="EN" db-id="x9fffa25dxde9newers5xv249pterpfdd5z9" timestamp="1488836932"&gt;90&lt;/key&gt;&lt;/foreign-keys&gt;&lt;ref-type name="Journal Article"&gt;17&lt;/ref-type&gt;&lt;contributors&gt;&lt;authors&gt;&lt;author&gt;Kobewka, D. M.&lt;/author&gt;&lt;author&gt;Ronksley, P. E.&lt;/author&gt;&lt;author&gt;McKay, J. A.&lt;/author&gt;&lt;author&gt;Forster, A. J.&lt;/author&gt;&lt;author&gt;van Walraven, C.&lt;/author&gt;&lt;/authors&gt;&lt;/contributors&gt;&lt;titles&gt;&lt;title&gt;Influence of educational, audit and feedback, system based, and incentive and penalty interventions to reduce laboratory test utilization: a systematic review&lt;/title&gt;&lt;secondary-title&gt;Clin Chem Lab Med&lt;/secondary-title&gt;&lt;alt-title&gt;Clinical chemistry and laboratory medicine&lt;/alt-title&gt;&lt;/titles&gt;&lt;periodical&gt;&lt;full-title&gt;Clin Chem Lab Med&lt;/full-title&gt;&lt;abbr-1&gt;Clinical chemistry and laboratory medicine&lt;/abbr-1&gt;&lt;/periodical&gt;&lt;alt-periodical&gt;&lt;full-title&gt;Clin Chem Lab Med&lt;/full-title&gt;&lt;abbr-1&gt;Clinical chemistry and laboratory medicine&lt;/abbr-1&gt;&lt;/alt-periodical&gt;&lt;pages&gt;157–83&lt;/pages&gt;&lt;volume&gt;53&lt;/volume&gt;&lt;number&gt;2&lt;/number&gt;&lt;edition&gt;2014/09/30&lt;/edition&gt;&lt;keywords&gt;&lt;keyword&gt;*Cost-Benefit Analysis&lt;/keyword&gt;&lt;keyword&gt;Humans&lt;/keyword&gt;&lt;keyword&gt;Laboratories/*economics&lt;/keyword&gt;&lt;/keywords&gt;&lt;dates&gt;&lt;year&gt;2015&lt;/year&gt;&lt;pub-dates&gt;&lt;date&gt;Feb&lt;/date&gt;&lt;/pub-dates&gt;&lt;/dates&gt;&lt;isbn&gt;1437-4331 (Electronic)&amp;#xD;1434-6621 (Linking)&lt;/isbn&gt;&lt;accession-num&gt;25263310&lt;/accession-num&gt;&lt;work-type&gt;Review&lt;/work-type&gt;&lt;urls&gt;&lt;related-urls&gt;&lt;url&gt;https://www.ncbi.nlm.nih.gov/pubmed/25263310&lt;/url&gt;&lt;/related-urls&gt;&lt;/urls&gt;&lt;electronic-resource-num&gt;10.1515/cclm-2014-0778&lt;/electronic-resource-num&gt;&lt;language&gt;eng&lt;/language&gt;&lt;/record&gt;&lt;/Cite&gt;&lt;/EndNote&gt;</w:instrText>
      </w:r>
      <w:r>
        <w:fldChar w:fldCharType="separate"/>
      </w:r>
      <w:r>
        <w:rPr>
          <w:noProof/>
        </w:rPr>
        <w:t>[11]</w:t>
      </w:r>
      <w:r>
        <w:fldChar w:fldCharType="end"/>
      </w:r>
      <w:r w:rsidRPr="0020140C">
        <w:t xml:space="preserve"> </w:t>
      </w:r>
    </w:p>
    <w:p w14:paraId="5CBE3D9F" w14:textId="77777777" w:rsidR="00C9672D" w:rsidRPr="0020140C" w:rsidRDefault="00C9672D" w:rsidP="00C9672D">
      <w:pPr>
        <w:pStyle w:val="Normalpara"/>
      </w:pPr>
      <w:r>
        <w:t>T</w:t>
      </w:r>
      <w:r w:rsidRPr="000404FA">
        <w:t>he review by Colla et al. (2016)</w:t>
      </w:r>
      <w:r>
        <w:t xml:space="preserve"> refers to a ‘notable example’ of pay-for-performance.</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20140C">
        <w:t xml:space="preserve">The example is a program in which medical residents were paid for improved adherence to guidelines that supported the avoidance of five laboratory tests. The targeted tests were ranked in the top 13 </w:t>
      </w:r>
      <w:r w:rsidRPr="0020140C">
        <w:lastRenderedPageBreak/>
        <w:t>performed at the hospital but were deemed least likely to be abnormal or influence patient management (low-value care). The program resulted in a 47% decrease in target test utilisation.</w:t>
      </w:r>
      <w:r w:rsidRPr="00C72F66">
        <w:t xml:space="preserve"> </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094ED81A" w14:textId="77777777" w:rsidR="00C9672D" w:rsidRPr="0020140C" w:rsidRDefault="00C9672D" w:rsidP="00C9672D">
      <w:pPr>
        <w:pStyle w:val="Normalpara"/>
      </w:pPr>
      <w:r w:rsidRPr="0020140C">
        <w:t>Colla et al. (2016) also described another study in which a $150 gift card rewarded to medical residents was able to reduce laboratory test utilisation, but the change was not maintained after the study period.</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30C52108" w14:textId="77777777" w:rsidR="00C9672D" w:rsidRPr="0082690C" w:rsidRDefault="00C9672D" w:rsidP="00C9672D">
      <w:pPr>
        <w:pStyle w:val="ApD3Head"/>
        <w:rPr>
          <w:rStyle w:val="Bold"/>
          <w:b/>
        </w:rPr>
      </w:pPr>
      <w:bookmarkStart w:id="392" w:name="_Toc525740587"/>
      <w:bookmarkStart w:id="393" w:name="_Toc525816153"/>
      <w:r w:rsidRPr="0082690C">
        <w:rPr>
          <w:rStyle w:val="Bold"/>
        </w:rPr>
        <w:t>Other payment systems</w:t>
      </w:r>
      <w:bookmarkEnd w:id="392"/>
      <w:bookmarkEnd w:id="393"/>
    </w:p>
    <w:p w14:paraId="1591039B" w14:textId="77777777" w:rsidR="00C9672D" w:rsidRPr="0020140C" w:rsidRDefault="00C9672D" w:rsidP="00C9672D">
      <w:pPr>
        <w:pStyle w:val="Normalpara"/>
      </w:pPr>
      <w:r>
        <w:t>T</w:t>
      </w:r>
      <w:r w:rsidRPr="000404FA">
        <w:t xml:space="preserve">he </w:t>
      </w:r>
      <w:r>
        <w:t xml:space="preserve">review </w:t>
      </w:r>
      <w:r w:rsidRPr="000404FA">
        <w:t>by Colla et al. (2016)</w:t>
      </w:r>
      <w:r>
        <w:t xml:space="preserve"> described insurer restrictions and risk sharing arrangements.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The results from three separate studies were summarised, which showed that third-party review decreased electroencephalogram use, troponin test requests, and imaging for neurological deficit disorders before use of physical therapy.</w:t>
      </w:r>
      <w:r w:rsidRPr="0020140C">
        <w:t xml:space="preserve"> A further study was used to summarise that prepaid insurance plans can decrease the utilisation of diagnostic tests.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774400A9" w14:textId="77777777" w:rsidR="00C9672D" w:rsidRPr="0020140C" w:rsidRDefault="00C9672D" w:rsidP="00C9672D">
      <w:pPr>
        <w:pStyle w:val="Normalpara"/>
      </w:pPr>
      <w:r w:rsidRPr="0020140C">
        <w:t>Stammen et al. (2015) investigated the circumstances under which the delivery of high-value, cost-conscious care is learned, with a goal of informing development of effective educational interventions. They included one relevant study, which investigated payment system rules and other financial levers.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06DA4BCF" w14:textId="77777777" w:rsidR="00C9672D" w:rsidRPr="0020140C" w:rsidRDefault="00C9672D" w:rsidP="00C9672D">
      <w:pPr>
        <w:pStyle w:val="Normalpara"/>
      </w:pPr>
      <w:r w:rsidRPr="0020140C">
        <w:t>Education on the utility and cost of testing and fines for overuse led to significant absolute reduction in rate of C-reactive protein test ordering (17.6%</w:t>
      </w:r>
      <w:r>
        <w:t>,</w:t>
      </w:r>
      <w:r w:rsidRPr="0020140C">
        <w:t xml:space="preserve"> p &lt; 0.001) among the target population of medical students, residents and practi</w:t>
      </w:r>
      <w:r>
        <w:t>s</w:t>
      </w:r>
      <w:r w:rsidRPr="0020140C">
        <w:t>ing physicians. Although the study was rated to have a lower</w:t>
      </w:r>
      <w:r>
        <w:t xml:space="preserve"> </w:t>
      </w:r>
      <w:r w:rsidRPr="0020140C">
        <w:t>quality of rigour, it was deemed to have a higher</w:t>
      </w:r>
      <w:r>
        <w:t xml:space="preserve"> </w:t>
      </w:r>
      <w:r w:rsidRPr="0020140C">
        <w:t>quality of relevance.</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7F9AF3C6" w14:textId="77777777" w:rsidR="00C9672D" w:rsidRPr="0082690C" w:rsidRDefault="00C9672D" w:rsidP="00C9672D">
      <w:pPr>
        <w:pStyle w:val="ApD3Head"/>
      </w:pPr>
      <w:bookmarkStart w:id="394" w:name="_Toc525740588"/>
      <w:bookmarkStart w:id="395" w:name="_Toc525816154"/>
      <w:r w:rsidRPr="0082690C">
        <w:t>Summary of findings</w:t>
      </w:r>
      <w:bookmarkEnd w:id="394"/>
      <w:bookmarkEnd w:id="395"/>
    </w:p>
    <w:p w14:paraId="7687003E" w14:textId="77777777" w:rsidR="00C9672D" w:rsidRPr="0020140C" w:rsidRDefault="00C9672D" w:rsidP="00C9672D">
      <w:pPr>
        <w:pStyle w:val="Normalpara"/>
      </w:pPr>
      <w:r w:rsidRPr="0020140C">
        <w:t xml:space="preserve">A total of three </w:t>
      </w:r>
      <w:r>
        <w:t>reviews</w:t>
      </w:r>
      <w:r w:rsidRPr="0020140C">
        <w:t xml:space="preserve"> investigated pay-for-performance, insurer restrictions and risk sharing.</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r w:rsidRPr="0020140C">
        <w:t xml:space="preserve"> There were no meta-analyses and results were summarised for individual included studies.</w:t>
      </w:r>
    </w:p>
    <w:p w14:paraId="34213A8B" w14:textId="77777777" w:rsidR="00C9672D" w:rsidRPr="0020140C" w:rsidRDefault="00C9672D" w:rsidP="00C9672D">
      <w:pPr>
        <w:pStyle w:val="Normalpara"/>
      </w:pPr>
      <w:r w:rsidRPr="0020140C">
        <w:t xml:space="preserve">All </w:t>
      </w:r>
      <w:r>
        <w:t>reviews</w:t>
      </w:r>
      <w:r w:rsidRPr="0020140C">
        <w:t xml:space="preserve"> that described pay-for-performance targeted medical residents. The incentives substantially reduced laboratory test utilisation, although one study showed that the intervention was not maintained after the study period.</w: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 </w:instrText>
      </w:r>
      <w:r>
        <w:fldChar w:fldCharType="begin">
          <w:fldData xml:space="preserve">PEVuZE5vdGU+PENpdGU+PEF1dGhvcj5Db2xsYTwvQXV0aG9yPjxZZWFyPjIwMTY8L1llYXI+PFJl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p>
    <w:p w14:paraId="79CFAF40" w14:textId="77777777" w:rsidR="00C9672D" w:rsidRPr="0020140C" w:rsidRDefault="00C9672D" w:rsidP="00C9672D">
      <w:pPr>
        <w:pStyle w:val="Normalpara"/>
      </w:pPr>
      <w:r w:rsidRPr="0020140C">
        <w:t>Third-party review and prepaid insurance plans were able to reduce the utilisation of imaging, diagnostic and laboratory tests,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20140C">
        <w:t>and education on the utility and cost of testing combined with fines for overuse also led to reduced rates of laboratory test ordering.</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2F831267" w14:textId="77777777" w:rsidR="00C9672D" w:rsidRPr="0020140C" w:rsidRDefault="00C9672D" w:rsidP="00C9672D">
      <w:pPr>
        <w:pStyle w:val="Normalpara"/>
      </w:pPr>
      <w:r w:rsidRPr="0020140C">
        <w:t>There was some limited evidence to suggest that payment systems can improve the appropriateness and clinical utility of diagnostic imaging and pathology tests requested by health professionals.</w:t>
      </w:r>
    </w:p>
    <w:p w14:paraId="5265BF7A" w14:textId="77777777" w:rsidR="00C9672D" w:rsidRPr="0020140C" w:rsidRDefault="00C9672D" w:rsidP="00C9672D">
      <w:pPr>
        <w:pStyle w:val="Normalpara"/>
      </w:pPr>
      <w:r w:rsidRPr="0020140C">
        <w:t>Overall, pay-for-performance substantially reduced laboratory test utilisation,</w:t>
      </w:r>
      <w:r>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 </w:instrText>
      </w:r>
      <w:r>
        <w:fldChar w:fldCharType="begin">
          <w:fldData xml:space="preserve">PEVuZE5vdGU+PENpdGU+PEF1dGhvcj5Lb2Jld2thPC9BdXRob3I+PFllYXI+MjAxNTwvWWVhcj48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</w:fldData>
        </w:fldChar>
      </w:r>
      <w:r>
        <w:instrText xml:space="preserve"> ADDIN EN.CITE.DATA </w:instrText>
      </w:r>
      <w:r>
        <w:fldChar w:fldCharType="end"/>
      </w:r>
      <w:r>
        <w:fldChar w:fldCharType="separate"/>
      </w:r>
      <w:r>
        <w:rPr>
          <w:noProof/>
        </w:rPr>
        <w:t>[1,11]</w:t>
      </w:r>
      <w:r>
        <w:fldChar w:fldCharType="end"/>
      </w:r>
      <w:r w:rsidRPr="0020140C">
        <w:t xml:space="preserve"> third-party review and prepaid insurance plans reduced the utilisation of imaging, diagnostic or laboratory tests,</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r>
        <w:t xml:space="preserve"> </w:t>
      </w:r>
      <w:r w:rsidRPr="0020140C">
        <w:t>and education on the utility and cost of testing combined with fines for overuse reduced rates of laboratory test ordering.</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246F7ECB" w14:textId="77777777" w:rsidR="00C9672D" w:rsidRPr="0020140C" w:rsidRDefault="00C9672D" w:rsidP="00C9672D">
      <w:pPr>
        <w:pStyle w:val="Normalpara"/>
      </w:pPr>
      <w:r w:rsidRPr="0020140C">
        <w:t xml:space="preserve">However, these results were only derived from three included </w:t>
      </w:r>
      <w:r>
        <w:t>reviews</w:t>
      </w:r>
      <w:r w:rsidRPr="0020140C">
        <w:t>, and each of these only provided a narrative report of individual studies</w:t>
      </w:r>
      <w:r>
        <w:t>.</w: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PEVuZE5vdGU+PENpdGU+PEF1dGhvcj5Db2xsYTwvQXV0aG9yPjxZZWFyPjIwMTY8L1llYXI+PFJl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[1,11,17]</w:t>
      </w:r>
      <w:r>
        <w:fldChar w:fldCharType="end"/>
      </w:r>
    </w:p>
    <w:p w14:paraId="645FF28F" w14:textId="77777777" w:rsidR="00C9672D" w:rsidRPr="0020140C" w:rsidRDefault="00C9672D" w:rsidP="00C9672D">
      <w:pPr>
        <w:pStyle w:val="Normalpara"/>
      </w:pPr>
      <w:r>
        <w:t xml:space="preserve">Pay-for-performance interventions must be carefully stratified to minimise risk of reductions to appropriate </w:t>
      </w:r>
      <w:r w:rsidRPr="005E7492">
        <w:t>care</w:t>
      </w:r>
      <w:r>
        <w:t>;</w:t>
      </w:r>
      <w:r w:rsidRPr="005E7492">
        <w:t xml:space="preserve"> risk sharing has been incompletely tested for low-value care</w:t>
      </w:r>
      <w:r>
        <w:t>;</w:t>
      </w:r>
      <w:r w:rsidRPr="005E7492">
        <w:t xml:space="preserve"> and </w:t>
      </w:r>
      <w:r w:rsidRPr="0020140C">
        <w:t>f</w:t>
      </w:r>
      <w:r w:rsidRPr="005E7492">
        <w:t>urther research is needed on the effectiveness of pay-for-performance, insurer restrictions, and risk-sharing</w:t>
      </w:r>
      <w:r>
        <w:t>.</w:t>
      </w:r>
      <w:r>
        <w:fldChar w:fldCharType="begin"/>
      </w:r>
      <w:r>
        <w:instrText xml:space="preserve"> ADDIN EN.CITE &lt;EndNote&gt;&lt;Cite&gt;&lt;Author&gt;Colla&lt;/Author&gt;&lt;Year&gt;2016&lt;/Year&gt;&lt;RecNum&gt;100&lt;/RecNum&gt;&lt;DisplayText&gt;[1]&lt;/DisplayText&gt;&lt;record&gt;&lt;rec-number&gt;100&lt;/rec-number&gt;&lt;foreign-keys&gt;&lt;key app="EN" db-id="x9fffa25dxde9newers5xv249pterpfdd5z9" timestamp="1489008411"&gt;100&lt;/key&gt;&lt;/foreign-keys&gt;&lt;ref-type name="Journal Article"&gt;17&lt;/ref-type&gt;&lt;contributors&gt;&lt;authors&gt;&lt;author&gt;Colla, C. H.&lt;/author&gt;&lt;author&gt;Mainor, A. J.&lt;/author&gt;&lt;author&gt;Hargreaves, C.&lt;/author&gt;&lt;author&gt;Sequist, T.&lt;/author&gt;&lt;author&gt;Morden, N.&lt;/author&gt;&lt;/authors&gt;&lt;/contributors&gt;&lt;auth-address&gt;Geisel School of Medicine at Dartmouth, Lebanon, NH, USA carrie.h.colla@dartmouth.edu.&amp;#xD;Geisel School of Medicine at Dartmouth, Lebanon, NH, USA.&amp;#xD;Harvard Medical School, Boston, MA, USA Brigham and Women&amp;apos;s Hospital, Boston, MA, USA Partners HealthCare, Boston, MA, USA.&amp;#xD;Geisel School of Medicine at Dartmouth, Lebanon, NH, USA Dartmouth-Hitchcock Medical Center, Lebanon, NH, USA.&lt;/auth-address&gt;&lt;titles&gt;&lt;title&gt;Interventions aimed at reducing use of low-value health services: a systematic review&lt;/title&gt;&lt;secondary-title&gt;Med Care Res Rev&lt;/secondary-title&gt;&lt;alt-title&gt;Medical care research and review : MCRR&lt;/alt-title&gt;&lt;/titles&gt;&lt;periodical&gt;&lt;full-title&gt;Med Care Res Rev&lt;/full-title&gt;&lt;abbr-1&gt;Medical care research and review : MCRR&lt;/abbr-1&gt;&lt;/periodical&gt;&lt;alt-periodical&gt;&lt;full-title&gt;Med Care Res Rev&lt;/full-title&gt;&lt;abbr-1&gt;Medical care research and review : MCRR&lt;/abbr-1&gt;&lt;/alt-periodical&gt;&lt;edition&gt;2016/07/13&lt;/edition&gt;&lt;dates&gt;&lt;year&gt;2016&lt;/year&gt;&lt;pub-dates&gt;&lt;date&gt;Jul 08&lt;/date&gt;&lt;/pub-dates&gt;&lt;/dates&gt;&lt;isbn&gt;1552-6801 (Electronic)&amp;#xD;1077-5587 (Linking)&lt;/isbn&gt;&lt;accession-num&gt;27402662&lt;/accession-num&gt;&lt;urls&gt;&lt;/urls&gt;&lt;electronic-resource-num&gt;10.1177/1077558716656970&lt;/electronic-resource-num&gt;&lt;remote-database-provider&gt;NLM&lt;/remote-database-provider&gt;&lt;language&gt;eng&lt;/language&gt;&lt;/record&gt;&lt;/Cite&gt;&lt;/EndNote&gt;</w:instrText>
      </w:r>
      <w:r>
        <w:fldChar w:fldCharType="separate"/>
      </w:r>
      <w:r>
        <w:rPr>
          <w:noProof/>
        </w:rPr>
        <w:t>[1]</w:t>
      </w:r>
      <w:r>
        <w:fldChar w:fldCharType="end"/>
      </w:r>
    </w:p>
    <w:p w14:paraId="4FE9365C" w14:textId="77777777" w:rsidR="00C9672D" w:rsidRDefault="00C9672D" w:rsidP="00C9672D">
      <w:pPr>
        <w:pStyle w:val="ApD2Head"/>
      </w:pPr>
      <w:bookmarkStart w:id="396" w:name="_Toc525740589"/>
      <w:bookmarkStart w:id="397" w:name="_Toc525816155"/>
      <w:r>
        <w:t>Quality improvement</w:t>
      </w:r>
      <w:bookmarkEnd w:id="396"/>
      <w:bookmarkEnd w:id="397"/>
    </w:p>
    <w:p w14:paraId="40D73C2B" w14:textId="77777777" w:rsidR="00C9672D" w:rsidRPr="0020140C" w:rsidRDefault="00C9672D" w:rsidP="00C9672D">
      <w:pPr>
        <w:pStyle w:val="Normalpara"/>
      </w:pPr>
      <w:r w:rsidRPr="0065182D">
        <w:t>A total of f</w:t>
      </w:r>
      <w:r>
        <w:t>ive</w:t>
      </w:r>
      <w:r w:rsidRPr="0065182D">
        <w:t xml:space="preserve"> </w:t>
      </w:r>
      <w:r>
        <w:t>reviews</w:t>
      </w:r>
      <w:r w:rsidRPr="0065182D">
        <w:t xml:space="preserve"> that met the eligibility criteria investigated methods for quality improvement. All </w:t>
      </w:r>
      <w:r>
        <w:t xml:space="preserve">five </w:t>
      </w:r>
      <w:r w:rsidRPr="0065182D">
        <w:t xml:space="preserve">investigated </w:t>
      </w:r>
      <w:r w:rsidRPr="0082690C">
        <w:t>modifications or restrictions to referral or order forms.</w:t>
      </w:r>
      <w:r w:rsidRPr="0082690C">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rsidRPr="0082690C">
        <w:fldChar w:fldCharType="separate"/>
      </w:r>
      <w:r>
        <w:rPr>
          <w:noProof/>
        </w:rPr>
        <w:t>[3,4,10,17,19]</w:t>
      </w:r>
      <w:r w:rsidRPr="0082690C">
        <w:fldChar w:fldCharType="end"/>
      </w:r>
      <w:r w:rsidRPr="0082690C">
        <w:t xml:space="preserve"> The key findings from these reviews are summarised in Table 6.</w:t>
      </w:r>
    </w:p>
    <w:p w14:paraId="1C2C01CF" w14:textId="77777777" w:rsidR="00C9672D" w:rsidRPr="0082690C" w:rsidRDefault="00C9672D" w:rsidP="00C9672D">
      <w:pPr>
        <w:pStyle w:val="ApD3Head"/>
        <w:rPr>
          <w:rStyle w:val="Bold"/>
          <w:b/>
        </w:rPr>
      </w:pPr>
      <w:bookmarkStart w:id="398" w:name="_Toc525740590"/>
      <w:bookmarkStart w:id="399" w:name="_Toc525816156"/>
      <w:r w:rsidRPr="0082690C">
        <w:rPr>
          <w:rStyle w:val="Bold"/>
        </w:rPr>
        <w:lastRenderedPageBreak/>
        <w:t>Modifications or restrictions to referral or order forms</w:t>
      </w:r>
      <w:bookmarkEnd w:id="398"/>
      <w:bookmarkEnd w:id="399"/>
    </w:p>
    <w:p w14:paraId="5F4E20EA" w14:textId="709AED40" w:rsidR="00C9672D" w:rsidRDefault="00C9672D" w:rsidP="00C9672D">
      <w:pPr>
        <w:pStyle w:val="Normalpara"/>
      </w:pPr>
      <w:r w:rsidRPr="0020140C">
        <w:t xml:space="preserve">Jenkins et al. (2015) included one study that investigated the effect of restricting indications for lumbosacral spine radiography in patients with acute back symptoms. </w:t>
      </w:r>
      <w:r w:rsidR="00151388">
        <w:t>CDS</w:t>
      </w:r>
      <w:r w:rsidRPr="0020140C">
        <w:t xml:space="preserve"> involving a modified referral form reduced imaging by 36.8%.</w: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 </w:instrText>
      </w:r>
      <w:r>
        <w:fldChar w:fldCharType="begin">
          <w:fldData xml:space="preserve">PEVuZE5vdGU+PENpdGU+PEF1dGhvcj5KZW5raW5zPC9BdXRob3I+PFllYXI+MjAxNTwvWWVhcj48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b24gbWVkaWNhbGUgY2FuYWRpZW5uZTwvYWJici0xPjwvYWx0LXBlcmlvZGljYWw+PHBhZ2VzPjQw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</w:fldData>
        </w:fldChar>
      </w:r>
      <w:r>
        <w:instrText xml:space="preserve"> ADDIN EN.CITE.DATA </w:instrText>
      </w:r>
      <w:r>
        <w:fldChar w:fldCharType="end"/>
      </w:r>
      <w:r>
        <w:fldChar w:fldCharType="separate"/>
      </w:r>
      <w:r>
        <w:rPr>
          <w:noProof/>
        </w:rPr>
        <w:t>[10]</w:t>
      </w:r>
      <w:r>
        <w:fldChar w:fldCharType="end"/>
      </w:r>
      <w:r w:rsidRPr="00730F11">
        <w:t xml:space="preserve"> </w:t>
      </w:r>
    </w:p>
    <w:p w14:paraId="53518C1F" w14:textId="77777777" w:rsidR="00C9672D" w:rsidRDefault="00C9672D" w:rsidP="00C9672D">
      <w:pPr>
        <w:pStyle w:val="Normalpara"/>
      </w:pPr>
      <w:r>
        <w:t>In the review by Stammen et al. (2015), r</w:t>
      </w:r>
      <w:r w:rsidRPr="0065182D">
        <w:t xml:space="preserve">esults from a single study showed that changing an order form to include reflective questions decreased utilisation of imaging </w:t>
      </w:r>
      <w:r>
        <w:t xml:space="preserve">by 22.5% </w:t>
      </w:r>
      <w:r w:rsidRPr="0065182D">
        <w:t>and resulted in cost savings, without increases in adverse outcomes.</w: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PEVuZE5vdGU+PENpdGU+PEF1dGhvcj5TdGFtbWVuPC9BdXRob3I+PFllYXI+MjAxNTwvWWVhcj48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[17]</w:t>
      </w:r>
      <w:r>
        <w:fldChar w:fldCharType="end"/>
      </w:r>
    </w:p>
    <w:p w14:paraId="7A79564D" w14:textId="77777777" w:rsidR="00C9672D" w:rsidRPr="0020140C" w:rsidRDefault="00C9672D" w:rsidP="00C9672D">
      <w:pPr>
        <w:pStyle w:val="Normalpara"/>
      </w:pPr>
      <w:r w:rsidRPr="0020140C">
        <w:t>Thomas et al. (2015) included studies that investigated the effectiveness of interventions by laboratories to increase rational and reduce unnecessary test ordering by family physicians. Laboratory forms were changed in six of the included studies (with the two largest studies involving 5.2 million and 3.2 million tests). No meta-analysis was conducted, but the unweighted average percentage reduction in number of tests ordered was calculated.</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1BF0CE66" w14:textId="77777777" w:rsidR="00C9672D" w:rsidRPr="0020140C" w:rsidRDefault="00C9672D" w:rsidP="00C9672D">
      <w:pPr>
        <w:pStyle w:val="Normalpara"/>
      </w:pPr>
      <w:r w:rsidRPr="0020140C">
        <w:t xml:space="preserve">Although no change was seen in one study, in the other studies there was a reduction in request rates for laboratory tests </w:t>
      </w:r>
      <w:r>
        <w:t>after</w:t>
      </w:r>
      <w:r w:rsidRPr="0020140C">
        <w:t xml:space="preserve"> modification of order forms to:</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002ACD71" w14:textId="77777777" w:rsidR="00C9672D" w:rsidRPr="0020140C" w:rsidRDefault="00C9672D" w:rsidP="00C9672D">
      <w:pPr>
        <w:pStyle w:val="NormalBulleted"/>
      </w:pPr>
      <w:r>
        <w:t xml:space="preserve">remove </w:t>
      </w:r>
      <w:r w:rsidRPr="0020140C">
        <w:t xml:space="preserve">separate individual tests from groups of tests (2% to 58% reduction, depending on the test) </w:t>
      </w:r>
    </w:p>
    <w:p w14:paraId="051805E0" w14:textId="77777777" w:rsidR="00C9672D" w:rsidRPr="0020140C" w:rsidRDefault="00C9672D" w:rsidP="00C9672D">
      <w:pPr>
        <w:pStyle w:val="NormalBulleted"/>
      </w:pPr>
      <w:r w:rsidRPr="009B4FFC">
        <w:t>reduce the total number of tests included on an order form</w:t>
      </w:r>
      <w:r w:rsidRPr="0020140C">
        <w:t xml:space="preserve"> (17% to 79% reduction, depending on the test and study)</w:t>
      </w:r>
    </w:p>
    <w:p w14:paraId="05A62118" w14:textId="77777777" w:rsidR="00C9672D" w:rsidRPr="0020140C" w:rsidRDefault="00C9672D" w:rsidP="00C9672D">
      <w:pPr>
        <w:pStyle w:val="NormalBulleted"/>
      </w:pPr>
      <w:r>
        <w:t>deny family physicians the option to order certain tests (100% reduction)</w:t>
      </w:r>
    </w:p>
    <w:p w14:paraId="515058D7" w14:textId="77777777" w:rsidR="00C9672D" w:rsidRPr="0020140C" w:rsidRDefault="00C9672D" w:rsidP="00C9672D">
      <w:pPr>
        <w:pStyle w:val="NormalBulleted"/>
      </w:pPr>
      <w:r>
        <w:t>justify costs over a specified value (</w:t>
      </w:r>
      <w:r w:rsidRPr="0020140C">
        <w:t>61% reduction)</w:t>
      </w:r>
    </w:p>
    <w:p w14:paraId="126D0FD6" w14:textId="77777777" w:rsidR="00C9672D" w:rsidRPr="0020140C" w:rsidRDefault="00C9672D" w:rsidP="00C9672D">
      <w:pPr>
        <w:pStyle w:val="NormalBulleted"/>
      </w:pPr>
      <w:r w:rsidRPr="009B4FFC">
        <w:t>re</w:t>
      </w:r>
      <w:r w:rsidRPr="0020140C">
        <w:t xml:space="preserve">-organise tests into screening, tests to assess the extent of a problem, and tests to fully evaluate a problem (2% reduction, </w:t>
      </w:r>
      <w:r>
        <w:t>3</w:t>
      </w:r>
      <w:r w:rsidRPr="0020140C">
        <w:t xml:space="preserve"> months after the intervention). </w:t>
      </w:r>
    </w:p>
    <w:p w14:paraId="7D052E66" w14:textId="77777777" w:rsidR="00C9672D" w:rsidRPr="009B4FFC" w:rsidRDefault="00C9672D" w:rsidP="00C9672D">
      <w:pPr>
        <w:pStyle w:val="Normalpara"/>
      </w:pPr>
      <w:r w:rsidRPr="009B4FFC">
        <w:t xml:space="preserve">The </w:t>
      </w:r>
      <w:r>
        <w:t>review</w:t>
      </w:r>
      <w:r w:rsidRPr="009B4FFC">
        <w:t xml:space="preserve"> by Chaudhuri et al. included two studies that investigated the use of point-of-care decision support tools for cardiac imaging. Order forms adapted to display appropriateness of tests at the point of care were investigated in one of the studies, but results were presented for both studies together as ‘decision support tools’ (</w:t>
      </w:r>
      <w:r>
        <w:t>these</w:t>
      </w:r>
      <w:r w:rsidRPr="009B4FFC">
        <w:t xml:space="preserve"> details are provided under the heading ‘CP</w:t>
      </w:r>
      <w:r>
        <w:t>O</w:t>
      </w:r>
      <w:r w:rsidRPr="009B4FFC">
        <w:t>E and CDSS’).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4AD1FEF5" w14:textId="77777777" w:rsidR="00C9672D" w:rsidRPr="0020140C" w:rsidRDefault="00C9672D" w:rsidP="00C9672D">
      <w:pPr>
        <w:pStyle w:val="Normalpara"/>
      </w:pPr>
      <w:r w:rsidRPr="0020140C">
        <w:t xml:space="preserve">Cadogan et al.(2015) also showed that changes to test order forms can reduce the number of test ordered. One of these studies investigated the effect of implementing cost displays on electronic health records and is described in ‘Price display’. The remaining three studies were included in above </w:t>
      </w:r>
      <w:r>
        <w:t>review</w:t>
      </w:r>
      <w:r w:rsidRPr="0020140C">
        <w:t xml:space="preserve"> by Thomas et al. (2015).</w: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[3,19]</w:t>
      </w:r>
      <w:r>
        <w:fldChar w:fldCharType="end"/>
      </w:r>
    </w:p>
    <w:p w14:paraId="752ED93D" w14:textId="77777777" w:rsidR="00C9672D" w:rsidRDefault="00C9672D" w:rsidP="00C9672D">
      <w:pPr>
        <w:pStyle w:val="Normalpara"/>
      </w:pPr>
      <w:r>
        <w:t>Associated information is also included under the heading ‘system-based information’ in ‘Clinical decision support’.</w:t>
      </w:r>
    </w:p>
    <w:p w14:paraId="2150EA01" w14:textId="77777777" w:rsidR="00C9672D" w:rsidRPr="000404FA" w:rsidRDefault="00C9672D" w:rsidP="00C9672D">
      <w:pPr>
        <w:pStyle w:val="ApD3Head"/>
      </w:pPr>
      <w:bookmarkStart w:id="400" w:name="_Toc525740591"/>
      <w:bookmarkStart w:id="401" w:name="_Toc525816157"/>
      <w:r w:rsidRPr="000404FA">
        <w:t>Summary of findings</w:t>
      </w:r>
      <w:bookmarkEnd w:id="400"/>
      <w:bookmarkEnd w:id="401"/>
    </w:p>
    <w:p w14:paraId="382DF11F" w14:textId="77777777" w:rsidR="00C9672D" w:rsidRDefault="00C9672D" w:rsidP="00C9672D">
      <w:pPr>
        <w:pStyle w:val="Normalpara"/>
      </w:pPr>
      <w:r>
        <w:t xml:space="preserve">All of the five included reviews </w:t>
      </w:r>
      <w:r w:rsidRPr="0065182D">
        <w:t>investigated modifications or restrictions to referral or order forms.</w: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 </w:instrText>
      </w:r>
      <w:r>
        <w:fldChar w:fldCharType="begin">
          <w:fldData xml:space="preserve">PEVuZE5vdGU+PENpdGU+PEF1dGhvcj5KZW5raW5zPC9BdXRob3I+PFllYXI+MjAxNTwvWWVhcj48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</w:fldData>
        </w:fldChar>
      </w:r>
      <w:r>
        <w:instrText xml:space="preserve"> ADDIN EN.CITE.DATA </w:instrText>
      </w:r>
      <w:r>
        <w:fldChar w:fldCharType="end"/>
      </w:r>
      <w:r>
        <w:fldChar w:fldCharType="separate"/>
      </w:r>
      <w:r>
        <w:rPr>
          <w:noProof/>
        </w:rPr>
        <w:t>[3,4,10,17,19]</w:t>
      </w:r>
      <w:r>
        <w:fldChar w:fldCharType="end"/>
      </w:r>
    </w:p>
    <w:p w14:paraId="5587F40C" w14:textId="77777777" w:rsidR="00C9672D" w:rsidRPr="0020140C" w:rsidRDefault="00C9672D" w:rsidP="00C9672D">
      <w:pPr>
        <w:pStyle w:val="Normalpara"/>
      </w:pPr>
      <w:r w:rsidRPr="0020140C">
        <w:t xml:space="preserve">The </w:t>
      </w:r>
      <w:r>
        <w:t>review</w:t>
      </w:r>
      <w:r w:rsidRPr="0020140C">
        <w:t xml:space="preserve"> by Chaudhuri et al. (2016) included one relevant study, but results were presented in ‘CPOE and CDSS’ in ‘Clinical decision support’.</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r w:rsidRPr="0020140C">
        <w:t xml:space="preserve"> In addition, one of the studies included by Cadogan et al.(2015) is discussed in ‘Price display’ in ‘Clinical decision support’ and the remaining three studies included by Cadogan et al.(2015) were included in the </w:t>
      </w:r>
      <w:r>
        <w:t>review</w:t>
      </w:r>
      <w:r w:rsidRPr="0020140C">
        <w:t xml:space="preserve"> by Thomas et al. (2015).</w: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PEVuZE5vdGU+PENpdGU+PEF1dGhvcj5UaG9tYXM8L0F1dGhvcj48WWVhcj4yMDE1PC9ZZWFyPjxS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[3,19]</w:t>
      </w:r>
      <w:r>
        <w:fldChar w:fldCharType="end"/>
      </w:r>
      <w:r w:rsidRPr="0020140C">
        <w:t xml:space="preserve"> </w:t>
      </w:r>
    </w:p>
    <w:p w14:paraId="5BAA5CA1" w14:textId="77777777" w:rsidR="00C9672D" w:rsidRDefault="00C9672D" w:rsidP="00C9672D">
      <w:pPr>
        <w:pStyle w:val="Normalpara"/>
      </w:pPr>
      <w:r>
        <w:t>Chadhuri et al. (2016) investigated q</w:t>
      </w:r>
      <w:r w:rsidRPr="007C0A3A">
        <w:t>uality improvement initiatives aimed at reducing inappropriate cardiac imaging, in particular, the proportion of inappropriate tests based on appropriate use criteria</w:t>
      </w:r>
      <w:r>
        <w:t xml:space="preserve"> (findings are covered in ‘Audit and feedback’)</w:t>
      </w:r>
      <w:r w:rsidRPr="007C0A3A">
        <w:t>.</w:t>
      </w:r>
      <w:r>
        <w:t xml:space="preserve"> They concluded that q</w:t>
      </w:r>
      <w:r w:rsidRPr="007C0A3A">
        <w:t xml:space="preserve">uality improvement interventions are associated with a reduction in inappropriate cardiac testing, although these benefits seem to be closely tied to the use of physician audit and feedback mechanisms. </w:t>
      </w:r>
      <w:r>
        <w:t xml:space="preserve">They stated </w:t>
      </w:r>
      <w:r>
        <w:lastRenderedPageBreak/>
        <w:t>that f</w:t>
      </w:r>
      <w:r w:rsidRPr="007C0A3A">
        <w:t>urther research is needed to evaluate a greater diversity of intervention types, with improved study designs.</w:t>
      </w:r>
      <w:r>
        <w:fldChar w:fldCharType="begin"/>
      </w:r>
      <w:r>
        <w:instrText xml:space="preserve"> ADDIN EN.CITE &lt;EndNote&gt;&lt;Cite&gt;&lt;Author&gt;Chaudhuri&lt;/Author&gt;&lt;Year&gt;2016&lt;/Year&gt;&lt;RecNum&gt;8&lt;/RecNum&gt;&lt;DisplayText&gt;[4]&lt;/DisplayText&gt;&lt;record&gt;&lt;rec-number&gt;8&lt;/rec-number&gt;&lt;foreign-keys&gt;&lt;key app="EN" db-id="x9fffa25dxde9newers5xv249pterpfdd5z9" timestamp="1488421580"&gt;8&lt;/key&gt;&lt;/foreign-keys&gt;&lt;ref-type name="Journal Article"&gt;17&lt;/ref-type&gt;&lt;contributors&gt;&lt;authors&gt;&lt;author&gt;Chaudhuri, Dipayan&lt;/author&gt;&lt;author&gt;Montgomery, Alison&lt;/author&gt;&lt;author&gt;Gulenchyn, Karen&lt;/author&gt;&lt;author&gt;Mitchell, Morgan&lt;/author&gt;&lt;author&gt;Joseph, Philip&lt;/author&gt;&lt;/authors&gt;&lt;/contributors&gt;&lt;titles&gt;&lt;title&gt;Effectiveness of quality improvement interventions at reducing inappropriate cardiac imaging: a systematic review and meta-analysis&lt;/title&gt;&lt;secondary-title&gt;Circ Cardiovasc Qual Outcomes&lt;/secondary-title&gt;&lt;/titles&gt;&lt;periodical&gt;&lt;full-title&gt;Circ Cardiovasc Qual Outcomes&lt;/full-title&gt;&lt;/periodical&gt;&lt;pages&gt;7–13&lt;/pages&gt;&lt;volume&gt;9&lt;/volume&gt;&lt;number&gt;1&lt;/number&gt;&lt;dates&gt;&lt;year&gt;2016&lt;/year&gt;&lt;/dates&gt;&lt;urls&gt;&lt;related-urls&gt;&lt;url&gt;http://circoutcomes.ahajournals.org/content/circcvoq/9/1/7.full.pdf&lt;/url&gt;&lt;/related-urls&gt;&lt;/urls&gt;&lt;electronic-resource-num&gt;10.1161/circoutcomes.115.001836&lt;/electronic-resource-num&gt;&lt;/record&gt;&lt;/Cite&gt;&lt;/EndNote&gt;</w:instrText>
      </w:r>
      <w:r>
        <w:fldChar w:fldCharType="separate"/>
      </w:r>
      <w:r>
        <w:rPr>
          <w:noProof/>
        </w:rPr>
        <w:t>[4]</w:t>
      </w:r>
      <w:r>
        <w:fldChar w:fldCharType="end"/>
      </w:r>
    </w:p>
    <w:p w14:paraId="31B07863" w14:textId="77777777" w:rsidR="00C9672D" w:rsidRDefault="00C9672D" w:rsidP="00C9672D">
      <w:pPr>
        <w:pStyle w:val="Normalpara"/>
      </w:pPr>
      <w:r w:rsidRPr="009B4FFC">
        <w:t xml:space="preserve">Cadogan et al.(2015) </w:t>
      </w:r>
      <w:r>
        <w:t>investigated i</w:t>
      </w:r>
      <w:r w:rsidRPr="007C0A3A">
        <w:t>nterventions focused on improving the appropriateness of laboratory requesting patterns from primary care</w:t>
      </w:r>
      <w:r>
        <w:t>. They concluded that i</w:t>
      </w:r>
      <w:r w:rsidRPr="007C0A3A">
        <w:t xml:space="preserve">nterventions such as educational strategies, feedback and changing test order forms may improve the efficient use of laboratory tests in primary care; however, the level of evidence </w:t>
      </w:r>
      <w:r>
        <w:t>wa</w:t>
      </w:r>
      <w:r w:rsidRPr="007C0A3A">
        <w:t xml:space="preserve">s quite low and the quality </w:t>
      </w:r>
      <w:r>
        <w:t>wa</w:t>
      </w:r>
      <w:r w:rsidRPr="007C0A3A">
        <w:t>s poor.</w: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PEVuZE5vdGU+PENpdGU+PEF1dGhvcj5DYWRvZ2FuPC9BdXRob3I+PFllYXI+MjAxNTwvWWVhcj48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[3]</w:t>
      </w:r>
      <w:r>
        <w:fldChar w:fldCharType="end"/>
      </w:r>
    </w:p>
    <w:p w14:paraId="5A073705" w14:textId="77777777" w:rsidR="00C9672D" w:rsidRDefault="00C9672D" w:rsidP="00C9672D">
      <w:pPr>
        <w:pStyle w:val="Normalpara"/>
      </w:pPr>
      <w:r>
        <w:t>The main body of evidence was derived from three remaining reviews, which did not conduct a meta-analyses and instead reported the results of individual studies.</w: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[10,17,19]</w:t>
      </w:r>
      <w:r>
        <w:fldChar w:fldCharType="end"/>
      </w:r>
    </w:p>
    <w:p w14:paraId="61D6987A" w14:textId="77777777" w:rsidR="00C9672D" w:rsidRDefault="00C9672D" w:rsidP="00C9672D">
      <w:pPr>
        <w:pStyle w:val="Normalpara"/>
      </w:pPr>
      <w:r>
        <w:t>Imaging was reduced by 22.5% to 36.8% after modification to a referral or order form,</w:t>
      </w:r>
      <w:r>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 </w:instrText>
      </w:r>
      <w:r>
        <w:fldChar w:fldCharType="begin">
          <w:fldData xml:space="preserve">PEVuZE5vdGU+PENpdGU+PEF1dGhvcj5KZW5raW5zPC9BdXRob3I+PFllYXI+MjAxNTwvWWVhcj48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</w:fldData>
        </w:fldChar>
      </w:r>
      <w:r>
        <w:instrText xml:space="preserve"> ADDIN EN.CITE.DATA </w:instrText>
      </w:r>
      <w:r>
        <w:fldChar w:fldCharType="end"/>
      </w:r>
      <w:r>
        <w:fldChar w:fldCharType="separate"/>
      </w:r>
      <w:r>
        <w:rPr>
          <w:noProof/>
        </w:rPr>
        <w:t>[10,17]</w:t>
      </w:r>
      <w:r>
        <w:fldChar w:fldCharType="end"/>
      </w:r>
      <w:r>
        <w:t xml:space="preserve"> whereas </w:t>
      </w:r>
      <w:r w:rsidRPr="009B4FFC">
        <w:t xml:space="preserve">request rates for laboratory tests </w:t>
      </w:r>
      <w:r>
        <w:t>decreased by 2% to 100% after</w:t>
      </w:r>
      <w:r w:rsidRPr="009B4FFC">
        <w:t xml:space="preserve"> modification of order forms</w:t>
      </w:r>
      <w:r>
        <w:t>.</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00A45C1D" w14:textId="77777777" w:rsidR="00C9672D" w:rsidRDefault="00C9672D" w:rsidP="00C9672D">
      <w:pPr>
        <w:pStyle w:val="Normalpara"/>
      </w:pPr>
      <w:r>
        <w:t xml:space="preserve">All included reviews that </w:t>
      </w:r>
      <w:r w:rsidRPr="0065182D">
        <w:t>investigated methods for quality improvement</w:t>
      </w:r>
      <w:r>
        <w:t xml:space="preserve"> investigated </w:t>
      </w:r>
      <w:r w:rsidRPr="0065182D">
        <w:t>modifications or restrictions to referral or order forms</w:t>
      </w:r>
      <w:r>
        <w:t xml:space="preserve">. </w:t>
      </w:r>
      <w:r w:rsidRPr="0020140C">
        <w:t>There was some evidence to suggest that these intervention improve the appropriateness and clinical utility of diagnostic imaging and pathology tests requested by health professionals.</w:t>
      </w:r>
    </w:p>
    <w:p w14:paraId="3C6E6534" w14:textId="77777777" w:rsidR="00C9672D" w:rsidRDefault="00C9672D" w:rsidP="00C9672D">
      <w:pPr>
        <w:pStyle w:val="Normalpara"/>
      </w:pPr>
      <w:r>
        <w:t xml:space="preserve">Overall, the included reviews showed that modifying a referral form to </w:t>
      </w:r>
      <w:r w:rsidRPr="00596EC7">
        <w:t>allow only three guideline-appropriate indications for imaging</w:t>
      </w:r>
      <w:r>
        <w:t xml:space="preserve"> reduced rates of imaging, changing an order form to include reflective questions decreased utilisation of imaging and resulted in cost savings without increases in adverse outcomes, and that request rates for laboratory tests can decrease after modification of order forms to separate individual tests from groups of tests, reduce the total number of tests included, or re-organise tests based on depth of evaluation required.</w: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[10,17,19]</w:t>
      </w:r>
      <w:r>
        <w:fldChar w:fldCharType="end"/>
      </w:r>
    </w:p>
    <w:p w14:paraId="722D5D39" w14:textId="77777777" w:rsidR="00C9672D" w:rsidRDefault="00C9672D" w:rsidP="00C9672D">
      <w:pPr>
        <w:pStyle w:val="Normalpara"/>
      </w:pPr>
      <w:r>
        <w:t>However, these data were only derived from three reviews. These reviews did not conduct a meta-analyses and instead reported the results of individual studies.</w: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PEVuZE5vdGU+PENpdGU+PEF1dGhvcj5KZW5raW5zPC9BdXRob3I+PFllYXI+MjAxNTwvWWVhcj48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[10,17,19]</w:t>
      </w:r>
      <w:r>
        <w:fldChar w:fldCharType="end"/>
      </w:r>
    </w:p>
    <w:p w14:paraId="515E3723" w14:textId="77777777" w:rsidR="00C9672D" w:rsidRDefault="00C9672D" w:rsidP="00C9672D">
      <w:pPr>
        <w:pStyle w:val="Normalpara"/>
      </w:pPr>
      <w:r>
        <w:t>Most data were derived from one study, which highlighted the limitations of the findings: t</w:t>
      </w:r>
      <w:r w:rsidRPr="00A001F9">
        <w:t>he rationale for choosing specific tests was often not explained, most studies targeted a few tests for several months</w:t>
      </w:r>
      <w:r>
        <w:t>,</w:t>
      </w:r>
      <w:r w:rsidRPr="00A001F9">
        <w:t xml:space="preserve"> and the tests and test volumes differed widely across studies.</w: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 </w:instrText>
      </w:r>
      <w:r>
        <w:fldChar w:fldCharType="begin">
          <w:fldData xml:space="preserve">PEVuZE5vdGU+PENpdGU+PEF1dGhvcj5UaG9tYXM8L0F1dGhvcj48WWVhcj4yMDE1PC9ZZWFyPjxS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</w:fldData>
        </w:fldChar>
      </w:r>
      <w:r>
        <w:instrText xml:space="preserve"> ADDIN EN.CITE.DATA </w:instrText>
      </w:r>
      <w:r>
        <w:fldChar w:fldCharType="end"/>
      </w:r>
      <w:r>
        <w:fldChar w:fldCharType="separate"/>
      </w:r>
      <w:r>
        <w:rPr>
          <w:noProof/>
        </w:rPr>
        <w:t>[19]</w:t>
      </w:r>
      <w:r>
        <w:fldChar w:fldCharType="end"/>
      </w:r>
    </w:p>
    <w:p w14:paraId="2676150E" w14:textId="77777777" w:rsidR="00C9672D" w:rsidRDefault="00C9672D" w:rsidP="00C9672D">
      <w:pPr>
        <w:pStyle w:val="BodyText1"/>
        <w:sectPr w:rsidR="00C9672D" w:rsidSect="00C9672D">
          <w:footnotePr>
            <w:numFmt w:val="chicago"/>
            <w:numRestart w:val="eachPage"/>
          </w:footnotePr>
          <w:type w:val="continuous"/>
          <w:pgSz w:w="11906" w:h="16838" w:code="9"/>
          <w:pgMar w:top="1134" w:right="1134" w:bottom="1134" w:left="1134" w:header="720" w:footer="442" w:gutter="567"/>
          <w:cols w:space="708"/>
          <w:docGrid w:linePitch="360"/>
        </w:sectPr>
      </w:pPr>
    </w:p>
    <w:p w14:paraId="1B127DAD" w14:textId="77777777" w:rsidR="00C9672D" w:rsidRDefault="00C9672D" w:rsidP="00C9672D">
      <w:pPr>
        <w:pStyle w:val="ApD1Head"/>
      </w:pPr>
      <w:bookmarkStart w:id="402" w:name="_Toc525740592"/>
      <w:bookmarkStart w:id="403" w:name="_Toc525816158"/>
      <w:r w:rsidRPr="00B114B2">
        <w:lastRenderedPageBreak/>
        <w:t>Discussion</w:t>
      </w:r>
      <w:bookmarkEnd w:id="402"/>
      <w:bookmarkEnd w:id="403"/>
    </w:p>
    <w:p w14:paraId="2F6C032E" w14:textId="77777777" w:rsidR="00C9672D" w:rsidRDefault="00C9672D" w:rsidP="00C9672D">
      <w:pPr>
        <w:pStyle w:val="Normalpara"/>
      </w:pPr>
      <w:r>
        <w:t>These</w:t>
      </w:r>
      <w:r w:rsidRPr="006A437E">
        <w:t xml:space="preserve"> reviews identified a variety </w:t>
      </w:r>
      <w:r>
        <w:t>of intervention</w:t>
      </w:r>
      <w:r w:rsidRPr="006A437E">
        <w:t xml:space="preserve"> strategies that are effective under certain conditions, but current knowledge is imperfect. </w:t>
      </w:r>
      <w:r>
        <w:t xml:space="preserve">Heterogeneity between included studies, low number of meta-analyses, and lack of effect sizes made comparisons difficult. </w:t>
      </w:r>
      <w:r w:rsidRPr="008D7DAC">
        <w:t>There was considerable overlap across the reviews; for example, audit and feedback is an essential component of quality improvement strategies and was also included in a considerable majority of multicomponent interventions. This overlap also reflects that many reviews did not refer to any theoretical or empirical frameworks for classifying behaviour change interventions</w:t>
      </w:r>
      <w:r>
        <w:t xml:space="preserve"> (</w:t>
      </w:r>
      <w:r w:rsidRPr="008D7DAC">
        <w:t>such as EPOC</w:t>
      </w:r>
      <w:r>
        <w:t>),</w:t>
      </w:r>
      <w:r>
        <w:fldChar w:fldCharType="begin"/>
      </w:r>
      <w:r>
        <w:instrText xml:space="preserve"> ADDIN EN.CITE &lt;EndNote&gt;&lt;Cite&gt;&lt;Author&gt;Effective Practice and Organisation of Care (EPOC)&lt;/Author&gt;&lt;RecNum&gt;10&lt;/RecNum&gt;&lt;DisplayText&gt;[22]&lt;/DisplayText&gt;&lt;record&gt;&lt;rec-number&gt;10&lt;/rec-number&gt;&lt;foreign-keys&gt;&lt;key app="EN" db-id="aad9fvwa7rrr22exes7p0a9yttt0frfrprtf" timestamp="1490225738"&gt;10&lt;/key&gt;&lt;/foreign-keys&gt;&lt;ref-type name="Web Page"&gt;12&lt;/ref-type&gt;&lt;contributors&gt;&lt;authors&gt;&lt;author&gt;Effective Practice and Organisation of Care (EPOC),&lt;/author&gt;&lt;/authors&gt;&lt;/contributors&gt;&lt;titles&gt;&lt;title&gt;EPOC Taxonomy; 2015.&lt;/title&gt;&lt;/titles&gt;&lt;number&gt;23 March 2017&lt;/number&gt;&lt;dates&gt;&lt;/dates&gt;&lt;urls&gt;&lt;related-urls&gt;&lt;url&gt;http://epoc.cochrane.org/sites/epoc.cochrane.org/files/public/uploads/2015%20EPOC%20Taxonomy%20FINAL.pdf&lt;/url&gt;&lt;/related-urls&gt;&lt;/urls&gt;&lt;/record&gt;&lt;/Cite&gt;&lt;/EndNote&gt;</w:instrText>
      </w:r>
      <w:r>
        <w:fldChar w:fldCharType="separate"/>
      </w:r>
      <w:r>
        <w:rPr>
          <w:noProof/>
        </w:rPr>
        <w:t>[22]</w:t>
      </w:r>
      <w:r>
        <w:fldChar w:fldCharType="end"/>
      </w:r>
      <w:r w:rsidRPr="008D7DAC">
        <w:t xml:space="preserve"> resulting in a variation in intervention definitions</w:t>
      </w:r>
      <w:r>
        <w:t xml:space="preserve">. </w:t>
      </w:r>
    </w:p>
    <w:p w14:paraId="5DC2D16D" w14:textId="77777777" w:rsidR="00C9672D" w:rsidRDefault="00C9672D" w:rsidP="00C9672D">
      <w:pPr>
        <w:pStyle w:val="Normalpara"/>
      </w:pPr>
      <w:r w:rsidRPr="006A437E">
        <w:t>Passive disseminati</w:t>
      </w:r>
      <w:r>
        <w:t>on (for example</w:t>
      </w:r>
      <w:r w:rsidRPr="006A437E">
        <w:t>, mailing education</w:t>
      </w:r>
      <w:r>
        <w:t xml:space="preserve">al materials to targeted clinicians) was considered to be generally less effective for </w:t>
      </w:r>
      <w:r w:rsidRPr="006A437E">
        <w:t>behavio</w:t>
      </w:r>
      <w:r>
        <w:t xml:space="preserve">ur change when used alone; </w:t>
      </w:r>
      <w:r w:rsidRPr="00FC52D3">
        <w:t>simply providing the evidence may not be sufficient to elicit change</w:t>
      </w:r>
      <w:r>
        <w:t>. How</w:t>
      </w:r>
      <w:r w:rsidRPr="006A437E">
        <w:t>ever, this approach may be useful for raising awareness of the desired behavio</w:t>
      </w:r>
      <w:r>
        <w:t>u</w:t>
      </w:r>
      <w:r w:rsidRPr="006A437E">
        <w:t>r change</w:t>
      </w:r>
      <w:r>
        <w:t xml:space="preserve"> and is </w:t>
      </w:r>
      <w:r w:rsidRPr="008F7D7E">
        <w:t>inexpensive and feasible for widespread delivery</w:t>
      </w:r>
      <w:r>
        <w:t xml:space="preserve">. </w:t>
      </w:r>
    </w:p>
    <w:p w14:paraId="15E93B03" w14:textId="77777777" w:rsidR="00C9672D" w:rsidRPr="008D7DAC" w:rsidRDefault="00C9672D" w:rsidP="00C9672D">
      <w:pPr>
        <w:pStyle w:val="Normalpara"/>
      </w:pPr>
      <w:r>
        <w:t>Intera</w:t>
      </w:r>
      <w:r w:rsidRPr="006A437E">
        <w:t xml:space="preserve">ctive approaches are more likely to be effective but are also likely to be more </w:t>
      </w:r>
      <w:r>
        <w:t xml:space="preserve">resource-intensive and hence more </w:t>
      </w:r>
      <w:r w:rsidRPr="006A437E">
        <w:t>costly. Interventions of variable effectiven</w:t>
      </w:r>
      <w:r>
        <w:t>ess include some interactive educational strategies. A</w:t>
      </w:r>
      <w:r w:rsidRPr="008D7DAC">
        <w:t>wareness of price may lead to the ordering of less expensive, rather than fewer, tests</w:t>
      </w:r>
      <w:r>
        <w:t>. Pay-for-performance, reminders, and audit strategies may lead to reduced</w:t>
      </w:r>
      <w:r w:rsidRPr="008D7DAC">
        <w:t xml:space="preserve"> test utilisation</w:t>
      </w:r>
      <w:r>
        <w:t xml:space="preserve">, as </w:t>
      </w:r>
      <w:r>
        <w:rPr>
          <w:color w:val="000000"/>
          <w:lang w:val="en"/>
        </w:rPr>
        <w:t>f</w:t>
      </w:r>
      <w:r w:rsidRPr="00351617">
        <w:rPr>
          <w:color w:val="000000"/>
          <w:lang w:val="en"/>
        </w:rPr>
        <w:t>eedback reg</w:t>
      </w:r>
      <w:r w:rsidRPr="00C20ACB">
        <w:rPr>
          <w:color w:val="000000"/>
          <w:lang w:val="en"/>
        </w:rPr>
        <w:t xml:space="preserve">arding the costs of procedures </w:t>
      </w:r>
      <w:r w:rsidRPr="00351617">
        <w:rPr>
          <w:color w:val="000000"/>
          <w:lang w:val="en"/>
        </w:rPr>
        <w:t>at the time of ordering has had a moderating effect</w:t>
      </w:r>
      <w:r w:rsidRPr="008D7DAC">
        <w:t>,</w:t>
      </w:r>
      <w:r>
        <w:t xml:space="preserve"> but effects of interventions were often not sustained after the intervention period, leading to a diminished effect. The inclusion of a patient-mediated educational component may be effective if patient counselling is also added. </w:t>
      </w:r>
    </w:p>
    <w:p w14:paraId="2F899199" w14:textId="77777777" w:rsidR="00C9672D" w:rsidRDefault="00C9672D" w:rsidP="00C9672D">
      <w:pPr>
        <w:pStyle w:val="Normalpara"/>
      </w:pPr>
      <w:r w:rsidRPr="00FC52D3">
        <w:t>Systems that proactively prompted clinicians and/or required a response were also more likely to be effective in changing professional behavio</w:t>
      </w:r>
      <w:r>
        <w:t>u</w:t>
      </w:r>
      <w:r w:rsidRPr="00FC52D3">
        <w:t>r</w:t>
      </w:r>
      <w:r w:rsidRPr="00717660">
        <w:rPr>
          <w:rStyle w:val="Bold"/>
          <w:rFonts w:eastAsiaTheme="minorHAnsi"/>
        </w:rPr>
        <w:t xml:space="preserve">. </w:t>
      </w:r>
      <w:r>
        <w:rPr>
          <w:color w:val="000000"/>
          <w:lang w:val="en"/>
        </w:rPr>
        <w:t>Alerting</w:t>
      </w:r>
      <w:r w:rsidRPr="00351617">
        <w:rPr>
          <w:color w:val="000000"/>
          <w:lang w:val="en"/>
        </w:rPr>
        <w:t xml:space="preserve"> physician</w:t>
      </w:r>
      <w:r>
        <w:rPr>
          <w:color w:val="000000"/>
          <w:lang w:val="en"/>
        </w:rPr>
        <w:t>s</w:t>
      </w:r>
      <w:r w:rsidRPr="00351617">
        <w:rPr>
          <w:color w:val="000000"/>
          <w:lang w:val="en"/>
        </w:rPr>
        <w:t xml:space="preserve"> to possible duplication and identi</w:t>
      </w:r>
      <w:r>
        <w:rPr>
          <w:color w:val="000000"/>
          <w:lang w:val="en"/>
        </w:rPr>
        <w:t>fying outliers in imaging utilis</w:t>
      </w:r>
      <w:r w:rsidRPr="00351617">
        <w:rPr>
          <w:color w:val="000000"/>
          <w:lang w:val="en"/>
        </w:rPr>
        <w:t>ation</w:t>
      </w:r>
      <w:r>
        <w:rPr>
          <w:color w:val="000000"/>
          <w:lang w:val="en"/>
        </w:rPr>
        <w:t xml:space="preserve"> improved appropriateness of use.</w:t>
      </w:r>
      <w:r w:rsidRPr="00FF6FC6">
        <w:rPr>
          <w:rStyle w:val="Emphasis"/>
        </w:rPr>
        <w:t xml:space="preserve"> </w:t>
      </w:r>
      <w:r w:rsidRPr="00FF6DAA">
        <w:rPr>
          <w:rStyle w:val="Bold"/>
          <w:rFonts w:eastAsiaTheme="minorHAnsi"/>
        </w:rPr>
        <w:t>Generally effective strategies include</w:t>
      </w:r>
      <w:r>
        <w:rPr>
          <w:rStyle w:val="Bold"/>
          <w:rFonts w:eastAsiaTheme="minorHAnsi"/>
        </w:rPr>
        <w:t>d</w:t>
      </w:r>
      <w:r w:rsidRPr="00FF6DAA">
        <w:rPr>
          <w:rStyle w:val="Bold"/>
          <w:rFonts w:eastAsiaTheme="minorHAnsi"/>
        </w:rPr>
        <w:t xml:space="preserve"> decision support interventions</w:t>
      </w:r>
      <w:r>
        <w:rPr>
          <w:rStyle w:val="Bold"/>
          <w:rFonts w:eastAsiaTheme="minorHAnsi"/>
        </w:rPr>
        <w:t xml:space="preserve">, </w:t>
      </w:r>
      <w:r>
        <w:t xml:space="preserve">which facilitate improved compliance, </w:t>
      </w:r>
      <w:r w:rsidRPr="004C7345">
        <w:t>the performance of desired behaviours and makes it harder for unwanted behaviours to occur</w:t>
      </w:r>
      <w:r w:rsidRPr="006A437E">
        <w:t xml:space="preserve">. </w:t>
      </w:r>
      <w:r>
        <w:t>However, most studies were hospital-based interventions; the effectiveness of these strategies in alternative practice settings such as general practice, where most healthcare is delivered, is unclear.</w:t>
      </w:r>
    </w:p>
    <w:p w14:paraId="4BA35434" w14:textId="77777777" w:rsidR="00C9672D" w:rsidRDefault="00C9672D" w:rsidP="00C9672D">
      <w:pPr>
        <w:pStyle w:val="Normalpara"/>
      </w:pPr>
      <w:r>
        <w:t>This is similar for quality improvement strategies that use modifications or restrictions to test order forms. Modifying a referral form to allow only</w:t>
      </w:r>
      <w:r w:rsidRPr="00596EC7">
        <w:t xml:space="preserve"> guideline-app</w:t>
      </w:r>
      <w:r>
        <w:t>ropriate indications, changing an order form to include reflective questions, and introducing separation of individual from groups of tests decreased utilisation of imaging and testing, and resulted in cost savings without increases in adverse outcomes.</w:t>
      </w:r>
    </w:p>
    <w:p w14:paraId="53E21C84" w14:textId="77777777" w:rsidR="00C9672D" w:rsidRDefault="00C9672D" w:rsidP="00C9672D">
      <w:pPr>
        <w:pStyle w:val="Normalpara"/>
      </w:pPr>
      <w:r w:rsidRPr="004C7345">
        <w:t>Multicomponent</w:t>
      </w:r>
      <w:r>
        <w:t xml:space="preserve"> interventions were also more likely to be successful;</w:t>
      </w:r>
      <w:r w:rsidRPr="004C7345">
        <w:t xml:space="preserve"> h</w:t>
      </w:r>
      <w:r>
        <w:t xml:space="preserve">owever, it was difficult to specify </w:t>
      </w:r>
      <w:r w:rsidRPr="004C7345">
        <w:t>which components of multifaceted interventions are likely to be effective and complementary under differ</w:t>
      </w:r>
      <w:r>
        <w:t>ent settings, due to the very small number of included studies</w:t>
      </w:r>
      <w:r w:rsidRPr="004C7345">
        <w:t>.</w:t>
      </w:r>
      <w:r>
        <w:t xml:space="preserve"> The inclusion of an audit and feedback intervention appeared to provide a strong motivational component to improve utilisation of tests, particularly in hospital settings where it was combined with other strategies such as education. </w:t>
      </w:r>
    </w:p>
    <w:p w14:paraId="246CD4B0" w14:textId="77777777" w:rsidR="00C9672D" w:rsidRDefault="00C9672D" w:rsidP="00C9672D">
      <w:pPr>
        <w:pStyle w:val="Normalpara"/>
      </w:pPr>
      <w:r w:rsidRPr="009619E2">
        <w:t>Very few studies measure</w:t>
      </w:r>
      <w:r>
        <w:t>d</w:t>
      </w:r>
      <w:r w:rsidRPr="009619E2">
        <w:t xml:space="preserve"> any patient safety or quality of care</w:t>
      </w:r>
      <w:r>
        <w:t xml:space="preserve"> </w:t>
      </w:r>
      <w:r w:rsidRPr="009619E2">
        <w:t xml:space="preserve">outcomes affected by reduced test use. </w:t>
      </w:r>
      <w:r>
        <w:t xml:space="preserve">One possible reason for this is that process-of-care measures being investigated did not impact on outcomes such as mortality, or were confounded by clinical complexity or other patient-related factors that made it difficult to assess. Quality improvement strategies to improve use of testing generally resulted in cost savings without increases in adverse outcomes. </w:t>
      </w:r>
    </w:p>
    <w:p w14:paraId="7E282A84" w14:textId="77777777" w:rsidR="00C9672D" w:rsidRPr="009619E2" w:rsidRDefault="00C9672D" w:rsidP="00C9672D">
      <w:pPr>
        <w:pStyle w:val="Normalpara"/>
      </w:pPr>
      <w:r w:rsidRPr="0020140C">
        <w:t>There was some limited evidence to suggest that payment systems can improve the appropriateness of diagnostic imaging and pathology tests requested by health professionals.</w:t>
      </w:r>
      <w:r>
        <w:t xml:space="preserve"> N</w:t>
      </w:r>
      <w:r w:rsidRPr="009619E2">
        <w:t>umerous</w:t>
      </w:r>
      <w:r>
        <w:t xml:space="preserve"> </w:t>
      </w:r>
      <w:r w:rsidRPr="009619E2">
        <w:t>studies use low</w:t>
      </w:r>
      <w:r>
        <w:t>-</w:t>
      </w:r>
      <w:r w:rsidRPr="009619E2">
        <w:t xml:space="preserve">investment </w:t>
      </w:r>
      <w:r>
        <w:t>strategies to reduce test utilis</w:t>
      </w:r>
      <w:r w:rsidRPr="009619E2">
        <w:t>ation</w:t>
      </w:r>
      <w:r>
        <w:t xml:space="preserve"> </w:t>
      </w:r>
      <w:r w:rsidRPr="009619E2">
        <w:t>with one</w:t>
      </w:r>
      <w:r>
        <w:t>-</w:t>
      </w:r>
      <w:r w:rsidRPr="009619E2">
        <w:t>time changes in the ordering system. These</w:t>
      </w:r>
      <w:r>
        <w:t xml:space="preserve"> </w:t>
      </w:r>
      <w:r w:rsidRPr="009619E2">
        <w:t>low</w:t>
      </w:r>
      <w:r>
        <w:t>-</w:t>
      </w:r>
      <w:r w:rsidRPr="009619E2">
        <w:t>in</w:t>
      </w:r>
      <w:r>
        <w:t>vestment strategies are</w:t>
      </w:r>
      <w:r w:rsidRPr="009619E2">
        <w:t xml:space="preserve"> promising for achievable</w:t>
      </w:r>
      <w:r>
        <w:t xml:space="preserve"> </w:t>
      </w:r>
      <w:r w:rsidRPr="009619E2">
        <w:t>and durable reductions in inappropriate test use.</w:t>
      </w:r>
      <w:r>
        <w:t xml:space="preserve"> </w:t>
      </w:r>
      <w:r>
        <w:rPr>
          <w:rFonts w:eastAsiaTheme="minorHAnsi"/>
          <w:lang w:val="en" w:eastAsia="en-US"/>
        </w:rPr>
        <w:t>T</w:t>
      </w:r>
      <w:r w:rsidRPr="00651A15">
        <w:rPr>
          <w:rFonts w:eastAsiaTheme="minorHAnsi"/>
          <w:lang w:val="en" w:eastAsia="en-US"/>
        </w:rPr>
        <w:t>he s</w:t>
      </w:r>
      <w:r>
        <w:rPr>
          <w:rFonts w:eastAsiaTheme="minorHAnsi"/>
          <w:lang w:val="en" w:eastAsia="en-US"/>
        </w:rPr>
        <w:t>uccess of pay-for-performance</w:t>
      </w:r>
      <w:r w:rsidRPr="00651A15">
        <w:rPr>
          <w:rFonts w:eastAsiaTheme="minorHAnsi"/>
          <w:lang w:val="en" w:eastAsia="en-US"/>
        </w:rPr>
        <w:t xml:space="preserve"> </w:t>
      </w:r>
      <w:r>
        <w:rPr>
          <w:rFonts w:eastAsiaTheme="minorHAnsi"/>
          <w:lang w:val="en" w:eastAsia="en-US"/>
        </w:rPr>
        <w:t>is most likely</w:t>
      </w:r>
      <w:r w:rsidRPr="00651A15">
        <w:rPr>
          <w:rFonts w:eastAsiaTheme="minorHAnsi"/>
          <w:lang w:val="en" w:eastAsia="en-US"/>
        </w:rPr>
        <w:t xml:space="preserve"> </w:t>
      </w:r>
      <w:r>
        <w:rPr>
          <w:rFonts w:eastAsiaTheme="minorHAnsi"/>
          <w:lang w:val="en" w:eastAsia="en-US"/>
        </w:rPr>
        <w:t>a factor of</w:t>
      </w:r>
      <w:r w:rsidRPr="00651A15">
        <w:rPr>
          <w:rFonts w:eastAsiaTheme="minorHAnsi"/>
          <w:lang w:val="en" w:eastAsia="en-US"/>
        </w:rPr>
        <w:t xml:space="preserve"> the size of the </w:t>
      </w:r>
      <w:r w:rsidRPr="00651A15">
        <w:rPr>
          <w:rFonts w:eastAsiaTheme="minorHAnsi"/>
          <w:lang w:val="en" w:eastAsia="en-US"/>
        </w:rPr>
        <w:lastRenderedPageBreak/>
        <w:t>incentive, baseline perf</w:t>
      </w:r>
      <w:r>
        <w:rPr>
          <w:rFonts w:eastAsiaTheme="minorHAnsi"/>
          <w:lang w:val="en" w:eastAsia="en-US"/>
        </w:rPr>
        <w:t>ormance levels, and the</w:t>
      </w:r>
      <w:r w:rsidRPr="00651A15">
        <w:rPr>
          <w:rFonts w:eastAsiaTheme="minorHAnsi"/>
          <w:lang w:val="en" w:eastAsia="en-US"/>
        </w:rPr>
        <w:t xml:space="preserve"> inherent ability to improve and respond adequately to such incentives</w:t>
      </w:r>
      <w:r>
        <w:rPr>
          <w:rFonts w:eastAsiaTheme="minorHAnsi"/>
          <w:lang w:val="en" w:eastAsia="en-US"/>
        </w:rPr>
        <w:t xml:space="preserve"> in a given setting, details not covered in this review.</w:t>
      </w:r>
    </w:p>
    <w:p w14:paraId="65F40E33" w14:textId="69884D67" w:rsidR="00C9672D" w:rsidRDefault="00C9672D" w:rsidP="00C9672D">
      <w:pPr>
        <w:pStyle w:val="Normalpara"/>
      </w:pPr>
      <w:r>
        <w:t>Few key</w:t>
      </w:r>
      <w:r w:rsidRPr="009F6F7A">
        <w:t xml:space="preserve"> primary stud</w:t>
      </w:r>
      <w:r>
        <w:t xml:space="preserve">ies investigated cost outcomes. This may be a reflection of the age of some of the included studies – cost-control has become a major focus of policy makers with the rising focus on the cost of healthcare in recent years. </w:t>
      </w:r>
      <w:r w:rsidRPr="009F6F7A">
        <w:t>Cost outcomes were e</w:t>
      </w:r>
      <w:r>
        <w:t xml:space="preserve">xplicitly reported for most reviews of </w:t>
      </w:r>
      <w:r w:rsidR="00151388">
        <w:t>CDS</w:t>
      </w:r>
      <w:r>
        <w:t>, but were infrequently reported for other interventions</w:t>
      </w:r>
      <w:r w:rsidRPr="009F6F7A">
        <w:t xml:space="preserve">. </w:t>
      </w:r>
      <w:r>
        <w:t>Cost impact information was shown to lead</w:t>
      </w:r>
      <w:r w:rsidRPr="0072183A">
        <w:t xml:space="preserve"> to a reduction in number of overall tests ordered</w:t>
      </w:r>
      <w:r>
        <w:t>.</w:t>
      </w:r>
    </w:p>
    <w:p w14:paraId="5ED1AB4B" w14:textId="77777777" w:rsidR="00C9672D" w:rsidRDefault="00C9672D" w:rsidP="00C9672D">
      <w:pPr>
        <w:pStyle w:val="Normalpara"/>
        <w:rPr>
          <w:rFonts w:eastAsia="NewBaskervilleITCbyBT-Roman"/>
        </w:rPr>
      </w:pPr>
      <w:r w:rsidRPr="0072183A">
        <w:t>Provider price</w:t>
      </w:r>
      <w:r>
        <w:t>/cost</w:t>
      </w:r>
      <w:r w:rsidRPr="0072183A">
        <w:t xml:space="preserve"> display</w:t>
      </w:r>
      <w:r>
        <w:t>, as part of audit and feedback</w:t>
      </w:r>
      <w:r w:rsidRPr="0072183A">
        <w:t xml:space="preserve"> and computerised decision support</w:t>
      </w:r>
      <w:r>
        <w:t>, is</w:t>
      </w:r>
      <w:r w:rsidRPr="0072183A">
        <w:t xml:space="preserve"> </w:t>
      </w:r>
      <w:r>
        <w:t>likely to reduce</w:t>
      </w:r>
      <w:r w:rsidRPr="0072183A">
        <w:t xml:space="preserve"> order costs to a modest degree, but </w:t>
      </w:r>
      <w:r>
        <w:t>estimates were small in most reported studies</w:t>
      </w:r>
      <w:r w:rsidRPr="0072183A">
        <w:t xml:space="preserve"> and imprecis</w:t>
      </w:r>
      <w:r>
        <w:t xml:space="preserve">e (large confidence interval). </w:t>
      </w:r>
      <w:r w:rsidRPr="009F6F7A">
        <w:t>While significant cost</w:t>
      </w:r>
      <w:r>
        <w:t xml:space="preserve"> reductions</w:t>
      </w:r>
      <w:r w:rsidRPr="009F6F7A">
        <w:t xml:space="preserve"> </w:t>
      </w:r>
      <w:r>
        <w:t>were reported</w:t>
      </w:r>
      <w:r w:rsidRPr="009F6F7A">
        <w:t xml:space="preserve"> in </w:t>
      </w:r>
      <w:r>
        <w:t xml:space="preserve">some settings in </w:t>
      </w:r>
      <w:r w:rsidRPr="009F6F7A">
        <w:t>these reviews, it was not known whether the cost benefits were offset by the cost o</w:t>
      </w:r>
      <w:r>
        <w:t>f the implementation strategies</w:t>
      </w:r>
      <w:r w:rsidRPr="009F6F7A">
        <w:t xml:space="preserve">. </w:t>
      </w:r>
      <w:r>
        <w:rPr>
          <w:rFonts w:eastAsia="NewBaskervilleITCbyBT-Roman"/>
        </w:rPr>
        <w:t xml:space="preserve">It is therefore not possible </w:t>
      </w:r>
      <w:r w:rsidRPr="0072183A">
        <w:rPr>
          <w:rFonts w:eastAsia="NewBaskervilleITCbyBT-Roman"/>
        </w:rPr>
        <w:t>to comment on the l</w:t>
      </w:r>
      <w:r>
        <w:rPr>
          <w:rFonts w:eastAsia="NewBaskervilleITCbyBT-Roman"/>
        </w:rPr>
        <w:t>ikely cost-effectiveness of any intervention.</w:t>
      </w:r>
    </w:p>
    <w:p w14:paraId="2CA54440" w14:textId="77777777" w:rsidR="00C9672D" w:rsidRDefault="00C9672D" w:rsidP="00C9672D">
      <w:pPr>
        <w:pStyle w:val="Normalpara"/>
      </w:pPr>
      <w:r w:rsidRPr="009F6F7A">
        <w:t>This lack of economic evaluation is a major detractor from the</w:t>
      </w:r>
      <w:r>
        <w:t xml:space="preserve"> widespread uptake of interventions</w:t>
      </w:r>
      <w:r w:rsidRPr="009F6F7A">
        <w:t>, particularly as it has been suggested th</w:t>
      </w:r>
      <w:r>
        <w:t>at</w:t>
      </w:r>
      <w:r w:rsidRPr="0072183A">
        <w:t xml:space="preserve"> </w:t>
      </w:r>
      <w:r>
        <w:t xml:space="preserve">quality improvement </w:t>
      </w:r>
      <w:r w:rsidRPr="0072183A">
        <w:t>efforts, especially those focused on safety, may not be</w:t>
      </w:r>
      <w:r>
        <w:t xml:space="preserve"> </w:t>
      </w:r>
      <w:r w:rsidRPr="0072183A">
        <w:t>cost-saving, possibly</w:t>
      </w:r>
      <w:r>
        <w:t xml:space="preserve"> because of </w:t>
      </w:r>
      <w:r w:rsidRPr="0072183A">
        <w:t>additional</w:t>
      </w:r>
      <w:r>
        <w:t xml:space="preserve"> </w:t>
      </w:r>
      <w:r w:rsidRPr="0072183A">
        <w:t xml:space="preserve">capacity </w:t>
      </w:r>
      <w:r>
        <w:t xml:space="preserve">generated </w:t>
      </w:r>
      <w:r w:rsidRPr="0072183A">
        <w:t>rather than savings.</w:t>
      </w:r>
      <w:r>
        <w:fldChar w:fldCharType="begin"/>
      </w:r>
      <w:r>
        <w:instrText xml:space="preserve"> ADDIN EN.CITE &lt;EndNote&gt;&lt;Cite&gt;&lt;Author&gt;Rauh&lt;/Author&gt;&lt;Year&gt;2011&lt;/Year&gt;&lt;RecNum&gt;121&lt;/RecNum&gt;&lt;DisplayText&gt;[23]&lt;/DisplayText&gt;&lt;record&gt;&lt;rec-number&gt;121&lt;/rec-number&gt;&lt;foreign-keys&gt;&lt;key app="EN" db-id="x9fffa25dxde9newers5xv249pterpfdd5z9" timestamp="1490241050"&gt;121&lt;/key&gt;&lt;/foreign-keys&gt;&lt;ref-type name="Journal Article"&gt;17&lt;/ref-type&gt;&lt;contributors&gt;&lt;authors&gt;&lt;author&gt;Rauh, S. S.&lt;/author&gt;&lt;author&gt;Wadsworth, E. B.&lt;/author&gt;&lt;author&gt;Weeks, W. B.&lt;/author&gt;&lt;author&gt;Weinstein, J. N.&lt;/author&gt;&lt;/authors&gt;&lt;/contributors&gt;&lt;auth-address&gt;Dartmouth Institute for Health Policy and Clinical Practice, Lebanon, NH, USA.&lt;/auth-address&gt;&lt;titles&gt;&lt;title&gt;The savings illusion – why clinical quality improvement fails to deliver bottom-line results&lt;/title&gt;&lt;secondary-title&gt;N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medicine&lt;/abbr-1&gt;&lt;/alt-periodical&gt;&lt;pages&gt;e48&lt;/pages&gt;&lt;volume&gt;365&lt;/volume&gt;&lt;number&gt;26&lt;/number&gt;&lt;edition&gt;2011/12/16&lt;/edition&gt;&lt;keywords&gt;&lt;keyword&gt;Cost Savings&lt;/keyword&gt;&lt;keyword&gt;Economics, Hospital&lt;/keyword&gt;&lt;keyword&gt;Health Care Costs&lt;/keyword&gt;&lt;keyword&gt;Hospitals/standards&lt;/keyword&gt;&lt;keyword&gt;Quality Improvement/ economics&lt;/keyword&gt;&lt;keyword&gt;United States&lt;/keyword&gt;&lt;/keywords&gt;&lt;dates&gt;&lt;year&gt;2011&lt;/year&gt;&lt;pub-dates&gt;&lt;date&gt;Dec 29&lt;/date&gt;&lt;/pub-dates&gt;&lt;/dates&gt;&lt;isbn&gt;1533-4406 (Electronic)&amp;#xD;0028-4793 (Linking)&lt;/isbn&gt;&lt;accession-num&gt;22168591&lt;/accession-num&gt;&lt;urls&gt;&lt;related-urls&gt;&lt;url&gt;http://www.nejm.org/doi/pdf/10.1056/NEJMp1111662&lt;/url&gt;&lt;/related-urls&gt;&lt;/urls&gt;&lt;electronic-resource-num&gt;10.1056/NEJMp1111662&lt;/electronic-resource-num&gt;&lt;remote-database-provider&gt;NLM&lt;/remote-database-provider&gt;&lt;language&gt;eng&lt;/language&gt;&lt;/record&gt;&lt;/Cite&gt;&lt;/EndNote&gt;</w:instrText>
      </w:r>
      <w:r>
        <w:fldChar w:fldCharType="separate"/>
      </w:r>
      <w:r>
        <w:rPr>
          <w:noProof/>
        </w:rPr>
        <w:t>[23]</w:t>
      </w:r>
      <w:r>
        <w:fldChar w:fldCharType="end"/>
      </w:r>
      <w:r>
        <w:t xml:space="preserve"> </w:t>
      </w:r>
      <w:r w:rsidRPr="009F6F7A">
        <w:t>Further research is needed into the costs and bene</w:t>
      </w:r>
      <w:r>
        <w:t>fits of interventions</w:t>
      </w:r>
      <w:r w:rsidRPr="009F6F7A">
        <w:t>, particularly given the cost of reportedly effective strategies, n</w:t>
      </w:r>
      <w:r>
        <w:t>amely audit and feedback and decision support systems.</w:t>
      </w:r>
      <w:r w:rsidRPr="009F6F7A">
        <w:t xml:space="preserve"> </w:t>
      </w:r>
    </w:p>
    <w:p w14:paraId="5B380338" w14:textId="77777777" w:rsidR="00C9672D" w:rsidRDefault="00C9672D" w:rsidP="00C9672D">
      <w:pPr>
        <w:pStyle w:val="BodyText1"/>
      </w:pPr>
    </w:p>
    <w:p w14:paraId="0EE06F7C" w14:textId="77777777" w:rsidR="00C9672D" w:rsidRPr="00C9672D" w:rsidRDefault="00C9672D" w:rsidP="00C9672D">
      <w:pPr>
        <w:pStyle w:val="ApD2Head"/>
        <w:rPr>
          <w:rStyle w:val="Bold"/>
          <w:b/>
          <w:lang w:val="en-GB"/>
        </w:rPr>
      </w:pPr>
      <w:r w:rsidRPr="00C9672D">
        <w:rPr>
          <w:rStyle w:val="Bold"/>
          <w:b/>
          <w:lang w:val="en-GB"/>
        </w:rPr>
        <w:t xml:space="preserve"> </w:t>
      </w:r>
      <w:bookmarkStart w:id="404" w:name="_Toc525740593"/>
      <w:bookmarkStart w:id="405" w:name="_Toc525816159"/>
      <w:r w:rsidRPr="00C9672D">
        <w:rPr>
          <w:rStyle w:val="Bold"/>
          <w:b/>
          <w:lang w:val="en-GB"/>
        </w:rPr>
        <w:t>Conclusions</w:t>
      </w:r>
      <w:bookmarkEnd w:id="404"/>
      <w:bookmarkEnd w:id="405"/>
    </w:p>
    <w:p w14:paraId="5321B05A" w14:textId="2D0E49AE" w:rsidR="00C9672D" w:rsidRPr="00331EE7" w:rsidRDefault="00C9672D" w:rsidP="00C9672D">
      <w:pPr>
        <w:pStyle w:val="Normalpara"/>
        <w:rPr>
          <w:color w:val="000000"/>
          <w:szCs w:val="18"/>
          <w:lang w:val="en"/>
        </w:rPr>
      </w:pPr>
      <w:r>
        <w:t>In conclusion, there was some ev</w:t>
      </w:r>
      <w:r w:rsidRPr="0085628D">
        <w:t xml:space="preserve">idence to suggest that </w:t>
      </w:r>
      <w:r w:rsidR="00151388">
        <w:t>CDS</w:t>
      </w:r>
      <w:r w:rsidRPr="0085628D">
        <w:t xml:space="preserve"> interventions improve the appropriateness of diagnostic imaging and pathology tests requ</w:t>
      </w:r>
      <w:r>
        <w:t xml:space="preserve">ested by health professionals, with </w:t>
      </w:r>
      <w:r w:rsidRPr="000404FA">
        <w:t>CPOE</w:t>
      </w:r>
      <w:r>
        <w:t xml:space="preserve"> or </w:t>
      </w:r>
      <w:r w:rsidRPr="000404FA">
        <w:t>CDSS appear</w:t>
      </w:r>
      <w:r>
        <w:t xml:space="preserve">ing to have </w:t>
      </w:r>
      <w:r w:rsidRPr="000404FA">
        <w:t>the greatest body of evidence</w:t>
      </w:r>
      <w:r>
        <w:t xml:space="preserve">. </w:t>
      </w:r>
      <w:r>
        <w:rPr>
          <w:color w:val="000000"/>
          <w:szCs w:val="18"/>
          <w:lang w:val="en"/>
        </w:rPr>
        <w:t>M</w:t>
      </w:r>
      <w:r w:rsidRPr="00351617">
        <w:rPr>
          <w:color w:val="000000"/>
          <w:szCs w:val="18"/>
          <w:lang w:val="en"/>
        </w:rPr>
        <w:t>odif</w:t>
      </w:r>
      <w:r>
        <w:rPr>
          <w:color w:val="000000"/>
          <w:szCs w:val="18"/>
          <w:lang w:val="en"/>
        </w:rPr>
        <w:t>ying</w:t>
      </w:r>
      <w:r w:rsidRPr="00351617">
        <w:rPr>
          <w:color w:val="000000"/>
          <w:szCs w:val="18"/>
          <w:lang w:val="en"/>
        </w:rPr>
        <w:t xml:space="preserve"> </w:t>
      </w:r>
      <w:r>
        <w:rPr>
          <w:color w:val="000000"/>
          <w:szCs w:val="18"/>
          <w:lang w:val="en"/>
        </w:rPr>
        <w:t>systems such as order entry</w:t>
      </w:r>
      <w:r w:rsidRPr="00351617">
        <w:rPr>
          <w:color w:val="000000"/>
          <w:szCs w:val="18"/>
          <w:lang w:val="en"/>
        </w:rPr>
        <w:t xml:space="preserve"> can change physician behavior</w:t>
      </w:r>
      <w:r>
        <w:rPr>
          <w:color w:val="000000"/>
          <w:szCs w:val="18"/>
          <w:lang w:val="en"/>
        </w:rPr>
        <w:t xml:space="preserve">, </w:t>
      </w:r>
      <w:r w:rsidRPr="00351617">
        <w:rPr>
          <w:color w:val="000000"/>
          <w:szCs w:val="18"/>
          <w:lang w:val="en"/>
        </w:rPr>
        <w:t xml:space="preserve">encouraging greater interaction with </w:t>
      </w:r>
      <w:r>
        <w:rPr>
          <w:color w:val="000000"/>
          <w:szCs w:val="18"/>
          <w:lang w:val="en"/>
        </w:rPr>
        <w:t xml:space="preserve">the decision support system, </w:t>
      </w:r>
      <w:r w:rsidRPr="00351617">
        <w:rPr>
          <w:color w:val="000000"/>
          <w:szCs w:val="18"/>
          <w:lang w:val="en"/>
        </w:rPr>
        <w:t>result</w:t>
      </w:r>
      <w:r>
        <w:rPr>
          <w:color w:val="000000"/>
          <w:szCs w:val="18"/>
          <w:lang w:val="en"/>
        </w:rPr>
        <w:t>ing</w:t>
      </w:r>
      <w:r w:rsidRPr="00351617">
        <w:rPr>
          <w:color w:val="000000"/>
          <w:szCs w:val="18"/>
          <w:lang w:val="en"/>
        </w:rPr>
        <w:t xml:space="preserve"> in fewer low-yield orders</w:t>
      </w:r>
      <w:r>
        <w:rPr>
          <w:color w:val="000000"/>
          <w:szCs w:val="18"/>
          <w:lang w:val="en"/>
        </w:rPr>
        <w:t>.</w:t>
      </w:r>
    </w:p>
    <w:p w14:paraId="4E775166" w14:textId="77777777" w:rsidR="00C9672D" w:rsidRDefault="00C9672D" w:rsidP="00C9672D">
      <w:pPr>
        <w:pStyle w:val="Normalpara"/>
      </w:pPr>
      <w:r>
        <w:t>Continuing medical education is necessary for physician knowledge and methods that could be described as traditional, such as didactic conferences or printed materials, are important to affect physician knowledge or attitude. However, the most successful interventions combined education with peer review, feedback, and administrative (order entry) changes. Although m</w:t>
      </w:r>
      <w:r w:rsidRPr="0037570E">
        <w:t>ulticomponent intervention strategies</w:t>
      </w:r>
      <w:r>
        <w:t xml:space="preserve"> may r</w:t>
      </w:r>
      <w:r w:rsidRPr="0037570E">
        <w:t>esult</w:t>
      </w:r>
      <w:r>
        <w:t xml:space="preserve"> i</w:t>
      </w:r>
      <w:r w:rsidRPr="0037570E">
        <w:t>n significant improvements in compliance and behavioural chan</w:t>
      </w:r>
      <w:r>
        <w:t>ge, t</w:t>
      </w:r>
      <w:r w:rsidRPr="0037570E">
        <w:t xml:space="preserve">he sustainability of </w:t>
      </w:r>
      <w:r>
        <w:t xml:space="preserve">single-point simple </w:t>
      </w:r>
      <w:r w:rsidRPr="0037570E">
        <w:t>education-based strategies is</w:t>
      </w:r>
      <w:r>
        <w:t xml:space="preserve"> questionable. Small group strategies with problem solving and feedback can lead to modest improvements in test ordering in primary care. No inference can be made as to timing of strategies within multi-component interventions, that is for example, whether education should precede administrative or other changes, and what is the optimal time frame for subsequent audit and feedback. Sequential or longitudinal components may be more effective. The sustainability of p</w:t>
      </w:r>
      <w:r w:rsidRPr="0020140C">
        <w:t>ay-for-performance</w:t>
      </w:r>
      <w:r>
        <w:t xml:space="preserve"> </w:t>
      </w:r>
      <w:r w:rsidRPr="0020140C">
        <w:t xml:space="preserve">incentives </w:t>
      </w:r>
      <w:r>
        <w:t xml:space="preserve">are also inconclusive, although they may be effective interventions for medical residents. </w:t>
      </w:r>
      <w:r w:rsidRPr="0037570E">
        <w:t>Audit and feedback generally leads to small</w:t>
      </w:r>
      <w:r>
        <w:t>-to-moderate</w:t>
      </w:r>
      <w:r w:rsidRPr="0037570E">
        <w:t xml:space="preserve"> improvements in professional practice</w:t>
      </w:r>
      <w:r>
        <w:t>, and comparison with peers can lead to effective behaviour change. Chart review and feedback about practice have been shown to be effective in reducing laboratory utilisation, and reducing unnecessary blood transfusions. Interventions that employed physician audit and feedback were associated with significantly lower odds of inappropriate cardiac testing, particularly in hospital settings. However, strategies based on addressing clinical problems and associated tests can be effective in primary care. Modifications or restrictions to test order forms</w:t>
      </w:r>
      <w:r w:rsidRPr="0020140C">
        <w:t xml:space="preserve"> </w:t>
      </w:r>
      <w:r>
        <w:t xml:space="preserve">may </w:t>
      </w:r>
      <w:r w:rsidRPr="0020140C">
        <w:t>improve the appropriateness of diagnos</w:t>
      </w:r>
      <w:r>
        <w:t>tic imaging and pathology tests.</w:t>
      </w:r>
    </w:p>
    <w:p w14:paraId="527A94B0" w14:textId="182D59DA" w:rsidR="00C9672D" w:rsidRPr="000639AC" w:rsidRDefault="00C9672D" w:rsidP="00C9672D">
      <w:pPr>
        <w:pStyle w:val="Normalpara"/>
      </w:pPr>
      <w:r>
        <w:t>Top-down administrative changes or ‘enabling’ strategies are effective, with</w:t>
      </w:r>
      <w:r w:rsidRPr="00B16285">
        <w:t xml:space="preserve"> evidence to suggest that </w:t>
      </w:r>
      <w:r w:rsidR="00151388">
        <w:t>CDS</w:t>
      </w:r>
      <w:r w:rsidRPr="00B16285">
        <w:t xml:space="preserve"> interventions improve the appropriateness of diagnostic imaging and pathology tests requested by health professionals, with CPOE or CDSS appearing to have the greatest body of evidence. </w:t>
      </w:r>
      <w:r w:rsidRPr="00B16285">
        <w:rPr>
          <w:color w:val="000000"/>
          <w:szCs w:val="18"/>
        </w:rPr>
        <w:t>Modifying systems such as order entry can change physician behavio</w:t>
      </w:r>
      <w:r>
        <w:rPr>
          <w:color w:val="000000"/>
          <w:szCs w:val="18"/>
        </w:rPr>
        <w:t>u</w:t>
      </w:r>
      <w:r w:rsidRPr="00B16285">
        <w:rPr>
          <w:color w:val="000000"/>
          <w:szCs w:val="18"/>
        </w:rPr>
        <w:t xml:space="preserve">r, encouraging greater </w:t>
      </w:r>
      <w:r w:rsidRPr="00B16285">
        <w:rPr>
          <w:color w:val="000000"/>
          <w:szCs w:val="18"/>
        </w:rPr>
        <w:lastRenderedPageBreak/>
        <w:t>interaction with the decision support system,</w:t>
      </w:r>
      <w:r>
        <w:rPr>
          <w:color w:val="000000"/>
          <w:szCs w:val="18"/>
        </w:rPr>
        <w:t xml:space="preserve"> </w:t>
      </w:r>
      <w:r w:rsidRPr="00B16285">
        <w:rPr>
          <w:color w:val="000000"/>
          <w:szCs w:val="18"/>
        </w:rPr>
        <w:t>resul</w:t>
      </w:r>
      <w:r>
        <w:rPr>
          <w:color w:val="000000"/>
          <w:szCs w:val="18"/>
        </w:rPr>
        <w:t xml:space="preserve">ting in fewer low-yield orders. </w:t>
      </w:r>
      <w:r>
        <w:t>M</w:t>
      </w:r>
      <w:r w:rsidRPr="00B16285">
        <w:t>odifications or restrictions to test order forms may improve the appropriateness of diagnostic imaging and pathology tests</w:t>
      </w:r>
      <w:r>
        <w:t xml:space="preserve">. Reminders and alerts embedded into the process of care can </w:t>
      </w:r>
      <w:r w:rsidRPr="00247A77">
        <w:rPr>
          <w:color w:val="000000"/>
        </w:rPr>
        <w:t>substantially affect inappropriate test orders</w:t>
      </w:r>
      <w:r>
        <w:rPr>
          <w:color w:val="000000"/>
        </w:rPr>
        <w:t>.</w:t>
      </w:r>
    </w:p>
    <w:p w14:paraId="43A70D96" w14:textId="77777777" w:rsidR="00C9672D" w:rsidRDefault="00C9672D" w:rsidP="00C9672D">
      <w:pPr>
        <w:pStyle w:val="Normalpara"/>
      </w:pPr>
      <w:r>
        <w:t>Although price display has not consistently shown to be effective, cost-awareness strategies are easy to implement and less time and labour intensive than active education, and are hence worthy of consideration.</w:t>
      </w:r>
    </w:p>
    <w:p w14:paraId="7AC111AC" w14:textId="77777777" w:rsidR="00C9672D" w:rsidRDefault="00C9672D" w:rsidP="00C9672D">
      <w:pPr>
        <w:pStyle w:val="Normalpara"/>
      </w:pPr>
      <w:r>
        <w:t>The effectiveness of these strategies in primary care settings in particular remains unclear. Effectiveness and generalisability are of particular importance given that technology-based interventions are tools to support delivery of care and the context in which they are implemented is crucial.</w:t>
      </w:r>
    </w:p>
    <w:p w14:paraId="5BD0000C" w14:textId="77777777" w:rsidR="00C9672D" w:rsidRDefault="00C9672D" w:rsidP="00C9672D">
      <w:pPr>
        <w:pStyle w:val="Normalpara"/>
        <w:sectPr w:rsidR="00C9672D" w:rsidSect="00C9672D">
          <w:footerReference w:type="default" r:id="rId37"/>
          <w:footnotePr>
            <w:numFmt w:val="chicago"/>
            <w:numRestart w:val="eachPage"/>
          </w:footnotePr>
          <w:pgSz w:w="11906" w:h="16838" w:code="9"/>
          <w:pgMar w:top="1134" w:right="1134" w:bottom="1134" w:left="1134" w:header="720" w:footer="442" w:gutter="567"/>
          <w:cols w:space="708"/>
          <w:docGrid w:linePitch="360"/>
        </w:sectPr>
      </w:pPr>
    </w:p>
    <w:p w14:paraId="559EC345" w14:textId="77777777" w:rsidR="00C9672D" w:rsidRDefault="00C9672D" w:rsidP="00553C63">
      <w:pPr>
        <w:pStyle w:val="ApDHead1"/>
        <w:outlineLvl w:val="0"/>
        <w:rPr>
          <w:rFonts w:eastAsia="TimesNewRomanPSMT"/>
        </w:rPr>
      </w:pPr>
      <w:bookmarkStart w:id="406" w:name="_Toc525740594"/>
      <w:bookmarkStart w:id="407" w:name="_Toc525816160"/>
      <w:r>
        <w:rPr>
          <w:rFonts w:eastAsia="TimesNewRomanPSMT"/>
        </w:rPr>
        <w:lastRenderedPageBreak/>
        <w:t>Figures and Tables</w:t>
      </w:r>
      <w:bookmarkEnd w:id="406"/>
      <w:bookmarkEnd w:id="407"/>
    </w:p>
    <w:p w14:paraId="53D0E145" w14:textId="065AF747" w:rsidR="006B3147" w:rsidRPr="00553C63" w:rsidRDefault="00FE1900" w:rsidP="00553C63">
      <w:pPr>
        <w:pStyle w:val="Figure"/>
        <w:rPr>
          <w:b w:val="0"/>
          <w:lang w:val="en-AU" w:eastAsia="en-US"/>
        </w:rPr>
      </w:pPr>
      <w:r w:rsidRPr="00CC0461">
        <w:rPr>
          <w:rStyle w:val="Bold"/>
          <w:lang w:eastAsia="en-AU"/>
        </w:rPr>
        <mc:AlternateContent>
          <mc:Choice Requires="wpg">
            <w:drawing>
              <wp:anchor distT="0" distB="0" distL="114300" distR="114300" simplePos="0" relativeHeight="251662336" behindDoc="0" locked="0" layoutInCell="1" allowOverlap="1" wp14:anchorId="514AAFA6" wp14:editId="39414A99">
                <wp:simplePos x="0" y="0"/>
                <wp:positionH relativeFrom="column">
                  <wp:posOffset>15018</wp:posOffset>
                </wp:positionH>
                <wp:positionV relativeFrom="paragraph">
                  <wp:posOffset>858594</wp:posOffset>
                </wp:positionV>
                <wp:extent cx="6400800" cy="7474688"/>
                <wp:effectExtent l="0" t="0" r="19050" b="12065"/>
                <wp:wrapNone/>
                <wp:docPr id="228" name="Group 228" title="Figure 1: Flow of information through the literature review"/>
                <wp:cNvGraphicFramePr/>
                <a:graphic xmlns:a="http://schemas.openxmlformats.org/drawingml/2006/main">
                  <a:graphicData uri="http://schemas.microsoft.com/office/word/2010/wordprocessingGroup">
                    <wpg:wgp>
                      <wpg:cNvGrpSpPr/>
                      <wpg:grpSpPr>
                        <a:xfrm>
                          <a:off x="0" y="0"/>
                          <a:ext cx="6400800" cy="7474688"/>
                          <a:chOff x="0" y="0"/>
                          <a:chExt cx="6115055" cy="5843099"/>
                        </a:xfrm>
                      </wpg:grpSpPr>
                      <wpg:grpSp>
                        <wpg:cNvPr id="227" name="Group 227"/>
                        <wpg:cNvGrpSpPr/>
                        <wpg:grpSpPr>
                          <a:xfrm>
                            <a:off x="599704" y="742208"/>
                            <a:ext cx="4895850" cy="4380479"/>
                            <a:chOff x="0" y="0"/>
                            <a:chExt cx="4895850" cy="4380479"/>
                          </a:xfrm>
                        </wpg:grpSpPr>
                        <wps:wsp>
                          <wps:cNvPr id="216" name="Straight Connector 216"/>
                          <wps:cNvCnPr/>
                          <wps:spPr>
                            <a:xfrm>
                              <a:off x="2470067" y="184068"/>
                              <a:ext cx="0" cy="4196411"/>
                            </a:xfrm>
                            <a:prstGeom prst="line">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8" name="Straight Connector 218"/>
                          <wps:cNvCnPr/>
                          <wps:spPr>
                            <a:xfrm>
                              <a:off x="0" y="178130"/>
                              <a:ext cx="48958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9" name="Straight Connector 219"/>
                          <wps:cNvCnPr/>
                          <wps:spPr>
                            <a:xfrm>
                              <a:off x="5937" y="0"/>
                              <a:ext cx="0" cy="17951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3265714" y="0"/>
                              <a:ext cx="0" cy="17951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620982" y="0"/>
                              <a:ext cx="0" cy="17951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4886696" y="0"/>
                              <a:ext cx="0" cy="1790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a:off x="3348841" y="2196935"/>
                              <a:ext cx="359330" cy="0"/>
                            </a:xfrm>
                            <a:prstGeom prst="line">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5" name="Straight Connector 225"/>
                          <wps:cNvCnPr/>
                          <wps:spPr>
                            <a:xfrm>
                              <a:off x="3348841" y="3455720"/>
                              <a:ext cx="359330" cy="0"/>
                            </a:xfrm>
                            <a:prstGeom prst="line">
                              <a:avLst/>
                            </a:prstGeom>
                            <a:ln w="1905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0" y="0"/>
                            <a:ext cx="6115055" cy="5843099"/>
                            <a:chOff x="0" y="0"/>
                            <a:chExt cx="6115055" cy="5843099"/>
                          </a:xfrm>
                        </wpg:grpSpPr>
                        <wps:wsp>
                          <wps:cNvPr id="201" name="Rectangle 201"/>
                          <wps:cNvSpPr/>
                          <wps:spPr>
                            <a:xfrm>
                              <a:off x="0" y="0"/>
                              <a:ext cx="1216025" cy="739471"/>
                            </a:xfrm>
                            <a:prstGeom prst="rect">
                              <a:avLst/>
                            </a:prstGeom>
                          </wps:spPr>
                          <wps:style>
                            <a:lnRef idx="2">
                              <a:schemeClr val="dk1"/>
                            </a:lnRef>
                            <a:fillRef idx="1">
                              <a:schemeClr val="lt1"/>
                            </a:fillRef>
                            <a:effectRef idx="0">
                              <a:schemeClr val="dk1"/>
                            </a:effectRef>
                            <a:fontRef idx="minor">
                              <a:schemeClr val="dk1"/>
                            </a:fontRef>
                          </wps:style>
                          <wps:txbx>
                            <w:txbxContent>
                              <w:p w14:paraId="23D8E234"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Medline</w:t>
                                </w:r>
                              </w:p>
                              <w:p w14:paraId="526AB54A"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(2007–present)</w:t>
                                </w:r>
                              </w:p>
                              <w:p w14:paraId="62B9ADE6"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35 citations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1626781" y="0"/>
                              <a:ext cx="1216025" cy="739471"/>
                            </a:xfrm>
                            <a:prstGeom prst="rect">
                              <a:avLst/>
                            </a:prstGeom>
                          </wps:spPr>
                          <wps:style>
                            <a:lnRef idx="2">
                              <a:schemeClr val="dk1"/>
                            </a:lnRef>
                            <a:fillRef idx="1">
                              <a:schemeClr val="lt1"/>
                            </a:fillRef>
                            <a:effectRef idx="0">
                              <a:schemeClr val="dk1"/>
                            </a:effectRef>
                            <a:fontRef idx="minor">
                              <a:schemeClr val="dk1"/>
                            </a:fontRef>
                          </wps:style>
                          <wps:txbx>
                            <w:txbxContent>
                              <w:p w14:paraId="2FD693B5"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Embase</w:t>
                                </w:r>
                              </w:p>
                              <w:p w14:paraId="55ED41DF" w14:textId="77777777" w:rsidR="00FC654A" w:rsidRPr="00C9672D" w:rsidRDefault="00FC654A" w:rsidP="00C9672D">
                                <w:pPr>
                                  <w:jc w:val="center"/>
                                  <w:rPr>
                                    <w:rFonts w:ascii="Arial" w:hAnsi="Arial" w:cs="Arial"/>
                                    <w:sz w:val="19"/>
                                    <w:szCs w:val="19"/>
                                  </w:rPr>
                                </w:pPr>
                                <w:r w:rsidRPr="00D2108C">
                                  <w:rPr>
                                    <w:rFonts w:ascii="Arial" w:hAnsi="Arial" w:cs="Arial"/>
                                    <w:sz w:val="19"/>
                                    <w:szCs w:val="19"/>
                                  </w:rPr>
                                  <w:t>(</w:t>
                                </w:r>
                                <w:r w:rsidRPr="00C9672D">
                                  <w:rPr>
                                    <w:rFonts w:ascii="Arial" w:hAnsi="Arial" w:cs="Arial"/>
                                    <w:sz w:val="19"/>
                                    <w:szCs w:val="19"/>
                                  </w:rPr>
                                  <w:t>2007–present)</w:t>
                                </w:r>
                              </w:p>
                              <w:p w14:paraId="0A04EDEB"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51 citations</w:t>
                                </w:r>
                              </w:p>
                              <w:p w14:paraId="7A28050B"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4826441" y="0"/>
                              <a:ext cx="128861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4A6465A7"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Additional searches</w:t>
                                </w:r>
                              </w:p>
                              <w:p w14:paraId="089C99E7"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96 citations</w:t>
                                </w:r>
                              </w:p>
                              <w:p w14:paraId="7AC8EB69"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3253563" y="0"/>
                              <a:ext cx="1216025" cy="739471"/>
                            </a:xfrm>
                            <a:prstGeom prst="rect">
                              <a:avLst/>
                            </a:prstGeom>
                          </wps:spPr>
                          <wps:style>
                            <a:lnRef idx="2">
                              <a:schemeClr val="dk1"/>
                            </a:lnRef>
                            <a:fillRef idx="1">
                              <a:schemeClr val="lt1"/>
                            </a:fillRef>
                            <a:effectRef idx="0">
                              <a:schemeClr val="dk1"/>
                            </a:effectRef>
                            <a:fontRef idx="minor">
                              <a:schemeClr val="dk1"/>
                            </a:fontRef>
                          </wps:style>
                          <wps:txbx>
                            <w:txbxContent>
                              <w:p w14:paraId="4A72B9EC"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PsycINFO</w:t>
                                </w:r>
                              </w:p>
                              <w:p w14:paraId="2E538108"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(2007–present)</w:t>
                                </w:r>
                              </w:p>
                              <w:p w14:paraId="5489D1C4"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4 citations</w:t>
                                </w:r>
                              </w:p>
                              <w:p w14:paraId="46413F71"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147777" y="1275907"/>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3884C372"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Records after duplicates</w:t>
                                </w:r>
                                <w:r>
                                  <w:rPr>
                                    <w:rFonts w:ascii="Arial" w:hAnsi="Arial" w:cs="Arial"/>
                                    <w:sz w:val="19"/>
                                    <w:szCs w:val="19"/>
                                  </w:rPr>
                                  <w:t> </w:t>
                                </w:r>
                                <w:r w:rsidRPr="00D2108C">
                                  <w:rPr>
                                    <w:rFonts w:ascii="Arial" w:hAnsi="Arial" w:cs="Arial"/>
                                    <w:sz w:val="19"/>
                                    <w:szCs w:val="19"/>
                                  </w:rPr>
                                  <w:t>removed</w:t>
                                </w:r>
                              </w:p>
                              <w:p w14:paraId="584AC68D"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157 articles</w:t>
                                </w:r>
                              </w:p>
                              <w:p w14:paraId="47AFFCC5"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2147777" y="2551814"/>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7B4A23AD"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Articles screened against eligibility</w:t>
                                </w:r>
                                <w:r>
                                  <w:rPr>
                                    <w:rFonts w:ascii="Arial" w:hAnsi="Arial" w:cs="Arial"/>
                                    <w:sz w:val="19"/>
                                    <w:szCs w:val="19"/>
                                  </w:rPr>
                                  <w:t> </w:t>
                                </w:r>
                                <w:r w:rsidRPr="00D2108C">
                                  <w:rPr>
                                    <w:rFonts w:ascii="Arial" w:hAnsi="Arial" w:cs="Arial"/>
                                    <w:sz w:val="19"/>
                                    <w:szCs w:val="19"/>
                                  </w:rPr>
                                  <w:t>criteria</w:t>
                                </w:r>
                              </w:p>
                              <w:p w14:paraId="6647AE3D" w14:textId="77777777" w:rsidR="00FC654A" w:rsidRPr="00CC0461" w:rsidRDefault="00FC654A" w:rsidP="00C9672D">
                                <w:pPr>
                                  <w:jc w:val="center"/>
                                  <w:rPr>
                                    <w:rFonts w:ascii="Arial" w:hAnsi="Arial" w:cs="Arial"/>
                                    <w:color w:val="B66113"/>
                                  </w:rPr>
                                </w:pPr>
                                <w:r w:rsidRPr="00CC0461">
                                  <w:rPr>
                                    <w:rFonts w:ascii="Arial" w:hAnsi="Arial" w:cs="Arial"/>
                                    <w:color w:val="B66113"/>
                                    <w:sz w:val="19"/>
                                    <w:szCs w:val="19"/>
                                  </w:rPr>
                                  <w:t>157 articles</w:t>
                                </w:r>
                              </w:p>
                              <w:p w14:paraId="66F446E1" w14:textId="77777777" w:rsidR="00FC654A" w:rsidRPr="00D2108C" w:rsidRDefault="00FC654A" w:rsidP="00C9672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4306186" y="2551814"/>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4F459D52"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Abstracts excluded after title/abstract screen</w:t>
                                </w:r>
                              </w:p>
                              <w:p w14:paraId="3CB132B3"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107 articles</w:t>
                                </w:r>
                              </w:p>
                              <w:p w14:paraId="74F2C3AF"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2147777" y="3827721"/>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50594351"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Full-text articles assess for</w:t>
                                </w:r>
                                <w:r>
                                  <w:rPr>
                                    <w:rFonts w:ascii="Arial" w:hAnsi="Arial" w:cs="Arial"/>
                                    <w:sz w:val="19"/>
                                    <w:szCs w:val="19"/>
                                  </w:rPr>
                                  <w:t> </w:t>
                                </w:r>
                                <w:r w:rsidRPr="00D2108C">
                                  <w:rPr>
                                    <w:rFonts w:ascii="Arial" w:hAnsi="Arial" w:cs="Arial"/>
                                    <w:sz w:val="19"/>
                                    <w:szCs w:val="19"/>
                                  </w:rPr>
                                  <w:t>eligibility</w:t>
                                </w:r>
                              </w:p>
                              <w:p w14:paraId="0B7869C6"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50 articles</w:t>
                                </w:r>
                              </w:p>
                              <w:p w14:paraId="257E8143"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4306186" y="3827721"/>
                              <a:ext cx="1788795" cy="739140"/>
                            </a:xfrm>
                            <a:prstGeom prst="rect">
                              <a:avLst/>
                            </a:prstGeom>
                          </wps:spPr>
                          <wps:style>
                            <a:lnRef idx="2">
                              <a:schemeClr val="dk1"/>
                            </a:lnRef>
                            <a:fillRef idx="1">
                              <a:schemeClr val="lt1"/>
                            </a:fillRef>
                            <a:effectRef idx="0">
                              <a:schemeClr val="dk1"/>
                            </a:effectRef>
                            <a:fontRef idx="minor">
                              <a:schemeClr val="dk1"/>
                            </a:fontRef>
                          </wps:style>
                          <wps:txbx>
                            <w:txbxContent>
                              <w:p w14:paraId="67F5EB1F"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Full-text articles excluded (eligibility criteria not met)</w:t>
                                </w:r>
                              </w:p>
                              <w:p w14:paraId="6049E91D" w14:textId="77777777" w:rsidR="00FC654A" w:rsidRPr="00D2108C" w:rsidRDefault="00FC654A" w:rsidP="00C9672D">
                                <w:pPr>
                                  <w:jc w:val="center"/>
                                  <w:rPr>
                                    <w:rFonts w:ascii="Arial" w:hAnsi="Arial" w:cs="Arial"/>
                                    <w:color w:val="7030A0"/>
                                    <w:sz w:val="19"/>
                                    <w:szCs w:val="19"/>
                                  </w:rPr>
                                </w:pPr>
                                <w:r w:rsidRPr="00CC0461">
                                  <w:rPr>
                                    <w:rFonts w:ascii="Arial" w:hAnsi="Arial" w:cs="Arial"/>
                                    <w:color w:val="B66113"/>
                                    <w:sz w:val="19"/>
                                    <w:szCs w:val="19"/>
                                  </w:rPr>
                                  <w:t>31 articles</w:t>
                                </w:r>
                              </w:p>
                              <w:p w14:paraId="0E80F593"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147777" y="5103628"/>
                              <a:ext cx="1789044" cy="739471"/>
                            </a:xfrm>
                            <a:prstGeom prst="rect">
                              <a:avLst/>
                            </a:prstGeom>
                          </wps:spPr>
                          <wps:style>
                            <a:lnRef idx="2">
                              <a:schemeClr val="dk1"/>
                            </a:lnRef>
                            <a:fillRef idx="1">
                              <a:schemeClr val="lt1"/>
                            </a:fillRef>
                            <a:effectRef idx="0">
                              <a:schemeClr val="dk1"/>
                            </a:effectRef>
                            <a:fontRef idx="minor">
                              <a:schemeClr val="dk1"/>
                            </a:fontRef>
                          </wps:style>
                          <wps:txbx>
                            <w:txbxContent>
                              <w:p w14:paraId="01783931"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Studies included in the qualitative synthesis</w:t>
                                </w:r>
                              </w:p>
                              <w:p w14:paraId="7C36B230"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19 articles</w:t>
                                </w:r>
                              </w:p>
                              <w:p w14:paraId="595ECDC7" w14:textId="77777777" w:rsidR="00FC654A" w:rsidRPr="00D2108C" w:rsidRDefault="00FC654A" w:rsidP="00C9672D">
                                <w:pPr>
                                  <w:jc w:val="cente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4AAFA6" id="Group 228" o:spid="_x0000_s1027" alt="Title: Figure 1: Flow of information through the literature review" style="position:absolute;margin-left:1.2pt;margin-top:67.6pt;width:7in;height:588.55pt;z-index:251662336;mso-width-relative:margin;mso-height-relative:margin" coordsize="61150,5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">
                <v:group id="Group 227" o:spid="_x0000_s1028" style="position:absolute;left:5997;top:7422;width:48958;height:43804" coordsize="48958,4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Straight Connector 216" o:spid="_x0000_s1029" style="position:absolute;visibility:visible;mso-wrap-style:square" from="24700,1840" to="24700,4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" strokecolor="black [3040]" strokeweight="1.5pt">
                    <v:stroke endarrow="block"/>
                  </v:line>
                  <v:line id="Straight Connector 218" o:spid="_x0000_s1030" style="position:absolute;visibility:visible;mso-wrap-style:square" from="0,1781" to="48958,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" strokecolor="black [3040]" strokeweight="1.5pt"/>
                  <v:line id="Straight Connector 219" o:spid="_x0000_s1031" style="position:absolute;visibility:visible;mso-wrap-style:square" from="59,0" to="59,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" strokecolor="black [3040]" strokeweight="1.5pt"/>
                  <v:line id="Straight Connector 221" o:spid="_x0000_s1032" style="position:absolute;visibility:visible;mso-wrap-style:square" from="32657,0" to="32657,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33" style="position:absolute;visibility:visible;mso-wrap-style:square" from="16209,0" to="16209,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34" style="position:absolute;visibility:visible;mso-wrap-style:square" from="48866,0" to="48866,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224" o:spid="_x0000_s1035" style="position:absolute;visibility:visible;mso-wrap-style:square" from="33488,21969" to="37081,2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" strokecolor="black [3040]" strokeweight="1.5pt">
                    <v:stroke endarrow="block"/>
                  </v:line>
                  <v:line id="Straight Connector 225" o:spid="_x0000_s1036" style="position:absolute;visibility:visible;mso-wrap-style:square" from="33488,34557" to="37081,3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" strokecolor="black [3040]" strokeweight="1.5pt">
                    <v:stroke endarrow="block"/>
                  </v:line>
                </v:group>
                <v:group id="Group 226" o:spid="_x0000_s1037" style="position:absolute;width:61150;height:58430" coordsize="61150,5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201" o:spid="_x0000_s1038" style="position:absolute;width:12160;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" fillcolor="white [3201]" strokecolor="black [3200]" strokeweight="2pt">
                    <v:textbox>
                      <w:txbxContent>
                        <w:p w14:paraId="23D8E234"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Medline</w:t>
                          </w:r>
                        </w:p>
                        <w:p w14:paraId="526AB54A"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(2007–present)</w:t>
                          </w:r>
                        </w:p>
                        <w:p w14:paraId="62B9ADE6"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35 citations</w:t>
                          </w:r>
                        </w:p>
                      </w:txbxContent>
                    </v:textbox>
                  </v:rect>
                  <v:rect id="Rectangle 202" o:spid="_x0000_s1039" style="position:absolute;left:16267;width:1216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" fillcolor="white [3201]" strokecolor="black [3200]" strokeweight="2pt">
                    <v:textbox>
                      <w:txbxContent>
                        <w:p w14:paraId="2FD693B5" w14:textId="77777777" w:rsidR="00FC654A" w:rsidRPr="00D2108C" w:rsidRDefault="00FC654A" w:rsidP="00C9672D">
                          <w:pPr>
                            <w:jc w:val="center"/>
                            <w:rPr>
                              <w:rFonts w:ascii="Arial" w:hAnsi="Arial" w:cs="Arial"/>
                              <w:sz w:val="19"/>
                              <w:szCs w:val="19"/>
                            </w:rPr>
                          </w:pPr>
                          <w:proofErr w:type="spellStart"/>
                          <w:r w:rsidRPr="00D2108C">
                            <w:rPr>
                              <w:rFonts w:ascii="Arial" w:hAnsi="Arial" w:cs="Arial"/>
                              <w:sz w:val="19"/>
                              <w:szCs w:val="19"/>
                            </w:rPr>
                            <w:t>Embase</w:t>
                          </w:r>
                          <w:proofErr w:type="spellEnd"/>
                        </w:p>
                        <w:p w14:paraId="55ED41DF" w14:textId="77777777" w:rsidR="00FC654A" w:rsidRPr="00C9672D" w:rsidRDefault="00FC654A" w:rsidP="00C9672D">
                          <w:pPr>
                            <w:jc w:val="center"/>
                            <w:rPr>
                              <w:rFonts w:ascii="Arial" w:hAnsi="Arial" w:cs="Arial"/>
                              <w:sz w:val="19"/>
                              <w:szCs w:val="19"/>
                            </w:rPr>
                          </w:pPr>
                          <w:r w:rsidRPr="00D2108C">
                            <w:rPr>
                              <w:rFonts w:ascii="Arial" w:hAnsi="Arial" w:cs="Arial"/>
                              <w:sz w:val="19"/>
                              <w:szCs w:val="19"/>
                            </w:rPr>
                            <w:t>(</w:t>
                          </w:r>
                          <w:r w:rsidRPr="00C9672D">
                            <w:rPr>
                              <w:rFonts w:ascii="Arial" w:hAnsi="Arial" w:cs="Arial"/>
                              <w:sz w:val="19"/>
                              <w:szCs w:val="19"/>
                            </w:rPr>
                            <w:t>2007–present)</w:t>
                          </w:r>
                        </w:p>
                        <w:p w14:paraId="0A04EDEB"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51 citations</w:t>
                          </w:r>
                        </w:p>
                        <w:p w14:paraId="7A28050B" w14:textId="77777777" w:rsidR="00FC654A" w:rsidRPr="00D2108C" w:rsidRDefault="00FC654A" w:rsidP="00C9672D">
                          <w:pPr>
                            <w:jc w:val="center"/>
                            <w:rPr>
                              <w:rFonts w:ascii="Arial" w:hAnsi="Arial" w:cs="Arial"/>
                              <w:sz w:val="19"/>
                              <w:szCs w:val="19"/>
                            </w:rPr>
                          </w:pPr>
                        </w:p>
                      </w:txbxContent>
                    </v:textbox>
                  </v:rect>
                  <v:rect id="Rectangle 203" o:spid="_x0000_s1040" style="position:absolute;left:48264;width:12886;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2KxQAAANwAAAAPAAAAZHJzL2Rvd25yZXYueG1sRI9Ba4NA&#10;FITvgfyH5RV6S9YaCK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CFsw2KxQAAANwAAAAP&#10;AAAAAAAAAAAAAAAAAAcCAABkcnMvZG93bnJldi54bWxQSwUGAAAAAAMAAwC3AAAA+QIAAAAA&#10;" fillcolor="white [3201]" strokecolor="black [3200]" strokeweight="2pt">
                    <v:textbox>
                      <w:txbxContent>
                        <w:p w14:paraId="4A6465A7"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Additional searches</w:t>
                          </w:r>
                        </w:p>
                        <w:p w14:paraId="089C99E7"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96 citations</w:t>
                          </w:r>
                        </w:p>
                        <w:p w14:paraId="7AC8EB69" w14:textId="77777777" w:rsidR="00FC654A" w:rsidRPr="00D2108C" w:rsidRDefault="00FC654A" w:rsidP="00C9672D">
                          <w:pPr>
                            <w:jc w:val="center"/>
                            <w:rPr>
                              <w:rFonts w:ascii="Arial" w:hAnsi="Arial" w:cs="Arial"/>
                              <w:sz w:val="19"/>
                              <w:szCs w:val="19"/>
                            </w:rPr>
                          </w:pPr>
                        </w:p>
                      </w:txbxContent>
                    </v:textbox>
                  </v:rect>
                  <v:rect id="Rectangle 205" o:spid="_x0000_s1041" style="position:absolute;left:32535;width:12160;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Bl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BlFjBlxQAAANwAAAAP&#10;AAAAAAAAAAAAAAAAAAcCAABkcnMvZG93bnJldi54bWxQSwUGAAAAAAMAAwC3AAAA+QIAAAAA&#10;" fillcolor="white [3201]" strokecolor="black [3200]" strokeweight="2pt">
                    <v:textbox>
                      <w:txbxContent>
                        <w:p w14:paraId="4A72B9EC" w14:textId="77777777" w:rsidR="00FC654A" w:rsidRPr="00D2108C" w:rsidRDefault="00FC654A" w:rsidP="00C9672D">
                          <w:pPr>
                            <w:jc w:val="center"/>
                            <w:rPr>
                              <w:rFonts w:ascii="Arial" w:hAnsi="Arial" w:cs="Arial"/>
                              <w:sz w:val="19"/>
                              <w:szCs w:val="19"/>
                            </w:rPr>
                          </w:pPr>
                          <w:proofErr w:type="spellStart"/>
                          <w:r w:rsidRPr="00D2108C">
                            <w:rPr>
                              <w:rFonts w:ascii="Arial" w:hAnsi="Arial" w:cs="Arial"/>
                              <w:sz w:val="19"/>
                              <w:szCs w:val="19"/>
                            </w:rPr>
                            <w:t>PsycINFO</w:t>
                          </w:r>
                          <w:proofErr w:type="spellEnd"/>
                        </w:p>
                        <w:p w14:paraId="2E538108"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(2007–present)</w:t>
                          </w:r>
                        </w:p>
                        <w:p w14:paraId="5489D1C4"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4 citations</w:t>
                          </w:r>
                        </w:p>
                        <w:p w14:paraId="46413F71" w14:textId="77777777" w:rsidR="00FC654A" w:rsidRPr="00D2108C" w:rsidRDefault="00FC654A" w:rsidP="00C9672D">
                          <w:pPr>
                            <w:jc w:val="center"/>
                            <w:rPr>
                              <w:rFonts w:ascii="Arial" w:hAnsi="Arial" w:cs="Arial"/>
                              <w:sz w:val="19"/>
                              <w:szCs w:val="19"/>
                            </w:rPr>
                          </w:pPr>
                        </w:p>
                      </w:txbxContent>
                    </v:textbox>
                  </v:rect>
                  <v:rect id="Rectangle 206" o:spid="_x0000_s1042" style="position:absolute;left:21477;top:12759;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" fillcolor="white [3201]" strokecolor="black [3200]" strokeweight="2pt">
                    <v:textbox>
                      <w:txbxContent>
                        <w:p w14:paraId="3884C372"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Records after duplicates</w:t>
                          </w:r>
                          <w:r>
                            <w:rPr>
                              <w:rFonts w:ascii="Arial" w:hAnsi="Arial" w:cs="Arial"/>
                              <w:sz w:val="19"/>
                              <w:szCs w:val="19"/>
                            </w:rPr>
                            <w:t> </w:t>
                          </w:r>
                          <w:r w:rsidRPr="00D2108C">
                            <w:rPr>
                              <w:rFonts w:ascii="Arial" w:hAnsi="Arial" w:cs="Arial"/>
                              <w:sz w:val="19"/>
                              <w:szCs w:val="19"/>
                            </w:rPr>
                            <w:t>removed</w:t>
                          </w:r>
                        </w:p>
                        <w:p w14:paraId="584AC68D"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157 articles</w:t>
                          </w:r>
                        </w:p>
                        <w:p w14:paraId="47AFFCC5" w14:textId="77777777" w:rsidR="00FC654A" w:rsidRPr="00D2108C" w:rsidRDefault="00FC654A" w:rsidP="00C9672D">
                          <w:pPr>
                            <w:jc w:val="center"/>
                            <w:rPr>
                              <w:rFonts w:ascii="Arial" w:hAnsi="Arial" w:cs="Arial"/>
                              <w:sz w:val="19"/>
                              <w:szCs w:val="19"/>
                            </w:rPr>
                          </w:pPr>
                        </w:p>
                      </w:txbxContent>
                    </v:textbox>
                  </v:rect>
                  <v:rect id="Rectangle 207" o:spid="_x0000_s1043" style="position:absolute;left:21477;top:25518;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" fillcolor="white [3201]" strokecolor="black [3200]" strokeweight="2pt">
                    <v:textbox>
                      <w:txbxContent>
                        <w:p w14:paraId="7B4A23AD"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Articles screened against eligibility</w:t>
                          </w:r>
                          <w:r>
                            <w:rPr>
                              <w:rFonts w:ascii="Arial" w:hAnsi="Arial" w:cs="Arial"/>
                              <w:sz w:val="19"/>
                              <w:szCs w:val="19"/>
                            </w:rPr>
                            <w:t> </w:t>
                          </w:r>
                          <w:r w:rsidRPr="00D2108C">
                            <w:rPr>
                              <w:rFonts w:ascii="Arial" w:hAnsi="Arial" w:cs="Arial"/>
                              <w:sz w:val="19"/>
                              <w:szCs w:val="19"/>
                            </w:rPr>
                            <w:t>criteria</w:t>
                          </w:r>
                        </w:p>
                        <w:p w14:paraId="6647AE3D" w14:textId="77777777" w:rsidR="00FC654A" w:rsidRPr="00CC0461" w:rsidRDefault="00FC654A" w:rsidP="00C9672D">
                          <w:pPr>
                            <w:jc w:val="center"/>
                            <w:rPr>
                              <w:rFonts w:ascii="Arial" w:hAnsi="Arial" w:cs="Arial"/>
                              <w:color w:val="B66113"/>
                            </w:rPr>
                          </w:pPr>
                          <w:r w:rsidRPr="00CC0461">
                            <w:rPr>
                              <w:rFonts w:ascii="Arial" w:hAnsi="Arial" w:cs="Arial"/>
                              <w:color w:val="B66113"/>
                              <w:sz w:val="19"/>
                              <w:szCs w:val="19"/>
                            </w:rPr>
                            <w:t>157 articles</w:t>
                          </w:r>
                        </w:p>
                        <w:p w14:paraId="66F446E1" w14:textId="77777777" w:rsidR="00FC654A" w:rsidRPr="00D2108C" w:rsidRDefault="00FC654A" w:rsidP="00C9672D">
                          <w:pPr>
                            <w:jc w:val="center"/>
                            <w:rPr>
                              <w:rFonts w:ascii="Arial" w:hAnsi="Arial" w:cs="Arial"/>
                            </w:rPr>
                          </w:pPr>
                        </w:p>
                      </w:txbxContent>
                    </v:textbox>
                  </v:rect>
                  <v:rect id="Rectangle 208" o:spid="_x0000_s1044" style="position:absolute;left:43061;top:25518;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" fillcolor="white [3201]" strokecolor="black [3200]" strokeweight="2pt">
                    <v:textbox>
                      <w:txbxContent>
                        <w:p w14:paraId="4F459D52"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Abstracts excluded after title/abstract screen</w:t>
                          </w:r>
                        </w:p>
                        <w:p w14:paraId="3CB132B3"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107 articles</w:t>
                          </w:r>
                        </w:p>
                        <w:p w14:paraId="74F2C3AF" w14:textId="77777777" w:rsidR="00FC654A" w:rsidRPr="00D2108C" w:rsidRDefault="00FC654A" w:rsidP="00C9672D">
                          <w:pPr>
                            <w:jc w:val="center"/>
                            <w:rPr>
                              <w:rFonts w:ascii="Arial" w:hAnsi="Arial" w:cs="Arial"/>
                              <w:sz w:val="19"/>
                              <w:szCs w:val="19"/>
                            </w:rPr>
                          </w:pPr>
                        </w:p>
                      </w:txbxContent>
                    </v:textbox>
                  </v:rect>
                  <v:rect id="Rectangle 209" o:spid="_x0000_s1045" style="position:absolute;left:21477;top:38277;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" fillcolor="white [3201]" strokecolor="black [3200]" strokeweight="2pt">
                    <v:textbox>
                      <w:txbxContent>
                        <w:p w14:paraId="50594351"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Full-text articles assess for</w:t>
                          </w:r>
                          <w:r>
                            <w:rPr>
                              <w:rFonts w:ascii="Arial" w:hAnsi="Arial" w:cs="Arial"/>
                              <w:sz w:val="19"/>
                              <w:szCs w:val="19"/>
                            </w:rPr>
                            <w:t> </w:t>
                          </w:r>
                          <w:r w:rsidRPr="00D2108C">
                            <w:rPr>
                              <w:rFonts w:ascii="Arial" w:hAnsi="Arial" w:cs="Arial"/>
                              <w:sz w:val="19"/>
                              <w:szCs w:val="19"/>
                            </w:rPr>
                            <w:t>eligibility</w:t>
                          </w:r>
                        </w:p>
                        <w:p w14:paraId="0B7869C6"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50 articles</w:t>
                          </w:r>
                        </w:p>
                        <w:p w14:paraId="257E8143" w14:textId="77777777" w:rsidR="00FC654A" w:rsidRPr="00D2108C" w:rsidRDefault="00FC654A" w:rsidP="00C9672D">
                          <w:pPr>
                            <w:jc w:val="center"/>
                            <w:rPr>
                              <w:rFonts w:ascii="Arial" w:hAnsi="Arial" w:cs="Arial"/>
                              <w:sz w:val="19"/>
                              <w:szCs w:val="19"/>
                            </w:rPr>
                          </w:pPr>
                        </w:p>
                      </w:txbxContent>
                    </v:textbox>
                  </v:rect>
                  <v:rect id="Rectangle 210" o:spid="_x0000_s1046" style="position:absolute;left:43061;top:38277;width:17888;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" fillcolor="white [3201]" strokecolor="black [3200]" strokeweight="2pt">
                    <v:textbox>
                      <w:txbxContent>
                        <w:p w14:paraId="67F5EB1F"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Full-text articles excluded (eligibility criteria not met)</w:t>
                          </w:r>
                        </w:p>
                        <w:p w14:paraId="6049E91D" w14:textId="77777777" w:rsidR="00FC654A" w:rsidRPr="00D2108C" w:rsidRDefault="00FC654A" w:rsidP="00C9672D">
                          <w:pPr>
                            <w:jc w:val="center"/>
                            <w:rPr>
                              <w:rFonts w:ascii="Arial" w:hAnsi="Arial" w:cs="Arial"/>
                              <w:color w:val="7030A0"/>
                              <w:sz w:val="19"/>
                              <w:szCs w:val="19"/>
                            </w:rPr>
                          </w:pPr>
                          <w:r w:rsidRPr="00CC0461">
                            <w:rPr>
                              <w:rFonts w:ascii="Arial" w:hAnsi="Arial" w:cs="Arial"/>
                              <w:color w:val="B66113"/>
                              <w:sz w:val="19"/>
                              <w:szCs w:val="19"/>
                            </w:rPr>
                            <w:t>31 articles</w:t>
                          </w:r>
                        </w:p>
                        <w:p w14:paraId="0E80F593" w14:textId="77777777" w:rsidR="00FC654A" w:rsidRPr="00D2108C" w:rsidRDefault="00FC654A" w:rsidP="00C9672D">
                          <w:pPr>
                            <w:jc w:val="center"/>
                            <w:rPr>
                              <w:rFonts w:ascii="Arial" w:hAnsi="Arial" w:cs="Arial"/>
                              <w:sz w:val="19"/>
                              <w:szCs w:val="19"/>
                            </w:rPr>
                          </w:pPr>
                        </w:p>
                      </w:txbxContent>
                    </v:textbox>
                  </v:rect>
                  <v:rect id="Rectangle 211" o:spid="_x0000_s1047" style="position:absolute;left:21477;top:51036;width:17891;height:7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" fillcolor="white [3201]" strokecolor="black [3200]" strokeweight="2pt">
                    <v:textbox>
                      <w:txbxContent>
                        <w:p w14:paraId="01783931" w14:textId="77777777" w:rsidR="00FC654A" w:rsidRPr="00D2108C" w:rsidRDefault="00FC654A" w:rsidP="00C9672D">
                          <w:pPr>
                            <w:jc w:val="center"/>
                            <w:rPr>
                              <w:rFonts w:ascii="Arial" w:hAnsi="Arial" w:cs="Arial"/>
                              <w:sz w:val="19"/>
                              <w:szCs w:val="19"/>
                            </w:rPr>
                          </w:pPr>
                          <w:r w:rsidRPr="00D2108C">
                            <w:rPr>
                              <w:rFonts w:ascii="Arial" w:hAnsi="Arial" w:cs="Arial"/>
                              <w:sz w:val="19"/>
                              <w:szCs w:val="19"/>
                            </w:rPr>
                            <w:t>Studies included in the qualitative synthesis</w:t>
                          </w:r>
                        </w:p>
                        <w:p w14:paraId="7C36B230" w14:textId="77777777" w:rsidR="00FC654A" w:rsidRPr="00CC0461" w:rsidRDefault="00FC654A" w:rsidP="00C9672D">
                          <w:pPr>
                            <w:jc w:val="center"/>
                            <w:rPr>
                              <w:rFonts w:ascii="Arial" w:hAnsi="Arial" w:cs="Arial"/>
                              <w:color w:val="B66113"/>
                              <w:sz w:val="19"/>
                              <w:szCs w:val="19"/>
                            </w:rPr>
                          </w:pPr>
                          <w:r w:rsidRPr="00CC0461">
                            <w:rPr>
                              <w:rFonts w:ascii="Arial" w:hAnsi="Arial" w:cs="Arial"/>
                              <w:color w:val="B66113"/>
                              <w:sz w:val="19"/>
                              <w:szCs w:val="19"/>
                            </w:rPr>
                            <w:t>19 articles</w:t>
                          </w:r>
                        </w:p>
                        <w:p w14:paraId="595ECDC7" w14:textId="77777777" w:rsidR="00FC654A" w:rsidRPr="00D2108C" w:rsidRDefault="00FC654A" w:rsidP="00C9672D">
                          <w:pPr>
                            <w:jc w:val="center"/>
                            <w:rPr>
                              <w:rFonts w:ascii="Arial" w:hAnsi="Arial" w:cs="Arial"/>
                              <w:sz w:val="19"/>
                              <w:szCs w:val="19"/>
                            </w:rPr>
                          </w:pPr>
                        </w:p>
                      </w:txbxContent>
                    </v:textbox>
                  </v:rect>
                </v:group>
              </v:group>
            </w:pict>
          </mc:Fallback>
        </mc:AlternateContent>
      </w:r>
      <w:r w:rsidR="00C9672D" w:rsidRPr="00CC0461">
        <w:rPr>
          <w:rStyle w:val="Bold"/>
        </w:rPr>
        <w:t>Figure 1. Flow of information through the literature review</w:t>
      </w:r>
    </w:p>
    <w:p w14:paraId="0F5EEE82" w14:textId="77777777" w:rsidR="006B3147" w:rsidRDefault="006B3147" w:rsidP="006B3147">
      <w:pPr>
        <w:rPr>
          <w:lang w:eastAsia="en-US"/>
        </w:rPr>
      </w:pPr>
    </w:p>
    <w:p w14:paraId="47F0ADEB" w14:textId="77777777" w:rsidR="00C9672D" w:rsidRPr="006B3147" w:rsidRDefault="00C9672D" w:rsidP="006B3147">
      <w:pPr>
        <w:rPr>
          <w:lang w:eastAsia="en-US"/>
        </w:rPr>
        <w:sectPr w:rsidR="00C9672D" w:rsidRPr="006B3147" w:rsidSect="00C9672D">
          <w:footerReference w:type="default" r:id="rId38"/>
          <w:footnotePr>
            <w:numFmt w:val="chicago"/>
            <w:numRestart w:val="eachPage"/>
          </w:footnotePr>
          <w:pgSz w:w="11906" w:h="16838" w:code="9"/>
          <w:pgMar w:top="1134" w:right="1134" w:bottom="1134" w:left="1134" w:header="720" w:footer="442" w:gutter="567"/>
          <w:cols w:space="708"/>
          <w:docGrid w:linePitch="360"/>
        </w:sectPr>
      </w:pPr>
    </w:p>
    <w:p w14:paraId="774CEF27" w14:textId="77777777" w:rsidR="00C9672D" w:rsidRPr="00EB46E4" w:rsidRDefault="00C9672D" w:rsidP="00C9672D">
      <w:pPr>
        <w:pStyle w:val="Figure"/>
        <w:rPr>
          <w:rStyle w:val="Bold"/>
        </w:rPr>
      </w:pPr>
      <w:bookmarkStart w:id="408" w:name="_Ref485887634"/>
      <w:r w:rsidRPr="00EB46E4">
        <w:rPr>
          <w:rStyle w:val="Bold"/>
        </w:rPr>
        <w:lastRenderedPageBreak/>
        <w:t>Table 2. Summary of included studies</w:t>
      </w:r>
      <w:bookmarkEnd w:id="408"/>
    </w:p>
    <w:tbl>
      <w:tblPr>
        <w:tblStyle w:val="TableNPSstandard"/>
        <w:tblW w:w="5000" w:type="pct"/>
        <w:tblLook w:val="06A0" w:firstRow="1" w:lastRow="0" w:firstColumn="1" w:lastColumn="0" w:noHBand="1" w:noVBand="1"/>
        <w:tblCaption w:val="Table 2, Summary of included studies"/>
        <w:tblDescription w:val="The table is presented in three columns: column 1 is first author (year); column 2 is 'title' and column 3 lists 'Review Characteristics'"/>
      </w:tblPr>
      <w:tblGrid>
        <w:gridCol w:w="2162"/>
        <w:gridCol w:w="3281"/>
        <w:gridCol w:w="9127"/>
      </w:tblGrid>
      <w:tr w:rsidR="00C9672D" w:rsidRPr="00CC0461" w14:paraId="1F92C524" w14:textId="77777777" w:rsidTr="00660D7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42" w:type="pct"/>
            <w:tcBorders>
              <w:bottom w:val="single" w:sz="18" w:space="0" w:color="B66113"/>
            </w:tcBorders>
            <w:shd w:val="clear" w:color="auto" w:fill="F2F2F2" w:themeFill="background1" w:themeFillShade="F2"/>
            <w:hideMark/>
          </w:tcPr>
          <w:p w14:paraId="5D7FA2C1"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1126" w:type="pct"/>
            <w:tcBorders>
              <w:bottom w:val="single" w:sz="18" w:space="0" w:color="B66113"/>
            </w:tcBorders>
            <w:shd w:val="clear" w:color="auto" w:fill="F2F2F2" w:themeFill="background1" w:themeFillShade="F2"/>
            <w:hideMark/>
          </w:tcPr>
          <w:p w14:paraId="04939C0F"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Title</w:t>
            </w:r>
          </w:p>
        </w:tc>
        <w:tc>
          <w:tcPr>
            <w:tcW w:w="3132" w:type="pct"/>
            <w:tcBorders>
              <w:bottom w:val="single" w:sz="18" w:space="0" w:color="B66113"/>
            </w:tcBorders>
            <w:shd w:val="clear" w:color="auto" w:fill="F2F2F2" w:themeFill="background1" w:themeFillShade="F2"/>
            <w:hideMark/>
          </w:tcPr>
          <w:p w14:paraId="2DD6AC0A"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Review characteristics</w:t>
            </w:r>
          </w:p>
        </w:tc>
      </w:tr>
      <w:tr w:rsidR="00C9672D" w:rsidRPr="00CC0461" w14:paraId="19C0DF0B" w14:textId="77777777" w:rsidTr="00C9672D">
        <w:trPr>
          <w:trHeight w:val="1637"/>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5CA1B0D2" w14:textId="77777777" w:rsidR="00C9672D" w:rsidRPr="00CC0461" w:rsidRDefault="00C9672D" w:rsidP="006D0861">
            <w:pPr>
              <w:pStyle w:val="Normalpara"/>
            </w:pPr>
            <w:r w:rsidRPr="00CC0461">
              <w:t>Bright TJ (2012)</w:t>
            </w:r>
          </w:p>
        </w:tc>
        <w:tc>
          <w:tcPr>
            <w:tcW w:w="1126" w:type="pct"/>
            <w:tcBorders>
              <w:top w:val="single" w:sz="18" w:space="0" w:color="B66113"/>
              <w:bottom w:val="single" w:sz="4" w:space="0" w:color="C0C0C0"/>
            </w:tcBorders>
            <w:hideMark/>
          </w:tcPr>
          <w:p w14:paraId="420951B7"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Effect of clinical decision support systems: a systematic review</w:t>
            </w:r>
          </w:p>
        </w:tc>
        <w:tc>
          <w:tcPr>
            <w:tcW w:w="3132" w:type="pct"/>
            <w:tcBorders>
              <w:top w:val="single" w:sz="18" w:space="0" w:color="B66113"/>
              <w:bottom w:val="single" w:sz="4" w:space="0" w:color="C0C0C0"/>
            </w:tcBorders>
            <w:hideMark/>
          </w:tcPr>
          <w:p w14:paraId="7A90A2C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148 studies</w:t>
            </w:r>
            <w:r w:rsidRPr="00CC0461">
              <w:br/>
              <w:t>Study design: RCT</w:t>
            </w:r>
            <w:r w:rsidRPr="00CC0461">
              <w:br/>
              <w:t xml:space="preserve">Population: healthcare providers </w:t>
            </w:r>
            <w:r w:rsidRPr="00CC0461">
              <w:br/>
              <w:t>Intervention: Ds</w:t>
            </w:r>
            <w:r w:rsidRPr="00CC0461">
              <w:br/>
              <w:t>Outcome category: b, e, f</w:t>
            </w:r>
            <w:r w:rsidRPr="00CC0461">
              <w:br/>
              <w:t>Effectiveness measure: meta-analysis (OR, RR)</w:t>
            </w:r>
            <w:r w:rsidRPr="00CC0461">
              <w:br/>
              <w:t>AMSTAR quality score: 5</w:t>
            </w:r>
          </w:p>
        </w:tc>
      </w:tr>
      <w:tr w:rsidR="00C9672D" w:rsidRPr="00CC0461" w14:paraId="4FC2BDCC" w14:textId="77777777" w:rsidTr="00C9672D">
        <w:trPr>
          <w:trHeight w:val="1619"/>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2" w:space="0" w:color="D9D9D9" w:themeColor="background1" w:themeShade="D9"/>
            </w:tcBorders>
            <w:hideMark/>
          </w:tcPr>
          <w:p w14:paraId="1739787F" w14:textId="77777777" w:rsidR="00C9672D" w:rsidRPr="00CC0461" w:rsidRDefault="00C9672D" w:rsidP="006D0861">
            <w:pPr>
              <w:pStyle w:val="Normalpara"/>
            </w:pPr>
            <w:r w:rsidRPr="00CC0461">
              <w:t>Cadogan SL (2015)</w:t>
            </w:r>
          </w:p>
        </w:tc>
        <w:tc>
          <w:tcPr>
            <w:tcW w:w="1126" w:type="pct"/>
            <w:tcBorders>
              <w:top w:val="single" w:sz="4" w:space="0" w:color="C0C0C0"/>
              <w:bottom w:val="single" w:sz="2" w:space="0" w:color="D9D9D9" w:themeColor="background1" w:themeShade="D9"/>
            </w:tcBorders>
            <w:hideMark/>
          </w:tcPr>
          <w:p w14:paraId="12D06F44"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effectiveness of interventions to improve laboratory requesting patterns among primary care physicians: a systematic review</w:t>
            </w:r>
          </w:p>
        </w:tc>
        <w:tc>
          <w:tcPr>
            <w:tcW w:w="3132" w:type="pct"/>
            <w:tcBorders>
              <w:top w:val="single" w:sz="4" w:space="0" w:color="C0C0C0"/>
              <w:bottom w:val="single" w:sz="2" w:space="0" w:color="D9D9D9" w:themeColor="background1" w:themeShade="D9"/>
            </w:tcBorders>
            <w:hideMark/>
          </w:tcPr>
          <w:p w14:paraId="61492FFC"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11 studies</w:t>
            </w:r>
            <w:r w:rsidRPr="00CC0461">
              <w:br/>
              <w:t xml:space="preserve">Study design: SR, RCT, CCT, BA, ITS </w:t>
            </w:r>
            <w:r w:rsidRPr="00CC0461">
              <w:br/>
              <w:t xml:space="preserve">Population: primary care physicians </w:t>
            </w:r>
            <w:r w:rsidRPr="00CC0461">
              <w:br/>
              <w:t>Intervention: Af, Ds, Ed, Qi</w:t>
            </w:r>
            <w:r w:rsidRPr="00CC0461">
              <w:br/>
              <w:t>Outcome category: b, f</w:t>
            </w:r>
            <w:r w:rsidRPr="00CC0461">
              <w:rPr>
                <w:color w:val="FF0000"/>
              </w:rPr>
              <w:br/>
            </w:r>
            <w:r w:rsidRPr="00CC0461">
              <w:t>Effectiveness measure: narrative reporting; no meta-analysis due to heterogeneity</w:t>
            </w:r>
            <w:r w:rsidRPr="00CC0461">
              <w:br/>
              <w:t>AMSTAR quality score: 6</w:t>
            </w:r>
          </w:p>
        </w:tc>
      </w:tr>
      <w:tr w:rsidR="00C9672D" w:rsidRPr="00CC0461" w14:paraId="3B94BB93" w14:textId="77777777" w:rsidTr="00C9672D">
        <w:trPr>
          <w:trHeight w:val="1657"/>
        </w:trPr>
        <w:tc>
          <w:tcPr>
            <w:cnfStyle w:val="001000000000" w:firstRow="0" w:lastRow="0" w:firstColumn="1" w:lastColumn="0" w:oddVBand="0" w:evenVBand="0" w:oddHBand="0" w:evenHBand="0" w:firstRowFirstColumn="0" w:firstRowLastColumn="0" w:lastRowFirstColumn="0" w:lastRowLastColumn="0"/>
            <w:tcW w:w="742" w:type="pct"/>
            <w:tcBorders>
              <w:top w:val="single" w:sz="2" w:space="0" w:color="D9D9D9" w:themeColor="background1" w:themeShade="D9"/>
              <w:bottom w:val="single" w:sz="2" w:space="0" w:color="D9D9D9" w:themeColor="background1" w:themeShade="D9"/>
              <w:right w:val="nil"/>
            </w:tcBorders>
            <w:hideMark/>
          </w:tcPr>
          <w:p w14:paraId="7CF8207C" w14:textId="77777777" w:rsidR="00C9672D" w:rsidRPr="00CC0461" w:rsidRDefault="00C9672D" w:rsidP="006D0861">
            <w:pPr>
              <w:pStyle w:val="Normalpara"/>
            </w:pPr>
            <w:r w:rsidRPr="00CC0461">
              <w:t>Chaudhuri D (2016)</w:t>
            </w:r>
          </w:p>
        </w:tc>
        <w:tc>
          <w:tcPr>
            <w:tcW w:w="1126" w:type="pct"/>
            <w:tcBorders>
              <w:top w:val="single" w:sz="2" w:space="0" w:color="D9D9D9" w:themeColor="background1" w:themeShade="D9"/>
              <w:left w:val="nil"/>
              <w:bottom w:val="single" w:sz="2" w:space="0" w:color="D9D9D9" w:themeColor="background1" w:themeShade="D9"/>
              <w:right w:val="nil"/>
            </w:tcBorders>
            <w:hideMark/>
          </w:tcPr>
          <w:p w14:paraId="56032C0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Effectiveness of quality improvement interventions at reducing inappropriate cardiac imaging: a systematic review and meta-analysis</w:t>
            </w:r>
          </w:p>
        </w:tc>
        <w:tc>
          <w:tcPr>
            <w:tcW w:w="3132" w:type="pct"/>
            <w:tcBorders>
              <w:top w:val="single" w:sz="2" w:space="0" w:color="D9D9D9" w:themeColor="background1" w:themeShade="D9"/>
              <w:left w:val="nil"/>
              <w:bottom w:val="single" w:sz="2" w:space="0" w:color="D9D9D9" w:themeColor="background1" w:themeShade="D9"/>
            </w:tcBorders>
            <w:hideMark/>
          </w:tcPr>
          <w:p w14:paraId="52BD19D4"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7 studies</w:t>
            </w:r>
            <w:r w:rsidRPr="00CC0461">
              <w:br/>
              <w:t xml:space="preserve">Study design: RCT, OBS </w:t>
            </w:r>
            <w:r w:rsidRPr="00CC0461">
              <w:br/>
              <w:t xml:space="preserve">Population: physicians </w:t>
            </w:r>
            <w:r w:rsidRPr="00CC0461">
              <w:br/>
              <w:t>Intervention: Af, Ds, Ed</w:t>
            </w:r>
            <w:r w:rsidRPr="00CC0461">
              <w:br/>
              <w:t>Outcome category: f</w:t>
            </w:r>
            <w:r w:rsidRPr="00CC0461">
              <w:rPr>
                <w:color w:val="FF0000"/>
              </w:rPr>
              <w:br/>
            </w:r>
            <w:r w:rsidRPr="00CC0461">
              <w:t>Effectiveness measure: meta-analysis (OR)</w:t>
            </w:r>
            <w:r w:rsidRPr="00CC0461">
              <w:br/>
              <w:t>AMSTAR quality score: 8</w:t>
            </w:r>
          </w:p>
        </w:tc>
      </w:tr>
      <w:tr w:rsidR="00C9672D" w:rsidRPr="00CC0461" w14:paraId="34AEE880" w14:textId="77777777" w:rsidTr="00C9672D">
        <w:trPr>
          <w:trHeight w:val="2400"/>
        </w:trPr>
        <w:tc>
          <w:tcPr>
            <w:cnfStyle w:val="001000000000" w:firstRow="0" w:lastRow="0" w:firstColumn="1" w:lastColumn="0" w:oddVBand="0" w:evenVBand="0" w:oddHBand="0" w:evenHBand="0" w:firstRowFirstColumn="0" w:firstRowLastColumn="0" w:lastRowFirstColumn="0" w:lastRowLastColumn="0"/>
            <w:tcW w:w="742" w:type="pct"/>
            <w:tcBorders>
              <w:top w:val="single" w:sz="2" w:space="0" w:color="D9D9D9" w:themeColor="background1" w:themeShade="D9"/>
              <w:bottom w:val="single" w:sz="18" w:space="0" w:color="B66113"/>
            </w:tcBorders>
            <w:hideMark/>
          </w:tcPr>
          <w:p w14:paraId="53ECBCE9" w14:textId="77777777" w:rsidR="00C9672D" w:rsidRPr="00CC0461" w:rsidRDefault="00C9672D" w:rsidP="006D0861">
            <w:pPr>
              <w:pStyle w:val="Normalpara"/>
            </w:pPr>
            <w:r w:rsidRPr="00CC0461">
              <w:lastRenderedPageBreak/>
              <w:t>Colla CH (2016)</w:t>
            </w:r>
          </w:p>
        </w:tc>
        <w:tc>
          <w:tcPr>
            <w:tcW w:w="1126" w:type="pct"/>
            <w:tcBorders>
              <w:top w:val="single" w:sz="2" w:space="0" w:color="D9D9D9" w:themeColor="background1" w:themeShade="D9"/>
              <w:bottom w:val="single" w:sz="18" w:space="0" w:color="B66113"/>
            </w:tcBorders>
            <w:hideMark/>
          </w:tcPr>
          <w:p w14:paraId="3C180D90"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aimed at reducing use of low-value health services: a systematic review</w:t>
            </w:r>
          </w:p>
        </w:tc>
        <w:tc>
          <w:tcPr>
            <w:tcW w:w="3132" w:type="pct"/>
            <w:tcBorders>
              <w:top w:val="single" w:sz="2" w:space="0" w:color="D9D9D9" w:themeColor="background1" w:themeShade="D9"/>
              <w:bottom w:val="single" w:sz="18" w:space="0" w:color="B66113"/>
            </w:tcBorders>
            <w:hideMark/>
          </w:tcPr>
          <w:p w14:paraId="01CD1BC4"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108 studies</w:t>
            </w:r>
            <w:r w:rsidRPr="00CC0461">
              <w:br/>
              <w:t xml:space="preserve">Study design: ND </w:t>
            </w:r>
            <w:r w:rsidRPr="00CC0461">
              <w:br/>
              <w:t xml:space="preserve">Population: ND </w:t>
            </w:r>
            <w:r w:rsidRPr="00CC0461">
              <w:br/>
              <w:t>Intervention: Af, Ds, Ed</w:t>
            </w:r>
            <w:r w:rsidRPr="00CC0461">
              <w:br/>
              <w:t>Outcome category: b, f</w:t>
            </w:r>
            <w:r w:rsidRPr="00CC0461">
              <w:br/>
              <w:t>Effectiveness measure: narrative reporting (% changes calculated when possible); no meta-analysis (reason not stated)</w:t>
            </w:r>
            <w:r w:rsidRPr="00CC0461">
              <w:br/>
              <w:t>AMSTAR quality score: 9</w:t>
            </w:r>
          </w:p>
        </w:tc>
      </w:tr>
      <w:tr w:rsidR="00C9672D" w:rsidRPr="00CC0461" w14:paraId="5420A1D3" w14:textId="77777777" w:rsidTr="00C9672D">
        <w:trPr>
          <w:trHeight w:val="1874"/>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351A361E" w14:textId="77777777" w:rsidR="00C9672D" w:rsidRPr="00CC0461" w:rsidRDefault="00C9672D" w:rsidP="006D0861">
            <w:pPr>
              <w:pStyle w:val="Normalpara"/>
            </w:pPr>
            <w:r w:rsidRPr="00CC0461">
              <w:t>Flodgren G (2016)</w:t>
            </w:r>
          </w:p>
        </w:tc>
        <w:tc>
          <w:tcPr>
            <w:tcW w:w="1126" w:type="pct"/>
            <w:tcBorders>
              <w:top w:val="single" w:sz="18" w:space="0" w:color="B66113"/>
              <w:bottom w:val="single" w:sz="4" w:space="0" w:color="C0C0C0"/>
            </w:tcBorders>
            <w:hideMark/>
          </w:tcPr>
          <w:p w14:paraId="499AEF8B"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Tools developed and disseminated by guideline producers to promote the uptake of their guidelines</w:t>
            </w:r>
          </w:p>
        </w:tc>
        <w:tc>
          <w:tcPr>
            <w:tcW w:w="3132" w:type="pct"/>
            <w:tcBorders>
              <w:top w:val="single" w:sz="18" w:space="0" w:color="B66113"/>
              <w:bottom w:val="single" w:sz="4" w:space="0" w:color="C0C0C0"/>
            </w:tcBorders>
            <w:hideMark/>
          </w:tcPr>
          <w:p w14:paraId="57E48EBF"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4 studies</w:t>
            </w:r>
            <w:r w:rsidRPr="00CC0461">
              <w:br/>
              <w:t>Study design: RCT, BA, ITS</w:t>
            </w:r>
          </w:p>
          <w:p w14:paraId="76451AC3"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 xml:space="preserve">Population: qualified healthcare professionals, health system managers, policy makers </w:t>
            </w:r>
            <w:r w:rsidRPr="00CC0461">
              <w:br/>
              <w:t>Intervention: Ds</w:t>
            </w:r>
            <w:r w:rsidRPr="00CC0461">
              <w:br/>
              <w:t>Outcome category: f</w:t>
            </w:r>
            <w:r w:rsidRPr="00CC0461">
              <w:rPr>
                <w:color w:val="FF0000"/>
              </w:rPr>
              <w:br/>
            </w:r>
            <w:r w:rsidRPr="00CC0461">
              <w:t>Effectiveness measure: median absolute risk difference and IQR for the main outcome (adherence to guidelines); no meta-analysis due to heterogeneity</w:t>
            </w:r>
            <w:r w:rsidRPr="00CC0461">
              <w:br/>
              <w:t>AMSTAR quality score: 10</w:t>
            </w:r>
          </w:p>
        </w:tc>
      </w:tr>
      <w:tr w:rsidR="00C9672D" w:rsidRPr="00CC0461" w14:paraId="3369FC4C" w14:textId="77777777" w:rsidTr="00C9672D">
        <w:trPr>
          <w:trHeight w:val="1631"/>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02ED0694" w14:textId="77777777" w:rsidR="00C9672D" w:rsidRPr="00CC0461" w:rsidRDefault="00C9672D" w:rsidP="006D0861">
            <w:pPr>
              <w:pStyle w:val="Normalpara"/>
            </w:pPr>
            <w:r w:rsidRPr="00CC0461">
              <w:t>French SD (2010)</w:t>
            </w:r>
          </w:p>
        </w:tc>
        <w:tc>
          <w:tcPr>
            <w:tcW w:w="1126" w:type="pct"/>
            <w:tcBorders>
              <w:top w:val="single" w:sz="4" w:space="0" w:color="C0C0C0"/>
              <w:bottom w:val="single" w:sz="18" w:space="0" w:color="B66113"/>
            </w:tcBorders>
            <w:hideMark/>
          </w:tcPr>
          <w:p w14:paraId="5A2216F5"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for improving the appropriate use of imaging in people with musculoskeletal conditions</w:t>
            </w:r>
          </w:p>
        </w:tc>
        <w:tc>
          <w:tcPr>
            <w:tcW w:w="3132" w:type="pct"/>
            <w:tcBorders>
              <w:top w:val="single" w:sz="4" w:space="0" w:color="C0C0C0"/>
              <w:bottom w:val="single" w:sz="18" w:space="0" w:color="B66113"/>
            </w:tcBorders>
            <w:hideMark/>
          </w:tcPr>
          <w:p w14:paraId="68D7A1E0"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28 studies</w:t>
            </w:r>
            <w:r w:rsidRPr="00CC0461">
              <w:br/>
              <w:t xml:space="preserve">Study design: RCT, CCT, ITS </w:t>
            </w:r>
            <w:r w:rsidRPr="00CC0461">
              <w:br/>
              <w:t xml:space="preserve">Population: health professionals, policy makers, general public </w:t>
            </w:r>
            <w:r w:rsidRPr="00CC0461">
              <w:br/>
              <w:t>Intervention: Af, Ds, Ed</w:t>
            </w:r>
            <w:r w:rsidRPr="00CC0461">
              <w:br/>
              <w:t>Outcome category: b, c, f, g</w:t>
            </w:r>
            <w:r w:rsidRPr="00CC0461">
              <w:rPr>
                <w:color w:val="FF0000"/>
              </w:rPr>
              <w:br/>
            </w:r>
            <w:r w:rsidRPr="00CC0461">
              <w:t>Effectiveness measure: standardised effect sizes calculated when possible; no meta-analysis due to heterogeneity</w:t>
            </w:r>
            <w:r w:rsidRPr="00CC0461">
              <w:br/>
              <w:t>AMSTAR quality score: 9</w:t>
            </w:r>
          </w:p>
        </w:tc>
      </w:tr>
      <w:tr w:rsidR="00C9672D" w:rsidRPr="00CC0461" w14:paraId="70FA7B7D" w14:textId="77777777" w:rsidTr="00C9672D">
        <w:trPr>
          <w:trHeight w:val="1642"/>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0400B4FF" w14:textId="77777777" w:rsidR="00C9672D" w:rsidRPr="00CC0461" w:rsidRDefault="00C9672D" w:rsidP="006D0861">
            <w:pPr>
              <w:pStyle w:val="Normalpara"/>
            </w:pPr>
            <w:r w:rsidRPr="00CC0461">
              <w:lastRenderedPageBreak/>
              <w:t>Georgiou A (2007)</w:t>
            </w:r>
          </w:p>
        </w:tc>
        <w:tc>
          <w:tcPr>
            <w:tcW w:w="1126" w:type="pct"/>
            <w:tcBorders>
              <w:top w:val="single" w:sz="18" w:space="0" w:color="B66113"/>
              <w:bottom w:val="single" w:sz="4" w:space="0" w:color="C0C0C0"/>
            </w:tcBorders>
            <w:hideMark/>
          </w:tcPr>
          <w:p w14:paraId="2A2C55C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impact of computerised physician order entry systems on pathology services: a systematic review</w:t>
            </w:r>
          </w:p>
        </w:tc>
        <w:tc>
          <w:tcPr>
            <w:tcW w:w="3132" w:type="pct"/>
            <w:tcBorders>
              <w:top w:val="single" w:sz="18" w:space="0" w:color="B66113"/>
              <w:bottom w:val="single" w:sz="4" w:space="0" w:color="C0C0C0"/>
            </w:tcBorders>
            <w:hideMark/>
          </w:tcPr>
          <w:p w14:paraId="01E2B305"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19 studies</w:t>
            </w:r>
            <w:r w:rsidRPr="00CC0461">
              <w:br/>
              <w:t>Study design: RCT, NRS, BA, ITS, QE</w:t>
            </w:r>
            <w:r w:rsidRPr="00CC0461">
              <w:br/>
              <w:t>Population: physicians</w:t>
            </w:r>
            <w:r w:rsidRPr="00CC0461">
              <w:br/>
              <w:t>Intervention: Ds</w:t>
            </w:r>
            <w:r w:rsidRPr="00CC0461">
              <w:br/>
              <w:t>Outcome category: b, f</w:t>
            </w:r>
            <w:r w:rsidRPr="00CC0461">
              <w:rPr>
                <w:color w:val="FF0000"/>
              </w:rPr>
              <w:br/>
            </w:r>
            <w:r w:rsidRPr="00CC0461">
              <w:t>Effectiveness measure: narrative reporting; no meta-analysis (reason not stated)</w:t>
            </w:r>
            <w:r w:rsidRPr="00CC0461">
              <w:br/>
              <w:t>AMSTAR quality score: 2</w:t>
            </w:r>
          </w:p>
        </w:tc>
      </w:tr>
      <w:tr w:rsidR="00C9672D" w:rsidRPr="00CC0461" w14:paraId="31AB2F28" w14:textId="77777777" w:rsidTr="00C9672D">
        <w:trPr>
          <w:trHeight w:val="2100"/>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54605EDA" w14:textId="77777777" w:rsidR="00C9672D" w:rsidRPr="00CC0461" w:rsidRDefault="00C9672D" w:rsidP="006D0861">
            <w:pPr>
              <w:pStyle w:val="Normalpara"/>
            </w:pPr>
            <w:r w:rsidRPr="00CC0461">
              <w:t>Georgiou A (2011)</w:t>
            </w:r>
          </w:p>
        </w:tc>
        <w:tc>
          <w:tcPr>
            <w:tcW w:w="1126" w:type="pct"/>
            <w:tcBorders>
              <w:top w:val="single" w:sz="4" w:space="0" w:color="C0C0C0"/>
              <w:bottom w:val="single" w:sz="18" w:space="0" w:color="B66113"/>
            </w:tcBorders>
            <w:hideMark/>
          </w:tcPr>
          <w:p w14:paraId="1023A61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impact of computerised provider order entry systems on medical-imaging services: a systematic review</w:t>
            </w:r>
          </w:p>
        </w:tc>
        <w:tc>
          <w:tcPr>
            <w:tcW w:w="3132" w:type="pct"/>
            <w:tcBorders>
              <w:top w:val="single" w:sz="4" w:space="0" w:color="C0C0C0"/>
              <w:bottom w:val="single" w:sz="18" w:space="0" w:color="B66113"/>
            </w:tcBorders>
            <w:hideMark/>
          </w:tcPr>
          <w:p w14:paraId="42A7927A"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14 studies</w:t>
            </w:r>
            <w:r w:rsidRPr="00CC0461">
              <w:br/>
              <w:t>Study design: OBS, EXP</w:t>
            </w:r>
            <w:r w:rsidRPr="00CC0461">
              <w:br/>
              <w:t xml:space="preserve">Population: ND </w:t>
            </w:r>
            <w:r w:rsidRPr="00CC0461">
              <w:br/>
              <w:t>Intervention: Ds</w:t>
            </w:r>
            <w:r w:rsidRPr="00CC0461">
              <w:br/>
              <w:t>Outcome category: b, f</w:t>
            </w:r>
            <w:r w:rsidRPr="00CC0461">
              <w:rPr>
                <w:color w:val="FF0000"/>
              </w:rPr>
              <w:br/>
            </w:r>
            <w:r w:rsidRPr="00CC0461">
              <w:t xml:space="preserve">Effectiveness measure: narrative reporting; no meta-analysis due to heterogeneity </w:t>
            </w:r>
            <w:r w:rsidRPr="00CC0461">
              <w:br/>
              <w:t>AMSTAR quality score: 4</w:t>
            </w:r>
          </w:p>
        </w:tc>
      </w:tr>
      <w:tr w:rsidR="00C9672D" w:rsidRPr="00CC0461" w14:paraId="069981EF" w14:textId="77777777" w:rsidTr="00C9672D">
        <w:trPr>
          <w:trHeight w:val="1590"/>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0F3CED66" w14:textId="77777777" w:rsidR="00C9672D" w:rsidRPr="00CC0461" w:rsidRDefault="00C9672D" w:rsidP="006D0861">
            <w:pPr>
              <w:pStyle w:val="Normalpara"/>
            </w:pPr>
            <w:r w:rsidRPr="00CC0461">
              <w:t>Goetz C (2015)</w:t>
            </w:r>
          </w:p>
        </w:tc>
        <w:tc>
          <w:tcPr>
            <w:tcW w:w="1126" w:type="pct"/>
            <w:tcBorders>
              <w:top w:val="single" w:sz="18" w:space="0" w:color="B66113"/>
              <w:bottom w:val="single" w:sz="4" w:space="0" w:color="C0C0C0"/>
            </w:tcBorders>
            <w:hideMark/>
          </w:tcPr>
          <w:p w14:paraId="2F6C09B1"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The effect of charge display on cost of care and physician practice behaviors: a systematic review</w:t>
            </w:r>
          </w:p>
        </w:tc>
        <w:tc>
          <w:tcPr>
            <w:tcW w:w="3132" w:type="pct"/>
            <w:tcBorders>
              <w:top w:val="single" w:sz="18" w:space="0" w:color="B66113"/>
              <w:bottom w:val="single" w:sz="4" w:space="0" w:color="C0C0C0"/>
            </w:tcBorders>
            <w:hideMark/>
          </w:tcPr>
          <w:p w14:paraId="5EBCA883"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17 studies</w:t>
            </w:r>
            <w:r w:rsidRPr="00CC0461">
              <w:br/>
              <w:t xml:space="preserve">Study design: RCT, NRS, PP  </w:t>
            </w:r>
            <w:r w:rsidRPr="00CC0461">
              <w:br/>
              <w:t>Population: ND</w:t>
            </w:r>
            <w:r w:rsidRPr="00CC0461">
              <w:br/>
              <w:t>Intervention: Ds</w:t>
            </w:r>
            <w:r w:rsidRPr="00CC0461">
              <w:br/>
              <w:t>Outcome category: b, c, g</w:t>
            </w:r>
            <w:r w:rsidRPr="00CC0461">
              <w:rPr>
                <w:color w:val="FF0000"/>
              </w:rPr>
              <w:br/>
            </w:r>
            <w:r w:rsidRPr="00CC0461">
              <w:t xml:space="preserve">Effectiveness measure: narrative reporting; no meta-analysis due to heterogeneity </w:t>
            </w:r>
            <w:r w:rsidRPr="00CC0461">
              <w:br/>
              <w:t>AMSTAR quality score: 3</w:t>
            </w:r>
          </w:p>
        </w:tc>
      </w:tr>
      <w:tr w:rsidR="00C9672D" w:rsidRPr="00CC0461" w14:paraId="37B90A20" w14:textId="77777777" w:rsidTr="00C9672D">
        <w:trPr>
          <w:trHeight w:val="1755"/>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4A1A6738" w14:textId="77777777" w:rsidR="00C9672D" w:rsidRPr="00CC0461" w:rsidRDefault="00C9672D" w:rsidP="006D0861">
            <w:pPr>
              <w:pStyle w:val="Normalpara"/>
            </w:pPr>
            <w:r w:rsidRPr="00CC0461">
              <w:t>Jenkins HJ (2015)</w:t>
            </w:r>
          </w:p>
        </w:tc>
        <w:tc>
          <w:tcPr>
            <w:tcW w:w="1126" w:type="pct"/>
            <w:tcBorders>
              <w:top w:val="single" w:sz="4" w:space="0" w:color="C0C0C0"/>
              <w:bottom w:val="single" w:sz="18" w:space="0" w:color="B66113"/>
            </w:tcBorders>
            <w:hideMark/>
          </w:tcPr>
          <w:p w14:paraId="71F6AE6D"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Effectiveness of interventions designed to reduce the use of imaging for low-back pain: a systematic review</w:t>
            </w:r>
          </w:p>
        </w:tc>
        <w:tc>
          <w:tcPr>
            <w:tcW w:w="3132" w:type="pct"/>
            <w:tcBorders>
              <w:top w:val="single" w:sz="4" w:space="0" w:color="C0C0C0"/>
              <w:bottom w:val="single" w:sz="18" w:space="0" w:color="B66113"/>
            </w:tcBorders>
            <w:hideMark/>
          </w:tcPr>
          <w:p w14:paraId="1F8E78B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7 studies</w:t>
            </w:r>
            <w:r w:rsidRPr="00CC0461">
              <w:br/>
              <w:t>Study design: RCT, CCT, ITS</w:t>
            </w:r>
            <w:r w:rsidRPr="00CC0461">
              <w:br/>
              <w:t>Population: patients receiving imaging for low back pain</w:t>
            </w:r>
            <w:r w:rsidRPr="00CC0461">
              <w:br/>
              <w:t>Intervention: Af, Ds, Ed, Qi</w:t>
            </w:r>
            <w:r w:rsidRPr="00CC0461">
              <w:br/>
              <w:t>Outcome category: b, f</w:t>
            </w:r>
            <w:r w:rsidRPr="00CC0461">
              <w:br/>
              <w:t>Effectiveness measure: summary statistics calculated when possible (risk ratio and 95% CI for dichotomous outcomes; % mean difference and 95% CI for continuous outcomes); no meta-</w:t>
            </w:r>
            <w:r w:rsidRPr="00CC0461">
              <w:lastRenderedPageBreak/>
              <w:t>analysis due to heterogeneity</w:t>
            </w:r>
            <w:r w:rsidRPr="00CC0461">
              <w:br/>
              <w:t>AMSTAR quality score: 8</w:t>
            </w:r>
          </w:p>
        </w:tc>
      </w:tr>
      <w:tr w:rsidR="00C9672D" w:rsidRPr="00CC0461" w14:paraId="377748A6" w14:textId="77777777" w:rsidTr="00C9672D">
        <w:trPr>
          <w:trHeight w:val="2268"/>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bottom w:val="single" w:sz="4" w:space="0" w:color="C0C0C0"/>
            </w:tcBorders>
            <w:hideMark/>
          </w:tcPr>
          <w:p w14:paraId="50C62FB6" w14:textId="77777777" w:rsidR="00C9672D" w:rsidRPr="00CC0461" w:rsidRDefault="00C9672D" w:rsidP="006D0861">
            <w:pPr>
              <w:pStyle w:val="Normalpara"/>
            </w:pPr>
            <w:r w:rsidRPr="00CC0461">
              <w:lastRenderedPageBreak/>
              <w:t>Kobewka DM (2015)</w:t>
            </w:r>
          </w:p>
        </w:tc>
        <w:tc>
          <w:tcPr>
            <w:tcW w:w="1126" w:type="pct"/>
            <w:tcBorders>
              <w:top w:val="single" w:sz="18" w:space="0" w:color="B66113"/>
              <w:bottom w:val="single" w:sz="4" w:space="0" w:color="C0C0C0"/>
            </w:tcBorders>
            <w:hideMark/>
          </w:tcPr>
          <w:p w14:paraId="5E213AE6"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Influence of educational, audit and feedback, system based, and incentive and penalty interventions to reduce laboratory test utilisation: a systematic review</w:t>
            </w:r>
          </w:p>
        </w:tc>
        <w:tc>
          <w:tcPr>
            <w:tcW w:w="3132" w:type="pct"/>
            <w:tcBorders>
              <w:top w:val="single" w:sz="18" w:space="0" w:color="B66113"/>
              <w:bottom w:val="single" w:sz="4" w:space="0" w:color="C0C0C0"/>
            </w:tcBorders>
            <w:hideMark/>
          </w:tcPr>
          <w:p w14:paraId="3BDD64F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109 studies</w:t>
            </w:r>
            <w:r w:rsidRPr="00CC0461">
              <w:br/>
              <w:t xml:space="preserve">Study design: RCT, CCT, BA, ITS </w:t>
            </w:r>
            <w:r w:rsidRPr="00CC0461">
              <w:br/>
              <w:t>Population: physicians</w:t>
            </w:r>
            <w:r w:rsidRPr="00CC0461">
              <w:br/>
              <w:t xml:space="preserve">Intervention: Ad, Ds, Ed </w:t>
            </w:r>
            <w:r w:rsidRPr="00CC0461">
              <w:br/>
              <w:t>Outcome category: b, g</w:t>
            </w:r>
            <w:r w:rsidRPr="00CC0461">
              <w:rPr>
                <w:color w:val="FF0000"/>
              </w:rPr>
              <w:br/>
            </w:r>
            <w:r w:rsidRPr="00CC0461">
              <w:t>Effectiveness measure: descriptive analysis of relative reductions (median and IQR); no meta-analysis due to heterogeneity</w:t>
            </w:r>
            <w:r w:rsidRPr="00CC0461">
              <w:br/>
              <w:t>AMSTAR quality score: 5</w:t>
            </w:r>
          </w:p>
        </w:tc>
      </w:tr>
      <w:tr w:rsidR="00C9672D" w:rsidRPr="00CC0461" w14:paraId="025B826B" w14:textId="77777777" w:rsidTr="00C9672D">
        <w:trPr>
          <w:trHeight w:val="1590"/>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6" w:space="0" w:color="B66113"/>
            </w:tcBorders>
            <w:hideMark/>
          </w:tcPr>
          <w:p w14:paraId="762AD7E0" w14:textId="77777777" w:rsidR="00C9672D" w:rsidRPr="00CC0461" w:rsidRDefault="00C9672D" w:rsidP="006D0861">
            <w:pPr>
              <w:pStyle w:val="Normalpara"/>
            </w:pPr>
            <w:r w:rsidRPr="00CC0461">
              <w:t>Légaré F (2016)</w:t>
            </w:r>
          </w:p>
        </w:tc>
        <w:tc>
          <w:tcPr>
            <w:tcW w:w="1126" w:type="pct"/>
            <w:tcBorders>
              <w:top w:val="single" w:sz="4" w:space="0" w:color="C0C0C0"/>
              <w:bottom w:val="single" w:sz="6" w:space="0" w:color="B66113"/>
            </w:tcBorders>
            <w:hideMark/>
          </w:tcPr>
          <w:p w14:paraId="64A8A8D4"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Improving decision making about genetic testing in the clinic: an overview of effective knowledge translation interventions</w:t>
            </w:r>
          </w:p>
        </w:tc>
        <w:tc>
          <w:tcPr>
            <w:tcW w:w="3132" w:type="pct"/>
            <w:tcBorders>
              <w:top w:val="single" w:sz="4" w:space="0" w:color="C0C0C0"/>
              <w:bottom w:val="single" w:sz="6" w:space="0" w:color="B66113"/>
            </w:tcBorders>
            <w:hideMark/>
          </w:tcPr>
          <w:p w14:paraId="3561C1FB"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28 studies</w:t>
            </w:r>
            <w:r w:rsidRPr="00CC0461">
              <w:br/>
              <w:t>Study design: RCT, CCT, BA, ITS</w:t>
            </w:r>
            <w:r w:rsidRPr="00CC0461">
              <w:br/>
              <w:t xml:space="preserve">Population: no restrictions </w:t>
            </w:r>
            <w:r w:rsidRPr="00CC0461">
              <w:br/>
              <w:t>Intervention: Af, Ed</w:t>
            </w:r>
            <w:r w:rsidRPr="00CC0461">
              <w:br/>
              <w:t>Outcome category: b</w:t>
            </w:r>
            <w:r w:rsidRPr="00CC0461">
              <w:rPr>
                <w:color w:val="FF0000"/>
              </w:rPr>
              <w:br/>
            </w:r>
            <w:r w:rsidRPr="00CC0461">
              <w:t>Effectiveness measure: intervention labelled 'effective' if it had a statistically significant impact</w:t>
            </w:r>
            <w:r w:rsidRPr="00CC0461">
              <w:br/>
              <w:t>on all assessed outcomes; 'partially effective' if it had a statistically significant impact on ≥ 1 assessed outcome; 'ineffective' if it had no statistically significant impact on any assessed outcome. No meta-analysis (reason not stated)</w:t>
            </w:r>
            <w:r w:rsidRPr="00CC0461">
              <w:br/>
              <w:t>AMSTAR quality score: 5</w:t>
            </w:r>
          </w:p>
        </w:tc>
      </w:tr>
      <w:tr w:rsidR="00C9672D" w:rsidRPr="00CC0461" w14:paraId="6732FA34" w14:textId="77777777" w:rsidTr="00C9672D">
        <w:trPr>
          <w:trHeight w:val="1590"/>
        </w:trPr>
        <w:tc>
          <w:tcPr>
            <w:cnfStyle w:val="001000000000" w:firstRow="0" w:lastRow="0" w:firstColumn="1" w:lastColumn="0" w:oddVBand="0" w:evenVBand="0" w:oddHBand="0" w:evenHBand="0" w:firstRowFirstColumn="0" w:firstRowLastColumn="0" w:lastRowFirstColumn="0" w:lastRowLastColumn="0"/>
            <w:tcW w:w="742" w:type="pct"/>
            <w:tcBorders>
              <w:top w:val="single" w:sz="6" w:space="0" w:color="B66113"/>
            </w:tcBorders>
            <w:hideMark/>
          </w:tcPr>
          <w:p w14:paraId="0BA6FA3F" w14:textId="77777777" w:rsidR="00C9672D" w:rsidRPr="00CC0461" w:rsidRDefault="00C9672D" w:rsidP="006D0861">
            <w:pPr>
              <w:pStyle w:val="Normalpara"/>
            </w:pPr>
            <w:r w:rsidRPr="00CC0461">
              <w:t>Main C (2010)</w:t>
            </w:r>
          </w:p>
        </w:tc>
        <w:tc>
          <w:tcPr>
            <w:tcW w:w="1126" w:type="pct"/>
            <w:tcBorders>
              <w:top w:val="single" w:sz="6" w:space="0" w:color="B66113"/>
            </w:tcBorders>
            <w:hideMark/>
          </w:tcPr>
          <w:p w14:paraId="1FDAFF49"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Computerised decision support systems in order communication for</w:t>
            </w:r>
            <w:r w:rsidRPr="00CC0461">
              <w:br/>
              <w:t>diagnostic, screening or monitoring</w:t>
            </w:r>
            <w:r w:rsidRPr="00CC0461">
              <w:br/>
            </w:r>
            <w:r w:rsidRPr="00CC0461">
              <w:lastRenderedPageBreak/>
              <w:t>test ordering: systematic reviews of</w:t>
            </w:r>
            <w:r w:rsidRPr="00CC0461">
              <w:br/>
              <w:t>the effects and cost-effectiveness of systems</w:t>
            </w:r>
          </w:p>
        </w:tc>
        <w:tc>
          <w:tcPr>
            <w:tcW w:w="3132" w:type="pct"/>
            <w:tcBorders>
              <w:top w:val="single" w:sz="6" w:space="0" w:color="B66113"/>
            </w:tcBorders>
            <w:hideMark/>
          </w:tcPr>
          <w:p w14:paraId="2F804710"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lastRenderedPageBreak/>
              <w:t>n = 24 studies</w:t>
            </w:r>
            <w:r w:rsidRPr="00CC0461">
              <w:br/>
              <w:t>Study design: RCT, CCT, ITS, PP</w:t>
            </w:r>
            <w:r w:rsidRPr="00CC0461">
              <w:br/>
              <w:t>Population: healthcare workers in practice or in training, patients undergoing testing</w:t>
            </w:r>
            <w:r w:rsidRPr="00CC0461">
              <w:br/>
              <w:t>Intervention: Ds</w:t>
            </w:r>
            <w:r w:rsidRPr="00CC0461">
              <w:br/>
              <w:t>Outcome category: b, g</w:t>
            </w:r>
            <w:r w:rsidRPr="00CC0461">
              <w:rPr>
                <w:color w:val="FF0000"/>
              </w:rPr>
              <w:br/>
            </w:r>
            <w:r w:rsidRPr="00CC0461">
              <w:lastRenderedPageBreak/>
              <w:t>Effectiveness measure: narrative reporting; no meta-analysis due to heterogeneity</w:t>
            </w:r>
            <w:r w:rsidRPr="00CC0461">
              <w:br/>
              <w:t>AMSTAR quality score: 9</w:t>
            </w:r>
          </w:p>
        </w:tc>
      </w:tr>
      <w:tr w:rsidR="00C9672D" w:rsidRPr="00CC0461" w14:paraId="42E3BD7D" w14:textId="77777777" w:rsidTr="00C9672D">
        <w:trPr>
          <w:trHeight w:val="1613"/>
        </w:trPr>
        <w:tc>
          <w:tcPr>
            <w:cnfStyle w:val="001000000000" w:firstRow="0" w:lastRow="0" w:firstColumn="1" w:lastColumn="0" w:oddVBand="0" w:evenVBand="0" w:oddHBand="0" w:evenHBand="0" w:firstRowFirstColumn="0" w:firstRowLastColumn="0" w:lastRowFirstColumn="0" w:lastRowLastColumn="0"/>
            <w:tcW w:w="742" w:type="pct"/>
            <w:hideMark/>
          </w:tcPr>
          <w:p w14:paraId="29B586BB" w14:textId="77777777" w:rsidR="00C9672D" w:rsidRPr="00CC0461" w:rsidRDefault="00C9672D" w:rsidP="006D0861">
            <w:pPr>
              <w:pStyle w:val="Normalpara"/>
            </w:pPr>
            <w:r w:rsidRPr="00CC0461">
              <w:lastRenderedPageBreak/>
              <w:t>Roshanov PS (2011)</w:t>
            </w:r>
          </w:p>
        </w:tc>
        <w:tc>
          <w:tcPr>
            <w:tcW w:w="1126" w:type="pct"/>
            <w:hideMark/>
          </w:tcPr>
          <w:p w14:paraId="33FE6A0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Can computerised clinical decision support systems improve practitioners' diagnostic test ordering behavior? A decision-maker-researcher partnership systematic review</w:t>
            </w:r>
          </w:p>
        </w:tc>
        <w:tc>
          <w:tcPr>
            <w:tcW w:w="3132" w:type="pct"/>
            <w:hideMark/>
          </w:tcPr>
          <w:p w14:paraId="4236944A"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35 studies</w:t>
            </w:r>
            <w:r w:rsidRPr="00CC0461">
              <w:br/>
              <w:t xml:space="preserve">Study design: RCT </w:t>
            </w:r>
            <w:r w:rsidRPr="00CC0461">
              <w:br/>
              <w:t xml:space="preserve">Population: physicians using computerised CDSS </w:t>
            </w:r>
            <w:r w:rsidRPr="00CC0461">
              <w:br/>
              <w:t>Intervention: Ds</w:t>
            </w:r>
            <w:r w:rsidRPr="00CC0461">
              <w:br/>
              <w:t>Outcome category: b</w:t>
            </w:r>
            <w:r w:rsidRPr="00CC0461">
              <w:rPr>
                <w:color w:val="FF0000"/>
              </w:rPr>
              <w:br/>
            </w:r>
            <w:r w:rsidRPr="00CC0461">
              <w:t>Effectiveness measure: narrative reporting; no meta-analysis due to heterogeneity</w:t>
            </w:r>
            <w:r w:rsidRPr="00CC0461">
              <w:rPr>
                <w:color w:val="FF0000"/>
              </w:rPr>
              <w:br/>
            </w:r>
            <w:r w:rsidRPr="00CC0461">
              <w:t>AMSTAR quality score: 9</w:t>
            </w:r>
          </w:p>
        </w:tc>
      </w:tr>
      <w:tr w:rsidR="00C9672D" w:rsidRPr="00CC0461" w14:paraId="2D13B6E8" w14:textId="77777777" w:rsidTr="00C9672D">
        <w:trPr>
          <w:trHeight w:val="1651"/>
        </w:trPr>
        <w:tc>
          <w:tcPr>
            <w:cnfStyle w:val="001000000000" w:firstRow="0" w:lastRow="0" w:firstColumn="1" w:lastColumn="0" w:oddVBand="0" w:evenVBand="0" w:oddHBand="0" w:evenHBand="0" w:firstRowFirstColumn="0" w:firstRowLastColumn="0" w:lastRowFirstColumn="0" w:lastRowLastColumn="0"/>
            <w:tcW w:w="742" w:type="pct"/>
            <w:tcBorders>
              <w:bottom w:val="single" w:sz="4" w:space="0" w:color="C0C0C0"/>
            </w:tcBorders>
            <w:hideMark/>
          </w:tcPr>
          <w:p w14:paraId="35E93FC0" w14:textId="77777777" w:rsidR="00C9672D" w:rsidRPr="00CC0461" w:rsidRDefault="00C9672D" w:rsidP="006D0861">
            <w:pPr>
              <w:pStyle w:val="Normalpara"/>
            </w:pPr>
            <w:r w:rsidRPr="00CC0461">
              <w:t>Silvestri MT (2016)</w:t>
            </w:r>
          </w:p>
        </w:tc>
        <w:tc>
          <w:tcPr>
            <w:tcW w:w="1126" w:type="pct"/>
            <w:tcBorders>
              <w:bottom w:val="single" w:sz="4" w:space="0" w:color="C0C0C0"/>
            </w:tcBorders>
            <w:hideMark/>
          </w:tcPr>
          <w:p w14:paraId="503F6C56"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Impact of price display on provider ordering: a systematic review</w:t>
            </w:r>
          </w:p>
        </w:tc>
        <w:tc>
          <w:tcPr>
            <w:tcW w:w="3132" w:type="pct"/>
            <w:tcBorders>
              <w:bottom w:val="single" w:sz="4" w:space="0" w:color="C0C0C0"/>
            </w:tcBorders>
            <w:hideMark/>
          </w:tcPr>
          <w:p w14:paraId="2C2BF2F0"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19 studies</w:t>
            </w:r>
            <w:r w:rsidRPr="00CC0461">
              <w:br/>
              <w:t>Study design: RCT, ITS, PP</w:t>
            </w:r>
            <w:r w:rsidRPr="00CC0461">
              <w:br/>
              <w:t>Population: ND</w:t>
            </w:r>
            <w:r w:rsidRPr="00CC0461">
              <w:br/>
              <w:t>Intervention: Af, Ds</w:t>
            </w:r>
            <w:r w:rsidRPr="00CC0461">
              <w:br/>
              <w:t>Outcome category: b, g</w:t>
            </w:r>
            <w:r w:rsidRPr="00CC0461">
              <w:rPr>
                <w:color w:val="FF0000"/>
              </w:rPr>
              <w:br/>
            </w:r>
            <w:r w:rsidRPr="00CC0461">
              <w:t>Effectiveness measure: narrative reporting; no meta-analysis due to heterogeneity</w:t>
            </w:r>
            <w:r w:rsidRPr="00CC0461">
              <w:br/>
              <w:t>AMSTAR quality score: 6</w:t>
            </w:r>
          </w:p>
        </w:tc>
      </w:tr>
      <w:tr w:rsidR="00C9672D" w:rsidRPr="00CC0461" w14:paraId="7D818B1D" w14:textId="77777777" w:rsidTr="00C9672D">
        <w:trPr>
          <w:trHeight w:val="2400"/>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18" w:space="0" w:color="B66113"/>
            </w:tcBorders>
            <w:hideMark/>
          </w:tcPr>
          <w:p w14:paraId="685CB453" w14:textId="77777777" w:rsidR="00C9672D" w:rsidRPr="00CC0461" w:rsidRDefault="00C9672D" w:rsidP="006D0861">
            <w:pPr>
              <w:pStyle w:val="Normalpara"/>
            </w:pPr>
            <w:r w:rsidRPr="00CC0461">
              <w:t>Stammen LA (2015)</w:t>
            </w:r>
          </w:p>
        </w:tc>
        <w:tc>
          <w:tcPr>
            <w:tcW w:w="1126" w:type="pct"/>
            <w:tcBorders>
              <w:top w:val="single" w:sz="4" w:space="0" w:color="C0C0C0"/>
              <w:bottom w:val="single" w:sz="18" w:space="0" w:color="B66113"/>
            </w:tcBorders>
            <w:hideMark/>
          </w:tcPr>
          <w:p w14:paraId="477ED06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Training physicians to provide high-value, cost-conscious care: a systematic review</w:t>
            </w:r>
          </w:p>
        </w:tc>
        <w:tc>
          <w:tcPr>
            <w:tcW w:w="3132" w:type="pct"/>
            <w:tcBorders>
              <w:top w:val="single" w:sz="4" w:space="0" w:color="C0C0C0"/>
              <w:bottom w:val="single" w:sz="18" w:space="0" w:color="B66113"/>
            </w:tcBorders>
            <w:hideMark/>
          </w:tcPr>
          <w:p w14:paraId="670D1F95"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79 studies</w:t>
            </w:r>
            <w:r w:rsidRPr="00CC0461">
              <w:br/>
              <w:t xml:space="preserve">Study design: RCT, BA, ITS, QE  </w:t>
            </w:r>
            <w:r w:rsidRPr="00CC0461">
              <w:br/>
              <w:t>Population: physicians, nurses, residents, medical students, patients</w:t>
            </w:r>
            <w:r w:rsidRPr="00CC0461">
              <w:br/>
              <w:t>Intervention: Af, Ed, Qi</w:t>
            </w:r>
            <w:r w:rsidRPr="00CC0461">
              <w:br/>
              <w:t>Outcome category: b, f, g</w:t>
            </w:r>
            <w:r w:rsidRPr="00CC0461">
              <w:rPr>
                <w:color w:val="FF0000"/>
              </w:rPr>
              <w:br/>
            </w:r>
            <w:r w:rsidRPr="00CC0461">
              <w:t>Effectiveness measure: narrative reporting (with 'relevance score' attributed); no meta-analysis (reason not stated)</w:t>
            </w:r>
            <w:r w:rsidRPr="00CC0461">
              <w:br/>
              <w:t>AMSTAR quality score: 7</w:t>
            </w:r>
          </w:p>
        </w:tc>
      </w:tr>
      <w:tr w:rsidR="00C9672D" w:rsidRPr="00CC0461" w14:paraId="7E0436B4" w14:textId="77777777" w:rsidTr="00C9672D">
        <w:trPr>
          <w:trHeight w:val="1732"/>
        </w:trPr>
        <w:tc>
          <w:tcPr>
            <w:cnfStyle w:val="001000000000" w:firstRow="0" w:lastRow="0" w:firstColumn="1" w:lastColumn="0" w:oddVBand="0" w:evenVBand="0" w:oddHBand="0" w:evenHBand="0" w:firstRowFirstColumn="0" w:firstRowLastColumn="0" w:lastRowFirstColumn="0" w:lastRowLastColumn="0"/>
            <w:tcW w:w="742" w:type="pct"/>
            <w:tcBorders>
              <w:top w:val="single" w:sz="18" w:space="0" w:color="B66113"/>
            </w:tcBorders>
            <w:hideMark/>
          </w:tcPr>
          <w:p w14:paraId="6DC2DEA1" w14:textId="77777777" w:rsidR="00C9672D" w:rsidRPr="00CC0461" w:rsidRDefault="00C9672D" w:rsidP="006D0861">
            <w:pPr>
              <w:pStyle w:val="Normalpara"/>
            </w:pPr>
            <w:r w:rsidRPr="00CC0461">
              <w:lastRenderedPageBreak/>
              <w:t>Thomas RE (2015)</w:t>
            </w:r>
          </w:p>
        </w:tc>
        <w:tc>
          <w:tcPr>
            <w:tcW w:w="1126" w:type="pct"/>
            <w:tcBorders>
              <w:top w:val="single" w:sz="18" w:space="0" w:color="B66113"/>
            </w:tcBorders>
            <w:hideMark/>
          </w:tcPr>
          <w:p w14:paraId="67E3B382"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at the laboratory level to reduce laboratory test ordering by family physicians: systematic review</w:t>
            </w:r>
          </w:p>
        </w:tc>
        <w:tc>
          <w:tcPr>
            <w:tcW w:w="3132" w:type="pct"/>
            <w:tcBorders>
              <w:top w:val="single" w:sz="18" w:space="0" w:color="B66113"/>
            </w:tcBorders>
            <w:hideMark/>
          </w:tcPr>
          <w:p w14:paraId="256A672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10 studies</w:t>
            </w:r>
            <w:r w:rsidRPr="00CC0461">
              <w:br/>
              <w:t xml:space="preserve">Study design: RCT, BA, CS  </w:t>
            </w:r>
            <w:r w:rsidRPr="00CC0461">
              <w:br/>
              <w:t xml:space="preserve">Population: family physicians </w:t>
            </w:r>
            <w:r w:rsidRPr="00CC0461">
              <w:br/>
              <w:t>Intervention: Qi</w:t>
            </w:r>
            <w:r w:rsidRPr="00CC0461">
              <w:br/>
              <w:t>Outcome category: b</w:t>
            </w:r>
            <w:r w:rsidRPr="00CC0461">
              <w:rPr>
                <w:color w:val="FF0000"/>
              </w:rPr>
              <w:br/>
            </w:r>
            <w:r w:rsidRPr="00CC0461">
              <w:t>Effectiveness measure: narrative reporting (with unweighted average % reduction in number of tests ordered calculated); no meta-analysis (reason not stated)</w:t>
            </w:r>
            <w:r w:rsidRPr="00CC0461">
              <w:br/>
              <w:t>AMSTAR quality score: 4</w:t>
            </w:r>
          </w:p>
        </w:tc>
      </w:tr>
      <w:tr w:rsidR="00C9672D" w:rsidRPr="00CC0461" w14:paraId="4A62DBCA" w14:textId="77777777" w:rsidTr="00C9672D">
        <w:trPr>
          <w:trHeight w:val="1814"/>
        </w:trPr>
        <w:tc>
          <w:tcPr>
            <w:cnfStyle w:val="001000000000" w:firstRow="0" w:lastRow="0" w:firstColumn="1" w:lastColumn="0" w:oddVBand="0" w:evenVBand="0" w:oddHBand="0" w:evenHBand="0" w:firstRowFirstColumn="0" w:firstRowLastColumn="0" w:lastRowFirstColumn="0" w:lastRowLastColumn="0"/>
            <w:tcW w:w="742" w:type="pct"/>
            <w:tcBorders>
              <w:bottom w:val="single" w:sz="4" w:space="0" w:color="C0C0C0"/>
            </w:tcBorders>
            <w:hideMark/>
          </w:tcPr>
          <w:p w14:paraId="02B39B0B" w14:textId="77777777" w:rsidR="00C9672D" w:rsidRPr="00CC0461" w:rsidRDefault="00C9672D" w:rsidP="006D0861">
            <w:pPr>
              <w:pStyle w:val="Normalpara"/>
            </w:pPr>
            <w:r w:rsidRPr="00CC0461">
              <w:t>Thomas RE (2016)</w:t>
            </w:r>
          </w:p>
        </w:tc>
        <w:tc>
          <w:tcPr>
            <w:tcW w:w="1126" w:type="pct"/>
            <w:tcBorders>
              <w:bottom w:val="single" w:sz="4" w:space="0" w:color="C0C0C0"/>
            </w:tcBorders>
            <w:hideMark/>
          </w:tcPr>
          <w:p w14:paraId="3F4FAE04"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Interventions to educate family physicians to change test ordering: systematic review of randomised controlled trials</w:t>
            </w:r>
          </w:p>
        </w:tc>
        <w:tc>
          <w:tcPr>
            <w:tcW w:w="3132" w:type="pct"/>
            <w:tcBorders>
              <w:bottom w:val="single" w:sz="4" w:space="0" w:color="C0C0C0"/>
            </w:tcBorders>
            <w:hideMark/>
          </w:tcPr>
          <w:p w14:paraId="6ED3B20F"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29 studies</w:t>
            </w:r>
            <w:r w:rsidRPr="00CC0461">
              <w:br/>
              <w:t xml:space="preserve">Study design: RCT </w:t>
            </w:r>
            <w:r w:rsidRPr="00CC0461">
              <w:br/>
              <w:t xml:space="preserve">Population: GPs, patients requiring laboratory tests </w:t>
            </w:r>
            <w:r w:rsidRPr="00CC0461">
              <w:br/>
              <w:t>Intervention: Af, Ds, Ed</w:t>
            </w:r>
            <w:r w:rsidRPr="00CC0461">
              <w:br/>
              <w:t>Outcome category: b, f</w:t>
            </w:r>
            <w:r w:rsidRPr="00CC0461">
              <w:rPr>
                <w:color w:val="FF0000"/>
              </w:rPr>
              <w:br/>
            </w:r>
            <w:r w:rsidRPr="00CC0461">
              <w:t>Effectiveness measure: calculated unweighted averages to compare intervention/control groups; no meta-analysis (reason not stated)</w:t>
            </w:r>
            <w:r w:rsidRPr="00CC0461">
              <w:br/>
              <w:t>AMSTAR quality score: 6</w:t>
            </w:r>
          </w:p>
        </w:tc>
      </w:tr>
      <w:tr w:rsidR="00C9672D" w:rsidRPr="00CC0461" w14:paraId="13D43E2F" w14:textId="77777777" w:rsidTr="00C9672D">
        <w:trPr>
          <w:trHeight w:val="1757"/>
        </w:trPr>
        <w:tc>
          <w:tcPr>
            <w:cnfStyle w:val="001000000000" w:firstRow="0" w:lastRow="0" w:firstColumn="1" w:lastColumn="0" w:oddVBand="0" w:evenVBand="0" w:oddHBand="0" w:evenHBand="0" w:firstRowFirstColumn="0" w:firstRowLastColumn="0" w:lastRowFirstColumn="0" w:lastRowLastColumn="0"/>
            <w:tcW w:w="742" w:type="pct"/>
            <w:tcBorders>
              <w:top w:val="single" w:sz="4" w:space="0" w:color="C0C0C0"/>
              <w:bottom w:val="single" w:sz="6" w:space="0" w:color="B66113"/>
            </w:tcBorders>
            <w:hideMark/>
          </w:tcPr>
          <w:p w14:paraId="4D96B56A" w14:textId="77777777" w:rsidR="00C9672D" w:rsidRPr="00CC0461" w:rsidRDefault="00C9672D" w:rsidP="006D0861">
            <w:pPr>
              <w:pStyle w:val="Normalpara"/>
            </w:pPr>
            <w:r w:rsidRPr="00CC0461">
              <w:t>Tzortziou Brown V (2016)</w:t>
            </w:r>
          </w:p>
        </w:tc>
        <w:tc>
          <w:tcPr>
            <w:tcW w:w="1126" w:type="pct"/>
            <w:tcBorders>
              <w:top w:val="single" w:sz="4" w:space="0" w:color="C0C0C0"/>
              <w:bottom w:val="single" w:sz="6" w:space="0" w:color="B66113"/>
            </w:tcBorders>
            <w:hideMark/>
          </w:tcPr>
          <w:p w14:paraId="29BA85F7"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Professional interventions for general practitioners on the management of musculoskeletal conditions</w:t>
            </w:r>
          </w:p>
        </w:tc>
        <w:tc>
          <w:tcPr>
            <w:tcW w:w="3132" w:type="pct"/>
            <w:tcBorders>
              <w:top w:val="single" w:sz="4" w:space="0" w:color="C0C0C0"/>
              <w:bottom w:val="single" w:sz="6" w:space="0" w:color="B66113"/>
            </w:tcBorders>
            <w:hideMark/>
          </w:tcPr>
          <w:p w14:paraId="73B22221"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n = 30 studies</w:t>
            </w:r>
            <w:r w:rsidRPr="00CC0461">
              <w:br/>
              <w:t xml:space="preserve">Study design: RCT, NRS, BA, ITS </w:t>
            </w:r>
            <w:r w:rsidRPr="00CC0461">
              <w:br/>
              <w:t>Population: GPs, multidisciplinary care teams</w:t>
            </w:r>
            <w:r w:rsidRPr="00CC0461">
              <w:br/>
              <w:t>Intervention: Af, Ds, Ed</w:t>
            </w:r>
            <w:r w:rsidRPr="00CC0461">
              <w:br/>
              <w:t>Outcome category: b, c, f, g</w:t>
            </w:r>
            <w:r w:rsidRPr="00CC0461">
              <w:rPr>
                <w:color w:val="FF0000"/>
              </w:rPr>
              <w:br/>
            </w:r>
            <w:r w:rsidRPr="00CC0461">
              <w:t>Effectiveness measure: meta-analysis (RR)</w:t>
            </w:r>
            <w:r w:rsidRPr="00CC0461">
              <w:br/>
              <w:t>AMSTAR quality score: 10</w:t>
            </w:r>
          </w:p>
        </w:tc>
      </w:tr>
    </w:tbl>
    <w:p w14:paraId="50623DA8" w14:textId="77777777" w:rsidR="00C9672D" w:rsidRPr="00CC0461" w:rsidRDefault="00C9672D" w:rsidP="00C9672D">
      <w:pPr>
        <w:pStyle w:val="BodyText1"/>
        <w:rPr>
          <w:rStyle w:val="Bold"/>
          <w:rFonts w:ascii="Arial Narrow" w:eastAsiaTheme="minorHAnsi" w:hAnsi="Arial Narrow"/>
          <w:b w:val="0"/>
        </w:rPr>
      </w:pPr>
      <w:r w:rsidRPr="00CC0461">
        <w:rPr>
          <w:rStyle w:val="Bold"/>
          <w:rFonts w:ascii="Arial Narrow" w:eastAsiaTheme="minorHAnsi" w:hAnsi="Arial Narrow"/>
        </w:rPr>
        <w:t>BA: before-and-after studies; CCT: controlled clinical trial; CDSS: clinical decision support systems; CS: cohort study; IQR: interquartile range; ITS: interrupted time series; NA: not applicable; ND: not described in methods; NRS: non-randomised controlled study; OBS: observational study; OR: odds ratio; PP: pre-post intervention; RCT: randomised controlled trial; RR: risk ratio/relative risk; SR: systematic review; QE: quasi-experimental</w:t>
      </w:r>
    </w:p>
    <w:p w14:paraId="63E432CA" w14:textId="77777777" w:rsidR="00C9672D" w:rsidRPr="00CC0461" w:rsidRDefault="00C9672D" w:rsidP="00C9672D">
      <w:pPr>
        <w:pStyle w:val="BodyText1"/>
        <w:spacing w:before="0" w:after="60"/>
        <w:rPr>
          <w:rStyle w:val="Bold"/>
          <w:rFonts w:ascii="Arial Narrow" w:eastAsiaTheme="minorHAnsi" w:hAnsi="Arial Narrow"/>
          <w:b w:val="0"/>
        </w:rPr>
      </w:pPr>
      <w:r w:rsidRPr="00CC0461">
        <w:rPr>
          <w:rStyle w:val="Bold"/>
          <w:rFonts w:ascii="Arial Narrow" w:eastAsiaTheme="minorHAnsi" w:hAnsi="Arial Narrow"/>
        </w:rPr>
        <w:t>Intervention categories</w:t>
      </w:r>
      <w:r w:rsidRPr="00CC0461">
        <w:rPr>
          <w:rStyle w:val="Bold"/>
          <w:rFonts w:ascii="Arial Narrow" w:eastAsiaTheme="minorHAnsi" w:hAnsi="Arial Narrow"/>
        </w:rPr>
        <w:br/>
        <w:t>Af: audit and feedback; Ds: clinical decision support; Ed: education; Ps: payment systems; Qi: quality improvement</w:t>
      </w:r>
    </w:p>
    <w:p w14:paraId="447D6AA4" w14:textId="77777777" w:rsidR="00C9672D" w:rsidRPr="00CC0461" w:rsidRDefault="00C9672D" w:rsidP="00C9672D">
      <w:pPr>
        <w:pStyle w:val="BodyText1"/>
        <w:tabs>
          <w:tab w:val="left" w:pos="7371"/>
        </w:tabs>
        <w:spacing w:before="0" w:after="0"/>
        <w:rPr>
          <w:rStyle w:val="Bold"/>
          <w:rFonts w:ascii="Arial Narrow" w:eastAsiaTheme="minorHAnsi" w:hAnsi="Arial Narrow" w:cs="Times New Roman"/>
          <w:b w:val="0"/>
        </w:rPr>
      </w:pPr>
      <w:r w:rsidRPr="00CC0461">
        <w:rPr>
          <w:rStyle w:val="Bold"/>
          <w:rFonts w:ascii="Arial Narrow" w:eastAsiaTheme="minorHAnsi" w:hAnsi="Arial Narrow"/>
        </w:rPr>
        <w:lastRenderedPageBreak/>
        <w:t>Outcome categories</w:t>
      </w:r>
      <w:r w:rsidRPr="00CC0461">
        <w:rPr>
          <w:rStyle w:val="Bold"/>
          <w:rFonts w:ascii="Arial Narrow" w:eastAsiaTheme="minorHAnsi" w:hAnsi="Arial Narrow"/>
        </w:rPr>
        <w:br/>
        <w:t>a. Clinical utility (including positive and negative predictive value).</w:t>
      </w:r>
      <w:r w:rsidRPr="00CC0461">
        <w:rPr>
          <w:rStyle w:val="Bold"/>
          <w:rFonts w:ascii="Arial Narrow" w:eastAsiaTheme="minorHAnsi" w:hAnsi="Arial Narrow"/>
        </w:rPr>
        <w:tab/>
        <w:t>e. Health outcomes (morbidity, mortality, quality of life).</w:t>
      </w:r>
    </w:p>
    <w:p w14:paraId="1A70E7B4" w14:textId="77777777" w:rsidR="00C9672D" w:rsidRPr="00CC0461" w:rsidRDefault="00C9672D" w:rsidP="00C9672D">
      <w:pPr>
        <w:pStyle w:val="BodyText1"/>
        <w:tabs>
          <w:tab w:val="left" w:pos="7371"/>
        </w:tabs>
        <w:spacing w:before="0" w:after="0"/>
        <w:rPr>
          <w:rStyle w:val="Bold"/>
          <w:rFonts w:ascii="Arial Narrow" w:eastAsiaTheme="minorHAnsi" w:hAnsi="Arial Narrow" w:cs="Times New Roman"/>
          <w:b w:val="0"/>
        </w:rPr>
      </w:pPr>
      <w:r w:rsidRPr="00CC0461">
        <w:rPr>
          <w:rStyle w:val="Bold"/>
          <w:rFonts w:ascii="Arial Narrow" w:eastAsiaTheme="minorHAnsi" w:hAnsi="Arial Narrow"/>
        </w:rPr>
        <w:t>b. Rates of diagnostic imaging/pathology tests, or rates of their requests or referrals.</w:t>
      </w:r>
      <w:r w:rsidRPr="00CC0461">
        <w:rPr>
          <w:rStyle w:val="Bold"/>
          <w:rFonts w:ascii="Arial Narrow" w:eastAsiaTheme="minorHAnsi" w:hAnsi="Arial Narrow"/>
        </w:rPr>
        <w:tab/>
        <w:t xml:space="preserve">f. Rates of appropriate/inappropriate requesting for diagnostic imaging/pathology tests </w:t>
      </w:r>
    </w:p>
    <w:p w14:paraId="78759ADC" w14:textId="77777777" w:rsidR="00C9672D" w:rsidRPr="00CC0461" w:rsidRDefault="00C9672D" w:rsidP="00C9672D">
      <w:pPr>
        <w:pStyle w:val="BodyText1"/>
        <w:tabs>
          <w:tab w:val="left" w:pos="7513"/>
        </w:tabs>
        <w:spacing w:before="0" w:after="0"/>
        <w:rPr>
          <w:rStyle w:val="Bold"/>
          <w:rFonts w:ascii="Arial Narrow" w:eastAsiaTheme="minorHAnsi" w:hAnsi="Arial Narrow"/>
          <w:b w:val="0"/>
        </w:rPr>
      </w:pPr>
      <w:r w:rsidRPr="00CC0461">
        <w:rPr>
          <w:rStyle w:val="Bold"/>
          <w:rFonts w:ascii="Arial Narrow" w:eastAsiaTheme="minorHAnsi" w:hAnsi="Arial Narrow"/>
        </w:rPr>
        <w:t>c. Rates of medicine prescribing after diagnostic imaging/pathology tests.</w:t>
      </w:r>
      <w:r w:rsidRPr="00CC0461">
        <w:rPr>
          <w:rStyle w:val="Bold"/>
          <w:rFonts w:ascii="Arial Narrow" w:eastAsiaTheme="minorHAnsi" w:hAnsi="Arial Narrow"/>
        </w:rPr>
        <w:tab/>
        <w:t>(including compliance with guidelines/recommendations).</w:t>
      </w:r>
    </w:p>
    <w:p w14:paraId="52C2EC25" w14:textId="77777777" w:rsidR="00C9672D" w:rsidRPr="00CC0461" w:rsidRDefault="00C9672D" w:rsidP="00C9672D">
      <w:pPr>
        <w:pStyle w:val="BodyText1"/>
        <w:tabs>
          <w:tab w:val="left" w:pos="7371"/>
        </w:tabs>
        <w:spacing w:before="0" w:after="0"/>
        <w:rPr>
          <w:rStyle w:val="Bold"/>
          <w:rFonts w:ascii="Arial Narrow" w:eastAsiaTheme="minorHAnsi" w:hAnsi="Arial Narrow"/>
          <w:b w:val="0"/>
        </w:rPr>
      </w:pPr>
      <w:r w:rsidRPr="00CC0461">
        <w:rPr>
          <w:rStyle w:val="Bold"/>
          <w:rFonts w:ascii="Arial Narrow" w:eastAsiaTheme="minorHAnsi" w:hAnsi="Arial Narrow"/>
        </w:rPr>
        <w:t>d. Rates of invasive treatments or procedures.</w:t>
      </w:r>
      <w:r w:rsidRPr="00CC0461">
        <w:rPr>
          <w:rStyle w:val="Bold"/>
          <w:rFonts w:ascii="Arial Narrow" w:eastAsiaTheme="minorHAnsi" w:hAnsi="Arial Narrow"/>
        </w:rPr>
        <w:tab/>
        <w:t>g. Costs or cost effectiveness.</w:t>
      </w:r>
    </w:p>
    <w:p w14:paraId="1AEA3BF5" w14:textId="77777777" w:rsidR="006D0861" w:rsidRDefault="006D0861">
      <w:pPr>
        <w:spacing w:before="0" w:after="0" w:line="240" w:lineRule="auto"/>
        <w:rPr>
          <w:rStyle w:val="Bold"/>
          <w:rFonts w:ascii="Arial Narrow" w:hAnsi="Arial Narrow" w:cstheme="minorHAnsi"/>
          <w:b w:val="0"/>
          <w:noProof/>
          <w:color w:val="B66113"/>
          <w:sz w:val="20"/>
          <w:szCs w:val="20"/>
        </w:rPr>
      </w:pPr>
      <w:r>
        <w:rPr>
          <w:rStyle w:val="Bold"/>
          <w:rFonts w:ascii="Arial Narrow" w:hAnsi="Arial Narrow"/>
          <w:sz w:val="20"/>
          <w:szCs w:val="20"/>
        </w:rPr>
        <w:br w:type="page"/>
      </w:r>
    </w:p>
    <w:p w14:paraId="270AEACA" w14:textId="77777777" w:rsidR="00C9672D" w:rsidRPr="00CC0461" w:rsidRDefault="00C9672D" w:rsidP="00C9672D">
      <w:pPr>
        <w:pStyle w:val="Figure"/>
        <w:keepNext/>
        <w:keepLines/>
        <w:rPr>
          <w:rStyle w:val="Bold"/>
          <w:rFonts w:ascii="Arial Narrow" w:hAnsi="Arial Narrow"/>
          <w:sz w:val="20"/>
          <w:szCs w:val="20"/>
        </w:rPr>
      </w:pPr>
      <w:r w:rsidRPr="00CC0461">
        <w:rPr>
          <w:rStyle w:val="Bold"/>
          <w:rFonts w:ascii="Arial Narrow" w:hAnsi="Arial Narrow"/>
          <w:sz w:val="20"/>
          <w:szCs w:val="20"/>
        </w:rPr>
        <w:lastRenderedPageBreak/>
        <w:t>Table 3. Key findings on clinical decision support interventions</w:t>
      </w:r>
    </w:p>
    <w:tbl>
      <w:tblPr>
        <w:tblStyle w:val="TableNPSstandard"/>
        <w:tblW w:w="5010" w:type="pct"/>
        <w:tblLook w:val="06A0" w:firstRow="1" w:lastRow="0" w:firstColumn="1" w:lastColumn="0" w:noHBand="1" w:noVBand="1"/>
        <w:tblCaption w:val="Table 3, Key findings on clinical decision support interventions"/>
        <w:tblDescription w:val="This table has numerous subheadings for categories. Each subheading category has three columns underneath it, column 1 being first author (year), column 2 'findings of key studies in the review' and column 3 'result summary'.  "/>
      </w:tblPr>
      <w:tblGrid>
        <w:gridCol w:w="1930"/>
        <w:gridCol w:w="10605"/>
        <w:gridCol w:w="2035"/>
        <w:gridCol w:w="29"/>
      </w:tblGrid>
      <w:tr w:rsidR="00C9672D" w:rsidRPr="00CC0461" w14:paraId="4DB2AF5A" w14:textId="77777777" w:rsidTr="00660D7E">
        <w:trPr>
          <w:cnfStyle w:val="100000000000" w:firstRow="1" w:lastRow="0" w:firstColumn="0" w:lastColumn="0" w:oddVBand="0" w:evenVBand="0" w:oddHBand="0" w:evenHBand="0" w:firstRowFirstColumn="0" w:firstRowLastColumn="0" w:lastRowFirstColumn="0" w:lastRowLastColumn="0"/>
          <w:trHeight w:val="190"/>
          <w:tblHeader/>
        </w:trPr>
        <w:tc>
          <w:tcPr>
            <w:cnfStyle w:val="001000000000" w:firstRow="0" w:lastRow="0" w:firstColumn="1" w:lastColumn="0" w:oddVBand="0" w:evenVBand="0" w:oddHBand="0" w:evenHBand="0" w:firstRowFirstColumn="0" w:firstRowLastColumn="0" w:lastRowFirstColumn="0" w:lastRowLastColumn="0"/>
            <w:tcW w:w="661" w:type="pct"/>
            <w:noWrap/>
            <w:hideMark/>
          </w:tcPr>
          <w:p w14:paraId="68DE177B" w14:textId="77777777" w:rsidR="00C9672D" w:rsidRPr="00660D7E" w:rsidRDefault="00C9672D" w:rsidP="00660D7E">
            <w:pPr>
              <w:pStyle w:val="01Tableheaderrow"/>
              <w:rPr>
                <w:b/>
              </w:rPr>
            </w:pPr>
            <w:r w:rsidRPr="00660D7E">
              <w:rPr>
                <w:b/>
              </w:rPr>
              <w:t>First author (year)</w:t>
            </w:r>
          </w:p>
        </w:tc>
        <w:tc>
          <w:tcPr>
            <w:tcW w:w="3632" w:type="pct"/>
            <w:noWrap/>
            <w:hideMark/>
          </w:tcPr>
          <w:p w14:paraId="2B37AA31" w14:textId="77777777" w:rsidR="00C9672D" w:rsidRPr="00660D7E" w:rsidRDefault="00C9672D" w:rsidP="00660D7E">
            <w:pPr>
              <w:pStyle w:val="01Tableheaderrow"/>
              <w:cnfStyle w:val="100000000000" w:firstRow="1" w:lastRow="0" w:firstColumn="0" w:lastColumn="0" w:oddVBand="0" w:evenVBand="0" w:oddHBand="0" w:evenHBand="0" w:firstRowFirstColumn="0" w:firstRowLastColumn="0" w:lastRowFirstColumn="0" w:lastRowLastColumn="0"/>
              <w:rPr>
                <w:b/>
              </w:rPr>
            </w:pPr>
            <w:r w:rsidRPr="00660D7E">
              <w:rPr>
                <w:b/>
              </w:rPr>
              <w:t>Findings of key studies in the review</w:t>
            </w:r>
          </w:p>
        </w:tc>
        <w:tc>
          <w:tcPr>
            <w:tcW w:w="707" w:type="pct"/>
            <w:gridSpan w:val="2"/>
            <w:hideMark/>
          </w:tcPr>
          <w:p w14:paraId="1188F1D8" w14:textId="77777777" w:rsidR="00C9672D" w:rsidRPr="00660D7E" w:rsidRDefault="00C9672D" w:rsidP="00660D7E">
            <w:pPr>
              <w:pStyle w:val="01Tableheaderrow"/>
              <w:cnfStyle w:val="100000000000" w:firstRow="1" w:lastRow="0" w:firstColumn="0" w:lastColumn="0" w:oddVBand="0" w:evenVBand="0" w:oddHBand="0" w:evenHBand="0" w:firstRowFirstColumn="0" w:firstRowLastColumn="0" w:lastRowFirstColumn="0" w:lastRowLastColumn="0"/>
              <w:rPr>
                <w:b/>
              </w:rPr>
            </w:pPr>
            <w:r w:rsidRPr="00660D7E">
              <w:rPr>
                <w:b/>
              </w:rPr>
              <w:t>Result summary</w:t>
            </w:r>
          </w:p>
        </w:tc>
      </w:tr>
      <w:tr w:rsidR="00C9672D" w:rsidRPr="00CC0461" w14:paraId="5D3698EF"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8" w:space="0" w:color="B66113"/>
              <w:bottom w:val="single" w:sz="4" w:space="0" w:color="C0C0C0"/>
            </w:tcBorders>
            <w:shd w:val="clear" w:color="auto" w:fill="EEECE1" w:themeFill="background2"/>
            <w:noWrap/>
          </w:tcPr>
          <w:p w14:paraId="5AFDFF43" w14:textId="77777777" w:rsidR="00C9672D" w:rsidRPr="00CC0461" w:rsidRDefault="00C9672D" w:rsidP="00C9672D">
            <w:pPr>
              <w:spacing w:before="0" w:line="240" w:lineRule="auto"/>
              <w:rPr>
                <w:bCs/>
                <w:color w:val="000000"/>
                <w:sz w:val="20"/>
                <w:szCs w:val="20"/>
              </w:rPr>
            </w:pPr>
            <w:r w:rsidRPr="00CC0461">
              <w:rPr>
                <w:bCs/>
                <w:color w:val="000000"/>
                <w:sz w:val="20"/>
                <w:szCs w:val="20"/>
              </w:rPr>
              <w:t>Alerts, prompts or reminders</w:t>
            </w:r>
          </w:p>
        </w:tc>
      </w:tr>
      <w:tr w:rsidR="00C9672D" w:rsidRPr="00CC0461" w14:paraId="19E38FB5" w14:textId="77777777" w:rsidTr="00C9672D">
        <w:trPr>
          <w:trHeight w:val="48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129602BC"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3632" w:type="pct"/>
            <w:tcBorders>
              <w:top w:val="single" w:sz="4" w:space="0" w:color="C0C0C0"/>
              <w:bottom w:val="single" w:sz="18" w:space="0" w:color="B66113"/>
            </w:tcBorders>
            <w:hideMark/>
          </w:tcPr>
          <w:p w14:paraId="1FF3AE1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Baer et al.</w:t>
            </w:r>
            <w:r w:rsidRPr="00CC0461">
              <w:rPr>
                <w:b/>
                <w:bCs/>
                <w:i/>
                <w:iCs/>
                <w:color w:val="000000"/>
                <w:sz w:val="20"/>
                <w:szCs w:val="20"/>
              </w:rPr>
              <w:t xml:space="preserve"> Transfusion</w:t>
            </w:r>
            <w:r w:rsidRPr="00CC0461">
              <w:rPr>
                <w:b/>
                <w:bCs/>
                <w:color w:val="000000"/>
                <w:sz w:val="20"/>
                <w:szCs w:val="20"/>
              </w:rPr>
              <w:t xml:space="preserve"> 2011;51:264–9.</w:t>
            </w:r>
            <w:r w:rsidRPr="00CC0461">
              <w:rPr>
                <w:color w:val="000000"/>
                <w:sz w:val="20"/>
                <w:szCs w:val="20"/>
              </w:rPr>
              <w:br/>
            </w:r>
            <w:r w:rsidRPr="006D0861">
              <w:rPr>
                <w:rStyle w:val="NormalparaChar"/>
              </w:rPr>
              <w:t>Prompts alerting physicians to non-compliance with guidelines improve compliance with transfusion guidelines in neonatal intensive care units (from 65% to 90%).</w:t>
            </w:r>
            <w:r w:rsidRPr="006D0861">
              <w:rPr>
                <w:rStyle w:val="NormalparaChar"/>
              </w:rPr>
              <w:br/>
            </w:r>
            <w:r w:rsidRPr="00CC0461">
              <w:rPr>
                <w:color w:val="000000"/>
                <w:sz w:val="20"/>
                <w:szCs w:val="20"/>
              </w:rPr>
              <w:br/>
            </w:r>
            <w:r w:rsidRPr="00CC0461">
              <w:rPr>
                <w:b/>
                <w:bCs/>
                <w:color w:val="000000"/>
                <w:sz w:val="20"/>
                <w:szCs w:val="20"/>
              </w:rPr>
              <w:t xml:space="preserve">Neilson et al. </w:t>
            </w:r>
            <w:r w:rsidRPr="00CC0461">
              <w:rPr>
                <w:b/>
                <w:bCs/>
                <w:i/>
                <w:iCs/>
                <w:color w:val="000000"/>
                <w:sz w:val="20"/>
                <w:szCs w:val="20"/>
              </w:rPr>
              <w:t>Ann Intern Med</w:t>
            </w:r>
            <w:r w:rsidRPr="00CC0461">
              <w:rPr>
                <w:b/>
                <w:bCs/>
                <w:color w:val="000000"/>
                <w:sz w:val="20"/>
                <w:szCs w:val="20"/>
              </w:rPr>
              <w:t xml:space="preserve"> 2004;141:196–204.</w:t>
            </w:r>
            <w:r w:rsidRPr="00CC0461">
              <w:rPr>
                <w:color w:val="000000"/>
                <w:sz w:val="20"/>
                <w:szCs w:val="20"/>
              </w:rPr>
              <w:br/>
            </w:r>
            <w:r w:rsidRPr="006D0861">
              <w:rPr>
                <w:rStyle w:val="NormalparaChar"/>
              </w:rPr>
              <w:t>Alerts can also be used to discontinue low-value care. One study examined the use of electronic health record prompts to decrease or discontinue standing or repeat test orders after 72 hours, significantly reducing testing.</w:t>
            </w:r>
            <w:r w:rsidRPr="006D0861">
              <w:rPr>
                <w:rStyle w:val="NormalparaChar"/>
              </w:rPr>
              <w:br/>
            </w:r>
            <w:r w:rsidRPr="00CC0461">
              <w:rPr>
                <w:color w:val="000000"/>
                <w:sz w:val="20"/>
                <w:szCs w:val="20"/>
              </w:rPr>
              <w:br/>
            </w:r>
            <w:r w:rsidRPr="00CC0461">
              <w:rPr>
                <w:b/>
                <w:bCs/>
                <w:color w:val="000000"/>
                <w:sz w:val="20"/>
                <w:szCs w:val="20"/>
              </w:rPr>
              <w:t xml:space="preserve">Chen et al. </w:t>
            </w:r>
            <w:r w:rsidRPr="00CC0461">
              <w:rPr>
                <w:b/>
                <w:bCs/>
                <w:i/>
                <w:iCs/>
                <w:color w:val="000000"/>
                <w:sz w:val="20"/>
                <w:szCs w:val="20"/>
              </w:rPr>
              <w:t>Am J Clin Pathol</w:t>
            </w:r>
            <w:r w:rsidRPr="00CC0461">
              <w:rPr>
                <w:b/>
                <w:bCs/>
                <w:color w:val="000000"/>
                <w:sz w:val="20"/>
                <w:szCs w:val="20"/>
              </w:rPr>
              <w:t xml:space="preserve"> 2003;119:432–8.</w:t>
            </w:r>
            <w:r w:rsidRPr="00CC0461">
              <w:rPr>
                <w:color w:val="000000"/>
                <w:sz w:val="20"/>
                <w:szCs w:val="20"/>
              </w:rPr>
              <w:br/>
            </w:r>
            <w:r w:rsidRPr="006D0861">
              <w:rPr>
                <w:rStyle w:val="NormalparaChar"/>
              </w:rPr>
              <w:t>Alerts can also substantially affect inappropriate test orders. An alert indicating that a test value is already in the system leads to a reduction in repeat testing. After an alert was implemented for redundant anti-epileptic drug level measurement orders, inappropriate redundant ordering decreased from 54% of all orders to 15%.</w:t>
            </w:r>
            <w:r w:rsidRPr="006D0861">
              <w:rPr>
                <w:rStyle w:val="NormalparaChar"/>
              </w:rPr>
              <w:br/>
            </w:r>
            <w:r w:rsidRPr="00CC0461">
              <w:rPr>
                <w:b/>
                <w:bCs/>
                <w:color w:val="000000"/>
                <w:sz w:val="20"/>
                <w:szCs w:val="20"/>
              </w:rPr>
              <w:br/>
              <w:t xml:space="preserve">Levick et al. </w:t>
            </w:r>
            <w:r w:rsidRPr="00CC0461">
              <w:rPr>
                <w:b/>
                <w:bCs/>
                <w:i/>
                <w:color w:val="000000"/>
                <w:sz w:val="20"/>
                <w:szCs w:val="20"/>
              </w:rPr>
              <w:t>B</w:t>
            </w:r>
            <w:r w:rsidRPr="00CC0461">
              <w:rPr>
                <w:b/>
                <w:bCs/>
                <w:i/>
                <w:iCs/>
                <w:color w:val="000000"/>
                <w:sz w:val="20"/>
                <w:szCs w:val="20"/>
              </w:rPr>
              <w:t>MC Med Inform Decis Mak</w:t>
            </w:r>
            <w:r w:rsidRPr="00CC0461">
              <w:rPr>
                <w:b/>
                <w:bCs/>
                <w:color w:val="000000"/>
                <w:sz w:val="20"/>
                <w:szCs w:val="20"/>
              </w:rPr>
              <w:t xml:space="preserve"> 2013;13:43 &amp; Niles J, et al. </w:t>
            </w:r>
            <w:r w:rsidRPr="00CC0461">
              <w:rPr>
                <w:b/>
                <w:bCs/>
                <w:i/>
                <w:iCs/>
                <w:color w:val="000000"/>
                <w:sz w:val="20"/>
                <w:szCs w:val="20"/>
              </w:rPr>
              <w:t>BMC Health Serv Res</w:t>
            </w:r>
            <w:r w:rsidRPr="00CC0461">
              <w:rPr>
                <w:b/>
                <w:bCs/>
                <w:color w:val="000000"/>
                <w:sz w:val="20"/>
                <w:szCs w:val="20"/>
              </w:rPr>
              <w:t xml:space="preserve"> 2010;10:70.</w:t>
            </w:r>
            <w:r w:rsidRPr="00CC0461">
              <w:rPr>
                <w:color w:val="000000"/>
                <w:sz w:val="20"/>
                <w:szCs w:val="20"/>
              </w:rPr>
              <w:br/>
            </w:r>
            <w:r w:rsidRPr="006D0861">
              <w:rPr>
                <w:rStyle w:val="NormalparaChar"/>
              </w:rPr>
              <w:t>A similar alert for inappropriate repeat B-type natriuretic peptide testing for heart failure management reduced redundant tests by 21% relative to baseline, and reduced redundant viral serology test ordering by 24% in another study.</w:t>
            </w:r>
          </w:p>
        </w:tc>
        <w:tc>
          <w:tcPr>
            <w:tcW w:w="707" w:type="pct"/>
            <w:gridSpan w:val="2"/>
            <w:tcBorders>
              <w:top w:val="single" w:sz="4" w:space="0" w:color="C0C0C0"/>
              <w:bottom w:val="single" w:sz="18" w:space="0" w:color="B66113"/>
            </w:tcBorders>
            <w:hideMark/>
          </w:tcPr>
          <w:p w14:paraId="626A0F8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prompts and alerts can improve compliance with guidelines and reduce rates of testing, repeat testing or redundant testing.</w:t>
            </w:r>
          </w:p>
        </w:tc>
      </w:tr>
      <w:tr w:rsidR="00C9672D" w:rsidRPr="00CC0461" w14:paraId="2E635671" w14:textId="77777777" w:rsidTr="00C9672D">
        <w:trPr>
          <w:trHeight w:val="4217"/>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hideMark/>
          </w:tcPr>
          <w:p w14:paraId="4A0CD36B"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632" w:type="pct"/>
            <w:tcBorders>
              <w:top w:val="single" w:sz="18" w:space="0" w:color="B66113"/>
              <w:bottom w:val="single" w:sz="4" w:space="0" w:color="C0C0C0"/>
            </w:tcBorders>
            <w:hideMark/>
          </w:tcPr>
          <w:p w14:paraId="69178058"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To improve the use of imaging in the management of osteoporosis, the effect of any type of intervention compared with no-intervention controls was modest (absolute improvement in bone mineral density test ordering of 10%, IQR 0.0 to 27.7). Patient-mediated, reminder and organisational interventions appeared to have most potential for improving imaging use in osteoporosis.</w:t>
            </w:r>
            <w:r w:rsidRPr="00CC0461">
              <w:br/>
            </w:r>
            <w:r w:rsidRPr="00CC0461">
              <w:rPr>
                <w:b/>
                <w:bCs/>
                <w:i/>
              </w:rPr>
              <w:br/>
              <w:t>Osteoporosis</w:t>
            </w:r>
            <w:r w:rsidRPr="00CC0461">
              <w:br/>
            </w:r>
            <w:r w:rsidRPr="00CC0461">
              <w:rPr>
                <w:b/>
                <w:bCs/>
              </w:rPr>
              <w:t xml:space="preserve">Stock et al. </w:t>
            </w:r>
            <w:r w:rsidRPr="00CC0461">
              <w:rPr>
                <w:b/>
                <w:bCs/>
                <w:i/>
                <w:iCs/>
              </w:rPr>
              <w:t>Ann Intern Med</w:t>
            </w:r>
            <w:r w:rsidRPr="00CC0461">
              <w:rPr>
                <w:b/>
                <w:bCs/>
              </w:rPr>
              <w:t xml:space="preserve"> 1998;128(12 Pt 1):996–9.</w:t>
            </w:r>
            <w:r w:rsidRPr="00CC0461">
              <w:br/>
              <w:t>Comparison of reminders vs a no-intervention control, which reported a continuous imaging outcome (number of bone mineral density tests ordered per month). There was a significant improvement in test ordering with use of a reminder (81%; p = 0.002).</w:t>
            </w:r>
            <w:r w:rsidRPr="00CC0461">
              <w:br/>
            </w:r>
            <w:r w:rsidRPr="00CC0461">
              <w:rPr>
                <w:b/>
                <w:bCs/>
                <w:u w:val="single"/>
              </w:rPr>
              <w:br/>
            </w:r>
            <w:r w:rsidRPr="00CC0461">
              <w:rPr>
                <w:b/>
                <w:bCs/>
              </w:rPr>
              <w:t>Boyd et al.</w:t>
            </w:r>
            <w:r w:rsidRPr="00CC0461">
              <w:rPr>
                <w:b/>
                <w:bCs/>
                <w:i/>
                <w:iCs/>
              </w:rPr>
              <w:t xml:space="preserve"> J Clin Densitom</w:t>
            </w:r>
            <w:r w:rsidRPr="00CC0461">
              <w:rPr>
                <w:b/>
                <w:bCs/>
              </w:rPr>
              <w:t xml:space="preserve"> 2002;5(4):375–81.</w:t>
            </w:r>
            <w:r w:rsidRPr="00CC0461">
              <w:br/>
              <w:t xml:space="preserve">In a study that compared two types of reminder, there was an absolute improvement in bone mineral density test ordering of 7.1% </w:t>
            </w:r>
            <w:r w:rsidRPr="00CC0461">
              <w:br/>
              <w:t>(95% CI –8.0 to 22.0), but had a potential unit of analysis error.</w:t>
            </w:r>
            <w:r w:rsidRPr="00CC0461">
              <w:br/>
            </w:r>
            <w:r w:rsidRPr="00CC0461">
              <w:rPr>
                <w:b/>
                <w:bCs/>
              </w:rPr>
              <w:br/>
            </w:r>
            <w:r w:rsidRPr="00CC0461">
              <w:rPr>
                <w:b/>
                <w:bCs/>
                <w:i/>
              </w:rPr>
              <w:t>Low back pain</w:t>
            </w:r>
            <w:r w:rsidRPr="00CC0461">
              <w:rPr>
                <w:i/>
              </w:rPr>
              <w:br/>
            </w:r>
            <w:r w:rsidRPr="00CC0461">
              <w:rPr>
                <w:b/>
                <w:bCs/>
              </w:rPr>
              <w:t xml:space="preserve">Baker et al. </w:t>
            </w:r>
            <w:r w:rsidRPr="00CC0461">
              <w:rPr>
                <w:b/>
                <w:bCs/>
                <w:i/>
                <w:iCs/>
              </w:rPr>
              <w:t>AJR Am J Roentgenol</w:t>
            </w:r>
            <w:r w:rsidRPr="00CC0461">
              <w:rPr>
                <w:b/>
                <w:bCs/>
              </w:rPr>
              <w:t xml:space="preserve"> 1987;149:535–8</w:t>
            </w:r>
            <w:r w:rsidRPr="00CC0461">
              <w:br/>
              <w:t>Reported a 47% decrease in the number of lumbar radiology examinations after a reminder intervention. Re-analysis of this comparison using time-series regression resulted in a significant change in level (p = 0.001) but not in slope (p = 0.251), indicating a sustained effect of the reminder intervention.</w:t>
            </w:r>
          </w:p>
        </w:tc>
        <w:tc>
          <w:tcPr>
            <w:tcW w:w="707" w:type="pct"/>
            <w:gridSpan w:val="2"/>
            <w:tcBorders>
              <w:top w:val="single" w:sz="18" w:space="0" w:color="B66113"/>
              <w:bottom w:val="single" w:sz="4" w:space="0" w:color="C0C0C0"/>
            </w:tcBorders>
            <w:hideMark/>
          </w:tcPr>
          <w:p w14:paraId="45A38CF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patient-mediated, reminder and organisational interventions had most potential for improving imaging use in osteoporosis. Interventions for low back pain showed variable effects.</w:t>
            </w:r>
          </w:p>
        </w:tc>
      </w:tr>
      <w:tr w:rsidR="00C9672D" w:rsidRPr="00CC0461" w14:paraId="16B633F3" w14:textId="77777777" w:rsidTr="00C9672D">
        <w:trPr>
          <w:trHeight w:val="15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33F7F2CF" w14:textId="77777777" w:rsidR="00C9672D" w:rsidRPr="00CC0461" w:rsidRDefault="00C9672D" w:rsidP="00C9672D">
            <w:pPr>
              <w:spacing w:before="0" w:line="240" w:lineRule="auto"/>
              <w:rPr>
                <w:color w:val="000000"/>
                <w:sz w:val="20"/>
                <w:szCs w:val="20"/>
              </w:rPr>
            </w:pPr>
            <w:r w:rsidRPr="00CC0461">
              <w:rPr>
                <w:color w:val="000000"/>
                <w:sz w:val="20"/>
                <w:szCs w:val="20"/>
              </w:rPr>
              <w:t>Jenkins HJ (2015)</w:t>
            </w:r>
          </w:p>
        </w:tc>
        <w:tc>
          <w:tcPr>
            <w:tcW w:w="3632" w:type="pct"/>
            <w:tcBorders>
              <w:top w:val="single" w:sz="4" w:space="0" w:color="C0C0C0"/>
              <w:bottom w:val="single" w:sz="18" w:space="0" w:color="B66113"/>
            </w:tcBorders>
            <w:hideMark/>
          </w:tcPr>
          <w:p w14:paraId="4A2ACD29" w14:textId="77777777" w:rsidR="00C9672D"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rPr>
                <w:b/>
                <w:bCs/>
              </w:rPr>
              <w:t xml:space="preserve">Eccles et al. </w:t>
            </w:r>
            <w:r w:rsidRPr="00CC0461">
              <w:rPr>
                <w:b/>
                <w:bCs/>
                <w:i/>
                <w:iCs/>
              </w:rPr>
              <w:t>Lancet</w:t>
            </w:r>
            <w:r w:rsidRPr="00CC0461">
              <w:rPr>
                <w:b/>
                <w:bCs/>
              </w:rPr>
              <w:t xml:space="preserve"> 2001;357:1406-9.</w:t>
            </w:r>
            <w:r w:rsidRPr="00CC0461">
              <w:br/>
              <w:t>A short educational message promoting correct imaging practices was attached to all reports of lumbar spine imaging during the intervention period. After adjustment for clustering, absolute change in lumbar spine imaging: −1.5 radiographs/1000 patients (95% CI −2.5 to −0.6) vs controls.</w:t>
            </w:r>
            <w:r w:rsidRPr="00CC0461">
              <w:br/>
            </w:r>
            <w:r w:rsidRPr="00CC0461">
              <w:br/>
              <w:t>This was equivalent to a reduction in imaging of 22.5% (95% CI 8.4% to 36.8%).</w:t>
            </w:r>
          </w:p>
          <w:p w14:paraId="670D6F31"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p>
        </w:tc>
        <w:tc>
          <w:tcPr>
            <w:tcW w:w="707" w:type="pct"/>
            <w:gridSpan w:val="2"/>
            <w:tcBorders>
              <w:top w:val="single" w:sz="4" w:space="0" w:color="C0C0C0"/>
              <w:bottom w:val="single" w:sz="18" w:space="0" w:color="B66113"/>
            </w:tcBorders>
            <w:hideMark/>
          </w:tcPr>
          <w:p w14:paraId="096F87B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showed that use of imaging for low-back pain was significantly reduced with interventions involving targeted reminders.</w:t>
            </w:r>
          </w:p>
        </w:tc>
      </w:tr>
      <w:tr w:rsidR="00C9672D" w:rsidRPr="00CC0461" w14:paraId="70934F3F" w14:textId="77777777" w:rsidTr="00C9672D">
        <w:trPr>
          <w:trHeight w:val="1377"/>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6" w:space="0" w:color="B66113"/>
            </w:tcBorders>
            <w:hideMark/>
          </w:tcPr>
          <w:p w14:paraId="66F3BB28"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632" w:type="pct"/>
            <w:tcBorders>
              <w:top w:val="single" w:sz="18" w:space="0" w:color="B66113"/>
              <w:bottom w:val="single" w:sz="6" w:space="0" w:color="B66113"/>
            </w:tcBorders>
            <w:hideMark/>
          </w:tcPr>
          <w:p w14:paraId="2F5FCB1E"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 a meta-analysis of two studies, alerts for general practitioners led to improved bone mineral density testing rates (RR 4.75, 95% CI 3.62 to 6.24; 3047 participants) and osteoporosis medicine prescribing rates (RR 1.52, 95% CI 1.26 to 1.84; 3047 participants).</w:t>
            </w:r>
          </w:p>
          <w:p w14:paraId="090012B9" w14:textId="77777777" w:rsidR="00DD0F74"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2DAE7FF" w14:textId="77777777" w:rsidR="00DD0F74"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3030299" w14:textId="77777777" w:rsidR="00DD0F74"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5875CB5" w14:textId="77777777" w:rsidR="00DD0F74" w:rsidRPr="00CC0461" w:rsidRDefault="00DD0F74"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18" w:space="0" w:color="B66113"/>
              <w:bottom w:val="single" w:sz="18" w:space="0" w:color="B66113"/>
            </w:tcBorders>
            <w:hideMark/>
          </w:tcPr>
          <w:p w14:paraId="54FC5D4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Meta-analysis of two studies showed that GP alerting on its own probably improves osteoporosis guideline-cons</w:t>
            </w:r>
            <w:r w:rsidR="006D0861">
              <w:rPr>
                <w:color w:val="000000"/>
                <w:sz w:val="20"/>
                <w:szCs w:val="20"/>
              </w:rPr>
              <w:t>istent GP behaviour.</w:t>
            </w:r>
          </w:p>
        </w:tc>
      </w:tr>
      <w:tr w:rsidR="00C9672D" w:rsidRPr="00CC0461" w14:paraId="5B1C2D92"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8" w:space="0" w:color="B66113"/>
              <w:bottom w:val="single" w:sz="4" w:space="0" w:color="C0C0C0"/>
            </w:tcBorders>
            <w:shd w:val="clear" w:color="auto" w:fill="EEECE1" w:themeFill="background2"/>
            <w:hideMark/>
          </w:tcPr>
          <w:p w14:paraId="5E5417A6" w14:textId="77777777" w:rsidR="00C9672D" w:rsidRPr="00CC0461" w:rsidRDefault="00C9672D" w:rsidP="00C9672D">
            <w:pPr>
              <w:spacing w:before="0" w:line="240" w:lineRule="auto"/>
              <w:rPr>
                <w:bCs/>
                <w:color w:val="000000"/>
                <w:sz w:val="20"/>
                <w:szCs w:val="20"/>
              </w:rPr>
            </w:pPr>
            <w:r w:rsidRPr="00CC0461">
              <w:rPr>
                <w:bCs/>
                <w:color w:val="000000"/>
                <w:sz w:val="20"/>
                <w:szCs w:val="20"/>
              </w:rPr>
              <w:t>CPOE and CDSS</w:t>
            </w:r>
          </w:p>
        </w:tc>
      </w:tr>
      <w:tr w:rsidR="00DD0F74" w:rsidRPr="00CC0461" w14:paraId="6EB5B732" w14:textId="77777777" w:rsidTr="00320315">
        <w:trPr>
          <w:trHeight w:val="72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630D13F4" w14:textId="77777777" w:rsidR="00DD0F74" w:rsidRPr="00CC0461" w:rsidRDefault="00DD0F74" w:rsidP="00320315">
            <w:pPr>
              <w:spacing w:before="0" w:line="240" w:lineRule="auto"/>
              <w:rPr>
                <w:color w:val="000000"/>
                <w:sz w:val="20"/>
                <w:szCs w:val="20"/>
              </w:rPr>
            </w:pPr>
            <w:r w:rsidRPr="00CC0461">
              <w:rPr>
                <w:color w:val="000000"/>
                <w:sz w:val="20"/>
                <w:szCs w:val="20"/>
              </w:rPr>
              <w:lastRenderedPageBreak/>
              <w:t>Bright TJ (2012)</w:t>
            </w:r>
          </w:p>
        </w:tc>
        <w:tc>
          <w:tcPr>
            <w:tcW w:w="3632" w:type="pct"/>
            <w:tcBorders>
              <w:top w:val="single" w:sz="4" w:space="0" w:color="C0C0C0"/>
              <w:bottom w:val="single" w:sz="18" w:space="0" w:color="B66113"/>
            </w:tcBorders>
            <w:hideMark/>
          </w:tcPr>
          <w:p w14:paraId="07C35049" w14:textId="77777777" w:rsidR="00DD0F74" w:rsidRPr="00CC0461" w:rsidRDefault="00DD0F74" w:rsidP="00320315">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Both commercially and locally developed CDSS improved healthcare process measures related to performing preventive services (n = 25; OR 1.42, 95% CI 1.27 to 1.58), ordering clinical studies (n = 20; OR 1.72, 95% CI 1.47 to 2.00), and prescribing therapies (n = 46; OR 1.57, 95% CI 1.35 to 1.82).</w:t>
            </w:r>
            <w:r w:rsidRPr="00CC0461">
              <w:rPr>
                <w:color w:val="000000"/>
                <w:sz w:val="20"/>
                <w:szCs w:val="20"/>
              </w:rPr>
              <w:br/>
            </w:r>
            <w:r w:rsidRPr="00CC0461">
              <w:rPr>
                <w:b/>
                <w:bCs/>
                <w:color w:val="000000"/>
                <w:sz w:val="20"/>
                <w:szCs w:val="20"/>
              </w:rPr>
              <w:br/>
              <w:t>Meta-analysis results for outcomes (95% CI)</w:t>
            </w:r>
            <w:r w:rsidRPr="00CC0461">
              <w:rPr>
                <w:color w:val="000000"/>
                <w:sz w:val="20"/>
                <w:szCs w:val="20"/>
              </w:rPr>
              <w:br/>
              <w:t xml:space="preserve">Morbidity (moderate evidence strength, 22 studies, 16 in the meta-analysis): RR 0.88 (0.80–0.96) favouring CDSS. Comparators included usual care or no CDSS and the same CDSS with additional features. </w:t>
            </w:r>
            <w:r w:rsidRPr="00CC0461">
              <w:rPr>
                <w:color w:val="000000"/>
                <w:sz w:val="20"/>
                <w:szCs w:val="20"/>
              </w:rPr>
              <w:br/>
            </w:r>
            <w:r w:rsidRPr="00CC0461">
              <w:rPr>
                <w:color w:val="000000"/>
                <w:sz w:val="20"/>
                <w:szCs w:val="20"/>
              </w:rPr>
              <w:br/>
              <w:t>Mortality (low evidence strength, seven studies, six in the meta-analysis): OR 0.79 (0.54–1.15) favouring CDSS. Interventions were evaluated against usual care or no CDSS, except for two studies that compared the same intervention with additional features.</w:t>
            </w:r>
            <w:r w:rsidRPr="00CC0461">
              <w:rPr>
                <w:color w:val="000000"/>
                <w:sz w:val="20"/>
                <w:szCs w:val="20"/>
              </w:rPr>
              <w:br/>
            </w:r>
            <w:r w:rsidRPr="00CC0461">
              <w:rPr>
                <w:color w:val="000000"/>
                <w:sz w:val="20"/>
                <w:szCs w:val="20"/>
              </w:rPr>
              <w:br/>
              <w:t>Adverse events (low evidence strength, five studies, five in the meta-analysis): RR 1.01 (0.90–1.14) favouring control. All of the CDSSs were evaluated against usual care or no CDSS.</w:t>
            </w:r>
            <w:r w:rsidRPr="00CC0461">
              <w:rPr>
                <w:color w:val="000000"/>
                <w:sz w:val="20"/>
                <w:szCs w:val="20"/>
              </w:rPr>
              <w:br/>
            </w:r>
            <w:r w:rsidRPr="00CC0461">
              <w:rPr>
                <w:color w:val="000000"/>
                <w:sz w:val="20"/>
                <w:szCs w:val="20"/>
              </w:rPr>
              <w:br/>
              <w:t>Recommended preventive care service ordered or completed (high evidence strength, 43 studies, 25 in the meta-analysis): OR 1.42 (1.27–1.58) favouring CDSS. Comparators included usual care or no CDSS, direct comparison against the same CDSS with additional features, or comparison of the same CDSS for different conditions.</w:t>
            </w:r>
            <w:r w:rsidRPr="00CC0461">
              <w:rPr>
                <w:color w:val="000000"/>
                <w:sz w:val="20"/>
                <w:szCs w:val="20"/>
              </w:rPr>
              <w:br/>
            </w:r>
            <w:r w:rsidRPr="00CC0461">
              <w:rPr>
                <w:color w:val="000000"/>
                <w:sz w:val="20"/>
                <w:szCs w:val="20"/>
              </w:rPr>
              <w:br/>
              <w:t>Recommended clinical study ordered or completed (moderate evidence strength, 29 studies, 20 in the meta-analysis): OR 1.72 (1.47–2.00) favouring CDSS. Comparators included usual care or no CDSS, direct comparison against the same CDSS with additional features, or comparison of the same CDSS for different conditions.</w:t>
            </w:r>
            <w:r w:rsidRPr="00CC0461">
              <w:rPr>
                <w:color w:val="000000"/>
                <w:sz w:val="20"/>
                <w:szCs w:val="20"/>
              </w:rPr>
              <w:br/>
            </w:r>
            <w:r w:rsidRPr="00CC0461">
              <w:rPr>
                <w:color w:val="000000"/>
                <w:sz w:val="20"/>
                <w:szCs w:val="20"/>
              </w:rPr>
              <w:br/>
              <w:t>Recommended treatment ordered or prescribed (high evidence strength, 67 studies, 46 in the meta-analysis): OR 1.57 (1.35–1.82) favouring CDSS. Comparators not stated.</w:t>
            </w:r>
          </w:p>
        </w:tc>
        <w:tc>
          <w:tcPr>
            <w:tcW w:w="707" w:type="pct"/>
            <w:gridSpan w:val="2"/>
            <w:tcBorders>
              <w:top w:val="single" w:sz="4" w:space="0" w:color="C0C0C0"/>
              <w:bottom w:val="single" w:sz="18" w:space="0" w:color="B66113"/>
            </w:tcBorders>
            <w:hideMark/>
          </w:tcPr>
          <w:p w14:paraId="6AEBAF6C" w14:textId="77777777" w:rsidR="00DD0F74" w:rsidRPr="00CC0461" w:rsidRDefault="00DD0F74" w:rsidP="00320315">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Meta-analyses of heterogeneous studies suggested that CDSS improved morbidity, preventive care services, ordering or completing clinical studies, and ordering the appropriate treatment.</w:t>
            </w:r>
            <w:r w:rsidRPr="00CC0461">
              <w:rPr>
                <w:color w:val="000000"/>
                <w:sz w:val="20"/>
                <w:szCs w:val="20"/>
              </w:rPr>
              <w:br/>
            </w:r>
            <w:r w:rsidRPr="00CC0461">
              <w:rPr>
                <w:color w:val="000000"/>
                <w:sz w:val="20"/>
                <w:szCs w:val="20"/>
              </w:rPr>
              <w:br/>
              <w:t>Meta-analysis of heterogeneous studies suggested no significant effect of CDSS on mortality or adverse events.</w:t>
            </w:r>
          </w:p>
        </w:tc>
      </w:tr>
      <w:tr w:rsidR="00C9672D" w:rsidRPr="00CC0461" w14:paraId="3947A4E1" w14:textId="77777777" w:rsidTr="00C9672D">
        <w:trPr>
          <w:trHeight w:val="3225"/>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hideMark/>
          </w:tcPr>
          <w:p w14:paraId="4C41E7D5"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Chaudhuri D (2016)</w:t>
            </w:r>
          </w:p>
        </w:tc>
        <w:tc>
          <w:tcPr>
            <w:tcW w:w="3632" w:type="pct"/>
            <w:tcBorders>
              <w:top w:val="single" w:sz="18" w:space="0" w:color="B66113"/>
              <w:bottom w:val="single" w:sz="4" w:space="0" w:color="C0C0C0"/>
            </w:tcBorders>
            <w:hideMark/>
          </w:tcPr>
          <w:p w14:paraId="1767BB2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two studies that used decision support tools in addition to education and/or audit and feedback:</w:t>
            </w:r>
            <w:r w:rsidRPr="00CC0461">
              <w:rPr>
                <w:color w:val="000000"/>
                <w:sz w:val="20"/>
                <w:szCs w:val="20"/>
              </w:rPr>
              <w:br/>
            </w:r>
            <w:r w:rsidRPr="00CC0461">
              <w:rPr>
                <w:b/>
                <w:bCs/>
                <w:color w:val="000000"/>
                <w:sz w:val="20"/>
                <w:szCs w:val="20"/>
              </w:rPr>
              <w:br/>
              <w:t xml:space="preserve">Johnson et al. </w:t>
            </w:r>
            <w:r w:rsidRPr="00CC0461">
              <w:rPr>
                <w:b/>
                <w:bCs/>
                <w:i/>
                <w:iCs/>
                <w:color w:val="000000"/>
                <w:sz w:val="20"/>
                <w:szCs w:val="20"/>
              </w:rPr>
              <w:t>J Am Soc Echocardiogr</w:t>
            </w:r>
            <w:r w:rsidRPr="00CC0461">
              <w:rPr>
                <w:b/>
                <w:bCs/>
                <w:color w:val="000000"/>
                <w:sz w:val="20"/>
                <w:szCs w:val="20"/>
              </w:rPr>
              <w:t xml:space="preserve"> 2014;27:749–757 </w:t>
            </w:r>
            <w:r w:rsidRPr="00CC0461">
              <w:rPr>
                <w:color w:val="000000"/>
                <w:sz w:val="20"/>
                <w:szCs w:val="20"/>
              </w:rPr>
              <w:t>evaluated order forms adapted to display appropriateness of tests at the point of care.</w:t>
            </w:r>
            <w:r w:rsidRPr="00CC0461">
              <w:rPr>
                <w:color w:val="000000"/>
                <w:sz w:val="20"/>
                <w:szCs w:val="20"/>
              </w:rPr>
              <w:br/>
            </w:r>
            <w:r w:rsidRPr="00CC0461">
              <w:rPr>
                <w:b/>
                <w:bCs/>
                <w:color w:val="000000"/>
                <w:sz w:val="20"/>
                <w:szCs w:val="20"/>
              </w:rPr>
              <w:t xml:space="preserve">Lin et al. </w:t>
            </w:r>
            <w:r w:rsidRPr="00CC0461">
              <w:rPr>
                <w:b/>
                <w:bCs/>
                <w:i/>
                <w:iCs/>
                <w:color w:val="000000"/>
                <w:sz w:val="20"/>
                <w:szCs w:val="20"/>
              </w:rPr>
              <w:t>J Am Coll Cardiol</w:t>
            </w:r>
            <w:r w:rsidRPr="00CC0461">
              <w:rPr>
                <w:b/>
                <w:bCs/>
                <w:color w:val="000000"/>
                <w:sz w:val="20"/>
                <w:szCs w:val="20"/>
              </w:rPr>
              <w:t xml:space="preserve"> 2013;62:308–316 </w:t>
            </w:r>
            <w:r w:rsidRPr="00CC0461">
              <w:rPr>
                <w:color w:val="000000"/>
                <w:sz w:val="20"/>
                <w:szCs w:val="20"/>
              </w:rPr>
              <w:t>evaluated computer-based decisions support tool.</w:t>
            </w:r>
            <w:r w:rsidRPr="00CC0461">
              <w:rPr>
                <w:color w:val="000000"/>
                <w:sz w:val="20"/>
                <w:szCs w:val="20"/>
              </w:rPr>
              <w:br/>
            </w:r>
            <w:r w:rsidRPr="00CC0461">
              <w:rPr>
                <w:color w:val="000000"/>
                <w:sz w:val="20"/>
                <w:szCs w:val="20"/>
              </w:rPr>
              <w:br/>
              <w:t>Overall, quality improvement interventions were associated with significantly lower odds of inappropriate testing (OR 0.44, 95% CI 0.32 to 0.61, p &lt; 0.001). However, there was significant heterogeneity observed between studies (I</w:t>
            </w:r>
            <w:r w:rsidRPr="00CC0461">
              <w:rPr>
                <w:color w:val="000000"/>
                <w:sz w:val="20"/>
                <w:szCs w:val="20"/>
                <w:vertAlign w:val="subscript"/>
              </w:rPr>
              <w:t>2</w:t>
            </w:r>
            <w:r w:rsidRPr="00CC0461">
              <w:rPr>
                <w:color w:val="000000"/>
                <w:sz w:val="20"/>
                <w:szCs w:val="20"/>
              </w:rPr>
              <w:t xml:space="preserve"> = 70%). Quality improvement initiatives were also associated with higher odds of appropriate testing (OR 1.67, 95% CI 1.19 to 2.35), with significant heterogeneity observed (I</w:t>
            </w:r>
            <w:r w:rsidRPr="00CC0461">
              <w:rPr>
                <w:color w:val="000000"/>
                <w:sz w:val="20"/>
                <w:szCs w:val="20"/>
                <w:vertAlign w:val="subscript"/>
              </w:rPr>
              <w:t xml:space="preserve">2 </w:t>
            </w:r>
            <w:r w:rsidRPr="00CC0461">
              <w:rPr>
                <w:color w:val="000000"/>
                <w:sz w:val="20"/>
                <w:szCs w:val="20"/>
              </w:rPr>
              <w:t>= 0.87).</w:t>
            </w:r>
            <w:r w:rsidRPr="00CC0461">
              <w:rPr>
                <w:color w:val="000000"/>
                <w:sz w:val="20"/>
                <w:szCs w:val="20"/>
              </w:rPr>
              <w:br/>
            </w:r>
            <w:r w:rsidRPr="00CC0461">
              <w:rPr>
                <w:color w:val="000000"/>
                <w:sz w:val="20"/>
                <w:szCs w:val="20"/>
              </w:rPr>
              <w:br/>
              <w:t>Stratifying by use, decision support tools demonstrated that initiatives using these interventions were also associated with significantly (OR 0.35, 95% CI 0.22 to 0.56) and consistently (I</w:t>
            </w:r>
            <w:r w:rsidRPr="00CC0461">
              <w:rPr>
                <w:color w:val="000000"/>
                <w:sz w:val="20"/>
                <w:szCs w:val="20"/>
                <w:vertAlign w:val="subscript"/>
              </w:rPr>
              <w:t>2</w:t>
            </w:r>
            <w:r w:rsidRPr="00CC0461">
              <w:rPr>
                <w:color w:val="000000"/>
                <w:sz w:val="20"/>
                <w:szCs w:val="20"/>
              </w:rPr>
              <w:t xml:space="preserve"> within group = 22%) lower odds of inappropriate testing, although this effect did not significantly differ from that in groups not using this feature, and did not fully explain differences between interventions.</w:t>
            </w:r>
          </w:p>
        </w:tc>
        <w:tc>
          <w:tcPr>
            <w:tcW w:w="707" w:type="pct"/>
            <w:gridSpan w:val="2"/>
            <w:tcBorders>
              <w:top w:val="single" w:sz="18" w:space="0" w:color="B66113"/>
              <w:bottom w:val="single" w:sz="4" w:space="0" w:color="C0C0C0"/>
            </w:tcBorders>
            <w:hideMark/>
          </w:tcPr>
          <w:p w14:paraId="0183D32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One of two studies looking at decision support tools assessed a computer-based decision support tool. The use of decision support tools led to large and consistent reductions in inappropriate tests, but the observed benefit did not significantly differ from initiatives without decision support tools.</w:t>
            </w:r>
          </w:p>
        </w:tc>
      </w:tr>
      <w:tr w:rsidR="00C9672D" w:rsidRPr="00CC0461" w14:paraId="7B239D89" w14:textId="77777777" w:rsidTr="00C9672D">
        <w:trPr>
          <w:trHeight w:val="450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0C8D2A4D" w14:textId="77777777" w:rsidR="00C9672D" w:rsidRPr="00CC0461" w:rsidRDefault="00C9672D" w:rsidP="00C9672D">
            <w:pPr>
              <w:spacing w:before="0" w:line="240" w:lineRule="auto"/>
              <w:rPr>
                <w:color w:val="000000"/>
                <w:sz w:val="20"/>
                <w:szCs w:val="20"/>
              </w:rPr>
            </w:pPr>
            <w:r w:rsidRPr="00CC0461">
              <w:rPr>
                <w:color w:val="000000"/>
                <w:sz w:val="20"/>
                <w:szCs w:val="20"/>
              </w:rPr>
              <w:t>Georgiou A (2007)</w:t>
            </w:r>
          </w:p>
        </w:tc>
        <w:tc>
          <w:tcPr>
            <w:tcW w:w="3632" w:type="pct"/>
            <w:tcBorders>
              <w:top w:val="single" w:sz="4" w:space="0" w:color="C0C0C0"/>
              <w:bottom w:val="single" w:sz="18" w:space="0" w:color="B66113"/>
            </w:tcBorders>
            <w:hideMark/>
          </w:tcPr>
          <w:p w14:paraId="1E9C93C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Impact of CPOE on test volumes</w:t>
            </w:r>
            <w:r w:rsidRPr="00CC0461">
              <w:rPr>
                <w:color w:val="000000"/>
                <w:sz w:val="20"/>
                <w:szCs w:val="20"/>
              </w:rPr>
              <w:br/>
              <w:t xml:space="preserve">Of 11 included studies, seven reported a significant decrease in test volume, three showed no change and one reported an increase in tests ordered. </w:t>
            </w:r>
            <w:r w:rsidRPr="00CC0461">
              <w:rPr>
                <w:color w:val="000000"/>
                <w:sz w:val="20"/>
                <w:szCs w:val="20"/>
              </w:rPr>
              <w:br/>
            </w:r>
            <w:r w:rsidRPr="00CC0461">
              <w:rPr>
                <w:b/>
                <w:bCs/>
                <w:color w:val="000000"/>
                <w:sz w:val="20"/>
                <w:szCs w:val="20"/>
                <w:u w:val="single"/>
              </w:rPr>
              <w:br/>
            </w:r>
            <w:r w:rsidRPr="00CC0461">
              <w:rPr>
                <w:b/>
                <w:bCs/>
                <w:color w:val="000000"/>
                <w:sz w:val="20"/>
                <w:szCs w:val="20"/>
              </w:rPr>
              <w:t>Impact of CPOE on test costs</w:t>
            </w:r>
            <w:r w:rsidRPr="00CC0461">
              <w:rPr>
                <w:color w:val="000000"/>
                <w:sz w:val="20"/>
                <w:szCs w:val="20"/>
              </w:rPr>
              <w:br/>
              <w:t>Of five included studies, four reported significant reductions and one showed no change. In most cases, changes in test costs reflected underlying changes in test volume.</w:t>
            </w:r>
            <w:r w:rsidRPr="00CC0461">
              <w:rPr>
                <w:color w:val="000000"/>
                <w:sz w:val="20"/>
                <w:szCs w:val="20"/>
              </w:rPr>
              <w:br/>
            </w:r>
            <w:r w:rsidRPr="00CC0461">
              <w:rPr>
                <w:b/>
                <w:bCs/>
                <w:color w:val="000000"/>
                <w:sz w:val="20"/>
                <w:szCs w:val="20"/>
                <w:u w:val="single"/>
              </w:rPr>
              <w:br/>
            </w:r>
            <w:r w:rsidRPr="00CC0461">
              <w:rPr>
                <w:b/>
                <w:bCs/>
                <w:color w:val="000000"/>
                <w:sz w:val="20"/>
                <w:szCs w:val="20"/>
              </w:rPr>
              <w:t>Impact of CPOE on redundant test rates</w:t>
            </w:r>
            <w:r w:rsidRPr="00CC0461">
              <w:rPr>
                <w:color w:val="000000"/>
                <w:sz w:val="20"/>
                <w:szCs w:val="20"/>
              </w:rPr>
              <w:br/>
              <w:t xml:space="preserve">The rate of redundant tests was the focus of a study at Brigham and Women’s Hospital that investigated the impact of providing computerised reminders to physicians about apparently redundant tests. It reported a significantly reduced rate of redundant tests in the intervention groups (27%) compared with the control group (51%). </w:t>
            </w:r>
            <w:r w:rsidRPr="00CC0461">
              <w:rPr>
                <w:color w:val="000000"/>
                <w:sz w:val="20"/>
                <w:szCs w:val="20"/>
              </w:rPr>
              <w:br/>
            </w:r>
            <w:r w:rsidRPr="00CC0461">
              <w:rPr>
                <w:color w:val="000000"/>
                <w:sz w:val="20"/>
                <w:szCs w:val="20"/>
              </w:rPr>
              <w:br/>
            </w:r>
            <w:r w:rsidRPr="00CC0461">
              <w:rPr>
                <w:b/>
                <w:bCs/>
                <w:color w:val="000000"/>
                <w:sz w:val="20"/>
                <w:szCs w:val="20"/>
              </w:rPr>
              <w:t>Impact of CPOE on compliance with guidelines</w:t>
            </w:r>
            <w:r w:rsidRPr="00CC0461">
              <w:rPr>
                <w:color w:val="000000"/>
                <w:sz w:val="20"/>
                <w:szCs w:val="20"/>
              </w:rPr>
              <w:br/>
              <w:t>Four studies found that CPOE systems with computerised decision support improved compliance with guideline advice.</w:t>
            </w:r>
          </w:p>
        </w:tc>
        <w:tc>
          <w:tcPr>
            <w:tcW w:w="707" w:type="pct"/>
            <w:gridSpan w:val="2"/>
            <w:tcBorders>
              <w:top w:val="single" w:sz="4" w:space="0" w:color="C0C0C0"/>
              <w:bottom w:val="single" w:sz="18" w:space="0" w:color="B66113"/>
            </w:tcBorders>
            <w:hideMark/>
          </w:tcPr>
          <w:p w14:paraId="77DD2D6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use of CPOE can reduce hospital pathology test volumes and costs, and increase compliance with guidelines.</w:t>
            </w:r>
          </w:p>
        </w:tc>
      </w:tr>
      <w:tr w:rsidR="00C9672D" w:rsidRPr="00CC0461" w14:paraId="64A5BE39"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205F77CC"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Georgiou A (2011)</w:t>
            </w:r>
          </w:p>
        </w:tc>
        <w:tc>
          <w:tcPr>
            <w:tcW w:w="3632" w:type="pct"/>
            <w:tcBorders>
              <w:top w:val="single" w:sz="18" w:space="0" w:color="B66113"/>
              <w:bottom w:val="single" w:sz="18" w:space="0" w:color="B66113"/>
            </w:tcBorders>
            <w:hideMark/>
          </w:tcPr>
          <w:p w14:paraId="09839DA9" w14:textId="77777777" w:rsidR="00C9672D" w:rsidRPr="00CC0461" w:rsidRDefault="00C9672D" w:rsidP="006D0861">
            <w:pPr>
              <w:pStyle w:val="Normalpara"/>
              <w:cnfStyle w:val="000000000000" w:firstRow="0" w:lastRow="0" w:firstColumn="0" w:lastColumn="0" w:oddVBand="0" w:evenVBand="0" w:oddHBand="0" w:evenHBand="0" w:firstRowFirstColumn="0" w:firstRowLastColumn="0" w:lastRowFirstColumn="0" w:lastRowLastColumn="0"/>
            </w:pPr>
            <w:r w:rsidRPr="00CC0461">
              <w:t xml:space="preserve">Of 10 included studies that evaluated the impact of CPOE systems on test ordering behaviour, seven assessed the effect of decision-support features that promoted the use of guidelines in the test ordering process. The other three studies did not specify the presence of a decision-support feature. </w:t>
            </w:r>
            <w:r w:rsidRPr="00CC0461">
              <w:br/>
            </w:r>
            <w:r w:rsidRPr="00CC0461">
              <w:br/>
            </w:r>
            <w:r w:rsidRPr="00CC0461">
              <w:rPr>
                <w:b/>
                <w:bCs/>
              </w:rPr>
              <w:t xml:space="preserve">Carton et al. </w:t>
            </w:r>
            <w:r w:rsidRPr="00CC0461">
              <w:rPr>
                <w:b/>
                <w:bCs/>
                <w:i/>
                <w:iCs/>
              </w:rPr>
              <w:t xml:space="preserve">Clin Radiol </w:t>
            </w:r>
            <w:r w:rsidRPr="00CC0461">
              <w:rPr>
                <w:b/>
                <w:bCs/>
              </w:rPr>
              <w:t>2002;57:123e8.</w:t>
            </w:r>
            <w:r w:rsidRPr="00CC0461">
              <w:br/>
              <w:t>Computerised guidelines were made available to practitioners on alternating months during a 6-month study period. The availability of guidelines in the CPOE system decreased the percentage of radiology orders that did not conform to guidelines from 33.2% to 26.9% (p = 0.0001).</w:t>
            </w:r>
            <w:r w:rsidRPr="00CC0461">
              <w:br/>
            </w:r>
            <w:r w:rsidRPr="00CC0461">
              <w:rPr>
                <w:b/>
                <w:bCs/>
              </w:rPr>
              <w:br/>
              <w:t xml:space="preserve">Chin et al. </w:t>
            </w:r>
            <w:r w:rsidRPr="00CC0461">
              <w:rPr>
                <w:b/>
                <w:bCs/>
                <w:i/>
                <w:iCs/>
              </w:rPr>
              <w:t xml:space="preserve">Proc AMIA Symp </w:t>
            </w:r>
            <w:r w:rsidRPr="00CC0461">
              <w:rPr>
                <w:b/>
                <w:bCs/>
              </w:rPr>
              <w:t>1999:221e5.</w:t>
            </w:r>
            <w:r w:rsidRPr="00CC0461">
              <w:br/>
              <w:t>There were improvements in the percentage of upper gastrointestinal radiography orders conforming to guidelines after their implementation in a CPOE system (from 55% to 86%, 6 months post implementation).</w:t>
            </w:r>
            <w:r w:rsidRPr="00CC0461">
              <w:br/>
            </w:r>
            <w:r w:rsidRPr="00CC0461">
              <w:br/>
            </w:r>
            <w:r w:rsidRPr="00CC0461">
              <w:rPr>
                <w:b/>
                <w:bCs/>
              </w:rPr>
              <w:t xml:space="preserve">Sanders and Miller. </w:t>
            </w:r>
            <w:r w:rsidRPr="00CC0461">
              <w:rPr>
                <w:b/>
                <w:bCs/>
                <w:i/>
                <w:iCs/>
              </w:rPr>
              <w:t xml:space="preserve">Proc AMIA Symp </w:t>
            </w:r>
            <w:r w:rsidRPr="00CC0461">
              <w:rPr>
                <w:b/>
                <w:bCs/>
              </w:rPr>
              <w:t>2001:583e7.</w:t>
            </w:r>
            <w:r w:rsidRPr="00CC0461">
              <w:br/>
              <w:t>Only practitioners who selected a patient’s clinical context from a list generated in the CPOE system (as opposed to those entering free text), were provided with guidelines. Most practitioners ordered the examination recommended by the guidelines (n = 328; 60%, p = 0.001).</w:t>
            </w:r>
            <w:r w:rsidRPr="00CC0461">
              <w:br/>
            </w:r>
            <w:r w:rsidRPr="00CC0461">
              <w:br/>
            </w:r>
            <w:r w:rsidRPr="00CC0461">
              <w:rPr>
                <w:b/>
                <w:bCs/>
              </w:rPr>
              <w:t xml:space="preserve">Nelson et al. </w:t>
            </w:r>
            <w:r w:rsidRPr="00CC0461">
              <w:rPr>
                <w:b/>
                <w:bCs/>
                <w:i/>
                <w:iCs/>
              </w:rPr>
              <w:t xml:space="preserve">Ann Intern Med </w:t>
            </w:r>
            <w:r w:rsidRPr="00CC0461">
              <w:rPr>
                <w:b/>
                <w:bCs/>
              </w:rPr>
              <w:t>2004;141:196e204.</w:t>
            </w:r>
            <w:r w:rsidRPr="00CC0461">
              <w:br/>
              <w:t>The first intervention, aimed at reducing test ordering beyond 72 hours, prompted practitioners to elect whether to continue or discontinue requested examinations. This intervention did not result in a statistically significant change in ordering of portable chest X-rays. The second intervention, which limited orders to one portable chest X-ray per fixed period of time, resulted in a reduction in the average number of daily orders by 18.6 orders/day (p = 0.03).</w:t>
            </w:r>
            <w:r w:rsidRPr="00CC0461">
              <w:br/>
            </w:r>
            <w:r w:rsidRPr="00CC0461">
              <w:br/>
            </w:r>
            <w:r w:rsidRPr="00CC0461">
              <w:rPr>
                <w:b/>
                <w:bCs/>
              </w:rPr>
              <w:t xml:space="preserve">Wang et al. </w:t>
            </w:r>
            <w:r w:rsidRPr="00CC0461">
              <w:rPr>
                <w:b/>
                <w:bCs/>
                <w:i/>
                <w:iCs/>
              </w:rPr>
              <w:t xml:space="preserve">Arch Intern Med </w:t>
            </w:r>
            <w:r w:rsidRPr="00CC0461">
              <w:rPr>
                <w:b/>
                <w:bCs/>
              </w:rPr>
              <w:t>2002;162:1885e90.</w:t>
            </w:r>
            <w:r w:rsidRPr="00CC0461">
              <w:br/>
              <w:t>Implemented a three-part intervention consisting of practitioner education, guidelines, and order templates, within one inpatient ward. Practitioners at the intervention site were educated about the guidelines and were encouraged to use the order templates in the CPOE system. The average daily test utilisation of portable chest X-rays/ICU day decreased in the intervention ward from 0.97 to 0.88 (p = 0.10). Test utilisation in the control ward increased significantly from 0.75 to 0.96 (p &lt; 0.001).</w:t>
            </w:r>
            <w:r w:rsidRPr="00CC0461">
              <w:br/>
            </w:r>
            <w:r w:rsidRPr="00CC0461">
              <w:br/>
            </w:r>
            <w:r w:rsidRPr="00CC0461">
              <w:rPr>
                <w:b/>
                <w:bCs/>
              </w:rPr>
              <w:t>Sistrom et al.</w:t>
            </w:r>
            <w:r w:rsidRPr="00CC0461">
              <w:rPr>
                <w:b/>
                <w:bCs/>
                <w:i/>
                <w:iCs/>
              </w:rPr>
              <w:t xml:space="preserve"> Radiology</w:t>
            </w:r>
            <w:r w:rsidRPr="00CC0461">
              <w:rPr>
                <w:b/>
                <w:bCs/>
              </w:rPr>
              <w:t xml:space="preserve"> 2009;251:147e55.</w:t>
            </w:r>
            <w:r w:rsidRPr="00CC0461">
              <w:br/>
            </w:r>
            <w:r w:rsidRPr="00CC0461">
              <w:lastRenderedPageBreak/>
              <w:t xml:space="preserve">Used decision support to provide an appropriateness score after once a practitioner had chosen clinical indications and submitted a request via a CPOE. They showed decreases of 2.75% (p &lt; 0.001), 1.2% (p = 0.016) and 1.3% (p = 0.001), respectively, in the growth rate for CT, MRI, and ultrasound examinations. </w:t>
            </w:r>
            <w:r w:rsidRPr="00CC0461">
              <w:br/>
            </w:r>
            <w:r w:rsidRPr="00CC0461">
              <w:br/>
            </w:r>
            <w:r w:rsidRPr="00CC0461">
              <w:rPr>
                <w:b/>
                <w:bCs/>
              </w:rPr>
              <w:t>Vartanians et al.</w:t>
            </w:r>
            <w:r w:rsidRPr="00CC0461">
              <w:rPr>
                <w:b/>
                <w:bCs/>
                <w:i/>
                <w:iCs/>
              </w:rPr>
              <w:t xml:space="preserve"> Radiology</w:t>
            </w:r>
            <w:r w:rsidRPr="00CC0461">
              <w:rPr>
                <w:b/>
                <w:bCs/>
              </w:rPr>
              <w:t xml:space="preserve"> 2010;255:842e9.</w:t>
            </w:r>
            <w:r w:rsidRPr="00CC0461">
              <w:br/>
              <w:t>Used the same approach as Sistrom, et al. (2009) but reported on the impact of a modification to the system that required all examinations with low-yield scores to be personally authorised by a responsible clinician. The intervention resulted in a decrease of 5.43% (2106/38,801) to 1.92% (1261/65,765) (p &lt; 0.001) in low-yield CT, MRI and nuclear medicine examinations.</w:t>
            </w:r>
          </w:p>
        </w:tc>
        <w:tc>
          <w:tcPr>
            <w:tcW w:w="707" w:type="pct"/>
            <w:gridSpan w:val="2"/>
            <w:tcBorders>
              <w:top w:val="single" w:sz="18" w:space="0" w:color="B66113"/>
              <w:bottom w:val="single" w:sz="18" w:space="0" w:color="B66113"/>
            </w:tcBorders>
            <w:hideMark/>
          </w:tcPr>
          <w:p w14:paraId="194419F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Results of individual studies showed that CPOE for medical imaging can reduce unnecessary and inappropriate imaging, and increase compliance with guidelines. </w:t>
            </w:r>
          </w:p>
        </w:tc>
      </w:tr>
      <w:tr w:rsidR="00C9672D" w:rsidRPr="00CC0461" w14:paraId="29325C31" w14:textId="77777777" w:rsidTr="00C9672D">
        <w:trPr>
          <w:trHeight w:val="3651"/>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457F7D34"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Main C (2010)</w:t>
            </w:r>
          </w:p>
        </w:tc>
        <w:tc>
          <w:tcPr>
            <w:tcW w:w="3632" w:type="pct"/>
            <w:tcBorders>
              <w:top w:val="single" w:sz="18" w:space="0" w:color="B66113"/>
              <w:bottom w:val="single" w:sz="18" w:space="0" w:color="B66113"/>
            </w:tcBorders>
            <w:hideMark/>
          </w:tcPr>
          <w:p w14:paraId="46F30E54"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Study question 2: What is the impact of CDSS in OCS for diagnostic, screening or monitoring test ordering compared with OCS without CDSS on process outcomes, patient outcomes and adverse events/safety?</w:t>
            </w:r>
            <w:r w:rsidRPr="00CC0461">
              <w:rPr>
                <w:color w:val="000000"/>
                <w:sz w:val="20"/>
                <w:szCs w:val="20"/>
              </w:rPr>
              <w:br/>
              <w:t>Overall, if the findings of both primary and secondary outcomes are taken into account, CDSS significantly improved practitioner performance in 15/24 studies (62.5%), including 1/3 studies (33.3%) assessing the impact of price display, 1/2 studies (50%) assessing the impact of the display of previous test results, 6/10 studies (60%) assessing the use of reminders and 2/7 studies (28.6%) that assessed the impact of the display of recommendations.</w:t>
            </w:r>
            <w:r w:rsidRPr="00CC0461">
              <w:rPr>
                <w:color w:val="000000"/>
                <w:sz w:val="20"/>
                <w:szCs w:val="20"/>
              </w:rPr>
              <w:br/>
            </w:r>
            <w:r w:rsidRPr="00CC0461">
              <w:rPr>
                <w:color w:val="000000"/>
                <w:sz w:val="20"/>
                <w:szCs w:val="20"/>
              </w:rPr>
              <w:br/>
            </w:r>
            <w:r w:rsidRPr="00CC0461">
              <w:rPr>
                <w:b/>
                <w:bCs/>
                <w:color w:val="000000"/>
                <w:sz w:val="20"/>
                <w:szCs w:val="20"/>
              </w:rPr>
              <w:t>Study question 4: What is known about the cost-effectiveness of CDSS in diagnostic, screening or monitoring test order communication systems compared with OCS without CDSS?</w:t>
            </w:r>
            <w:r w:rsidRPr="00CC0461">
              <w:rPr>
                <w:color w:val="000000"/>
                <w:sz w:val="20"/>
                <w:szCs w:val="20"/>
              </w:rPr>
              <w:br/>
              <w:t xml:space="preserve">Only two studies met the inclusion criteria, both of which were cost–comparison analyses. A Dutch study reported a mean cost decrease of 3% (€639) for blood test orders in each of the intervention clinics compared with a 2% (€208) increase in control clinics. However, this difference failed to reach conventional levels of statistical significance (p = 0.09). The CDSS yielded a mean cost saving of €847/practice/6 months (ie, €639 plus €208). </w:t>
            </w:r>
            <w:r w:rsidRPr="00CC0461">
              <w:rPr>
                <w:color w:val="000000"/>
                <w:sz w:val="20"/>
                <w:szCs w:val="20"/>
              </w:rPr>
              <w:br/>
            </w:r>
            <w:r w:rsidRPr="00CC0461">
              <w:rPr>
                <w:color w:val="000000"/>
                <w:sz w:val="20"/>
                <w:szCs w:val="20"/>
              </w:rPr>
              <w:br/>
              <w:t xml:space="preserve">A Spanish study reported a significant increase in the cost of laboratory tests from €41.8/patient/year to €47.2/patient/year after implementation of the system (difference of 5.4, 95% CI 2.0 to 8.7, p = 0.0017). </w:t>
            </w:r>
          </w:p>
          <w:p w14:paraId="75798F91" w14:textId="77777777" w:rsidR="006D0861" w:rsidRDefault="006D0861"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5385B2D3" w14:textId="77777777" w:rsidR="006D0861" w:rsidRPr="00CC0461" w:rsidRDefault="006D0861"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18" w:space="0" w:color="B66113"/>
              <w:bottom w:val="single" w:sz="18" w:space="0" w:color="B66113"/>
            </w:tcBorders>
            <w:hideMark/>
          </w:tcPr>
          <w:p w14:paraId="4B2A19F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Practitioner performance was improved with CDSS in just under two-thirds of included studies, with a higher proportion of studies investigating reminders showing improved performance than studies investigating price display, display of guidelines or display of previous test results.</w:t>
            </w:r>
          </w:p>
        </w:tc>
      </w:tr>
      <w:tr w:rsidR="00C9672D" w:rsidRPr="00CC0461" w14:paraId="050EE283" w14:textId="77777777" w:rsidTr="00C9672D">
        <w:trPr>
          <w:trHeight w:val="1596"/>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0C078045" w14:textId="77777777" w:rsidR="00C9672D" w:rsidRPr="00CC0461" w:rsidRDefault="00C9672D" w:rsidP="00C9672D">
            <w:pPr>
              <w:spacing w:before="0" w:line="240" w:lineRule="auto"/>
              <w:rPr>
                <w:color w:val="000000"/>
                <w:sz w:val="20"/>
                <w:szCs w:val="20"/>
              </w:rPr>
            </w:pPr>
            <w:r w:rsidRPr="00CC0461">
              <w:rPr>
                <w:color w:val="000000"/>
                <w:sz w:val="20"/>
                <w:szCs w:val="20"/>
              </w:rPr>
              <w:t>Roshanov PS (2011)</w:t>
            </w:r>
          </w:p>
        </w:tc>
        <w:tc>
          <w:tcPr>
            <w:tcW w:w="3632" w:type="pct"/>
            <w:tcBorders>
              <w:top w:val="single" w:sz="18" w:space="0" w:color="B66113"/>
              <w:bottom w:val="single" w:sz="18" w:space="0" w:color="B66113"/>
            </w:tcBorders>
            <w:hideMark/>
          </w:tcPr>
          <w:p w14:paraId="16D0A0F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findings showed that 18/33 of included studies (55%) reported improvements in diagnostic testing after implementation of the CDSS. This included 5/6 (83%) for diagnosis, 5/8 (63%) for treatment monitoring, 6/17 (35%) for disease monitoring, and 3/3 (100%) for other purposes. Four of the systems explicitly attempted to reduce test ordering rates and all succeeded. Factors of particular interest to decision makers, including costs, user satisfaction, and impact on workflow, were rarely investigated or reported.</w:t>
            </w:r>
          </w:p>
          <w:p w14:paraId="5CBB418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6CCA05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18" w:space="0" w:color="B66113"/>
              <w:bottom w:val="single" w:sz="18" w:space="0" w:color="B66113"/>
            </w:tcBorders>
            <w:hideMark/>
          </w:tcPr>
          <w:p w14:paraId="432F34F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CDSS improved overall test ordering behaviour in just over one-half of included studies.</w:t>
            </w:r>
          </w:p>
        </w:tc>
      </w:tr>
      <w:tr w:rsidR="00C9672D" w:rsidRPr="00CC0461" w14:paraId="5634EE00"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8" w:space="0" w:color="B66113"/>
              <w:bottom w:val="single" w:sz="4" w:space="0" w:color="C0C0C0"/>
            </w:tcBorders>
            <w:shd w:val="clear" w:color="auto" w:fill="EEECE1" w:themeFill="background2"/>
            <w:noWrap/>
            <w:hideMark/>
          </w:tcPr>
          <w:p w14:paraId="271470B7" w14:textId="77777777" w:rsidR="00C9672D" w:rsidRPr="00CC0461" w:rsidRDefault="00C9672D" w:rsidP="00C9672D">
            <w:pPr>
              <w:spacing w:before="0" w:line="240" w:lineRule="auto"/>
              <w:rPr>
                <w:bCs/>
                <w:color w:val="000000"/>
                <w:sz w:val="20"/>
                <w:szCs w:val="20"/>
              </w:rPr>
            </w:pPr>
            <w:r w:rsidRPr="00CC0461">
              <w:rPr>
                <w:rFonts w:cs="Arial"/>
                <w:bCs/>
                <w:color w:val="000000"/>
                <w:sz w:val="20"/>
                <w:szCs w:val="20"/>
              </w:rPr>
              <w:t>System-based interventions</w:t>
            </w:r>
          </w:p>
        </w:tc>
      </w:tr>
      <w:tr w:rsidR="00C9672D" w:rsidRPr="00CC0461" w14:paraId="142F03B0" w14:textId="77777777" w:rsidTr="00C9672D">
        <w:trPr>
          <w:trHeight w:val="1128"/>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2" w:space="0" w:color="BFBFBF" w:themeColor="background1" w:themeShade="BF"/>
            </w:tcBorders>
            <w:hideMark/>
          </w:tcPr>
          <w:p w14:paraId="479B67D1" w14:textId="77777777" w:rsidR="00C9672D" w:rsidRPr="00CC0461" w:rsidRDefault="00C9672D" w:rsidP="00C9672D">
            <w:pPr>
              <w:spacing w:before="0" w:line="240" w:lineRule="auto"/>
              <w:rPr>
                <w:color w:val="000000"/>
                <w:sz w:val="20"/>
                <w:szCs w:val="20"/>
              </w:rPr>
            </w:pPr>
            <w:r w:rsidRPr="00CC0461">
              <w:rPr>
                <w:color w:val="000000"/>
                <w:sz w:val="20"/>
                <w:szCs w:val="20"/>
              </w:rPr>
              <w:t>Kobewka DM (2015)</w:t>
            </w:r>
          </w:p>
        </w:tc>
        <w:tc>
          <w:tcPr>
            <w:tcW w:w="3632" w:type="pct"/>
            <w:tcBorders>
              <w:top w:val="single" w:sz="4" w:space="0" w:color="C0C0C0"/>
              <w:bottom w:val="single" w:sz="2" w:space="0" w:color="BFBFBF" w:themeColor="background1" w:themeShade="BF"/>
            </w:tcBorders>
            <w:hideMark/>
          </w:tcPr>
          <w:p w14:paraId="2FEA936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Included 109 studies that investigated 119 interventions aimed at reducing laboratory test utilisation. Of 119 interventions, 54 (45.4%) had a system-based component. The overall median relative reduction in test utilisation was 22.2% (IQR 3.6 to 68.3). The percentage relative reduction in test utilisation was statistically significantly decreased vs controls, with 36 out of 54 interventions (median relative reduction 19.6, IQR 10.4 to 36.1).</w:t>
            </w:r>
          </w:p>
        </w:tc>
        <w:tc>
          <w:tcPr>
            <w:tcW w:w="707" w:type="pct"/>
            <w:gridSpan w:val="2"/>
            <w:tcBorders>
              <w:top w:val="single" w:sz="4" w:space="0" w:color="C0C0C0"/>
              <w:bottom w:val="single" w:sz="2" w:space="0" w:color="BFBFBF" w:themeColor="background1" w:themeShade="BF"/>
            </w:tcBorders>
            <w:hideMark/>
          </w:tcPr>
          <w:p w14:paraId="552554B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System-based components led to reduced laboratory test utilisation by physicians.</w:t>
            </w:r>
          </w:p>
        </w:tc>
      </w:tr>
      <w:tr w:rsidR="00C9672D" w:rsidRPr="00CC0461" w14:paraId="40F3A1F2" w14:textId="77777777" w:rsidTr="00C9672D">
        <w:tc>
          <w:tcPr>
            <w:cnfStyle w:val="001000000000" w:firstRow="0" w:lastRow="0" w:firstColumn="1" w:lastColumn="0" w:oddVBand="0" w:evenVBand="0" w:oddHBand="0" w:evenHBand="0" w:firstRowFirstColumn="0" w:firstRowLastColumn="0" w:lastRowFirstColumn="0" w:lastRowLastColumn="0"/>
            <w:tcW w:w="661" w:type="pct"/>
            <w:tcBorders>
              <w:top w:val="single" w:sz="2" w:space="0" w:color="BFBFBF" w:themeColor="background1" w:themeShade="BF"/>
              <w:bottom w:val="single" w:sz="12" w:space="0" w:color="B66113"/>
            </w:tcBorders>
            <w:hideMark/>
          </w:tcPr>
          <w:p w14:paraId="6AAD344D"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p>
        </w:tc>
        <w:tc>
          <w:tcPr>
            <w:tcW w:w="3632" w:type="pct"/>
            <w:tcBorders>
              <w:top w:val="single" w:sz="2" w:space="0" w:color="BFBFBF" w:themeColor="background1" w:themeShade="BF"/>
              <w:bottom w:val="single" w:sz="12" w:space="0" w:color="B66113"/>
            </w:tcBorders>
            <w:hideMark/>
          </w:tcPr>
          <w:p w14:paraId="11BC651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Included 10 studies that investigated system-based interventions, which usually consisted of computer-assisted decision making. The unweighted average desired change in testing for 26 outcomes in the intervention group compared with the control group was 14.9%. Three of 10 studies found minimal changes, two found change &gt; 8%, two found change &gt; 15% and three studi</w:t>
            </w:r>
            <w:r w:rsidR="00DD0F74">
              <w:rPr>
                <w:color w:val="000000"/>
                <w:sz w:val="20"/>
                <w:szCs w:val="20"/>
              </w:rPr>
              <w:t>es found changes of 26% to 44%.</w:t>
            </w:r>
          </w:p>
          <w:p w14:paraId="037FB5A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2" w:space="0" w:color="BFBFBF" w:themeColor="background1" w:themeShade="BF"/>
            </w:tcBorders>
            <w:hideMark/>
          </w:tcPr>
          <w:p w14:paraId="55693A6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System-based components laboratory test ordering by physicians.</w:t>
            </w:r>
          </w:p>
        </w:tc>
      </w:tr>
      <w:tr w:rsidR="00C9672D" w:rsidRPr="00CC0461" w14:paraId="40F760FC"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nil"/>
              <w:bottom w:val="single" w:sz="4" w:space="0" w:color="C0C0C0"/>
            </w:tcBorders>
            <w:shd w:val="clear" w:color="auto" w:fill="EEECE1" w:themeFill="background2"/>
            <w:noWrap/>
            <w:hideMark/>
          </w:tcPr>
          <w:p w14:paraId="5D9890C9" w14:textId="77777777" w:rsidR="00C9672D" w:rsidRPr="00CC0461" w:rsidRDefault="00C9672D" w:rsidP="00DD0F74">
            <w:pPr>
              <w:spacing w:before="0" w:line="240" w:lineRule="auto"/>
              <w:rPr>
                <w:color w:val="000000"/>
                <w:sz w:val="20"/>
                <w:szCs w:val="20"/>
              </w:rPr>
            </w:pPr>
            <w:r w:rsidRPr="00CC0461">
              <w:rPr>
                <w:rFonts w:cs="Arial"/>
                <w:bCs/>
                <w:color w:val="000000"/>
                <w:sz w:val="20"/>
                <w:szCs w:val="20"/>
              </w:rPr>
              <w:t>Utility score ratings, health information exchanges and clini</w:t>
            </w:r>
            <w:r w:rsidR="00DD0F74">
              <w:rPr>
                <w:rFonts w:cs="Arial"/>
                <w:bCs/>
                <w:color w:val="000000"/>
                <w:sz w:val="20"/>
                <w:szCs w:val="20"/>
              </w:rPr>
              <w:t>cal team decision support</w:t>
            </w:r>
          </w:p>
        </w:tc>
      </w:tr>
      <w:tr w:rsidR="00C9672D" w:rsidRPr="00CC0461" w14:paraId="6CDDE7AA" w14:textId="77777777" w:rsidTr="00C9672D">
        <w:trPr>
          <w:trHeight w:val="101"/>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6" w:space="0" w:color="B66113"/>
            </w:tcBorders>
            <w:hideMark/>
          </w:tcPr>
          <w:p w14:paraId="6D5087F3"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3632" w:type="pct"/>
            <w:tcBorders>
              <w:top w:val="single" w:sz="4" w:space="0" w:color="C0C0C0"/>
              <w:bottom w:val="single" w:sz="6" w:space="0" w:color="B66113"/>
            </w:tcBorders>
            <w:hideMark/>
          </w:tcPr>
          <w:p w14:paraId="457C5E6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Aston et al. </w:t>
            </w:r>
            <w:r w:rsidRPr="00CC0461">
              <w:rPr>
                <w:b/>
                <w:bCs/>
                <w:i/>
                <w:iCs/>
                <w:color w:val="000000"/>
                <w:sz w:val="20"/>
                <w:szCs w:val="20"/>
              </w:rPr>
              <w:t>Hosp Health Netw</w:t>
            </w:r>
            <w:r w:rsidRPr="00CC0461">
              <w:rPr>
                <w:b/>
                <w:bCs/>
                <w:color w:val="000000"/>
                <w:sz w:val="20"/>
                <w:szCs w:val="20"/>
              </w:rPr>
              <w:t xml:space="preserve"> 2010;84:34–6 &amp; Solberg et al. </w:t>
            </w:r>
            <w:r w:rsidRPr="00CC0461">
              <w:rPr>
                <w:b/>
                <w:bCs/>
                <w:i/>
                <w:iCs/>
                <w:color w:val="000000"/>
                <w:sz w:val="20"/>
                <w:szCs w:val="20"/>
              </w:rPr>
              <w:t xml:space="preserve">Am J Manag Care </w:t>
            </w:r>
            <w:r w:rsidRPr="00CC0461">
              <w:rPr>
                <w:b/>
                <w:bCs/>
                <w:color w:val="000000"/>
                <w:sz w:val="20"/>
                <w:szCs w:val="20"/>
              </w:rPr>
              <w:t xml:space="preserve">2010;16:102–6. </w:t>
            </w:r>
            <w:r w:rsidRPr="00CC0461">
              <w:rPr>
                <w:color w:val="000000"/>
                <w:sz w:val="20"/>
                <w:szCs w:val="20"/>
              </w:rPr>
              <w:br/>
              <w:t>Rating the utility score of advanced imaging tests (MRI, CT, nuclear imaging) has been shown to reduce the rate of growth for CT and MRI use from 12% to 7% and 1%, respectively, and increase compliance with appropriateness criteria for head CT, head and spine MRIs.</w:t>
            </w:r>
            <w:r w:rsidRPr="00CC0461">
              <w:rPr>
                <w:color w:val="000000"/>
                <w:sz w:val="20"/>
                <w:szCs w:val="20"/>
              </w:rPr>
              <w:br/>
            </w:r>
            <w:r w:rsidRPr="00CC0461">
              <w:rPr>
                <w:color w:val="000000"/>
                <w:sz w:val="20"/>
                <w:szCs w:val="20"/>
              </w:rPr>
              <w:br/>
            </w:r>
            <w:r w:rsidRPr="00CC0461">
              <w:rPr>
                <w:b/>
                <w:bCs/>
                <w:color w:val="000000"/>
                <w:sz w:val="20"/>
                <w:szCs w:val="20"/>
              </w:rPr>
              <w:t xml:space="preserve">Rosenthal et al. </w:t>
            </w:r>
            <w:r w:rsidRPr="00CC0461">
              <w:rPr>
                <w:b/>
                <w:bCs/>
                <w:i/>
                <w:iCs/>
                <w:color w:val="000000"/>
                <w:sz w:val="20"/>
                <w:szCs w:val="20"/>
              </w:rPr>
              <w:t>J Am Coll Radiol</w:t>
            </w:r>
            <w:r w:rsidRPr="00CC0461">
              <w:rPr>
                <w:b/>
                <w:bCs/>
                <w:color w:val="000000"/>
                <w:sz w:val="20"/>
                <w:szCs w:val="20"/>
              </w:rPr>
              <w:t xml:space="preserve"> 2006;3:799–806. </w:t>
            </w:r>
            <w:r w:rsidRPr="00CC0461">
              <w:rPr>
                <w:color w:val="000000"/>
                <w:sz w:val="20"/>
                <w:szCs w:val="20"/>
              </w:rPr>
              <w:br/>
              <w:t>CPOE systems using utility scores for radiology orders reduced low-utility examinations from 6% to 2%.</w:t>
            </w:r>
            <w:r w:rsidRPr="00CC0461">
              <w:rPr>
                <w:color w:val="000000"/>
                <w:sz w:val="20"/>
                <w:szCs w:val="20"/>
              </w:rPr>
              <w:br/>
            </w:r>
            <w:r w:rsidRPr="00CC0461">
              <w:rPr>
                <w:color w:val="000000"/>
                <w:sz w:val="20"/>
                <w:szCs w:val="20"/>
              </w:rPr>
              <w:br/>
            </w:r>
            <w:r w:rsidRPr="00CC0461">
              <w:rPr>
                <w:b/>
                <w:bCs/>
                <w:color w:val="000000"/>
                <w:sz w:val="20"/>
                <w:szCs w:val="20"/>
              </w:rPr>
              <w:t xml:space="preserve">O’Connor et al. </w:t>
            </w:r>
            <w:r w:rsidRPr="00CC0461">
              <w:rPr>
                <w:b/>
                <w:bCs/>
                <w:i/>
                <w:iCs/>
                <w:color w:val="000000"/>
                <w:sz w:val="20"/>
                <w:szCs w:val="20"/>
              </w:rPr>
              <w:t>AJR Am J Roentgenol</w:t>
            </w:r>
            <w:r w:rsidRPr="00CC0461">
              <w:rPr>
                <w:b/>
                <w:bCs/>
                <w:color w:val="000000"/>
                <w:sz w:val="20"/>
                <w:szCs w:val="20"/>
              </w:rPr>
              <w:t xml:space="preserve"> 2014;203:W482–90.</w:t>
            </w:r>
            <w:r w:rsidRPr="00CC0461">
              <w:rPr>
                <w:color w:val="000000"/>
                <w:sz w:val="20"/>
                <w:szCs w:val="20"/>
              </w:rPr>
              <w:br/>
              <w:t>Requiring clinical justification for repeat CT orders decreased the number of repeat CT orders (redundant orders cancelled after alert) by 23% relative to the pre-intervention period.</w:t>
            </w:r>
            <w:r w:rsidRPr="00CC0461">
              <w:rPr>
                <w:color w:val="000000"/>
                <w:sz w:val="20"/>
                <w:szCs w:val="20"/>
              </w:rPr>
              <w:br/>
            </w:r>
            <w:r w:rsidRPr="00CC0461">
              <w:rPr>
                <w:b/>
                <w:bCs/>
                <w:color w:val="000000"/>
                <w:sz w:val="20"/>
                <w:szCs w:val="20"/>
              </w:rPr>
              <w:br/>
              <w:t xml:space="preserve">Bailey et al. </w:t>
            </w:r>
            <w:r w:rsidRPr="00CC0461">
              <w:rPr>
                <w:b/>
                <w:bCs/>
                <w:i/>
                <w:iCs/>
                <w:color w:val="000000"/>
                <w:sz w:val="20"/>
                <w:szCs w:val="20"/>
              </w:rPr>
              <w:t>Ann Emerg Med</w:t>
            </w:r>
            <w:r w:rsidRPr="00CC0461">
              <w:rPr>
                <w:b/>
                <w:bCs/>
                <w:color w:val="000000"/>
                <w:sz w:val="20"/>
                <w:szCs w:val="20"/>
              </w:rPr>
              <w:t xml:space="preserve"> 2013;62:16–24.</w:t>
            </w:r>
            <w:r w:rsidRPr="00CC0461">
              <w:rPr>
                <w:color w:val="000000"/>
                <w:sz w:val="20"/>
                <w:szCs w:val="20"/>
              </w:rPr>
              <w:br/>
              <w:t>When HIEs were accessed in one study, 10% of patients received additional imaging, in contrast to 24% of patients when the HIE was not accessed.</w:t>
            </w:r>
            <w:r w:rsidRPr="00CC0461">
              <w:rPr>
                <w:color w:val="000000"/>
                <w:sz w:val="20"/>
                <w:szCs w:val="20"/>
              </w:rPr>
              <w:br/>
            </w:r>
            <w:r w:rsidRPr="00CC0461">
              <w:rPr>
                <w:color w:val="000000"/>
                <w:sz w:val="20"/>
                <w:szCs w:val="20"/>
              </w:rPr>
              <w:br/>
            </w:r>
            <w:r w:rsidRPr="00CC0461">
              <w:rPr>
                <w:b/>
                <w:bCs/>
                <w:color w:val="000000"/>
                <w:sz w:val="20"/>
                <w:szCs w:val="20"/>
              </w:rPr>
              <w:t xml:space="preserve">Bailey et al. </w:t>
            </w:r>
            <w:r w:rsidRPr="00CC0461">
              <w:rPr>
                <w:b/>
                <w:bCs/>
                <w:i/>
                <w:iCs/>
                <w:color w:val="000000"/>
                <w:sz w:val="20"/>
                <w:szCs w:val="20"/>
              </w:rPr>
              <w:t>J Gen Intern Med</w:t>
            </w:r>
            <w:r w:rsidRPr="00CC0461">
              <w:rPr>
                <w:b/>
                <w:bCs/>
                <w:color w:val="000000"/>
                <w:sz w:val="20"/>
                <w:szCs w:val="20"/>
              </w:rPr>
              <w:t xml:space="preserve"> 2013;28:176–83. </w:t>
            </w:r>
            <w:r w:rsidRPr="00CC0461">
              <w:rPr>
                <w:color w:val="000000"/>
                <w:sz w:val="20"/>
                <w:szCs w:val="20"/>
              </w:rPr>
              <w:br/>
              <w:t>HIEs also resulted in 33% higher odds of guideline adherence for emergency evaluation of headaches, with 7% higher odds of adherence for each additional visit.</w:t>
            </w:r>
            <w:r w:rsidRPr="00CC0461">
              <w:rPr>
                <w:color w:val="000000"/>
                <w:sz w:val="20"/>
                <w:szCs w:val="20"/>
              </w:rPr>
              <w:br/>
            </w:r>
            <w:r w:rsidRPr="00CC0461">
              <w:rPr>
                <w:b/>
                <w:bCs/>
                <w:color w:val="000000"/>
                <w:sz w:val="20"/>
                <w:szCs w:val="20"/>
              </w:rPr>
              <w:br/>
              <w:t xml:space="preserve">Calderon-Margalit et al. </w:t>
            </w:r>
            <w:r w:rsidRPr="00CC0461">
              <w:rPr>
                <w:b/>
                <w:bCs/>
                <w:i/>
                <w:iCs/>
                <w:color w:val="000000"/>
                <w:sz w:val="20"/>
                <w:szCs w:val="20"/>
              </w:rPr>
              <w:t>Int J Qual Healthcare</w:t>
            </w:r>
            <w:r w:rsidRPr="00CC0461">
              <w:rPr>
                <w:b/>
                <w:bCs/>
                <w:color w:val="000000"/>
                <w:sz w:val="20"/>
                <w:szCs w:val="20"/>
              </w:rPr>
              <w:t xml:space="preserve"> 2005;17:243–8.</w:t>
            </w:r>
            <w:r w:rsidRPr="00CC0461">
              <w:rPr>
                <w:color w:val="000000"/>
                <w:sz w:val="20"/>
                <w:szCs w:val="20"/>
              </w:rPr>
              <w:br/>
              <w:t>One study examined an administrative intervention to restrict available emergency laboratory tests and commonly repeated orders, coupled with educational feedback measures. The restrictive policy resulted in an overall reduction of 19% in laboratory tests a year after the intervention was implemented, but corresponding clinical outcomes were not examined.</w:t>
            </w:r>
            <w:r w:rsidRPr="00CC0461">
              <w:rPr>
                <w:color w:val="000000"/>
                <w:sz w:val="20"/>
                <w:szCs w:val="20"/>
              </w:rPr>
              <w:br/>
            </w:r>
            <w:r w:rsidRPr="00CC0461">
              <w:rPr>
                <w:color w:val="000000"/>
                <w:sz w:val="20"/>
                <w:szCs w:val="20"/>
              </w:rPr>
              <w:br/>
            </w:r>
            <w:r w:rsidRPr="00CC0461">
              <w:rPr>
                <w:b/>
                <w:bCs/>
                <w:color w:val="000000"/>
                <w:sz w:val="20"/>
                <w:szCs w:val="20"/>
              </w:rPr>
              <w:t xml:space="preserve">Friedman et al. </w:t>
            </w:r>
            <w:r w:rsidRPr="00CC0461">
              <w:rPr>
                <w:b/>
                <w:bCs/>
                <w:i/>
                <w:color w:val="000000"/>
                <w:sz w:val="20"/>
                <w:szCs w:val="20"/>
              </w:rPr>
              <w:t>J Am Coll Radiol</w:t>
            </w:r>
            <w:r w:rsidRPr="00CC0461">
              <w:rPr>
                <w:b/>
                <w:bCs/>
                <w:color w:val="000000"/>
                <w:sz w:val="20"/>
                <w:szCs w:val="20"/>
              </w:rPr>
              <w:t xml:space="preserve"> 2009;6:119–24 &amp; Vartanians et al. </w:t>
            </w:r>
            <w:r w:rsidRPr="00CC0461">
              <w:rPr>
                <w:b/>
                <w:bCs/>
                <w:i/>
                <w:color w:val="000000"/>
                <w:sz w:val="20"/>
                <w:szCs w:val="20"/>
              </w:rPr>
              <w:t>Radiology</w:t>
            </w:r>
            <w:r w:rsidRPr="00CC0461">
              <w:rPr>
                <w:b/>
                <w:bCs/>
                <w:color w:val="000000"/>
                <w:sz w:val="20"/>
                <w:szCs w:val="20"/>
              </w:rPr>
              <w:t xml:space="preserve"> 2010;255:842–9.</w:t>
            </w:r>
            <w:r w:rsidRPr="00CC0461">
              <w:rPr>
                <w:color w:val="000000"/>
                <w:sz w:val="20"/>
                <w:szCs w:val="20"/>
              </w:rPr>
              <w:br/>
              <w:t>Department-level non-payer-based utilisation management resulted in 14% of neuroradiology studies ordered not being performed, and decreases in inappropriate outpatient imaging orders that were scheduled and performed from 5.43% to 1.92%.</w:t>
            </w:r>
          </w:p>
          <w:p w14:paraId="4F3E694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85912F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707" w:type="pct"/>
            <w:gridSpan w:val="2"/>
            <w:tcBorders>
              <w:top w:val="single" w:sz="4" w:space="0" w:color="C0C0C0"/>
              <w:bottom w:val="single" w:sz="6" w:space="0" w:color="B66113"/>
            </w:tcBorders>
            <w:hideMark/>
          </w:tcPr>
          <w:p w14:paraId="7C3A8A7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Appropriateness scores integrated into the electronic health record to warn physicians if they are ordering a low-value test are effective in reducing low-value care. </w:t>
            </w:r>
            <w:r w:rsidRPr="00CC0461">
              <w:rPr>
                <w:color w:val="000000"/>
                <w:sz w:val="20"/>
                <w:szCs w:val="20"/>
              </w:rPr>
              <w:br/>
            </w:r>
            <w:r w:rsidRPr="00CC0461">
              <w:rPr>
                <w:color w:val="000000"/>
                <w:sz w:val="20"/>
                <w:szCs w:val="20"/>
              </w:rPr>
              <w:br/>
              <w:t>Overall, appropriateness scores and alerts integrated directly into electronic health records have been shown to reduce redundant testing and inappropriate care. However, physicians can experience alert fatigue, which introduces challenges such as overriding potentially critical notifications.</w:t>
            </w:r>
            <w:r w:rsidRPr="00CC0461">
              <w:rPr>
                <w:color w:val="000000"/>
                <w:sz w:val="20"/>
                <w:szCs w:val="20"/>
              </w:rPr>
              <w:br/>
            </w:r>
            <w:r w:rsidRPr="00CC0461">
              <w:rPr>
                <w:color w:val="000000"/>
                <w:sz w:val="20"/>
                <w:szCs w:val="20"/>
              </w:rPr>
              <w:br/>
              <w:t xml:space="preserve">The use of HIEs has been shown to reduce </w:t>
            </w:r>
            <w:r w:rsidRPr="00CC0461">
              <w:rPr>
                <w:color w:val="000000"/>
                <w:sz w:val="20"/>
                <w:szCs w:val="20"/>
              </w:rPr>
              <w:lastRenderedPageBreak/>
              <w:t xml:space="preserve">duplicative imaging for back pain. </w:t>
            </w:r>
          </w:p>
        </w:tc>
      </w:tr>
      <w:tr w:rsidR="00C9672D" w:rsidRPr="00CC0461" w14:paraId="54C484AA"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shd w:val="clear" w:color="auto" w:fill="EEECE1" w:themeFill="background2"/>
            <w:noWrap/>
            <w:hideMark/>
          </w:tcPr>
          <w:p w14:paraId="180D6410" w14:textId="77777777" w:rsidR="00C9672D" w:rsidRPr="00CC0461" w:rsidRDefault="00C9672D" w:rsidP="00C9672D">
            <w:pPr>
              <w:spacing w:before="0" w:line="240" w:lineRule="auto"/>
              <w:rPr>
                <w:color w:val="000000"/>
                <w:sz w:val="20"/>
                <w:szCs w:val="20"/>
              </w:rPr>
            </w:pPr>
            <w:r w:rsidRPr="00CC0461">
              <w:rPr>
                <w:rFonts w:cs="Arial"/>
                <w:bCs/>
                <w:color w:val="000000"/>
                <w:sz w:val="20"/>
                <w:szCs w:val="20"/>
              </w:rPr>
              <w:lastRenderedPageBreak/>
              <w:t>Guideline dissemination or implementation tools</w:t>
            </w:r>
          </w:p>
        </w:tc>
      </w:tr>
      <w:tr w:rsidR="00C9672D" w:rsidRPr="00CC0461" w14:paraId="2EF0C93D" w14:textId="77777777" w:rsidTr="00C9672D">
        <w:trPr>
          <w:trHeight w:val="1233"/>
        </w:trPr>
        <w:tc>
          <w:tcPr>
            <w:cnfStyle w:val="001000000000" w:firstRow="0" w:lastRow="0" w:firstColumn="1" w:lastColumn="0" w:oddVBand="0" w:evenVBand="0" w:oddHBand="0" w:evenHBand="0" w:firstRowFirstColumn="0" w:firstRowLastColumn="0" w:lastRowFirstColumn="0" w:lastRowLastColumn="0"/>
            <w:tcW w:w="661" w:type="pct"/>
            <w:tcBorders>
              <w:bottom w:val="single" w:sz="4" w:space="0" w:color="C0C0C0"/>
            </w:tcBorders>
            <w:hideMark/>
          </w:tcPr>
          <w:p w14:paraId="12225935" w14:textId="77777777" w:rsidR="00C9672D" w:rsidRPr="00CC0461" w:rsidRDefault="00C9672D" w:rsidP="00C9672D">
            <w:pPr>
              <w:spacing w:before="0" w:line="240" w:lineRule="auto"/>
              <w:rPr>
                <w:color w:val="000000"/>
                <w:sz w:val="20"/>
                <w:szCs w:val="20"/>
              </w:rPr>
            </w:pPr>
            <w:r w:rsidRPr="00CC0461">
              <w:rPr>
                <w:color w:val="000000"/>
                <w:sz w:val="20"/>
                <w:szCs w:val="20"/>
              </w:rPr>
              <w:t>Flodgren G (2016)</w:t>
            </w:r>
          </w:p>
        </w:tc>
        <w:tc>
          <w:tcPr>
            <w:tcW w:w="3632" w:type="pct"/>
            <w:tcBorders>
              <w:bottom w:val="single" w:sz="4" w:space="0" w:color="C0C0C0"/>
            </w:tcBorders>
            <w:hideMark/>
          </w:tcPr>
          <w:p w14:paraId="4AC50BD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Daucourt et al.</w:t>
            </w:r>
            <w:r w:rsidRPr="00CC0461">
              <w:rPr>
                <w:b/>
                <w:bCs/>
                <w:i/>
                <w:iCs/>
                <w:color w:val="000000"/>
                <w:sz w:val="20"/>
                <w:szCs w:val="20"/>
              </w:rPr>
              <w:t xml:space="preserve"> Med Care</w:t>
            </w:r>
            <w:r w:rsidRPr="00CC0461">
              <w:rPr>
                <w:b/>
                <w:bCs/>
                <w:color w:val="000000"/>
                <w:sz w:val="20"/>
                <w:szCs w:val="20"/>
              </w:rPr>
              <w:t xml:space="preserve"> 2003;41:432–41.</w:t>
            </w:r>
            <w:r w:rsidRPr="00CC0461">
              <w:rPr>
                <w:b/>
                <w:bCs/>
                <w:color w:val="000000"/>
                <w:sz w:val="20"/>
                <w:szCs w:val="20"/>
              </w:rPr>
              <w:br/>
            </w:r>
            <w:r w:rsidRPr="00CC0461">
              <w:rPr>
                <w:color w:val="000000"/>
                <w:sz w:val="20"/>
                <w:szCs w:val="20"/>
              </w:rPr>
              <w:t>Reported the number of requests for a thyroid function test that complied with guidelines at 4 weeks (guideline conformity rate). A total of 1412 orders for thyroid function tests were collected, the adherence rate improved from 62.0% (95% CI 47.7 to 76.4) pre-intervention to 77.9% (95% CI 68.9 to 87.0) post intervention.</w:t>
            </w:r>
          </w:p>
        </w:tc>
        <w:tc>
          <w:tcPr>
            <w:tcW w:w="707" w:type="pct"/>
            <w:gridSpan w:val="2"/>
            <w:tcBorders>
              <w:bottom w:val="single" w:sz="4" w:space="0" w:color="C0C0C0"/>
            </w:tcBorders>
            <w:hideMark/>
          </w:tcPr>
          <w:p w14:paraId="0464ED5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in a hospital setting, showed increased adherence to guidelines for appropriate ordering of thyroid function tests after the implementation of a memorandum pocket card and a test request form that indicated inappropriate tests.</w:t>
            </w:r>
          </w:p>
        </w:tc>
      </w:tr>
      <w:tr w:rsidR="00C9672D" w:rsidRPr="00CC0461" w14:paraId="2575D61B" w14:textId="77777777" w:rsidTr="00C9672D">
        <w:trPr>
          <w:trHeight w:val="733"/>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6" w:space="0" w:color="B66113"/>
            </w:tcBorders>
            <w:hideMark/>
          </w:tcPr>
          <w:p w14:paraId="66650552" w14:textId="77777777" w:rsidR="00C9672D" w:rsidRPr="00CC0461" w:rsidRDefault="00C9672D" w:rsidP="00C9672D">
            <w:pPr>
              <w:spacing w:before="0" w:line="240" w:lineRule="auto"/>
              <w:rPr>
                <w:color w:val="000000"/>
                <w:sz w:val="20"/>
                <w:szCs w:val="20"/>
              </w:rPr>
            </w:pPr>
            <w:r w:rsidRPr="00CC0461">
              <w:rPr>
                <w:color w:val="000000"/>
                <w:sz w:val="20"/>
                <w:szCs w:val="20"/>
              </w:rPr>
              <w:t>Jenkins HJ (2015)</w:t>
            </w:r>
          </w:p>
        </w:tc>
        <w:tc>
          <w:tcPr>
            <w:tcW w:w="3632" w:type="pct"/>
            <w:tcBorders>
              <w:top w:val="single" w:sz="4" w:space="0" w:color="C0C0C0"/>
              <w:bottom w:val="single" w:sz="6" w:space="0" w:color="B66113"/>
            </w:tcBorders>
            <w:hideMark/>
          </w:tcPr>
          <w:p w14:paraId="4C8A04A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2D4C">
              <w:rPr>
                <w:b/>
                <w:bCs/>
                <w:color w:val="000000"/>
                <w:sz w:val="20"/>
                <w:szCs w:val="20"/>
                <w:lang w:val="fr-CA"/>
              </w:rPr>
              <w:t xml:space="preserve">Matowe et al. </w:t>
            </w:r>
            <w:r w:rsidRPr="007D2D4C">
              <w:rPr>
                <w:b/>
                <w:bCs/>
                <w:i/>
                <w:iCs/>
                <w:color w:val="000000"/>
                <w:sz w:val="20"/>
                <w:szCs w:val="20"/>
                <w:lang w:val="fr-CA"/>
              </w:rPr>
              <w:t>Clin Radiol</w:t>
            </w:r>
            <w:r w:rsidRPr="007D2D4C">
              <w:rPr>
                <w:b/>
                <w:bCs/>
                <w:color w:val="000000"/>
                <w:sz w:val="20"/>
                <w:szCs w:val="20"/>
                <w:lang w:val="fr-CA"/>
              </w:rPr>
              <w:t xml:space="preserve"> 2002;57:575–8.</w:t>
            </w:r>
            <w:r w:rsidRPr="007D2D4C">
              <w:rPr>
                <w:color w:val="000000"/>
                <w:sz w:val="20"/>
                <w:szCs w:val="20"/>
                <w:lang w:val="fr-CA"/>
              </w:rPr>
              <w:br/>
            </w:r>
            <w:r w:rsidRPr="00CC0461">
              <w:rPr>
                <w:color w:val="000000"/>
                <w:sz w:val="20"/>
                <w:szCs w:val="20"/>
              </w:rPr>
              <w:t>Absolute change in imaging referrals (all patients with any clinical presentation) the first month after postal distribution of current clinical guidelines: −7.7 (95% CI −24.7 to −40.2).</w:t>
            </w:r>
          </w:p>
          <w:p w14:paraId="65E1BA7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FBC00E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707" w:type="pct"/>
            <w:gridSpan w:val="2"/>
            <w:tcBorders>
              <w:top w:val="single" w:sz="4" w:space="0" w:color="C0C0C0"/>
              <w:bottom w:val="single" w:sz="6" w:space="0" w:color="B66113"/>
            </w:tcBorders>
            <w:hideMark/>
          </w:tcPr>
          <w:p w14:paraId="0A7AD62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evidence of effectiveness was shown for postal dissemination of guidelines as an intervention.</w:t>
            </w:r>
          </w:p>
        </w:tc>
      </w:tr>
      <w:tr w:rsidR="00C9672D" w:rsidRPr="00CC0461" w14:paraId="030C5D07" w14:textId="77777777" w:rsidTr="00C9672D">
        <w:trPr>
          <w:gridAfter w:val="1"/>
          <w:wAfter w:w="10" w:type="pct"/>
          <w:trHeight w:val="300"/>
        </w:trPr>
        <w:tc>
          <w:tcPr>
            <w:cnfStyle w:val="001000000000" w:firstRow="0" w:lastRow="0" w:firstColumn="1" w:lastColumn="0" w:oddVBand="0" w:evenVBand="0" w:oddHBand="0" w:evenHBand="0" w:firstRowFirstColumn="0" w:firstRowLastColumn="0" w:lastRowFirstColumn="0" w:lastRowLastColumn="0"/>
            <w:tcW w:w="4990" w:type="pct"/>
            <w:gridSpan w:val="3"/>
            <w:tcBorders>
              <w:top w:val="single" w:sz="12" w:space="0" w:color="B66113"/>
              <w:bottom w:val="single" w:sz="4" w:space="0" w:color="C0C0C0"/>
            </w:tcBorders>
            <w:shd w:val="clear" w:color="auto" w:fill="EEECE1" w:themeFill="background2"/>
            <w:hideMark/>
          </w:tcPr>
          <w:p w14:paraId="34A39809" w14:textId="77777777" w:rsidR="00C9672D" w:rsidRPr="00CC0461" w:rsidRDefault="00C9672D" w:rsidP="00C9672D">
            <w:pPr>
              <w:spacing w:before="0" w:line="240" w:lineRule="auto"/>
              <w:rPr>
                <w:bCs/>
                <w:color w:val="000000"/>
                <w:sz w:val="20"/>
                <w:szCs w:val="20"/>
              </w:rPr>
            </w:pPr>
            <w:r w:rsidRPr="00CC0461">
              <w:rPr>
                <w:bCs/>
                <w:color w:val="000000"/>
                <w:sz w:val="20"/>
                <w:szCs w:val="20"/>
              </w:rPr>
              <w:t>Price display </w:t>
            </w:r>
          </w:p>
        </w:tc>
      </w:tr>
      <w:tr w:rsidR="00C9672D" w:rsidRPr="00CC0461" w14:paraId="5363F778" w14:textId="77777777" w:rsidTr="00C9672D">
        <w:trPr>
          <w:trHeight w:val="1310"/>
        </w:trPr>
        <w:tc>
          <w:tcPr>
            <w:cnfStyle w:val="001000000000" w:firstRow="0" w:lastRow="0" w:firstColumn="1" w:lastColumn="0" w:oddVBand="0" w:evenVBand="0" w:oddHBand="0" w:evenHBand="0" w:firstRowFirstColumn="0" w:firstRowLastColumn="0" w:lastRowFirstColumn="0" w:lastRowLastColumn="0"/>
            <w:tcW w:w="661" w:type="pct"/>
            <w:tcBorders>
              <w:bottom w:val="single" w:sz="4" w:space="0" w:color="C0C0C0"/>
            </w:tcBorders>
            <w:noWrap/>
            <w:hideMark/>
          </w:tcPr>
          <w:p w14:paraId="0C597B29"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632" w:type="pct"/>
            <w:tcBorders>
              <w:bottom w:val="single" w:sz="4" w:space="0" w:color="C0C0C0"/>
            </w:tcBorders>
            <w:hideMark/>
          </w:tcPr>
          <w:p w14:paraId="5FD68E6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Horn DM, et al. </w:t>
            </w:r>
            <w:r w:rsidRPr="00CC0461">
              <w:rPr>
                <w:b/>
                <w:bCs/>
                <w:i/>
                <w:iCs/>
                <w:color w:val="000000"/>
                <w:sz w:val="20"/>
                <w:szCs w:val="20"/>
              </w:rPr>
              <w:t>J Gen Intern Med</w:t>
            </w:r>
            <w:r w:rsidRPr="00CC0461">
              <w:rPr>
                <w:b/>
                <w:bCs/>
                <w:color w:val="000000"/>
                <w:sz w:val="20"/>
                <w:szCs w:val="20"/>
              </w:rPr>
              <w:t xml:space="preserve"> 2014;29:708–14</w:t>
            </w:r>
            <w:r w:rsidRPr="00CC0461">
              <w:rPr>
                <w:color w:val="000000"/>
                <w:sz w:val="20"/>
                <w:szCs w:val="20"/>
              </w:rPr>
              <w:t>.</w:t>
            </w:r>
            <w:r w:rsidRPr="00CC0461">
              <w:rPr>
                <w:color w:val="000000"/>
                <w:sz w:val="20"/>
                <w:szCs w:val="20"/>
              </w:rPr>
              <w:br/>
              <w:t>Price displays within electronic health records at the time of ordering were investigated vs no cost information. Changes to order forms to show cost display led to a 1% to 2.6% reduction in the volume of tests ordered for 5/27 different laboratory tests (0.4–5.6 laboratory orders/1000 visits/month; p &lt; 0.001). For higher cost tests, a reduction in test requests was observed in only 1/6 tests.</w:t>
            </w:r>
          </w:p>
        </w:tc>
        <w:tc>
          <w:tcPr>
            <w:tcW w:w="707" w:type="pct"/>
            <w:gridSpan w:val="2"/>
            <w:tcBorders>
              <w:bottom w:val="single" w:sz="4" w:space="0" w:color="C0C0C0"/>
            </w:tcBorders>
            <w:hideMark/>
          </w:tcPr>
          <w:p w14:paraId="4522640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Results from a single study showed that real-time price display results in a significant but small change in laboratory testing patterns. However, this change was dependent on </w:t>
            </w:r>
            <w:r w:rsidRPr="00CC0461">
              <w:rPr>
                <w:color w:val="000000"/>
                <w:sz w:val="20"/>
                <w:szCs w:val="20"/>
              </w:rPr>
              <w:lastRenderedPageBreak/>
              <w:t>specifics of the test with insignificant changes for 5/6 of the high-cost tests.</w:t>
            </w:r>
          </w:p>
        </w:tc>
      </w:tr>
      <w:tr w:rsidR="00C9672D" w:rsidRPr="00CC0461" w14:paraId="16D62232" w14:textId="77777777" w:rsidTr="00C9672D">
        <w:trPr>
          <w:trHeight w:val="3083"/>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noWrap/>
            <w:hideMark/>
          </w:tcPr>
          <w:p w14:paraId="3D19A6C3"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Goetz C (2015)</w:t>
            </w:r>
          </w:p>
        </w:tc>
        <w:tc>
          <w:tcPr>
            <w:tcW w:w="3632" w:type="pct"/>
            <w:tcBorders>
              <w:top w:val="single" w:sz="4" w:space="0" w:color="C0C0C0"/>
              <w:bottom w:val="single" w:sz="18" w:space="0" w:color="B66113"/>
            </w:tcBorders>
            <w:hideMark/>
          </w:tcPr>
          <w:p w14:paraId="1C1F5D7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Twelve studies were conducted in a clinical environment while five were survey or simulation studies (ie, studies that asked physicians how they might behave in a clinical setting). In most studies, price display changed ordering and prescribing behaviour.</w:t>
            </w:r>
            <w:r w:rsidRPr="00CC0461">
              <w:rPr>
                <w:color w:val="000000"/>
                <w:sz w:val="20"/>
                <w:szCs w:val="20"/>
              </w:rPr>
              <w:br/>
            </w:r>
            <w:r w:rsidRPr="00CC0461">
              <w:rPr>
                <w:color w:val="000000"/>
                <w:sz w:val="20"/>
                <w:szCs w:val="20"/>
              </w:rPr>
              <w:br/>
              <w:t>Of the clinically based interventions looking at laboratory and radiology ordering, 7/9 studies reported statistically significant cost reduction when charges were displayed. Only 3/6 studies that reported differences in the number of tests ordered also reported a statistically significant decrease in the number of tests ordered.</w:t>
            </w:r>
            <w:r w:rsidRPr="00CC0461">
              <w:rPr>
                <w:color w:val="000000"/>
                <w:sz w:val="20"/>
                <w:szCs w:val="20"/>
              </w:rPr>
              <w:br/>
            </w:r>
            <w:r w:rsidRPr="00CC0461">
              <w:rPr>
                <w:color w:val="000000"/>
                <w:sz w:val="20"/>
                <w:szCs w:val="20"/>
              </w:rPr>
              <w:br/>
              <w:t>All three clinically based interventions looking at medicine choice came from the anaesthesiology literature. Medicine expenditure decreased in 2/3 studies.</w:t>
            </w:r>
            <w:r w:rsidRPr="00CC0461">
              <w:rPr>
                <w:color w:val="000000"/>
                <w:sz w:val="20"/>
                <w:szCs w:val="20"/>
              </w:rPr>
              <w:br/>
            </w:r>
            <w:r w:rsidRPr="00CC0461">
              <w:rPr>
                <w:color w:val="000000"/>
                <w:sz w:val="20"/>
                <w:szCs w:val="20"/>
              </w:rPr>
              <w:br/>
              <w:t>Of the five studies that looked at physician decisions in surveys or simulated settings, two looked at test ordering and three looked at medicine ordering. Both test ordering surveys noted a decrease in test ordering when price information was displayed. All three medicine ordering survey studies showed a trend towards choosing less expensive medicine options when price was displayed.</w:t>
            </w:r>
          </w:p>
        </w:tc>
        <w:tc>
          <w:tcPr>
            <w:tcW w:w="707" w:type="pct"/>
            <w:gridSpan w:val="2"/>
            <w:tcBorders>
              <w:top w:val="single" w:sz="4" w:space="0" w:color="C0C0C0"/>
              <w:bottom w:val="single" w:sz="18" w:space="0" w:color="B66113"/>
            </w:tcBorders>
            <w:hideMark/>
          </w:tcPr>
          <w:p w14:paraId="7A512A7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Price display led to decreased costs for ordering of laboratory tests or radiology imaging in most included studies.</w:t>
            </w:r>
          </w:p>
        </w:tc>
      </w:tr>
      <w:tr w:rsidR="00C9672D" w:rsidRPr="00CC0461" w14:paraId="25F33301" w14:textId="77777777" w:rsidTr="00C9672D">
        <w:trPr>
          <w:trHeight w:val="330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6" w:space="0" w:color="B66113"/>
            </w:tcBorders>
            <w:noWrap/>
            <w:hideMark/>
          </w:tcPr>
          <w:p w14:paraId="2FEA966E" w14:textId="77777777" w:rsidR="00C9672D" w:rsidRPr="00CC0461" w:rsidRDefault="00C9672D" w:rsidP="00C9672D">
            <w:pPr>
              <w:spacing w:before="0" w:line="240" w:lineRule="auto"/>
              <w:rPr>
                <w:color w:val="000000"/>
                <w:sz w:val="20"/>
                <w:szCs w:val="20"/>
              </w:rPr>
            </w:pPr>
            <w:r w:rsidRPr="00CC0461">
              <w:rPr>
                <w:color w:val="000000"/>
                <w:sz w:val="20"/>
                <w:szCs w:val="20"/>
              </w:rPr>
              <w:t>Silvestri MT (2016)</w:t>
            </w:r>
          </w:p>
        </w:tc>
        <w:tc>
          <w:tcPr>
            <w:tcW w:w="3632" w:type="pct"/>
            <w:tcBorders>
              <w:top w:val="single" w:sz="18" w:space="0" w:color="B66113"/>
              <w:bottom w:val="single" w:sz="6" w:space="0" w:color="B66113"/>
            </w:tcBorders>
            <w:hideMark/>
          </w:tcPr>
          <w:p w14:paraId="5599D1A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Of 15 studies reporting the quantitative impact of price display on aggregate order costs or volume, 10 demonstrated a statistically significant decrease in the intervention group. </w:t>
            </w:r>
            <w:r w:rsidRPr="00CC0461">
              <w:rPr>
                <w:color w:val="000000"/>
                <w:sz w:val="20"/>
                <w:szCs w:val="20"/>
              </w:rPr>
              <w:br/>
            </w:r>
            <w:r w:rsidRPr="00CC0461">
              <w:rPr>
                <w:color w:val="000000"/>
                <w:sz w:val="20"/>
                <w:szCs w:val="20"/>
              </w:rPr>
              <w:br/>
              <w:t>Thirteen studies reported the numeric impact of price display on aggregate order costs, and nine demonstrated a statistically significant (p &lt; 0.05) decrease in order costs with effect sizes ranging from 10.7% to 62.8%. Decreases were found for laboratory costs, imaging costs and medicine costs. These were observed in both the inpatient and outpatient settings.</w:t>
            </w:r>
            <w:r w:rsidRPr="00CC0461">
              <w:rPr>
                <w:color w:val="000000"/>
                <w:sz w:val="20"/>
                <w:szCs w:val="20"/>
              </w:rPr>
              <w:br/>
            </w:r>
            <w:r w:rsidRPr="00CC0461">
              <w:rPr>
                <w:color w:val="000000"/>
                <w:sz w:val="20"/>
                <w:szCs w:val="20"/>
              </w:rPr>
              <w:br/>
              <w:t>Eight studies reported the numeric impact of price display on aggregate order volume, and three demonstrated a statistically significant decrease in order volume with effect sizes ranging from 14.2% to 25.5%.</w:t>
            </w:r>
            <w:r w:rsidRPr="00CC0461">
              <w:rPr>
                <w:color w:val="000000"/>
                <w:sz w:val="20"/>
                <w:szCs w:val="20"/>
              </w:rPr>
              <w:br/>
            </w:r>
            <w:r w:rsidRPr="00CC0461">
              <w:rPr>
                <w:color w:val="000000"/>
                <w:sz w:val="20"/>
                <w:szCs w:val="20"/>
              </w:rPr>
              <w:br/>
              <w:t>Price display was found to decrease aggregate order costs (9/13 studies) more frequently than order volume (3/8 studies).</w:t>
            </w:r>
          </w:p>
        </w:tc>
        <w:tc>
          <w:tcPr>
            <w:tcW w:w="707" w:type="pct"/>
            <w:gridSpan w:val="2"/>
            <w:tcBorders>
              <w:top w:val="single" w:sz="18" w:space="0" w:color="B66113"/>
              <w:bottom w:val="single" w:sz="6" w:space="0" w:color="B66113"/>
            </w:tcBorders>
            <w:hideMark/>
          </w:tcPr>
          <w:p w14:paraId="090BD4E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Provider price display likely reduces order costs to a modest degree.</w:t>
            </w:r>
          </w:p>
        </w:tc>
      </w:tr>
    </w:tbl>
    <w:p w14:paraId="7DF870B8" w14:textId="77777777" w:rsidR="00C9672D" w:rsidRDefault="00C9672D" w:rsidP="00C9672D">
      <w:pPr>
        <w:pStyle w:val="Figure"/>
        <w:rPr>
          <w:rStyle w:val="Bold"/>
          <w:rFonts w:ascii="Arial Narrow" w:hAnsi="Arial Narrow"/>
          <w:sz w:val="20"/>
          <w:szCs w:val="20"/>
        </w:rPr>
      </w:pPr>
    </w:p>
    <w:p w14:paraId="3F094E5C" w14:textId="77777777" w:rsidR="00C9672D" w:rsidRDefault="00C9672D" w:rsidP="00C9672D">
      <w:pPr>
        <w:pStyle w:val="Figure"/>
        <w:rPr>
          <w:rStyle w:val="Bold"/>
          <w:rFonts w:ascii="Arial Narrow" w:hAnsi="Arial Narrow"/>
          <w:sz w:val="20"/>
          <w:szCs w:val="20"/>
        </w:rPr>
      </w:pPr>
      <w:r>
        <w:rPr>
          <w:rStyle w:val="Bold"/>
          <w:rFonts w:ascii="Arial Narrow" w:hAnsi="Arial Narrow"/>
          <w:sz w:val="20"/>
          <w:szCs w:val="20"/>
        </w:rPr>
        <w:lastRenderedPageBreak/>
        <w:br w:type="page"/>
      </w:r>
    </w:p>
    <w:p w14:paraId="631001A7" w14:textId="77777777" w:rsidR="00C9672D" w:rsidRPr="00CC0461" w:rsidRDefault="00C9672D" w:rsidP="00C9672D">
      <w:pPr>
        <w:pStyle w:val="Figure"/>
        <w:rPr>
          <w:rStyle w:val="Bold"/>
          <w:rFonts w:ascii="Arial Narrow" w:hAnsi="Arial Narrow"/>
          <w:sz w:val="20"/>
          <w:szCs w:val="20"/>
        </w:rPr>
      </w:pPr>
      <w:r w:rsidRPr="00CC0461">
        <w:rPr>
          <w:rStyle w:val="Bold"/>
          <w:rFonts w:ascii="Arial Narrow" w:hAnsi="Arial Narrow"/>
          <w:sz w:val="20"/>
          <w:szCs w:val="20"/>
        </w:rPr>
        <w:lastRenderedPageBreak/>
        <w:t>Table 4. Key findings on education</w:t>
      </w:r>
    </w:p>
    <w:tbl>
      <w:tblPr>
        <w:tblStyle w:val="TableNPSstandard"/>
        <w:tblW w:w="5000" w:type="pct"/>
        <w:tblLook w:val="06A0" w:firstRow="1" w:lastRow="0" w:firstColumn="1" w:lastColumn="0" w:noHBand="1" w:noVBand="1"/>
        <w:tblCaption w:val="Table 4, Key findings on education"/>
        <w:tblDescription w:val="This table has three columns underneath it, column 1 being first author (year), column 2 'findings of key studies in the review' and column 3 'result summary'. "/>
      </w:tblPr>
      <w:tblGrid>
        <w:gridCol w:w="2212"/>
        <w:gridCol w:w="143"/>
        <w:gridCol w:w="9001"/>
        <w:gridCol w:w="3214"/>
      </w:tblGrid>
      <w:tr w:rsidR="00C9672D" w:rsidRPr="00CC0461" w14:paraId="65E9DCAB" w14:textId="77777777" w:rsidTr="008D10A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noWrap/>
            <w:hideMark/>
          </w:tcPr>
          <w:p w14:paraId="781C4286"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3089" w:type="pct"/>
            <w:tcBorders>
              <w:bottom w:val="single" w:sz="18" w:space="0" w:color="B66113"/>
            </w:tcBorders>
            <w:noWrap/>
            <w:hideMark/>
          </w:tcPr>
          <w:p w14:paraId="6F310D3B"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Findings of key studies in review</w:t>
            </w:r>
          </w:p>
        </w:tc>
        <w:tc>
          <w:tcPr>
            <w:tcW w:w="1092" w:type="pct"/>
            <w:tcBorders>
              <w:bottom w:val="single" w:sz="18" w:space="0" w:color="B66113"/>
            </w:tcBorders>
            <w:hideMark/>
          </w:tcPr>
          <w:p w14:paraId="47D588B1"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 summary</w:t>
            </w:r>
          </w:p>
        </w:tc>
      </w:tr>
      <w:tr w:rsidR="00C9672D" w:rsidRPr="00CC0461" w14:paraId="015E9B2F" w14:textId="77777777" w:rsidTr="00C9672D">
        <w:trPr>
          <w:trHeight w:val="300"/>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bottom w:val="single" w:sz="4" w:space="0" w:color="C0C0C0"/>
            </w:tcBorders>
            <w:shd w:val="clear" w:color="auto" w:fill="EEECE1" w:themeFill="background2"/>
            <w:noWrap/>
            <w:hideMark/>
          </w:tcPr>
          <w:p w14:paraId="57C37B50" w14:textId="77777777" w:rsidR="00C9672D" w:rsidRPr="00CC0461" w:rsidRDefault="00C9672D" w:rsidP="00C9672D">
            <w:pPr>
              <w:spacing w:before="0" w:line="240" w:lineRule="auto"/>
              <w:rPr>
                <w:bCs/>
                <w:color w:val="000000"/>
                <w:sz w:val="20"/>
                <w:szCs w:val="20"/>
              </w:rPr>
            </w:pPr>
            <w:r w:rsidRPr="00CC0461">
              <w:rPr>
                <w:bCs/>
                <w:color w:val="000000"/>
                <w:sz w:val="20"/>
                <w:szCs w:val="20"/>
              </w:rPr>
              <w:t xml:space="preserve">Traditional educational </w:t>
            </w:r>
          </w:p>
        </w:tc>
      </w:tr>
      <w:tr w:rsidR="00C9672D" w:rsidRPr="00CC0461" w14:paraId="26E1B771" w14:textId="77777777" w:rsidTr="00C9672D">
        <w:trPr>
          <w:trHeight w:val="1692"/>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4" w:space="0" w:color="C0C0C0"/>
            </w:tcBorders>
            <w:noWrap/>
            <w:hideMark/>
          </w:tcPr>
          <w:p w14:paraId="25741BDD"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089" w:type="pct"/>
            <w:tcBorders>
              <w:top w:val="single" w:sz="4" w:space="0" w:color="C0C0C0"/>
              <w:bottom w:val="single" w:sz="4" w:space="0" w:color="C0C0C0"/>
            </w:tcBorders>
            <w:hideMark/>
          </w:tcPr>
          <w:p w14:paraId="725DB33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Barrichi et al. </w:t>
            </w:r>
            <w:r w:rsidRPr="00CC0461">
              <w:rPr>
                <w:b/>
                <w:bCs/>
                <w:i/>
                <w:color w:val="000000"/>
                <w:sz w:val="20"/>
                <w:szCs w:val="20"/>
              </w:rPr>
              <w:t>BMC Health Serv Res</w:t>
            </w:r>
            <w:r w:rsidRPr="00CC0461">
              <w:rPr>
                <w:b/>
                <w:bCs/>
                <w:color w:val="000000"/>
                <w:sz w:val="20"/>
                <w:szCs w:val="20"/>
              </w:rPr>
              <w:t xml:space="preserve"> 2012;12:187.</w:t>
            </w:r>
          </w:p>
          <w:p w14:paraId="0FB0563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Pathology-specific laboratory algorithms for seven common clinical scenarios were tested. Education was provided (eight training sessions) to the physicians about the algorithms and their use vs current practice alone. A 5% reduction in the volume of tests requested by the intervention district 1 year after the intervention (retrospective audit) compared with a 1% increase in the control district (p &lt; 0.001). </w:t>
            </w:r>
            <w:r w:rsidRPr="00CC0461">
              <w:rPr>
                <w:color w:val="000000"/>
                <w:sz w:val="20"/>
                <w:szCs w:val="20"/>
              </w:rPr>
              <w:br/>
            </w:r>
            <w:r w:rsidRPr="00CC0461">
              <w:rPr>
                <w:color w:val="000000"/>
                <w:sz w:val="20"/>
                <w:szCs w:val="20"/>
              </w:rPr>
              <w:br/>
            </w:r>
            <w:r w:rsidRPr="00CC0461">
              <w:rPr>
                <w:b/>
                <w:bCs/>
                <w:color w:val="000000"/>
                <w:sz w:val="20"/>
                <w:szCs w:val="20"/>
              </w:rPr>
              <w:t xml:space="preserve">Larsson et al. </w:t>
            </w:r>
            <w:r w:rsidRPr="00CC0461">
              <w:rPr>
                <w:b/>
                <w:bCs/>
                <w:i/>
                <w:color w:val="000000"/>
                <w:sz w:val="20"/>
                <w:szCs w:val="20"/>
              </w:rPr>
              <w:t>Scand J Prim HealthCare</w:t>
            </w:r>
            <w:r w:rsidRPr="00CC0461">
              <w:rPr>
                <w:b/>
                <w:bCs/>
                <w:color w:val="000000"/>
                <w:sz w:val="20"/>
                <w:szCs w:val="20"/>
              </w:rPr>
              <w:t xml:space="preserve"> 1999;17:238–43.</w:t>
            </w:r>
            <w:r w:rsidRPr="00CC0461">
              <w:rPr>
                <w:color w:val="000000"/>
                <w:sz w:val="20"/>
                <w:szCs w:val="20"/>
              </w:rPr>
              <w:br/>
              <w:t>Evaluated an education program (2-day lecture series) vs current practice.</w:t>
            </w:r>
            <w:r w:rsidRPr="00CC0461">
              <w:rPr>
                <w:color w:val="000000"/>
                <w:sz w:val="20"/>
                <w:szCs w:val="20"/>
              </w:rPr>
              <w:br/>
              <w:t>A total of seven ratios were recommended to decrease in volume; five did at p &lt; 0.05. A total of seven were expected to increase in volume, and four did at p &lt; 0.05.</w:t>
            </w:r>
          </w:p>
        </w:tc>
        <w:tc>
          <w:tcPr>
            <w:tcW w:w="1092" w:type="pct"/>
            <w:tcBorders>
              <w:top w:val="single" w:sz="4" w:space="0" w:color="C0C0C0"/>
              <w:bottom w:val="single" w:sz="4" w:space="0" w:color="C0C0C0"/>
            </w:tcBorders>
            <w:hideMark/>
          </w:tcPr>
          <w:p w14:paraId="7AE7BA4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Education-based interventions appear to have promising effects on improving primary care physician laboratory testing patterns.</w:t>
            </w:r>
          </w:p>
        </w:tc>
      </w:tr>
      <w:tr w:rsidR="00C9672D" w:rsidRPr="00CC0461" w14:paraId="5587AF0D" w14:textId="77777777" w:rsidTr="00C9672D">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noWrap/>
            <w:hideMark/>
          </w:tcPr>
          <w:p w14:paraId="3C4743E4" w14:textId="77777777" w:rsidR="00C9672D" w:rsidRPr="00CC0461" w:rsidRDefault="00C9672D" w:rsidP="00C9672D">
            <w:pPr>
              <w:spacing w:before="0" w:line="240" w:lineRule="auto"/>
              <w:rPr>
                <w:color w:val="000000"/>
                <w:sz w:val="20"/>
                <w:szCs w:val="20"/>
              </w:rPr>
            </w:pPr>
            <w:r w:rsidRPr="00CC0461">
              <w:rPr>
                <w:color w:val="000000"/>
                <w:sz w:val="20"/>
                <w:szCs w:val="20"/>
              </w:rPr>
              <w:t>Chaudhuri D (2016)</w:t>
            </w:r>
          </w:p>
        </w:tc>
        <w:tc>
          <w:tcPr>
            <w:tcW w:w="3089" w:type="pct"/>
            <w:tcBorders>
              <w:top w:val="single" w:sz="4" w:space="0" w:color="C0C0C0"/>
              <w:bottom w:val="single" w:sz="18" w:space="0" w:color="B66113"/>
            </w:tcBorders>
            <w:hideMark/>
          </w:tcPr>
          <w:p w14:paraId="1504538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Willens et al. </w:t>
            </w:r>
            <w:r w:rsidRPr="00CC0461">
              <w:rPr>
                <w:b/>
                <w:bCs/>
                <w:i/>
                <w:color w:val="000000"/>
                <w:sz w:val="20"/>
                <w:szCs w:val="20"/>
              </w:rPr>
              <w:t>JACC Cardiovasc Imaging</w:t>
            </w:r>
            <w:r w:rsidRPr="00CC0461">
              <w:rPr>
                <w:b/>
                <w:bCs/>
                <w:color w:val="000000"/>
                <w:sz w:val="20"/>
                <w:szCs w:val="20"/>
              </w:rPr>
              <w:t xml:space="preserve"> 2013;6:297–309.</w:t>
            </w:r>
            <w:r w:rsidRPr="00CC0461">
              <w:rPr>
                <w:b/>
                <w:bCs/>
                <w:color w:val="000000"/>
                <w:sz w:val="20"/>
                <w:szCs w:val="20"/>
              </w:rPr>
              <w:br/>
            </w:r>
            <w:r w:rsidRPr="00CC0461">
              <w:rPr>
                <w:color w:val="000000"/>
                <w:sz w:val="20"/>
                <w:szCs w:val="20"/>
              </w:rPr>
              <w:t>Didactic lectures in a multicentre study with a 3-month follow-up for the appropriateness of transthoracic echocardiography showed no significant effect on inappropriate testing (OR, 1.04, 95% CI 0.59 to 1.83).</w:t>
            </w:r>
            <w:r w:rsidRPr="00CC0461">
              <w:rPr>
                <w:color w:val="000000"/>
                <w:sz w:val="20"/>
                <w:szCs w:val="20"/>
              </w:rPr>
              <w:br/>
            </w:r>
            <w:r w:rsidRPr="00CC0461">
              <w:rPr>
                <w:b/>
                <w:bCs/>
                <w:color w:val="000000"/>
                <w:sz w:val="20"/>
                <w:szCs w:val="20"/>
              </w:rPr>
              <w:br/>
              <w:t xml:space="preserve">Gibbons et al. </w:t>
            </w:r>
            <w:r w:rsidRPr="00CC0461">
              <w:rPr>
                <w:b/>
                <w:bCs/>
                <w:i/>
                <w:color w:val="000000"/>
                <w:sz w:val="20"/>
                <w:szCs w:val="20"/>
              </w:rPr>
              <w:t>Am Heart J</w:t>
            </w:r>
            <w:r w:rsidRPr="00CC0461">
              <w:rPr>
                <w:b/>
                <w:bCs/>
                <w:color w:val="000000"/>
                <w:sz w:val="20"/>
                <w:szCs w:val="20"/>
              </w:rPr>
              <w:t xml:space="preserve"> 2010;159:484–9.</w:t>
            </w:r>
            <w:r w:rsidRPr="00CC0461">
              <w:rPr>
                <w:b/>
                <w:bCs/>
                <w:color w:val="000000"/>
                <w:sz w:val="20"/>
                <w:szCs w:val="20"/>
              </w:rPr>
              <w:br/>
            </w:r>
            <w:r w:rsidRPr="00CC0461">
              <w:rPr>
                <w:color w:val="000000"/>
                <w:sz w:val="20"/>
                <w:szCs w:val="20"/>
              </w:rPr>
              <w:t>A single centre prospective study of didactic lectures, distribution of grand rounds summary, and didactic sessions to relevant physicians with a 2-year follow-up. Results showed an improvement in the reduction of inappropriate cardiac testing (OR 0.79, 95% CI 0.48 to 1.29).</w:t>
            </w:r>
          </w:p>
        </w:tc>
        <w:tc>
          <w:tcPr>
            <w:tcW w:w="1092" w:type="pct"/>
            <w:tcBorders>
              <w:top w:val="single" w:sz="4" w:space="0" w:color="C0C0C0"/>
              <w:bottom w:val="single" w:sz="18" w:space="0" w:color="B66113"/>
            </w:tcBorders>
            <w:hideMark/>
          </w:tcPr>
          <w:p w14:paraId="62042EE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Studies that lacked a feedback component had no significant effect on inappropriate testing (OR 0.89, 95% CI 0.61 to 1.29, p = 0.51).</w:t>
            </w:r>
          </w:p>
        </w:tc>
      </w:tr>
      <w:tr w:rsidR="00C9672D" w:rsidRPr="00CC0461" w14:paraId="3FBC1B1C" w14:textId="77777777" w:rsidTr="00C9672D">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4" w:space="0" w:color="C0C0C0"/>
            </w:tcBorders>
            <w:hideMark/>
          </w:tcPr>
          <w:p w14:paraId="515377D6"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3089" w:type="pct"/>
            <w:tcBorders>
              <w:top w:val="single" w:sz="18" w:space="0" w:color="B66113"/>
              <w:bottom w:val="single" w:sz="4" w:space="0" w:color="C0C0C0"/>
            </w:tcBorders>
            <w:hideMark/>
          </w:tcPr>
          <w:p w14:paraId="0A293F1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Thompson et al. </w:t>
            </w:r>
            <w:r w:rsidRPr="00CC0461">
              <w:rPr>
                <w:b/>
                <w:bCs/>
                <w:i/>
                <w:color w:val="000000"/>
                <w:sz w:val="20"/>
                <w:szCs w:val="20"/>
              </w:rPr>
              <w:t xml:space="preserve">Prev Med </w:t>
            </w:r>
            <w:r w:rsidRPr="00CC0461">
              <w:rPr>
                <w:b/>
                <w:bCs/>
                <w:color w:val="000000"/>
                <w:sz w:val="20"/>
                <w:szCs w:val="20"/>
              </w:rPr>
              <w:t>1983;12:385–96.</w:t>
            </w:r>
            <w:r w:rsidRPr="00CC0461">
              <w:rPr>
                <w:color w:val="000000"/>
                <w:sz w:val="20"/>
                <w:szCs w:val="20"/>
              </w:rPr>
              <w:br/>
              <w:t>An educational campaign discouraging routine use of chest X-rays and multichannel blood tests was associated with a 5-fold fall in non-indicated X-ray use and a 1.5-fold fall in non-indicated blood test use.</w:t>
            </w:r>
            <w:r w:rsidRPr="00CC0461">
              <w:rPr>
                <w:color w:val="000000"/>
                <w:sz w:val="20"/>
                <w:szCs w:val="20"/>
              </w:rPr>
              <w:br/>
            </w:r>
            <w:r w:rsidRPr="00CC0461">
              <w:rPr>
                <w:color w:val="000000"/>
                <w:sz w:val="20"/>
                <w:szCs w:val="20"/>
              </w:rPr>
              <w:br/>
            </w:r>
            <w:r w:rsidRPr="00CC0461">
              <w:rPr>
                <w:b/>
                <w:bCs/>
                <w:color w:val="000000"/>
                <w:sz w:val="20"/>
                <w:szCs w:val="20"/>
              </w:rPr>
              <w:t xml:space="preserve">Mozes et al. </w:t>
            </w:r>
            <w:r w:rsidRPr="00CC0461">
              <w:rPr>
                <w:b/>
                <w:bCs/>
                <w:i/>
                <w:color w:val="000000"/>
                <w:sz w:val="20"/>
                <w:szCs w:val="20"/>
              </w:rPr>
              <w:t>Arch Intern Med</w:t>
            </w:r>
            <w:r w:rsidRPr="00CC0461">
              <w:rPr>
                <w:b/>
                <w:bCs/>
                <w:color w:val="000000"/>
                <w:sz w:val="20"/>
                <w:szCs w:val="20"/>
              </w:rPr>
              <w:t xml:space="preserve"> 1989;149:1836–8.</w:t>
            </w:r>
            <w:r w:rsidRPr="00CC0461">
              <w:rPr>
                <w:color w:val="000000"/>
                <w:sz w:val="20"/>
                <w:szCs w:val="20"/>
              </w:rPr>
              <w:br/>
              <w:t xml:space="preserve">Another intervention targeting inappropriate use of pre-operative blood coagulation tests consisted of five 1-hour seminars to educate surgeons on evidence-based practices, followed by biweekly memos on appropriate use. Overall, 64% reported being convinced by those sessions, but only 20% stopped ordering tests based on them. Only after implementation of a requirement that all preoperative tests be accompanied by written justification did ordering rates drop substantially (50%).  </w:t>
            </w:r>
            <w:r w:rsidRPr="00CC0461">
              <w:rPr>
                <w:color w:val="000000"/>
                <w:sz w:val="20"/>
                <w:szCs w:val="20"/>
              </w:rPr>
              <w:br/>
            </w:r>
            <w:r w:rsidRPr="00CC0461">
              <w:rPr>
                <w:color w:val="000000"/>
                <w:sz w:val="20"/>
                <w:szCs w:val="20"/>
              </w:rPr>
              <w:br/>
            </w:r>
            <w:r w:rsidRPr="00CC0461">
              <w:rPr>
                <w:b/>
                <w:bCs/>
                <w:color w:val="000000"/>
                <w:sz w:val="20"/>
                <w:szCs w:val="20"/>
              </w:rPr>
              <w:t xml:space="preserve">Hui et al. </w:t>
            </w:r>
            <w:r w:rsidRPr="00CC0461">
              <w:rPr>
                <w:b/>
                <w:bCs/>
                <w:i/>
                <w:color w:val="000000"/>
                <w:sz w:val="20"/>
                <w:szCs w:val="20"/>
              </w:rPr>
              <w:t>J Am Coll Radiol</w:t>
            </w:r>
            <w:r w:rsidRPr="00CC0461">
              <w:rPr>
                <w:b/>
                <w:bCs/>
                <w:color w:val="000000"/>
                <w:sz w:val="20"/>
                <w:szCs w:val="20"/>
              </w:rPr>
              <w:t xml:space="preserve"> 2014;11:373–7</w:t>
            </w:r>
            <w:r w:rsidRPr="00CC0461">
              <w:rPr>
                <w:color w:val="000000"/>
                <w:sz w:val="20"/>
                <w:szCs w:val="20"/>
              </w:rPr>
              <w:br/>
              <w:t xml:space="preserve">Education alongside a national consensus guideline for adrenal cysts in a single health system decreased </w:t>
            </w:r>
            <w:r w:rsidRPr="00CC0461">
              <w:rPr>
                <w:color w:val="000000"/>
                <w:sz w:val="20"/>
                <w:szCs w:val="20"/>
              </w:rPr>
              <w:lastRenderedPageBreak/>
              <w:t>unnecessary pelvic ultrasound follow-up requests by 58%.</w:t>
            </w:r>
            <w:r w:rsidRPr="00CC0461">
              <w:rPr>
                <w:color w:val="000000"/>
                <w:sz w:val="20"/>
                <w:szCs w:val="20"/>
              </w:rPr>
              <w:br/>
            </w:r>
            <w:r w:rsidRPr="00CC0461">
              <w:rPr>
                <w:color w:val="000000"/>
                <w:sz w:val="20"/>
                <w:szCs w:val="20"/>
              </w:rPr>
              <w:br/>
            </w:r>
            <w:r w:rsidRPr="00CC0461">
              <w:rPr>
                <w:b/>
                <w:bCs/>
                <w:color w:val="000000"/>
                <w:sz w:val="20"/>
                <w:szCs w:val="20"/>
              </w:rPr>
              <w:t xml:space="preserve">Howard et al. </w:t>
            </w:r>
            <w:r w:rsidRPr="00CC0461">
              <w:rPr>
                <w:b/>
                <w:bCs/>
                <w:i/>
                <w:color w:val="000000"/>
                <w:sz w:val="20"/>
                <w:szCs w:val="20"/>
              </w:rPr>
              <w:t>Health Aff</w:t>
            </w:r>
            <w:r w:rsidRPr="00CC0461">
              <w:rPr>
                <w:b/>
                <w:bCs/>
                <w:color w:val="000000"/>
                <w:sz w:val="20"/>
                <w:szCs w:val="20"/>
              </w:rPr>
              <w:t xml:space="preserve"> 2013;32:596–602.</w:t>
            </w:r>
            <w:r w:rsidRPr="00CC0461">
              <w:rPr>
                <w:color w:val="000000"/>
                <w:sz w:val="20"/>
                <w:szCs w:val="20"/>
              </w:rPr>
              <w:br/>
              <w:t>The US Preventive Services Task Force recommendation that men older than 75 years not be screened for prostate cancer is estimated to have led to a 7.9% point reduction in prostate-specific antigen testing rates in men over 75.</w:t>
            </w:r>
          </w:p>
        </w:tc>
        <w:tc>
          <w:tcPr>
            <w:tcW w:w="1092" w:type="pct"/>
            <w:tcBorders>
              <w:top w:val="single" w:sz="18" w:space="0" w:color="B66113"/>
              <w:bottom w:val="single" w:sz="4" w:space="0" w:color="C0C0C0"/>
            </w:tcBorders>
            <w:hideMark/>
          </w:tcPr>
          <w:p w14:paraId="6B65E98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Passive educational interventions, those with a narrow scope, or those with only one educational tactic are often less successful at reducing low-value care. Clinician education can be an effective tool to reduce low-value care, particularly when used in conjunction with other interventions.</w:t>
            </w:r>
          </w:p>
        </w:tc>
      </w:tr>
      <w:tr w:rsidR="00C9672D" w:rsidRPr="00CC0461" w14:paraId="3A4881D3" w14:textId="77777777" w:rsidTr="00C9672D">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2E68D6D1" w14:textId="77777777" w:rsidR="00C9672D" w:rsidRPr="00CC0461" w:rsidRDefault="00C9672D" w:rsidP="00C9672D">
            <w:pPr>
              <w:spacing w:before="0" w:line="240" w:lineRule="auto"/>
              <w:rPr>
                <w:color w:val="000000"/>
                <w:sz w:val="20"/>
                <w:szCs w:val="20"/>
              </w:rPr>
            </w:pPr>
            <w:r w:rsidRPr="00CC0461">
              <w:rPr>
                <w:color w:val="000000"/>
                <w:sz w:val="20"/>
                <w:szCs w:val="20"/>
              </w:rPr>
              <w:t>Kobewka DM (2015)</w:t>
            </w:r>
          </w:p>
        </w:tc>
        <w:tc>
          <w:tcPr>
            <w:tcW w:w="3089" w:type="pct"/>
            <w:tcBorders>
              <w:top w:val="single" w:sz="4" w:space="0" w:color="C0C0C0"/>
              <w:bottom w:val="single" w:sz="18" w:space="0" w:color="B66113"/>
            </w:tcBorders>
            <w:hideMark/>
          </w:tcPr>
          <w:p w14:paraId="0705DB0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Eisenberg et al. </w:t>
            </w:r>
            <w:r w:rsidRPr="00CC0461">
              <w:rPr>
                <w:b/>
                <w:bCs/>
                <w:i/>
                <w:iCs/>
                <w:color w:val="000000"/>
                <w:sz w:val="20"/>
                <w:szCs w:val="20"/>
              </w:rPr>
              <w:t xml:space="preserve">J Med Educ </w:t>
            </w:r>
            <w:r w:rsidRPr="00CC0461">
              <w:rPr>
                <w:b/>
                <w:bCs/>
                <w:color w:val="000000"/>
                <w:sz w:val="20"/>
                <w:szCs w:val="20"/>
              </w:rPr>
              <w:t>1977;52:578–81.</w:t>
            </w:r>
            <w:r w:rsidRPr="00CC0461">
              <w:rPr>
                <w:color w:val="000000"/>
                <w:sz w:val="20"/>
                <w:szCs w:val="20"/>
              </w:rPr>
              <w:br/>
              <w:t>Evaluated an education program with a weekly lecture; results from a single audit on utility of testing were circulated along with a memorandum from the medical director asking for careful consideration of test usage. Before–after results showed a 42.1% reduction in tests.</w:t>
            </w:r>
            <w:r w:rsidRPr="00CC0461">
              <w:rPr>
                <w:color w:val="000000"/>
                <w:sz w:val="20"/>
                <w:szCs w:val="20"/>
              </w:rPr>
              <w:br/>
            </w:r>
            <w:r w:rsidRPr="00CC0461">
              <w:rPr>
                <w:color w:val="000000"/>
                <w:sz w:val="20"/>
                <w:szCs w:val="20"/>
              </w:rPr>
              <w:br/>
            </w:r>
            <w:r w:rsidRPr="00CC0461">
              <w:rPr>
                <w:b/>
                <w:bCs/>
                <w:color w:val="000000"/>
                <w:sz w:val="20"/>
                <w:szCs w:val="20"/>
              </w:rPr>
              <w:t xml:space="preserve">Pilon et al. </w:t>
            </w:r>
            <w:r w:rsidRPr="00CC0461">
              <w:rPr>
                <w:b/>
                <w:bCs/>
                <w:i/>
                <w:iCs/>
                <w:color w:val="000000"/>
                <w:sz w:val="20"/>
                <w:szCs w:val="20"/>
              </w:rPr>
              <w:t>Crit Care Med</w:t>
            </w:r>
            <w:r w:rsidRPr="00CC0461">
              <w:rPr>
                <w:b/>
                <w:bCs/>
                <w:color w:val="000000"/>
                <w:sz w:val="20"/>
                <w:szCs w:val="20"/>
              </w:rPr>
              <w:t xml:space="preserve"> 1997;25:1308–13.</w:t>
            </w:r>
            <w:r w:rsidRPr="00CC0461">
              <w:rPr>
                <w:color w:val="000000"/>
                <w:sz w:val="20"/>
                <w:szCs w:val="20"/>
              </w:rPr>
              <w:br/>
              <w:t>A guideline about when ABGs should be used was distributed on pocket cards and taught during education sessions. Before-after results showed a 36.7% reduction in tests.</w:t>
            </w:r>
            <w:r w:rsidRPr="00CC0461">
              <w:rPr>
                <w:color w:val="000000"/>
                <w:sz w:val="20"/>
                <w:szCs w:val="20"/>
              </w:rPr>
              <w:br/>
            </w:r>
            <w:r w:rsidRPr="00CC0461">
              <w:rPr>
                <w:color w:val="000000"/>
                <w:sz w:val="20"/>
                <w:szCs w:val="20"/>
              </w:rPr>
              <w:br/>
            </w:r>
            <w:r w:rsidRPr="00CC0461">
              <w:rPr>
                <w:b/>
                <w:bCs/>
                <w:color w:val="000000"/>
                <w:sz w:val="20"/>
                <w:szCs w:val="20"/>
              </w:rPr>
              <w:t xml:space="preserve">Thompson et al. </w:t>
            </w:r>
            <w:r w:rsidRPr="00CC0461">
              <w:rPr>
                <w:b/>
                <w:bCs/>
                <w:i/>
                <w:iCs/>
                <w:color w:val="000000"/>
                <w:sz w:val="20"/>
                <w:szCs w:val="20"/>
              </w:rPr>
              <w:t>Prev Med</w:t>
            </w:r>
            <w:r w:rsidRPr="00CC0461">
              <w:rPr>
                <w:b/>
                <w:bCs/>
                <w:color w:val="000000"/>
                <w:sz w:val="20"/>
                <w:szCs w:val="20"/>
              </w:rPr>
              <w:t xml:space="preserve"> 1983;12:385–96.</w:t>
            </w:r>
            <w:r w:rsidRPr="00CC0461">
              <w:rPr>
                <w:color w:val="000000"/>
                <w:sz w:val="20"/>
                <w:szCs w:val="20"/>
              </w:rPr>
              <w:br/>
              <w:t>An educational program against blood chemistry tests and chest X-ray led to 60.0% reduction in tests.</w:t>
            </w:r>
            <w:r w:rsidRPr="00CC0461">
              <w:rPr>
                <w:color w:val="000000"/>
                <w:sz w:val="20"/>
                <w:szCs w:val="20"/>
              </w:rPr>
              <w:br/>
            </w:r>
            <w:r w:rsidRPr="00CC0461">
              <w:rPr>
                <w:color w:val="000000"/>
                <w:sz w:val="20"/>
                <w:szCs w:val="20"/>
              </w:rPr>
              <w:br/>
            </w:r>
            <w:r w:rsidRPr="00CC0461">
              <w:rPr>
                <w:b/>
                <w:bCs/>
                <w:color w:val="000000"/>
                <w:sz w:val="20"/>
                <w:szCs w:val="20"/>
              </w:rPr>
              <w:t xml:space="preserve">Toubert et al. </w:t>
            </w:r>
            <w:r w:rsidRPr="00CC0461">
              <w:rPr>
                <w:b/>
                <w:bCs/>
                <w:i/>
                <w:iCs/>
                <w:color w:val="000000"/>
                <w:sz w:val="20"/>
                <w:szCs w:val="20"/>
              </w:rPr>
              <w:t>Eur J Endocrino</w:t>
            </w:r>
            <w:r w:rsidRPr="00CC0461">
              <w:rPr>
                <w:b/>
                <w:bCs/>
                <w:color w:val="000000"/>
                <w:sz w:val="20"/>
                <w:szCs w:val="20"/>
              </w:rPr>
              <w:t>l 2000;142:605–10.</w:t>
            </w:r>
            <w:r w:rsidRPr="00CC0461">
              <w:rPr>
                <w:color w:val="000000"/>
                <w:sz w:val="20"/>
                <w:szCs w:val="20"/>
              </w:rPr>
              <w:br/>
              <w:t>Educational material on thyroid disease was distributed. Physicians were told that any test other than thyroid-stimulating hormone required justification, resulting in a 39.6% reduction in tests.</w:t>
            </w:r>
          </w:p>
          <w:p w14:paraId="06AF8F5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81B4F4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Gross et al. </w:t>
            </w:r>
            <w:r w:rsidRPr="00CC0461">
              <w:rPr>
                <w:b/>
                <w:i/>
                <w:color w:val="000000"/>
                <w:sz w:val="20"/>
                <w:szCs w:val="20"/>
              </w:rPr>
              <w:t>Am J Infect Control</w:t>
            </w:r>
            <w:r w:rsidRPr="00CC0461">
              <w:rPr>
                <w:b/>
                <w:color w:val="000000"/>
                <w:sz w:val="20"/>
                <w:szCs w:val="20"/>
              </w:rPr>
              <w:t xml:space="preserve"> 1988;16:114–7.</w:t>
            </w:r>
          </w:p>
          <w:p w14:paraId="6ABE347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on when to order blood cultures were distributed. Results showed a 75.0% improvement in blood cultures.</w:t>
            </w:r>
          </w:p>
          <w:p w14:paraId="1DF0480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607D2E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Ratnaike et al. </w:t>
            </w:r>
            <w:r w:rsidRPr="00CC0461">
              <w:rPr>
                <w:b/>
                <w:i/>
                <w:color w:val="000000"/>
                <w:sz w:val="20"/>
                <w:szCs w:val="20"/>
              </w:rPr>
              <w:t xml:space="preserve">Med J Australia </w:t>
            </w:r>
            <w:r w:rsidRPr="00CC0461">
              <w:rPr>
                <w:b/>
                <w:color w:val="000000"/>
                <w:sz w:val="20"/>
                <w:szCs w:val="20"/>
              </w:rPr>
              <w:t>1993;159:666–71.</w:t>
            </w:r>
          </w:p>
          <w:p w14:paraId="15323DF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were created by the hospital and issued to the cardiology unit. No further details about the guidelines were given. Results showed a 57.2% improvement in blood tests.</w:t>
            </w:r>
          </w:p>
          <w:p w14:paraId="437FC4A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7A7528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Kelly AM. </w:t>
            </w:r>
            <w:r w:rsidRPr="00CC0461">
              <w:rPr>
                <w:b/>
                <w:i/>
                <w:color w:val="000000"/>
                <w:sz w:val="20"/>
                <w:szCs w:val="20"/>
              </w:rPr>
              <w:t>Aust Health Rev</w:t>
            </w:r>
            <w:r w:rsidRPr="00CC0461">
              <w:rPr>
                <w:b/>
                <w:color w:val="000000"/>
                <w:sz w:val="20"/>
                <w:szCs w:val="20"/>
              </w:rPr>
              <w:t xml:space="preserve"> 1998;21:245–50.</w:t>
            </w:r>
          </w:p>
          <w:p w14:paraId="09157FB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on who should receive a blood culture were distributed. Results showed a 53.0% improvement in blood cultures.</w:t>
            </w:r>
          </w:p>
          <w:p w14:paraId="18D1BA0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40DA152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Kumwilaisak et al. </w:t>
            </w:r>
            <w:r w:rsidRPr="00CC0461">
              <w:rPr>
                <w:b/>
                <w:i/>
                <w:color w:val="000000"/>
                <w:sz w:val="20"/>
                <w:szCs w:val="20"/>
              </w:rPr>
              <w:t>Crit Care Med</w:t>
            </w:r>
            <w:r w:rsidRPr="00CC0461">
              <w:rPr>
                <w:b/>
                <w:color w:val="000000"/>
                <w:sz w:val="20"/>
                <w:szCs w:val="20"/>
              </w:rPr>
              <w:t xml:space="preserve"> 2008;36:2993–9.</w:t>
            </w:r>
          </w:p>
          <w:p w14:paraId="096B448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regarding when certain blood tests should be used were introduced at a staff meeting and sent out by email. A session was repeated for new residents every month</w:t>
            </w:r>
          </w:p>
          <w:p w14:paraId="732FC49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 20.8% improvement in blood tests.</w:t>
            </w:r>
          </w:p>
          <w:p w14:paraId="0A95590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1E86282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color w:val="000000"/>
                <w:sz w:val="20"/>
                <w:szCs w:val="20"/>
              </w:rPr>
              <w:t xml:space="preserve">Larocque and Maykut. </w:t>
            </w:r>
            <w:r w:rsidRPr="00CC0461">
              <w:rPr>
                <w:b/>
                <w:i/>
                <w:color w:val="000000"/>
                <w:sz w:val="20"/>
                <w:szCs w:val="20"/>
              </w:rPr>
              <w:t xml:space="preserve">Can J Surg </w:t>
            </w:r>
            <w:r w:rsidRPr="00CC0461">
              <w:rPr>
                <w:b/>
                <w:color w:val="000000"/>
                <w:sz w:val="20"/>
                <w:szCs w:val="20"/>
              </w:rPr>
              <w:t>1994;37:397–401.</w:t>
            </w:r>
          </w:p>
          <w:p w14:paraId="1BBF579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Guidelines on which tests were appropriate for different medical conditions were posted on the wards and distributed as pocket cards. Results showed a 10.1% improvement in blood tests.</w:t>
            </w:r>
          </w:p>
          <w:p w14:paraId="16909D5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44EFF54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Marton et al. </w:t>
            </w:r>
            <w:r w:rsidRPr="00CC0461">
              <w:rPr>
                <w:b/>
                <w:i/>
                <w:color w:val="000000"/>
                <w:sz w:val="20"/>
                <w:szCs w:val="20"/>
              </w:rPr>
              <w:t>Arch Intern Med</w:t>
            </w:r>
            <w:r w:rsidRPr="00CC0461">
              <w:rPr>
                <w:b/>
                <w:color w:val="000000"/>
                <w:sz w:val="20"/>
                <w:szCs w:val="20"/>
              </w:rPr>
              <w:t xml:space="preserve"> 1985;145:816–21.</w:t>
            </w:r>
          </w:p>
          <w:p w14:paraId="44A0ADB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manual about rational test ordering was given to the trainees. Results showed a 18.2% improvement in blood tests.</w:t>
            </w:r>
          </w:p>
          <w:p w14:paraId="6335C71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1235CE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color w:val="000000"/>
                <w:sz w:val="20"/>
                <w:szCs w:val="20"/>
              </w:rPr>
              <w:t xml:space="preserve">Prat et al. </w:t>
            </w:r>
            <w:r w:rsidRPr="00CC0461">
              <w:rPr>
                <w:b/>
                <w:i/>
                <w:color w:val="000000"/>
                <w:sz w:val="20"/>
                <w:szCs w:val="20"/>
              </w:rPr>
              <w:t>Intens Care Med</w:t>
            </w:r>
            <w:r w:rsidRPr="00CC0461">
              <w:rPr>
                <w:b/>
                <w:color w:val="000000"/>
                <w:sz w:val="20"/>
                <w:szCs w:val="20"/>
              </w:rPr>
              <w:t xml:space="preserve"> 2009;35:1047–53.</w:t>
            </w:r>
          </w:p>
          <w:p w14:paraId="64AFCF7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guideline was created on when to perform each of the common blood tests. The cost of each test was also shown on the guideline. Teaching was done on how to reduce test utilisation. Results showed a 49.0% improvement in use of tests.</w:t>
            </w:r>
          </w:p>
        </w:tc>
        <w:tc>
          <w:tcPr>
            <w:tcW w:w="1092" w:type="pct"/>
            <w:tcBorders>
              <w:top w:val="single" w:sz="4" w:space="0" w:color="C0C0C0"/>
              <w:bottom w:val="single" w:sz="18" w:space="0" w:color="B66113"/>
            </w:tcBorders>
            <w:hideMark/>
          </w:tcPr>
          <w:p w14:paraId="47B65E3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Interventions with an educational component had the highest median relative reduction in test volume of any intervention type at 34.5% (IQR 16.5 to 49.0). Interventions that were exclusively educational showed median RR (IQR) of 30.6 (16.5 to 48.5). </w:t>
            </w:r>
          </w:p>
        </w:tc>
      </w:tr>
      <w:tr w:rsidR="00C9672D" w:rsidRPr="00CC0461" w14:paraId="0AE07C56" w14:textId="77777777" w:rsidTr="00C9672D">
        <w:trPr>
          <w:trHeight w:val="39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tcBorders>
            <w:hideMark/>
          </w:tcPr>
          <w:p w14:paraId="0AA95771"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089" w:type="pct"/>
            <w:tcBorders>
              <w:top w:val="single" w:sz="18" w:space="0" w:color="B66113"/>
            </w:tcBorders>
            <w:hideMark/>
          </w:tcPr>
          <w:p w14:paraId="1D8C511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Hollingworth et al. </w:t>
            </w:r>
            <w:r w:rsidRPr="00CC0461">
              <w:rPr>
                <w:b/>
                <w:bCs/>
                <w:i/>
                <w:color w:val="000000"/>
                <w:sz w:val="20"/>
                <w:szCs w:val="20"/>
              </w:rPr>
              <w:t>Br J Gen Pract</w:t>
            </w:r>
            <w:r w:rsidRPr="00CC0461">
              <w:rPr>
                <w:b/>
                <w:bCs/>
                <w:color w:val="000000"/>
                <w:sz w:val="20"/>
                <w:szCs w:val="20"/>
              </w:rPr>
              <w:t xml:space="preserve"> 2002;52:475–80.</w:t>
            </w:r>
            <w:r w:rsidRPr="00CC0461">
              <w:rPr>
                <w:color w:val="000000"/>
                <w:sz w:val="20"/>
                <w:szCs w:val="20"/>
              </w:rPr>
              <w:br/>
              <w:t>The distribution of educational materials showed there was no evidence that referrals for radiography of the lumbar spine had decreased after the intervention.</w:t>
            </w:r>
            <w:r w:rsidRPr="00CC0461">
              <w:rPr>
                <w:color w:val="000000"/>
                <w:sz w:val="20"/>
                <w:szCs w:val="20"/>
              </w:rPr>
              <w:br/>
            </w:r>
            <w:r w:rsidRPr="00CC0461">
              <w:rPr>
                <w:b/>
                <w:bCs/>
                <w:color w:val="000000"/>
                <w:sz w:val="20"/>
                <w:szCs w:val="20"/>
              </w:rPr>
              <w:br/>
              <w:t xml:space="preserve">Jackson et al. </w:t>
            </w:r>
            <w:r w:rsidRPr="00CC0461">
              <w:rPr>
                <w:b/>
                <w:bCs/>
                <w:i/>
                <w:color w:val="000000"/>
                <w:sz w:val="20"/>
                <w:szCs w:val="20"/>
              </w:rPr>
              <w:t>Southern Med J</w:t>
            </w:r>
            <w:r w:rsidRPr="00CC0461">
              <w:rPr>
                <w:b/>
                <w:bCs/>
                <w:color w:val="000000"/>
                <w:sz w:val="20"/>
                <w:szCs w:val="20"/>
              </w:rPr>
              <w:t xml:space="preserve"> 2005;98:139–43.</w:t>
            </w:r>
            <w:r w:rsidRPr="00CC0461">
              <w:rPr>
                <w:color w:val="000000"/>
                <w:sz w:val="20"/>
                <w:szCs w:val="20"/>
              </w:rPr>
              <w:br/>
              <w:t>The distribution of educational materials found no significant change in level of guideline compliance for lower back imaging, and a significant deterioration in lumbar imaging, indicated by an increase in slope (p = 0.1).</w:t>
            </w:r>
            <w:r w:rsidRPr="00CC0461">
              <w:rPr>
                <w:color w:val="000000"/>
                <w:sz w:val="20"/>
                <w:szCs w:val="20"/>
              </w:rPr>
              <w:br/>
            </w:r>
            <w:r w:rsidRPr="00CC0461">
              <w:rPr>
                <w:b/>
                <w:bCs/>
                <w:color w:val="000000"/>
                <w:sz w:val="20"/>
                <w:szCs w:val="20"/>
              </w:rPr>
              <w:br/>
              <w:t xml:space="preserve">Matowe et al. </w:t>
            </w:r>
            <w:r w:rsidRPr="00CC0461">
              <w:rPr>
                <w:b/>
                <w:bCs/>
                <w:i/>
                <w:color w:val="000000"/>
                <w:sz w:val="20"/>
                <w:szCs w:val="20"/>
              </w:rPr>
              <w:t>Clin Radiol</w:t>
            </w:r>
            <w:r w:rsidRPr="00CC0461">
              <w:rPr>
                <w:b/>
                <w:bCs/>
                <w:color w:val="000000"/>
                <w:sz w:val="20"/>
                <w:szCs w:val="20"/>
              </w:rPr>
              <w:t xml:space="preserve"> 2002;57:575–8.</w:t>
            </w:r>
            <w:r w:rsidRPr="00CC0461">
              <w:rPr>
                <w:color w:val="000000"/>
                <w:sz w:val="20"/>
                <w:szCs w:val="20"/>
              </w:rPr>
              <w:br/>
              <w:t>The distribution of educational materials resulted in no significant difference in musculoskeletal imaging referrals, either in absolute change in referral, or in change in referral trend.</w:t>
            </w:r>
            <w:r w:rsidRPr="00CC0461">
              <w:rPr>
                <w:color w:val="000000"/>
                <w:sz w:val="20"/>
                <w:szCs w:val="20"/>
              </w:rPr>
              <w:br/>
            </w:r>
            <w:r w:rsidRPr="00CC0461">
              <w:rPr>
                <w:color w:val="000000"/>
                <w:sz w:val="20"/>
                <w:szCs w:val="20"/>
              </w:rPr>
              <w:br/>
            </w:r>
            <w:r w:rsidRPr="00CC0461">
              <w:rPr>
                <w:b/>
                <w:bCs/>
                <w:color w:val="000000"/>
                <w:sz w:val="20"/>
                <w:szCs w:val="20"/>
              </w:rPr>
              <w:t xml:space="preserve">Oakeshott et al. </w:t>
            </w:r>
            <w:r w:rsidRPr="00CC0461">
              <w:rPr>
                <w:b/>
                <w:bCs/>
                <w:i/>
                <w:color w:val="000000"/>
                <w:sz w:val="20"/>
                <w:szCs w:val="20"/>
              </w:rPr>
              <w:t>Br J Gen Pract</w:t>
            </w:r>
            <w:r w:rsidRPr="00CC0461">
              <w:rPr>
                <w:b/>
                <w:bCs/>
                <w:color w:val="000000"/>
                <w:sz w:val="20"/>
                <w:szCs w:val="20"/>
              </w:rPr>
              <w:t xml:space="preserve"> 1994;44:197–200.</w:t>
            </w:r>
            <w:r w:rsidRPr="00CC0461">
              <w:rPr>
                <w:color w:val="000000"/>
                <w:sz w:val="20"/>
                <w:szCs w:val="20"/>
              </w:rPr>
              <w:br/>
              <w:t>Distribution of educational materials. Results showed the percentage of limb and joint X-ray requests conforming to a guideline was an absolute change from baseline of 6.7%, and the absolute improvement was 5.2% (not significant). The same cluster RCT comparison also reported a non-significant effect of number of X-rays requested (relative percentage change of 38.6%, SD 0.27).</w:t>
            </w:r>
          </w:p>
        </w:tc>
        <w:tc>
          <w:tcPr>
            <w:tcW w:w="1092" w:type="pct"/>
            <w:tcBorders>
              <w:top w:val="single" w:sz="18" w:space="0" w:color="B66113"/>
            </w:tcBorders>
            <w:hideMark/>
          </w:tcPr>
          <w:p w14:paraId="2B0F73F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Most the 12 studies concerning low back pain included distribution of educational materials as an intervention component, and most observed no significant improvement in appropriate imaging.</w:t>
            </w:r>
            <w:r w:rsidRPr="00CC0461">
              <w:rPr>
                <w:color w:val="000000"/>
                <w:sz w:val="20"/>
                <w:szCs w:val="20"/>
              </w:rPr>
              <w:br/>
              <w:t>All the included studies conducted in people with musculoskeletal conditions other than osteoporosis, low back pain and knee pain observed no significant change in appropriate imaging outcomes. The interventions’ distribution of educational materials, educational meetings and audit and feedback were not shown to be effective for changing imaging ordering behaviour in other musculoskeletal conditions.</w:t>
            </w:r>
          </w:p>
        </w:tc>
      </w:tr>
      <w:tr w:rsidR="00C9672D" w:rsidRPr="00CC0461" w14:paraId="07CDA2BF" w14:textId="77777777" w:rsidTr="00C9672D">
        <w:trPr>
          <w:trHeight w:val="1745"/>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4" w:space="0" w:color="C0C0C0"/>
            </w:tcBorders>
            <w:hideMark/>
          </w:tcPr>
          <w:p w14:paraId="610EAC28" w14:textId="77777777" w:rsidR="00C9672D" w:rsidRPr="00CC0461" w:rsidRDefault="00C9672D" w:rsidP="00C9672D">
            <w:pPr>
              <w:spacing w:before="0" w:line="240" w:lineRule="auto"/>
              <w:rPr>
                <w:color w:val="000000"/>
                <w:sz w:val="20"/>
                <w:szCs w:val="20"/>
              </w:rPr>
            </w:pPr>
            <w:r w:rsidRPr="00CC0461">
              <w:rPr>
                <w:color w:val="000000"/>
                <w:sz w:val="20"/>
                <w:szCs w:val="20"/>
              </w:rPr>
              <w:t>Stammen LA (2015)</w:t>
            </w:r>
          </w:p>
        </w:tc>
        <w:tc>
          <w:tcPr>
            <w:tcW w:w="3089" w:type="pct"/>
            <w:tcBorders>
              <w:bottom w:val="single" w:sz="4" w:space="0" w:color="C0C0C0"/>
            </w:tcBorders>
            <w:hideMark/>
          </w:tcPr>
          <w:p w14:paraId="0AEF6E3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Sucov et al. </w:t>
            </w:r>
            <w:r w:rsidRPr="00CC0461">
              <w:rPr>
                <w:b/>
                <w:bCs/>
                <w:i/>
                <w:color w:val="000000"/>
                <w:sz w:val="20"/>
                <w:szCs w:val="20"/>
              </w:rPr>
              <w:t>J Emerg Med</w:t>
            </w:r>
            <w:r w:rsidRPr="00CC0461">
              <w:rPr>
                <w:b/>
                <w:bCs/>
                <w:color w:val="000000"/>
                <w:sz w:val="20"/>
                <w:szCs w:val="20"/>
              </w:rPr>
              <w:t xml:space="preserve"> 1999;17:391–7.</w:t>
            </w:r>
            <w:r w:rsidRPr="00CC0461">
              <w:rPr>
                <w:color w:val="000000"/>
                <w:sz w:val="20"/>
                <w:szCs w:val="20"/>
              </w:rPr>
              <w:t xml:space="preserve"> </w:t>
            </w:r>
            <w:r w:rsidRPr="00CC0461">
              <w:rPr>
                <w:color w:val="000000"/>
                <w:sz w:val="20"/>
                <w:szCs w:val="20"/>
              </w:rPr>
              <w:br/>
              <w:t>Guidelines were created regarding which tests to order for which patient groups. The guideline was then rolled out with a series of educational sessions, resulting in a 22% reduction in test ordering. There was a significant decline in total testing from 209 to 163 tests/100 patients (p &lt; 0.001); costs were $50,000-$100,000 less.</w:t>
            </w:r>
            <w:r w:rsidRPr="00CC0461">
              <w:rPr>
                <w:color w:val="000000"/>
                <w:sz w:val="20"/>
                <w:szCs w:val="20"/>
              </w:rPr>
              <w:br/>
              <w:t xml:space="preserve">                                                                                                          </w:t>
            </w:r>
            <w:r w:rsidRPr="00CC0461">
              <w:rPr>
                <w:color w:val="000000"/>
                <w:sz w:val="20"/>
                <w:szCs w:val="20"/>
              </w:rPr>
              <w:br/>
            </w:r>
            <w:r w:rsidRPr="00CC0461">
              <w:rPr>
                <w:b/>
                <w:bCs/>
                <w:color w:val="000000"/>
                <w:sz w:val="20"/>
                <w:szCs w:val="20"/>
              </w:rPr>
              <w:t xml:space="preserve">Davidoff et al. </w:t>
            </w:r>
            <w:r w:rsidRPr="00CC0461">
              <w:rPr>
                <w:b/>
                <w:bCs/>
                <w:i/>
                <w:color w:val="000000"/>
                <w:sz w:val="20"/>
                <w:szCs w:val="20"/>
              </w:rPr>
              <w:t>Med Care</w:t>
            </w:r>
            <w:r w:rsidRPr="00CC0461">
              <w:rPr>
                <w:b/>
                <w:bCs/>
                <w:color w:val="000000"/>
                <w:sz w:val="20"/>
                <w:szCs w:val="20"/>
              </w:rPr>
              <w:t xml:space="preserve"> 1989;27:45–58.</w:t>
            </w:r>
            <w:r w:rsidRPr="00CC0461">
              <w:rPr>
                <w:color w:val="000000"/>
                <w:sz w:val="20"/>
                <w:szCs w:val="20"/>
              </w:rPr>
              <w:br/>
              <w:t>A cost-containment education led to significantly fewer orders for laboratory tests vs placebo group (16%, p = 0.032).</w:t>
            </w:r>
          </w:p>
        </w:tc>
        <w:tc>
          <w:tcPr>
            <w:tcW w:w="1092" w:type="pct"/>
            <w:tcBorders>
              <w:bottom w:val="single" w:sz="4" w:space="0" w:color="C0C0C0"/>
            </w:tcBorders>
            <w:hideMark/>
          </w:tcPr>
          <w:p w14:paraId="1E64459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analyses or commentary as to the effectiveness of the interventions in this format was provided.</w:t>
            </w:r>
          </w:p>
        </w:tc>
      </w:tr>
      <w:tr w:rsidR="00C9672D" w:rsidRPr="00CC0461" w14:paraId="1A116AE3" w14:textId="77777777" w:rsidTr="00C9672D">
        <w:trPr>
          <w:trHeight w:val="6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76E92F68" w14:textId="77777777" w:rsidR="00C9672D" w:rsidRPr="00CC0461" w:rsidRDefault="00C9672D" w:rsidP="00C9672D">
            <w:pPr>
              <w:spacing w:before="0" w:line="240" w:lineRule="auto"/>
              <w:rPr>
                <w:color w:val="000000"/>
                <w:sz w:val="20"/>
                <w:szCs w:val="20"/>
              </w:rPr>
            </w:pPr>
            <w:r w:rsidRPr="00CC0461">
              <w:rPr>
                <w:color w:val="000000"/>
                <w:sz w:val="20"/>
                <w:szCs w:val="20"/>
              </w:rPr>
              <w:t>Thomas RE (2016)</w:t>
            </w:r>
          </w:p>
        </w:tc>
        <w:tc>
          <w:tcPr>
            <w:tcW w:w="3089" w:type="pct"/>
            <w:tcBorders>
              <w:top w:val="single" w:sz="4" w:space="0" w:color="C0C0C0"/>
              <w:bottom w:val="single" w:sz="18" w:space="0" w:color="B66113"/>
            </w:tcBorders>
            <w:hideMark/>
          </w:tcPr>
          <w:p w14:paraId="6ACCA78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7D2D4C">
              <w:rPr>
                <w:b/>
                <w:bCs/>
                <w:color w:val="000000"/>
                <w:sz w:val="20"/>
                <w:szCs w:val="20"/>
                <w:lang w:val="fr-CA"/>
              </w:rPr>
              <w:t xml:space="preserve">van der Weijden et al. </w:t>
            </w:r>
            <w:r w:rsidRPr="00CC0461">
              <w:rPr>
                <w:b/>
                <w:bCs/>
                <w:i/>
                <w:iCs/>
                <w:color w:val="000000"/>
                <w:sz w:val="20"/>
                <w:szCs w:val="20"/>
              </w:rPr>
              <w:t>Implementation Sci</w:t>
            </w:r>
            <w:r w:rsidRPr="00CC0461">
              <w:rPr>
                <w:b/>
                <w:bCs/>
                <w:color w:val="000000"/>
                <w:sz w:val="20"/>
                <w:szCs w:val="20"/>
              </w:rPr>
              <w:t xml:space="preserve"> 2012;7:29.</w:t>
            </w:r>
            <w:r w:rsidRPr="00CC0461">
              <w:rPr>
                <w:color w:val="000000"/>
                <w:sz w:val="20"/>
                <w:szCs w:val="20"/>
              </w:rPr>
              <w:br/>
              <w:t>A 3-hour education session vs no control to increase lipid testing led to an increase of 1.4% in the control group (not significant).</w:t>
            </w:r>
          </w:p>
        </w:tc>
        <w:tc>
          <w:tcPr>
            <w:tcW w:w="1092" w:type="pct"/>
            <w:tcBorders>
              <w:top w:val="single" w:sz="4" w:space="0" w:color="C0C0C0"/>
              <w:bottom w:val="single" w:sz="18" w:space="0" w:color="B66113"/>
            </w:tcBorders>
            <w:hideMark/>
          </w:tcPr>
          <w:p w14:paraId="4844FFA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w:t>
            </w:r>
          </w:p>
        </w:tc>
      </w:tr>
      <w:tr w:rsidR="00C9672D" w:rsidRPr="00CC0461" w14:paraId="37215CE8" w14:textId="77777777" w:rsidTr="00C9672D">
        <w:trPr>
          <w:trHeight w:val="2021"/>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293E548B"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089" w:type="pct"/>
            <w:tcBorders>
              <w:top w:val="single" w:sz="18" w:space="0" w:color="B66113"/>
              <w:bottom w:val="single" w:sz="18" w:space="0" w:color="B66113"/>
            </w:tcBorders>
            <w:hideMark/>
          </w:tcPr>
          <w:p w14:paraId="573E165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Hollingworth et al. </w:t>
            </w:r>
            <w:r w:rsidRPr="00CC0461">
              <w:rPr>
                <w:b/>
                <w:bCs/>
                <w:i/>
                <w:color w:val="000000"/>
                <w:sz w:val="20"/>
                <w:szCs w:val="20"/>
              </w:rPr>
              <w:t>Br J Gen Pract</w:t>
            </w:r>
            <w:r w:rsidRPr="00CC0461">
              <w:rPr>
                <w:b/>
                <w:bCs/>
                <w:color w:val="000000"/>
                <w:sz w:val="20"/>
                <w:szCs w:val="20"/>
              </w:rPr>
              <w:t xml:space="preserve"> 2002;52:475–80.</w:t>
            </w:r>
            <w:r w:rsidRPr="00CC0461">
              <w:rPr>
                <w:color w:val="000000"/>
                <w:sz w:val="20"/>
                <w:szCs w:val="20"/>
              </w:rPr>
              <w:br/>
              <w:t>The distribution of educational materials showed no evidence that referrals for radiography of the lumbar spine had decreased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Rozental et al. </w:t>
            </w:r>
            <w:r w:rsidRPr="00CC0461">
              <w:rPr>
                <w:b/>
                <w:bCs/>
                <w:i/>
                <w:color w:val="000000"/>
                <w:sz w:val="20"/>
                <w:szCs w:val="20"/>
              </w:rPr>
              <w:t>J Bone Joint Surg Am</w:t>
            </w:r>
            <w:r w:rsidRPr="00CC0461">
              <w:rPr>
                <w:b/>
                <w:bCs/>
                <w:color w:val="000000"/>
                <w:sz w:val="20"/>
                <w:szCs w:val="20"/>
              </w:rPr>
              <w:t xml:space="preserve"> 2008;90:953–61.</w:t>
            </w:r>
            <w:r w:rsidRPr="00CC0461">
              <w:rPr>
                <w:color w:val="000000"/>
                <w:sz w:val="20"/>
                <w:szCs w:val="20"/>
              </w:rPr>
              <w:br/>
              <w:t xml:space="preserve">1. Case management (treating orthopaedic surgeon ordered bone mineral density test then forwarded results to primary care physician). </w:t>
            </w:r>
          </w:p>
          <w:p w14:paraId="03EACF49"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2. Professional intervention (distribution of educational materials: treating orthopaedic surgeon sent guideline to primary care physician).</w:t>
            </w:r>
            <w:r w:rsidRPr="00CC0461">
              <w:rPr>
                <w:color w:val="000000"/>
                <w:sz w:val="20"/>
                <w:szCs w:val="20"/>
              </w:rPr>
              <w:br/>
              <w:t>This study showed that when an orthopaedic surgeon orders a bone mineral density test and forwards the results to the GP, there may be an improvement in the rates of osteoporosis medicine prescribing (74% compared with 26%). This was in comparison with participants whose GP simply received a letter from the orthopaedic surgeon outlining guidelines for osteoporosis screening. However, this was a very small study (50 participants randomised</w:t>
            </w:r>
            <w:r>
              <w:rPr>
                <w:color w:val="000000"/>
                <w:sz w:val="20"/>
                <w:szCs w:val="20"/>
              </w:rPr>
              <w:t xml:space="preserve"> into two intervention groups).</w:t>
            </w:r>
          </w:p>
          <w:p w14:paraId="621EDD4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092" w:type="pct"/>
            <w:tcBorders>
              <w:top w:val="single" w:sz="18" w:space="0" w:color="B66113"/>
              <w:bottom w:val="single" w:sz="18" w:space="0" w:color="B66113"/>
            </w:tcBorders>
            <w:hideMark/>
          </w:tcPr>
          <w:p w14:paraId="551C3B7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Of the 10 studies on low back pain, seven showed that guideline dissemination and educational opportunities for GPs may lead to little or no improvement with regard to guideline-consistent GP behaviour. </w:t>
            </w:r>
          </w:p>
        </w:tc>
      </w:tr>
      <w:tr w:rsidR="00C9672D" w:rsidRPr="00CC0461" w14:paraId="182918E1" w14:textId="77777777" w:rsidTr="00C9672D">
        <w:trPr>
          <w:trHeight w:val="338"/>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tcBorders>
            <w:shd w:val="clear" w:color="auto" w:fill="EEECE1" w:themeFill="background2"/>
            <w:noWrap/>
            <w:hideMark/>
          </w:tcPr>
          <w:p w14:paraId="15F5F79E" w14:textId="77777777" w:rsidR="00C9672D" w:rsidRPr="00CC0461" w:rsidRDefault="00C9672D" w:rsidP="00C9672D">
            <w:pPr>
              <w:spacing w:before="0" w:line="240" w:lineRule="auto"/>
              <w:rPr>
                <w:color w:val="000000"/>
                <w:sz w:val="20"/>
                <w:szCs w:val="20"/>
              </w:rPr>
            </w:pPr>
            <w:r w:rsidRPr="00CC0461">
              <w:rPr>
                <w:bCs/>
                <w:color w:val="000000"/>
                <w:sz w:val="20"/>
                <w:szCs w:val="20"/>
              </w:rPr>
              <w:t>Education and audit/feedback</w:t>
            </w:r>
          </w:p>
        </w:tc>
      </w:tr>
      <w:tr w:rsidR="00C9672D" w:rsidRPr="00CC0461" w14:paraId="46FC69AF" w14:textId="77777777" w:rsidTr="00C9672D">
        <w:trPr>
          <w:trHeight w:val="3594"/>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4" w:space="0" w:color="C0C0C0"/>
            </w:tcBorders>
            <w:hideMark/>
          </w:tcPr>
          <w:p w14:paraId="7BAC3737" w14:textId="77777777" w:rsidR="00C9672D" w:rsidRPr="00CC0461" w:rsidRDefault="00C9672D" w:rsidP="00C9672D">
            <w:pPr>
              <w:spacing w:before="0" w:line="240" w:lineRule="auto"/>
              <w:rPr>
                <w:color w:val="000000"/>
                <w:sz w:val="20"/>
                <w:szCs w:val="20"/>
              </w:rPr>
            </w:pPr>
            <w:r w:rsidRPr="00CC0461">
              <w:rPr>
                <w:color w:val="000000"/>
                <w:sz w:val="20"/>
                <w:szCs w:val="20"/>
              </w:rPr>
              <w:t>French SD (2010)</w:t>
            </w:r>
          </w:p>
        </w:tc>
        <w:tc>
          <w:tcPr>
            <w:tcW w:w="3089" w:type="pct"/>
            <w:tcBorders>
              <w:bottom w:val="single" w:sz="4" w:space="0" w:color="C0C0C0"/>
            </w:tcBorders>
            <w:hideMark/>
          </w:tcPr>
          <w:p w14:paraId="18CF4420" w14:textId="77777777" w:rsidR="00C9672D" w:rsidRPr="00CC0461" w:rsidRDefault="00C9672D" w:rsidP="00C9672D">
            <w:pPr>
              <w:spacing w:before="0" w:after="24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Curtis et al. </w:t>
            </w:r>
            <w:r w:rsidRPr="00CC0461">
              <w:rPr>
                <w:b/>
                <w:bCs/>
                <w:i/>
                <w:color w:val="000000"/>
                <w:sz w:val="20"/>
                <w:szCs w:val="20"/>
              </w:rPr>
              <w:t>Arch Intern Med</w:t>
            </w:r>
            <w:r w:rsidRPr="00CC0461">
              <w:rPr>
                <w:b/>
                <w:bCs/>
                <w:color w:val="000000"/>
                <w:sz w:val="20"/>
                <w:szCs w:val="20"/>
              </w:rPr>
              <w:t xml:space="preserve"> 2007;167:591–6.</w:t>
            </w:r>
            <w:r w:rsidRPr="00CC0461">
              <w:rPr>
                <w:color w:val="000000"/>
                <w:sz w:val="20"/>
                <w:szCs w:val="20"/>
              </w:rPr>
              <w:br/>
              <w:t>Professional intervention (audit and feedback + distribution of educational materials with online modules) designed for adult learning. The study reported a non-significant deterioration in bone mineral density test ordering.</w:t>
            </w:r>
            <w:r w:rsidRPr="00CC0461">
              <w:rPr>
                <w:color w:val="000000"/>
                <w:sz w:val="20"/>
                <w:szCs w:val="20"/>
              </w:rPr>
              <w:br/>
            </w:r>
            <w:r w:rsidRPr="00CC0461">
              <w:rPr>
                <w:b/>
                <w:bCs/>
                <w:color w:val="000000"/>
                <w:sz w:val="20"/>
                <w:szCs w:val="20"/>
              </w:rPr>
              <w:br/>
              <w:t xml:space="preserve">Kerry et al. </w:t>
            </w:r>
            <w:r w:rsidRPr="00CC0461">
              <w:rPr>
                <w:b/>
                <w:bCs/>
                <w:i/>
                <w:color w:val="000000"/>
                <w:sz w:val="20"/>
                <w:szCs w:val="20"/>
              </w:rPr>
              <w:t>Fam Pract</w:t>
            </w:r>
            <w:r w:rsidRPr="00CC0461">
              <w:rPr>
                <w:b/>
                <w:bCs/>
                <w:color w:val="000000"/>
                <w:sz w:val="20"/>
                <w:szCs w:val="20"/>
              </w:rPr>
              <w:t xml:space="preserve"> 2000;17:46–52.</w:t>
            </w:r>
            <w:r w:rsidRPr="00CC0461">
              <w:rPr>
                <w:color w:val="000000"/>
                <w:sz w:val="20"/>
                <w:szCs w:val="20"/>
              </w:rPr>
              <w:br/>
              <w:t>A comparison of the distribution of educational materials + individual audit and feedback on referral rates vs no-intervention control. Only total numbers of X-rays were reported. The study reported a significant 20% absolute improvement in the use of appropriate imaging of the lumbar spine (95% CI 4 to 36); also showed that the intervention may result in little or no reduction in GP knee radiology requests (relative change 10%, not statistically significant). Overall a 1% reduction in the numbers of limb and joint X-ray requests was observed in the intervention group compared with a 9% increase in the control group (giving a total of 10% difference), but this did not achieve statistical significance (95% CI –5 to 25). Overall, the intervention may result in a little or no reduction in GP radiology referrals.</w:t>
            </w:r>
          </w:p>
        </w:tc>
        <w:tc>
          <w:tcPr>
            <w:tcW w:w="1092" w:type="pct"/>
            <w:tcBorders>
              <w:bottom w:val="single" w:sz="4" w:space="0" w:color="C0C0C0"/>
            </w:tcBorders>
            <w:hideMark/>
          </w:tcPr>
          <w:p w14:paraId="62753EF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effect of any type of intervention vs a no-intervention control in osteoporosis studies ranged from –1.9% to 51.0%, with a median absolute improvement in bone mineral density test ordering, of any type of intervention to change practice, of +10% (IQR 0.0 to 27.7). Five of the comparisons (three from one study) reported a non-significant deterioration in test ordering and seven comparisons reported a significant improvement in test ordering. The combination of guidelines and audit/feedback may result in a slight reduction in spinal radiology requests according to one study.</w:t>
            </w:r>
          </w:p>
        </w:tc>
      </w:tr>
      <w:tr w:rsidR="00C9672D" w:rsidRPr="00CC0461" w14:paraId="1A2CA74C" w14:textId="77777777" w:rsidTr="00C9672D">
        <w:trPr>
          <w:trHeight w:val="1879"/>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5C6F3903"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p>
        </w:tc>
        <w:tc>
          <w:tcPr>
            <w:tcW w:w="3089" w:type="pct"/>
            <w:tcBorders>
              <w:top w:val="single" w:sz="4" w:space="0" w:color="C0C0C0"/>
              <w:bottom w:val="single" w:sz="18" w:space="0" w:color="B66113"/>
            </w:tcBorders>
            <w:hideMark/>
          </w:tcPr>
          <w:p w14:paraId="31EB0B2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Borgiel et al. </w:t>
            </w:r>
            <w:r w:rsidRPr="00CC0461">
              <w:rPr>
                <w:b/>
                <w:bCs/>
                <w:i/>
                <w:color w:val="000000"/>
                <w:sz w:val="20"/>
                <w:szCs w:val="20"/>
              </w:rPr>
              <w:t xml:space="preserve">CMAJ </w:t>
            </w:r>
            <w:r w:rsidRPr="00CC0461">
              <w:rPr>
                <w:b/>
                <w:bCs/>
                <w:color w:val="000000"/>
                <w:sz w:val="20"/>
                <w:szCs w:val="20"/>
              </w:rPr>
              <w:t>1999;161:965–70.</w:t>
            </w:r>
            <w:r w:rsidRPr="00CC0461">
              <w:rPr>
                <w:color w:val="000000"/>
                <w:sz w:val="20"/>
                <w:szCs w:val="20"/>
              </w:rPr>
              <w:br/>
              <w:t>Evaluated a continuing medical education plan with a feedback component (practice assessment report) to improve test ordering, which showed a 1% increase in the control group for increasing cholesterol testing (no significance statement).</w:t>
            </w:r>
          </w:p>
        </w:tc>
        <w:tc>
          <w:tcPr>
            <w:tcW w:w="1092" w:type="pct"/>
            <w:tcBorders>
              <w:top w:val="single" w:sz="4" w:space="0" w:color="C0C0C0"/>
              <w:bottom w:val="single" w:sz="18" w:space="0" w:color="B66113"/>
            </w:tcBorders>
            <w:hideMark/>
          </w:tcPr>
          <w:p w14:paraId="2117693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intervention arm that received continuing medical education and visits from a mentor over 3 years increased the number of Pap smears by 5.3% and decreased cholesterol tests by 1% compared with the less intensive physician assessment report intervention arm.</w:t>
            </w:r>
          </w:p>
        </w:tc>
      </w:tr>
      <w:tr w:rsidR="00C9672D" w:rsidRPr="00CC0461" w14:paraId="1D57DD79" w14:textId="77777777" w:rsidTr="00C9672D">
        <w:trPr>
          <w:trHeight w:val="24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3E1ABE30" w14:textId="77777777" w:rsidR="00C9672D" w:rsidRPr="00CC0461" w:rsidRDefault="00C9672D" w:rsidP="00C9672D">
            <w:pPr>
              <w:spacing w:before="0" w:line="240" w:lineRule="auto"/>
              <w:rPr>
                <w:color w:val="000000"/>
                <w:sz w:val="20"/>
                <w:szCs w:val="20"/>
              </w:rPr>
            </w:pPr>
            <w:r w:rsidRPr="00CC0461">
              <w:rPr>
                <w:color w:val="000000"/>
                <w:sz w:val="20"/>
                <w:szCs w:val="20"/>
              </w:rPr>
              <w:t>Tzortziou Brown V (2016)</w:t>
            </w:r>
          </w:p>
        </w:tc>
        <w:tc>
          <w:tcPr>
            <w:tcW w:w="3089" w:type="pct"/>
            <w:tcBorders>
              <w:top w:val="single" w:sz="18" w:space="0" w:color="B66113"/>
              <w:bottom w:val="single" w:sz="18" w:space="0" w:color="B66113"/>
            </w:tcBorders>
            <w:hideMark/>
          </w:tcPr>
          <w:p w14:paraId="22FF1E6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Kerry et al. </w:t>
            </w:r>
            <w:r w:rsidRPr="00CC0461">
              <w:rPr>
                <w:b/>
                <w:bCs/>
                <w:i/>
                <w:color w:val="000000"/>
                <w:sz w:val="20"/>
                <w:szCs w:val="20"/>
              </w:rPr>
              <w:t>Fam Pract</w:t>
            </w:r>
            <w:r w:rsidRPr="00CC0461">
              <w:rPr>
                <w:b/>
                <w:bCs/>
                <w:color w:val="000000"/>
                <w:sz w:val="20"/>
                <w:szCs w:val="20"/>
              </w:rPr>
              <w:t xml:space="preserve"> 2000;17:46–52.</w:t>
            </w:r>
            <w:r w:rsidRPr="00CC0461">
              <w:rPr>
                <w:color w:val="000000"/>
                <w:sz w:val="20"/>
                <w:szCs w:val="20"/>
              </w:rPr>
              <w:br/>
              <w:t>A comparison of the distribution of educational materials + individual audit and feedback on referral rates vs no-intervention control. Only total numbers of X-rays were reported. The study reported a significant 20% absolute improvement in the use of appropriate imaging of the lumbar spine (95% CI 4 to 36); also showed that the intervention may result in little or no reduction in GP knee radiology requests (relative change 10%, not statistically significant). Overall a 1% reduction in the numbers of limb and joint X-ray requests was observed in the intervention group compared to a 9% increase in the control group (giving a total of 10% difference), but this did not achieve statistical significance (95% CI –5 to 25). Overall, the intervention may result in a little or no reduction in GP rad</w:t>
            </w:r>
            <w:r w:rsidR="00D72D56">
              <w:rPr>
                <w:color w:val="000000"/>
                <w:sz w:val="20"/>
                <w:szCs w:val="20"/>
              </w:rPr>
              <w:t>iology referrals.</w:t>
            </w:r>
          </w:p>
          <w:p w14:paraId="303DABD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092" w:type="pct"/>
            <w:tcBorders>
              <w:top w:val="single" w:sz="18" w:space="0" w:color="B66113"/>
              <w:bottom w:val="single" w:sz="18" w:space="0" w:color="B66113"/>
            </w:tcBorders>
            <w:hideMark/>
          </w:tcPr>
          <w:p w14:paraId="48F5EB7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Two studies showed that the combination of guidelines, education and GP feedback on the total number of investigations requested may have an effect on GP behaviour and result in a slight reduction in the number of tests.</w:t>
            </w:r>
          </w:p>
        </w:tc>
      </w:tr>
      <w:tr w:rsidR="00C9672D" w:rsidRPr="00CC0461" w14:paraId="5758D45C" w14:textId="77777777" w:rsidTr="00C9672D">
        <w:trPr>
          <w:trHeight w:val="179"/>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bottom w:val="single" w:sz="4" w:space="0" w:color="C0C0C0"/>
            </w:tcBorders>
            <w:shd w:val="clear" w:color="auto" w:fill="EEECE1" w:themeFill="background2"/>
            <w:noWrap/>
            <w:hideMark/>
          </w:tcPr>
          <w:p w14:paraId="4ED8343C" w14:textId="77777777" w:rsidR="00C9672D" w:rsidRPr="00CC0461" w:rsidRDefault="00C9672D" w:rsidP="00C9672D">
            <w:pPr>
              <w:spacing w:before="0" w:line="240" w:lineRule="auto"/>
              <w:rPr>
                <w:bCs/>
                <w:color w:val="000000"/>
                <w:sz w:val="20"/>
                <w:szCs w:val="20"/>
              </w:rPr>
            </w:pPr>
            <w:r w:rsidRPr="00CC0461">
              <w:rPr>
                <w:bCs/>
                <w:color w:val="000000"/>
                <w:sz w:val="20"/>
                <w:szCs w:val="20"/>
              </w:rPr>
              <w:t>Interactive educational (educational meetings, workshops, outreach/academic detailing)</w:t>
            </w:r>
          </w:p>
        </w:tc>
      </w:tr>
      <w:tr w:rsidR="00C9672D" w:rsidRPr="00CC0461" w14:paraId="3C79B38B" w14:textId="77777777" w:rsidTr="00C9672D">
        <w:trPr>
          <w:trHeight w:val="66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bottom w:val="single" w:sz="18" w:space="0" w:color="B66113"/>
            </w:tcBorders>
            <w:hideMark/>
          </w:tcPr>
          <w:p w14:paraId="05D7C337"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089" w:type="pct"/>
            <w:tcBorders>
              <w:top w:val="single" w:sz="4" w:space="0" w:color="C0C0C0"/>
              <w:bottom w:val="single" w:sz="18" w:space="0" w:color="B66113"/>
            </w:tcBorders>
            <w:hideMark/>
          </w:tcPr>
          <w:p w14:paraId="4168B6C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Dey et al. </w:t>
            </w:r>
            <w:r w:rsidRPr="00CC0461">
              <w:rPr>
                <w:b/>
                <w:bCs/>
                <w:i/>
                <w:color w:val="000000"/>
                <w:sz w:val="20"/>
                <w:szCs w:val="20"/>
              </w:rPr>
              <w:t>Br J Gen Pract</w:t>
            </w:r>
            <w:r w:rsidRPr="00CC0461">
              <w:rPr>
                <w:b/>
                <w:bCs/>
                <w:color w:val="000000"/>
                <w:sz w:val="20"/>
                <w:szCs w:val="20"/>
              </w:rPr>
              <w:t xml:space="preserve"> 2004;54:33–7.</w:t>
            </w:r>
            <w:r w:rsidRPr="00CC0461">
              <w:rPr>
                <w:color w:val="000000"/>
                <w:sz w:val="20"/>
                <w:szCs w:val="20"/>
              </w:rPr>
              <w:br/>
              <w:t>Practitioner education vs no intervention.</w:t>
            </w:r>
            <w:r w:rsidRPr="00CC0461">
              <w:rPr>
                <w:color w:val="000000"/>
                <w:sz w:val="20"/>
                <w:szCs w:val="20"/>
              </w:rPr>
              <w:br/>
              <w:t>Face-to-face workshop that included guideline dissemination and implementation strategies with guidelines on secondary care referral, for reduction of lumbar spine radiography. After adjustment for clustering, results showed a risk difference of 1.4% (95% CI −4.1% to 6.8%) vs control. There was no change in GP behaviour with regard to ordering X-rays, issuing sickness certificates and prescribing opioids.</w:t>
            </w:r>
          </w:p>
        </w:tc>
        <w:tc>
          <w:tcPr>
            <w:tcW w:w="1092" w:type="pct"/>
            <w:tcBorders>
              <w:bottom w:val="single" w:sz="18" w:space="0" w:color="B66113"/>
            </w:tcBorders>
            <w:hideMark/>
          </w:tcPr>
          <w:p w14:paraId="6938A0B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found variable effects for educational interventions. Most of the studies concerning low back pain included distribution of educational materials as an intervention component, and most observed no significant improvement in appropriate imaging.</w:t>
            </w:r>
            <w:r w:rsidRPr="00CC0461">
              <w:rPr>
                <w:color w:val="000000"/>
                <w:sz w:val="20"/>
                <w:szCs w:val="20"/>
              </w:rPr>
              <w:br/>
            </w:r>
            <w:r w:rsidRPr="00CC0461">
              <w:rPr>
                <w:color w:val="000000"/>
                <w:sz w:val="20"/>
                <w:szCs w:val="20"/>
              </w:rPr>
              <w:br/>
              <w:t>The median effect of any intervention vs a no-intervention control was +9.3% (range –1.4% to 11.3%) absolute improvement in the appropriate ordering of lumbar imaging, with most of the outcomes observing a non-significant effect.</w:t>
            </w:r>
            <w:r w:rsidRPr="00CC0461">
              <w:rPr>
                <w:color w:val="000000"/>
                <w:sz w:val="20"/>
                <w:szCs w:val="20"/>
              </w:rPr>
              <w:br/>
            </w:r>
            <w:r w:rsidRPr="00CC0461">
              <w:rPr>
                <w:color w:val="000000"/>
                <w:sz w:val="20"/>
                <w:szCs w:val="20"/>
              </w:rPr>
              <w:br/>
              <w:t>For all comparisons of an intervention vs a different intervention reporting dichotomous outcomes, the absolute deterioration in lumbar imaging behaviour ranged from –8.3% to 1.0% (IQR –8.0% to –0.7%).</w:t>
            </w:r>
            <w:r w:rsidRPr="00CC0461">
              <w:rPr>
                <w:color w:val="000000"/>
                <w:sz w:val="20"/>
                <w:szCs w:val="20"/>
              </w:rPr>
              <w:br/>
            </w:r>
            <w:r w:rsidRPr="00CC0461">
              <w:rPr>
                <w:color w:val="000000"/>
                <w:sz w:val="20"/>
                <w:szCs w:val="20"/>
              </w:rPr>
              <w:br/>
              <w:t>Seven cluster RCT comparisons reporting dichotomous outcomes evaluated interventions vs a different intervention control. Five of the seven comparisons reported a non-significant deterioration in low back pain imaging outcomes.</w:t>
            </w:r>
          </w:p>
        </w:tc>
      </w:tr>
      <w:tr w:rsidR="00C9672D" w:rsidRPr="00CC0461" w14:paraId="52715026" w14:textId="77777777" w:rsidTr="00C9672D">
        <w:trPr>
          <w:trHeight w:val="4632"/>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23E99E09"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Jenkins HJ (2015)</w:t>
            </w:r>
          </w:p>
        </w:tc>
        <w:tc>
          <w:tcPr>
            <w:tcW w:w="3089" w:type="pct"/>
            <w:tcBorders>
              <w:top w:val="single" w:sz="18" w:space="0" w:color="B66113"/>
              <w:bottom w:val="single" w:sz="18" w:space="0" w:color="B66113"/>
            </w:tcBorders>
            <w:hideMark/>
          </w:tcPr>
          <w:p w14:paraId="54607E2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Dey et al. </w:t>
            </w:r>
            <w:r w:rsidRPr="00CC0461">
              <w:rPr>
                <w:b/>
                <w:bCs/>
                <w:i/>
                <w:iCs/>
                <w:color w:val="000000"/>
                <w:sz w:val="20"/>
                <w:szCs w:val="20"/>
              </w:rPr>
              <w:t xml:space="preserve">Br J Gen Pract </w:t>
            </w:r>
            <w:r w:rsidRPr="00CC0461">
              <w:rPr>
                <w:b/>
                <w:bCs/>
                <w:color w:val="000000"/>
                <w:sz w:val="20"/>
                <w:szCs w:val="20"/>
              </w:rPr>
              <w:t>2004;54:33–7.</w:t>
            </w:r>
            <w:r w:rsidRPr="00CC0461">
              <w:rPr>
                <w:color w:val="000000"/>
                <w:sz w:val="20"/>
                <w:szCs w:val="20"/>
              </w:rPr>
              <w:br/>
              <w:t>Practitioner education vs no intervention.</w:t>
            </w:r>
            <w:r w:rsidRPr="00CC0461">
              <w:rPr>
                <w:color w:val="000000"/>
                <w:sz w:val="20"/>
                <w:szCs w:val="20"/>
              </w:rPr>
              <w:br/>
              <w:t>Face-to-face workshop that included guideline dissemination and implementation strategies with guidelines on secondary care referral, for reduction of lumbar spine radiography. After adjustment for clustering, results showed a risk difference of 1.4% (95% CI −4.1% to 6.8%) vs control. There was no change in GP behaviour with regard to ordering X-rays, issuing sickness certificates and prescribing opioids.</w:t>
            </w:r>
          </w:p>
          <w:p w14:paraId="14D3C76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br/>
              <w:t>After adjustment for cluster variance, Dey et al. found a 12.2% (95% CI 2.8 to 21.6) increase in the number of patients in the intervention group being referred to physiotherapy or to educational programs at the back clinic. The increase in these referrals was considered to be a positive effect of the intervention.</w:t>
            </w:r>
            <w:r w:rsidRPr="00CC0461">
              <w:rPr>
                <w:color w:val="000000"/>
                <w:sz w:val="20"/>
                <w:szCs w:val="20"/>
              </w:rPr>
              <w:br/>
            </w:r>
            <w:r w:rsidRPr="00CC0461">
              <w:rPr>
                <w:color w:val="000000"/>
                <w:sz w:val="20"/>
                <w:szCs w:val="20"/>
              </w:rPr>
              <w:br/>
            </w:r>
            <w:r w:rsidRPr="00CC0461">
              <w:rPr>
                <w:color w:val="000000"/>
                <w:sz w:val="20"/>
                <w:szCs w:val="20"/>
              </w:rPr>
              <w:br/>
            </w:r>
            <w:r w:rsidRPr="00CC0461">
              <w:rPr>
                <w:b/>
                <w:bCs/>
                <w:color w:val="000000"/>
                <w:sz w:val="20"/>
                <w:szCs w:val="20"/>
              </w:rPr>
              <w:t xml:space="preserve">French et al. </w:t>
            </w:r>
            <w:r w:rsidRPr="00CC0461">
              <w:rPr>
                <w:b/>
                <w:bCs/>
                <w:i/>
                <w:iCs/>
                <w:color w:val="000000"/>
                <w:sz w:val="20"/>
                <w:szCs w:val="20"/>
              </w:rPr>
              <w:t>PLoS ONE</w:t>
            </w:r>
            <w:r w:rsidRPr="00CC0461">
              <w:rPr>
                <w:b/>
                <w:bCs/>
                <w:color w:val="000000"/>
                <w:sz w:val="20"/>
                <w:szCs w:val="20"/>
              </w:rPr>
              <w:t xml:space="preserve"> 2013;8:e65471</w:t>
            </w:r>
            <w:r w:rsidRPr="00CC0461">
              <w:rPr>
                <w:color w:val="000000"/>
                <w:sz w:val="20"/>
                <w:szCs w:val="20"/>
              </w:rPr>
              <w:t xml:space="preserve">. </w:t>
            </w:r>
            <w:r w:rsidRPr="00CC0461">
              <w:rPr>
                <w:color w:val="000000"/>
                <w:sz w:val="20"/>
                <w:szCs w:val="20"/>
              </w:rPr>
              <w:br/>
              <w:t>Practitioner education vs guideline dissemination.</w:t>
            </w:r>
            <w:r w:rsidRPr="00CC0461">
              <w:rPr>
                <w:color w:val="000000"/>
                <w:sz w:val="20"/>
                <w:szCs w:val="20"/>
              </w:rPr>
              <w:br/>
              <w:t xml:space="preserve">Face-to-face workshop that included guideline dissemination and implementation strategies for reducing lumbar spine radiography and spine CT. </w:t>
            </w:r>
            <w:r w:rsidRPr="00CC0461">
              <w:rPr>
                <w:color w:val="000000"/>
                <w:sz w:val="20"/>
                <w:szCs w:val="20"/>
              </w:rPr>
              <w:br/>
              <w:t>After adjustment for clustering, results showed IRR of 0.8 (95% CI 0.6 to 1.1) vs control (lumbar spine X-ray); IRR of 0.9 (95% CI 0.7 to 1.3) vs control (spine CT).</w:t>
            </w:r>
            <w:r w:rsidRPr="00CC0461">
              <w:rPr>
                <w:color w:val="000000"/>
                <w:sz w:val="20"/>
                <w:szCs w:val="20"/>
              </w:rPr>
              <w:br/>
              <w:t>Imaging referral was not statistically significantly different between groups and the potential importance of effects was unclear; RR 0.87 (95% CI 0.68 to 1.10) for X-ray or CT scan.</w:t>
            </w:r>
          </w:p>
        </w:tc>
        <w:tc>
          <w:tcPr>
            <w:tcW w:w="1092" w:type="pct"/>
            <w:tcBorders>
              <w:top w:val="single" w:sz="18" w:space="0" w:color="B66113"/>
              <w:bottom w:val="single" w:sz="18" w:space="0" w:color="B66113"/>
            </w:tcBorders>
            <w:hideMark/>
          </w:tcPr>
          <w:p w14:paraId="1B95873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evidence of effectiveness was shown for interventions that involved face-to-face education sessions between primary care doctors and an educational team.</w:t>
            </w:r>
          </w:p>
        </w:tc>
      </w:tr>
      <w:tr w:rsidR="00C9672D" w:rsidRPr="00CC0461" w14:paraId="11113464" w14:textId="77777777" w:rsidTr="00C9672D">
        <w:trPr>
          <w:trHeight w:val="63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601CB5B8"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089" w:type="pct"/>
            <w:tcBorders>
              <w:top w:val="single" w:sz="18" w:space="0" w:color="B66113"/>
              <w:bottom w:val="single" w:sz="18" w:space="0" w:color="B66113"/>
            </w:tcBorders>
            <w:hideMark/>
          </w:tcPr>
          <w:p w14:paraId="48742D9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Broadhurst et al. </w:t>
            </w:r>
            <w:r w:rsidRPr="00CC0461">
              <w:rPr>
                <w:b/>
                <w:bCs/>
                <w:i/>
                <w:color w:val="000000"/>
                <w:sz w:val="20"/>
                <w:szCs w:val="20"/>
              </w:rPr>
              <w:t>BMC Fam Pract</w:t>
            </w:r>
            <w:r w:rsidRPr="00CC0461">
              <w:rPr>
                <w:b/>
                <w:bCs/>
                <w:color w:val="000000"/>
                <w:sz w:val="20"/>
                <w:szCs w:val="20"/>
              </w:rPr>
              <w:t xml:space="preserve"> 2007;8:12.</w:t>
            </w:r>
            <w:r w:rsidRPr="00CC0461">
              <w:rPr>
                <w:color w:val="000000"/>
                <w:sz w:val="20"/>
                <w:szCs w:val="20"/>
              </w:rPr>
              <w:br/>
              <w:t>This study evaluated the effect of academic detailing on the management of shoulder pain and recorded the number of shoulder X-rays and ultrasound scans before, during and after the intervention. Academic detailing (two sessions) outreach + educational material (DVD) + guideline + follow-up session 3 months afterwards (distribution of educational material) demonstrated temporary slight reduction in ultrasound requests, but little or no change in the X-ray requests (p = 0.11).</w:t>
            </w:r>
            <w:r w:rsidRPr="00CC0461">
              <w:rPr>
                <w:color w:val="000000"/>
                <w:sz w:val="20"/>
                <w:szCs w:val="20"/>
              </w:rPr>
              <w:br/>
            </w:r>
            <w:r w:rsidRPr="00CC0461">
              <w:rPr>
                <w:color w:val="000000"/>
                <w:sz w:val="20"/>
                <w:szCs w:val="20"/>
              </w:rPr>
              <w:br/>
            </w:r>
            <w:r w:rsidRPr="00CC0461">
              <w:rPr>
                <w:b/>
                <w:bCs/>
                <w:color w:val="000000"/>
                <w:sz w:val="20"/>
                <w:szCs w:val="20"/>
              </w:rPr>
              <w:t xml:space="preserve">Dey et al. </w:t>
            </w:r>
            <w:r w:rsidRPr="00CC0461">
              <w:rPr>
                <w:b/>
                <w:bCs/>
                <w:i/>
                <w:color w:val="000000"/>
                <w:sz w:val="20"/>
                <w:szCs w:val="20"/>
              </w:rPr>
              <w:t>Br J Gen Pract</w:t>
            </w:r>
            <w:r w:rsidRPr="00CC0461">
              <w:rPr>
                <w:b/>
                <w:bCs/>
                <w:color w:val="000000"/>
                <w:sz w:val="20"/>
                <w:szCs w:val="20"/>
              </w:rPr>
              <w:t xml:space="preserve"> 2004;54:33–7.</w:t>
            </w:r>
            <w:r w:rsidRPr="00CC0461">
              <w:rPr>
                <w:color w:val="000000"/>
                <w:sz w:val="20"/>
                <w:szCs w:val="20"/>
              </w:rPr>
              <w:br/>
              <w:t>Practitioner education vs no intervention.</w:t>
            </w:r>
            <w:r w:rsidRPr="00CC0461">
              <w:rPr>
                <w:color w:val="000000"/>
                <w:sz w:val="20"/>
                <w:szCs w:val="20"/>
              </w:rPr>
              <w:br/>
              <w:t>Face-to-face workshop that included guideline dissemination and implementation strategies with guidelines on secondary care referral, for reduction of lumbar spine radiography. After adjustment for clustering, results showed a risk difference of 1.4% (95% CI −4.1% to 6.8%) vs control. There was no change in GP behaviour with regard to ordering X-rays, issuing sickness certificates and prescribing opioids.</w:t>
            </w:r>
            <w:r w:rsidRPr="00CC0461">
              <w:rPr>
                <w:color w:val="000000"/>
                <w:sz w:val="20"/>
                <w:szCs w:val="20"/>
              </w:rPr>
              <w:br/>
            </w:r>
            <w:r w:rsidRPr="00CC0461">
              <w:rPr>
                <w:color w:val="000000"/>
                <w:sz w:val="20"/>
                <w:szCs w:val="20"/>
              </w:rPr>
              <w:br/>
            </w:r>
            <w:r w:rsidRPr="00CC0461">
              <w:rPr>
                <w:b/>
                <w:bCs/>
                <w:color w:val="000000"/>
                <w:sz w:val="20"/>
                <w:szCs w:val="20"/>
              </w:rPr>
              <w:t xml:space="preserve">French et al. </w:t>
            </w:r>
            <w:r w:rsidRPr="00CC0461">
              <w:rPr>
                <w:b/>
                <w:bCs/>
                <w:i/>
                <w:color w:val="000000"/>
                <w:sz w:val="20"/>
                <w:szCs w:val="20"/>
              </w:rPr>
              <w:t>PLoS ONE</w:t>
            </w:r>
            <w:r w:rsidRPr="00CC0461">
              <w:rPr>
                <w:b/>
                <w:bCs/>
                <w:color w:val="000000"/>
                <w:sz w:val="20"/>
                <w:szCs w:val="20"/>
              </w:rPr>
              <w:t xml:space="preserve"> 2013;8:e65471. </w:t>
            </w:r>
            <w:r w:rsidRPr="00CC0461">
              <w:rPr>
                <w:color w:val="000000"/>
                <w:sz w:val="20"/>
                <w:szCs w:val="20"/>
              </w:rPr>
              <w:br/>
              <w:t>Practitioner education vs guideline dissemination.</w:t>
            </w:r>
            <w:r w:rsidRPr="00CC0461">
              <w:rPr>
                <w:color w:val="000000"/>
                <w:sz w:val="20"/>
                <w:szCs w:val="20"/>
              </w:rPr>
              <w:br/>
              <w:t>Face-to-face workshop that included guideline dissemination and implementation strategies for reducing lumbar spine radiography and spine CT. After adjustment for clustering, results showed IRR of 0.8 (95% CI 0.6 to 1.1) vs control (lumbar spine X-ray); IRR of 0.9 (95% CI 0.7 to 1.3) vs control (spine CT). Imaging referral was not statistically significantly different between groups and the potential importance of effects was unclear; RR 0.87 (95% CI 0.68, 1.10) for X-ray or CT. Overall there was no difference in the number of X-ray and CT requests (risk difference of –0.2% and 0.0% respectively).</w:t>
            </w:r>
          </w:p>
        </w:tc>
        <w:tc>
          <w:tcPr>
            <w:tcW w:w="1092" w:type="pct"/>
            <w:tcBorders>
              <w:top w:val="single" w:sz="18" w:space="0" w:color="B66113"/>
              <w:bottom w:val="single" w:sz="18" w:space="0" w:color="B66113"/>
            </w:tcBorders>
            <w:hideMark/>
          </w:tcPr>
          <w:p w14:paraId="2C068460" w14:textId="77777777" w:rsidR="00C9672D" w:rsidRPr="00CC0461" w:rsidRDefault="00C9672D" w:rsidP="00C9672D">
            <w:pPr>
              <w:spacing w:before="0" w:after="24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Individual studies evaluating reduction in imaging requests showed little or no change in ordering outcomes. The authors found that overall, educational sessions, workshops and guidelines on the management of osteoarthritis may result in some positive changes in GP behaviour and patient-related outcomes. However, these interventions showed no improvements in GP prescribing.</w:t>
            </w:r>
          </w:p>
        </w:tc>
      </w:tr>
      <w:tr w:rsidR="00C9672D" w:rsidRPr="00CC0461" w14:paraId="591FEE41" w14:textId="77777777" w:rsidTr="00C9672D">
        <w:trPr>
          <w:trHeight w:val="2305"/>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4" w:space="0" w:color="C0C0C0"/>
            </w:tcBorders>
            <w:noWrap/>
            <w:hideMark/>
          </w:tcPr>
          <w:p w14:paraId="5C1387D0" w14:textId="77777777" w:rsidR="00C9672D" w:rsidRPr="00CC0461" w:rsidRDefault="00C9672D" w:rsidP="00C9672D">
            <w:pPr>
              <w:spacing w:before="0" w:line="240" w:lineRule="auto"/>
              <w:rPr>
                <w:color w:val="000000"/>
                <w:sz w:val="20"/>
                <w:szCs w:val="20"/>
              </w:rPr>
            </w:pPr>
            <w:r w:rsidRPr="00CC0461">
              <w:rPr>
                <w:color w:val="000000"/>
                <w:sz w:val="20"/>
                <w:szCs w:val="20"/>
              </w:rPr>
              <w:t>Légaré F (2016)</w:t>
            </w:r>
          </w:p>
        </w:tc>
        <w:tc>
          <w:tcPr>
            <w:tcW w:w="3089" w:type="pct"/>
            <w:tcBorders>
              <w:top w:val="single" w:sz="18" w:space="0" w:color="B66113"/>
              <w:bottom w:val="single" w:sz="4" w:space="0" w:color="C0C0C0"/>
            </w:tcBorders>
            <w:hideMark/>
          </w:tcPr>
          <w:p w14:paraId="744E2C3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D2D4C">
              <w:rPr>
                <w:b/>
                <w:bCs/>
                <w:color w:val="000000"/>
                <w:sz w:val="20"/>
                <w:szCs w:val="20"/>
                <w:lang w:val="fr-CA"/>
              </w:rPr>
              <w:t xml:space="preserve">Smith et al. </w:t>
            </w:r>
            <w:r w:rsidRPr="007D2D4C">
              <w:rPr>
                <w:b/>
                <w:bCs/>
                <w:i/>
                <w:color w:val="000000"/>
                <w:sz w:val="20"/>
                <w:szCs w:val="20"/>
                <w:lang w:val="fr-CA"/>
              </w:rPr>
              <w:t>Prenat Diagn</w:t>
            </w:r>
            <w:r w:rsidRPr="007D2D4C">
              <w:rPr>
                <w:b/>
                <w:bCs/>
                <w:color w:val="000000"/>
                <w:sz w:val="20"/>
                <w:szCs w:val="20"/>
                <w:lang w:val="fr-CA"/>
              </w:rPr>
              <w:t xml:space="preserve"> 1995;15:317–24.</w:t>
            </w:r>
            <w:r w:rsidRPr="007D2D4C">
              <w:rPr>
                <w:b/>
                <w:bCs/>
                <w:color w:val="000000"/>
                <w:sz w:val="20"/>
                <w:szCs w:val="20"/>
                <w:lang w:val="fr-CA"/>
              </w:rPr>
              <w:br/>
            </w:r>
            <w:r w:rsidRPr="00CC0461">
              <w:rPr>
                <w:color w:val="000000"/>
                <w:sz w:val="20"/>
                <w:szCs w:val="20"/>
              </w:rPr>
              <w:t>Educational outreach to health professionals effective regarding knowledge-related outcomes in 1/1 studies.</w:t>
            </w:r>
            <w:r w:rsidRPr="00CC0461">
              <w:rPr>
                <w:color w:val="000000"/>
                <w:sz w:val="20"/>
                <w:szCs w:val="20"/>
              </w:rPr>
              <w:br/>
              <w:t>Educational outreach to health professionals effective regarding behaviour-related outcomes in 1/1 studies.</w:t>
            </w:r>
            <w:r w:rsidRPr="00CC0461">
              <w:rPr>
                <w:color w:val="000000"/>
                <w:sz w:val="20"/>
                <w:szCs w:val="20"/>
              </w:rPr>
              <w:br/>
              <w:t>Educational outreach to health professionals effective regarding wellbeing-related outcomes in 0/0 studies.</w:t>
            </w:r>
          </w:p>
        </w:tc>
        <w:tc>
          <w:tcPr>
            <w:tcW w:w="1092" w:type="pct"/>
            <w:tcBorders>
              <w:top w:val="single" w:sz="18" w:space="0" w:color="B66113"/>
              <w:bottom w:val="single" w:sz="4" w:space="0" w:color="C0C0C0"/>
            </w:tcBorders>
            <w:hideMark/>
          </w:tcPr>
          <w:p w14:paraId="7602811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of the 28 included studies, 14 (50%) reported effectiveness regarding knowledge-related outcomes, 15 (54%) reported effectiveness regarding behaviour-related outcomes and 13 (46%) reported effectiveness regarding wellbeing-related outcomes.</w:t>
            </w:r>
            <w:r w:rsidRPr="00CC0461">
              <w:rPr>
                <w:color w:val="000000"/>
                <w:sz w:val="20"/>
                <w:szCs w:val="20"/>
              </w:rPr>
              <w:br/>
              <w:t xml:space="preserve">Regarding the effectiveness of the intervention type in studies, audit </w:t>
            </w:r>
            <w:r w:rsidRPr="00CC0461">
              <w:rPr>
                <w:color w:val="000000"/>
                <w:sz w:val="20"/>
                <w:szCs w:val="20"/>
              </w:rPr>
              <w:lastRenderedPageBreak/>
              <w:t>and feedback was significantly effective in 100% (1/1) of the studies, and educational outreach to health professionals was significantly effective in 100% (2/2) of the studies.</w:t>
            </w:r>
          </w:p>
        </w:tc>
      </w:tr>
      <w:tr w:rsidR="00C9672D" w:rsidRPr="00CC0461" w14:paraId="1E66053C" w14:textId="77777777" w:rsidTr="00C9672D">
        <w:trPr>
          <w:trHeight w:val="789"/>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tcBorders>
            <w:noWrap/>
          </w:tcPr>
          <w:p w14:paraId="390420C9" w14:textId="77777777" w:rsidR="00C9672D" w:rsidRPr="00CC0461" w:rsidRDefault="00C9672D" w:rsidP="00C9672D">
            <w:pPr>
              <w:spacing w:before="0" w:line="240" w:lineRule="auto"/>
              <w:rPr>
                <w:rFonts w:cs="Arial"/>
                <w:color w:val="000000"/>
                <w:sz w:val="20"/>
                <w:szCs w:val="20"/>
              </w:rPr>
            </w:pPr>
            <w:r w:rsidRPr="00CC0461">
              <w:rPr>
                <w:color w:val="000000"/>
                <w:sz w:val="20"/>
                <w:szCs w:val="20"/>
              </w:rPr>
              <w:lastRenderedPageBreak/>
              <w:t>Kobewka DM (2015)</w:t>
            </w:r>
          </w:p>
        </w:tc>
        <w:tc>
          <w:tcPr>
            <w:tcW w:w="3089" w:type="pct"/>
            <w:tcBorders>
              <w:top w:val="single" w:sz="4" w:space="0" w:color="C0C0C0"/>
            </w:tcBorders>
          </w:tcPr>
          <w:p w14:paraId="6E6A8B7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Berwick et al. Proc </w:t>
            </w:r>
            <w:r w:rsidRPr="00CC0461">
              <w:rPr>
                <w:b/>
                <w:bCs/>
                <w:i/>
                <w:color w:val="000000"/>
                <w:sz w:val="20"/>
                <w:szCs w:val="20"/>
              </w:rPr>
              <w:t>Annu Symp Comput Appl Med Care</w:t>
            </w:r>
            <w:r w:rsidRPr="00CC0461">
              <w:rPr>
                <w:b/>
                <w:bCs/>
                <w:color w:val="000000"/>
                <w:sz w:val="20"/>
                <w:szCs w:val="20"/>
              </w:rPr>
              <w:t xml:space="preserve"> 1995;314–8.</w:t>
            </w:r>
          </w:p>
          <w:p w14:paraId="087478B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Doctors met to discuss the use of particular tests, and journal articles were distributed on the use of these tests. Results showed 0.2% change in improvement of laboratory test ordering.</w:t>
            </w:r>
          </w:p>
          <w:p w14:paraId="7748F34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p w14:paraId="44A8E37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Everett et al. </w:t>
            </w:r>
            <w:r w:rsidRPr="00CC0461">
              <w:rPr>
                <w:b/>
                <w:bCs/>
                <w:i/>
                <w:color w:val="000000"/>
                <w:sz w:val="20"/>
                <w:szCs w:val="20"/>
              </w:rPr>
              <w:t>Med Educ</w:t>
            </w:r>
            <w:r w:rsidRPr="00CC0461">
              <w:rPr>
                <w:b/>
                <w:bCs/>
                <w:color w:val="000000"/>
                <w:sz w:val="20"/>
                <w:szCs w:val="20"/>
              </w:rPr>
              <w:t xml:space="preserve"> 1985;19:138–42.</w:t>
            </w:r>
          </w:p>
          <w:p w14:paraId="1E2B714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Residents were taught about laboratory utilisation using specific cases. Results showed 12.3% increase of laboratory test ordering.</w:t>
            </w:r>
          </w:p>
        </w:tc>
        <w:tc>
          <w:tcPr>
            <w:tcW w:w="1092" w:type="pct"/>
            <w:tcBorders>
              <w:top w:val="single" w:sz="4" w:space="0" w:color="C0C0C0"/>
            </w:tcBorders>
          </w:tcPr>
          <w:p w14:paraId="03A6505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Interventions with an educational component had the highest median relative reduction in test volume of any intervention type at 34.5% (IQR 16.5 to 49.0). Interventions that were exclusively educational showed median RR (IQR) of 30.6 (16.5 to 48.5).</w:t>
            </w:r>
          </w:p>
        </w:tc>
      </w:tr>
      <w:tr w:rsidR="00C9672D" w:rsidRPr="00CC0461" w14:paraId="45E422C4" w14:textId="77777777" w:rsidTr="00C9672D">
        <w:trPr>
          <w:trHeight w:val="789"/>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noWrap/>
            <w:hideMark/>
          </w:tcPr>
          <w:p w14:paraId="4AE39587" w14:textId="77777777" w:rsidR="00C9672D" w:rsidRPr="00CC0461" w:rsidRDefault="00C9672D" w:rsidP="00C9672D">
            <w:pPr>
              <w:spacing w:before="0" w:line="240" w:lineRule="auto"/>
              <w:rPr>
                <w:rFonts w:cs="Arial"/>
                <w:color w:val="000000"/>
                <w:sz w:val="20"/>
                <w:szCs w:val="20"/>
              </w:rPr>
            </w:pPr>
            <w:r w:rsidRPr="00CC0461">
              <w:rPr>
                <w:rFonts w:cs="Arial"/>
                <w:color w:val="000000"/>
                <w:sz w:val="20"/>
                <w:szCs w:val="20"/>
              </w:rPr>
              <w:t>Thomas RE (2016)</w:t>
            </w:r>
          </w:p>
        </w:tc>
        <w:tc>
          <w:tcPr>
            <w:tcW w:w="3089" w:type="pct"/>
            <w:tcBorders>
              <w:bottom w:val="single" w:sz="18" w:space="0" w:color="B66113"/>
            </w:tcBorders>
            <w:hideMark/>
          </w:tcPr>
          <w:p w14:paraId="17EC47D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Lafata et al. </w:t>
            </w:r>
            <w:r w:rsidRPr="00CC0461">
              <w:rPr>
                <w:b/>
                <w:bCs/>
                <w:i/>
                <w:color w:val="000000"/>
                <w:sz w:val="20"/>
                <w:szCs w:val="20"/>
              </w:rPr>
              <w:t>Med Care</w:t>
            </w:r>
            <w:r w:rsidRPr="00CC0461">
              <w:rPr>
                <w:b/>
                <w:bCs/>
                <w:color w:val="000000"/>
                <w:sz w:val="20"/>
                <w:szCs w:val="20"/>
              </w:rPr>
              <w:t xml:space="preserve"> 2007;45:966–72.</w:t>
            </w:r>
            <w:r w:rsidRPr="00CC0461">
              <w:rPr>
                <w:b/>
                <w:bCs/>
                <w:color w:val="000000"/>
                <w:sz w:val="20"/>
                <w:szCs w:val="20"/>
              </w:rPr>
              <w:br/>
            </w:r>
            <w:r w:rsidRPr="00CC0461">
              <w:rPr>
                <w:color w:val="000000"/>
                <w:sz w:val="20"/>
                <w:szCs w:val="20"/>
              </w:rPr>
              <w:t>In an intervention with feedback to increase testing after dispensing angiotensin-converting enzyme inhibitors/angiotensin-II receptor blockers, diuretics, or digoxin, Lafata et al. found no increase in follow-up testing after prescribing digoxin, a 3.3% increase in testing after prescribing angiotensin-converting enzyme inhibitors/angiotensin-II receptor blockers, and a 4.9% increase</w:t>
            </w:r>
            <w:r w:rsidR="00D72D56">
              <w:rPr>
                <w:color w:val="000000"/>
                <w:sz w:val="20"/>
                <w:szCs w:val="20"/>
              </w:rPr>
              <w:t xml:space="preserve"> after prescribing a diuretic. </w:t>
            </w:r>
          </w:p>
          <w:p w14:paraId="5E8DD1B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092" w:type="pct"/>
            <w:tcBorders>
              <w:bottom w:val="single" w:sz="18" w:space="0" w:color="B66113"/>
            </w:tcBorders>
            <w:hideMark/>
          </w:tcPr>
          <w:p w14:paraId="01B3FB15"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summary provided.</w:t>
            </w:r>
          </w:p>
          <w:p w14:paraId="70B409A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C9672D" w:rsidRPr="00CC0461" w14:paraId="6AFC88AE" w14:textId="77777777" w:rsidTr="00C9672D">
        <w:trPr>
          <w:trHeight w:val="78"/>
        </w:trPr>
        <w:tc>
          <w:tcPr>
            <w:cnfStyle w:val="001000000000" w:firstRow="0" w:lastRow="0" w:firstColumn="1" w:lastColumn="0" w:oddVBand="0" w:evenVBand="0" w:oddHBand="0" w:evenHBand="0" w:firstRowFirstColumn="0" w:firstRowLastColumn="0" w:lastRowFirstColumn="0" w:lastRowLastColumn="0"/>
            <w:tcW w:w="4989" w:type="pct"/>
            <w:gridSpan w:val="4"/>
            <w:tcBorders>
              <w:top w:val="single" w:sz="18" w:space="0" w:color="B66113"/>
              <w:bottom w:val="single" w:sz="4" w:space="0" w:color="C0C0C0"/>
            </w:tcBorders>
            <w:shd w:val="clear" w:color="auto" w:fill="EEECE1" w:themeFill="background2"/>
            <w:noWrap/>
          </w:tcPr>
          <w:p w14:paraId="5C169FC7" w14:textId="77777777" w:rsidR="00C9672D" w:rsidRPr="00CC0461" w:rsidRDefault="00C9672D" w:rsidP="00C9672D">
            <w:pPr>
              <w:spacing w:before="0" w:line="240" w:lineRule="auto"/>
              <w:rPr>
                <w:color w:val="000000"/>
                <w:sz w:val="20"/>
                <w:szCs w:val="20"/>
              </w:rPr>
            </w:pPr>
            <w:r w:rsidRPr="00CC0461">
              <w:rPr>
                <w:color w:val="000000"/>
                <w:sz w:val="20"/>
                <w:szCs w:val="20"/>
              </w:rPr>
              <w:t>Educational multicomponent</w:t>
            </w:r>
          </w:p>
        </w:tc>
      </w:tr>
      <w:tr w:rsidR="00C9672D" w:rsidRPr="00CC0461" w14:paraId="70E9E20B" w14:textId="77777777" w:rsidTr="00C9672D">
        <w:trPr>
          <w:trHeight w:val="1531"/>
        </w:trPr>
        <w:tc>
          <w:tcPr>
            <w:cnfStyle w:val="001000000000" w:firstRow="0" w:lastRow="0" w:firstColumn="1" w:lastColumn="0" w:oddVBand="0" w:evenVBand="0" w:oddHBand="0" w:evenHBand="0" w:firstRowFirstColumn="0" w:firstRowLastColumn="0" w:lastRowFirstColumn="0" w:lastRowLastColumn="0"/>
            <w:tcW w:w="808" w:type="pct"/>
            <w:gridSpan w:val="2"/>
            <w:noWrap/>
            <w:hideMark/>
          </w:tcPr>
          <w:p w14:paraId="751470EC"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089" w:type="pct"/>
            <w:hideMark/>
          </w:tcPr>
          <w:p w14:paraId="2C3CF55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Verstappen, et al. </w:t>
            </w:r>
            <w:r w:rsidRPr="00CC0461">
              <w:rPr>
                <w:b/>
                <w:bCs/>
                <w:i/>
                <w:iCs/>
                <w:color w:val="000000"/>
                <w:sz w:val="20"/>
                <w:szCs w:val="20"/>
              </w:rPr>
              <w:t>JAMA</w:t>
            </w:r>
            <w:r w:rsidRPr="00CC0461">
              <w:rPr>
                <w:b/>
                <w:bCs/>
                <w:color w:val="000000"/>
                <w:sz w:val="20"/>
                <w:szCs w:val="20"/>
              </w:rPr>
              <w:t xml:space="preserve"> 2003;289:2407–12.</w:t>
            </w:r>
            <w:r w:rsidRPr="00CC0461">
              <w:rPr>
                <w:color w:val="000000"/>
                <w:sz w:val="20"/>
                <w:szCs w:val="20"/>
              </w:rPr>
              <w:br/>
              <w:t>Feedback on compliance with national guidelines followed by small group discussions on clinical problems were shown to significantly decrease inappropriate ordering (as defined by guidelines) for cardiovascular topics and upper and lower abdominal complaints, but not for chronic obstructive pulmonary disease and asthma, general complaints, and degenerative joint complaints.</w:t>
            </w:r>
            <w:r w:rsidRPr="00CC0461">
              <w:rPr>
                <w:color w:val="000000"/>
                <w:sz w:val="20"/>
                <w:szCs w:val="20"/>
              </w:rPr>
              <w:br/>
              <w:t xml:space="preserve">Results showed a decrease in total number of tests ordered (−67 tests/physician, p = 0.01) and inappropriate tests ordered (−16 tests/physician, p = 0.01) with a 12% reduction in testing in a physician group asked to solve problems involving 15 laboratory tests and a 5% reduction in a group with problems </w:t>
            </w:r>
            <w:r w:rsidRPr="00CC0461">
              <w:rPr>
                <w:color w:val="000000"/>
                <w:sz w:val="20"/>
                <w:szCs w:val="20"/>
              </w:rPr>
              <w:lastRenderedPageBreak/>
              <w:t>involving 10 laboratory tests.</w:t>
            </w:r>
            <w:r w:rsidRPr="00CC0461">
              <w:rPr>
                <w:color w:val="000000"/>
                <w:sz w:val="20"/>
                <w:szCs w:val="20"/>
              </w:rPr>
              <w:br/>
            </w:r>
            <w:r w:rsidRPr="00CC0461">
              <w:rPr>
                <w:b/>
                <w:bCs/>
                <w:color w:val="000000"/>
                <w:sz w:val="20"/>
                <w:szCs w:val="20"/>
              </w:rPr>
              <w:t xml:space="preserve"> </w:t>
            </w:r>
          </w:p>
        </w:tc>
        <w:tc>
          <w:tcPr>
            <w:tcW w:w="1092" w:type="pct"/>
            <w:tcBorders>
              <w:top w:val="single" w:sz="4" w:space="0" w:color="C0C0C0"/>
              <w:bottom w:val="single" w:sz="4" w:space="0" w:color="C0C0C0"/>
            </w:tcBorders>
            <w:hideMark/>
          </w:tcPr>
          <w:p w14:paraId="399DAC5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All but one study found significant reductions in the volume of tests after the intervention, with effect sises ranging from 1.2 to 60 %. Due to heterogeneity, meta-analysis was not performed. Education-based interventions appear to have promising effects on improving </w:t>
            </w:r>
            <w:r w:rsidRPr="00CC0461">
              <w:rPr>
                <w:color w:val="000000"/>
                <w:sz w:val="20"/>
                <w:szCs w:val="20"/>
              </w:rPr>
              <w:lastRenderedPageBreak/>
              <w:t>primary care physician laboratory testing patterns in this review.</w:t>
            </w:r>
          </w:p>
        </w:tc>
      </w:tr>
      <w:tr w:rsidR="00C9672D" w:rsidRPr="00CC0461" w14:paraId="1AE2DED2" w14:textId="77777777" w:rsidTr="00C9672D">
        <w:trPr>
          <w:trHeight w:val="1500"/>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hideMark/>
          </w:tcPr>
          <w:p w14:paraId="5791A8AB"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p>
        </w:tc>
        <w:tc>
          <w:tcPr>
            <w:tcW w:w="3089" w:type="pct"/>
            <w:tcBorders>
              <w:bottom w:val="single" w:sz="18" w:space="0" w:color="B66113"/>
            </w:tcBorders>
            <w:hideMark/>
          </w:tcPr>
          <w:p w14:paraId="0A009EE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Verstappen et al. </w:t>
            </w:r>
            <w:r w:rsidRPr="00CC0461">
              <w:rPr>
                <w:b/>
                <w:bCs/>
                <w:i/>
                <w:color w:val="000000"/>
                <w:sz w:val="20"/>
                <w:szCs w:val="20"/>
              </w:rPr>
              <w:t>JAMA</w:t>
            </w:r>
            <w:r w:rsidRPr="00CC0461">
              <w:rPr>
                <w:b/>
                <w:bCs/>
                <w:color w:val="000000"/>
                <w:sz w:val="20"/>
                <w:szCs w:val="20"/>
              </w:rPr>
              <w:t xml:space="preserve"> 2003;289:2407–11.</w:t>
            </w:r>
            <w:r w:rsidRPr="00CC0461">
              <w:rPr>
                <w:color w:val="000000"/>
                <w:sz w:val="20"/>
                <w:szCs w:val="20"/>
              </w:rPr>
              <w:br/>
              <w:t>To improve test ordering strategy: in this study used an intervention with a feedback, education and small group quality improvement arm (Arm A) was compared with a feedback only arm (Arm B). Results showed Arm A 12% fewer tests than Arm B for cardiovascular, and abdominal complaints; but Arm B showed 5% fewer tests than Arm A for lung disorders, non-specific and degenerative complaints. There was a 12% reduction in testing in a physician group asked to solve problems involving 15 laboratory tests and a 5% reduction in a group with problems involving 10 laboratory tests.</w:t>
            </w:r>
          </w:p>
        </w:tc>
        <w:tc>
          <w:tcPr>
            <w:tcW w:w="1092" w:type="pct"/>
            <w:tcBorders>
              <w:top w:val="single" w:sz="4" w:space="0" w:color="C0C0C0"/>
              <w:bottom w:val="single" w:sz="18" w:space="0" w:color="B66113"/>
            </w:tcBorders>
            <w:hideMark/>
          </w:tcPr>
          <w:p w14:paraId="54DC1A1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for 11 outcomes, the average increase in test ordering in the intervention group compared with the control group was 4.9% (converting the desired reductions to positive change).</w:t>
            </w:r>
          </w:p>
        </w:tc>
      </w:tr>
      <w:tr w:rsidR="00C9672D" w:rsidRPr="00CC0461" w14:paraId="318F54E4" w14:textId="77777777" w:rsidTr="00C9672D">
        <w:trPr>
          <w:trHeight w:val="6012"/>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noWrap/>
            <w:hideMark/>
          </w:tcPr>
          <w:p w14:paraId="0C8AE3AD"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089" w:type="pct"/>
            <w:tcBorders>
              <w:top w:val="single" w:sz="18" w:space="0" w:color="B66113"/>
              <w:bottom w:val="single" w:sz="18" w:space="0" w:color="B66113"/>
            </w:tcBorders>
            <w:hideMark/>
          </w:tcPr>
          <w:p w14:paraId="474D1EF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Robling et al. </w:t>
            </w:r>
            <w:r w:rsidRPr="00CC0461">
              <w:rPr>
                <w:b/>
                <w:bCs/>
                <w:i/>
                <w:color w:val="000000"/>
                <w:sz w:val="20"/>
                <w:szCs w:val="20"/>
              </w:rPr>
              <w:t>Clin Radiol</w:t>
            </w:r>
            <w:r w:rsidRPr="00CC0461">
              <w:rPr>
                <w:b/>
                <w:bCs/>
                <w:color w:val="000000"/>
                <w:sz w:val="20"/>
                <w:szCs w:val="20"/>
              </w:rPr>
              <w:t xml:space="preserve"> 2002;57:402–7.</w:t>
            </w:r>
            <w:r w:rsidRPr="00CC0461">
              <w:rPr>
                <w:color w:val="000000"/>
                <w:sz w:val="20"/>
                <w:szCs w:val="20"/>
              </w:rPr>
              <w:br/>
              <w:t>1. Distribution of local guidelines + practice-based seminar during which a 15-minute video was shown (outreach visit).</w:t>
            </w:r>
            <w:r w:rsidRPr="00CC0461">
              <w:rPr>
                <w:color w:val="000000"/>
                <w:sz w:val="20"/>
                <w:szCs w:val="20"/>
              </w:rPr>
              <w:br/>
              <w:t>2. Distribution of local guidelines + feedback on practice-specific MRI use and comparative data on orthopaedic and neurosurgical referrals (audit and feedback).</w:t>
            </w:r>
            <w:r w:rsidRPr="00CC0461">
              <w:rPr>
                <w:color w:val="000000"/>
                <w:sz w:val="20"/>
                <w:szCs w:val="20"/>
              </w:rPr>
              <w:br/>
              <w:t>3. (1 + 2), Distribution of educational material plus outreach visits plus audit and feedback.</w:t>
            </w:r>
            <w:r w:rsidRPr="00CC0461">
              <w:rPr>
                <w:color w:val="000000"/>
                <w:sz w:val="20"/>
                <w:szCs w:val="20"/>
              </w:rPr>
              <w:br/>
              <w:t>4. Control group: distribution of local guidelines by post.</w:t>
            </w:r>
            <w:r w:rsidRPr="00CC0461">
              <w:rPr>
                <w:color w:val="000000"/>
                <w:sz w:val="20"/>
                <w:szCs w:val="20"/>
              </w:rPr>
              <w:br/>
              <w:t>No difference was found in guideline-concordant GP behaviour (guideline-concordant requests for MRIs (risk difference 4%, range –12.1 to 12.1). Cost-effectiveness analysis showed that accessing the MRI service in writing is probably more cost effective compared with telephone access, and dissemination of guidelines is probably more cost effective compared with the other types of intervention used.</w:t>
            </w:r>
            <w:r w:rsidRPr="00CC0461">
              <w:rPr>
                <w:color w:val="000000"/>
                <w:sz w:val="20"/>
                <w:szCs w:val="20"/>
              </w:rPr>
              <w:br/>
            </w:r>
            <w:r w:rsidRPr="00CC0461">
              <w:rPr>
                <w:color w:val="000000"/>
                <w:sz w:val="20"/>
                <w:szCs w:val="20"/>
              </w:rPr>
              <w:br/>
            </w:r>
            <w:r w:rsidRPr="00CC0461">
              <w:rPr>
                <w:b/>
                <w:bCs/>
                <w:color w:val="000000"/>
                <w:sz w:val="20"/>
                <w:szCs w:val="20"/>
              </w:rPr>
              <w:t xml:space="preserve">Solomon et al. </w:t>
            </w:r>
            <w:r w:rsidRPr="00CC0461">
              <w:rPr>
                <w:b/>
                <w:bCs/>
                <w:i/>
                <w:color w:val="000000"/>
                <w:sz w:val="20"/>
                <w:szCs w:val="20"/>
              </w:rPr>
              <w:t>Arthritis Rheum</w:t>
            </w:r>
            <w:r w:rsidRPr="00CC0461">
              <w:rPr>
                <w:b/>
                <w:bCs/>
                <w:color w:val="000000"/>
                <w:sz w:val="20"/>
                <w:szCs w:val="20"/>
              </w:rPr>
              <w:t xml:space="preserve"> 2004;51:383–7.</w:t>
            </w:r>
            <w:r w:rsidRPr="00CC0461">
              <w:rPr>
                <w:color w:val="000000"/>
                <w:sz w:val="20"/>
                <w:szCs w:val="20"/>
              </w:rPr>
              <w:br/>
              <w:t xml:space="preserve">Professional intervention (distribution of educational materials + educational meeting + audit and feedback). Results showed a 3.8% deterioration in bone mineral density test ordering.  </w:t>
            </w:r>
            <w:r w:rsidRPr="00CC0461">
              <w:rPr>
                <w:color w:val="000000"/>
                <w:sz w:val="20"/>
                <w:szCs w:val="20"/>
              </w:rPr>
              <w:br/>
            </w:r>
            <w:r w:rsidRPr="00CC0461">
              <w:rPr>
                <w:color w:val="000000"/>
                <w:sz w:val="20"/>
                <w:szCs w:val="20"/>
              </w:rPr>
              <w:br/>
            </w:r>
            <w:r w:rsidRPr="00CC0461">
              <w:rPr>
                <w:b/>
                <w:bCs/>
                <w:color w:val="000000"/>
                <w:sz w:val="20"/>
                <w:szCs w:val="20"/>
              </w:rPr>
              <w:t xml:space="preserve">Verstappen et al. </w:t>
            </w:r>
            <w:r w:rsidRPr="00CC0461">
              <w:rPr>
                <w:b/>
                <w:bCs/>
                <w:i/>
                <w:color w:val="000000"/>
                <w:sz w:val="20"/>
                <w:szCs w:val="20"/>
              </w:rPr>
              <w:t>JAMA</w:t>
            </w:r>
            <w:r w:rsidRPr="00CC0461">
              <w:rPr>
                <w:b/>
                <w:bCs/>
                <w:color w:val="000000"/>
                <w:sz w:val="20"/>
                <w:szCs w:val="20"/>
              </w:rPr>
              <w:t xml:space="preserve"> 2003;289:2407–12.</w:t>
            </w:r>
            <w:r w:rsidRPr="00CC0461">
              <w:rPr>
                <w:color w:val="000000"/>
                <w:sz w:val="20"/>
                <w:szCs w:val="20"/>
              </w:rPr>
              <w:br/>
              <w:t>1. Professional intervention (distribution of educational materials + audit and feedback + educational meetings).</w:t>
            </w:r>
            <w:r w:rsidRPr="00CC0461">
              <w:rPr>
                <w:color w:val="000000"/>
                <w:sz w:val="20"/>
                <w:szCs w:val="20"/>
              </w:rPr>
              <w:br/>
              <w:t>2. Same intervention but for a different group of conditions.</w:t>
            </w:r>
            <w:r w:rsidRPr="00CC0461">
              <w:rPr>
                <w:color w:val="000000"/>
                <w:sz w:val="20"/>
                <w:szCs w:val="20"/>
              </w:rPr>
              <w:br/>
              <w:t>For number of X-rays ordered, and number of inappropriate X-rays ordered, change in both outcomes was not significant, with an average relative percentage improvement of 25.4% and an average standardised mean difference of +0.31.</w:t>
            </w:r>
          </w:p>
        </w:tc>
        <w:tc>
          <w:tcPr>
            <w:tcW w:w="1092" w:type="pct"/>
            <w:tcBorders>
              <w:top w:val="single" w:sz="18" w:space="0" w:color="B66113"/>
              <w:bottom w:val="single" w:sz="18" w:space="0" w:color="B66113"/>
            </w:tcBorders>
            <w:hideMark/>
          </w:tcPr>
          <w:p w14:paraId="74A9CFA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Most the 12 studies concerning low back pain included distribution of educational materials as an intervention component and most observed no significant improvement in appropriate imaging. </w:t>
            </w:r>
            <w:r w:rsidRPr="00CC0461">
              <w:rPr>
                <w:color w:val="000000"/>
                <w:sz w:val="20"/>
                <w:szCs w:val="20"/>
              </w:rPr>
              <w:br/>
              <w:t>Only one of the included low back pain studies reported healthcare outcomes and this observed a non-significant change in pain at 3 and 6 months follow-up for an organisational intervention.</w:t>
            </w:r>
            <w:r w:rsidRPr="00CC0461">
              <w:rPr>
                <w:color w:val="000000"/>
                <w:sz w:val="20"/>
                <w:szCs w:val="20"/>
              </w:rPr>
              <w:br/>
            </w:r>
            <w:r w:rsidRPr="00CC0461">
              <w:rPr>
                <w:color w:val="000000"/>
                <w:sz w:val="20"/>
                <w:szCs w:val="20"/>
              </w:rPr>
              <w:br/>
              <w:t xml:space="preserve">Most the 12 studies that evaluated interventions vs no-intervention controls to improve the management of people with osteoporosis, or people at risk of osteoporosis, observed </w:t>
            </w:r>
            <w:r w:rsidRPr="00CC0461">
              <w:rPr>
                <w:bCs/>
                <w:color w:val="000000"/>
                <w:sz w:val="20"/>
                <w:szCs w:val="20"/>
              </w:rPr>
              <w:t>significant improvements in bone mineral density test ordering</w:t>
            </w:r>
            <w:r w:rsidRPr="00CC0461">
              <w:rPr>
                <w:color w:val="000000"/>
                <w:sz w:val="20"/>
                <w:szCs w:val="20"/>
              </w:rPr>
              <w:t xml:space="preserve">. However, it is not clear which intervention, or intervention combination, is likely to have the largest effect. All the included studies conducted in people with musculoskeletal conditions other than osteoporosis, low back pain and knee pain observed no significant change in appropriate imaging outcomes. The interventions distribution of educational materials, educational meetings and audit and feedback were not shown to be effective for changing imaging ordering </w:t>
            </w:r>
            <w:r w:rsidRPr="00CC0461">
              <w:rPr>
                <w:color w:val="000000"/>
                <w:sz w:val="20"/>
                <w:szCs w:val="20"/>
              </w:rPr>
              <w:lastRenderedPageBreak/>
              <w:t>behaviour in other musculoskeletal conditions.</w:t>
            </w:r>
          </w:p>
        </w:tc>
      </w:tr>
      <w:tr w:rsidR="00C9672D" w:rsidRPr="00CC0461" w14:paraId="14FD9F50" w14:textId="77777777" w:rsidTr="00C9672D">
        <w:trPr>
          <w:trHeight w:val="2447"/>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4" w:space="0" w:color="C0C0C0"/>
            </w:tcBorders>
            <w:hideMark/>
          </w:tcPr>
          <w:p w14:paraId="62B87CFA"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Colla CH (2016)</w:t>
            </w:r>
          </w:p>
        </w:tc>
        <w:tc>
          <w:tcPr>
            <w:tcW w:w="3089" w:type="pct"/>
            <w:tcBorders>
              <w:top w:val="single" w:sz="18" w:space="0" w:color="B66113"/>
              <w:bottom w:val="single" w:sz="4" w:space="0" w:color="C0C0C0"/>
            </w:tcBorders>
            <w:hideMark/>
          </w:tcPr>
          <w:p w14:paraId="5A9F6DF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Bhatia et al. </w:t>
            </w:r>
            <w:r w:rsidRPr="00CC0461">
              <w:rPr>
                <w:b/>
                <w:bCs/>
                <w:i/>
                <w:color w:val="000000"/>
                <w:sz w:val="20"/>
                <w:szCs w:val="20"/>
              </w:rPr>
              <w:t>JACC Cardiovasc imaging</w:t>
            </w:r>
            <w:r w:rsidRPr="00CC0461">
              <w:rPr>
                <w:b/>
                <w:bCs/>
                <w:color w:val="000000"/>
                <w:sz w:val="20"/>
                <w:szCs w:val="20"/>
              </w:rPr>
              <w:t xml:space="preserve"> 2013;6:545–55.</w:t>
            </w:r>
            <w:r w:rsidRPr="00CC0461">
              <w:rPr>
                <w:color w:val="000000"/>
                <w:sz w:val="20"/>
                <w:szCs w:val="20"/>
              </w:rPr>
              <w:br/>
              <w:t>An educational intervention including a lecture on appropriate use criteria, a pocket card, and biweekly email feedback on ordering behaviour resulted in significantly lower inappropriate echocardiography use. Pre–post intervention had 26% reduction in number of transthoracic echocardiograms ordered per day (p &lt; 0.001); proportion of inappropriate transthoracic echocardiograms was significantly lower (5% vs 13%, p &lt; 0.001) and proportion of appropriate transthoracic echocardiograms was significantly higher (93% vs 84%, p &lt; 0.001).</w:t>
            </w:r>
            <w:r w:rsidRPr="00CC0461">
              <w:rPr>
                <w:color w:val="000000"/>
                <w:sz w:val="20"/>
                <w:szCs w:val="20"/>
              </w:rPr>
              <w:br/>
            </w:r>
            <w:r w:rsidRPr="00CC0461">
              <w:rPr>
                <w:color w:val="000000"/>
                <w:sz w:val="20"/>
                <w:szCs w:val="20"/>
              </w:rPr>
              <w:br/>
            </w:r>
            <w:r w:rsidRPr="00CC0461">
              <w:rPr>
                <w:b/>
                <w:bCs/>
                <w:color w:val="000000"/>
                <w:sz w:val="20"/>
                <w:szCs w:val="20"/>
              </w:rPr>
              <w:t xml:space="preserve">Vidyarthi et al. </w:t>
            </w:r>
            <w:r w:rsidRPr="00CC0461">
              <w:rPr>
                <w:b/>
                <w:bCs/>
                <w:i/>
                <w:color w:val="000000"/>
                <w:sz w:val="20"/>
                <w:szCs w:val="20"/>
              </w:rPr>
              <w:t>Am J Med Qual</w:t>
            </w:r>
            <w:r w:rsidRPr="00CC0461">
              <w:rPr>
                <w:b/>
                <w:bCs/>
                <w:color w:val="000000"/>
                <w:sz w:val="20"/>
                <w:szCs w:val="20"/>
              </w:rPr>
              <w:t xml:space="preserve"> 2015;30:81–7.</w:t>
            </w:r>
            <w:r w:rsidRPr="00CC0461">
              <w:rPr>
                <w:color w:val="000000"/>
                <w:sz w:val="20"/>
                <w:szCs w:val="20"/>
              </w:rPr>
              <w:br/>
            </w:r>
            <w:r w:rsidRPr="00CC0461">
              <w:rPr>
                <w:color w:val="000000"/>
                <w:sz w:val="20"/>
                <w:szCs w:val="20"/>
              </w:rPr>
              <w:lastRenderedPageBreak/>
              <w:t xml:space="preserve">A combination of clinician education, social marketing, financial incentives, and audit and feedback resulted in an 8% reduction in laboratory testing over 3 years among medical residents. </w:t>
            </w:r>
          </w:p>
        </w:tc>
        <w:tc>
          <w:tcPr>
            <w:tcW w:w="1092" w:type="pct"/>
            <w:tcBorders>
              <w:top w:val="single" w:sz="18" w:space="0" w:color="B66113"/>
              <w:bottom w:val="single" w:sz="4" w:space="0" w:color="C0C0C0"/>
            </w:tcBorders>
            <w:hideMark/>
          </w:tcPr>
          <w:p w14:paraId="314A933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Multicomponent educational interventions with continued clinician support are costly and time-consuming, yet effective at reducing utilisation and targeted inappropriate use. </w:t>
            </w:r>
          </w:p>
        </w:tc>
      </w:tr>
      <w:tr w:rsidR="00C9672D" w:rsidRPr="00CC0461" w14:paraId="0A0A3585" w14:textId="77777777" w:rsidTr="00C9672D">
        <w:trPr>
          <w:trHeight w:val="1915"/>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4" w:space="0" w:color="C0C0C0"/>
            </w:tcBorders>
            <w:noWrap/>
            <w:hideMark/>
          </w:tcPr>
          <w:p w14:paraId="60D571BD" w14:textId="77777777" w:rsidR="00C9672D" w:rsidRPr="00CC0461" w:rsidRDefault="00C9672D" w:rsidP="00C9672D">
            <w:pPr>
              <w:spacing w:before="0" w:line="240" w:lineRule="auto"/>
              <w:rPr>
                <w:color w:val="000000"/>
                <w:sz w:val="20"/>
                <w:szCs w:val="20"/>
              </w:rPr>
            </w:pPr>
            <w:r w:rsidRPr="00CC0461">
              <w:rPr>
                <w:color w:val="000000"/>
                <w:sz w:val="20"/>
                <w:szCs w:val="20"/>
              </w:rPr>
              <w:t>Stammen LA (2015)</w:t>
            </w:r>
          </w:p>
        </w:tc>
        <w:tc>
          <w:tcPr>
            <w:tcW w:w="3089" w:type="pct"/>
            <w:tcBorders>
              <w:top w:val="single" w:sz="4" w:space="0" w:color="C0C0C0"/>
            </w:tcBorders>
            <w:hideMark/>
          </w:tcPr>
          <w:p w14:paraId="777949E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Bhatia et al. </w:t>
            </w:r>
            <w:r w:rsidRPr="00CC0461">
              <w:rPr>
                <w:b/>
                <w:bCs/>
                <w:i/>
                <w:color w:val="000000"/>
                <w:sz w:val="20"/>
                <w:szCs w:val="20"/>
              </w:rPr>
              <w:t>JACC Cardiovasc imaging</w:t>
            </w:r>
            <w:r w:rsidRPr="00CC0461">
              <w:rPr>
                <w:b/>
                <w:bCs/>
                <w:color w:val="000000"/>
                <w:sz w:val="20"/>
                <w:szCs w:val="20"/>
              </w:rPr>
              <w:t xml:space="preserve"> 2013;6:545–55.</w:t>
            </w:r>
            <w:r w:rsidRPr="00CC0461">
              <w:rPr>
                <w:color w:val="000000"/>
                <w:sz w:val="20"/>
                <w:szCs w:val="20"/>
              </w:rPr>
              <w:br/>
              <w:t>Pre–post intervention had 26% reduction in number of transthoracic echocardiograms ordered per day (p &lt; 0.001); proportion of inappropriate transthoracic echocardiograms was significantly lower (5% vs 13%; p &lt; 0.001) and proportion of appropriate transthoracic echocardiograms was significantly higher (93% vs 84%, p &lt; 0.001).</w:t>
            </w:r>
            <w:r w:rsidRPr="00CC0461">
              <w:rPr>
                <w:color w:val="000000"/>
                <w:sz w:val="20"/>
                <w:szCs w:val="20"/>
              </w:rPr>
              <w:br/>
            </w:r>
            <w:r w:rsidRPr="00CC0461">
              <w:rPr>
                <w:color w:val="000000"/>
                <w:sz w:val="20"/>
                <w:szCs w:val="20"/>
              </w:rPr>
              <w:br/>
            </w:r>
            <w:r w:rsidRPr="00CC0461">
              <w:rPr>
                <w:b/>
                <w:bCs/>
                <w:color w:val="000000"/>
                <w:sz w:val="20"/>
                <w:szCs w:val="20"/>
              </w:rPr>
              <w:t xml:space="preserve">Thakkar et al. </w:t>
            </w:r>
            <w:r w:rsidRPr="00CC0461">
              <w:rPr>
                <w:b/>
                <w:bCs/>
                <w:i/>
                <w:color w:val="000000"/>
                <w:sz w:val="20"/>
                <w:szCs w:val="20"/>
              </w:rPr>
              <w:t>Am J Clin Pathol</w:t>
            </w:r>
            <w:r w:rsidRPr="00CC0461">
              <w:rPr>
                <w:b/>
                <w:bCs/>
                <w:color w:val="000000"/>
                <w:sz w:val="20"/>
                <w:szCs w:val="20"/>
              </w:rPr>
              <w:t xml:space="preserve"> 2015;143:393–7.</w:t>
            </w:r>
            <w:r w:rsidRPr="00CC0461">
              <w:rPr>
                <w:color w:val="000000"/>
                <w:sz w:val="20"/>
                <w:szCs w:val="20"/>
              </w:rPr>
              <w:br/>
              <w:t xml:space="preserve">A pre-post intervention consisting of an education, flyer, email, cost impact information led to a reduction in number of overall tests ordered (4.14 vs 3.79/patient/day, p = 0.001); cost reduction of $6.33/patient/day. </w:t>
            </w:r>
          </w:p>
          <w:p w14:paraId="031538D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032C881" w14:textId="77777777" w:rsidR="00C9672D" w:rsidRPr="007D2D4C"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lang w:val="fr-CA"/>
              </w:rPr>
            </w:pPr>
            <w:r w:rsidRPr="007D2D4C">
              <w:rPr>
                <w:b/>
                <w:color w:val="000000"/>
                <w:sz w:val="20"/>
                <w:szCs w:val="20"/>
                <w:lang w:val="fr-CA"/>
              </w:rPr>
              <w:t xml:space="preserve">Attali et al. </w:t>
            </w:r>
            <w:r w:rsidRPr="007D2D4C">
              <w:rPr>
                <w:b/>
                <w:i/>
                <w:color w:val="000000"/>
                <w:sz w:val="20"/>
                <w:szCs w:val="20"/>
                <w:lang w:val="fr-CA"/>
              </w:rPr>
              <w:t>Mt Sinai J Med</w:t>
            </w:r>
            <w:r w:rsidRPr="007D2D4C">
              <w:rPr>
                <w:b/>
                <w:color w:val="000000"/>
                <w:sz w:val="20"/>
                <w:szCs w:val="20"/>
                <w:lang w:val="fr-CA"/>
              </w:rPr>
              <w:t xml:space="preserve"> 2006;73:787–94.</w:t>
            </w:r>
          </w:p>
          <w:p w14:paraId="1742D76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Evaluated an educational lecture about excessive and inappropriate testing; a senior physician gave feedback about ordering practices; findings showed a 34.5% relative reduction of targeted tests.</w:t>
            </w:r>
          </w:p>
        </w:tc>
        <w:tc>
          <w:tcPr>
            <w:tcW w:w="1092" w:type="pct"/>
            <w:tcBorders>
              <w:top w:val="single" w:sz="4" w:space="0" w:color="C0C0C0"/>
            </w:tcBorders>
            <w:hideMark/>
          </w:tcPr>
          <w:p w14:paraId="7A4D7EE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No analyses or commentary as to the effectiveness of the interventions in this format was provided.</w:t>
            </w:r>
          </w:p>
        </w:tc>
      </w:tr>
      <w:tr w:rsidR="00C9672D" w:rsidRPr="00CC0461" w14:paraId="655FAD37" w14:textId="77777777" w:rsidTr="00C9672D">
        <w:trPr>
          <w:trHeight w:val="1915"/>
        </w:trPr>
        <w:tc>
          <w:tcPr>
            <w:cnfStyle w:val="001000000000" w:firstRow="0" w:lastRow="0" w:firstColumn="1" w:lastColumn="0" w:oddVBand="0" w:evenVBand="0" w:oddHBand="0" w:evenHBand="0" w:firstRowFirstColumn="0" w:firstRowLastColumn="0" w:lastRowFirstColumn="0" w:lastRowLastColumn="0"/>
            <w:tcW w:w="808" w:type="pct"/>
            <w:gridSpan w:val="2"/>
            <w:tcBorders>
              <w:bottom w:val="single" w:sz="18" w:space="0" w:color="B66113"/>
            </w:tcBorders>
            <w:noWrap/>
          </w:tcPr>
          <w:p w14:paraId="44B3DB73" w14:textId="77777777" w:rsidR="00C9672D" w:rsidRPr="00CC0461" w:rsidRDefault="00C9672D" w:rsidP="00C9672D">
            <w:pPr>
              <w:spacing w:before="0" w:after="240" w:line="240" w:lineRule="auto"/>
              <w:rPr>
                <w:color w:val="000000"/>
                <w:sz w:val="20"/>
                <w:szCs w:val="20"/>
              </w:rPr>
            </w:pPr>
            <w:r w:rsidRPr="00CC0461">
              <w:rPr>
                <w:color w:val="000000"/>
                <w:sz w:val="20"/>
                <w:szCs w:val="20"/>
              </w:rPr>
              <w:t>Kobewka DM (2015)</w:t>
            </w:r>
          </w:p>
        </w:tc>
        <w:tc>
          <w:tcPr>
            <w:tcW w:w="3089" w:type="pct"/>
            <w:tcBorders>
              <w:bottom w:val="single" w:sz="18" w:space="0" w:color="B66113"/>
            </w:tcBorders>
          </w:tcPr>
          <w:p w14:paraId="42F6A418" w14:textId="77777777" w:rsidR="00C9672D" w:rsidRPr="007D2D4C"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lang w:val="fr-CA"/>
              </w:rPr>
            </w:pPr>
            <w:r w:rsidRPr="007D2D4C">
              <w:rPr>
                <w:b/>
                <w:bCs/>
                <w:color w:val="000000"/>
                <w:sz w:val="20"/>
                <w:szCs w:val="20"/>
                <w:lang w:val="fr-CA"/>
              </w:rPr>
              <w:t xml:space="preserve">Attali et al. </w:t>
            </w:r>
            <w:r w:rsidRPr="007D2D4C">
              <w:rPr>
                <w:b/>
                <w:bCs/>
                <w:i/>
                <w:color w:val="000000"/>
                <w:sz w:val="20"/>
                <w:szCs w:val="20"/>
                <w:lang w:val="fr-CA"/>
              </w:rPr>
              <w:t>Mt Sinai J Med</w:t>
            </w:r>
            <w:r w:rsidRPr="007D2D4C">
              <w:rPr>
                <w:b/>
                <w:bCs/>
                <w:color w:val="000000"/>
                <w:sz w:val="20"/>
                <w:szCs w:val="20"/>
                <w:lang w:val="fr-CA"/>
              </w:rPr>
              <w:t xml:space="preserve"> 2006;73:787–94.</w:t>
            </w:r>
          </w:p>
          <w:p w14:paraId="0B01F3F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Evaluated an educational lecture about excessive and inappropriate testing; a senior physician gave feedback about ordering practices; findings showed a 34.5% relative reduction of targeted tests.</w:t>
            </w:r>
          </w:p>
          <w:p w14:paraId="64F98DB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p w14:paraId="54BDB14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Power et al. </w:t>
            </w:r>
            <w:r w:rsidRPr="00CC0461">
              <w:rPr>
                <w:b/>
                <w:bCs/>
                <w:i/>
                <w:color w:val="000000"/>
                <w:sz w:val="20"/>
                <w:szCs w:val="20"/>
              </w:rPr>
              <w:t>Anaesth Intensive Care</w:t>
            </w:r>
            <w:r w:rsidRPr="00CC0461">
              <w:rPr>
                <w:b/>
                <w:bCs/>
                <w:color w:val="000000"/>
                <w:sz w:val="20"/>
                <w:szCs w:val="20"/>
              </w:rPr>
              <w:t xml:space="preserve"> 1999;27:481–8.</w:t>
            </w:r>
          </w:p>
          <w:p w14:paraId="0C46621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Published guidelines on test ordering were distributed. A maximum number of tests per patient was instituted and test ordering was reviewed by a consultant.</w:t>
            </w:r>
          </w:p>
          <w:p w14:paraId="032E8EF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Results showed a decrease of 37.1% in selected tests.</w:t>
            </w:r>
          </w:p>
          <w:p w14:paraId="2C2E3A9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p w14:paraId="048AB5E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Bareford et al. </w:t>
            </w:r>
            <w:r w:rsidRPr="00CC0461">
              <w:rPr>
                <w:b/>
                <w:bCs/>
                <w:i/>
                <w:color w:val="000000"/>
                <w:sz w:val="20"/>
                <w:szCs w:val="20"/>
              </w:rPr>
              <w:t>Br Med J</w:t>
            </w:r>
            <w:r w:rsidRPr="00CC0461">
              <w:rPr>
                <w:b/>
                <w:bCs/>
                <w:color w:val="000000"/>
                <w:sz w:val="20"/>
                <w:szCs w:val="20"/>
              </w:rPr>
              <w:t xml:space="preserve"> 1990;301:1305–7.</w:t>
            </w:r>
          </w:p>
          <w:p w14:paraId="58716A3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Monthly usage statements were distributed to physicians. Guidelines on appropriate testing were distributed and some tests were cancelled if inappropriate. Results showed a reduction in testing of 62.1%</w:t>
            </w:r>
          </w:p>
          <w:p w14:paraId="120466C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092" w:type="pct"/>
            <w:tcBorders>
              <w:bottom w:val="single" w:sz="18" w:space="0" w:color="B66113"/>
            </w:tcBorders>
          </w:tcPr>
          <w:p w14:paraId="4DE8570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Interventions with an educational component had the highest median relative reduction in test volume of any intervention type at 34.5% (IQR 16.5 to 49.0). Interventions that were exclusively educational showed median RR (IQR) of 30.6 (16.5 to 48.5).</w:t>
            </w:r>
          </w:p>
        </w:tc>
      </w:tr>
      <w:tr w:rsidR="00C9672D" w:rsidRPr="00CC0461" w14:paraId="7CFFF013" w14:textId="77777777" w:rsidTr="00C9672D">
        <w:trPr>
          <w:trHeight w:val="1915"/>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noWrap/>
          </w:tcPr>
          <w:p w14:paraId="2284F29F" w14:textId="77777777" w:rsidR="00C9672D" w:rsidRPr="00CC0461" w:rsidRDefault="00C9672D" w:rsidP="00C9672D">
            <w:pPr>
              <w:spacing w:before="0" w:after="240" w:line="240" w:lineRule="auto"/>
              <w:rPr>
                <w:b w:val="0"/>
                <w:color w:val="000000"/>
                <w:sz w:val="20"/>
                <w:szCs w:val="20"/>
              </w:rPr>
            </w:pPr>
            <w:r w:rsidRPr="00CC0461">
              <w:rPr>
                <w:color w:val="000000"/>
                <w:sz w:val="20"/>
                <w:szCs w:val="20"/>
              </w:rPr>
              <w:t>Tortziou Brown V (2016)</w:t>
            </w:r>
            <w:r w:rsidRPr="00CC0461">
              <w:rPr>
                <w:color w:val="000000"/>
                <w:sz w:val="20"/>
                <w:szCs w:val="20"/>
              </w:rPr>
              <w:br/>
            </w:r>
          </w:p>
          <w:p w14:paraId="615C76DB" w14:textId="77777777" w:rsidR="00C9672D" w:rsidRPr="00CC0461" w:rsidRDefault="00C9672D" w:rsidP="00C9672D">
            <w:pPr>
              <w:spacing w:before="0" w:after="240" w:line="240" w:lineRule="auto"/>
              <w:rPr>
                <w:b w:val="0"/>
                <w:color w:val="000000"/>
                <w:sz w:val="20"/>
                <w:szCs w:val="20"/>
              </w:rPr>
            </w:pPr>
          </w:p>
          <w:p w14:paraId="33489922" w14:textId="77777777" w:rsidR="00C9672D" w:rsidRPr="00CC0461" w:rsidRDefault="00C9672D" w:rsidP="00C9672D">
            <w:pPr>
              <w:spacing w:before="0" w:after="240" w:line="240" w:lineRule="auto"/>
              <w:rPr>
                <w:b w:val="0"/>
                <w:color w:val="000000"/>
                <w:sz w:val="20"/>
                <w:szCs w:val="20"/>
              </w:rPr>
            </w:pPr>
          </w:p>
          <w:p w14:paraId="03278492" w14:textId="77777777" w:rsidR="00C9672D" w:rsidRPr="00CC0461" w:rsidRDefault="00C9672D" w:rsidP="00C9672D">
            <w:pPr>
              <w:spacing w:before="0" w:after="240" w:line="240" w:lineRule="auto"/>
              <w:rPr>
                <w:b w:val="0"/>
                <w:color w:val="000000"/>
                <w:sz w:val="20"/>
                <w:szCs w:val="20"/>
              </w:rPr>
            </w:pPr>
          </w:p>
          <w:p w14:paraId="1E159900" w14:textId="77777777" w:rsidR="00C9672D" w:rsidRDefault="00C9672D" w:rsidP="00C9672D">
            <w:pPr>
              <w:spacing w:before="0" w:line="240" w:lineRule="auto"/>
              <w:rPr>
                <w:color w:val="000000"/>
                <w:sz w:val="20"/>
                <w:szCs w:val="20"/>
              </w:rPr>
            </w:pPr>
          </w:p>
          <w:p w14:paraId="3D9B652D" w14:textId="77777777" w:rsidR="00C9672D" w:rsidRPr="00CC0461" w:rsidRDefault="00C9672D" w:rsidP="00C9672D">
            <w:pPr>
              <w:spacing w:before="0" w:line="240" w:lineRule="auto"/>
              <w:rPr>
                <w:color w:val="000000"/>
                <w:sz w:val="20"/>
                <w:szCs w:val="20"/>
              </w:rPr>
            </w:pPr>
          </w:p>
        </w:tc>
        <w:tc>
          <w:tcPr>
            <w:tcW w:w="3089" w:type="pct"/>
            <w:tcBorders>
              <w:top w:val="single" w:sz="18" w:space="0" w:color="B66113"/>
              <w:bottom w:val="single" w:sz="18" w:space="0" w:color="B66113"/>
            </w:tcBorders>
          </w:tcPr>
          <w:p w14:paraId="0D854777" w14:textId="77777777" w:rsidR="00C9672D" w:rsidRPr="00D72D56" w:rsidRDefault="00C9672D" w:rsidP="00D72D56">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Robling et al. </w:t>
            </w:r>
            <w:r w:rsidRPr="00CC0461">
              <w:rPr>
                <w:b/>
                <w:bCs/>
                <w:i/>
                <w:color w:val="000000"/>
                <w:sz w:val="20"/>
                <w:szCs w:val="20"/>
              </w:rPr>
              <w:t>Clin Radiol</w:t>
            </w:r>
            <w:r w:rsidRPr="00CC0461">
              <w:rPr>
                <w:b/>
                <w:bCs/>
                <w:color w:val="000000"/>
                <w:sz w:val="20"/>
                <w:szCs w:val="20"/>
              </w:rPr>
              <w:t xml:space="preserve"> 2002;57:402–7.</w:t>
            </w:r>
            <w:r w:rsidRPr="00CC0461">
              <w:rPr>
                <w:color w:val="000000"/>
                <w:sz w:val="20"/>
                <w:szCs w:val="20"/>
              </w:rPr>
              <w:br/>
              <w:t>1. Distribution of local guidelines + practice-based seminar during which a 15-minute video was shown (outreach visit).</w:t>
            </w:r>
            <w:r w:rsidRPr="00CC0461">
              <w:rPr>
                <w:color w:val="000000"/>
                <w:sz w:val="20"/>
                <w:szCs w:val="20"/>
              </w:rPr>
              <w:br/>
              <w:t>2. Distribution of local guidelines + feedback on practice-specific MRI use and comparative data on orthopaedic and neurosurgical referrals (audit and feedback).</w:t>
            </w:r>
            <w:r w:rsidRPr="00CC0461">
              <w:rPr>
                <w:color w:val="000000"/>
                <w:sz w:val="20"/>
                <w:szCs w:val="20"/>
              </w:rPr>
              <w:br/>
              <w:t>3. (1 + 2); Distribution of educational material plus outreach visits plus audit and feedback.</w:t>
            </w:r>
            <w:r w:rsidRPr="00CC0461">
              <w:rPr>
                <w:color w:val="000000"/>
                <w:sz w:val="20"/>
                <w:szCs w:val="20"/>
              </w:rPr>
              <w:br/>
              <w:t>4. Control group: distribution of local guidelines by post.</w:t>
            </w:r>
            <w:r w:rsidRPr="00CC0461">
              <w:rPr>
                <w:color w:val="000000"/>
                <w:sz w:val="20"/>
                <w:szCs w:val="20"/>
              </w:rPr>
              <w:br/>
              <w:t>No difference was found in guideline-concordant GP behaviour (guideline-concordant requests for MRIs, risk difference 4%, range –12.1 to 12.1). Cost-effectiveness analysis showed that accessing the MRI service in writing is probably more cost effective compared with telephone access, and dissemination of guidelines is probably more cost effective compared with the ot</w:t>
            </w:r>
            <w:r w:rsidR="00D72D56">
              <w:rPr>
                <w:color w:val="000000"/>
                <w:sz w:val="20"/>
                <w:szCs w:val="20"/>
              </w:rPr>
              <w:t>her types of intervention used.</w:t>
            </w:r>
          </w:p>
        </w:tc>
        <w:tc>
          <w:tcPr>
            <w:tcW w:w="1092" w:type="pct"/>
            <w:tcBorders>
              <w:top w:val="single" w:sz="18" w:space="0" w:color="B66113"/>
              <w:bottom w:val="single" w:sz="18" w:space="0" w:color="B66113"/>
            </w:tcBorders>
          </w:tcPr>
          <w:p w14:paraId="4D136B1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Multiple-component interventions, mainly including dissemination of educational materials and educational meetings/outreach showed that these interventions may result in little or no improvement in GP behaviour and patient-related outcomes.</w:t>
            </w:r>
          </w:p>
        </w:tc>
      </w:tr>
      <w:tr w:rsidR="00C9672D" w:rsidRPr="00CC0461" w14:paraId="70240579" w14:textId="77777777" w:rsidTr="00C9672D">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B66113"/>
              <w:bottom w:val="single" w:sz="18" w:space="0" w:color="B66113"/>
            </w:tcBorders>
            <w:shd w:val="clear" w:color="auto" w:fill="EEECE1" w:themeFill="background2"/>
          </w:tcPr>
          <w:p w14:paraId="01A9F4E1" w14:textId="77777777" w:rsidR="00C9672D" w:rsidRPr="00CC0461" w:rsidRDefault="00C9672D" w:rsidP="00C9672D">
            <w:pPr>
              <w:spacing w:before="0" w:line="240" w:lineRule="auto"/>
              <w:rPr>
                <w:color w:val="000000"/>
                <w:sz w:val="20"/>
                <w:szCs w:val="20"/>
              </w:rPr>
            </w:pPr>
            <w:r w:rsidRPr="00CC0461">
              <w:rPr>
                <w:color w:val="000000"/>
                <w:sz w:val="20"/>
                <w:szCs w:val="20"/>
              </w:rPr>
              <w:t>Combined physician and patient directed educational interventions</w:t>
            </w:r>
          </w:p>
        </w:tc>
      </w:tr>
      <w:tr w:rsidR="00C9672D" w:rsidRPr="00CC0461" w14:paraId="23802F5D"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759" w:type="pct"/>
            <w:tcBorders>
              <w:top w:val="single" w:sz="18" w:space="0" w:color="B66113"/>
              <w:bottom w:val="single" w:sz="18" w:space="0" w:color="B66113"/>
            </w:tcBorders>
            <w:noWrap/>
            <w:hideMark/>
          </w:tcPr>
          <w:p w14:paraId="30F2D378"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French SD (2010)</w:t>
            </w:r>
          </w:p>
        </w:tc>
        <w:tc>
          <w:tcPr>
            <w:tcW w:w="3138" w:type="pct"/>
            <w:gridSpan w:val="2"/>
            <w:tcBorders>
              <w:top w:val="single" w:sz="18" w:space="0" w:color="B66113"/>
              <w:bottom w:val="single" w:sz="18" w:space="0" w:color="B66113"/>
            </w:tcBorders>
            <w:hideMark/>
          </w:tcPr>
          <w:p w14:paraId="6EA75FC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Feldstein et al. </w:t>
            </w:r>
            <w:r w:rsidRPr="00CC0461">
              <w:rPr>
                <w:b/>
                <w:bCs/>
                <w:i/>
                <w:color w:val="000000"/>
                <w:sz w:val="20"/>
                <w:szCs w:val="20"/>
              </w:rPr>
              <w:t>J Am Geriatr Soc</w:t>
            </w:r>
            <w:r w:rsidRPr="00CC0461">
              <w:rPr>
                <w:b/>
                <w:bCs/>
                <w:color w:val="000000"/>
                <w:sz w:val="20"/>
                <w:szCs w:val="20"/>
              </w:rPr>
              <w:t xml:space="preserve"> 2006;54:450–7.</w:t>
            </w:r>
            <w:r w:rsidRPr="00CC0461">
              <w:rPr>
                <w:color w:val="000000"/>
                <w:sz w:val="20"/>
                <w:szCs w:val="20"/>
              </w:rPr>
              <w:br/>
              <w:t>1. Professional intervention (reminders: electronic medical record message about patient’s risk of osteoporosis + distribution of education materials).</w:t>
            </w:r>
            <w:r w:rsidRPr="00CC0461">
              <w:rPr>
                <w:color w:val="000000"/>
                <w:sz w:val="20"/>
                <w:szCs w:val="20"/>
              </w:rPr>
              <w:br/>
              <w:t>2. Professional intervention (reminders + distribution of education materials) + patient mediated (education materials).</w:t>
            </w:r>
            <w:r w:rsidRPr="00CC0461">
              <w:rPr>
                <w:color w:val="000000"/>
                <w:sz w:val="20"/>
                <w:szCs w:val="20"/>
              </w:rPr>
              <w:br/>
              <w:t>There was a significant improvement in bone mineral density test ordering, with an absolute change of 34.6% (p &lt; 0.01).</w:t>
            </w:r>
            <w:r w:rsidRPr="00CC0461">
              <w:rPr>
                <w:color w:val="000000"/>
                <w:sz w:val="20"/>
                <w:szCs w:val="20"/>
              </w:rPr>
              <w:br/>
            </w:r>
            <w:r w:rsidRPr="00CC0461">
              <w:rPr>
                <w:color w:val="000000"/>
                <w:sz w:val="20"/>
                <w:szCs w:val="20"/>
              </w:rPr>
              <w:br/>
            </w:r>
            <w:r w:rsidRPr="00CC0461">
              <w:rPr>
                <w:b/>
                <w:bCs/>
                <w:color w:val="000000"/>
                <w:sz w:val="20"/>
                <w:szCs w:val="20"/>
              </w:rPr>
              <w:t xml:space="preserve">Lafata et al. </w:t>
            </w:r>
            <w:r w:rsidRPr="00CC0461">
              <w:rPr>
                <w:b/>
                <w:bCs/>
                <w:i/>
                <w:color w:val="000000"/>
                <w:sz w:val="20"/>
                <w:szCs w:val="20"/>
              </w:rPr>
              <w:t>J Gen Intern Med</w:t>
            </w:r>
            <w:r w:rsidRPr="00CC0461">
              <w:rPr>
                <w:b/>
                <w:bCs/>
                <w:color w:val="000000"/>
                <w:sz w:val="20"/>
                <w:szCs w:val="20"/>
              </w:rPr>
              <w:t xml:space="preserve"> 2007;22:346–51.</w:t>
            </w:r>
            <w:r w:rsidRPr="00CC0461">
              <w:rPr>
                <w:color w:val="000000"/>
                <w:sz w:val="20"/>
                <w:szCs w:val="20"/>
              </w:rPr>
              <w:br/>
              <w:t>1. Patient mediated (education materials).</w:t>
            </w:r>
            <w:r w:rsidRPr="00CC0461">
              <w:rPr>
                <w:color w:val="000000"/>
                <w:sz w:val="20"/>
                <w:szCs w:val="20"/>
              </w:rPr>
              <w:br/>
              <w:t>2. Patient mediated (education materials) + professional intervention (reminder).</w:t>
            </w:r>
            <w:r w:rsidRPr="00CC0461">
              <w:rPr>
                <w:color w:val="000000"/>
                <w:sz w:val="20"/>
                <w:szCs w:val="20"/>
              </w:rPr>
              <w:br/>
              <w:t>3. Standard practice control group.</w:t>
            </w:r>
            <w:r w:rsidRPr="00CC0461">
              <w:rPr>
                <w:color w:val="000000"/>
                <w:sz w:val="20"/>
                <w:szCs w:val="20"/>
              </w:rPr>
              <w:br/>
              <w:t xml:space="preserve">The intervention resulted in little difference in test ordering outcomes (risk difference for bone mineral density 10.6% and 18.1%, respectively) and for osteoporosis medicine prescribing rates (2.7% and 3.4%, respectively). </w:t>
            </w:r>
            <w:r w:rsidRPr="00CC0461">
              <w:rPr>
                <w:color w:val="000000"/>
                <w:sz w:val="20"/>
                <w:szCs w:val="20"/>
              </w:rPr>
              <w:br/>
            </w:r>
            <w:r w:rsidRPr="00CC0461">
              <w:rPr>
                <w:color w:val="000000"/>
                <w:sz w:val="20"/>
                <w:szCs w:val="20"/>
              </w:rPr>
              <w:br/>
            </w:r>
            <w:r w:rsidRPr="00CC0461">
              <w:rPr>
                <w:b/>
                <w:bCs/>
                <w:color w:val="000000"/>
                <w:sz w:val="20"/>
                <w:szCs w:val="20"/>
              </w:rPr>
              <w:t xml:space="preserve">Majumdar et al. </w:t>
            </w:r>
            <w:r w:rsidRPr="00CC0461">
              <w:rPr>
                <w:b/>
                <w:bCs/>
                <w:i/>
                <w:color w:val="000000"/>
                <w:sz w:val="20"/>
                <w:szCs w:val="20"/>
              </w:rPr>
              <w:t>Ann Intern Med</w:t>
            </w:r>
            <w:r w:rsidRPr="00CC0461">
              <w:rPr>
                <w:b/>
                <w:bCs/>
                <w:color w:val="000000"/>
                <w:sz w:val="20"/>
                <w:szCs w:val="20"/>
              </w:rPr>
              <w:t xml:space="preserve"> 2004;141:366–73.</w:t>
            </w:r>
            <w:r w:rsidRPr="00CC0461">
              <w:rPr>
                <w:color w:val="000000"/>
                <w:sz w:val="20"/>
                <w:szCs w:val="20"/>
              </w:rPr>
              <w:br/>
              <w:t>Professional intervention (distribution of educational materials + reminders) + patient mediated (educational materials + verbal education). Results showed a significant improvement in bone mineral density test ordering, with an absolute change of 44.8% (p &lt; 0.001).</w:t>
            </w:r>
            <w:r w:rsidRPr="00CC0461">
              <w:rPr>
                <w:color w:val="000000"/>
                <w:sz w:val="20"/>
                <w:szCs w:val="20"/>
              </w:rPr>
              <w:br/>
            </w:r>
            <w:r w:rsidRPr="00CC0461">
              <w:rPr>
                <w:b/>
                <w:bCs/>
                <w:color w:val="000000"/>
                <w:sz w:val="20"/>
                <w:szCs w:val="20"/>
              </w:rPr>
              <w:br/>
              <w:t xml:space="preserve">Majumdar et al. </w:t>
            </w:r>
            <w:r w:rsidRPr="00CC0461">
              <w:rPr>
                <w:b/>
                <w:bCs/>
                <w:i/>
                <w:color w:val="000000"/>
                <w:sz w:val="20"/>
                <w:szCs w:val="20"/>
              </w:rPr>
              <w:t>Can Med Assoc J</w:t>
            </w:r>
            <w:r w:rsidRPr="00CC0461">
              <w:rPr>
                <w:b/>
                <w:bCs/>
                <w:color w:val="000000"/>
                <w:sz w:val="20"/>
                <w:szCs w:val="20"/>
              </w:rPr>
              <w:t xml:space="preserve"> 2008;178:569–75.</w:t>
            </w:r>
            <w:r w:rsidRPr="00CC0461">
              <w:rPr>
                <w:color w:val="000000"/>
                <w:sz w:val="20"/>
                <w:szCs w:val="20"/>
              </w:rPr>
              <w:br/>
              <w:t>Professional intervention (distribution of educational materials + reminder) + patient mediated (education and counselling via telephone). Results showed a significant improvement in bone mineral density test ordering, with an absolute change of 34.0% (p &lt; 0.001).</w:t>
            </w:r>
            <w:r w:rsidRPr="00CC0461">
              <w:rPr>
                <w:color w:val="000000"/>
                <w:sz w:val="20"/>
                <w:szCs w:val="20"/>
              </w:rPr>
              <w:br/>
            </w:r>
            <w:r w:rsidRPr="00CC0461">
              <w:rPr>
                <w:b/>
                <w:bCs/>
                <w:color w:val="000000"/>
                <w:sz w:val="20"/>
                <w:szCs w:val="20"/>
              </w:rPr>
              <w:br/>
              <w:t xml:space="preserve">Prihar et al. </w:t>
            </w:r>
            <w:r w:rsidRPr="00CC0461">
              <w:rPr>
                <w:b/>
                <w:bCs/>
                <w:i/>
                <w:color w:val="000000"/>
                <w:sz w:val="20"/>
                <w:szCs w:val="20"/>
              </w:rPr>
              <w:t>J Am Geriatrics Society</w:t>
            </w:r>
            <w:r w:rsidRPr="00CC0461">
              <w:rPr>
                <w:b/>
                <w:bCs/>
                <w:color w:val="000000"/>
                <w:sz w:val="20"/>
                <w:szCs w:val="20"/>
              </w:rPr>
              <w:t xml:space="preserve"> 2008;56:961–2</w:t>
            </w:r>
            <w:r w:rsidRPr="00CC0461">
              <w:rPr>
                <w:color w:val="000000"/>
                <w:sz w:val="20"/>
                <w:szCs w:val="20"/>
              </w:rPr>
              <w:t>.</w:t>
            </w:r>
            <w:r w:rsidRPr="00CC0461">
              <w:rPr>
                <w:color w:val="000000"/>
                <w:sz w:val="20"/>
                <w:szCs w:val="20"/>
              </w:rPr>
              <w:br/>
              <w:t>Patient mediated (educational materials) + professional intervention (distribution of educational materials: poster).</w:t>
            </w:r>
            <w:r w:rsidRPr="00CC0461">
              <w:rPr>
                <w:color w:val="000000"/>
                <w:sz w:val="20"/>
                <w:szCs w:val="20"/>
              </w:rPr>
              <w:br/>
              <w:t>Results showed a difference in absolute change from baseline was a 9.4% improvement in bone mineral density test ordering.</w:t>
            </w:r>
            <w:r w:rsidRPr="00CC0461">
              <w:rPr>
                <w:color w:val="000000"/>
                <w:sz w:val="20"/>
                <w:szCs w:val="20"/>
              </w:rPr>
              <w:br/>
            </w:r>
            <w:r w:rsidRPr="00CC0461">
              <w:rPr>
                <w:color w:val="000000"/>
                <w:sz w:val="20"/>
                <w:szCs w:val="20"/>
              </w:rPr>
              <w:br/>
            </w:r>
            <w:r w:rsidRPr="00CC0461">
              <w:rPr>
                <w:b/>
                <w:bCs/>
                <w:color w:val="000000"/>
                <w:sz w:val="20"/>
                <w:szCs w:val="20"/>
              </w:rPr>
              <w:t xml:space="preserve">Schectman et al. </w:t>
            </w:r>
            <w:r w:rsidRPr="00CC0461">
              <w:rPr>
                <w:b/>
                <w:bCs/>
                <w:i/>
                <w:color w:val="000000"/>
                <w:sz w:val="20"/>
                <w:szCs w:val="20"/>
              </w:rPr>
              <w:t>J Gen Intern Med</w:t>
            </w:r>
            <w:r w:rsidRPr="00CC0461">
              <w:rPr>
                <w:b/>
                <w:bCs/>
                <w:color w:val="000000"/>
                <w:sz w:val="20"/>
                <w:szCs w:val="20"/>
              </w:rPr>
              <w:t xml:space="preserve"> 2003;18:773–80.</w:t>
            </w:r>
            <w:r w:rsidRPr="00CC0461">
              <w:rPr>
                <w:color w:val="000000"/>
                <w:sz w:val="20"/>
                <w:szCs w:val="20"/>
              </w:rPr>
              <w:br/>
              <w:t xml:space="preserve">1. Professional intervention (distribution of educational materials + educational meeting (including local </w:t>
            </w:r>
            <w:r w:rsidRPr="00CC0461">
              <w:rPr>
                <w:color w:val="000000"/>
                <w:sz w:val="20"/>
                <w:szCs w:val="20"/>
              </w:rPr>
              <w:lastRenderedPageBreak/>
              <w:t>opinion leader) + audit and feedback.</w:t>
            </w:r>
            <w:r w:rsidRPr="00CC0461">
              <w:rPr>
                <w:color w:val="000000"/>
                <w:sz w:val="20"/>
                <w:szCs w:val="20"/>
              </w:rPr>
              <w:br/>
              <w:t>2. Patient mediated (education materials: pamphlet and video).</w:t>
            </w:r>
          </w:p>
          <w:p w14:paraId="2613716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3. (1 + 2).</w:t>
            </w:r>
            <w:r w:rsidRPr="00CC0461">
              <w:rPr>
                <w:color w:val="000000"/>
                <w:sz w:val="20"/>
                <w:szCs w:val="20"/>
              </w:rPr>
              <w:br/>
              <w:t xml:space="preserve">The outcome measures were the proportion of lumbar plain X-rays, CT or MRI consistent with guideline within 2 months. Results showed an absolute change of –1.0 (UAE) for lumbar X-ray, 1.5 (UAE) for lumbar CT or MRI, 0.5 (UAE) for lumbar </w:t>
            </w:r>
          </w:p>
          <w:p w14:paraId="52F230C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X-ray not consistent with guidelines, and 1.9 for lumbar CT or MRI not consistent with guidelines. The median effect size was 1.</w:t>
            </w:r>
            <w:r w:rsidRPr="00CC0461">
              <w:rPr>
                <w:color w:val="000000"/>
                <w:sz w:val="20"/>
                <w:szCs w:val="20"/>
              </w:rPr>
              <w:br/>
            </w:r>
            <w:r w:rsidRPr="00CC0461">
              <w:rPr>
                <w:color w:val="000000"/>
                <w:sz w:val="20"/>
                <w:szCs w:val="20"/>
              </w:rPr>
              <w:br/>
            </w:r>
            <w:r w:rsidRPr="00CC0461">
              <w:rPr>
                <w:b/>
                <w:bCs/>
                <w:color w:val="000000"/>
                <w:sz w:val="20"/>
                <w:szCs w:val="20"/>
              </w:rPr>
              <w:t xml:space="preserve">Solomon et al. </w:t>
            </w:r>
            <w:r w:rsidRPr="00CC0461">
              <w:rPr>
                <w:b/>
                <w:bCs/>
                <w:i/>
                <w:color w:val="000000"/>
                <w:sz w:val="20"/>
                <w:szCs w:val="20"/>
              </w:rPr>
              <w:t>J Bone Miner Res</w:t>
            </w:r>
            <w:r w:rsidRPr="00CC0461">
              <w:rPr>
                <w:b/>
                <w:bCs/>
                <w:color w:val="000000"/>
                <w:sz w:val="20"/>
                <w:szCs w:val="20"/>
              </w:rPr>
              <w:t xml:space="preserve"> 2007;22:1808–15.</w:t>
            </w:r>
            <w:r w:rsidRPr="00CC0461">
              <w:rPr>
                <w:color w:val="000000"/>
                <w:sz w:val="20"/>
                <w:szCs w:val="20"/>
              </w:rPr>
              <w:br/>
              <w:t>1. Professional intervention (distribution of educational materials + educational outreach).</w:t>
            </w:r>
            <w:r w:rsidRPr="00CC0461">
              <w:rPr>
                <w:color w:val="000000"/>
                <w:sz w:val="20"/>
                <w:szCs w:val="20"/>
              </w:rPr>
              <w:br/>
              <w:t>2. Patient mediated (education materials).</w:t>
            </w:r>
            <w:r w:rsidRPr="00CC0461">
              <w:rPr>
                <w:color w:val="000000"/>
                <w:sz w:val="20"/>
                <w:szCs w:val="20"/>
              </w:rPr>
              <w:br/>
              <w:t>This study investigated the number of patients who began osteoporosis medicine or had a bone mineral density test within 12 months; and any medicine use. Authors reported a non-significant deterioration in test ordering (absolute percentage change –1.8, non-significant).</w:t>
            </w:r>
            <w:r w:rsidRPr="00CC0461">
              <w:rPr>
                <w:color w:val="000000"/>
                <w:sz w:val="20"/>
                <w:szCs w:val="20"/>
              </w:rPr>
              <w:br/>
            </w:r>
            <w:r w:rsidRPr="00CC0461">
              <w:rPr>
                <w:b/>
                <w:bCs/>
                <w:color w:val="000000"/>
                <w:sz w:val="20"/>
                <w:szCs w:val="20"/>
              </w:rPr>
              <w:br/>
              <w:t xml:space="preserve">Solomon et al. </w:t>
            </w:r>
            <w:r w:rsidRPr="00CC0461">
              <w:rPr>
                <w:b/>
                <w:bCs/>
                <w:i/>
                <w:color w:val="000000"/>
                <w:sz w:val="20"/>
                <w:szCs w:val="20"/>
              </w:rPr>
              <w:t>J Gen Intern Med</w:t>
            </w:r>
            <w:r w:rsidRPr="00CC0461">
              <w:rPr>
                <w:b/>
                <w:bCs/>
                <w:color w:val="000000"/>
                <w:sz w:val="20"/>
                <w:szCs w:val="20"/>
              </w:rPr>
              <w:t xml:space="preserve"> 2007;22:362–7.</w:t>
            </w:r>
            <w:r w:rsidRPr="00CC0461">
              <w:rPr>
                <w:color w:val="000000"/>
                <w:sz w:val="20"/>
                <w:szCs w:val="20"/>
              </w:rPr>
              <w:br/>
              <w:t>1. Professional intervention (distribution of educational materials + educational outreach + reminder) + patient mediated (education via automated telephone call). Significant improvement in bone mineral density test ordering, with an absolute change of 3.8% (p = 0.01).</w:t>
            </w:r>
          </w:p>
        </w:tc>
        <w:tc>
          <w:tcPr>
            <w:tcW w:w="1092" w:type="pct"/>
            <w:tcBorders>
              <w:top w:val="single" w:sz="18" w:space="0" w:color="B66113"/>
              <w:bottom w:val="single" w:sz="18" w:space="0" w:color="B66113"/>
            </w:tcBorders>
            <w:hideMark/>
          </w:tcPr>
          <w:p w14:paraId="3046B45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Overall, results from individual studies showed that educational interventions with a patient component can significantly reduce bone mineral density test ordering, </w:t>
            </w:r>
          </w:p>
        </w:tc>
      </w:tr>
      <w:tr w:rsidR="00C9672D" w:rsidRPr="00CC0461" w14:paraId="2F55C79D" w14:textId="77777777" w:rsidTr="00C9672D">
        <w:trPr>
          <w:trHeight w:val="300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noWrap/>
            <w:hideMark/>
          </w:tcPr>
          <w:p w14:paraId="07A5D582"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Jenkins HJ (2015)</w:t>
            </w:r>
          </w:p>
        </w:tc>
        <w:tc>
          <w:tcPr>
            <w:tcW w:w="3089" w:type="pct"/>
            <w:tcBorders>
              <w:top w:val="single" w:sz="18" w:space="0" w:color="B66113"/>
              <w:bottom w:val="single" w:sz="18" w:space="0" w:color="B66113"/>
            </w:tcBorders>
            <w:hideMark/>
          </w:tcPr>
          <w:p w14:paraId="7FFCA41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color w:val="000000"/>
                <w:sz w:val="20"/>
                <w:szCs w:val="20"/>
              </w:rPr>
              <w:t xml:space="preserve">Schectman et al. </w:t>
            </w:r>
            <w:r w:rsidRPr="00CC0461">
              <w:rPr>
                <w:b/>
                <w:i/>
                <w:color w:val="000000"/>
                <w:sz w:val="20"/>
                <w:szCs w:val="20"/>
              </w:rPr>
              <w:t>J Gen Intern Med</w:t>
            </w:r>
            <w:r w:rsidRPr="00CC0461">
              <w:rPr>
                <w:b/>
                <w:color w:val="000000"/>
                <w:sz w:val="20"/>
                <w:szCs w:val="20"/>
              </w:rPr>
              <w:t xml:space="preserve"> 2003;18:773–80.</w:t>
            </w:r>
            <w:r w:rsidRPr="00CC0461">
              <w:rPr>
                <w:color w:val="000000"/>
                <w:sz w:val="20"/>
                <w:szCs w:val="20"/>
              </w:rPr>
              <w:br/>
              <w:t>1. Professional intervention (distribution of educational materials + educational meeting (including local opinion leader) + audit and feedback.</w:t>
            </w:r>
            <w:r w:rsidRPr="00CC0461">
              <w:rPr>
                <w:color w:val="000000"/>
                <w:sz w:val="20"/>
                <w:szCs w:val="20"/>
              </w:rPr>
              <w:br/>
              <w:t>2. Patient mediated (education materials: pamphlet and video).</w:t>
            </w:r>
            <w:r w:rsidRPr="00CC0461">
              <w:rPr>
                <w:color w:val="000000"/>
                <w:sz w:val="20"/>
                <w:szCs w:val="20"/>
              </w:rPr>
              <w:br/>
              <w:t>3. (1 + 2).</w:t>
            </w:r>
            <w:r w:rsidRPr="00CC0461">
              <w:rPr>
                <w:color w:val="000000"/>
                <w:sz w:val="20"/>
                <w:szCs w:val="20"/>
              </w:rPr>
              <w:br/>
              <w:t>The outcome measures were the proportion of lumbar plain X-rays, CT or MRI consistent with guideline within 12 months. Results showed a RR 1.1 (95% CI 0.8 to 1.4) for lumbar spine radiography, and RR 0.8 (95% CI 0.5 to 1.2) for lumbar spine CT or MRI for the intervention, with no effect size reported. The authors also reported referral to physical therapy (RR 0.8, 95% CI 0.6 to 1.1) and referral to specialist (RR 1.2, 95% CI 0.8 to 1.8) for the interventions; no effect size reported.</w:t>
            </w:r>
          </w:p>
        </w:tc>
        <w:tc>
          <w:tcPr>
            <w:tcW w:w="1092" w:type="pct"/>
            <w:tcBorders>
              <w:top w:val="single" w:sz="18" w:space="0" w:color="B66113"/>
              <w:bottom w:val="single" w:sz="18" w:space="0" w:color="B66113"/>
            </w:tcBorders>
            <w:hideMark/>
          </w:tcPr>
          <w:p w14:paraId="1A2F9AE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In the single included study the analysis did not adjust for clustering. It was concluded that a statistically significant decrease in imaging was not shown compared with the control group.</w:t>
            </w:r>
          </w:p>
        </w:tc>
      </w:tr>
      <w:tr w:rsidR="00C9672D" w:rsidRPr="00CC0461" w14:paraId="4C112993"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B66113"/>
              <w:bottom w:val="single" w:sz="18" w:space="0" w:color="B66113"/>
            </w:tcBorders>
            <w:hideMark/>
          </w:tcPr>
          <w:p w14:paraId="08D7A103"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3089" w:type="pct"/>
            <w:tcBorders>
              <w:top w:val="single" w:sz="18" w:space="0" w:color="B66113"/>
              <w:bottom w:val="single" w:sz="18" w:space="0" w:color="B66113"/>
            </w:tcBorders>
          </w:tcPr>
          <w:p w14:paraId="5348B4C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5356C">
              <w:rPr>
                <w:b/>
                <w:bCs/>
                <w:color w:val="000000"/>
                <w:sz w:val="20"/>
                <w:szCs w:val="20"/>
                <w:lang w:val="es-ES_tradnl"/>
              </w:rPr>
              <w:t xml:space="preserve">Lafata et al. </w:t>
            </w:r>
            <w:r w:rsidRPr="00C5356C">
              <w:rPr>
                <w:b/>
                <w:bCs/>
                <w:i/>
                <w:color w:val="000000"/>
                <w:sz w:val="20"/>
                <w:szCs w:val="20"/>
                <w:lang w:val="es-ES_tradnl"/>
              </w:rPr>
              <w:t>J Gen Intern Med</w:t>
            </w:r>
            <w:r w:rsidRPr="00C5356C">
              <w:rPr>
                <w:b/>
                <w:bCs/>
                <w:color w:val="000000"/>
                <w:sz w:val="20"/>
                <w:szCs w:val="20"/>
                <w:lang w:val="es-ES_tradnl"/>
              </w:rPr>
              <w:t xml:space="preserve"> 2007;22:346–51.</w:t>
            </w:r>
            <w:r w:rsidRPr="00C5356C">
              <w:rPr>
                <w:color w:val="000000"/>
                <w:sz w:val="20"/>
                <w:szCs w:val="20"/>
                <w:lang w:val="es-ES_tradnl"/>
              </w:rPr>
              <w:br/>
            </w:r>
            <w:r w:rsidRPr="00CC0461">
              <w:rPr>
                <w:color w:val="000000"/>
                <w:sz w:val="20"/>
                <w:szCs w:val="20"/>
              </w:rPr>
              <w:t>1. Patient-directed component (educational material on osteoporosis).</w:t>
            </w:r>
            <w:r w:rsidRPr="00CC0461">
              <w:rPr>
                <w:color w:val="000000"/>
                <w:sz w:val="20"/>
                <w:szCs w:val="20"/>
              </w:rPr>
              <w:br/>
              <w:t>2. Patient-directed (educational material on osteoporosis) + physician prompt/reminder (reminder on electronic medical record and biweekly letter to physician listing patients needing treatment).</w:t>
            </w:r>
            <w:r w:rsidRPr="00CC0461">
              <w:rPr>
                <w:color w:val="000000"/>
                <w:sz w:val="20"/>
                <w:szCs w:val="20"/>
              </w:rPr>
              <w:br/>
              <w:t>3. Standard practice control group.</w:t>
            </w:r>
            <w:r w:rsidRPr="00CC0461">
              <w:rPr>
                <w:color w:val="000000"/>
                <w:sz w:val="20"/>
                <w:szCs w:val="20"/>
              </w:rPr>
              <w:br/>
              <w:t xml:space="preserve">The intervention resulted in little difference in test ordering outcomes (risk difference for bone mineral density test 10.6% and 18.1%, respectively) and for osteoporosis medicine prescribing rates (2.7% and 3.4%, respectively). </w:t>
            </w:r>
            <w:r w:rsidRPr="00CC0461">
              <w:rPr>
                <w:color w:val="000000"/>
                <w:sz w:val="20"/>
                <w:szCs w:val="20"/>
              </w:rPr>
              <w:br/>
            </w:r>
            <w:r w:rsidRPr="00CC0461">
              <w:rPr>
                <w:color w:val="000000"/>
                <w:sz w:val="20"/>
                <w:szCs w:val="20"/>
              </w:rPr>
              <w:br/>
            </w:r>
            <w:r w:rsidRPr="00CC0461">
              <w:rPr>
                <w:b/>
                <w:bCs/>
                <w:color w:val="000000"/>
                <w:sz w:val="20"/>
                <w:szCs w:val="20"/>
              </w:rPr>
              <w:t xml:space="preserve">Solomon et al. </w:t>
            </w:r>
            <w:r w:rsidRPr="00CC0461">
              <w:rPr>
                <w:b/>
                <w:bCs/>
                <w:i/>
                <w:color w:val="000000"/>
                <w:sz w:val="20"/>
                <w:szCs w:val="20"/>
              </w:rPr>
              <w:t>J Bone Miner Res</w:t>
            </w:r>
            <w:r w:rsidRPr="00CC0461">
              <w:rPr>
                <w:b/>
                <w:bCs/>
                <w:color w:val="000000"/>
                <w:sz w:val="20"/>
                <w:szCs w:val="20"/>
              </w:rPr>
              <w:t xml:space="preserve"> 2007;22:1808–15.</w:t>
            </w:r>
            <w:r w:rsidRPr="00CC0461">
              <w:rPr>
                <w:color w:val="000000"/>
                <w:sz w:val="20"/>
                <w:szCs w:val="20"/>
              </w:rPr>
              <w:br/>
              <w:t>1. Physician education by trained pharmacists or nurses (academic-detailing approach via outreach visits) + educational material and handouts for patients.</w:t>
            </w:r>
            <w:r w:rsidRPr="00CC0461">
              <w:rPr>
                <w:color w:val="000000"/>
                <w:sz w:val="20"/>
                <w:szCs w:val="20"/>
              </w:rPr>
              <w:br/>
              <w:t>2. Patient-directed component: 3 mailed letters with educational material and questions to ask the physician.</w:t>
            </w:r>
            <w:r w:rsidRPr="00CC0461">
              <w:rPr>
                <w:color w:val="000000"/>
                <w:sz w:val="20"/>
                <w:szCs w:val="20"/>
              </w:rPr>
              <w:br/>
              <w:t>This study evaluated the effect of a brief program of patient and/or GP education (academic detailing) and showed that the intervention resulted in no difference in the probability of the primary composite end-point (bone mineral density testing or osteoporosis medicine prescribing) between the usual care and intervention groups. Results varied. The RR for the patient and GP intervention was 1.04 (95% CI 0.85 to 1.26), for the GP-only intervention 0.70 (95% CI 0.56 to 0.86) and for the patient only intervention 0.90 (95% CI 0.73 to 1.10).</w:t>
            </w:r>
            <w:r w:rsidRPr="00CC0461">
              <w:rPr>
                <w:color w:val="000000"/>
                <w:sz w:val="20"/>
                <w:szCs w:val="20"/>
              </w:rPr>
              <w:br/>
            </w:r>
            <w:r w:rsidRPr="00CC0461">
              <w:rPr>
                <w:color w:val="000000"/>
                <w:sz w:val="20"/>
                <w:szCs w:val="20"/>
              </w:rPr>
              <w:br/>
            </w:r>
            <w:r w:rsidRPr="00CC0461">
              <w:rPr>
                <w:b/>
                <w:bCs/>
                <w:color w:val="000000"/>
                <w:sz w:val="20"/>
                <w:szCs w:val="20"/>
              </w:rPr>
              <w:t xml:space="preserve">Bishop et al. </w:t>
            </w:r>
            <w:r w:rsidRPr="00CC0461">
              <w:rPr>
                <w:b/>
                <w:bCs/>
                <w:i/>
                <w:color w:val="000000"/>
                <w:sz w:val="20"/>
                <w:szCs w:val="20"/>
              </w:rPr>
              <w:t>Spine J</w:t>
            </w:r>
            <w:r w:rsidRPr="00CC0461">
              <w:rPr>
                <w:b/>
                <w:bCs/>
                <w:color w:val="000000"/>
                <w:sz w:val="20"/>
                <w:szCs w:val="20"/>
              </w:rPr>
              <w:t xml:space="preserve"> 2006;6:282–8.</w:t>
            </w:r>
            <w:r w:rsidRPr="00CC0461">
              <w:rPr>
                <w:color w:val="000000"/>
                <w:sz w:val="20"/>
                <w:szCs w:val="20"/>
              </w:rPr>
              <w:br/>
              <w:t>An intervention with GP education (guidelines) and three patient-specific reminder letters to GPs vs GP and patient education and reminders vs a control group. Clinician adherence to the guidelines showed that the interventions may lead to little or no improvements (risk difference &lt; 5%).</w:t>
            </w:r>
            <w:r w:rsidRPr="00CC0461">
              <w:rPr>
                <w:color w:val="000000"/>
                <w:sz w:val="20"/>
                <w:szCs w:val="20"/>
              </w:rPr>
              <w:br/>
            </w:r>
            <w:r w:rsidRPr="00CC0461">
              <w:rPr>
                <w:color w:val="000000"/>
                <w:sz w:val="20"/>
                <w:szCs w:val="20"/>
              </w:rPr>
              <w:br/>
            </w:r>
            <w:r w:rsidRPr="00CC0461">
              <w:rPr>
                <w:b/>
                <w:bCs/>
                <w:color w:val="000000"/>
                <w:sz w:val="20"/>
                <w:szCs w:val="20"/>
              </w:rPr>
              <w:t xml:space="preserve">Schectman et al. </w:t>
            </w:r>
            <w:r w:rsidRPr="00CC0461">
              <w:rPr>
                <w:b/>
                <w:bCs/>
                <w:i/>
                <w:color w:val="000000"/>
                <w:sz w:val="20"/>
                <w:szCs w:val="20"/>
              </w:rPr>
              <w:t>J Gen Intern Med</w:t>
            </w:r>
            <w:r w:rsidRPr="00CC0461">
              <w:rPr>
                <w:b/>
                <w:bCs/>
                <w:color w:val="000000"/>
                <w:sz w:val="20"/>
                <w:szCs w:val="20"/>
              </w:rPr>
              <w:t xml:space="preserve"> 2003;18:773–80.</w:t>
            </w:r>
            <w:r w:rsidRPr="00CC0461">
              <w:rPr>
                <w:bCs/>
                <w:color w:val="000000"/>
                <w:sz w:val="20"/>
                <w:szCs w:val="20"/>
              </w:rPr>
              <w:br/>
            </w:r>
            <w:r w:rsidRPr="00CC0461">
              <w:rPr>
                <w:color w:val="000000"/>
                <w:sz w:val="20"/>
                <w:szCs w:val="20"/>
              </w:rPr>
              <w:t>1. Professional intervention (distribution of educational materials + educational meeting (including local opinion leader) + audit and feedback.</w:t>
            </w:r>
            <w:r w:rsidRPr="00CC0461">
              <w:rPr>
                <w:color w:val="000000"/>
                <w:sz w:val="20"/>
                <w:szCs w:val="20"/>
              </w:rPr>
              <w:br/>
              <w:t>2. Patient mediated (education materials: pamphlet and video).</w:t>
            </w:r>
            <w:r w:rsidRPr="00CC0461">
              <w:rPr>
                <w:color w:val="000000"/>
                <w:sz w:val="20"/>
                <w:szCs w:val="20"/>
              </w:rPr>
              <w:br/>
              <w:t>3. (1 + 2).</w:t>
            </w:r>
            <w:r w:rsidRPr="00CC0461">
              <w:rPr>
                <w:color w:val="000000"/>
                <w:sz w:val="20"/>
                <w:szCs w:val="20"/>
              </w:rPr>
              <w:br/>
              <w:t>The outcome measures were the proportion of lumbar plain X-rays, CT or MRI consistent with guideline within 12 months. Results showed an absolute change of –1.0 (UAE) for lumbar X-ray, 1.5 (UAE) for lumbar CT or MRI, 0.5 (UAE) for lumbar X-ray not consistent with guidelines, and 1.9 for lumbar CT or MRI not consistent with guidelines. The median effect size was 1.</w:t>
            </w:r>
            <w:r w:rsidRPr="00CC0461">
              <w:rPr>
                <w:color w:val="000000"/>
                <w:sz w:val="20"/>
                <w:szCs w:val="20"/>
              </w:rPr>
              <w:br/>
            </w:r>
            <w:r w:rsidRPr="00CC0461">
              <w:rPr>
                <w:color w:val="000000"/>
                <w:sz w:val="20"/>
                <w:szCs w:val="20"/>
              </w:rPr>
              <w:br/>
            </w:r>
            <w:r w:rsidRPr="00CC0461">
              <w:rPr>
                <w:b/>
                <w:color w:val="000000"/>
                <w:sz w:val="20"/>
                <w:szCs w:val="20"/>
              </w:rPr>
              <w:lastRenderedPageBreak/>
              <w:t xml:space="preserve">Feldstein et al. </w:t>
            </w:r>
            <w:r w:rsidRPr="00CC0461">
              <w:rPr>
                <w:b/>
                <w:i/>
                <w:color w:val="000000"/>
                <w:sz w:val="20"/>
                <w:szCs w:val="20"/>
              </w:rPr>
              <w:t>J Am Geriatr Soc</w:t>
            </w:r>
            <w:r w:rsidRPr="00CC0461">
              <w:rPr>
                <w:b/>
                <w:color w:val="000000"/>
                <w:sz w:val="20"/>
                <w:szCs w:val="20"/>
              </w:rPr>
              <w:t xml:space="preserve"> 2006;54:450–7.</w:t>
            </w:r>
            <w:r w:rsidRPr="00CC0461">
              <w:rPr>
                <w:color w:val="000000"/>
                <w:sz w:val="20"/>
                <w:szCs w:val="20"/>
              </w:rPr>
              <w:br/>
              <w:t>1. Professional intervention (reminders: electronic medical record message about patient’s risk of osteoporosis + distribution of education materials).</w:t>
            </w:r>
            <w:r w:rsidRPr="00CC0461">
              <w:rPr>
                <w:color w:val="000000"/>
                <w:sz w:val="20"/>
                <w:szCs w:val="20"/>
              </w:rPr>
              <w:br/>
              <w:t>2. Professional intervention (reminders + distribution of education materials) + patient mediated (education materials).</w:t>
            </w:r>
            <w:r w:rsidRPr="00CC0461">
              <w:rPr>
                <w:color w:val="000000"/>
                <w:sz w:val="20"/>
                <w:szCs w:val="20"/>
              </w:rPr>
              <w:br/>
              <w:t>Results showed a significant improvement in bone mineral density test ordering, with an absolute change of 34.6% (p &lt; 0.01).</w:t>
            </w:r>
            <w:r w:rsidRPr="00CC0461">
              <w:rPr>
                <w:color w:val="000000"/>
                <w:sz w:val="20"/>
                <w:szCs w:val="20"/>
              </w:rPr>
              <w:br/>
            </w:r>
            <w:r w:rsidRPr="00CC0461">
              <w:rPr>
                <w:color w:val="000000"/>
                <w:sz w:val="20"/>
                <w:szCs w:val="20"/>
              </w:rPr>
              <w:br/>
            </w:r>
            <w:r w:rsidRPr="00CC0461">
              <w:rPr>
                <w:b/>
                <w:color w:val="000000"/>
                <w:sz w:val="20"/>
                <w:szCs w:val="20"/>
              </w:rPr>
              <w:t xml:space="preserve">Majumdar et al. </w:t>
            </w:r>
            <w:r w:rsidRPr="00CC0461">
              <w:rPr>
                <w:b/>
                <w:i/>
                <w:color w:val="000000"/>
                <w:sz w:val="20"/>
                <w:szCs w:val="20"/>
              </w:rPr>
              <w:t>Ann Intern Med</w:t>
            </w:r>
            <w:r w:rsidRPr="00CC0461">
              <w:rPr>
                <w:b/>
                <w:color w:val="000000"/>
                <w:sz w:val="20"/>
                <w:szCs w:val="20"/>
              </w:rPr>
              <w:t xml:space="preserve"> 2004;141:366–73.</w:t>
            </w:r>
            <w:r w:rsidRPr="00CC0461">
              <w:rPr>
                <w:color w:val="000000"/>
                <w:sz w:val="20"/>
                <w:szCs w:val="20"/>
              </w:rPr>
              <w:br/>
              <w:t>Professional intervention (distribution of educational materials + reminders) + patient mediated (educational materials) + verbal education.</w:t>
            </w:r>
            <w:r w:rsidRPr="00CC0461">
              <w:rPr>
                <w:color w:val="000000"/>
                <w:sz w:val="20"/>
                <w:szCs w:val="20"/>
              </w:rPr>
              <w:br/>
              <w:t>Results showed a significant improvement in bone mineral density test ordering, with an absolute change of 44.8% (p &lt; 0.001).</w:t>
            </w:r>
          </w:p>
        </w:tc>
        <w:tc>
          <w:tcPr>
            <w:tcW w:w="1103" w:type="pct"/>
            <w:tcBorders>
              <w:top w:val="single" w:sz="18" w:space="0" w:color="B66113"/>
              <w:bottom w:val="single" w:sz="18" w:space="0" w:color="B66113"/>
            </w:tcBorders>
            <w:hideMark/>
          </w:tcPr>
          <w:p w14:paraId="274CE59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Adding a patient-directed component probably does not lead to a greater effect (RR 0.94, 95% CI 0.81 to 1.09; 2995 participants) for bone mineral density testing and RR 0.93 (95% CI 0.79 to 1.10; 2995 participants) for osteoporosis medicine.</w:t>
            </w:r>
          </w:p>
        </w:tc>
      </w:tr>
    </w:tbl>
    <w:p w14:paraId="4974C411" w14:textId="77777777" w:rsidR="00C9672D" w:rsidRPr="00CC0461" w:rsidRDefault="00C9672D" w:rsidP="00C9672D">
      <w:pPr>
        <w:rPr>
          <w:rFonts w:ascii="Arial Narrow" w:hAnsi="Arial Narrow"/>
          <w:sz w:val="20"/>
          <w:szCs w:val="20"/>
        </w:rPr>
      </w:pPr>
    </w:p>
    <w:p w14:paraId="1F92ADF3" w14:textId="77777777" w:rsidR="00C9672D" w:rsidRPr="00CC0461" w:rsidRDefault="00C9672D" w:rsidP="00C9672D">
      <w:pPr>
        <w:pStyle w:val="Figure"/>
        <w:keepNext/>
        <w:keepLines/>
        <w:rPr>
          <w:rStyle w:val="Bold"/>
          <w:rFonts w:ascii="Arial Narrow" w:hAnsi="Arial Narrow"/>
          <w:sz w:val="20"/>
          <w:szCs w:val="20"/>
        </w:rPr>
      </w:pPr>
      <w:r w:rsidRPr="00CC0461">
        <w:rPr>
          <w:rStyle w:val="Bold"/>
          <w:rFonts w:ascii="Arial Narrow" w:hAnsi="Arial Narrow"/>
          <w:sz w:val="20"/>
          <w:szCs w:val="20"/>
        </w:rPr>
        <w:lastRenderedPageBreak/>
        <w:t>Table 5. Key findings on audit and feedback</w:t>
      </w:r>
    </w:p>
    <w:tbl>
      <w:tblPr>
        <w:tblStyle w:val="TableNPSstandard"/>
        <w:tblW w:w="5010" w:type="pct"/>
        <w:tblInd w:w="142" w:type="dxa"/>
        <w:tblLayout w:type="fixed"/>
        <w:tblLook w:val="06A0" w:firstRow="1" w:lastRow="0" w:firstColumn="1" w:lastColumn="0" w:noHBand="1" w:noVBand="1"/>
        <w:tblCaption w:val="Table 5, Key findings on audit and feedback"/>
        <w:tblDescription w:val="This table has three columns, column 1 being first author (year), column 2 'findings of key studies in the review' and column 3 'result summary'"/>
      </w:tblPr>
      <w:tblGrid>
        <w:gridCol w:w="1930"/>
        <w:gridCol w:w="8100"/>
        <w:gridCol w:w="4543"/>
        <w:gridCol w:w="26"/>
      </w:tblGrid>
      <w:tr w:rsidR="00C9672D" w:rsidRPr="00CC0461" w14:paraId="689B7044" w14:textId="77777777" w:rsidTr="008D10A5">
        <w:trPr>
          <w:cnfStyle w:val="100000000000" w:firstRow="1" w:lastRow="0" w:firstColumn="0" w:lastColumn="0" w:oddVBand="0" w:evenVBand="0" w:oddHBand="0" w:evenHBand="0" w:firstRowFirstColumn="0" w:firstRowLastColumn="0" w:lastRowFirstColumn="0" w:lastRowLastColumn="0"/>
          <w:trHeight w:val="190"/>
          <w:tblHeader/>
        </w:trPr>
        <w:tc>
          <w:tcPr>
            <w:cnfStyle w:val="001000000000" w:firstRow="0" w:lastRow="0" w:firstColumn="1" w:lastColumn="0" w:oddVBand="0" w:evenVBand="0" w:oddHBand="0" w:evenHBand="0" w:firstRowFirstColumn="0" w:firstRowLastColumn="0" w:lastRowFirstColumn="0" w:lastRowLastColumn="0"/>
            <w:tcW w:w="661" w:type="pct"/>
            <w:noWrap/>
            <w:hideMark/>
          </w:tcPr>
          <w:p w14:paraId="5927FAB9"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2774" w:type="pct"/>
            <w:noWrap/>
            <w:hideMark/>
          </w:tcPr>
          <w:p w14:paraId="6DCA74EE"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Findings of key studies in the review</w:t>
            </w:r>
          </w:p>
        </w:tc>
        <w:tc>
          <w:tcPr>
            <w:tcW w:w="1565" w:type="pct"/>
            <w:gridSpan w:val="2"/>
            <w:hideMark/>
          </w:tcPr>
          <w:p w14:paraId="0AF4B39E"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 summary</w:t>
            </w:r>
          </w:p>
        </w:tc>
      </w:tr>
      <w:tr w:rsidR="00C9672D" w:rsidRPr="00CC0461" w14:paraId="605D75E6" w14:textId="77777777" w:rsidTr="00C9672D">
        <w:trPr>
          <w:gridAfter w:val="1"/>
          <w:wAfter w:w="9" w:type="pct"/>
          <w:trHeight w:val="3458"/>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2E2EBF90" w14:textId="77777777" w:rsidR="00C9672D" w:rsidRPr="00CC0461" w:rsidRDefault="00C9672D" w:rsidP="00C9672D">
            <w:pPr>
              <w:spacing w:before="0" w:line="240" w:lineRule="auto"/>
              <w:rPr>
                <w:color w:val="000000"/>
                <w:sz w:val="20"/>
                <w:szCs w:val="20"/>
              </w:rPr>
            </w:pPr>
            <w:r w:rsidRPr="00CC0461">
              <w:rPr>
                <w:color w:val="000000"/>
                <w:sz w:val="20"/>
                <w:szCs w:val="20"/>
              </w:rPr>
              <w:t>Colla CH (2016)</w:t>
            </w:r>
          </w:p>
        </w:tc>
        <w:tc>
          <w:tcPr>
            <w:tcW w:w="2774" w:type="pct"/>
            <w:tcBorders>
              <w:top w:val="single" w:sz="18" w:space="0" w:color="B66113"/>
              <w:bottom w:val="single" w:sz="18" w:space="0" w:color="B66113"/>
            </w:tcBorders>
            <w:hideMark/>
          </w:tcPr>
          <w:p w14:paraId="5277CF8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Chinnaiyan et al.</w:t>
            </w:r>
            <w:r w:rsidRPr="00CC0461">
              <w:rPr>
                <w:sz w:val="20"/>
                <w:szCs w:val="20"/>
              </w:rPr>
              <w:t xml:space="preserve"> </w:t>
            </w:r>
            <w:r w:rsidRPr="00CC0461">
              <w:rPr>
                <w:b/>
                <w:bCs/>
                <w:i/>
                <w:color w:val="000000"/>
                <w:sz w:val="20"/>
                <w:szCs w:val="20"/>
              </w:rPr>
              <w:t>J Am Coll Cardiol</w:t>
            </w:r>
            <w:r w:rsidRPr="00CC0461">
              <w:rPr>
                <w:b/>
                <w:bCs/>
                <w:color w:val="000000"/>
                <w:sz w:val="20"/>
                <w:szCs w:val="20"/>
              </w:rPr>
              <w:t xml:space="preserve"> 2012;60:1185–91.</w:t>
            </w:r>
            <w:r w:rsidRPr="00CC0461">
              <w:rPr>
                <w:color w:val="000000"/>
                <w:sz w:val="20"/>
                <w:szCs w:val="20"/>
              </w:rPr>
              <w:br/>
              <w:t>In a multicentre study with a 6-month follow-up, didactic sessions and letters to physicians, results showed an improvement in the reduction of inappropriate cardiac testing (OR 0.36, CI% 0.31 to 0.43]. Appropriate use of scans increased from 61.3% to 80.0% and inappropriate use decreased from 14.6% to 5.8%.</w:t>
            </w:r>
            <w:r w:rsidRPr="00CC0461">
              <w:rPr>
                <w:color w:val="000000"/>
                <w:sz w:val="20"/>
                <w:szCs w:val="20"/>
              </w:rPr>
              <w:br/>
            </w:r>
            <w:r w:rsidRPr="00CC0461">
              <w:rPr>
                <w:color w:val="000000"/>
                <w:sz w:val="20"/>
                <w:szCs w:val="20"/>
              </w:rPr>
              <w:br/>
            </w:r>
            <w:r w:rsidRPr="00CC0461">
              <w:rPr>
                <w:b/>
                <w:bCs/>
                <w:color w:val="000000"/>
                <w:sz w:val="20"/>
                <w:szCs w:val="20"/>
              </w:rPr>
              <w:t xml:space="preserve">Ruangkanchanasetr S. </w:t>
            </w:r>
            <w:r w:rsidRPr="00CC0461">
              <w:rPr>
                <w:b/>
                <w:bCs/>
                <w:i/>
                <w:color w:val="000000"/>
                <w:sz w:val="20"/>
                <w:szCs w:val="20"/>
              </w:rPr>
              <w:t xml:space="preserve">J Med Assoc Thai </w:t>
            </w:r>
            <w:r w:rsidRPr="00CC0461">
              <w:rPr>
                <w:b/>
                <w:bCs/>
                <w:color w:val="000000"/>
                <w:sz w:val="20"/>
                <w:szCs w:val="20"/>
              </w:rPr>
              <w:t>1993;76:194–208.</w:t>
            </w:r>
            <w:r w:rsidRPr="00CC0461">
              <w:rPr>
                <w:color w:val="000000"/>
                <w:sz w:val="20"/>
                <w:szCs w:val="20"/>
              </w:rPr>
              <w:br/>
              <w:t>Implementation of clinician education combined with audit and feedback improved overall appropriateness scores for laboratory test orders in another study. However, while over-utilisation decreased, underutilisation increased, suggesting that volumes of test orders were being reduced regardless of value.</w:t>
            </w:r>
            <w:r w:rsidRPr="00CC0461">
              <w:rPr>
                <w:color w:val="000000"/>
                <w:sz w:val="20"/>
                <w:szCs w:val="20"/>
              </w:rPr>
              <w:br/>
            </w:r>
            <w:r w:rsidRPr="00CC0461">
              <w:rPr>
                <w:color w:val="000000"/>
                <w:sz w:val="20"/>
                <w:szCs w:val="20"/>
              </w:rPr>
              <w:br/>
            </w:r>
            <w:r w:rsidRPr="00CC0461">
              <w:rPr>
                <w:b/>
                <w:bCs/>
                <w:color w:val="000000"/>
                <w:sz w:val="20"/>
                <w:szCs w:val="20"/>
              </w:rPr>
              <w:t xml:space="preserve">Miyakis et al. </w:t>
            </w:r>
            <w:r w:rsidRPr="00CC0461">
              <w:rPr>
                <w:b/>
                <w:bCs/>
                <w:i/>
                <w:color w:val="000000"/>
                <w:sz w:val="20"/>
                <w:szCs w:val="20"/>
              </w:rPr>
              <w:t>Postgrad Med</w:t>
            </w:r>
            <w:r w:rsidRPr="00CC0461">
              <w:rPr>
                <w:b/>
                <w:bCs/>
                <w:color w:val="000000"/>
                <w:sz w:val="20"/>
                <w:szCs w:val="20"/>
              </w:rPr>
              <w:t xml:space="preserve"> 2006;82:823</w:t>
            </w:r>
            <w:r w:rsidRPr="00CC0461">
              <w:rPr>
                <w:rFonts w:cs="Arial"/>
                <w:b/>
                <w:bCs/>
                <w:color w:val="000000"/>
                <w:sz w:val="20"/>
                <w:szCs w:val="20"/>
              </w:rPr>
              <w:t>–</w:t>
            </w:r>
            <w:r w:rsidRPr="00CC0461">
              <w:rPr>
                <w:b/>
                <w:bCs/>
                <w:color w:val="000000"/>
                <w:sz w:val="20"/>
                <w:szCs w:val="20"/>
              </w:rPr>
              <w:t>9.</w:t>
            </w:r>
            <w:r w:rsidRPr="00CC0461">
              <w:rPr>
                <w:color w:val="000000"/>
                <w:sz w:val="20"/>
                <w:szCs w:val="20"/>
              </w:rPr>
              <w:t xml:space="preserve"> </w:t>
            </w:r>
            <w:r w:rsidRPr="00CC0461">
              <w:rPr>
                <w:color w:val="000000"/>
                <w:sz w:val="20"/>
                <w:szCs w:val="20"/>
              </w:rPr>
              <w:br/>
              <w:t>After an assessment on the usefulness of 25 tests was presented to medical staff, followed by a discussion of how to reduce unnecessary tests, use of avoidable tests decreased from 2.01 to 1.58 tests/patient/day after the intervention, though test orders increased to previous levels in the semester after the intervention, a 13.5% reduction in ordering of tests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Sorita et al. </w:t>
            </w:r>
            <w:r w:rsidRPr="00CC0461">
              <w:rPr>
                <w:b/>
                <w:bCs/>
                <w:i/>
                <w:color w:val="000000"/>
                <w:sz w:val="20"/>
                <w:szCs w:val="20"/>
              </w:rPr>
              <w:t xml:space="preserve">J Hosp Med </w:t>
            </w:r>
            <w:r w:rsidRPr="00CC0461">
              <w:rPr>
                <w:b/>
                <w:bCs/>
                <w:color w:val="000000"/>
                <w:sz w:val="20"/>
                <w:szCs w:val="20"/>
              </w:rPr>
              <w:t>2014;9:13–8.</w:t>
            </w:r>
            <w:r w:rsidRPr="00CC0461">
              <w:rPr>
                <w:bCs/>
                <w:color w:val="000000"/>
                <w:sz w:val="20"/>
                <w:szCs w:val="20"/>
              </w:rPr>
              <w:br/>
            </w:r>
            <w:r w:rsidRPr="00CC0461">
              <w:rPr>
                <w:color w:val="000000"/>
                <w:sz w:val="20"/>
                <w:szCs w:val="20"/>
              </w:rPr>
              <w:t xml:space="preserve">Feedback to residents including individual meetings, phone calls, and emails from direct supervisors has been shown to significantly decrease laboratory test orders.  </w:t>
            </w:r>
            <w:r w:rsidRPr="00CC0461">
              <w:rPr>
                <w:color w:val="000000"/>
                <w:sz w:val="20"/>
                <w:szCs w:val="20"/>
              </w:rPr>
              <w:br/>
              <w:t xml:space="preserve"> </w:t>
            </w:r>
            <w:r w:rsidRPr="00CC0461">
              <w:rPr>
                <w:color w:val="000000"/>
                <w:sz w:val="20"/>
                <w:szCs w:val="20"/>
              </w:rPr>
              <w:br/>
            </w:r>
            <w:r w:rsidRPr="00CC0461">
              <w:rPr>
                <w:b/>
                <w:bCs/>
                <w:color w:val="000000"/>
                <w:sz w:val="20"/>
                <w:szCs w:val="20"/>
              </w:rPr>
              <w:t>Thomas et al</w:t>
            </w:r>
            <w:r w:rsidRPr="00CC0461">
              <w:rPr>
                <w:b/>
                <w:bCs/>
                <w:i/>
                <w:color w:val="000000"/>
                <w:sz w:val="20"/>
                <w:szCs w:val="20"/>
              </w:rPr>
              <w:t>. Lancet</w:t>
            </w:r>
            <w:r w:rsidRPr="00CC0461">
              <w:rPr>
                <w:b/>
                <w:bCs/>
                <w:color w:val="000000"/>
                <w:sz w:val="20"/>
                <w:szCs w:val="20"/>
              </w:rPr>
              <w:t xml:space="preserve"> 2006;367:1990–6.</w:t>
            </w:r>
            <w:r w:rsidRPr="00CC0461">
              <w:rPr>
                <w:color w:val="000000"/>
                <w:sz w:val="20"/>
                <w:szCs w:val="20"/>
              </w:rPr>
              <w:br/>
              <w:t>Provided practice-level feedback in the form of a booklet with data for targeted overused tests compared with regional rates. Feedback alone reduced overuse for nine tests (significantly for four), and when combined with educational reminders, reduced total requests by 22%. Feedback led to greater reductions in the number of laboratory tests ordered compared with reminders although the model-based analyses suggested similar effects (adjusted change relative to baseline performance in audit and feedback arm: 12%; OR for feedback 0.87, 95% CI 0.81 to 0.94; OR for reminders 0.89, 95% CI 0.83 to 0.93).</w:t>
            </w:r>
          </w:p>
        </w:tc>
        <w:tc>
          <w:tcPr>
            <w:tcW w:w="1556" w:type="pct"/>
            <w:tcBorders>
              <w:top w:val="single" w:sz="18" w:space="0" w:color="B66113"/>
              <w:bottom w:val="single" w:sz="18" w:space="0" w:color="B66113"/>
            </w:tcBorders>
            <w:hideMark/>
          </w:tcPr>
          <w:p w14:paraId="596059A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While over-utilisation decreased, underutilisation increased, suggesting that volumes of test orders were being reduced regardless of value.</w:t>
            </w:r>
          </w:p>
        </w:tc>
      </w:tr>
      <w:tr w:rsidR="00C9672D" w:rsidRPr="00CC0461" w14:paraId="3CF3819A" w14:textId="77777777" w:rsidTr="00C9672D">
        <w:trPr>
          <w:gridAfter w:val="1"/>
          <w:wAfter w:w="9" w:type="pct"/>
          <w:trHeight w:val="3792"/>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noWrap/>
            <w:hideMark/>
          </w:tcPr>
          <w:p w14:paraId="7C80E4E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Stammen LA (2015)</w:t>
            </w:r>
          </w:p>
        </w:tc>
        <w:tc>
          <w:tcPr>
            <w:tcW w:w="2774" w:type="pct"/>
            <w:tcBorders>
              <w:top w:val="single" w:sz="18" w:space="0" w:color="B66113"/>
              <w:bottom w:val="single" w:sz="4" w:space="0" w:color="C0C0C0"/>
            </w:tcBorders>
            <w:hideMark/>
          </w:tcPr>
          <w:p w14:paraId="77DA3E6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Dowling et al</w:t>
            </w:r>
            <w:r w:rsidRPr="00CC0461">
              <w:rPr>
                <w:b/>
                <w:bCs/>
                <w:i/>
                <w:color w:val="000000"/>
                <w:sz w:val="20"/>
                <w:szCs w:val="20"/>
              </w:rPr>
              <w:t>. Acad Med</w:t>
            </w:r>
            <w:r w:rsidRPr="00CC0461">
              <w:rPr>
                <w:b/>
                <w:bCs/>
                <w:color w:val="000000"/>
                <w:sz w:val="20"/>
                <w:szCs w:val="20"/>
              </w:rPr>
              <w:t xml:space="preserve"> 1989;64:410</w:t>
            </w:r>
            <w:r w:rsidRPr="00CC0461">
              <w:rPr>
                <w:rFonts w:cs="Arial"/>
                <w:b/>
                <w:bCs/>
                <w:color w:val="000000"/>
                <w:sz w:val="20"/>
                <w:szCs w:val="20"/>
              </w:rPr>
              <w:t>–</w:t>
            </w:r>
            <w:r w:rsidRPr="00CC0461">
              <w:rPr>
                <w:b/>
                <w:bCs/>
                <w:color w:val="000000"/>
                <w:sz w:val="20"/>
                <w:szCs w:val="20"/>
              </w:rPr>
              <w:t>2.</w:t>
            </w:r>
            <w:r w:rsidRPr="00CC0461">
              <w:rPr>
                <w:color w:val="000000"/>
                <w:sz w:val="20"/>
                <w:szCs w:val="20"/>
              </w:rPr>
              <w:br/>
              <w:t xml:space="preserve">Feedback and cost-effectiveness theme led to significant reduction in thyroid-stimulating hormone test ordering (p &lt; 0.001) and complete blood cell counts (p = 0.05); percentage of appropriate thyroid-stimulating hormone tests indicated increased (p &lt; 0.001).   </w:t>
            </w:r>
            <w:r w:rsidRPr="00CC0461">
              <w:rPr>
                <w:color w:val="000000"/>
                <w:sz w:val="20"/>
                <w:szCs w:val="20"/>
              </w:rPr>
              <w:br/>
              <w:t xml:space="preserve">                                                                                                                      </w:t>
            </w:r>
            <w:r w:rsidRPr="00CC0461">
              <w:rPr>
                <w:color w:val="000000"/>
                <w:sz w:val="20"/>
                <w:szCs w:val="20"/>
              </w:rPr>
              <w:br/>
            </w:r>
            <w:r w:rsidRPr="00CC0461">
              <w:rPr>
                <w:b/>
                <w:bCs/>
                <w:color w:val="000000"/>
                <w:sz w:val="20"/>
                <w:szCs w:val="20"/>
              </w:rPr>
              <w:t xml:space="preserve">Miyakis et al. </w:t>
            </w:r>
            <w:r w:rsidRPr="00CC0461">
              <w:rPr>
                <w:b/>
                <w:bCs/>
                <w:i/>
                <w:color w:val="000000"/>
                <w:sz w:val="20"/>
                <w:szCs w:val="20"/>
              </w:rPr>
              <w:t>Postgrad Med</w:t>
            </w:r>
            <w:r w:rsidRPr="00CC0461">
              <w:rPr>
                <w:b/>
                <w:bCs/>
                <w:color w:val="000000"/>
                <w:sz w:val="20"/>
                <w:szCs w:val="20"/>
              </w:rPr>
              <w:t xml:space="preserve"> 2006;82:823</w:t>
            </w:r>
            <w:r w:rsidRPr="00CC0461">
              <w:rPr>
                <w:rFonts w:cs="Arial"/>
                <w:b/>
                <w:bCs/>
                <w:color w:val="000000"/>
                <w:sz w:val="20"/>
                <w:szCs w:val="20"/>
              </w:rPr>
              <w:t>–</w:t>
            </w:r>
            <w:r w:rsidRPr="00CC0461">
              <w:rPr>
                <w:b/>
                <w:bCs/>
                <w:color w:val="000000"/>
                <w:sz w:val="20"/>
                <w:szCs w:val="20"/>
              </w:rPr>
              <w:t xml:space="preserve">9. </w:t>
            </w:r>
            <w:r w:rsidRPr="00CC0461">
              <w:rPr>
                <w:b/>
                <w:bCs/>
                <w:color w:val="000000"/>
                <w:sz w:val="20"/>
                <w:szCs w:val="20"/>
              </w:rPr>
              <w:br/>
            </w:r>
            <w:r w:rsidRPr="00CC0461">
              <w:rPr>
                <w:color w:val="000000"/>
                <w:sz w:val="20"/>
                <w:szCs w:val="20"/>
              </w:rPr>
              <w:t>After an assessment on the usefulness of 25 tests was presented to medical staff, followed by a discussion of how to reduce unnecessary tests, use of avoidable tests decreased from 2.01 to 1.58 tests/patient/day after the intervention, though test orders increased to previous levels in the semester after the intervention, a 13.5% reduction in ordering of tests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Sucov et al. </w:t>
            </w:r>
            <w:r w:rsidRPr="00CC0461">
              <w:rPr>
                <w:b/>
                <w:bCs/>
                <w:i/>
                <w:color w:val="000000"/>
                <w:sz w:val="20"/>
                <w:szCs w:val="20"/>
              </w:rPr>
              <w:t>J Emerg Med</w:t>
            </w:r>
            <w:r w:rsidRPr="00CC0461">
              <w:rPr>
                <w:b/>
                <w:bCs/>
                <w:color w:val="000000"/>
                <w:sz w:val="20"/>
                <w:szCs w:val="20"/>
              </w:rPr>
              <w:t xml:space="preserve"> 1999;17:391</w:t>
            </w:r>
            <w:r w:rsidRPr="00CC0461">
              <w:rPr>
                <w:rFonts w:cs="Arial"/>
                <w:b/>
                <w:bCs/>
                <w:color w:val="000000"/>
                <w:sz w:val="20"/>
                <w:szCs w:val="20"/>
              </w:rPr>
              <w:t>–</w:t>
            </w:r>
            <w:r w:rsidRPr="00CC0461">
              <w:rPr>
                <w:b/>
                <w:bCs/>
                <w:color w:val="000000"/>
                <w:sz w:val="20"/>
                <w:szCs w:val="20"/>
              </w:rPr>
              <w:t>7.</w:t>
            </w:r>
            <w:r w:rsidRPr="00CC0461">
              <w:rPr>
                <w:color w:val="000000"/>
                <w:sz w:val="20"/>
                <w:szCs w:val="20"/>
              </w:rPr>
              <w:br/>
              <w:t>Guidelines were created regarding which tests to order for which patient group and rolled out with a series of educational sessions, discussion of ordering and utilisation of feedback, resulting in 22.0% reduction in tests. There was a significant decline in total testing from 209 to 163 tests/100 patients (p &lt; 0.001); $50,000-$100,000 less charged.</w:t>
            </w:r>
            <w:r w:rsidRPr="00CC0461">
              <w:rPr>
                <w:color w:val="000000"/>
                <w:sz w:val="20"/>
                <w:szCs w:val="20"/>
              </w:rPr>
              <w:br/>
            </w:r>
          </w:p>
        </w:tc>
        <w:tc>
          <w:tcPr>
            <w:tcW w:w="1556" w:type="pct"/>
            <w:tcBorders>
              <w:top w:val="single" w:sz="18" w:space="0" w:color="B66113"/>
              <w:bottom w:val="single" w:sz="4" w:space="0" w:color="C0C0C0"/>
            </w:tcBorders>
            <w:noWrap/>
            <w:hideMark/>
          </w:tcPr>
          <w:p w14:paraId="0A997A3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rFonts w:cs="Calibri"/>
                <w:color w:val="000000"/>
                <w:sz w:val="20"/>
                <w:szCs w:val="20"/>
              </w:rPr>
              <w:t xml:space="preserve">Results from individual studies showed that feedback can reduce the rates of test ordering and increase the rates of appropriate tests, potentially leading to cost savings. </w:t>
            </w:r>
          </w:p>
        </w:tc>
      </w:tr>
      <w:tr w:rsidR="00C9672D" w:rsidRPr="00CC0461" w14:paraId="6C158CF8" w14:textId="77777777" w:rsidTr="00C9672D">
        <w:trPr>
          <w:gridAfter w:val="1"/>
          <w:wAfter w:w="9" w:type="pct"/>
          <w:trHeight w:val="192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noWrap/>
            <w:hideMark/>
          </w:tcPr>
          <w:p w14:paraId="64BFCC0E" w14:textId="77777777" w:rsidR="00C9672D" w:rsidRPr="00CC0461" w:rsidRDefault="00C9672D" w:rsidP="00C9672D">
            <w:pPr>
              <w:spacing w:before="0" w:line="240" w:lineRule="auto"/>
              <w:rPr>
                <w:color w:val="000000"/>
                <w:sz w:val="20"/>
                <w:szCs w:val="20"/>
              </w:rPr>
            </w:pPr>
            <w:r w:rsidRPr="00CC0461">
              <w:rPr>
                <w:color w:val="000000"/>
                <w:sz w:val="20"/>
                <w:szCs w:val="20"/>
              </w:rPr>
              <w:t>Jenkins HJ (2015)</w:t>
            </w:r>
          </w:p>
        </w:tc>
        <w:tc>
          <w:tcPr>
            <w:tcW w:w="2774" w:type="pct"/>
            <w:tcBorders>
              <w:top w:val="single" w:sz="4" w:space="0" w:color="C0C0C0"/>
              <w:bottom w:val="single" w:sz="18" w:space="0" w:color="B66113"/>
            </w:tcBorders>
            <w:hideMark/>
          </w:tcPr>
          <w:p w14:paraId="2D04307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Eccles et al. </w:t>
            </w:r>
            <w:r w:rsidRPr="00CC0461">
              <w:rPr>
                <w:b/>
                <w:bCs/>
                <w:i/>
                <w:color w:val="000000"/>
                <w:sz w:val="20"/>
                <w:szCs w:val="20"/>
              </w:rPr>
              <w:t>Lancet</w:t>
            </w:r>
            <w:r w:rsidRPr="00CC0461">
              <w:rPr>
                <w:b/>
                <w:bCs/>
                <w:color w:val="000000"/>
                <w:sz w:val="20"/>
                <w:szCs w:val="20"/>
              </w:rPr>
              <w:t xml:space="preserve"> 2001;357:1406–9.</w:t>
            </w:r>
            <w:r w:rsidRPr="00CC0461">
              <w:rPr>
                <w:color w:val="000000"/>
                <w:sz w:val="20"/>
                <w:szCs w:val="20"/>
              </w:rPr>
              <w:br/>
              <w:t xml:space="preserve">Audit and feedback vs guideline dissemination for lumbar spine radiography. After adjustment for clustering, absolute change in imaging of </w:t>
            </w:r>
            <w:r w:rsidRPr="00CC0461">
              <w:rPr>
                <w:rFonts w:cs="Arial"/>
                <w:color w:val="000000"/>
                <w:sz w:val="20"/>
                <w:szCs w:val="20"/>
              </w:rPr>
              <w:t>−</w:t>
            </w:r>
            <w:r w:rsidRPr="00CC0461">
              <w:rPr>
                <w:color w:val="000000"/>
                <w:sz w:val="20"/>
                <w:szCs w:val="20"/>
              </w:rPr>
              <w:t xml:space="preserve">0.07 radiographs/1000 patients (95% CI </w:t>
            </w:r>
            <w:r w:rsidRPr="00CC0461">
              <w:rPr>
                <w:rFonts w:cs="Arial"/>
                <w:color w:val="000000"/>
                <w:sz w:val="20"/>
                <w:szCs w:val="20"/>
              </w:rPr>
              <w:t>−</w:t>
            </w:r>
            <w:r w:rsidRPr="00CC0461">
              <w:rPr>
                <w:color w:val="000000"/>
                <w:sz w:val="20"/>
                <w:szCs w:val="20"/>
              </w:rPr>
              <w:t>1.3 to 0.7) vs control (not significant). Adding reminders to audit and feedback reduced X-ray utilisation (adjusted change relative to baseline control = 46%; no p-value reported).</w:t>
            </w:r>
            <w:r w:rsidRPr="00CC0461">
              <w:rPr>
                <w:color w:val="000000"/>
                <w:sz w:val="20"/>
                <w:szCs w:val="20"/>
              </w:rPr>
              <w:br/>
              <w:t>Comparing audit and feedback with reminders, educational reminders appended to radiology reports were more effective than twice-yearly feedback to GPs for reducing overall radiology requests (median adjusted change relative to baseline performance in audit and feedback arm 15%).</w:t>
            </w:r>
          </w:p>
        </w:tc>
        <w:tc>
          <w:tcPr>
            <w:tcW w:w="1556" w:type="pct"/>
            <w:tcBorders>
              <w:top w:val="single" w:sz="4" w:space="0" w:color="C0C0C0"/>
              <w:bottom w:val="single" w:sz="18" w:space="0" w:color="B66113"/>
            </w:tcBorders>
            <w:hideMark/>
          </w:tcPr>
          <w:p w14:paraId="14C531D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Audit and feedback interventions were associated with variable results. Interventions that used practitioner audits and feedback, practitioner education or guideline dissemination did not significantly reduce imaging rates.</w:t>
            </w:r>
          </w:p>
        </w:tc>
      </w:tr>
      <w:tr w:rsidR="00C9672D" w:rsidRPr="00CC0461" w14:paraId="5ECA5296" w14:textId="77777777" w:rsidTr="00C9672D">
        <w:trPr>
          <w:gridAfter w:val="1"/>
          <w:wAfter w:w="9" w:type="pct"/>
          <w:trHeight w:val="624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noWrap/>
            <w:hideMark/>
          </w:tcPr>
          <w:p w14:paraId="11CE0912"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Cadogan SL (2015)</w:t>
            </w:r>
          </w:p>
        </w:tc>
        <w:tc>
          <w:tcPr>
            <w:tcW w:w="2774" w:type="pct"/>
            <w:tcBorders>
              <w:top w:val="single" w:sz="18" w:space="0" w:color="B66113"/>
              <w:bottom w:val="single" w:sz="18" w:space="0" w:color="B66113"/>
            </w:tcBorders>
            <w:hideMark/>
          </w:tcPr>
          <w:p w14:paraId="283EBE7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Baker et al</w:t>
            </w:r>
            <w:r w:rsidRPr="00CC0461">
              <w:rPr>
                <w:b/>
                <w:bCs/>
                <w:i/>
                <w:color w:val="000000"/>
                <w:sz w:val="20"/>
                <w:szCs w:val="20"/>
              </w:rPr>
              <w:t>. Scand J Prim Healthcare</w:t>
            </w:r>
            <w:r w:rsidRPr="00CC0461">
              <w:rPr>
                <w:b/>
                <w:bCs/>
                <w:color w:val="000000"/>
                <w:sz w:val="20"/>
                <w:szCs w:val="20"/>
              </w:rPr>
              <w:t xml:space="preserve"> 2003;21:219</w:t>
            </w:r>
            <w:r w:rsidRPr="00CC0461">
              <w:rPr>
                <w:rFonts w:cs="Arial"/>
                <w:b/>
                <w:bCs/>
                <w:color w:val="000000"/>
                <w:sz w:val="20"/>
                <w:szCs w:val="20"/>
              </w:rPr>
              <w:t>–</w:t>
            </w:r>
            <w:r w:rsidRPr="00CC0461">
              <w:rPr>
                <w:b/>
                <w:bCs/>
                <w:color w:val="000000"/>
                <w:sz w:val="20"/>
                <w:szCs w:val="20"/>
              </w:rPr>
              <w:t>23.</w:t>
            </w:r>
            <w:r w:rsidRPr="00CC0461">
              <w:rPr>
                <w:color w:val="000000"/>
                <w:sz w:val="20"/>
                <w:szCs w:val="20"/>
              </w:rPr>
              <w:br/>
              <w:t>Guidelines followed by feedback about the numbers of thyroid function, rheumatoid factor test and urine cultures they ordered (quarterly for 1 year) vs guidelines then feedback about lipid and plasma viscosity tests (each a control group for the other) showed no effect. No change in volume of tests/1000 requested in either of the study groups for any of the tests.</w:t>
            </w:r>
            <w:r w:rsidRPr="00CC0461">
              <w:rPr>
                <w:color w:val="000000"/>
                <w:sz w:val="20"/>
                <w:szCs w:val="20"/>
              </w:rPr>
              <w:br/>
            </w:r>
            <w:r w:rsidRPr="00CC0461">
              <w:rPr>
                <w:color w:val="000000"/>
                <w:sz w:val="20"/>
                <w:szCs w:val="20"/>
              </w:rPr>
              <w:br/>
            </w:r>
            <w:r w:rsidRPr="00CC0461">
              <w:rPr>
                <w:b/>
                <w:bCs/>
                <w:color w:val="000000"/>
                <w:sz w:val="20"/>
                <w:szCs w:val="20"/>
              </w:rPr>
              <w:t xml:space="preserve">Thomas et al. </w:t>
            </w:r>
            <w:r w:rsidRPr="00CC0461">
              <w:rPr>
                <w:b/>
                <w:bCs/>
                <w:i/>
                <w:color w:val="000000"/>
                <w:sz w:val="20"/>
                <w:szCs w:val="20"/>
              </w:rPr>
              <w:t>Lancet</w:t>
            </w:r>
            <w:r w:rsidRPr="00CC0461">
              <w:rPr>
                <w:b/>
                <w:bCs/>
                <w:color w:val="000000"/>
                <w:sz w:val="20"/>
                <w:szCs w:val="20"/>
              </w:rPr>
              <w:t xml:space="preserve"> 2006;367:1990–6.</w:t>
            </w:r>
            <w:r w:rsidRPr="00CC0461">
              <w:rPr>
                <w:color w:val="000000"/>
                <w:sz w:val="20"/>
                <w:szCs w:val="20"/>
              </w:rPr>
              <w:br/>
              <w:t>Quarterly feedback of requesting rates and reminder messages. Practices allocated to one of four groups: control, enhanced feedback alone, reminder messages alone, or both enhanced feedback and reminder messages. Control was current practice.</w:t>
            </w:r>
            <w:r w:rsidRPr="00CC0461">
              <w:rPr>
                <w:color w:val="000000"/>
                <w:sz w:val="20"/>
                <w:szCs w:val="20"/>
              </w:rPr>
              <w:br/>
              <w:t>An 11 % reduction in requests for practices receiving enhanced feedback or reminder messages (OR 0.89, 95% CI 0.83 to 0.93) compared with the control group. Feedback led to greater reductions in the number of laboratory tests ordered compared with reminders although the model-based analyses suggested similar effects (adjusted change relative to baseline performance in audit and feedback arm: 12%; OR for feedback 0.87, 95% CI 0.81 to 0.94; OR for reminders 0.89; 95% CI 0.83 to 0.93).</w:t>
            </w:r>
            <w:r w:rsidRPr="00CC0461">
              <w:rPr>
                <w:color w:val="000000"/>
                <w:sz w:val="20"/>
                <w:szCs w:val="20"/>
              </w:rPr>
              <w:br/>
              <w:t>Adding reminders to audit and feedback both significantly reduced blood test utilisation and the effect seemed to be additive, but not synergistic (adjusted change relative to baseline performance in the audit and feedback alone arm: –2%; OR 0.78, 95% CI 0.71 to 0.85 for both vs OR 0.87, 95% CI 0.81 to 0.94 for reminders alone; no p-value reported).</w:t>
            </w:r>
            <w:r w:rsidRPr="00CC0461">
              <w:rPr>
                <w:color w:val="000000"/>
                <w:sz w:val="20"/>
                <w:szCs w:val="20"/>
              </w:rPr>
              <w:br/>
            </w:r>
            <w:r w:rsidRPr="00CC0461">
              <w:rPr>
                <w:color w:val="000000"/>
                <w:sz w:val="20"/>
                <w:szCs w:val="20"/>
              </w:rPr>
              <w:br/>
            </w:r>
            <w:r w:rsidRPr="00CC0461">
              <w:rPr>
                <w:b/>
                <w:bCs/>
                <w:color w:val="000000"/>
                <w:sz w:val="20"/>
                <w:szCs w:val="20"/>
              </w:rPr>
              <w:t xml:space="preserve">Tomlin et al. </w:t>
            </w:r>
            <w:r w:rsidRPr="00CC0461">
              <w:rPr>
                <w:b/>
                <w:bCs/>
                <w:i/>
                <w:color w:val="000000"/>
                <w:sz w:val="20"/>
                <w:szCs w:val="20"/>
              </w:rPr>
              <w:t>BMJ Qual Saf</w:t>
            </w:r>
            <w:r w:rsidRPr="00CC0461">
              <w:rPr>
                <w:b/>
                <w:bCs/>
                <w:color w:val="000000"/>
                <w:sz w:val="20"/>
                <w:szCs w:val="20"/>
              </w:rPr>
              <w:t xml:space="preserve"> 2011;20:282</w:t>
            </w:r>
            <w:r w:rsidRPr="00CC0461">
              <w:rPr>
                <w:rFonts w:cs="Arial"/>
                <w:b/>
                <w:bCs/>
                <w:color w:val="000000"/>
                <w:sz w:val="20"/>
                <w:szCs w:val="20"/>
              </w:rPr>
              <w:t>–</w:t>
            </w:r>
            <w:r w:rsidRPr="00CC0461">
              <w:rPr>
                <w:b/>
                <w:bCs/>
                <w:color w:val="000000"/>
                <w:sz w:val="20"/>
                <w:szCs w:val="20"/>
              </w:rPr>
              <w:t>90.</w:t>
            </w:r>
            <w:r w:rsidRPr="00CC0461">
              <w:rPr>
                <w:color w:val="000000"/>
                <w:sz w:val="20"/>
                <w:szCs w:val="20"/>
              </w:rPr>
              <w:br/>
              <w:t>Three marketing programs (guidelines, individual feedback and professional development) vs locum and other physicians not targeted by the programs showed a 60% reduction in number of erythrocyte sedimentation rate tests by the intervention group after the intervention vs an 18% reduction in comparison with doctors after intervention.</w:t>
            </w:r>
          </w:p>
        </w:tc>
        <w:tc>
          <w:tcPr>
            <w:tcW w:w="1556" w:type="pct"/>
            <w:tcBorders>
              <w:top w:val="single" w:sz="18" w:space="0" w:color="B66113"/>
              <w:bottom w:val="single" w:sz="18" w:space="0" w:color="B66113"/>
            </w:tcBorders>
            <w:hideMark/>
          </w:tcPr>
          <w:p w14:paraId="0A1EE88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feedback-based interventions in this review were multifaceted, and their effects were dependent on the particular combination of strategies used.</w:t>
            </w:r>
          </w:p>
        </w:tc>
      </w:tr>
      <w:tr w:rsidR="00C9672D" w:rsidRPr="00CC0461" w14:paraId="5DF7D08A" w14:textId="77777777" w:rsidTr="00C9672D">
        <w:trPr>
          <w:gridAfter w:val="1"/>
          <w:wAfter w:w="9" w:type="pct"/>
          <w:trHeight w:val="819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noWrap/>
            <w:hideMark/>
          </w:tcPr>
          <w:p w14:paraId="12CF2767"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Kobewka DM (2015)</w:t>
            </w:r>
          </w:p>
        </w:tc>
        <w:tc>
          <w:tcPr>
            <w:tcW w:w="2774" w:type="pct"/>
            <w:tcBorders>
              <w:top w:val="single" w:sz="18" w:space="0" w:color="B66113"/>
              <w:bottom w:val="single" w:sz="18" w:space="0" w:color="B66113"/>
            </w:tcBorders>
            <w:hideMark/>
          </w:tcPr>
          <w:p w14:paraId="302744E7" w14:textId="77777777" w:rsidR="00C9672D"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Everett et al</w:t>
            </w:r>
            <w:r w:rsidRPr="00CC0461">
              <w:rPr>
                <w:b/>
                <w:bCs/>
                <w:i/>
                <w:color w:val="000000"/>
                <w:sz w:val="20"/>
                <w:szCs w:val="20"/>
              </w:rPr>
              <w:t>. Arch Intern Med</w:t>
            </w:r>
            <w:r w:rsidRPr="00CC0461">
              <w:rPr>
                <w:b/>
                <w:bCs/>
                <w:color w:val="000000"/>
                <w:sz w:val="20"/>
                <w:szCs w:val="20"/>
              </w:rPr>
              <w:t xml:space="preserve"> 1983;143:942</w:t>
            </w:r>
            <w:r w:rsidRPr="00CC0461">
              <w:rPr>
                <w:rFonts w:cs="Arial"/>
                <w:b/>
                <w:bCs/>
                <w:color w:val="000000"/>
                <w:sz w:val="20"/>
                <w:szCs w:val="20"/>
              </w:rPr>
              <w:t>–</w:t>
            </w:r>
            <w:r w:rsidRPr="00CC0461">
              <w:rPr>
                <w:b/>
                <w:bCs/>
                <w:color w:val="000000"/>
                <w:sz w:val="20"/>
                <w:szCs w:val="20"/>
              </w:rPr>
              <w:t>4</w:t>
            </w:r>
            <w:r w:rsidRPr="00CC0461">
              <w:rPr>
                <w:b/>
                <w:color w:val="000000"/>
                <w:sz w:val="20"/>
                <w:szCs w:val="20"/>
              </w:rPr>
              <w:t>.</w:t>
            </w:r>
            <w:r w:rsidRPr="00CC0461">
              <w:rPr>
                <w:color w:val="000000"/>
                <w:sz w:val="20"/>
                <w:szCs w:val="20"/>
              </w:rPr>
              <w:br/>
              <w:t>An RCT in a single hospital found that combining written education regarding costs with feedback regarding laboratory use seemed to decrease test utilisation compared with audit and feedback alone (unadjusted difference 22.3%, high risk of bias; no p-value reported). Relative reduction of targeted tests 15.1%.</w:t>
            </w:r>
            <w:r w:rsidRPr="00CC0461">
              <w:rPr>
                <w:color w:val="000000"/>
                <w:sz w:val="20"/>
                <w:szCs w:val="20"/>
              </w:rPr>
              <w:br/>
            </w:r>
            <w:r w:rsidRPr="00CC0461">
              <w:rPr>
                <w:color w:val="000000"/>
                <w:sz w:val="20"/>
                <w:szCs w:val="20"/>
              </w:rPr>
              <w:br/>
            </w:r>
            <w:r w:rsidRPr="00CC0461">
              <w:rPr>
                <w:b/>
                <w:bCs/>
                <w:color w:val="000000"/>
                <w:sz w:val="20"/>
                <w:szCs w:val="20"/>
              </w:rPr>
              <w:t xml:space="preserve">Miyakis et al. </w:t>
            </w:r>
            <w:r w:rsidRPr="00CC0461">
              <w:rPr>
                <w:b/>
                <w:bCs/>
                <w:i/>
                <w:color w:val="000000"/>
                <w:sz w:val="20"/>
                <w:szCs w:val="20"/>
              </w:rPr>
              <w:t>Postgrad Med</w:t>
            </w:r>
            <w:r w:rsidRPr="00CC0461">
              <w:rPr>
                <w:b/>
                <w:bCs/>
                <w:color w:val="000000"/>
                <w:sz w:val="20"/>
                <w:szCs w:val="20"/>
              </w:rPr>
              <w:t xml:space="preserve"> 2006;82:823</w:t>
            </w:r>
            <w:r w:rsidRPr="00CC0461">
              <w:rPr>
                <w:rFonts w:cs="Arial"/>
                <w:b/>
                <w:bCs/>
                <w:color w:val="000000"/>
                <w:sz w:val="20"/>
                <w:szCs w:val="20"/>
              </w:rPr>
              <w:t>–</w:t>
            </w:r>
            <w:r w:rsidRPr="00CC0461">
              <w:rPr>
                <w:b/>
                <w:bCs/>
                <w:color w:val="000000"/>
                <w:sz w:val="20"/>
                <w:szCs w:val="20"/>
              </w:rPr>
              <w:t>9.</w:t>
            </w:r>
            <w:r w:rsidRPr="00CC0461">
              <w:rPr>
                <w:color w:val="000000"/>
                <w:sz w:val="20"/>
                <w:szCs w:val="20"/>
              </w:rPr>
              <w:br/>
              <w:t>The results of an audit on test use were presented along with strategies for reducing utilisation in a single teaching hospital. Results showed a 13.5% reduction in ordering of tests after the intervention.</w:t>
            </w:r>
            <w:r w:rsidRPr="00CC0461">
              <w:rPr>
                <w:color w:val="000000"/>
                <w:sz w:val="20"/>
                <w:szCs w:val="20"/>
              </w:rPr>
              <w:br/>
            </w:r>
            <w:r w:rsidRPr="00CC0461">
              <w:rPr>
                <w:b/>
                <w:bCs/>
                <w:color w:val="000000"/>
                <w:sz w:val="20"/>
                <w:szCs w:val="20"/>
              </w:rPr>
              <w:br/>
              <w:t xml:space="preserve">Barie et al. </w:t>
            </w:r>
            <w:r w:rsidRPr="00CC0461">
              <w:rPr>
                <w:b/>
                <w:bCs/>
                <w:i/>
                <w:color w:val="000000"/>
                <w:sz w:val="20"/>
                <w:szCs w:val="20"/>
              </w:rPr>
              <w:t>J Trauma</w:t>
            </w:r>
            <w:r w:rsidRPr="00CC0461">
              <w:rPr>
                <w:b/>
                <w:bCs/>
                <w:color w:val="000000"/>
                <w:sz w:val="20"/>
                <w:szCs w:val="20"/>
              </w:rPr>
              <w:t xml:space="preserve"> 1997;43:590</w:t>
            </w:r>
            <w:r w:rsidRPr="00CC0461">
              <w:rPr>
                <w:rFonts w:cs="Arial"/>
                <w:b/>
                <w:bCs/>
                <w:color w:val="000000"/>
                <w:sz w:val="20"/>
                <w:szCs w:val="20"/>
              </w:rPr>
              <w:t>–</w:t>
            </w:r>
            <w:r w:rsidRPr="00CC0461">
              <w:rPr>
                <w:b/>
                <w:bCs/>
                <w:color w:val="000000"/>
                <w:sz w:val="20"/>
                <w:szCs w:val="20"/>
              </w:rPr>
              <w:t>6.</w:t>
            </w:r>
            <w:r w:rsidRPr="00CC0461">
              <w:rPr>
                <w:color w:val="000000"/>
                <w:sz w:val="20"/>
                <w:szCs w:val="20"/>
              </w:rPr>
              <w:br/>
              <w:t>Testing pathways were introduced and audit and feedback was done monthly in an intensive care unit to improve use of blood tests and chest radiographs. Results showed a 34.6% relative reduction in ordering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Rhyne et al. </w:t>
            </w:r>
            <w:r w:rsidRPr="00CC0461">
              <w:rPr>
                <w:b/>
                <w:bCs/>
                <w:i/>
                <w:color w:val="000000"/>
                <w:sz w:val="20"/>
                <w:szCs w:val="20"/>
              </w:rPr>
              <w:t>J Fam Pract</w:t>
            </w:r>
            <w:r w:rsidRPr="00CC0461">
              <w:rPr>
                <w:b/>
                <w:bCs/>
                <w:color w:val="000000"/>
                <w:sz w:val="20"/>
                <w:szCs w:val="20"/>
              </w:rPr>
              <w:t xml:space="preserve"> 1979;8:1003</w:t>
            </w:r>
            <w:r w:rsidRPr="00CC0461">
              <w:rPr>
                <w:rFonts w:cs="Arial"/>
                <w:b/>
                <w:bCs/>
                <w:color w:val="000000"/>
                <w:sz w:val="20"/>
                <w:szCs w:val="20"/>
              </w:rPr>
              <w:t>–</w:t>
            </w:r>
            <w:r w:rsidRPr="00CC0461">
              <w:rPr>
                <w:b/>
                <w:bCs/>
                <w:color w:val="000000"/>
                <w:sz w:val="20"/>
                <w:szCs w:val="20"/>
              </w:rPr>
              <w:t>7.</w:t>
            </w:r>
            <w:r w:rsidRPr="00CC0461">
              <w:rPr>
                <w:color w:val="000000"/>
                <w:sz w:val="20"/>
                <w:szCs w:val="20"/>
              </w:rPr>
              <w:br/>
              <w:t>A chart audit of test ordering was done and the results were presented to family doctors, resulting in a 36.4% reduction in ordering of thyroid function tests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Sorita et al. </w:t>
            </w:r>
            <w:r w:rsidRPr="00CC0461">
              <w:rPr>
                <w:b/>
                <w:bCs/>
                <w:i/>
                <w:color w:val="000000"/>
                <w:sz w:val="20"/>
                <w:szCs w:val="20"/>
              </w:rPr>
              <w:t>J Hosp Med</w:t>
            </w:r>
            <w:r w:rsidRPr="00CC0461">
              <w:rPr>
                <w:b/>
                <w:bCs/>
                <w:color w:val="000000"/>
                <w:sz w:val="20"/>
                <w:szCs w:val="20"/>
              </w:rPr>
              <w:t xml:space="preserve"> 2011;6:S135</w:t>
            </w:r>
            <w:r w:rsidRPr="00CC0461">
              <w:rPr>
                <w:rFonts w:cs="Arial"/>
                <w:b/>
                <w:bCs/>
                <w:color w:val="000000"/>
                <w:sz w:val="20"/>
                <w:szCs w:val="20"/>
              </w:rPr>
              <w:t>–</w:t>
            </w:r>
            <w:r w:rsidRPr="00CC0461">
              <w:rPr>
                <w:b/>
                <w:bCs/>
                <w:color w:val="000000"/>
                <w:sz w:val="20"/>
                <w:szCs w:val="20"/>
              </w:rPr>
              <w:t>6.</w:t>
            </w:r>
            <w:r w:rsidRPr="00CC0461">
              <w:rPr>
                <w:color w:val="000000"/>
                <w:sz w:val="20"/>
                <w:szCs w:val="20"/>
              </w:rPr>
              <w:br/>
              <w:t>Study involved a 1-hour teaching session regarding when to order STAT blood tests and results of an audit were presented. The highest users of STAT tests were given individual feedback, resulting in a 21% decrease in test ordering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Dowling et al. </w:t>
            </w:r>
            <w:r w:rsidRPr="00CC0461">
              <w:rPr>
                <w:b/>
                <w:bCs/>
                <w:i/>
                <w:color w:val="000000"/>
                <w:sz w:val="20"/>
                <w:szCs w:val="20"/>
              </w:rPr>
              <w:t>Acad Med</w:t>
            </w:r>
            <w:r w:rsidRPr="00CC0461">
              <w:rPr>
                <w:b/>
                <w:bCs/>
                <w:color w:val="000000"/>
                <w:sz w:val="20"/>
                <w:szCs w:val="20"/>
              </w:rPr>
              <w:t xml:space="preserve"> 1989;64:410</w:t>
            </w:r>
            <w:r w:rsidRPr="00CC0461">
              <w:rPr>
                <w:rFonts w:cs="Arial"/>
                <w:b/>
                <w:bCs/>
                <w:color w:val="000000"/>
                <w:sz w:val="20"/>
                <w:szCs w:val="20"/>
              </w:rPr>
              <w:t>–</w:t>
            </w:r>
            <w:r w:rsidRPr="00CC0461">
              <w:rPr>
                <w:b/>
                <w:bCs/>
                <w:color w:val="000000"/>
                <w:sz w:val="20"/>
                <w:szCs w:val="20"/>
              </w:rPr>
              <w:t>2.</w:t>
            </w:r>
            <w:r w:rsidRPr="00CC0461">
              <w:rPr>
                <w:color w:val="000000"/>
                <w:sz w:val="20"/>
                <w:szCs w:val="20"/>
              </w:rPr>
              <w:br/>
              <w:t>Lectures and guidelines on appropriate testing were distributed.</w:t>
            </w:r>
            <w:r w:rsidRPr="00CC0461">
              <w:rPr>
                <w:bCs/>
                <w:color w:val="000000"/>
                <w:sz w:val="20"/>
                <w:szCs w:val="20"/>
              </w:rPr>
              <w:t xml:space="preserve"> Audit and feedback of test usage was performed repeatedly to reduce complete blood count and thyroid stimulating hormone testing. Results showed a 47.5% reduction in ordering after the intervention.</w:t>
            </w:r>
            <w:r w:rsidRPr="00CC0461">
              <w:rPr>
                <w:color w:val="000000"/>
                <w:sz w:val="20"/>
                <w:szCs w:val="20"/>
              </w:rPr>
              <w:br/>
            </w:r>
            <w:r w:rsidRPr="00CC0461">
              <w:rPr>
                <w:color w:val="000000"/>
                <w:sz w:val="20"/>
                <w:szCs w:val="20"/>
              </w:rPr>
              <w:br/>
            </w:r>
            <w:r w:rsidRPr="00CC0461">
              <w:rPr>
                <w:b/>
                <w:bCs/>
                <w:color w:val="000000"/>
                <w:sz w:val="20"/>
                <w:szCs w:val="20"/>
              </w:rPr>
              <w:t xml:space="preserve">Eisenberg et al. </w:t>
            </w:r>
            <w:r w:rsidRPr="00CC0461">
              <w:rPr>
                <w:b/>
                <w:bCs/>
                <w:i/>
                <w:color w:val="000000"/>
                <w:sz w:val="20"/>
                <w:szCs w:val="20"/>
              </w:rPr>
              <w:t>J Med Educ</w:t>
            </w:r>
            <w:r w:rsidRPr="00CC0461">
              <w:rPr>
                <w:b/>
                <w:bCs/>
                <w:color w:val="000000"/>
                <w:sz w:val="20"/>
                <w:szCs w:val="20"/>
              </w:rPr>
              <w:t xml:space="preserve"> 1977;52:578</w:t>
            </w:r>
            <w:r w:rsidRPr="00CC0461">
              <w:rPr>
                <w:rFonts w:cs="Arial"/>
                <w:b/>
                <w:bCs/>
                <w:color w:val="000000"/>
                <w:sz w:val="20"/>
                <w:szCs w:val="20"/>
              </w:rPr>
              <w:t>–</w:t>
            </w:r>
            <w:r w:rsidRPr="00CC0461">
              <w:rPr>
                <w:b/>
                <w:bCs/>
                <w:color w:val="000000"/>
                <w:sz w:val="20"/>
                <w:szCs w:val="20"/>
              </w:rPr>
              <w:t>81.</w:t>
            </w:r>
            <w:r w:rsidRPr="00CC0461">
              <w:rPr>
                <w:color w:val="000000"/>
                <w:sz w:val="20"/>
                <w:szCs w:val="20"/>
              </w:rPr>
              <w:br/>
              <w:t>Results from a single audit on utility of testing were circulated along with a memorandum from the medical director asking for careful consideration of test usage in a community hospital setting. Results showed a 42.1% decrease in test ordering after the intervention.</w:t>
            </w:r>
            <w:r w:rsidRPr="00CC0461">
              <w:rPr>
                <w:color w:val="000000"/>
                <w:sz w:val="20"/>
                <w:szCs w:val="20"/>
              </w:rPr>
              <w:br/>
            </w:r>
            <w:r w:rsidRPr="00CC0461">
              <w:rPr>
                <w:color w:val="000000"/>
                <w:sz w:val="20"/>
                <w:szCs w:val="20"/>
              </w:rPr>
              <w:br/>
            </w:r>
            <w:r w:rsidRPr="00CC0461">
              <w:rPr>
                <w:b/>
                <w:color w:val="000000"/>
                <w:sz w:val="20"/>
                <w:szCs w:val="20"/>
              </w:rPr>
              <w:t>Sucov et al</w:t>
            </w:r>
            <w:r w:rsidRPr="00CC0461">
              <w:rPr>
                <w:b/>
                <w:i/>
                <w:color w:val="000000"/>
                <w:sz w:val="20"/>
                <w:szCs w:val="20"/>
              </w:rPr>
              <w:t>. J Emerg Med</w:t>
            </w:r>
            <w:r w:rsidRPr="00CC0461">
              <w:rPr>
                <w:b/>
                <w:color w:val="000000"/>
                <w:sz w:val="20"/>
                <w:szCs w:val="20"/>
              </w:rPr>
              <w:t xml:space="preserve"> 1999;17:391</w:t>
            </w:r>
            <w:r w:rsidRPr="00CC0461">
              <w:rPr>
                <w:rFonts w:cs="Arial"/>
                <w:b/>
                <w:color w:val="000000"/>
                <w:sz w:val="20"/>
                <w:szCs w:val="20"/>
              </w:rPr>
              <w:t>–</w:t>
            </w:r>
            <w:r w:rsidRPr="00CC0461">
              <w:rPr>
                <w:b/>
                <w:color w:val="000000"/>
                <w:sz w:val="20"/>
                <w:szCs w:val="20"/>
              </w:rPr>
              <w:t>7.</w:t>
            </w:r>
            <w:r w:rsidRPr="00CC0461">
              <w:rPr>
                <w:color w:val="000000"/>
                <w:sz w:val="20"/>
                <w:szCs w:val="20"/>
              </w:rPr>
              <w:br/>
            </w:r>
            <w:r w:rsidRPr="00CC0461">
              <w:rPr>
                <w:color w:val="000000"/>
                <w:sz w:val="20"/>
                <w:szCs w:val="20"/>
              </w:rPr>
              <w:lastRenderedPageBreak/>
              <w:t>Guidelines were created regarding which tests to order for which patient group and rolled out with a series of educational sessions with discussion of ordering and utilisation of feedback, resulting in 22% reduction in tests. There was a significant decline in total testing from 209 to 163 tests per 100 patients (p &lt; 0.001); $50,000 to $100,000 less charged.</w:t>
            </w:r>
          </w:p>
          <w:p w14:paraId="6D8B2B6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F0C23CC" w14:textId="77777777" w:rsidR="00C9672D" w:rsidRPr="007D2D4C" w:rsidRDefault="00C9672D" w:rsidP="00C9672D">
            <w:pPr>
              <w:keepNext/>
              <w:keepLines/>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lang w:val="fr-CA"/>
              </w:rPr>
            </w:pPr>
            <w:r w:rsidRPr="007D2D4C">
              <w:rPr>
                <w:b/>
                <w:color w:val="000000"/>
                <w:sz w:val="20"/>
                <w:szCs w:val="20"/>
                <w:lang w:val="fr-CA"/>
              </w:rPr>
              <w:t xml:space="preserve">Dickinson et al. </w:t>
            </w:r>
            <w:r w:rsidRPr="007D2D4C">
              <w:rPr>
                <w:b/>
                <w:i/>
                <w:color w:val="000000"/>
                <w:sz w:val="20"/>
                <w:szCs w:val="20"/>
                <w:lang w:val="fr-CA"/>
              </w:rPr>
              <w:t>Fam Pract Res J</w:t>
            </w:r>
            <w:r w:rsidRPr="007D2D4C">
              <w:rPr>
                <w:b/>
                <w:color w:val="000000"/>
                <w:sz w:val="20"/>
                <w:szCs w:val="20"/>
                <w:lang w:val="fr-CA"/>
              </w:rPr>
              <w:t xml:space="preserve"> 1987;7:12–21.</w:t>
            </w:r>
          </w:p>
          <w:p w14:paraId="5FC610D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 number of unnecessary tests was measured and shown to department heads; results showed a decrease of 24.5% in all blood tests.</w:t>
            </w:r>
          </w:p>
          <w:p w14:paraId="4C7FF53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3F04B2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Winkens et al. </w:t>
            </w:r>
            <w:r w:rsidRPr="00CC0461">
              <w:rPr>
                <w:b/>
                <w:i/>
                <w:color w:val="000000"/>
                <w:sz w:val="20"/>
                <w:szCs w:val="20"/>
              </w:rPr>
              <w:t>Br Med J</w:t>
            </w:r>
            <w:r w:rsidRPr="00CC0461">
              <w:rPr>
                <w:b/>
                <w:color w:val="000000"/>
                <w:sz w:val="20"/>
                <w:szCs w:val="20"/>
              </w:rPr>
              <w:t xml:space="preserve"> 1992;304:1093–6.</w:t>
            </w:r>
          </w:p>
          <w:p w14:paraId="147EF14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Biannual reports were sent on the number and rationality of laboratory testing compared with peers. Results showed a decrease of 25.0% in 46 blood tests.</w:t>
            </w:r>
          </w:p>
          <w:p w14:paraId="64FB04C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CF3849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Fowkes et al. </w:t>
            </w:r>
            <w:r w:rsidRPr="00CC0461">
              <w:rPr>
                <w:b/>
                <w:i/>
                <w:color w:val="000000"/>
                <w:sz w:val="20"/>
                <w:szCs w:val="20"/>
              </w:rPr>
              <w:t>Br Med J</w:t>
            </w:r>
            <w:r w:rsidRPr="00CC0461">
              <w:rPr>
                <w:b/>
                <w:color w:val="000000"/>
                <w:sz w:val="20"/>
                <w:szCs w:val="20"/>
              </w:rPr>
              <w:t xml:space="preserve"> 1986;292:883–5.</w:t>
            </w:r>
          </w:p>
          <w:p w14:paraId="75333C9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guideline on testing was distributed and weekly meetings were held with medical staff to discuss their use of tests in the previous week. Results showed a decrease of 63.4% in all blood tests.</w:t>
            </w:r>
          </w:p>
          <w:p w14:paraId="49A890F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2CD8C5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Gama et al. </w:t>
            </w:r>
            <w:r w:rsidRPr="00CC0461">
              <w:rPr>
                <w:b/>
                <w:i/>
                <w:color w:val="000000"/>
                <w:sz w:val="20"/>
                <w:szCs w:val="20"/>
              </w:rPr>
              <w:t>Ann Clin Biochem</w:t>
            </w:r>
            <w:r w:rsidRPr="00CC0461">
              <w:rPr>
                <w:b/>
                <w:color w:val="000000"/>
                <w:sz w:val="20"/>
                <w:szCs w:val="20"/>
              </w:rPr>
              <w:t xml:space="preserve"> 1991;28(Pt 2):143–9.</w:t>
            </w:r>
          </w:p>
          <w:p w14:paraId="028D220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Data on personal and peer expenditure of laboratory resources was given to physicians monthly for 12 months. Results showed a decrease of 24.6% in all clinical chemistry tests.</w:t>
            </w:r>
          </w:p>
          <w:p w14:paraId="7B5EF9C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5A1FB1B" w14:textId="77777777" w:rsidR="00C9672D" w:rsidRPr="007D2D4C"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lang w:val="fr-CA"/>
              </w:rPr>
            </w:pPr>
            <w:r w:rsidRPr="007D2D4C">
              <w:rPr>
                <w:b/>
                <w:color w:val="000000"/>
                <w:sz w:val="20"/>
                <w:szCs w:val="20"/>
                <w:lang w:val="fr-CA"/>
              </w:rPr>
              <w:t xml:space="preserve">Gamma et al. </w:t>
            </w:r>
            <w:r w:rsidRPr="007D2D4C">
              <w:rPr>
                <w:b/>
                <w:i/>
                <w:color w:val="000000"/>
                <w:sz w:val="20"/>
                <w:szCs w:val="20"/>
                <w:lang w:val="fr-CA"/>
              </w:rPr>
              <w:t>J Clin Pathol</w:t>
            </w:r>
            <w:r w:rsidRPr="007D2D4C">
              <w:rPr>
                <w:b/>
                <w:color w:val="000000"/>
                <w:sz w:val="20"/>
                <w:szCs w:val="20"/>
                <w:lang w:val="fr-CA"/>
              </w:rPr>
              <w:t xml:space="preserve"> 1992;45:248–9.</w:t>
            </w:r>
          </w:p>
          <w:p w14:paraId="322AE5E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Data on personal and peer clinical chemistry expenditure per patient was provided to physicians monthly for 12 months. Results showed a decrease of 27.0% in all clinical chemistry and haematology tests.</w:t>
            </w:r>
          </w:p>
          <w:p w14:paraId="32C246A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21E356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Gortmaker et al. </w:t>
            </w:r>
            <w:r w:rsidRPr="00CC0461">
              <w:rPr>
                <w:b/>
                <w:i/>
                <w:color w:val="000000"/>
                <w:sz w:val="20"/>
                <w:szCs w:val="20"/>
              </w:rPr>
              <w:t>Med Care</w:t>
            </w:r>
            <w:r w:rsidRPr="00CC0461">
              <w:rPr>
                <w:b/>
                <w:color w:val="000000"/>
                <w:sz w:val="20"/>
                <w:szCs w:val="20"/>
              </w:rPr>
              <w:t xml:space="preserve"> 1988;26:631–42.</w:t>
            </w:r>
          </w:p>
          <w:p w14:paraId="3BF4D45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Nine staff meetings were held to discuss cost issues. Data on excess usage was sent to all doctors. All physicians reached a consensus on when each test was considered inappropriate. Results showed a decrease of 14.0% in 11 tests.</w:t>
            </w:r>
          </w:p>
          <w:p w14:paraId="3A81FDF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27F8E51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Grivell et al. </w:t>
            </w:r>
            <w:r w:rsidRPr="00CC0461">
              <w:rPr>
                <w:b/>
                <w:i/>
                <w:color w:val="000000"/>
                <w:sz w:val="20"/>
                <w:szCs w:val="20"/>
              </w:rPr>
              <w:t>Clin Chem</w:t>
            </w:r>
            <w:r w:rsidRPr="00CC0461">
              <w:rPr>
                <w:b/>
                <w:color w:val="000000"/>
                <w:sz w:val="20"/>
                <w:szCs w:val="20"/>
              </w:rPr>
              <w:t xml:space="preserve"> 1981;27:1717–20.</w:t>
            </w:r>
          </w:p>
          <w:p w14:paraId="12788C1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Physicians received a report every 4 weeks on the type and number of tests ordered. Physicians were also shown where they ranked in comparison to their peers. Results showed no change.</w:t>
            </w:r>
          </w:p>
          <w:p w14:paraId="35A2990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39D4AEF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Lewandrowski et al. </w:t>
            </w:r>
            <w:r w:rsidRPr="00CC0461">
              <w:rPr>
                <w:b/>
                <w:i/>
                <w:color w:val="000000"/>
                <w:sz w:val="20"/>
                <w:szCs w:val="20"/>
              </w:rPr>
              <w:t>Lab Med</w:t>
            </w:r>
            <w:r w:rsidRPr="00CC0461">
              <w:rPr>
                <w:b/>
                <w:color w:val="000000"/>
                <w:sz w:val="20"/>
                <w:szCs w:val="20"/>
              </w:rPr>
              <w:t xml:space="preserve"> 1994;25:460–3.</w:t>
            </w:r>
          </w:p>
          <w:p w14:paraId="2F49911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guideline on appropriate testing was developed. All requests were then reviewed by laboratory staff and the ordering physician was contacted if the request was not in accordance with the guideline. Results showed a decrease of 99.6% in isoenzyme tests.</w:t>
            </w:r>
          </w:p>
          <w:p w14:paraId="344F611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44C8B5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Martin et al. </w:t>
            </w:r>
            <w:r w:rsidRPr="00CC0461">
              <w:rPr>
                <w:b/>
                <w:i/>
                <w:color w:val="000000"/>
                <w:sz w:val="20"/>
                <w:szCs w:val="20"/>
              </w:rPr>
              <w:t>N Engl J Med</w:t>
            </w:r>
            <w:r w:rsidRPr="00CC0461">
              <w:rPr>
                <w:b/>
                <w:color w:val="000000"/>
                <w:sz w:val="20"/>
                <w:szCs w:val="20"/>
              </w:rPr>
              <w:t xml:space="preserve"> 1980;303:1330–6.</w:t>
            </w:r>
          </w:p>
          <w:p w14:paraId="678B711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There was a 1-hour lecture on laboratory costs. Senior physicians then met weekly with residents; they reviewed cases and suggested changes in test ordering practices.</w:t>
            </w:r>
          </w:p>
          <w:p w14:paraId="6B7E2DF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an increase of 17.8% in tests.</w:t>
            </w:r>
          </w:p>
          <w:p w14:paraId="62B60F7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7D7BD44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Marton et al. </w:t>
            </w:r>
            <w:r w:rsidRPr="00CC0461">
              <w:rPr>
                <w:b/>
                <w:i/>
                <w:color w:val="000000"/>
                <w:sz w:val="20"/>
                <w:szCs w:val="20"/>
              </w:rPr>
              <w:t>Arch Intern Med</w:t>
            </w:r>
            <w:r w:rsidRPr="00CC0461">
              <w:rPr>
                <w:b/>
                <w:color w:val="000000"/>
                <w:sz w:val="20"/>
                <w:szCs w:val="20"/>
              </w:rPr>
              <w:t xml:space="preserve"> 1985;145:816–21.</w:t>
            </w:r>
          </w:p>
          <w:p w14:paraId="128C247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Feedback on laboratory usage and costs incurred was shown to trainees along with their usage compared with peers. A manual about rational test ordering was given to the trainees. They also received feedback on laboratory usage, costs incurred and their usage compared with peers. Results showed a decrease of 33.3% in all blood tests.</w:t>
            </w:r>
          </w:p>
          <w:p w14:paraId="255F3C8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51A0C37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Pop et al. </w:t>
            </w:r>
            <w:r w:rsidRPr="00CC0461">
              <w:rPr>
                <w:b/>
                <w:i/>
                <w:color w:val="000000"/>
                <w:sz w:val="20"/>
                <w:szCs w:val="20"/>
              </w:rPr>
              <w:t>J R Coll Gen Pract</w:t>
            </w:r>
            <w:r w:rsidRPr="00CC0461">
              <w:rPr>
                <w:b/>
                <w:color w:val="000000"/>
                <w:sz w:val="20"/>
                <w:szCs w:val="20"/>
              </w:rPr>
              <w:t xml:space="preserve"> 1989;39:507–8.</w:t>
            </w:r>
          </w:p>
          <w:p w14:paraId="1F781C6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Two times per year physicians were given a report of tests they had ordered and whether they were appropriate or not. Physicians were also informed of their redundant tests.</w:t>
            </w:r>
          </w:p>
          <w:p w14:paraId="5DE56EC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 decrease of 36.2% in selected tests.</w:t>
            </w:r>
          </w:p>
          <w:p w14:paraId="45D7DBA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051360B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Power et al. </w:t>
            </w:r>
            <w:r w:rsidRPr="00CC0461">
              <w:rPr>
                <w:b/>
                <w:i/>
                <w:color w:val="000000"/>
                <w:sz w:val="20"/>
                <w:szCs w:val="20"/>
              </w:rPr>
              <w:t>Anaesth Intensive Care</w:t>
            </w:r>
            <w:r w:rsidRPr="00CC0461">
              <w:rPr>
                <w:b/>
                <w:color w:val="000000"/>
                <w:sz w:val="20"/>
                <w:szCs w:val="20"/>
              </w:rPr>
              <w:t xml:space="preserve"> 1999;27:481–8.</w:t>
            </w:r>
          </w:p>
          <w:p w14:paraId="53719F9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Published guidelines on test ordering were distributed. A maximum number of tests per patient was instituted and test ordering was reviewed by a consultant.</w:t>
            </w:r>
          </w:p>
          <w:p w14:paraId="490491F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showed a decrease of 37.1% in selected tests.</w:t>
            </w:r>
          </w:p>
          <w:p w14:paraId="4F6175D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p w14:paraId="68F2BEA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C0461">
              <w:rPr>
                <w:b/>
                <w:color w:val="000000"/>
                <w:sz w:val="20"/>
                <w:szCs w:val="20"/>
              </w:rPr>
              <w:t xml:space="preserve">Ramoska et al. </w:t>
            </w:r>
            <w:r w:rsidRPr="00CC0461">
              <w:rPr>
                <w:b/>
                <w:i/>
                <w:color w:val="000000"/>
                <w:sz w:val="20"/>
                <w:szCs w:val="20"/>
              </w:rPr>
              <w:t>Am J Emerg Med</w:t>
            </w:r>
            <w:r w:rsidRPr="00CC0461">
              <w:rPr>
                <w:b/>
                <w:color w:val="000000"/>
                <w:sz w:val="20"/>
                <w:szCs w:val="20"/>
              </w:rPr>
              <w:t xml:space="preserve"> 1998;16:34–6.</w:t>
            </w:r>
          </w:p>
          <w:p w14:paraId="4387F430"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Graphs of laboratory utilisation and costs of laboratory tests at the hospital was displayed on a bulletin board. Results showed a decrease of 17.8% in all blood tests.</w:t>
            </w:r>
          </w:p>
        </w:tc>
        <w:tc>
          <w:tcPr>
            <w:tcW w:w="1556" w:type="pct"/>
            <w:tcBorders>
              <w:top w:val="single" w:sz="18" w:space="0" w:color="B66113"/>
              <w:bottom w:val="single" w:sz="18" w:space="0" w:color="B66113"/>
            </w:tcBorders>
            <w:hideMark/>
          </w:tcPr>
          <w:p w14:paraId="51AFBD2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Audit feedback interventions, overall: median RR (IQR) 22.0 (8.6 to 34.6). Percentage relative reductions in test utilisation were statistically significantly decreased vs controls with 18/51 interventions: median RR (IQR) 22.0 (8.6 to 34.6); for exclusively audit and feedback interventions: median RR (IQR) 18.4 (2.1 to 24.8). For exclusively cost display: median RR (IQR) 18.4 (2.1 to 28.8).</w:t>
            </w:r>
          </w:p>
        </w:tc>
      </w:tr>
      <w:tr w:rsidR="00C9672D" w:rsidRPr="00CC0461" w14:paraId="7CE1B76C" w14:textId="77777777" w:rsidTr="00C9672D">
        <w:trPr>
          <w:gridAfter w:val="1"/>
          <w:wAfter w:w="9" w:type="pct"/>
          <w:trHeight w:val="144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noWrap/>
            <w:hideMark/>
          </w:tcPr>
          <w:p w14:paraId="07081C65"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Légaré F (2016)</w:t>
            </w:r>
          </w:p>
        </w:tc>
        <w:tc>
          <w:tcPr>
            <w:tcW w:w="2774" w:type="pct"/>
            <w:tcBorders>
              <w:top w:val="single" w:sz="18" w:space="0" w:color="B66113"/>
              <w:bottom w:val="single" w:sz="4" w:space="0" w:color="C0C0C0"/>
            </w:tcBorders>
            <w:hideMark/>
          </w:tcPr>
          <w:p w14:paraId="5D36157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Modell et al. </w:t>
            </w:r>
            <w:r w:rsidRPr="00CC0461">
              <w:rPr>
                <w:b/>
                <w:bCs/>
                <w:i/>
                <w:color w:val="000000"/>
                <w:sz w:val="20"/>
                <w:szCs w:val="20"/>
              </w:rPr>
              <w:t>BMJ</w:t>
            </w:r>
            <w:r w:rsidRPr="00CC0461">
              <w:rPr>
                <w:b/>
                <w:bCs/>
                <w:color w:val="000000"/>
                <w:sz w:val="20"/>
                <w:szCs w:val="20"/>
              </w:rPr>
              <w:t xml:space="preserve"> 1998;317:788</w:t>
            </w:r>
            <w:r w:rsidRPr="00CC0461">
              <w:rPr>
                <w:rFonts w:cs="Arial"/>
                <w:b/>
                <w:bCs/>
                <w:color w:val="000000"/>
                <w:sz w:val="20"/>
                <w:szCs w:val="20"/>
              </w:rPr>
              <w:t>–</w:t>
            </w:r>
            <w:r w:rsidRPr="00CC0461">
              <w:rPr>
                <w:b/>
                <w:bCs/>
                <w:color w:val="000000"/>
                <w:sz w:val="20"/>
                <w:szCs w:val="20"/>
              </w:rPr>
              <w:t>91.</w:t>
            </w:r>
            <w:r w:rsidRPr="00CC0461">
              <w:rPr>
                <w:color w:val="000000"/>
                <w:sz w:val="20"/>
                <w:szCs w:val="20"/>
              </w:rPr>
              <w:br/>
              <w:t>An intervention designed to increase uptake of genetic testing for haemoglobin disorders was effective for a number of screening test requests at 1 year (no statistics provided).</w:t>
            </w:r>
            <w:r w:rsidRPr="00CC0461">
              <w:rPr>
                <w:color w:val="000000"/>
                <w:sz w:val="20"/>
                <w:szCs w:val="20"/>
              </w:rPr>
              <w:br/>
              <w:t>Audit and feedback effective regarding knowledge-related outcomes in 0/0 studies.</w:t>
            </w:r>
            <w:r w:rsidRPr="00CC0461">
              <w:rPr>
                <w:color w:val="000000"/>
                <w:sz w:val="20"/>
                <w:szCs w:val="20"/>
              </w:rPr>
              <w:br/>
              <w:t>Audit and feedback effective regarding behaviour-related outcomes in 1/1 studies.</w:t>
            </w:r>
            <w:r w:rsidRPr="00CC0461">
              <w:rPr>
                <w:color w:val="000000"/>
                <w:sz w:val="20"/>
                <w:szCs w:val="20"/>
              </w:rPr>
              <w:br/>
              <w:t>Audit and feedback effective regarding wellbeing-related outcomes in 0/0 studies.</w:t>
            </w:r>
          </w:p>
        </w:tc>
        <w:tc>
          <w:tcPr>
            <w:tcW w:w="1556" w:type="pct"/>
            <w:tcBorders>
              <w:top w:val="single" w:sz="18" w:space="0" w:color="B66113"/>
              <w:bottom w:val="single" w:sz="4" w:space="0" w:color="C0C0C0"/>
            </w:tcBorders>
            <w:hideMark/>
          </w:tcPr>
          <w:p w14:paraId="7EE39BE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A single study showed that audit and feedback may be effective at improving ‘behaviour-related’ outcomes (eg, intention to undergo genetic testing, quitting smoking after genetic testing).</w:t>
            </w:r>
          </w:p>
        </w:tc>
      </w:tr>
      <w:tr w:rsidR="00C9672D" w:rsidRPr="00CC0461" w14:paraId="08B27043" w14:textId="77777777" w:rsidTr="00C9672D">
        <w:trPr>
          <w:gridAfter w:val="1"/>
          <w:wAfter w:w="9" w:type="pct"/>
          <w:trHeight w:val="504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noWrap/>
            <w:hideMark/>
          </w:tcPr>
          <w:p w14:paraId="7A46B2D3" w14:textId="77777777" w:rsidR="00C9672D" w:rsidRPr="00CC0461" w:rsidRDefault="00C9672D" w:rsidP="00C9672D">
            <w:pPr>
              <w:spacing w:before="0" w:line="240" w:lineRule="auto"/>
              <w:rPr>
                <w:color w:val="000000"/>
                <w:sz w:val="20"/>
                <w:szCs w:val="20"/>
              </w:rPr>
            </w:pPr>
            <w:r w:rsidRPr="00CC0461">
              <w:rPr>
                <w:color w:val="000000"/>
                <w:sz w:val="20"/>
                <w:szCs w:val="20"/>
              </w:rPr>
              <w:t>Chaudhuri D (2016)</w:t>
            </w:r>
          </w:p>
        </w:tc>
        <w:tc>
          <w:tcPr>
            <w:tcW w:w="2774" w:type="pct"/>
            <w:tcBorders>
              <w:top w:val="single" w:sz="4" w:space="0" w:color="C0C0C0"/>
              <w:bottom w:val="single" w:sz="18" w:space="0" w:color="B66113"/>
            </w:tcBorders>
            <w:hideMark/>
          </w:tcPr>
          <w:p w14:paraId="05474DF4" w14:textId="77777777" w:rsidR="00C9672D" w:rsidRPr="00CC0461" w:rsidRDefault="00C9672D" w:rsidP="00C9672D">
            <w:pPr>
              <w:spacing w:before="0" w:after="24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Bhatia et al</w:t>
            </w:r>
            <w:r w:rsidRPr="00CC0461">
              <w:rPr>
                <w:b/>
                <w:bCs/>
                <w:i/>
                <w:color w:val="000000"/>
                <w:sz w:val="20"/>
                <w:szCs w:val="20"/>
              </w:rPr>
              <w:t>. JACC Cardiovas imaging</w:t>
            </w:r>
            <w:r w:rsidRPr="00CC0461">
              <w:rPr>
                <w:b/>
                <w:bCs/>
                <w:color w:val="000000"/>
                <w:sz w:val="20"/>
                <w:szCs w:val="20"/>
              </w:rPr>
              <w:t xml:space="preserve"> 2014;7:857–66</w:t>
            </w:r>
            <w:r w:rsidRPr="00CC0461">
              <w:rPr>
                <w:color w:val="000000"/>
                <w:sz w:val="20"/>
                <w:szCs w:val="20"/>
              </w:rPr>
              <w:br/>
              <w:t>An RCT evaluating the use of lectures, a pocket card, and monthly individualised feedback with a 9-month follow-up showed an improvement in inappropriate cardiac testing (OR 0.30, 95% CI 0.15 to 0.58).</w:t>
            </w:r>
            <w:r w:rsidRPr="00CC0461">
              <w:rPr>
                <w:color w:val="000000"/>
                <w:sz w:val="20"/>
                <w:szCs w:val="20"/>
              </w:rPr>
              <w:br/>
            </w:r>
            <w:r w:rsidRPr="00CC0461">
              <w:rPr>
                <w:b/>
                <w:bCs/>
                <w:color w:val="000000"/>
                <w:sz w:val="20"/>
                <w:szCs w:val="20"/>
              </w:rPr>
              <w:br/>
              <w:t xml:space="preserve">Chinnaiyan et al. </w:t>
            </w:r>
            <w:r w:rsidRPr="00CC0461">
              <w:rPr>
                <w:b/>
                <w:bCs/>
                <w:i/>
                <w:color w:val="000000"/>
                <w:sz w:val="20"/>
                <w:szCs w:val="20"/>
              </w:rPr>
              <w:t>J Am Coll Cardiol</w:t>
            </w:r>
            <w:r w:rsidRPr="00CC0461">
              <w:rPr>
                <w:b/>
                <w:bCs/>
                <w:color w:val="000000"/>
                <w:sz w:val="20"/>
                <w:szCs w:val="20"/>
              </w:rPr>
              <w:t xml:space="preserve"> 2012;60:1185–91.</w:t>
            </w:r>
            <w:r w:rsidRPr="00CC0461">
              <w:rPr>
                <w:color w:val="000000"/>
                <w:sz w:val="20"/>
                <w:szCs w:val="20"/>
              </w:rPr>
              <w:br/>
              <w:t>In a multicentre study with a 6-month follow-up, didactic sessions and letters to physicians, results showed an improvement in the reduction of inappropriate cardiac testing (OR 0.36, 95% CI 0.31 to 0.43). Appropriate use of scans increased from 61.3% to 80.0% and inappropriate use decreased from 14.6% to 5.8%.</w:t>
            </w:r>
            <w:r w:rsidRPr="00CC0461">
              <w:rPr>
                <w:color w:val="000000"/>
                <w:sz w:val="20"/>
                <w:szCs w:val="20"/>
              </w:rPr>
              <w:br/>
            </w:r>
            <w:r w:rsidRPr="00CC0461">
              <w:rPr>
                <w:color w:val="000000"/>
                <w:sz w:val="20"/>
                <w:szCs w:val="20"/>
              </w:rPr>
              <w:br/>
            </w:r>
            <w:r w:rsidRPr="00CC0461">
              <w:rPr>
                <w:b/>
                <w:bCs/>
                <w:color w:val="000000"/>
                <w:sz w:val="20"/>
                <w:szCs w:val="20"/>
              </w:rPr>
              <w:t xml:space="preserve">Johnson et al. </w:t>
            </w:r>
            <w:r w:rsidRPr="00CC0461">
              <w:rPr>
                <w:b/>
                <w:bCs/>
                <w:i/>
                <w:color w:val="000000"/>
                <w:sz w:val="20"/>
                <w:szCs w:val="20"/>
              </w:rPr>
              <w:t>J Am Soc Echocardiogr</w:t>
            </w:r>
            <w:r w:rsidRPr="00CC0461">
              <w:rPr>
                <w:b/>
                <w:bCs/>
                <w:color w:val="000000"/>
                <w:sz w:val="20"/>
                <w:szCs w:val="20"/>
              </w:rPr>
              <w:t xml:space="preserve"> 2014;27:749</w:t>
            </w:r>
            <w:r w:rsidRPr="00CC0461">
              <w:rPr>
                <w:rFonts w:cs="Arial"/>
                <w:b/>
                <w:bCs/>
                <w:color w:val="000000"/>
                <w:sz w:val="20"/>
                <w:szCs w:val="20"/>
              </w:rPr>
              <w:t>–</w:t>
            </w:r>
            <w:r w:rsidRPr="00CC0461">
              <w:rPr>
                <w:b/>
                <w:bCs/>
                <w:color w:val="000000"/>
                <w:sz w:val="20"/>
                <w:szCs w:val="20"/>
              </w:rPr>
              <w:t>57.</w:t>
            </w:r>
            <w:r w:rsidRPr="00CC0461">
              <w:rPr>
                <w:color w:val="000000"/>
                <w:sz w:val="20"/>
                <w:szCs w:val="20"/>
              </w:rPr>
              <w:br/>
              <w:t>A single centre observational study using didactic lectures, and physician audit and feedback (individualised reports, inappropriate studies listed by patient record and indication) with results benchmarked to performance of the group showed an improvement in ordering of inappropriate cardiac tests at 2-year follow-up (OR 0.31, 95% CI 0.15 to 0.61).</w:t>
            </w:r>
            <w:r w:rsidRPr="00CC0461">
              <w:rPr>
                <w:color w:val="000000"/>
                <w:sz w:val="20"/>
                <w:szCs w:val="20"/>
              </w:rPr>
              <w:br/>
            </w:r>
            <w:r w:rsidRPr="00CC0461">
              <w:rPr>
                <w:color w:val="000000"/>
                <w:sz w:val="20"/>
                <w:szCs w:val="20"/>
              </w:rPr>
              <w:br/>
            </w:r>
            <w:r w:rsidRPr="00CC0461">
              <w:rPr>
                <w:b/>
                <w:bCs/>
                <w:color w:val="000000"/>
                <w:sz w:val="20"/>
                <w:szCs w:val="20"/>
              </w:rPr>
              <w:t xml:space="preserve">Lin et al. </w:t>
            </w:r>
            <w:r w:rsidRPr="00CC0461">
              <w:rPr>
                <w:b/>
                <w:bCs/>
                <w:i/>
                <w:color w:val="000000"/>
                <w:sz w:val="20"/>
                <w:szCs w:val="20"/>
              </w:rPr>
              <w:t>J Am Coll Cardiol</w:t>
            </w:r>
            <w:r w:rsidRPr="00CC0461">
              <w:rPr>
                <w:b/>
                <w:bCs/>
                <w:color w:val="000000"/>
                <w:sz w:val="20"/>
                <w:szCs w:val="20"/>
              </w:rPr>
              <w:t xml:space="preserve"> 2013;62:308</w:t>
            </w:r>
            <w:r w:rsidRPr="00CC0461">
              <w:rPr>
                <w:rFonts w:cs="Arial"/>
                <w:b/>
                <w:bCs/>
                <w:color w:val="000000"/>
                <w:sz w:val="20"/>
                <w:szCs w:val="20"/>
              </w:rPr>
              <w:t>–</w:t>
            </w:r>
            <w:r w:rsidRPr="00CC0461">
              <w:rPr>
                <w:b/>
                <w:bCs/>
                <w:color w:val="000000"/>
                <w:sz w:val="20"/>
                <w:szCs w:val="20"/>
              </w:rPr>
              <w:t>16.</w:t>
            </w:r>
            <w:r w:rsidRPr="00CC0461">
              <w:rPr>
                <w:color w:val="000000"/>
                <w:sz w:val="20"/>
                <w:szCs w:val="20"/>
              </w:rPr>
              <w:br/>
              <w:t>A physician audit and feedback intervention with computer-based decision support tool providing real-time feedback showed an improvement in ordering of inappropriate cardiac tests at 8-month follow-up (OR 0.22, 95% CI 0.0 to 0.54).</w:t>
            </w:r>
          </w:p>
        </w:tc>
        <w:tc>
          <w:tcPr>
            <w:tcW w:w="1556" w:type="pct"/>
            <w:tcBorders>
              <w:top w:val="single" w:sz="4" w:space="0" w:color="C0C0C0"/>
              <w:bottom w:val="single" w:sz="18" w:space="0" w:color="B66113"/>
            </w:tcBorders>
            <w:hideMark/>
          </w:tcPr>
          <w:p w14:paraId="1B864284"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Overall, interventions were associated with significantly lower odds of inappropriate testing (OR 0.44, 95% CI 0.32 to 0.61, p &lt; 0.001). However, there was significant heterogeneity observed between studies (I</w:t>
            </w:r>
            <w:r w:rsidRPr="00CC0461">
              <w:rPr>
                <w:color w:val="000000"/>
                <w:sz w:val="20"/>
                <w:szCs w:val="20"/>
                <w:vertAlign w:val="subscript"/>
              </w:rPr>
              <w:t>2</w:t>
            </w:r>
            <w:r w:rsidRPr="00CC0461">
              <w:rPr>
                <w:color w:val="000000"/>
                <w:sz w:val="20"/>
                <w:szCs w:val="20"/>
              </w:rPr>
              <w:t xml:space="preserve"> = 70%).</w:t>
            </w:r>
            <w:r w:rsidRPr="00CC0461">
              <w:rPr>
                <w:color w:val="000000"/>
                <w:sz w:val="20"/>
                <w:szCs w:val="20"/>
              </w:rPr>
              <w:br/>
              <w:t>Initiatives were associated with higher odds of appropriate testing (OR 1.67, 95% CI 1.19 to 2.35), with significant heterogeneity observed (I</w:t>
            </w:r>
            <w:r w:rsidRPr="00CC0461">
              <w:rPr>
                <w:color w:val="000000"/>
                <w:sz w:val="20"/>
                <w:szCs w:val="20"/>
                <w:vertAlign w:val="subscript"/>
              </w:rPr>
              <w:t>2</w:t>
            </w:r>
            <w:r w:rsidRPr="00CC0461">
              <w:rPr>
                <w:color w:val="000000"/>
                <w:sz w:val="20"/>
                <w:szCs w:val="20"/>
              </w:rPr>
              <w:t xml:space="preserve">=0.87). The presence of a physician audit and feedback mechanism was associated with lower odds of inappropriate testing (OR 0.36, 95% CI 0.31 to 0.41, p &lt; 0.001), whereas studies that lacked this process had no significant effect on inappropriate testing (OR 0.89, 95% CI 0.61 to 1.29, p = 0.51; p-value for difference &lt; 0.001). </w:t>
            </w:r>
          </w:p>
        </w:tc>
      </w:tr>
      <w:tr w:rsidR="00C9672D" w:rsidRPr="00CC0461" w14:paraId="275008CE" w14:textId="77777777" w:rsidTr="00C9672D">
        <w:trPr>
          <w:gridAfter w:val="1"/>
          <w:wAfter w:w="9" w:type="pct"/>
          <w:trHeight w:val="8190"/>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18" w:space="0" w:color="B66113"/>
            </w:tcBorders>
            <w:hideMark/>
          </w:tcPr>
          <w:p w14:paraId="4089778E"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(2016)</w:t>
            </w:r>
            <w:r w:rsidRPr="00CC0461">
              <w:rPr>
                <w:color w:val="000000"/>
                <w:sz w:val="20"/>
                <w:szCs w:val="20"/>
              </w:rPr>
              <w:br/>
            </w:r>
          </w:p>
        </w:tc>
        <w:tc>
          <w:tcPr>
            <w:tcW w:w="2774" w:type="pct"/>
            <w:tcBorders>
              <w:top w:val="single" w:sz="18" w:space="0" w:color="B66113"/>
              <w:bottom w:val="single" w:sz="18" w:space="0" w:color="B66113"/>
            </w:tcBorders>
            <w:hideMark/>
          </w:tcPr>
          <w:p w14:paraId="74BC6BC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Winkens et al. </w:t>
            </w:r>
            <w:r w:rsidRPr="00CC0461">
              <w:rPr>
                <w:b/>
                <w:bCs/>
                <w:i/>
                <w:color w:val="000000"/>
                <w:sz w:val="20"/>
                <w:szCs w:val="20"/>
              </w:rPr>
              <w:t>Lancet</w:t>
            </w:r>
            <w:r w:rsidRPr="00CC0461">
              <w:rPr>
                <w:b/>
                <w:bCs/>
                <w:color w:val="000000"/>
                <w:sz w:val="20"/>
                <w:szCs w:val="20"/>
              </w:rPr>
              <w:t xml:space="preserve"> 1995;345:498–502.</w:t>
            </w:r>
            <w:r w:rsidRPr="00CC0461">
              <w:rPr>
                <w:color w:val="000000"/>
                <w:sz w:val="20"/>
                <w:szCs w:val="20"/>
              </w:rPr>
              <w:t xml:space="preserve"> </w:t>
            </w:r>
            <w:r w:rsidRPr="00CC0461">
              <w:rPr>
                <w:color w:val="000000"/>
                <w:sz w:val="20"/>
                <w:szCs w:val="20"/>
              </w:rPr>
              <w:br/>
              <w:t>Feedback to physicians over a 9-year period; there was a 19% decrease in test ordering but in another centre that did not receive feedback there was a 49% increase.</w:t>
            </w:r>
            <w:r w:rsidRPr="00CC0461">
              <w:rPr>
                <w:color w:val="000000"/>
                <w:sz w:val="20"/>
                <w:szCs w:val="20"/>
              </w:rPr>
              <w:br/>
            </w:r>
            <w:r w:rsidRPr="00CC0461">
              <w:rPr>
                <w:color w:val="000000"/>
                <w:sz w:val="20"/>
                <w:szCs w:val="20"/>
              </w:rPr>
              <w:br/>
            </w:r>
            <w:r w:rsidRPr="00CC0461">
              <w:rPr>
                <w:b/>
                <w:bCs/>
                <w:color w:val="000000"/>
                <w:sz w:val="20"/>
                <w:szCs w:val="20"/>
              </w:rPr>
              <w:t xml:space="preserve">O'Connor et al. </w:t>
            </w:r>
            <w:r w:rsidRPr="00CC0461">
              <w:rPr>
                <w:b/>
                <w:bCs/>
                <w:i/>
                <w:color w:val="000000"/>
                <w:sz w:val="20"/>
                <w:szCs w:val="20"/>
              </w:rPr>
              <w:t>Diabetes Care</w:t>
            </w:r>
            <w:r w:rsidRPr="00CC0461">
              <w:rPr>
                <w:b/>
                <w:bCs/>
                <w:color w:val="000000"/>
                <w:sz w:val="20"/>
                <w:szCs w:val="20"/>
              </w:rPr>
              <w:t xml:space="preserve"> 2009;32:1158–63.</w:t>
            </w:r>
            <w:r w:rsidRPr="00CC0461">
              <w:rPr>
                <w:color w:val="000000"/>
                <w:sz w:val="20"/>
                <w:szCs w:val="20"/>
              </w:rPr>
              <w:br/>
              <w:t xml:space="preserve">1. Patient feedback (mailed information). </w:t>
            </w:r>
          </w:p>
          <w:p w14:paraId="7B7FD8C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 xml:space="preserve">2. Physician feedback (prioritised lists of patients with recommended clinic actions). </w:t>
            </w:r>
          </w:p>
          <w:p w14:paraId="72AB631D"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3. Both patient and physician.</w:t>
            </w:r>
          </w:p>
          <w:p w14:paraId="34064B3E"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LDL testing, patient intervention 0.8% greater (p &lt; 0.05); physician intervention 3% lower (p &lt; 0.01); both interventions 1.1% lower (p &lt; 0.01) compared with control. For HbA</w:t>
            </w:r>
            <w:r w:rsidRPr="00CC0461">
              <w:rPr>
                <w:color w:val="000000"/>
                <w:sz w:val="20"/>
                <w:szCs w:val="20"/>
                <w:vertAlign w:val="subscript"/>
              </w:rPr>
              <w:t>1c</w:t>
            </w:r>
            <w:r w:rsidRPr="00CC0461">
              <w:rPr>
                <w:color w:val="000000"/>
                <w:sz w:val="20"/>
                <w:szCs w:val="20"/>
              </w:rPr>
              <w:t>, patient intervention was 0.6% greater in control, physician intervention was 3.4% greater in control, both interventions were 3.6% greater in controls (all non-significant).</w:t>
            </w:r>
            <w:r w:rsidRPr="00CC0461">
              <w:rPr>
                <w:color w:val="000000"/>
                <w:sz w:val="20"/>
                <w:szCs w:val="20"/>
              </w:rPr>
              <w:br/>
            </w:r>
            <w:r w:rsidRPr="00CC0461">
              <w:rPr>
                <w:color w:val="000000"/>
                <w:sz w:val="20"/>
                <w:szCs w:val="20"/>
              </w:rPr>
              <w:br/>
            </w:r>
            <w:r w:rsidRPr="00CC0461">
              <w:rPr>
                <w:b/>
                <w:bCs/>
                <w:color w:val="000000"/>
                <w:sz w:val="20"/>
                <w:szCs w:val="20"/>
              </w:rPr>
              <w:t xml:space="preserve">Kiefe et al. </w:t>
            </w:r>
            <w:r w:rsidRPr="00CC0461">
              <w:rPr>
                <w:b/>
                <w:bCs/>
                <w:i/>
                <w:color w:val="000000"/>
                <w:sz w:val="20"/>
                <w:szCs w:val="20"/>
              </w:rPr>
              <w:t>JAMA</w:t>
            </w:r>
            <w:r w:rsidRPr="00CC0461">
              <w:rPr>
                <w:b/>
                <w:bCs/>
                <w:color w:val="000000"/>
                <w:sz w:val="20"/>
                <w:szCs w:val="20"/>
              </w:rPr>
              <w:t xml:space="preserve"> 2001;285:2871–9.</w:t>
            </w:r>
            <w:r w:rsidRPr="00CC0461">
              <w:rPr>
                <w:color w:val="000000"/>
                <w:sz w:val="20"/>
                <w:szCs w:val="20"/>
              </w:rPr>
              <w:br/>
              <w:t>Chart review, specific feedback, achievable benchmarks vs chart review, specific feedback for cholesterol and triglycerides. Cholesterol was 5% greater (p = 0.13), triglycerides were 2% greater (p = 0.22) and glucose was 5% greater with the intervention (no significance statement).</w:t>
            </w:r>
            <w:r w:rsidRPr="00CC0461">
              <w:rPr>
                <w:color w:val="000000"/>
                <w:sz w:val="20"/>
                <w:szCs w:val="20"/>
              </w:rPr>
              <w:br/>
            </w:r>
            <w:r w:rsidRPr="00CC0461">
              <w:rPr>
                <w:b/>
                <w:bCs/>
                <w:color w:val="000000"/>
                <w:sz w:val="20"/>
                <w:szCs w:val="20"/>
              </w:rPr>
              <w:br/>
              <w:t xml:space="preserve">Bonevski et al. </w:t>
            </w:r>
            <w:r w:rsidRPr="00CC0461">
              <w:rPr>
                <w:b/>
                <w:bCs/>
                <w:i/>
                <w:color w:val="000000"/>
                <w:sz w:val="20"/>
                <w:szCs w:val="20"/>
              </w:rPr>
              <w:t>Prev Med</w:t>
            </w:r>
            <w:r w:rsidRPr="00CC0461">
              <w:rPr>
                <w:b/>
                <w:bCs/>
                <w:color w:val="000000"/>
                <w:sz w:val="20"/>
                <w:szCs w:val="20"/>
              </w:rPr>
              <w:t xml:space="preserve"> 1999;29:478–86.</w:t>
            </w:r>
            <w:r w:rsidRPr="00CC0461">
              <w:rPr>
                <w:b/>
                <w:bCs/>
                <w:color w:val="000000"/>
                <w:sz w:val="20"/>
                <w:szCs w:val="20"/>
              </w:rPr>
              <w:br/>
            </w:r>
            <w:r w:rsidRPr="00CC0461">
              <w:rPr>
                <w:color w:val="000000"/>
                <w:sz w:val="20"/>
                <w:szCs w:val="20"/>
              </w:rPr>
              <w:t>Evaluated a computerised continuing medical education program with feedback Intervention to increase cholesterol testing, resulting in 12% more tests in the intervention group (p &lt; 0.001).</w:t>
            </w:r>
            <w:r w:rsidRPr="00CC0461">
              <w:rPr>
                <w:color w:val="000000"/>
                <w:sz w:val="20"/>
                <w:szCs w:val="20"/>
              </w:rPr>
              <w:br/>
            </w:r>
            <w:r w:rsidRPr="00CC0461">
              <w:rPr>
                <w:color w:val="000000"/>
                <w:sz w:val="20"/>
                <w:szCs w:val="20"/>
              </w:rPr>
              <w:br/>
            </w:r>
            <w:r w:rsidRPr="00CC0461">
              <w:rPr>
                <w:b/>
                <w:bCs/>
                <w:color w:val="000000"/>
                <w:sz w:val="20"/>
                <w:szCs w:val="20"/>
              </w:rPr>
              <w:t xml:space="preserve">Baker et al. </w:t>
            </w:r>
            <w:r w:rsidRPr="00CC0461">
              <w:rPr>
                <w:b/>
                <w:bCs/>
                <w:i/>
                <w:color w:val="000000"/>
                <w:sz w:val="20"/>
                <w:szCs w:val="20"/>
              </w:rPr>
              <w:t>Scand J Prim Healthcare</w:t>
            </w:r>
            <w:r w:rsidRPr="00CC0461">
              <w:rPr>
                <w:b/>
                <w:bCs/>
                <w:color w:val="000000"/>
                <w:sz w:val="20"/>
                <w:szCs w:val="20"/>
              </w:rPr>
              <w:t xml:space="preserve"> 2003;21:219–23.</w:t>
            </w:r>
            <w:r w:rsidRPr="00CC0461">
              <w:rPr>
                <w:color w:val="000000"/>
                <w:sz w:val="20"/>
                <w:szCs w:val="20"/>
              </w:rPr>
              <w:br/>
              <w:t>Laboratory sent guidelines encouraging reduced urine tests. Feedback (every 3 months × 1 year) about test numbers. The lead GP received data and convened meeting to reduce lab tests. There were no changes.</w:t>
            </w:r>
            <w:r w:rsidRPr="00CC0461">
              <w:rPr>
                <w:color w:val="000000"/>
                <w:sz w:val="20"/>
                <w:szCs w:val="20"/>
              </w:rPr>
              <w:br/>
            </w:r>
            <w:r w:rsidRPr="00CC0461">
              <w:rPr>
                <w:color w:val="000000"/>
                <w:sz w:val="20"/>
                <w:szCs w:val="20"/>
              </w:rPr>
              <w:br/>
            </w:r>
            <w:r w:rsidRPr="00CC0461">
              <w:rPr>
                <w:b/>
                <w:bCs/>
                <w:color w:val="000000"/>
                <w:sz w:val="20"/>
                <w:szCs w:val="20"/>
              </w:rPr>
              <w:t xml:space="preserve">Bunting et al. </w:t>
            </w:r>
            <w:r w:rsidRPr="00CC0461">
              <w:rPr>
                <w:b/>
                <w:bCs/>
                <w:i/>
                <w:color w:val="000000"/>
                <w:sz w:val="20"/>
                <w:szCs w:val="20"/>
              </w:rPr>
              <w:t>Clin Chem</w:t>
            </w:r>
            <w:r w:rsidRPr="00CC0461">
              <w:rPr>
                <w:b/>
                <w:bCs/>
                <w:color w:val="000000"/>
                <w:sz w:val="20"/>
                <w:szCs w:val="20"/>
              </w:rPr>
              <w:t xml:space="preserve"> 2004;50:321–6.</w:t>
            </w:r>
            <w:r w:rsidRPr="00CC0461">
              <w:rPr>
                <w:b/>
                <w:bCs/>
                <w:color w:val="000000"/>
                <w:sz w:val="20"/>
                <w:szCs w:val="20"/>
              </w:rPr>
              <w:br/>
              <w:t>E</w:t>
            </w:r>
            <w:r w:rsidRPr="00CC0461">
              <w:rPr>
                <w:color w:val="000000"/>
                <w:sz w:val="20"/>
                <w:szCs w:val="20"/>
              </w:rPr>
              <w:t>ducational material plus individual visits from laboratory representatives to reduce laboratory tests vs no feedback. The intervention led to 7.9% fewer tests/visit than control (p &lt; 0.0001).</w:t>
            </w:r>
            <w:r w:rsidRPr="00CC0461">
              <w:rPr>
                <w:color w:val="000000"/>
                <w:sz w:val="20"/>
                <w:szCs w:val="20"/>
              </w:rPr>
              <w:br/>
            </w:r>
            <w:r w:rsidRPr="00CC0461">
              <w:rPr>
                <w:color w:val="000000"/>
                <w:sz w:val="20"/>
                <w:szCs w:val="20"/>
              </w:rPr>
              <w:br/>
            </w:r>
            <w:r w:rsidRPr="00CC0461">
              <w:rPr>
                <w:b/>
                <w:bCs/>
                <w:color w:val="000000"/>
                <w:sz w:val="20"/>
                <w:szCs w:val="20"/>
              </w:rPr>
              <w:t xml:space="preserve">Verstappen et al. </w:t>
            </w:r>
            <w:r w:rsidRPr="00CC0461">
              <w:rPr>
                <w:b/>
                <w:bCs/>
                <w:i/>
                <w:color w:val="000000"/>
                <w:sz w:val="20"/>
                <w:szCs w:val="20"/>
              </w:rPr>
              <w:t>Int J Qual Healthcare</w:t>
            </w:r>
            <w:r w:rsidRPr="00CC0461">
              <w:rPr>
                <w:b/>
                <w:bCs/>
                <w:color w:val="000000"/>
                <w:sz w:val="20"/>
                <w:szCs w:val="20"/>
              </w:rPr>
              <w:t xml:space="preserve"> 2004;16:391–8.</w:t>
            </w:r>
            <w:r w:rsidRPr="00CC0461">
              <w:rPr>
                <w:b/>
                <w:bCs/>
                <w:color w:val="000000"/>
                <w:sz w:val="20"/>
                <w:szCs w:val="20"/>
              </w:rPr>
              <w:br/>
            </w:r>
            <w:r w:rsidRPr="00CC0461">
              <w:rPr>
                <w:color w:val="000000"/>
                <w:sz w:val="20"/>
                <w:szCs w:val="20"/>
              </w:rPr>
              <w:t>1. Feedback: education on guidelines; quality improvement sessions in small groups.</w:t>
            </w:r>
          </w:p>
          <w:p w14:paraId="70815F2A"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 xml:space="preserve">2. Feedback only (Arm A received intervention for cardiovascular, upper abdominal, and lower abdominal complaints); 12% fewer tests. </w:t>
            </w:r>
          </w:p>
          <w:p w14:paraId="2E2CBFB3"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Decrease in total number of tests ordered (</w:t>
            </w:r>
            <w:r w:rsidRPr="00CC0461">
              <w:rPr>
                <w:rFonts w:cs="Arial"/>
                <w:color w:val="000000"/>
                <w:sz w:val="20"/>
                <w:szCs w:val="20"/>
              </w:rPr>
              <w:t>−</w:t>
            </w:r>
            <w:r w:rsidRPr="00CC0461">
              <w:rPr>
                <w:color w:val="000000"/>
                <w:sz w:val="20"/>
                <w:szCs w:val="20"/>
              </w:rPr>
              <w:t>67 tests/physician; p = 0.01) and inappropriate tests ordered (</w:t>
            </w:r>
            <w:r w:rsidRPr="00CC0461">
              <w:rPr>
                <w:rFonts w:cs="Arial"/>
                <w:color w:val="000000"/>
                <w:sz w:val="20"/>
                <w:szCs w:val="20"/>
              </w:rPr>
              <w:t>−</w:t>
            </w:r>
            <w:r w:rsidRPr="00CC0461">
              <w:rPr>
                <w:color w:val="000000"/>
                <w:sz w:val="20"/>
                <w:szCs w:val="20"/>
              </w:rPr>
              <w:t>16 tests/physician; p = 0.01). There was a 12% reduction in testing in a physician group asked to solve problems involving 15 laboratory tests and a 5% reduction in a group with problems involving 10 laboratory tests.</w:t>
            </w:r>
            <w:r w:rsidRPr="00CC0461">
              <w:rPr>
                <w:color w:val="000000"/>
                <w:sz w:val="20"/>
                <w:szCs w:val="20"/>
              </w:rPr>
              <w:br/>
            </w:r>
            <w:r w:rsidRPr="00CC0461">
              <w:rPr>
                <w:color w:val="000000"/>
                <w:sz w:val="20"/>
                <w:szCs w:val="20"/>
              </w:rPr>
              <w:br/>
            </w:r>
            <w:r w:rsidRPr="00CC0461">
              <w:rPr>
                <w:b/>
                <w:color w:val="000000"/>
                <w:sz w:val="20"/>
                <w:szCs w:val="20"/>
              </w:rPr>
              <w:t xml:space="preserve">Thomas et al. </w:t>
            </w:r>
            <w:r w:rsidRPr="00CC0461">
              <w:rPr>
                <w:b/>
                <w:i/>
                <w:color w:val="000000"/>
                <w:sz w:val="20"/>
                <w:szCs w:val="20"/>
              </w:rPr>
              <w:t>Lancet</w:t>
            </w:r>
            <w:r w:rsidRPr="00CC0461">
              <w:rPr>
                <w:b/>
                <w:color w:val="000000"/>
                <w:sz w:val="20"/>
                <w:szCs w:val="20"/>
              </w:rPr>
              <w:t xml:space="preserve"> 2006;367:1990–6.</w:t>
            </w:r>
            <w:r w:rsidRPr="00CC0461">
              <w:rPr>
                <w:color w:val="000000"/>
                <w:sz w:val="20"/>
                <w:szCs w:val="20"/>
              </w:rPr>
              <w:br/>
              <w:t>Provided practice-level feedback in the form of a booklet with data for targeted overused tests compared with regional rates. Feedback alone reduced overuse for nine tests (significantly for four), and when combined with educational reminders, reduced total requests by 22%.</w:t>
            </w:r>
            <w:r w:rsidRPr="00CC0461">
              <w:rPr>
                <w:color w:val="000000"/>
                <w:sz w:val="20"/>
                <w:szCs w:val="20"/>
              </w:rPr>
              <w:br/>
              <w:t>Feedback led to greater reductions in the number of laboratory tests ordered compared with reminders although the model-based analyses suggested similar effects (adjusted change relative to baseline performance in audit and feedback arm: 12%; OR for feedback 0.87, 95% CI 0.81 to 0.94; OR for reminders 0.89, 95% CI 0.83 to 0.93).</w:t>
            </w:r>
            <w:r w:rsidRPr="00CC0461">
              <w:rPr>
                <w:color w:val="000000"/>
                <w:sz w:val="20"/>
                <w:szCs w:val="20"/>
              </w:rPr>
              <w:br/>
            </w:r>
            <w:r w:rsidRPr="00CC0461">
              <w:rPr>
                <w:color w:val="000000"/>
                <w:sz w:val="20"/>
                <w:szCs w:val="20"/>
              </w:rPr>
              <w:br/>
            </w:r>
            <w:r w:rsidRPr="00CC0461">
              <w:rPr>
                <w:b/>
                <w:color w:val="000000"/>
                <w:sz w:val="20"/>
                <w:szCs w:val="20"/>
              </w:rPr>
              <w:t>Flottorp et al</w:t>
            </w:r>
            <w:r w:rsidRPr="00CC0461">
              <w:rPr>
                <w:b/>
                <w:i/>
                <w:color w:val="000000"/>
                <w:sz w:val="20"/>
                <w:szCs w:val="20"/>
              </w:rPr>
              <w:t>. BMJ</w:t>
            </w:r>
            <w:r w:rsidRPr="00CC0461">
              <w:rPr>
                <w:b/>
                <w:color w:val="000000"/>
                <w:sz w:val="20"/>
                <w:szCs w:val="20"/>
              </w:rPr>
              <w:t xml:space="preserve"> 2002;325:367.</w:t>
            </w:r>
            <w:r w:rsidRPr="00CC0461">
              <w:rPr>
                <w:color w:val="000000"/>
                <w:sz w:val="20"/>
                <w:szCs w:val="20"/>
              </w:rPr>
              <w:br/>
              <w:t xml:space="preserve">Found a 0.4% decrease in number of throat swabs in the intervention group and 5.1% fewer urine tests in the intervention group compared with the control groups. </w:t>
            </w:r>
            <w:r w:rsidRPr="00CC0461">
              <w:rPr>
                <w:color w:val="000000"/>
                <w:sz w:val="20"/>
                <w:szCs w:val="20"/>
              </w:rPr>
              <w:br/>
            </w:r>
            <w:r w:rsidRPr="00CC0461">
              <w:rPr>
                <w:color w:val="000000"/>
                <w:sz w:val="20"/>
                <w:szCs w:val="20"/>
              </w:rPr>
              <w:br/>
            </w:r>
            <w:r w:rsidRPr="00CC0461">
              <w:rPr>
                <w:b/>
                <w:color w:val="000000"/>
                <w:sz w:val="20"/>
                <w:szCs w:val="20"/>
              </w:rPr>
              <w:t xml:space="preserve">Bonevski et al. </w:t>
            </w:r>
            <w:r w:rsidRPr="00CC0461">
              <w:rPr>
                <w:b/>
                <w:i/>
                <w:color w:val="000000"/>
                <w:sz w:val="20"/>
                <w:szCs w:val="20"/>
              </w:rPr>
              <w:t>Prev Med</w:t>
            </w:r>
            <w:r w:rsidRPr="00CC0461">
              <w:rPr>
                <w:b/>
                <w:color w:val="000000"/>
                <w:sz w:val="20"/>
                <w:szCs w:val="20"/>
              </w:rPr>
              <w:t xml:space="preserve"> 1999;29:478–86.</w:t>
            </w:r>
            <w:r w:rsidRPr="00CC0461">
              <w:rPr>
                <w:color w:val="000000"/>
                <w:sz w:val="20"/>
                <w:szCs w:val="20"/>
              </w:rPr>
              <w:br/>
              <w:t xml:space="preserve">Found a 12% increase in cholesterol testing in the intervention group compared with the control group. </w:t>
            </w:r>
            <w:r w:rsidRPr="00CC0461">
              <w:rPr>
                <w:color w:val="000000"/>
                <w:sz w:val="20"/>
                <w:szCs w:val="20"/>
              </w:rPr>
              <w:br/>
            </w:r>
            <w:r w:rsidRPr="00CC0461">
              <w:rPr>
                <w:color w:val="000000"/>
                <w:sz w:val="20"/>
                <w:szCs w:val="20"/>
              </w:rPr>
              <w:br/>
            </w:r>
            <w:r w:rsidRPr="00CC0461">
              <w:rPr>
                <w:b/>
                <w:color w:val="000000"/>
                <w:sz w:val="20"/>
                <w:szCs w:val="20"/>
              </w:rPr>
              <w:t xml:space="preserve">Claes et al. </w:t>
            </w:r>
            <w:r w:rsidRPr="00CC0461">
              <w:rPr>
                <w:b/>
                <w:i/>
                <w:color w:val="000000"/>
                <w:sz w:val="20"/>
                <w:szCs w:val="20"/>
              </w:rPr>
              <w:t>Eur Heart J</w:t>
            </w:r>
            <w:r w:rsidRPr="00CC0461">
              <w:rPr>
                <w:b/>
                <w:color w:val="000000"/>
                <w:sz w:val="20"/>
                <w:szCs w:val="20"/>
              </w:rPr>
              <w:t xml:space="preserve"> 2005;26:2159–65.</w:t>
            </w:r>
            <w:r w:rsidRPr="00CC0461">
              <w:rPr>
                <w:color w:val="000000"/>
                <w:sz w:val="20"/>
                <w:szCs w:val="20"/>
              </w:rPr>
              <w:br/>
              <w:t xml:space="preserve">Found a 14% improvement in the percentage of time INR results were within 0.5 of the target range in the education group, 11% in the feedback group, 8% in the group that used the INR in-office test, and 8% in the group that used computer-assisted decision making (compared with the control group). </w:t>
            </w:r>
          </w:p>
        </w:tc>
        <w:tc>
          <w:tcPr>
            <w:tcW w:w="1556" w:type="pct"/>
            <w:tcBorders>
              <w:top w:val="single" w:sz="18" w:space="0" w:color="B66113"/>
              <w:bottom w:val="single" w:sz="18" w:space="0" w:color="B66113"/>
            </w:tcBorders>
            <w:hideMark/>
          </w:tcPr>
          <w:p w14:paraId="05C3102C"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Two interventions used feedback (one 5% increase, one 27% desired decrease); eight education and feedback (average increase in desired direction &gt; control 4.9%), one system change and feedback (increases 5% to 44%), three education and system change and feedback (average 7.7% increase).</w:t>
            </w:r>
          </w:p>
        </w:tc>
      </w:tr>
      <w:tr w:rsidR="00C9672D" w:rsidRPr="00CC0461" w14:paraId="4B6CF58B" w14:textId="77777777" w:rsidTr="00C9672D">
        <w:trPr>
          <w:gridAfter w:val="1"/>
          <w:wAfter w:w="9" w:type="pct"/>
          <w:trHeight w:val="4369"/>
        </w:trPr>
        <w:tc>
          <w:tcPr>
            <w:cnfStyle w:val="001000000000" w:firstRow="0" w:lastRow="0" w:firstColumn="1" w:lastColumn="0" w:oddVBand="0" w:evenVBand="0" w:oddHBand="0" w:evenHBand="0" w:firstRowFirstColumn="0" w:firstRowLastColumn="0" w:lastRowFirstColumn="0" w:lastRowLastColumn="0"/>
            <w:tcW w:w="661" w:type="pct"/>
            <w:tcBorders>
              <w:top w:val="single" w:sz="18" w:space="0" w:color="B66113"/>
              <w:bottom w:val="single" w:sz="4" w:space="0" w:color="C0C0C0"/>
            </w:tcBorders>
            <w:noWrap/>
            <w:hideMark/>
          </w:tcPr>
          <w:p w14:paraId="446E8FBE"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Tzortziou Brown V (2016)</w:t>
            </w:r>
          </w:p>
        </w:tc>
        <w:tc>
          <w:tcPr>
            <w:tcW w:w="2774" w:type="pct"/>
            <w:tcBorders>
              <w:top w:val="single" w:sz="18" w:space="0" w:color="B66113"/>
              <w:bottom w:val="single" w:sz="4" w:space="0" w:color="C0C0C0"/>
            </w:tcBorders>
            <w:hideMark/>
          </w:tcPr>
          <w:p w14:paraId="608D3BBF"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Eccles et al. </w:t>
            </w:r>
            <w:r w:rsidRPr="00CC0461">
              <w:rPr>
                <w:b/>
                <w:bCs/>
                <w:i/>
                <w:color w:val="000000"/>
                <w:sz w:val="20"/>
                <w:szCs w:val="20"/>
              </w:rPr>
              <w:t xml:space="preserve">Lancet </w:t>
            </w:r>
            <w:r w:rsidRPr="00CC0461">
              <w:rPr>
                <w:b/>
                <w:bCs/>
                <w:color w:val="000000"/>
                <w:sz w:val="20"/>
                <w:szCs w:val="20"/>
              </w:rPr>
              <w:t>2001;357:1406</w:t>
            </w:r>
            <w:r w:rsidRPr="00CC0461">
              <w:rPr>
                <w:rFonts w:cs="Arial"/>
                <w:b/>
                <w:bCs/>
                <w:color w:val="000000"/>
                <w:sz w:val="20"/>
                <w:szCs w:val="20"/>
              </w:rPr>
              <w:t>–</w:t>
            </w:r>
            <w:r w:rsidRPr="00CC0461">
              <w:rPr>
                <w:b/>
                <w:bCs/>
                <w:color w:val="000000"/>
                <w:sz w:val="20"/>
                <w:szCs w:val="20"/>
              </w:rPr>
              <w:t>9.</w:t>
            </w:r>
            <w:r w:rsidRPr="00CC0461">
              <w:rPr>
                <w:b/>
                <w:bCs/>
                <w:color w:val="000000"/>
                <w:sz w:val="20"/>
                <w:szCs w:val="20"/>
              </w:rPr>
              <w:br/>
            </w:r>
            <w:r w:rsidRPr="00CC0461">
              <w:rPr>
                <w:color w:val="000000"/>
                <w:sz w:val="20"/>
                <w:szCs w:val="20"/>
              </w:rPr>
              <w:t>1. Professional intervention (distribution of educational materials + audit and feedback).</w:t>
            </w:r>
            <w:r w:rsidRPr="00CC0461">
              <w:rPr>
                <w:color w:val="000000"/>
                <w:sz w:val="20"/>
                <w:szCs w:val="20"/>
              </w:rPr>
              <w:br/>
              <w:t>2. Professional intervention (distribution of educational materials + reminders).</w:t>
            </w:r>
            <w:r w:rsidRPr="00CC0461">
              <w:rPr>
                <w:color w:val="000000"/>
                <w:sz w:val="20"/>
                <w:szCs w:val="20"/>
              </w:rPr>
              <w:br/>
              <w:t>3. Professional intervention (distribution of educational materials + audit and feedback</w:t>
            </w:r>
            <w:r w:rsidRPr="00CC0461">
              <w:rPr>
                <w:color w:val="000000"/>
                <w:sz w:val="20"/>
                <w:szCs w:val="20"/>
              </w:rPr>
              <w:br/>
              <w:t>+ reminders).</w:t>
            </w:r>
            <w:r w:rsidRPr="00CC0461">
              <w:rPr>
                <w:color w:val="000000"/>
                <w:sz w:val="20"/>
                <w:szCs w:val="20"/>
              </w:rPr>
              <w:br/>
              <w:t>4. Distribution of educational materials (guideline).</w:t>
            </w:r>
            <w:r w:rsidRPr="00CC0461">
              <w:rPr>
                <w:b/>
                <w:bCs/>
                <w:color w:val="000000"/>
                <w:sz w:val="20"/>
                <w:szCs w:val="20"/>
              </w:rPr>
              <w:br/>
            </w:r>
            <w:r w:rsidRPr="00CC0461">
              <w:rPr>
                <w:color w:val="000000"/>
                <w:sz w:val="20"/>
                <w:szCs w:val="20"/>
              </w:rPr>
              <w:t>The study showed that there may be some deterioration in the percentage of spinal radiographs that are concordant with the guidelines in the intervention groups (risk difference range –2.5% to –8.3%) and a slight reduction in the number of spinal radiograph requests across the groups (standardised mean difference was small for the feedback group at 0.2, and moderate for the reminder group at 0.4).</w:t>
            </w:r>
            <w:r w:rsidRPr="00CC0461">
              <w:rPr>
                <w:b/>
                <w:bCs/>
                <w:color w:val="000000"/>
                <w:sz w:val="20"/>
                <w:szCs w:val="20"/>
              </w:rPr>
              <w:br/>
            </w:r>
            <w:r w:rsidRPr="00CC0461">
              <w:rPr>
                <w:b/>
                <w:bCs/>
                <w:color w:val="000000"/>
                <w:sz w:val="20"/>
                <w:szCs w:val="20"/>
              </w:rPr>
              <w:br/>
              <w:t xml:space="preserve">Cranney et al. </w:t>
            </w:r>
            <w:r w:rsidRPr="00CC0461">
              <w:rPr>
                <w:b/>
                <w:bCs/>
                <w:i/>
                <w:color w:val="000000"/>
                <w:sz w:val="20"/>
                <w:szCs w:val="20"/>
              </w:rPr>
              <w:t>Osteoporos Int</w:t>
            </w:r>
            <w:r w:rsidRPr="00CC0461">
              <w:rPr>
                <w:b/>
                <w:bCs/>
                <w:color w:val="000000"/>
                <w:sz w:val="20"/>
                <w:szCs w:val="20"/>
              </w:rPr>
              <w:t xml:space="preserve"> 2008;19:1733–40.</w:t>
            </w:r>
          </w:p>
          <w:p w14:paraId="2539F26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Participants received a letter 2 weeks and 2 months post fracture with advice to see their GP, and an educational booklet (patient-directed component); GPs were mailed reminders and guidelines. Results showed that the intervention improved bone mineral density testing (risk difference 26%, rates 53.5% in the intervention group vs 25.5% in controls; reported adjusted OR 3.38, 95% CI 1.83 to 6.26, p &lt; 0.001) and osteoporosis medicine prescribing rates (risk difference 17.7%; rates 28% in the intervention group vs 10% in controls; reported adjusted OR 3.45, 95% CI 1.58 to 7.56, p = 0.002).</w:t>
            </w:r>
          </w:p>
        </w:tc>
        <w:tc>
          <w:tcPr>
            <w:tcW w:w="1556" w:type="pct"/>
            <w:tcBorders>
              <w:top w:val="single" w:sz="18" w:space="0" w:color="B66113"/>
              <w:bottom w:val="single" w:sz="4" w:space="0" w:color="C0C0C0"/>
            </w:tcBorders>
            <w:hideMark/>
          </w:tcPr>
          <w:p w14:paraId="3B15B928"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Eccles 2001 showed that providing GP feedback combined with guidelines on the total number of investigations requested may result in a slight reduction in the number of radiology requests.</w:t>
            </w:r>
          </w:p>
        </w:tc>
      </w:tr>
      <w:tr w:rsidR="00C9672D" w:rsidRPr="00CC0461" w14:paraId="1C51EAEB" w14:textId="77777777" w:rsidTr="00C9672D">
        <w:trPr>
          <w:gridAfter w:val="1"/>
          <w:wAfter w:w="9" w:type="pct"/>
          <w:trHeight w:val="1272"/>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4" w:space="0" w:color="C0C0C0"/>
            </w:tcBorders>
            <w:noWrap/>
            <w:hideMark/>
          </w:tcPr>
          <w:p w14:paraId="2E14B050" w14:textId="77777777" w:rsidR="00C9672D" w:rsidRPr="00CC0461" w:rsidRDefault="00C9672D" w:rsidP="00C9672D">
            <w:pPr>
              <w:spacing w:before="0" w:line="240" w:lineRule="auto"/>
              <w:rPr>
                <w:color w:val="000000"/>
                <w:sz w:val="20"/>
                <w:szCs w:val="20"/>
              </w:rPr>
            </w:pPr>
            <w:r w:rsidRPr="00CC0461">
              <w:rPr>
                <w:color w:val="000000"/>
                <w:sz w:val="20"/>
                <w:szCs w:val="20"/>
              </w:rPr>
              <w:t>French SD (2010)</w:t>
            </w:r>
          </w:p>
        </w:tc>
        <w:tc>
          <w:tcPr>
            <w:tcW w:w="2774" w:type="pct"/>
            <w:tcBorders>
              <w:top w:val="single" w:sz="4" w:space="0" w:color="C0C0C0"/>
              <w:bottom w:val="single" w:sz="4" w:space="0" w:color="C0C0C0"/>
            </w:tcBorders>
            <w:hideMark/>
          </w:tcPr>
          <w:p w14:paraId="6ABCA63B"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Eccles et al. </w:t>
            </w:r>
            <w:r w:rsidRPr="00CC0461">
              <w:rPr>
                <w:b/>
                <w:bCs/>
                <w:i/>
                <w:color w:val="000000"/>
                <w:sz w:val="20"/>
                <w:szCs w:val="20"/>
              </w:rPr>
              <w:t>Lancet</w:t>
            </w:r>
            <w:r w:rsidRPr="00CC0461">
              <w:rPr>
                <w:b/>
                <w:bCs/>
                <w:color w:val="000000"/>
                <w:sz w:val="20"/>
                <w:szCs w:val="20"/>
              </w:rPr>
              <w:t xml:space="preserve"> 2001;357(9266):1406</w:t>
            </w:r>
            <w:r w:rsidRPr="00CC0461">
              <w:rPr>
                <w:rFonts w:cs="Arial"/>
                <w:b/>
                <w:bCs/>
                <w:color w:val="000000"/>
                <w:sz w:val="20"/>
                <w:szCs w:val="20"/>
              </w:rPr>
              <w:t>–</w:t>
            </w:r>
            <w:r w:rsidRPr="00CC0461">
              <w:rPr>
                <w:b/>
                <w:bCs/>
                <w:color w:val="000000"/>
                <w:sz w:val="20"/>
                <w:szCs w:val="20"/>
              </w:rPr>
              <w:t>9.</w:t>
            </w:r>
            <w:r w:rsidRPr="00CC0461">
              <w:rPr>
                <w:b/>
                <w:bCs/>
                <w:color w:val="000000"/>
                <w:sz w:val="20"/>
                <w:szCs w:val="20"/>
              </w:rPr>
              <w:br/>
            </w:r>
            <w:r w:rsidRPr="00CC0461">
              <w:rPr>
                <w:color w:val="000000"/>
                <w:sz w:val="20"/>
                <w:szCs w:val="20"/>
              </w:rPr>
              <w:t>1. Professional intervention (distribution of educational materials + audit and feedback).</w:t>
            </w:r>
            <w:r w:rsidRPr="00CC0461">
              <w:rPr>
                <w:color w:val="000000"/>
                <w:sz w:val="20"/>
                <w:szCs w:val="20"/>
              </w:rPr>
              <w:br/>
              <w:t>2. Professional intervention (distribution of educational materials + reminders).</w:t>
            </w:r>
            <w:r w:rsidRPr="00CC0461">
              <w:rPr>
                <w:color w:val="000000"/>
                <w:sz w:val="20"/>
                <w:szCs w:val="20"/>
              </w:rPr>
              <w:br/>
              <w:t>3. Professional intervention (distribution of educational materials + audit and feedback</w:t>
            </w:r>
            <w:r w:rsidRPr="00CC0461">
              <w:rPr>
                <w:color w:val="000000"/>
                <w:sz w:val="20"/>
                <w:szCs w:val="20"/>
              </w:rPr>
              <w:br/>
              <w:t>+ reminders).</w:t>
            </w:r>
            <w:r w:rsidRPr="00CC0461">
              <w:rPr>
                <w:color w:val="000000"/>
                <w:sz w:val="20"/>
                <w:szCs w:val="20"/>
              </w:rPr>
              <w:br/>
              <w:t>4. Distribution of educational materials (guideline).</w:t>
            </w:r>
            <w:r w:rsidRPr="00CC0461">
              <w:rPr>
                <w:b/>
                <w:bCs/>
                <w:color w:val="000000"/>
                <w:sz w:val="20"/>
                <w:szCs w:val="20"/>
              </w:rPr>
              <w:br/>
            </w:r>
            <w:r w:rsidRPr="00CC0461">
              <w:rPr>
                <w:color w:val="000000"/>
                <w:sz w:val="20"/>
                <w:szCs w:val="20"/>
              </w:rPr>
              <w:t>The study showed that there may be some deterioration in the percentage of spinal radiographs that are concordant with the guidelines in the intervention groups (risk difference range –2.5% to –8.3%) and a slight reduction in the number of spinal radiograph requests across the groups (standardised mean difference was small for the feedback group at 0.2, and moderate for the reminder group at 0.4).</w:t>
            </w:r>
          </w:p>
        </w:tc>
        <w:tc>
          <w:tcPr>
            <w:tcW w:w="1556" w:type="pct"/>
            <w:tcBorders>
              <w:top w:val="single" w:sz="4" w:space="0" w:color="C0C0C0"/>
              <w:bottom w:val="single" w:sz="4" w:space="0" w:color="C0C0C0"/>
            </w:tcBorders>
            <w:hideMark/>
          </w:tcPr>
          <w:p w14:paraId="624215F9"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Providing GP feedback on the total number of investigations requested may result in a slight reduction in the number of radiology requests.</w:t>
            </w:r>
          </w:p>
        </w:tc>
      </w:tr>
      <w:tr w:rsidR="00C9672D" w:rsidRPr="00CC0461" w14:paraId="4489E176" w14:textId="77777777" w:rsidTr="00C9672D">
        <w:trPr>
          <w:gridAfter w:val="1"/>
          <w:wAfter w:w="9" w:type="pct"/>
          <w:trHeight w:val="1440"/>
        </w:trPr>
        <w:tc>
          <w:tcPr>
            <w:cnfStyle w:val="001000000000" w:firstRow="0" w:lastRow="0" w:firstColumn="1" w:lastColumn="0" w:oddVBand="0" w:evenVBand="0" w:oddHBand="0" w:evenHBand="0" w:firstRowFirstColumn="0" w:firstRowLastColumn="0" w:lastRowFirstColumn="0" w:lastRowLastColumn="0"/>
            <w:tcW w:w="661" w:type="pct"/>
            <w:tcBorders>
              <w:top w:val="single" w:sz="4" w:space="0" w:color="C0C0C0"/>
              <w:bottom w:val="single" w:sz="18" w:space="0" w:color="B66113"/>
            </w:tcBorders>
            <w:hideMark/>
          </w:tcPr>
          <w:p w14:paraId="0DADFDB6"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Silvestri MT (2016)</w:t>
            </w:r>
          </w:p>
        </w:tc>
        <w:tc>
          <w:tcPr>
            <w:tcW w:w="2774" w:type="pct"/>
            <w:tcBorders>
              <w:top w:val="single" w:sz="4" w:space="0" w:color="C0C0C0"/>
              <w:bottom w:val="single" w:sz="18" w:space="0" w:color="B66113"/>
            </w:tcBorders>
            <w:hideMark/>
          </w:tcPr>
          <w:p w14:paraId="66EAD56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Everett et al. </w:t>
            </w:r>
            <w:r w:rsidRPr="00CC0461">
              <w:rPr>
                <w:b/>
                <w:bCs/>
                <w:i/>
                <w:color w:val="000000"/>
                <w:sz w:val="20"/>
                <w:szCs w:val="20"/>
              </w:rPr>
              <w:t>Arch Intern Med</w:t>
            </w:r>
            <w:r w:rsidRPr="00CC0461">
              <w:rPr>
                <w:b/>
                <w:bCs/>
                <w:color w:val="000000"/>
                <w:sz w:val="20"/>
                <w:szCs w:val="20"/>
              </w:rPr>
              <w:t xml:space="preserve"> 1983;143:942</w:t>
            </w:r>
            <w:r w:rsidRPr="00CC0461">
              <w:rPr>
                <w:rFonts w:cs="Arial"/>
                <w:b/>
                <w:bCs/>
                <w:color w:val="000000"/>
                <w:sz w:val="20"/>
                <w:szCs w:val="20"/>
              </w:rPr>
              <w:t>–</w:t>
            </w:r>
            <w:r w:rsidRPr="00CC0461">
              <w:rPr>
                <w:b/>
                <w:bCs/>
                <w:color w:val="000000"/>
                <w:sz w:val="20"/>
                <w:szCs w:val="20"/>
              </w:rPr>
              <w:t>4.</w:t>
            </w:r>
            <w:r w:rsidRPr="00CC0461">
              <w:rPr>
                <w:color w:val="000000"/>
                <w:sz w:val="20"/>
                <w:szCs w:val="20"/>
              </w:rPr>
              <w:br/>
              <w:t>Found that combining written education regarding costs with feedback regarding laboratory use seemed to decrease test utilisation compared to audit and feedback alone (unadjusted difference 22.3%, high risk of bias; no p-value reported). No numerical values were reported.</w:t>
            </w:r>
          </w:p>
        </w:tc>
        <w:tc>
          <w:tcPr>
            <w:tcW w:w="1556" w:type="pct"/>
            <w:tcBorders>
              <w:top w:val="single" w:sz="4" w:space="0" w:color="C0C0C0"/>
              <w:bottom w:val="single" w:sz="18" w:space="0" w:color="B66113"/>
            </w:tcBorders>
            <w:hideMark/>
          </w:tcPr>
          <w:p w14:paraId="5A09C9A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Of 17 studies, 12 showed that price display was associated with statistically significant decreases in either order costs or volume, either in aggregate (10 studies) or for individual orders (two studies).</w:t>
            </w:r>
          </w:p>
        </w:tc>
      </w:tr>
    </w:tbl>
    <w:p w14:paraId="789B44E1" w14:textId="77777777" w:rsidR="00C9672D" w:rsidRPr="00CC0461" w:rsidRDefault="00C9672D" w:rsidP="00C9672D">
      <w:pPr>
        <w:rPr>
          <w:rFonts w:ascii="Arial Narrow" w:hAnsi="Arial Narrow"/>
          <w:sz w:val="20"/>
          <w:szCs w:val="20"/>
        </w:rPr>
      </w:pPr>
    </w:p>
    <w:p w14:paraId="77AE63D8" w14:textId="77777777" w:rsidR="00122717" w:rsidRDefault="00122717">
      <w:pPr>
        <w:spacing w:before="0" w:after="0" w:line="240" w:lineRule="auto"/>
        <w:rPr>
          <w:rStyle w:val="Bold"/>
          <w:rFonts w:ascii="Arial Narrow" w:hAnsi="Arial Narrow" w:cstheme="minorHAnsi"/>
          <w:b w:val="0"/>
          <w:noProof/>
          <w:color w:val="B66113"/>
          <w:sz w:val="20"/>
          <w:szCs w:val="20"/>
        </w:rPr>
      </w:pPr>
      <w:r>
        <w:rPr>
          <w:rStyle w:val="Bold"/>
          <w:rFonts w:ascii="Arial Narrow" w:hAnsi="Arial Narrow"/>
          <w:sz w:val="20"/>
          <w:szCs w:val="20"/>
        </w:rPr>
        <w:br w:type="page"/>
      </w:r>
    </w:p>
    <w:p w14:paraId="78395C43" w14:textId="77777777" w:rsidR="00C9672D" w:rsidRPr="00CC0461" w:rsidRDefault="00C9672D" w:rsidP="00C9672D">
      <w:pPr>
        <w:pStyle w:val="Figure"/>
        <w:keepNext/>
        <w:keepLines/>
        <w:rPr>
          <w:rStyle w:val="Bold"/>
          <w:rFonts w:ascii="Arial Narrow" w:hAnsi="Arial Narrow"/>
          <w:sz w:val="20"/>
          <w:szCs w:val="20"/>
        </w:rPr>
      </w:pPr>
      <w:r w:rsidRPr="00CC0461">
        <w:rPr>
          <w:rStyle w:val="Bold"/>
          <w:rFonts w:ascii="Arial Narrow" w:hAnsi="Arial Narrow"/>
          <w:sz w:val="20"/>
          <w:szCs w:val="20"/>
        </w:rPr>
        <w:lastRenderedPageBreak/>
        <w:t>Table 6. Key findings on quality improvement</w:t>
      </w:r>
    </w:p>
    <w:tbl>
      <w:tblPr>
        <w:tblStyle w:val="TableNPSstandard"/>
        <w:tblW w:w="5001" w:type="pct"/>
        <w:tblLook w:val="06A0" w:firstRow="1" w:lastRow="0" w:firstColumn="1" w:lastColumn="0" w:noHBand="1" w:noVBand="1"/>
        <w:tblCaption w:val="Table 6, Key findings on quality improvement"/>
        <w:tblDescription w:val="This table has three columns, column 1 being first author (year), column 2 'findings of key studies in the review' and column 3 'result summary'"/>
      </w:tblPr>
      <w:tblGrid>
        <w:gridCol w:w="1720"/>
        <w:gridCol w:w="10838"/>
        <w:gridCol w:w="142"/>
        <w:gridCol w:w="1873"/>
      </w:tblGrid>
      <w:tr w:rsidR="00C9672D" w:rsidRPr="00CC0461" w14:paraId="3CF836AF" w14:textId="77777777" w:rsidTr="008D10A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 w:type="pct"/>
            <w:noWrap/>
            <w:hideMark/>
          </w:tcPr>
          <w:p w14:paraId="4B956DDA" w14:textId="77777777" w:rsidR="00C9672D" w:rsidRPr="00CC0461" w:rsidRDefault="00C9672D" w:rsidP="00C9672D">
            <w:pPr>
              <w:spacing w:before="0" w:line="240" w:lineRule="auto"/>
              <w:rPr>
                <w:bCs/>
                <w:color w:val="000000"/>
                <w:sz w:val="20"/>
                <w:szCs w:val="20"/>
              </w:rPr>
            </w:pPr>
            <w:r w:rsidRPr="00CC0461">
              <w:rPr>
                <w:bCs/>
                <w:color w:val="000000"/>
                <w:sz w:val="20"/>
                <w:szCs w:val="20"/>
              </w:rPr>
              <w:t>First author (year)</w:t>
            </w:r>
          </w:p>
        </w:tc>
        <w:tc>
          <w:tcPr>
            <w:tcW w:w="3722" w:type="pct"/>
            <w:noWrap/>
            <w:hideMark/>
          </w:tcPr>
          <w:p w14:paraId="3EA4133F"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Review findings</w:t>
            </w:r>
          </w:p>
        </w:tc>
        <w:tc>
          <w:tcPr>
            <w:tcW w:w="699" w:type="pct"/>
            <w:gridSpan w:val="2"/>
            <w:hideMark/>
          </w:tcPr>
          <w:p w14:paraId="37832391" w14:textId="77777777" w:rsidR="00C9672D" w:rsidRPr="00CC0461" w:rsidRDefault="00C9672D" w:rsidP="00C9672D">
            <w:pPr>
              <w:spacing w:before="0" w:line="240" w:lineRule="auto"/>
              <w:cnfStyle w:val="100000000000" w:firstRow="1" w:lastRow="0" w:firstColumn="0" w:lastColumn="0" w:oddVBand="0" w:evenVBand="0" w:oddHBand="0" w:evenHBand="0" w:firstRowFirstColumn="0" w:firstRowLastColumn="0" w:lastRowFirstColumn="0" w:lastRowLastColumn="0"/>
              <w:rPr>
                <w:bCs/>
                <w:color w:val="000000"/>
                <w:sz w:val="20"/>
                <w:szCs w:val="20"/>
              </w:rPr>
            </w:pPr>
            <w:r w:rsidRPr="00CC0461">
              <w:rPr>
                <w:bCs/>
                <w:color w:val="000000"/>
                <w:sz w:val="20"/>
                <w:szCs w:val="20"/>
              </w:rPr>
              <w:t>Result summary</w:t>
            </w:r>
          </w:p>
        </w:tc>
      </w:tr>
      <w:tr w:rsidR="00C9672D" w:rsidRPr="00CC0461" w14:paraId="2F8D4DE9" w14:textId="77777777" w:rsidTr="00C9672D">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EECE1" w:themeFill="background2"/>
            <w:noWrap/>
            <w:hideMark/>
          </w:tcPr>
          <w:p w14:paraId="1956BC95" w14:textId="77777777" w:rsidR="00C9672D" w:rsidRPr="00CC0461" w:rsidRDefault="00C9672D" w:rsidP="00C9672D">
            <w:pPr>
              <w:spacing w:before="0" w:line="240" w:lineRule="auto"/>
              <w:rPr>
                <w:color w:val="000000"/>
                <w:sz w:val="20"/>
                <w:szCs w:val="20"/>
              </w:rPr>
            </w:pPr>
            <w:r w:rsidRPr="00CC0461">
              <w:rPr>
                <w:rFonts w:cs="Arial"/>
                <w:bCs/>
                <w:color w:val="000000"/>
                <w:sz w:val="20"/>
                <w:szCs w:val="20"/>
              </w:rPr>
              <w:t>Modifications or restrictions to referral or order forms</w:t>
            </w:r>
          </w:p>
        </w:tc>
      </w:tr>
      <w:tr w:rsidR="00C9672D" w:rsidRPr="00CC0461" w14:paraId="2078FD33" w14:textId="77777777" w:rsidTr="00C9672D">
        <w:trPr>
          <w:trHeight w:val="7800"/>
        </w:trPr>
        <w:tc>
          <w:tcPr>
            <w:cnfStyle w:val="001000000000" w:firstRow="0" w:lastRow="0" w:firstColumn="1" w:lastColumn="0" w:oddVBand="0" w:evenVBand="0" w:oddHBand="0" w:evenHBand="0" w:firstRowFirstColumn="0" w:firstRowLastColumn="0" w:lastRowFirstColumn="0" w:lastRowLastColumn="0"/>
            <w:tcW w:w="580" w:type="pct"/>
            <w:tcBorders>
              <w:bottom w:val="single" w:sz="18" w:space="0" w:color="B66113"/>
            </w:tcBorders>
            <w:hideMark/>
          </w:tcPr>
          <w:p w14:paraId="5AF2BCCF" w14:textId="77777777" w:rsidR="00C9672D" w:rsidRPr="00CC0461" w:rsidRDefault="00C9672D" w:rsidP="00C9672D">
            <w:pPr>
              <w:spacing w:before="0" w:line="240" w:lineRule="auto"/>
              <w:rPr>
                <w:color w:val="000000"/>
                <w:sz w:val="20"/>
                <w:szCs w:val="20"/>
              </w:rPr>
            </w:pPr>
            <w:r w:rsidRPr="00CC0461">
              <w:rPr>
                <w:color w:val="000000"/>
                <w:sz w:val="20"/>
                <w:szCs w:val="20"/>
              </w:rPr>
              <w:t>Cadogan SL (2015)</w:t>
            </w:r>
          </w:p>
        </w:tc>
        <w:tc>
          <w:tcPr>
            <w:tcW w:w="3774" w:type="pct"/>
            <w:gridSpan w:val="2"/>
            <w:tcBorders>
              <w:bottom w:val="single" w:sz="18" w:space="0" w:color="B66113"/>
            </w:tcBorders>
            <w:hideMark/>
          </w:tcPr>
          <w:p w14:paraId="2D4230E2"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Kahan et al. </w:t>
            </w:r>
            <w:r w:rsidRPr="00CC0461">
              <w:rPr>
                <w:b/>
                <w:bCs/>
                <w:i/>
                <w:iCs/>
                <w:color w:val="000000"/>
                <w:sz w:val="20"/>
                <w:szCs w:val="20"/>
              </w:rPr>
              <w:t>Am J Manag Care</w:t>
            </w:r>
            <w:r w:rsidRPr="00CC0461">
              <w:rPr>
                <w:b/>
                <w:bCs/>
                <w:color w:val="000000"/>
                <w:sz w:val="20"/>
                <w:szCs w:val="20"/>
              </w:rPr>
              <w:t xml:space="preserve"> 2009;15:173–6.</w:t>
            </w:r>
            <w:r w:rsidRPr="00CC0461">
              <w:rPr>
                <w:color w:val="000000"/>
                <w:sz w:val="20"/>
                <w:szCs w:val="20"/>
              </w:rPr>
              <w:br/>
              <w:t>Evaluated a new version of a computerised order form for three target tests (vitamin B12, folic acid and ferritin) vs test requests for haemoglobin and iron as controls. The new vs old order form led to a 31% to 41% reduction in volume of test requests relative to the pre-intervention month, with a 36% to 58% reduction the following month. In comparison, the effect on test requests for controls tests ranged from −2% to 3%.</w:t>
            </w:r>
            <w:r w:rsidRPr="00CC0461">
              <w:rPr>
                <w:color w:val="000000"/>
                <w:sz w:val="20"/>
                <w:szCs w:val="20"/>
              </w:rPr>
              <w:br/>
            </w:r>
            <w:r w:rsidRPr="00CC0461">
              <w:rPr>
                <w:b/>
                <w:bCs/>
                <w:color w:val="000000"/>
                <w:sz w:val="20"/>
                <w:szCs w:val="20"/>
              </w:rPr>
              <w:br/>
              <w:t xml:space="preserve">Shalev et al. </w:t>
            </w:r>
            <w:r w:rsidRPr="00CC0461">
              <w:rPr>
                <w:b/>
                <w:bCs/>
                <w:i/>
                <w:iCs/>
                <w:color w:val="000000"/>
                <w:sz w:val="20"/>
                <w:szCs w:val="20"/>
              </w:rPr>
              <w:t xml:space="preserve">Int J Med Inform </w:t>
            </w:r>
            <w:r w:rsidRPr="00CC0461">
              <w:rPr>
                <w:b/>
                <w:bCs/>
                <w:color w:val="000000"/>
                <w:sz w:val="20"/>
                <w:szCs w:val="20"/>
              </w:rPr>
              <w:t>2009;78:639–44.</w:t>
            </w:r>
            <w:r w:rsidRPr="00CC0461">
              <w:rPr>
                <w:color w:val="000000"/>
                <w:sz w:val="20"/>
                <w:szCs w:val="20"/>
              </w:rPr>
              <w:br/>
              <w:t>Evaluated changing the volume of tests on order form (27 tests removed and two tests added, reducing the number of tests available using a check-box form from 51 to 26) vs a standard form before intervention. For deleted tests there was a 27% and 19.2 % reduction 1 and 2 years after the intervention, respectively (p &lt; 0.001).</w:t>
            </w:r>
            <w:r w:rsidRPr="00CC0461">
              <w:rPr>
                <w:color w:val="000000"/>
                <w:sz w:val="20"/>
                <w:szCs w:val="20"/>
              </w:rPr>
              <w:br/>
            </w:r>
            <w:r w:rsidRPr="00CC0461">
              <w:rPr>
                <w:color w:val="000000"/>
                <w:sz w:val="20"/>
                <w:szCs w:val="20"/>
              </w:rPr>
              <w:br/>
              <w:t>For unchanged tests the percentage changes were +18.4 % in year 1 and −22.4% in year 2; 60.7% (year 1) and 90% (year 2) increases in volume were found in which tests were added to the order form (p &lt; 0.001).</w:t>
            </w:r>
            <w:r w:rsidRPr="00CC0461">
              <w:rPr>
                <w:color w:val="000000"/>
                <w:sz w:val="20"/>
                <w:szCs w:val="20"/>
              </w:rPr>
              <w:br/>
            </w:r>
            <w:r w:rsidRPr="00CC0461">
              <w:rPr>
                <w:b/>
                <w:bCs/>
                <w:color w:val="000000"/>
                <w:sz w:val="20"/>
                <w:szCs w:val="20"/>
              </w:rPr>
              <w:br/>
              <w:t xml:space="preserve">Zaat et al. </w:t>
            </w:r>
            <w:r w:rsidRPr="00CC0461">
              <w:rPr>
                <w:b/>
                <w:bCs/>
                <w:i/>
                <w:iCs/>
                <w:color w:val="000000"/>
                <w:sz w:val="20"/>
                <w:szCs w:val="20"/>
              </w:rPr>
              <w:t>Med Care</w:t>
            </w:r>
            <w:r w:rsidRPr="00CC0461">
              <w:rPr>
                <w:b/>
                <w:bCs/>
                <w:color w:val="000000"/>
                <w:sz w:val="20"/>
                <w:szCs w:val="20"/>
              </w:rPr>
              <w:t xml:space="preserve"> 1992;30:189–98.</w:t>
            </w:r>
            <w:r w:rsidRPr="00CC0461">
              <w:rPr>
                <w:color w:val="000000"/>
                <w:sz w:val="20"/>
                <w:szCs w:val="20"/>
              </w:rPr>
              <w:br/>
              <w:t>Evaluated a standard order form vs a modified request form in which only 15 tests were listed and all other tests had to be handwritten. There was an 18% reduction in the number of tests requested on a monthly basis in the intervention group. In the comparison period the difference between groups was significant (p &lt; 0.0001).</w:t>
            </w:r>
            <w:r w:rsidRPr="00CC0461">
              <w:rPr>
                <w:color w:val="000000"/>
                <w:sz w:val="20"/>
                <w:szCs w:val="20"/>
              </w:rPr>
              <w:br/>
            </w:r>
            <w:r w:rsidRPr="00CC0461">
              <w:rPr>
                <w:color w:val="000000"/>
                <w:sz w:val="20"/>
                <w:szCs w:val="20"/>
              </w:rPr>
              <w:br/>
            </w:r>
            <w:r w:rsidRPr="00CC0461">
              <w:rPr>
                <w:b/>
                <w:bCs/>
                <w:color w:val="000000"/>
                <w:sz w:val="20"/>
                <w:szCs w:val="20"/>
              </w:rPr>
              <w:t xml:space="preserve">van Wijk et al. </w:t>
            </w:r>
            <w:r w:rsidRPr="00CC0461">
              <w:rPr>
                <w:b/>
                <w:bCs/>
                <w:i/>
                <w:iCs/>
                <w:color w:val="000000"/>
                <w:sz w:val="20"/>
                <w:szCs w:val="20"/>
              </w:rPr>
              <w:t>Ann Intern Med</w:t>
            </w:r>
            <w:r w:rsidRPr="00CC0461">
              <w:rPr>
                <w:b/>
                <w:bCs/>
                <w:color w:val="000000"/>
                <w:sz w:val="20"/>
                <w:szCs w:val="20"/>
              </w:rPr>
              <w:t xml:space="preserve"> 2001;134:274–81.</w:t>
            </w:r>
            <w:r w:rsidRPr="00CC0461">
              <w:rPr>
                <w:color w:val="000000"/>
                <w:sz w:val="20"/>
                <w:szCs w:val="20"/>
              </w:rPr>
              <w:br/>
              <w:t xml:space="preserve">Evaluated a guideline-based order form vs a restricted guideline-based electronic order form. Decision support based on guidelines was more effective in changing blood test ordering than decision support based on initially displaying a limited number of tests. </w:t>
            </w:r>
            <w:r w:rsidRPr="00CC0461">
              <w:rPr>
                <w:color w:val="000000"/>
                <w:sz w:val="20"/>
                <w:szCs w:val="20"/>
              </w:rPr>
              <w:br/>
            </w:r>
            <w:r w:rsidRPr="00CC0461">
              <w:rPr>
                <w:color w:val="000000"/>
                <w:sz w:val="20"/>
                <w:szCs w:val="20"/>
              </w:rPr>
              <w:br/>
              <w:t>Those who used BloodLink-Guideline requested 20% fewer tests on average than those who used BloodLink-Restricted: mean (± SD) 5.5 ± 0.9 tests vs 6.9 ± 1.6 tests (p = 0.003).</w:t>
            </w:r>
          </w:p>
        </w:tc>
        <w:tc>
          <w:tcPr>
            <w:tcW w:w="646" w:type="pct"/>
            <w:tcBorders>
              <w:bottom w:val="single" w:sz="18" w:space="0" w:color="B66113"/>
            </w:tcBorders>
            <w:hideMark/>
          </w:tcPr>
          <w:p w14:paraId="5F5A263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individual studies showed that changing order forms to include a reduced number of tests or include decision support based on guideline can lead to a reduction in the volume of laboratory tests ordered.</w:t>
            </w:r>
          </w:p>
        </w:tc>
      </w:tr>
      <w:tr w:rsidR="00C9672D" w:rsidRPr="00CC0461" w14:paraId="2EC5E845" w14:textId="77777777" w:rsidTr="00C9672D">
        <w:trPr>
          <w:trHeight w:val="1200"/>
        </w:trPr>
        <w:tc>
          <w:tcPr>
            <w:cnfStyle w:val="001000000000" w:firstRow="0" w:lastRow="0" w:firstColumn="1" w:lastColumn="0" w:oddVBand="0" w:evenVBand="0" w:oddHBand="0" w:evenHBand="0" w:firstRowFirstColumn="0" w:firstRowLastColumn="0" w:lastRowFirstColumn="0" w:lastRowLastColumn="0"/>
            <w:tcW w:w="580" w:type="pct"/>
            <w:tcBorders>
              <w:top w:val="single" w:sz="18" w:space="0" w:color="B66113"/>
              <w:bottom w:val="single" w:sz="4" w:space="0" w:color="C0C0C0"/>
            </w:tcBorders>
            <w:hideMark/>
          </w:tcPr>
          <w:p w14:paraId="5C96529C"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Jenkins HJ (2015)</w:t>
            </w:r>
          </w:p>
        </w:tc>
        <w:tc>
          <w:tcPr>
            <w:tcW w:w="3774" w:type="pct"/>
            <w:gridSpan w:val="2"/>
            <w:tcBorders>
              <w:top w:val="single" w:sz="18" w:space="0" w:color="B66113"/>
              <w:bottom w:val="single" w:sz="4" w:space="0" w:color="C0C0C0"/>
            </w:tcBorders>
            <w:hideMark/>
          </w:tcPr>
          <w:p w14:paraId="0DEC16A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Baker et al. </w:t>
            </w:r>
            <w:r w:rsidRPr="00CC0461">
              <w:rPr>
                <w:b/>
                <w:bCs/>
                <w:i/>
                <w:iCs/>
                <w:color w:val="000000"/>
                <w:sz w:val="20"/>
                <w:szCs w:val="20"/>
              </w:rPr>
              <w:t>AJR Am J Roentgenol</w:t>
            </w:r>
            <w:r w:rsidRPr="00CC0461">
              <w:rPr>
                <w:b/>
                <w:bCs/>
                <w:color w:val="000000"/>
                <w:sz w:val="20"/>
                <w:szCs w:val="20"/>
              </w:rPr>
              <w:t xml:space="preserve"> 1987;149:535-8.</w:t>
            </w:r>
            <w:r w:rsidRPr="00CC0461">
              <w:rPr>
                <w:color w:val="000000"/>
                <w:sz w:val="20"/>
                <w:szCs w:val="20"/>
              </w:rPr>
              <w:br/>
              <w:t>Absolute change in imaging referrals during the first month after implementation of a modified referral form that allowed only three guideline-appropriate indications for imaging: −44.3 (95% CI −48.7 to −39.9). This was equivalent to a decrease in imaging of 36.8% (95% CI 33.2% to 40.5%).</w:t>
            </w:r>
          </w:p>
        </w:tc>
        <w:tc>
          <w:tcPr>
            <w:tcW w:w="646" w:type="pct"/>
            <w:tcBorders>
              <w:top w:val="single" w:sz="18" w:space="0" w:color="B66113"/>
              <w:bottom w:val="single" w:sz="4" w:space="0" w:color="C0C0C0"/>
            </w:tcBorders>
            <w:hideMark/>
          </w:tcPr>
          <w:p w14:paraId="352D87F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showed that clinical decision support involving a modified referral form in a hospital setting reduced rates of imaging.</w:t>
            </w:r>
          </w:p>
        </w:tc>
      </w:tr>
      <w:tr w:rsidR="00C9672D" w:rsidRPr="00CC0461" w14:paraId="61396E49" w14:textId="77777777" w:rsidTr="00C9672D">
        <w:trPr>
          <w:trHeight w:val="1500"/>
        </w:trPr>
        <w:tc>
          <w:tcPr>
            <w:cnfStyle w:val="001000000000" w:firstRow="0" w:lastRow="0" w:firstColumn="1" w:lastColumn="0" w:oddVBand="0" w:evenVBand="0" w:oddHBand="0" w:evenHBand="0" w:firstRowFirstColumn="0" w:firstRowLastColumn="0" w:lastRowFirstColumn="0" w:lastRowLastColumn="0"/>
            <w:tcW w:w="580" w:type="pct"/>
            <w:tcBorders>
              <w:top w:val="single" w:sz="4" w:space="0" w:color="C0C0C0"/>
              <w:bottom w:val="single" w:sz="18" w:space="0" w:color="B66113"/>
            </w:tcBorders>
            <w:hideMark/>
          </w:tcPr>
          <w:p w14:paraId="796C7B3A" w14:textId="77777777" w:rsidR="00C9672D" w:rsidRPr="00CC0461" w:rsidRDefault="00C9672D" w:rsidP="00C9672D">
            <w:pPr>
              <w:spacing w:before="0" w:line="240" w:lineRule="auto"/>
              <w:rPr>
                <w:color w:val="000000"/>
                <w:sz w:val="20"/>
                <w:szCs w:val="20"/>
              </w:rPr>
            </w:pPr>
            <w:r w:rsidRPr="00CC0461">
              <w:rPr>
                <w:color w:val="000000"/>
                <w:sz w:val="20"/>
                <w:szCs w:val="20"/>
              </w:rPr>
              <w:t>Stammen LA (2015)</w:t>
            </w:r>
          </w:p>
        </w:tc>
        <w:tc>
          <w:tcPr>
            <w:tcW w:w="3774" w:type="pct"/>
            <w:gridSpan w:val="2"/>
            <w:tcBorders>
              <w:top w:val="single" w:sz="4" w:space="0" w:color="C0C0C0"/>
              <w:bottom w:val="single" w:sz="18" w:space="0" w:color="B66113"/>
            </w:tcBorders>
            <w:hideMark/>
          </w:tcPr>
          <w:p w14:paraId="51C049F1"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CC0461">
              <w:rPr>
                <w:b/>
                <w:bCs/>
                <w:color w:val="000000"/>
                <w:sz w:val="20"/>
                <w:szCs w:val="20"/>
              </w:rPr>
              <w:t xml:space="preserve">Krinsley. </w:t>
            </w:r>
            <w:r w:rsidRPr="00CC0461">
              <w:rPr>
                <w:b/>
                <w:bCs/>
                <w:i/>
                <w:iCs/>
                <w:color w:val="000000"/>
                <w:sz w:val="20"/>
                <w:szCs w:val="20"/>
              </w:rPr>
              <w:t xml:space="preserve">J Intensive Care Med </w:t>
            </w:r>
            <w:r w:rsidRPr="00CC0461">
              <w:rPr>
                <w:b/>
                <w:bCs/>
                <w:color w:val="000000"/>
                <w:sz w:val="20"/>
                <w:szCs w:val="20"/>
              </w:rPr>
              <w:t>2003;18:330–9.</w:t>
            </w:r>
            <w:r w:rsidRPr="00CC0461">
              <w:rPr>
                <w:b/>
                <w:bCs/>
                <w:color w:val="000000"/>
                <w:sz w:val="20"/>
                <w:szCs w:val="20"/>
              </w:rPr>
              <w:br/>
            </w:r>
            <w:r w:rsidRPr="00CC0461">
              <w:rPr>
                <w:color w:val="000000"/>
                <w:sz w:val="20"/>
                <w:szCs w:val="20"/>
              </w:rPr>
              <w:t>Evaluated reflective questions on an order form (to residents), to see if it would safely decrease utilisation of imaging. Chest X-ray utilisation rate decreased by 22.5% during the study period, resulting in $109,968 cost savings, which were not associated with any adverse</w:t>
            </w:r>
            <w:r w:rsidRPr="00CC0461">
              <w:rPr>
                <w:color w:val="000000"/>
                <w:sz w:val="20"/>
                <w:szCs w:val="20"/>
              </w:rPr>
              <w:br/>
              <w:t>clinical outcomes.</w:t>
            </w:r>
          </w:p>
        </w:tc>
        <w:tc>
          <w:tcPr>
            <w:tcW w:w="646" w:type="pct"/>
            <w:tcBorders>
              <w:top w:val="single" w:sz="4" w:space="0" w:color="C0C0C0"/>
              <w:bottom w:val="single" w:sz="18" w:space="0" w:color="B66113"/>
            </w:tcBorders>
            <w:hideMark/>
          </w:tcPr>
          <w:p w14:paraId="58E195B7"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t>Results from a single study showed that changing an order form to include reflective questions decreased utilisation of imaging and resulted in cost savings, without increases in adverse outcomes.</w:t>
            </w:r>
          </w:p>
        </w:tc>
      </w:tr>
      <w:tr w:rsidR="00C9672D" w:rsidRPr="00CC0461" w14:paraId="4477A3B3" w14:textId="77777777" w:rsidTr="00C9672D">
        <w:trPr>
          <w:trHeight w:val="8190"/>
        </w:trPr>
        <w:tc>
          <w:tcPr>
            <w:cnfStyle w:val="001000000000" w:firstRow="0" w:lastRow="0" w:firstColumn="1" w:lastColumn="0" w:oddVBand="0" w:evenVBand="0" w:oddHBand="0" w:evenHBand="0" w:firstRowFirstColumn="0" w:firstRowLastColumn="0" w:lastRowFirstColumn="0" w:lastRowLastColumn="0"/>
            <w:tcW w:w="580" w:type="pct"/>
            <w:tcBorders>
              <w:top w:val="single" w:sz="18" w:space="0" w:color="B66113"/>
              <w:bottom w:val="single" w:sz="18" w:space="0" w:color="B66113"/>
            </w:tcBorders>
            <w:hideMark/>
          </w:tcPr>
          <w:p w14:paraId="7348DA6E" w14:textId="77777777" w:rsidR="00C9672D" w:rsidRPr="00CC0461" w:rsidRDefault="00C9672D" w:rsidP="00C9672D">
            <w:pPr>
              <w:spacing w:before="0" w:line="240" w:lineRule="auto"/>
              <w:rPr>
                <w:color w:val="000000"/>
                <w:sz w:val="20"/>
                <w:szCs w:val="20"/>
              </w:rPr>
            </w:pPr>
            <w:r w:rsidRPr="00CC0461">
              <w:rPr>
                <w:color w:val="000000"/>
                <w:sz w:val="20"/>
                <w:szCs w:val="20"/>
              </w:rPr>
              <w:lastRenderedPageBreak/>
              <w:t>Thomas RE (2015)</w:t>
            </w:r>
          </w:p>
        </w:tc>
        <w:tc>
          <w:tcPr>
            <w:tcW w:w="3774" w:type="pct"/>
            <w:gridSpan w:val="2"/>
            <w:tcBorders>
              <w:top w:val="single" w:sz="18" w:space="0" w:color="B66113"/>
              <w:bottom w:val="single" w:sz="18" w:space="0" w:color="B66113"/>
            </w:tcBorders>
            <w:hideMark/>
          </w:tcPr>
          <w:p w14:paraId="4CF0AE16"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b/>
                <w:bCs/>
                <w:color w:val="000000"/>
                <w:sz w:val="20"/>
                <w:szCs w:val="20"/>
              </w:rPr>
              <w:t xml:space="preserve">Bailey et al. </w:t>
            </w:r>
            <w:r w:rsidRPr="00CC0461">
              <w:rPr>
                <w:b/>
                <w:bCs/>
                <w:i/>
                <w:iCs/>
                <w:color w:val="000000"/>
                <w:sz w:val="20"/>
                <w:szCs w:val="20"/>
              </w:rPr>
              <w:t xml:space="preserve">J Clin Pathol </w:t>
            </w:r>
            <w:r w:rsidRPr="00CC0461">
              <w:rPr>
                <w:b/>
                <w:bCs/>
                <w:color w:val="000000"/>
                <w:sz w:val="20"/>
                <w:szCs w:val="20"/>
              </w:rPr>
              <w:t>2005;58:853–5.</w:t>
            </w:r>
            <w:r w:rsidRPr="00CC0461">
              <w:rPr>
                <w:color w:val="000000"/>
                <w:sz w:val="20"/>
                <w:szCs w:val="20"/>
              </w:rPr>
              <w:br/>
              <w:t xml:space="preserve">Removed CRP, RF, LDH and serum calcium from a 16-item lab form (previously included as individual check boxes). Compared with the original request rate, the request rate for serum LDH declined to 21%, calcium tests to 38%, CRP to 70% and RF to 73% (all p &lt; 0.001). </w:t>
            </w:r>
            <w:r w:rsidRPr="00CC0461">
              <w:rPr>
                <w:color w:val="000000"/>
                <w:sz w:val="20"/>
                <w:szCs w:val="20"/>
              </w:rPr>
              <w:br/>
            </w:r>
            <w:r w:rsidRPr="00CC0461">
              <w:rPr>
                <w:color w:val="000000"/>
                <w:sz w:val="20"/>
                <w:szCs w:val="20"/>
              </w:rPr>
              <w:br/>
            </w:r>
            <w:r w:rsidRPr="00CC0461">
              <w:rPr>
                <w:b/>
                <w:bCs/>
                <w:color w:val="000000"/>
                <w:sz w:val="20"/>
                <w:szCs w:val="20"/>
              </w:rPr>
              <w:t xml:space="preserve">Emerson et al. </w:t>
            </w:r>
            <w:r w:rsidRPr="00CC0461">
              <w:rPr>
                <w:b/>
                <w:bCs/>
                <w:i/>
                <w:iCs/>
                <w:color w:val="000000"/>
                <w:sz w:val="20"/>
                <w:szCs w:val="20"/>
              </w:rPr>
              <w:t>Am J Clin Pathol</w:t>
            </w:r>
            <w:r w:rsidRPr="00CC0461">
              <w:rPr>
                <w:b/>
                <w:bCs/>
                <w:color w:val="000000"/>
                <w:sz w:val="20"/>
                <w:szCs w:val="20"/>
              </w:rPr>
              <w:t xml:space="preserve"> 2001;116:879–84.</w:t>
            </w:r>
            <w:r w:rsidRPr="00CC0461">
              <w:rPr>
                <w:color w:val="000000"/>
                <w:sz w:val="20"/>
                <w:szCs w:val="20"/>
              </w:rPr>
              <w:br/>
              <w:t>Found that family physicians at baseline ordered 0.55 laboratory tests/patient visit. Seven months after a 6-month familiarisation period they ordered 0.6 laboratory tests/patient visit, with no significant differences.</w:t>
            </w:r>
            <w:r w:rsidRPr="00CC0461">
              <w:rPr>
                <w:color w:val="000000"/>
                <w:sz w:val="20"/>
                <w:szCs w:val="20"/>
              </w:rPr>
              <w:br/>
            </w:r>
            <w:r w:rsidRPr="00CC0461">
              <w:rPr>
                <w:color w:val="000000"/>
                <w:sz w:val="20"/>
                <w:szCs w:val="20"/>
              </w:rPr>
              <w:br/>
            </w:r>
            <w:r w:rsidRPr="00CC0461">
              <w:rPr>
                <w:b/>
                <w:bCs/>
                <w:color w:val="000000"/>
                <w:sz w:val="20"/>
                <w:szCs w:val="20"/>
              </w:rPr>
              <w:t xml:space="preserve">Kahan et al. </w:t>
            </w:r>
            <w:r w:rsidRPr="00CC0461">
              <w:rPr>
                <w:b/>
                <w:bCs/>
                <w:i/>
                <w:iCs/>
                <w:color w:val="000000"/>
                <w:sz w:val="20"/>
                <w:szCs w:val="20"/>
              </w:rPr>
              <w:t>Am J Manag Care</w:t>
            </w:r>
            <w:r w:rsidRPr="00CC0461">
              <w:rPr>
                <w:b/>
                <w:bCs/>
                <w:color w:val="000000"/>
                <w:sz w:val="20"/>
                <w:szCs w:val="20"/>
              </w:rPr>
              <w:t xml:space="preserve"> 2009;15:173–6.</w:t>
            </w:r>
            <w:r w:rsidRPr="00CC0461">
              <w:rPr>
                <w:color w:val="000000"/>
                <w:sz w:val="20"/>
                <w:szCs w:val="20"/>
              </w:rPr>
              <w:br/>
              <w:t xml:space="preserve">A computerised form was re-formatted to separate grouped tests. They separated vitamin B12, folic acid and ferritin (which had been grouped and labelled 'anaemia') and found a decrease of 58% in folic acid tests, 50% in ferritin tests, 39% in B12 tests, 4% in Hgb tests, and 2% in iron tests (no numbers of patients, tests or physicians were provided). </w:t>
            </w:r>
            <w:r w:rsidRPr="00CC0461">
              <w:rPr>
                <w:color w:val="000000"/>
                <w:sz w:val="20"/>
                <w:szCs w:val="20"/>
              </w:rPr>
              <w:br/>
            </w:r>
            <w:r w:rsidRPr="00CC0461">
              <w:rPr>
                <w:color w:val="000000"/>
                <w:sz w:val="20"/>
                <w:szCs w:val="20"/>
              </w:rPr>
              <w:br/>
            </w:r>
            <w:r w:rsidRPr="00CC0461">
              <w:rPr>
                <w:b/>
                <w:bCs/>
                <w:color w:val="000000"/>
                <w:sz w:val="20"/>
                <w:szCs w:val="20"/>
              </w:rPr>
              <w:t xml:space="preserve">Shalev et al. </w:t>
            </w:r>
            <w:r w:rsidRPr="00CC0461">
              <w:rPr>
                <w:b/>
                <w:bCs/>
                <w:i/>
                <w:iCs/>
                <w:color w:val="000000"/>
                <w:sz w:val="20"/>
                <w:szCs w:val="20"/>
              </w:rPr>
              <w:t xml:space="preserve">Int J Med Inform </w:t>
            </w:r>
            <w:r w:rsidRPr="00CC0461">
              <w:rPr>
                <w:b/>
                <w:bCs/>
                <w:color w:val="000000"/>
                <w:sz w:val="20"/>
                <w:szCs w:val="20"/>
              </w:rPr>
              <w:t>2009;78:639–44.</w:t>
            </w:r>
            <w:r w:rsidRPr="00CC0461">
              <w:rPr>
                <w:color w:val="000000"/>
                <w:sz w:val="20"/>
                <w:szCs w:val="20"/>
              </w:rPr>
              <w:br/>
              <w:t xml:space="preserve">Changed the set-up of a check-box laboratory order form embedded in a computerised medical record. They reduced the number of tests on the form from 51 to 26. For the deleted tests there was a 30% decrease in the first and a 39% decrease in the second year. For the unchanged tests there was a 13% increase in the first year and a 1% increase in the second (all p &lt; 0.001). </w:t>
            </w:r>
            <w:r w:rsidRPr="00CC0461">
              <w:rPr>
                <w:color w:val="000000"/>
                <w:sz w:val="20"/>
                <w:szCs w:val="20"/>
              </w:rPr>
              <w:br/>
            </w:r>
            <w:r w:rsidRPr="00CC0461">
              <w:rPr>
                <w:color w:val="000000"/>
                <w:sz w:val="20"/>
                <w:szCs w:val="20"/>
              </w:rPr>
              <w:br/>
            </w:r>
            <w:r w:rsidRPr="00CC0461">
              <w:rPr>
                <w:b/>
                <w:bCs/>
                <w:color w:val="000000"/>
                <w:sz w:val="20"/>
                <w:szCs w:val="20"/>
              </w:rPr>
              <w:t>Vardy et al.</w:t>
            </w:r>
            <w:r w:rsidRPr="00CC0461">
              <w:rPr>
                <w:b/>
                <w:bCs/>
                <w:i/>
                <w:iCs/>
                <w:color w:val="000000"/>
                <w:sz w:val="20"/>
                <w:szCs w:val="20"/>
              </w:rPr>
              <w:t xml:space="preserve"> J Med Syst</w:t>
            </w:r>
            <w:r w:rsidRPr="00CC0461">
              <w:rPr>
                <w:b/>
                <w:bCs/>
                <w:color w:val="000000"/>
                <w:sz w:val="20"/>
                <w:szCs w:val="20"/>
              </w:rPr>
              <w:t xml:space="preserve"> 2005;29:619–26.</w:t>
            </w:r>
            <w:r w:rsidRPr="00CC0461">
              <w:rPr>
                <w:color w:val="000000"/>
                <w:sz w:val="20"/>
                <w:szCs w:val="20"/>
              </w:rPr>
              <w:br/>
              <w:t xml:space="preserve">Reorganised 26 common tests comprising 84% of total laboratory costs into three levels: screening, tests to assess the extent of the problem, and full evaluation of the problem. In the year before the intervention there was a 19% increase in tests ordered, but there was a 2% decrease in the 3 months after the intervention. </w:t>
            </w:r>
            <w:r w:rsidRPr="00CC0461">
              <w:rPr>
                <w:color w:val="000000"/>
                <w:sz w:val="20"/>
                <w:szCs w:val="20"/>
              </w:rPr>
              <w:br/>
            </w:r>
            <w:r w:rsidRPr="00CC0461">
              <w:rPr>
                <w:b/>
                <w:bCs/>
                <w:color w:val="000000"/>
                <w:sz w:val="20"/>
                <w:szCs w:val="20"/>
              </w:rPr>
              <w:br/>
              <w:t xml:space="preserve">Zaat et al. </w:t>
            </w:r>
            <w:r w:rsidRPr="00CC0461">
              <w:rPr>
                <w:b/>
                <w:bCs/>
                <w:i/>
                <w:iCs/>
                <w:color w:val="000000"/>
                <w:sz w:val="20"/>
                <w:szCs w:val="20"/>
              </w:rPr>
              <w:t xml:space="preserve">Med Care </w:t>
            </w:r>
            <w:r w:rsidRPr="00CC0461">
              <w:rPr>
                <w:b/>
                <w:bCs/>
                <w:color w:val="000000"/>
                <w:sz w:val="20"/>
                <w:szCs w:val="20"/>
              </w:rPr>
              <w:t>1992;30:189–98.</w:t>
            </w:r>
            <w:r w:rsidRPr="00CC0461">
              <w:rPr>
                <w:color w:val="000000"/>
                <w:sz w:val="20"/>
                <w:szCs w:val="20"/>
              </w:rPr>
              <w:br/>
              <w:t>Reduced their laboratory form to only 15 haematological and chemical tests (in addition to 'some urine and faeces tests'). Physicians were provided with a booklet explaining the essential features of the 15 tests and sample calculations of prior and posterior probabilities. There was an 18% reduction in orders after the intervention compared with a control group from a different area (p &lt; 0.0001). After the intervention the standard form was re-introduced and the order rate increased again.</w:t>
            </w:r>
            <w:r w:rsidRPr="00CC0461">
              <w:rPr>
                <w:color w:val="000000"/>
                <w:sz w:val="20"/>
                <w:szCs w:val="20"/>
              </w:rPr>
              <w:br/>
            </w:r>
            <w:r w:rsidRPr="00CC0461">
              <w:rPr>
                <w:color w:val="000000"/>
                <w:sz w:val="20"/>
                <w:szCs w:val="20"/>
              </w:rPr>
              <w:br/>
            </w:r>
            <w:r w:rsidRPr="00CC0461">
              <w:rPr>
                <w:b/>
                <w:bCs/>
                <w:color w:val="000000"/>
                <w:sz w:val="20"/>
                <w:szCs w:val="20"/>
              </w:rPr>
              <w:t xml:space="preserve">Huang et al. </w:t>
            </w:r>
            <w:r w:rsidRPr="00CC0461">
              <w:rPr>
                <w:b/>
                <w:bCs/>
                <w:i/>
                <w:iCs/>
                <w:color w:val="000000"/>
                <w:sz w:val="20"/>
                <w:szCs w:val="20"/>
              </w:rPr>
              <w:t xml:space="preserve">Clin Biochem </w:t>
            </w:r>
            <w:r w:rsidRPr="00CC0461">
              <w:rPr>
                <w:b/>
                <w:bCs/>
                <w:color w:val="000000"/>
                <w:sz w:val="20"/>
                <w:szCs w:val="20"/>
              </w:rPr>
              <w:t>2012;45:455–9.</w:t>
            </w:r>
            <w:r w:rsidRPr="00CC0461">
              <w:rPr>
                <w:color w:val="000000"/>
                <w:sz w:val="20"/>
                <w:szCs w:val="20"/>
              </w:rPr>
              <w:br/>
              <w:t>Change of form for coeliac disease and ability to order coeliac diseases tests denied to all family physicians led to a 100% reduction in test ordering.</w:t>
            </w:r>
            <w:r w:rsidRPr="00CC0461">
              <w:rPr>
                <w:color w:val="000000"/>
                <w:sz w:val="20"/>
                <w:szCs w:val="20"/>
              </w:rPr>
              <w:br/>
            </w:r>
            <w:r w:rsidRPr="00CC0461">
              <w:rPr>
                <w:b/>
                <w:bCs/>
                <w:color w:val="000000"/>
                <w:sz w:val="20"/>
                <w:szCs w:val="20"/>
              </w:rPr>
              <w:br/>
              <w:t xml:space="preserve">Liu Z et al. </w:t>
            </w:r>
            <w:r w:rsidRPr="00CC0461">
              <w:rPr>
                <w:b/>
                <w:bCs/>
                <w:i/>
                <w:iCs/>
                <w:color w:val="000000"/>
                <w:sz w:val="20"/>
                <w:szCs w:val="20"/>
              </w:rPr>
              <w:t xml:space="preserve">Lab Med </w:t>
            </w:r>
            <w:r w:rsidRPr="00CC0461">
              <w:rPr>
                <w:b/>
                <w:bCs/>
                <w:color w:val="000000"/>
                <w:sz w:val="20"/>
                <w:szCs w:val="20"/>
              </w:rPr>
              <w:t>2012;43:164–7.</w:t>
            </w:r>
            <w:r w:rsidRPr="00CC0461">
              <w:rPr>
                <w:color w:val="000000"/>
                <w:sz w:val="20"/>
                <w:szCs w:val="20"/>
              </w:rPr>
              <w:br/>
            </w:r>
            <w:r w:rsidRPr="00CC0461">
              <w:rPr>
                <w:color w:val="000000"/>
                <w:sz w:val="20"/>
                <w:szCs w:val="20"/>
              </w:rPr>
              <w:lastRenderedPageBreak/>
              <w:t>The request for physicians to justify costs more than CA$20 for tests that needed to be referred out to other laboratories resulted in a 61% decrease in ordering.</w:t>
            </w:r>
          </w:p>
        </w:tc>
        <w:tc>
          <w:tcPr>
            <w:tcW w:w="646" w:type="pct"/>
            <w:tcBorders>
              <w:top w:val="single" w:sz="18" w:space="0" w:color="B66113"/>
              <w:bottom w:val="single" w:sz="18" w:space="0" w:color="B66113"/>
            </w:tcBorders>
            <w:hideMark/>
          </w:tcPr>
          <w:p w14:paraId="48537335" w14:textId="77777777" w:rsidR="00C9672D" w:rsidRPr="00CC0461" w:rsidRDefault="00C9672D" w:rsidP="00C9672D">
            <w:pPr>
              <w:spacing w:before="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CC0461">
              <w:rPr>
                <w:color w:val="000000"/>
                <w:sz w:val="20"/>
                <w:szCs w:val="20"/>
              </w:rPr>
              <w:lastRenderedPageBreak/>
              <w:t>Results from individual studies showed that there was a reduction in request rates for laboratory tests after modification of order forms to separate individual tests from groups of tests, reduce the total number of tests included on an order form, or re-organise tests based on depth of evaluation required.</w:t>
            </w:r>
          </w:p>
        </w:tc>
      </w:tr>
    </w:tbl>
    <w:p w14:paraId="3CCFF600" w14:textId="77777777" w:rsidR="00C9672D" w:rsidRDefault="00C9672D" w:rsidP="00C9672D">
      <w:pPr>
        <w:tabs>
          <w:tab w:val="left" w:pos="1623"/>
        </w:tabs>
        <w:rPr>
          <w:rFonts w:eastAsia="TimesNewRomanPSMT"/>
          <w:lang w:eastAsia="en-US"/>
        </w:rPr>
        <w:sectPr w:rsidR="00C9672D" w:rsidSect="00C9672D">
          <w:footnotePr>
            <w:numFmt w:val="chicago"/>
            <w:numRestart w:val="eachPage"/>
          </w:footnotePr>
          <w:pgSz w:w="16838" w:h="11906" w:orient="landscape" w:code="9"/>
          <w:pgMar w:top="851" w:right="1134" w:bottom="907" w:left="1134" w:header="567" w:footer="442" w:gutter="567"/>
          <w:cols w:space="708"/>
          <w:docGrid w:linePitch="360"/>
        </w:sectPr>
      </w:pPr>
    </w:p>
    <w:p w14:paraId="111D2E07" w14:textId="77777777" w:rsidR="00C9672D" w:rsidRDefault="00C9672D" w:rsidP="00553C63">
      <w:pPr>
        <w:pStyle w:val="ApDHead1"/>
        <w:outlineLvl w:val="0"/>
        <w:rPr>
          <w:rFonts w:eastAsia="TimesNewRomanPSMT"/>
        </w:rPr>
      </w:pPr>
      <w:bookmarkStart w:id="409" w:name="_Toc525740595"/>
      <w:bookmarkStart w:id="410" w:name="_Toc525816161"/>
      <w:r>
        <w:rPr>
          <w:rFonts w:eastAsia="TimesNewRomanPSMT"/>
        </w:rPr>
        <w:lastRenderedPageBreak/>
        <w:t>Appendices</w:t>
      </w:r>
      <w:bookmarkEnd w:id="409"/>
      <w:bookmarkEnd w:id="410"/>
    </w:p>
    <w:p w14:paraId="277B75B9" w14:textId="77777777" w:rsidR="00C9672D" w:rsidRPr="006B1AB3" w:rsidRDefault="00C9672D" w:rsidP="00C9672D">
      <w:pPr>
        <w:pStyle w:val="ApDHead2"/>
      </w:pPr>
      <w:bookmarkStart w:id="411" w:name="_Toc525740596"/>
      <w:bookmarkStart w:id="412" w:name="_Toc525816162"/>
      <w:r w:rsidRPr="006B1AB3">
        <w:t>Appendix 1: The full electronic search strategies used for the systematic searches</w:t>
      </w:r>
      <w:bookmarkEnd w:id="411"/>
      <w:bookmarkEnd w:id="412"/>
    </w:p>
    <w:p w14:paraId="465FF001" w14:textId="77777777" w:rsidR="00C9672D" w:rsidRPr="00BE1F39" w:rsidRDefault="00C9672D" w:rsidP="00C9672D">
      <w:pPr>
        <w:pStyle w:val="ApDHead3"/>
        <w:rPr>
          <w:rStyle w:val="Bold"/>
          <w:rFonts w:eastAsia="Arial Unicode MS"/>
          <w:b/>
        </w:rPr>
      </w:pPr>
      <w:bookmarkStart w:id="413" w:name="_Toc525740597"/>
      <w:bookmarkStart w:id="414" w:name="_Toc525816163"/>
      <w:r w:rsidRPr="00BE1F39">
        <w:rPr>
          <w:rStyle w:val="Bold"/>
          <w:rFonts w:eastAsia="Arial Unicode MS"/>
        </w:rPr>
        <w:t xml:space="preserve">Embase search for </w:t>
      </w:r>
      <w:r w:rsidRPr="00BE1F39">
        <w:t>reviews</w:t>
      </w:r>
      <w:r w:rsidRPr="00BE1F39">
        <w:rPr>
          <w:rStyle w:val="Bold"/>
          <w:rFonts w:eastAsia="Arial Unicode MS"/>
        </w:rPr>
        <w:t xml:space="preserve"> investigating diagnostic imaging</w:t>
      </w:r>
      <w:bookmarkEnd w:id="413"/>
      <w:bookmarkEnd w:id="414"/>
    </w:p>
    <w:p w14:paraId="6987403C" w14:textId="77777777" w:rsidR="00C9672D" w:rsidRPr="006B1AB3" w:rsidRDefault="00C9672D" w:rsidP="00C9672D">
      <w:pPr>
        <w:pStyle w:val="BodyText1"/>
        <w:rPr>
          <w:rFonts w:eastAsia="Arial Unicode MS"/>
        </w:rPr>
      </w:pPr>
      <w:r w:rsidRPr="006B1AB3">
        <w:rPr>
          <w:rFonts w:eastAsia="Arial Unicode MS"/>
        </w:rPr>
        <w:t>Search Strategy:</w:t>
      </w:r>
    </w:p>
    <w:p w14:paraId="04B830E4"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(58175)</w:t>
      </w:r>
    </w:p>
    <w:p w14:paraId="29384E4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Family Practice/ (79519)</w:t>
      </w:r>
    </w:p>
    <w:p w14:paraId="7020D801"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General Practice/ (82625)</w:t>
      </w:r>
    </w:p>
    <w:p w14:paraId="370B9E1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General Practitioners/ (85537)</w:t>
      </w:r>
    </w:p>
    <w:p w14:paraId="53BDB333"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Physicians, Family/ (85539)</w:t>
      </w:r>
    </w:p>
    <w:p w14:paraId="2F907E40"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GP.mp. (67693)</w:t>
      </w:r>
    </w:p>
    <w:p w14:paraId="5548251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or/1-6 (255940)</w:t>
      </w:r>
    </w:p>
    <w:p w14:paraId="4BC45E11"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unnecessary procedures.mp. or Unnecessary Procedures/ (2779)</w:t>
      </w:r>
    </w:p>
    <w:p w14:paraId="4759832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Clinical Decision-Making/ (33922)</w:t>
      </w:r>
    </w:p>
    <w:p w14:paraId="500A1662"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Decision Support Systems, Clinical/ (507)</w:t>
      </w:r>
    </w:p>
    <w:p w14:paraId="2E09A0E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Education, Medical, Continuing/ (190666)</w:t>
      </w:r>
    </w:p>
    <w:p w14:paraId="426F1FC1"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Inservice training.mp. [mp=title, abstract, heading word, drug trade name, original title, device manufacturer, drug manufacturer, device trade name, keyword, floating subheading] (399)</w:t>
      </w:r>
    </w:p>
    <w:p w14:paraId="3C21F46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General practitioners education.mp. [mp=title, abstract, heading word, drug trade name, original title, device manufacturer, drug manufacturer, device trade name, keyword, floating subheading] (12)</w:t>
      </w:r>
    </w:p>
    <w:p w14:paraId="7DAAADBF"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Medical Audit/ (53265)</w:t>
      </w:r>
    </w:p>
    <w:p w14:paraId="17D8626A"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interventions.mp. (422459)</w:t>
      </w:r>
    </w:p>
    <w:p w14:paraId="634430E2"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test utilization.mp. (432)</w:t>
      </w:r>
    </w:p>
    <w:p w14:paraId="4A1426A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Clinical Audit/ (52975)</w:t>
      </w:r>
    </w:p>
    <w:p w14:paraId="021C3C6D"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Guideline Adherence/ (274544)</w:t>
      </w:r>
    </w:p>
    <w:p w14:paraId="1046CDF5"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pattern feedback.mp. (3)</w:t>
      </w:r>
    </w:p>
    <w:p w14:paraId="0757F7D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patterns, physicians/ (262207)</w:t>
      </w:r>
    </w:p>
    <w:p w14:paraId="54CCAB2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Quality Improvement/ (21004)</w:t>
      </w:r>
    </w:p>
    <w:p w14:paraId="4ACFF201"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Guideline/ (309806)</w:t>
      </w:r>
    </w:p>
    <w:p w14:paraId="2683F897"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Practice guidelines as topic.mp. [mp=title, abstract, heading word, drug trade name, original title, device manufacturer, drug manufacturer, device trade name, keyword, floating subheading] (179)</w:t>
      </w:r>
    </w:p>
    <w:p w14:paraId="2FE485B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or/9-23 (1185270)</w:t>
      </w:r>
    </w:p>
    <w:p w14:paraId="6CEB3EB5"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imaging.tw. (820369)</w:t>
      </w:r>
    </w:p>
    <w:p w14:paraId="17D1958D"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lastRenderedPageBreak/>
        <w:t>ultrasound*.tw. (287921)</w:t>
      </w:r>
    </w:p>
    <w:p w14:paraId="5E62F5FF"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MRI.tw. (302313)</w:t>
      </w:r>
    </w:p>
    <w:p w14:paraId="1584252F"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CT scan.tw. (77286)</w:t>
      </w:r>
    </w:p>
    <w:p w14:paraId="099344F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Magnetic Resonance Imaging/ or Diagnostic Imaging/ (448097)</w:t>
      </w:r>
    </w:p>
    <w:p w14:paraId="71CA20E8"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Ultrasonography/ (176753)</w:t>
      </w:r>
    </w:p>
    <w:p w14:paraId="725D484F"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ultraso*.tw. (423741)</w:t>
      </w:r>
    </w:p>
    <w:p w14:paraId="7FABEB6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Magnetic resonance imaging.tw. (212624)</w:t>
      </w:r>
    </w:p>
    <w:p w14:paraId="0173574B"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 xml:space="preserve">tomography, </w:t>
      </w:r>
      <w:r>
        <w:rPr>
          <w:rFonts w:eastAsia="Arial Unicode MS"/>
        </w:rPr>
        <w:t>X-ray</w:t>
      </w:r>
      <w:r w:rsidRPr="006B1AB3">
        <w:rPr>
          <w:rFonts w:eastAsia="Arial Unicode MS"/>
        </w:rPr>
        <w:t xml:space="preserve"> computed/ (418641)</w:t>
      </w:r>
    </w:p>
    <w:p w14:paraId="40E88F9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x ray*.tw. (318058)</w:t>
      </w:r>
    </w:p>
    <w:p w14:paraId="34DA8328" w14:textId="77777777" w:rsidR="00C9672D" w:rsidRPr="006B1AB3" w:rsidRDefault="00C9672D" w:rsidP="0029574B">
      <w:pPr>
        <w:pStyle w:val="BodyText1"/>
        <w:numPr>
          <w:ilvl w:val="0"/>
          <w:numId w:val="99"/>
        </w:numPr>
        <w:ind w:left="426" w:hanging="426"/>
        <w:rPr>
          <w:rFonts w:eastAsia="Arial Unicode MS"/>
        </w:rPr>
      </w:pPr>
      <w:r>
        <w:rPr>
          <w:rFonts w:eastAsia="Arial Unicode MS"/>
        </w:rPr>
        <w:t>X-ray</w:t>
      </w:r>
      <w:r w:rsidRPr="006B1AB3">
        <w:rPr>
          <w:rFonts w:eastAsia="Arial Unicode MS"/>
        </w:rPr>
        <w:t>s/ (80991)</w:t>
      </w:r>
    </w:p>
    <w:p w14:paraId="3DE663E8"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or/25-35 (2088128)</w:t>
      </w:r>
    </w:p>
    <w:p w14:paraId="4A9394F8"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7 and 24 and 36 (1282)</w:t>
      </w:r>
    </w:p>
    <w:p w14:paraId="1AC6D832"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7 and 8 and 36 (15)</w:t>
      </w:r>
    </w:p>
    <w:p w14:paraId="5960B16E"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37 or 38 (1286)</w:t>
      </w:r>
    </w:p>
    <w:p w14:paraId="6D83BCCC"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"systematic review"/ (156066)</w:t>
      </w:r>
    </w:p>
    <w:p w14:paraId="71EED744"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39 and 40 (38)</w:t>
      </w:r>
    </w:p>
    <w:p w14:paraId="72C540F7" w14:textId="77777777" w:rsidR="00C9672D" w:rsidRPr="006B1AB3" w:rsidRDefault="00C9672D" w:rsidP="0029574B">
      <w:pPr>
        <w:pStyle w:val="BodyText1"/>
        <w:numPr>
          <w:ilvl w:val="0"/>
          <w:numId w:val="99"/>
        </w:numPr>
        <w:ind w:left="426" w:hanging="426"/>
        <w:rPr>
          <w:rFonts w:eastAsia="Arial Unicode MS"/>
        </w:rPr>
      </w:pPr>
      <w:r w:rsidRPr="006B1AB3">
        <w:rPr>
          <w:rFonts w:eastAsia="Arial Unicode MS"/>
        </w:rPr>
        <w:t>limit 41 to (human and english language and yr="2007 -Current") (28)</w:t>
      </w:r>
    </w:p>
    <w:p w14:paraId="3450834A" w14:textId="77777777" w:rsidR="00C9672D" w:rsidRPr="00BE1F39" w:rsidRDefault="00C9672D" w:rsidP="00C9672D">
      <w:pPr>
        <w:pStyle w:val="ApDHead4"/>
        <w:rPr>
          <w:rStyle w:val="Bold"/>
          <w:rFonts w:eastAsia="Arial Unicode MS"/>
          <w:b w:val="0"/>
        </w:rPr>
      </w:pPr>
      <w:r w:rsidRPr="00BE1F39">
        <w:rPr>
          <w:rStyle w:val="Bold"/>
          <w:rFonts w:eastAsia="Arial Unicode MS"/>
        </w:rPr>
        <w:t xml:space="preserve">Embase search for </w:t>
      </w:r>
      <w:r w:rsidRPr="00BE1F39">
        <w:t>reviews</w:t>
      </w:r>
      <w:r w:rsidRPr="00BE1F39">
        <w:rPr>
          <w:rStyle w:val="Bold"/>
          <w:rFonts w:eastAsia="Arial Unicode MS"/>
        </w:rPr>
        <w:t xml:space="preserve"> investigating pathology tests</w:t>
      </w:r>
    </w:p>
    <w:p w14:paraId="0FC98554" w14:textId="77777777" w:rsidR="00C9672D" w:rsidRPr="006B1AB3" w:rsidRDefault="00C9672D" w:rsidP="00C9672D">
      <w:pPr>
        <w:pStyle w:val="BodyText1"/>
        <w:rPr>
          <w:rFonts w:eastAsia="Arial Unicode MS"/>
        </w:rPr>
      </w:pPr>
      <w:r w:rsidRPr="006B1AB3">
        <w:rPr>
          <w:rFonts w:eastAsia="Arial Unicode MS"/>
        </w:rPr>
        <w:t>Search Strategy:</w:t>
      </w:r>
    </w:p>
    <w:p w14:paraId="410C9A04"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(58167)</w:t>
      </w:r>
    </w:p>
    <w:p w14:paraId="1B7D75A1"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Family Practice/ (79508)</w:t>
      </w:r>
    </w:p>
    <w:p w14:paraId="371663BA"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General Practice/ (82614)</w:t>
      </w:r>
    </w:p>
    <w:p w14:paraId="70FC9FEC"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General Practitioners/ (85512)</w:t>
      </w:r>
    </w:p>
    <w:p w14:paraId="26901A45"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Physicians, Family/ (85514)</w:t>
      </w:r>
    </w:p>
    <w:p w14:paraId="014C9486"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GP.mp. (67670)</w:t>
      </w:r>
    </w:p>
    <w:p w14:paraId="71EA88C8"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or/1-6 (255880)</w:t>
      </w:r>
    </w:p>
    <w:p w14:paraId="4D8E5206"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medical tests.mp. (645)</w:t>
      </w:r>
    </w:p>
    <w:p w14:paraId="67ED8ED0"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(diagnostic tests and procedures).mp. [mp=title, abstract, heading word, drug trade name, original title, device manufacturer, drug manufacturer, device trade name, keyword, floating subheading] (2197)</w:t>
      </w:r>
    </w:p>
    <w:p w14:paraId="1F8CAB37"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Diagnostic Tests, Routine/ (78558)</w:t>
      </w:r>
    </w:p>
    <w:p w14:paraId="729114CD" w14:textId="77777777" w:rsidR="00C9672D" w:rsidRPr="006B1AB3" w:rsidRDefault="00C9672D" w:rsidP="0029574B">
      <w:pPr>
        <w:pStyle w:val="BodyText1"/>
        <w:numPr>
          <w:ilvl w:val="0"/>
          <w:numId w:val="100"/>
        </w:numPr>
        <w:ind w:left="426" w:hanging="426"/>
        <w:rPr>
          <w:rFonts w:eastAsia="Arial Unicode MS"/>
        </w:rPr>
      </w:pPr>
      <w:r>
        <w:rPr>
          <w:rFonts w:eastAsia="Arial Unicode MS"/>
        </w:rPr>
        <w:t>Haemato</w:t>
      </w:r>
      <w:r w:rsidRPr="006B1AB3">
        <w:rPr>
          <w:rFonts w:eastAsia="Arial Unicode MS"/>
        </w:rPr>
        <w:t>logic Tests/ (11198)</w:t>
      </w:r>
    </w:p>
    <w:p w14:paraId="42D7E2AD"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Pathology, Clinical/ (846801)</w:t>
      </w:r>
    </w:p>
    <w:p w14:paraId="6F1FD765"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blood tests.mp. (13016)</w:t>
      </w:r>
    </w:p>
    <w:p w14:paraId="339721A6"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Clinical Laboratory Techniques/ (121938)</w:t>
      </w:r>
    </w:p>
    <w:p w14:paraId="47F29CC5"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or/8-14 (1061813)</w:t>
      </w:r>
    </w:p>
    <w:p w14:paraId="417505A3"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unnecessary procedures.mp. or Unnecessary Procedures/ (2779)</w:t>
      </w:r>
    </w:p>
    <w:p w14:paraId="41661069"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lastRenderedPageBreak/>
        <w:t>Clinical Decision-Making/ (33905)</w:t>
      </w:r>
    </w:p>
    <w:p w14:paraId="03906FF4"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Decision Support Systems, Clinical/ (504)</w:t>
      </w:r>
    </w:p>
    <w:p w14:paraId="57239504"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Education, Medical, Continuing/ (190624)</w:t>
      </w:r>
    </w:p>
    <w:p w14:paraId="0B18AF32"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in service training.mp. [mp=title, abstract, heading word, drug trade name, original title, device manufacturer, drug manufacturer, device trade name, keyword, floating subheading] (15722)</w:t>
      </w:r>
    </w:p>
    <w:p w14:paraId="4D05C47D"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general practitioners education.mp. [mp=title, abstract, heading word, drug trade name, original title, device manufacturer, drug manufacturer, device trade name, keyword, floating subheading] (12)</w:t>
      </w:r>
    </w:p>
    <w:p w14:paraId="714FD982"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Medical Audit/ (53264)</w:t>
      </w:r>
    </w:p>
    <w:p w14:paraId="1F5831DC"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interventions.mp. (422250)</w:t>
      </w:r>
    </w:p>
    <w:p w14:paraId="157D927A"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test utilization.mp. (431)</w:t>
      </w:r>
    </w:p>
    <w:p w14:paraId="0D6905B9"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Clinical Audit/ (52970)</w:t>
      </w:r>
    </w:p>
    <w:p w14:paraId="110D54EA"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Guideline Adherence/ (274407)</w:t>
      </w:r>
    </w:p>
    <w:p w14:paraId="477F4C28"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practice pattern feedback.mp. (3)</w:t>
      </w:r>
    </w:p>
    <w:p w14:paraId="79996861"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practice patterns, physicians/ (262118)</w:t>
      </w:r>
    </w:p>
    <w:p w14:paraId="0D4646E1"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Quality Improvement/ (20984)</w:t>
      </w:r>
    </w:p>
    <w:p w14:paraId="5C19E01B"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Practice Guideline/ (309669)</w:t>
      </w:r>
    </w:p>
    <w:p w14:paraId="67B758C1"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practice guidelines as topic.mp. [mp=title, abstract, heading word, drug trade name, original title, device manufacturer, drug manufacturer, device trade name, keyword, floating subheading] (179)</w:t>
      </w:r>
    </w:p>
    <w:p w14:paraId="7FD4C1FF"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or/17-31 (1197876)</w:t>
      </w:r>
    </w:p>
    <w:p w14:paraId="20234455"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7 and 15 and 32 (1502)</w:t>
      </w:r>
    </w:p>
    <w:p w14:paraId="04012B8D"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7 and 15 and 16 (10)</w:t>
      </w:r>
    </w:p>
    <w:p w14:paraId="3BF07C51"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33 or 34 (1508)</w:t>
      </w:r>
    </w:p>
    <w:p w14:paraId="13DDFCD4"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"systematic review"/ (155897)</w:t>
      </w:r>
    </w:p>
    <w:p w14:paraId="46391CD8"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35 and 36 (35)</w:t>
      </w:r>
    </w:p>
    <w:p w14:paraId="18145D6B" w14:textId="77777777" w:rsidR="00C9672D" w:rsidRPr="006B1AB3" w:rsidRDefault="00C9672D" w:rsidP="0029574B">
      <w:pPr>
        <w:pStyle w:val="BodyText1"/>
        <w:numPr>
          <w:ilvl w:val="0"/>
          <w:numId w:val="100"/>
        </w:numPr>
        <w:ind w:left="426" w:hanging="426"/>
        <w:rPr>
          <w:rFonts w:eastAsia="Arial Unicode MS"/>
        </w:rPr>
      </w:pPr>
      <w:r w:rsidRPr="006B1AB3">
        <w:rPr>
          <w:rFonts w:eastAsia="Arial Unicode MS"/>
        </w:rPr>
        <w:t>limit 37 to (human and english language and yr="2007 -Current") (23)</w:t>
      </w:r>
    </w:p>
    <w:p w14:paraId="60508844" w14:textId="77777777" w:rsidR="00C9672D" w:rsidRDefault="00C9672D" w:rsidP="00C9672D">
      <w:pPr>
        <w:pStyle w:val="BodyText1"/>
        <w:rPr>
          <w:rFonts w:eastAsia="Arial Unicode MS"/>
        </w:rPr>
      </w:pPr>
    </w:p>
    <w:p w14:paraId="0C8893F7" w14:textId="77777777" w:rsidR="00C9672D" w:rsidRDefault="00C9672D" w:rsidP="00C9672D">
      <w:pPr>
        <w:rPr>
          <w:rStyle w:val="Bold"/>
          <w:rFonts w:ascii="Arial Bold" w:eastAsia="Arial Unicode MS" w:hAnsi="Arial Bold"/>
          <w:b w:val="0"/>
          <w:bCs/>
          <w:iCs/>
          <w:color w:val="595959"/>
          <w:kern w:val="32"/>
          <w:sz w:val="26"/>
          <w:szCs w:val="34"/>
        </w:rPr>
      </w:pPr>
      <w:r>
        <w:rPr>
          <w:rStyle w:val="Bold"/>
          <w:rFonts w:eastAsia="Arial Unicode MS" w:hint="eastAsia"/>
        </w:rPr>
        <w:br w:type="page"/>
      </w:r>
    </w:p>
    <w:p w14:paraId="6EA1167C" w14:textId="77777777" w:rsidR="00C9672D" w:rsidRPr="005E65DE" w:rsidRDefault="00C9672D" w:rsidP="00C9672D">
      <w:pPr>
        <w:pStyle w:val="ApDHead3"/>
        <w:rPr>
          <w:rStyle w:val="Bold"/>
          <w:rFonts w:eastAsia="Arial Unicode MS"/>
          <w:b/>
        </w:rPr>
      </w:pPr>
      <w:bookmarkStart w:id="415" w:name="_Toc525740598"/>
      <w:bookmarkStart w:id="416" w:name="_Toc525816164"/>
      <w:r w:rsidRPr="005E65DE">
        <w:rPr>
          <w:rStyle w:val="Bold"/>
          <w:rFonts w:eastAsia="Arial Unicode MS"/>
        </w:rPr>
        <w:lastRenderedPageBreak/>
        <w:t xml:space="preserve">Medline search for </w:t>
      </w:r>
      <w:r w:rsidRPr="005E65DE">
        <w:t>reviews</w:t>
      </w:r>
      <w:r w:rsidRPr="005E65DE">
        <w:rPr>
          <w:rStyle w:val="Bold"/>
          <w:rFonts w:eastAsia="Arial Unicode MS"/>
        </w:rPr>
        <w:t xml:space="preserve"> investigating diagnostic imaging</w:t>
      </w:r>
      <w:bookmarkEnd w:id="415"/>
      <w:bookmarkEnd w:id="416"/>
    </w:p>
    <w:p w14:paraId="34E8963F" w14:textId="77777777" w:rsidR="00C9672D" w:rsidRPr="006B1AB3" w:rsidRDefault="00C9672D" w:rsidP="00C9672D">
      <w:pPr>
        <w:pStyle w:val="BodyText1"/>
        <w:rPr>
          <w:rFonts w:eastAsia="Arial Unicode MS"/>
        </w:rPr>
      </w:pPr>
      <w:r w:rsidRPr="006B1AB3">
        <w:rPr>
          <w:rFonts w:eastAsia="Arial Unicode MS"/>
        </w:rPr>
        <w:t>Search Strategy:</w:t>
      </w:r>
    </w:p>
    <w:p w14:paraId="59D8CAD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(63673)</w:t>
      </w:r>
    </w:p>
    <w:p w14:paraId="6CE9D59E"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Family Practice/ (63342)</w:t>
      </w:r>
    </w:p>
    <w:p w14:paraId="61B50DDA"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General Practice/ (10378)</w:t>
      </w:r>
    </w:p>
    <w:p w14:paraId="79E13CFB"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General Practitioners/ (5295)</w:t>
      </w:r>
    </w:p>
    <w:p w14:paraId="50ED72C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Physicians, Family/ (15571)</w:t>
      </w:r>
    </w:p>
    <w:p w14:paraId="40581C79"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GP.mp. (30952)</w:t>
      </w:r>
    </w:p>
    <w:p w14:paraId="0F4916F1"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or/1-6 (164821)</w:t>
      </w:r>
    </w:p>
    <w:p w14:paraId="0201CBE2"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unnecessary procedures.mp. or Unnecessary Procedures/ (4947)</w:t>
      </w:r>
    </w:p>
    <w:p w14:paraId="19F756A6"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Clinical Decision-Making/ (1316)</w:t>
      </w:r>
    </w:p>
    <w:p w14:paraId="40C3E4F7"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Decision Support Systems, Clinical/ (6212)</w:t>
      </w:r>
    </w:p>
    <w:p w14:paraId="3633AD39"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Education, Medical, Continuing/ (23192)</w:t>
      </w:r>
    </w:p>
    <w:p w14:paraId="7789473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Inservice training.mp. [mp=title, abstract, original title, name of substance word, subject heading word, keyword heading word, protocol supplementary concept word, rare disease supplementary concept word, unique identifier, synonyms] (19257)</w:t>
      </w:r>
    </w:p>
    <w:p w14:paraId="687DC4D9"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General practitioners education.mp. [mp=title, abstract, original title, name of substance word, subject heading word, keyword heading word, protocol supplementary concept word, rare disease supplementary concept word, unique identifier, synonyms] (4)</w:t>
      </w:r>
    </w:p>
    <w:p w14:paraId="3BF597C4"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Medical Audit/ (15985)</w:t>
      </w:r>
    </w:p>
    <w:p w14:paraId="57CC195C"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interventions.mp. (281533)</w:t>
      </w:r>
    </w:p>
    <w:p w14:paraId="4BF5D27C"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test utilization.mp. (230)</w:t>
      </w:r>
    </w:p>
    <w:p w14:paraId="3098C6C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Clinical Audit/ (1188)</w:t>
      </w:r>
    </w:p>
    <w:p w14:paraId="700D763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Guideline Adherence/ (26098)</w:t>
      </w:r>
    </w:p>
    <w:p w14:paraId="4F7CD3E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pattern feedback.mp. (2)</w:t>
      </w:r>
    </w:p>
    <w:p w14:paraId="02D925B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patterns, physicians/ (48836)</w:t>
      </w:r>
    </w:p>
    <w:p w14:paraId="5F87F807"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Quality Improvement/ (13126)</w:t>
      </w:r>
    </w:p>
    <w:p w14:paraId="7E4300A1"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Guideline/ (22349)</w:t>
      </w:r>
    </w:p>
    <w:p w14:paraId="6B7C1A6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Practice guidelines as topic.mp. [mp=title, abstract, original title, name of substance word, subject heading word, keyword heading word, protocol supplementary concept word, rare disease supplementary concept word, unique identifier, synonyms] (97337)</w:t>
      </w:r>
    </w:p>
    <w:p w14:paraId="130D82EA"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or/9-23 (513068)</w:t>
      </w:r>
    </w:p>
    <w:p w14:paraId="086405FB"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imaging.tw. (512197)</w:t>
      </w:r>
    </w:p>
    <w:p w14:paraId="00461FCA"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ultrasound*.tw. (168812)</w:t>
      </w:r>
    </w:p>
    <w:p w14:paraId="1D3E454D"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MRI.tw. (158268)</w:t>
      </w:r>
    </w:p>
    <w:p w14:paraId="78F5684C"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CT scan.tw. (39230)</w:t>
      </w:r>
    </w:p>
    <w:p w14:paraId="79AF2537"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Magnetic Resonance Imaging/ or Diagnostic Imaging/ (363559)</w:t>
      </w:r>
    </w:p>
    <w:p w14:paraId="4F33A7B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Ultrasonography/ (162061)</w:t>
      </w:r>
    </w:p>
    <w:p w14:paraId="0BB4FCC2"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lastRenderedPageBreak/>
        <w:t>ultraso*.tw. (266136)</w:t>
      </w:r>
    </w:p>
    <w:p w14:paraId="39514E95"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Magnetic resonance imaging.tw. (148860)</w:t>
      </w:r>
    </w:p>
    <w:p w14:paraId="7F407521"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 xml:space="preserve">tomography, </w:t>
      </w:r>
      <w:r>
        <w:rPr>
          <w:rFonts w:eastAsia="Arial Unicode MS"/>
        </w:rPr>
        <w:t>X-ray</w:t>
      </w:r>
      <w:r w:rsidRPr="006B1AB3">
        <w:rPr>
          <w:rFonts w:eastAsia="Arial Unicode MS"/>
        </w:rPr>
        <w:t xml:space="preserve"> computed/ (331104)</w:t>
      </w:r>
    </w:p>
    <w:p w14:paraId="66DA6C5F"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x ray*.tw. (215439)</w:t>
      </w:r>
    </w:p>
    <w:p w14:paraId="647C5C3D" w14:textId="77777777" w:rsidR="00C9672D" w:rsidRPr="006B1AB3" w:rsidRDefault="00C9672D" w:rsidP="0029574B">
      <w:pPr>
        <w:pStyle w:val="BodyText1"/>
        <w:numPr>
          <w:ilvl w:val="0"/>
          <w:numId w:val="101"/>
        </w:numPr>
        <w:ind w:left="426" w:hanging="426"/>
        <w:rPr>
          <w:rFonts w:eastAsia="Arial Unicode MS"/>
        </w:rPr>
      </w:pPr>
      <w:r>
        <w:rPr>
          <w:rFonts w:eastAsia="Arial Unicode MS"/>
        </w:rPr>
        <w:t>X-ray</w:t>
      </w:r>
      <w:r w:rsidRPr="006B1AB3">
        <w:rPr>
          <w:rFonts w:eastAsia="Arial Unicode MS"/>
        </w:rPr>
        <w:t>s/ (26868)</w:t>
      </w:r>
    </w:p>
    <w:p w14:paraId="11EB874D"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or/25-35 (1396089)</w:t>
      </w:r>
    </w:p>
    <w:p w14:paraId="13B2411C"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7 and 24 and 36 (541)</w:t>
      </w:r>
    </w:p>
    <w:p w14:paraId="38788220"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7 and 8 and 36 (31)</w:t>
      </w:r>
    </w:p>
    <w:p w14:paraId="0224CCE3"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37 or 38 (549)</w:t>
      </w:r>
    </w:p>
    <w:p w14:paraId="58D4C9F9" w14:textId="77777777" w:rsidR="00C9672D" w:rsidRPr="006B1AB3" w:rsidRDefault="00C9672D" w:rsidP="0029574B">
      <w:pPr>
        <w:pStyle w:val="BodyText1"/>
        <w:numPr>
          <w:ilvl w:val="0"/>
          <w:numId w:val="101"/>
        </w:numPr>
        <w:ind w:left="426" w:hanging="426"/>
        <w:rPr>
          <w:rFonts w:eastAsia="Arial Unicode MS"/>
        </w:rPr>
      </w:pPr>
      <w:r w:rsidRPr="006B1AB3">
        <w:rPr>
          <w:rFonts w:eastAsia="Arial Unicode MS"/>
        </w:rPr>
        <w:t>limit 39 to (english language and humans and yr="2007 -Current" and systematic reviews) (29)</w:t>
      </w:r>
    </w:p>
    <w:p w14:paraId="7655476C" w14:textId="77777777" w:rsidR="00C9672D" w:rsidRDefault="00C9672D" w:rsidP="00C9672D">
      <w:pPr>
        <w:pStyle w:val="BodyText1"/>
      </w:pPr>
    </w:p>
    <w:p w14:paraId="40A1F5A4" w14:textId="77777777" w:rsidR="00C9672D" w:rsidRDefault="00C9672D" w:rsidP="00C9672D">
      <w:pPr>
        <w:rPr>
          <w:rStyle w:val="Bold"/>
          <w:rFonts w:ascii="Arial Bold" w:eastAsia="Arial Unicode MS" w:hAnsi="Arial Bold"/>
          <w:b w:val="0"/>
          <w:bCs/>
          <w:iCs/>
          <w:color w:val="595959"/>
          <w:kern w:val="32"/>
          <w:sz w:val="26"/>
          <w:szCs w:val="34"/>
        </w:rPr>
      </w:pPr>
      <w:r>
        <w:rPr>
          <w:rStyle w:val="Bold"/>
          <w:rFonts w:eastAsia="Arial Unicode MS" w:hint="eastAsia"/>
        </w:rPr>
        <w:br w:type="page"/>
      </w:r>
    </w:p>
    <w:p w14:paraId="205974B7" w14:textId="77777777" w:rsidR="00C9672D" w:rsidRPr="00BE1F39" w:rsidRDefault="00C9672D" w:rsidP="00C9672D">
      <w:pPr>
        <w:pStyle w:val="ApDHead3"/>
        <w:rPr>
          <w:rStyle w:val="Bold"/>
          <w:rFonts w:eastAsia="Arial Unicode MS"/>
          <w:b/>
        </w:rPr>
      </w:pPr>
      <w:bookmarkStart w:id="417" w:name="_Toc525740599"/>
      <w:bookmarkStart w:id="418" w:name="_Toc525816165"/>
      <w:r w:rsidRPr="00BE1F39">
        <w:rPr>
          <w:rStyle w:val="Bold"/>
          <w:rFonts w:eastAsia="Arial Unicode MS"/>
        </w:rPr>
        <w:lastRenderedPageBreak/>
        <w:t xml:space="preserve">Medline search for </w:t>
      </w:r>
      <w:r w:rsidRPr="00BE1F39">
        <w:t>reviews</w:t>
      </w:r>
      <w:r w:rsidRPr="00BE1F39">
        <w:rPr>
          <w:rStyle w:val="Bold"/>
          <w:rFonts w:eastAsia="Arial Unicode MS"/>
        </w:rPr>
        <w:t xml:space="preserve"> investigating pathology tests</w:t>
      </w:r>
      <w:bookmarkEnd w:id="417"/>
      <w:bookmarkEnd w:id="418"/>
    </w:p>
    <w:p w14:paraId="22DF45AF" w14:textId="77777777" w:rsidR="00C9672D" w:rsidRPr="006B1AB3" w:rsidRDefault="00C9672D" w:rsidP="00C9672D">
      <w:pPr>
        <w:pStyle w:val="BodyText1"/>
        <w:rPr>
          <w:rFonts w:eastAsia="Arial Unicode MS"/>
        </w:rPr>
      </w:pPr>
      <w:r w:rsidRPr="006B1AB3">
        <w:rPr>
          <w:rFonts w:eastAsia="Arial Unicode MS"/>
        </w:rPr>
        <w:t>Search Strategy:</w:t>
      </w:r>
    </w:p>
    <w:p w14:paraId="6A80FCB3"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(63748)</w:t>
      </w:r>
    </w:p>
    <w:p w14:paraId="716B4CB8"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Family Practice/ (63352)</w:t>
      </w:r>
    </w:p>
    <w:p w14:paraId="3C6B2C0D"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General Practice/ (10395)</w:t>
      </w:r>
    </w:p>
    <w:p w14:paraId="7685B647"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General Practitioners/ (5309)</w:t>
      </w:r>
    </w:p>
    <w:p w14:paraId="02AEAD8B"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Physicians, Family/ (15577)</w:t>
      </w:r>
    </w:p>
    <w:p w14:paraId="024468C5"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GP.mp. (34620)</w:t>
      </w:r>
    </w:p>
    <w:p w14:paraId="1573F4AF"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or/1-6 (168588)</w:t>
      </w:r>
    </w:p>
    <w:p w14:paraId="1C7EA102"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medical tests.mp. (472)</w:t>
      </w:r>
    </w:p>
    <w:p w14:paraId="40F387DC"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(diagnostic tests and procedures).mp. [mp=title, abstract, original title, name of substance word, subject heading word, keyword heading word, protocol supplementary concept word, rare disease supplementary concept word, unique identifier, synonyms] (2325)</w:t>
      </w:r>
    </w:p>
    <w:p w14:paraId="59AFEB25"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Diagnostic Tests, Routine/ (9196)</w:t>
      </w:r>
    </w:p>
    <w:p w14:paraId="4CDCDDAE" w14:textId="77777777" w:rsidR="00C9672D" w:rsidRPr="006B1AB3" w:rsidRDefault="00C9672D" w:rsidP="0029574B">
      <w:pPr>
        <w:pStyle w:val="BodyText1"/>
        <w:numPr>
          <w:ilvl w:val="0"/>
          <w:numId w:val="102"/>
        </w:numPr>
        <w:ind w:left="426" w:hanging="426"/>
        <w:rPr>
          <w:rFonts w:eastAsia="Arial Unicode MS"/>
        </w:rPr>
      </w:pPr>
      <w:r>
        <w:rPr>
          <w:rFonts w:eastAsia="Arial Unicode MS"/>
        </w:rPr>
        <w:t>Haemato</w:t>
      </w:r>
      <w:r w:rsidRPr="006B1AB3">
        <w:rPr>
          <w:rFonts w:eastAsia="Arial Unicode MS"/>
        </w:rPr>
        <w:t>logic Tests/ (8409)</w:t>
      </w:r>
    </w:p>
    <w:p w14:paraId="503143FC"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Pathology, Clinical/ (4828)</w:t>
      </w:r>
    </w:p>
    <w:p w14:paraId="0D0A0A58"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blood tests.mp. (7224)</w:t>
      </w:r>
    </w:p>
    <w:p w14:paraId="553B85BE"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Clinical Laboratory Techniques/ (18705)</w:t>
      </w:r>
    </w:p>
    <w:p w14:paraId="6786B791"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or/8-14 (48755)</w:t>
      </w:r>
    </w:p>
    <w:p w14:paraId="363D24F2"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unnecessary procedures.mp. or Unnecessary Procedures/ (5032)</w:t>
      </w:r>
    </w:p>
    <w:p w14:paraId="62BF27A3"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Clinical Decision-Making/ (1349)</w:t>
      </w:r>
    </w:p>
    <w:p w14:paraId="5A607C3E"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Decision Support Systems, Clinical/ (6215)</w:t>
      </w:r>
    </w:p>
    <w:p w14:paraId="428B432B"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Education, Medical, Continuing/ (23222)</w:t>
      </w:r>
    </w:p>
    <w:p w14:paraId="739CB0FE"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in service training.mp. [mp=title, abstract, original title, name of substance word, subject heading word, keyword heading word, protocol supplementary concept word, rare disease supplementary concept word, unique identifier, synonyms] (992)</w:t>
      </w:r>
    </w:p>
    <w:p w14:paraId="5D3F0173"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general practitioners education.mp. [mp=title, abstract, original title, name of substance word, subject heading word, keyword heading word, protocol supplementary concept word, rare disease supplementary concept word, unique identifier, synonyms] (4)</w:t>
      </w:r>
    </w:p>
    <w:p w14:paraId="5527784F"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Medical Audit/ (15995)</w:t>
      </w:r>
    </w:p>
    <w:p w14:paraId="663F5F3D"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interventions.mp. (331268)</w:t>
      </w:r>
    </w:p>
    <w:p w14:paraId="2835A09F"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test utilization.mp. (279)</w:t>
      </w:r>
    </w:p>
    <w:p w14:paraId="2C5FB819"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Clinical Audit/ (1195)</w:t>
      </w:r>
    </w:p>
    <w:p w14:paraId="6F2663BB"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Guideline Adherence/ (26133)</w:t>
      </w:r>
    </w:p>
    <w:p w14:paraId="2ECCF62B"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practice pattern feedback.mp. (2)</w:t>
      </w:r>
    </w:p>
    <w:p w14:paraId="080CA591"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practice patterns, physicians/ (48895)</w:t>
      </w:r>
    </w:p>
    <w:p w14:paraId="68386C43"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Quality Improvement/ (13215)</w:t>
      </w:r>
    </w:p>
    <w:p w14:paraId="579E3635"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Practice Guideline/ (22458)</w:t>
      </w:r>
    </w:p>
    <w:p w14:paraId="6B92705C"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lastRenderedPageBreak/>
        <w:t>practice guidelines as topic.mp. [mp=title, abstract, original title, name of substance word, subject heading word, keyword heading word, protocol supplementary concept word, rare disease supplementary concept word, unique identifier, synonyms] (97547)</w:t>
      </w:r>
    </w:p>
    <w:p w14:paraId="6BED62D8"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or/17-31 (547059)</w:t>
      </w:r>
    </w:p>
    <w:p w14:paraId="0CF5E831"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7 and 15 and 32 (332)</w:t>
      </w:r>
    </w:p>
    <w:p w14:paraId="50D94CAF"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7 and 15 and 16 (23)</w:t>
      </w:r>
    </w:p>
    <w:p w14:paraId="3B5FA7D9" w14:textId="77777777" w:rsidR="00C9672D" w:rsidRPr="006B1AB3" w:rsidRDefault="00C9672D" w:rsidP="0029574B">
      <w:pPr>
        <w:pStyle w:val="BodyText1"/>
        <w:numPr>
          <w:ilvl w:val="0"/>
          <w:numId w:val="102"/>
        </w:numPr>
        <w:ind w:left="426" w:hanging="426"/>
        <w:rPr>
          <w:rFonts w:eastAsia="Arial Unicode MS"/>
        </w:rPr>
      </w:pPr>
      <w:r w:rsidRPr="006B1AB3">
        <w:rPr>
          <w:rFonts w:eastAsia="Arial Unicode MS"/>
        </w:rPr>
        <w:t>33 or 34 (344)</w:t>
      </w:r>
    </w:p>
    <w:p w14:paraId="5FB6F43D" w14:textId="77777777" w:rsidR="00C9672D" w:rsidRPr="006B1AB3" w:rsidRDefault="00C9672D" w:rsidP="0029574B">
      <w:pPr>
        <w:pStyle w:val="BodyText1"/>
        <w:numPr>
          <w:ilvl w:val="0"/>
          <w:numId w:val="102"/>
        </w:numPr>
        <w:ind w:left="426" w:hanging="426"/>
        <w:rPr>
          <w:rFonts w:eastAsia="Arial Unicode MS"/>
        </w:rPr>
      </w:pPr>
      <w:r>
        <w:rPr>
          <w:rFonts w:eastAsia="Arial Unicode MS"/>
        </w:rPr>
        <w:t>limit 35 to (E</w:t>
      </w:r>
      <w:r w:rsidRPr="006B1AB3">
        <w:rPr>
          <w:rFonts w:eastAsia="Arial Unicode MS"/>
        </w:rPr>
        <w:t>nglish language and humans and yr="2007 -Current" and systematic reviews) (6)</w:t>
      </w:r>
    </w:p>
    <w:p w14:paraId="08C4C226" w14:textId="77777777" w:rsidR="00C9672D" w:rsidRDefault="00C9672D" w:rsidP="00C9672D">
      <w:pPr>
        <w:pStyle w:val="BodyText1"/>
        <w:rPr>
          <w:rFonts w:eastAsia="Arial Unicode MS"/>
        </w:rPr>
      </w:pPr>
    </w:p>
    <w:p w14:paraId="7F58D430" w14:textId="77777777" w:rsidR="00C9672D" w:rsidRDefault="00C9672D" w:rsidP="00C9672D">
      <w:pPr>
        <w:rPr>
          <w:rStyle w:val="Bold"/>
          <w:rFonts w:ascii="Arial Bold" w:eastAsia="Arial Unicode MS" w:hAnsi="Arial Bold"/>
          <w:b w:val="0"/>
          <w:bCs/>
          <w:iCs/>
          <w:color w:val="595959"/>
          <w:kern w:val="32"/>
          <w:sz w:val="26"/>
          <w:szCs w:val="34"/>
        </w:rPr>
      </w:pPr>
      <w:r>
        <w:rPr>
          <w:rStyle w:val="Bold"/>
          <w:rFonts w:eastAsia="Arial Unicode MS" w:hint="eastAsia"/>
        </w:rPr>
        <w:br w:type="page"/>
      </w:r>
    </w:p>
    <w:p w14:paraId="0DD131F9" w14:textId="77777777" w:rsidR="00C9672D" w:rsidRPr="00BE1F39" w:rsidRDefault="00C9672D" w:rsidP="00C9672D">
      <w:pPr>
        <w:pStyle w:val="ApDHead3"/>
        <w:rPr>
          <w:rStyle w:val="Bold"/>
          <w:rFonts w:eastAsia="Arial Unicode MS"/>
          <w:b/>
        </w:rPr>
      </w:pPr>
      <w:bookmarkStart w:id="419" w:name="_Toc525740600"/>
      <w:bookmarkStart w:id="420" w:name="_Toc525816166"/>
      <w:r w:rsidRPr="00BE1F39">
        <w:rPr>
          <w:rStyle w:val="Bold"/>
          <w:rFonts w:eastAsia="Arial Unicode MS"/>
        </w:rPr>
        <w:lastRenderedPageBreak/>
        <w:t xml:space="preserve">PsycINFO search for </w:t>
      </w:r>
      <w:r w:rsidRPr="00BE1F39">
        <w:t>reviews</w:t>
      </w:r>
      <w:r w:rsidRPr="00BE1F39">
        <w:rPr>
          <w:rStyle w:val="Bold"/>
          <w:rFonts w:eastAsia="Arial Unicode MS"/>
        </w:rPr>
        <w:t xml:space="preserve"> investigating diagnostic imaging</w:t>
      </w:r>
      <w:bookmarkEnd w:id="419"/>
      <w:bookmarkEnd w:id="420"/>
    </w:p>
    <w:p w14:paraId="2D76CCBD" w14:textId="77777777" w:rsidR="00C9672D" w:rsidRPr="006B1AB3" w:rsidRDefault="00C9672D" w:rsidP="00C9672D">
      <w:pPr>
        <w:pStyle w:val="BodyText1"/>
        <w:rPr>
          <w:rFonts w:eastAsia="Arial Unicode MS"/>
        </w:rPr>
      </w:pPr>
      <w:r w:rsidRPr="006B1AB3">
        <w:rPr>
          <w:rFonts w:eastAsia="Arial Unicode MS"/>
        </w:rPr>
        <w:t>Search Strategy:</w:t>
      </w:r>
    </w:p>
    <w:p w14:paraId="419939B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(15335)</w:t>
      </w:r>
    </w:p>
    <w:p w14:paraId="2E48E1A7"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Family Practice/ (0)</w:t>
      </w:r>
    </w:p>
    <w:p w14:paraId="3D057CEA"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Practice/ (0)</w:t>
      </w:r>
    </w:p>
    <w:p w14:paraId="1695EE28"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Practitioners/ (5431)</w:t>
      </w:r>
    </w:p>
    <w:p w14:paraId="10DE438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Physicians, Family/ (0)</w:t>
      </w:r>
    </w:p>
    <w:p w14:paraId="39D096F0"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GP.mp. (3722)</w:t>
      </w:r>
    </w:p>
    <w:p w14:paraId="123B3E5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or/1-6 (21674)</w:t>
      </w:r>
    </w:p>
    <w:p w14:paraId="05D28E0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medical tests.mp. (156)</w:t>
      </w:r>
    </w:p>
    <w:p w14:paraId="79A086C0"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 (diagnostic tests and procedures).mp. [mp=title, abstract, heading word, table of contents, key concepts, original title, tests &amp; measures] (96)</w:t>
      </w:r>
    </w:p>
    <w:p w14:paraId="1E5E618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Diagnostic Tests, Routine/ (0)</w:t>
      </w:r>
    </w:p>
    <w:p w14:paraId="25D00934" w14:textId="77777777" w:rsidR="00C9672D" w:rsidRPr="006B1AB3" w:rsidRDefault="00C9672D" w:rsidP="0029574B">
      <w:pPr>
        <w:pStyle w:val="BodyText1"/>
        <w:numPr>
          <w:ilvl w:val="0"/>
          <w:numId w:val="103"/>
        </w:numPr>
        <w:ind w:left="426" w:hanging="426"/>
        <w:rPr>
          <w:rFonts w:eastAsia="Arial Unicode MS"/>
        </w:rPr>
      </w:pPr>
      <w:r>
        <w:rPr>
          <w:rFonts w:eastAsia="Arial Unicode MS"/>
        </w:rPr>
        <w:t>Haemato</w:t>
      </w:r>
      <w:r w:rsidRPr="006B1AB3">
        <w:rPr>
          <w:rFonts w:eastAsia="Arial Unicode MS"/>
        </w:rPr>
        <w:t>logic Tests/ (0)</w:t>
      </w:r>
    </w:p>
    <w:p w14:paraId="38FDDA38"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Pathology, Clinical/ (0)</w:t>
      </w:r>
    </w:p>
    <w:p w14:paraId="7DA9775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blood tests.mp. (594)</w:t>
      </w:r>
    </w:p>
    <w:p w14:paraId="6955805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Laboratory Techniques/ (0)</w:t>
      </w:r>
    </w:p>
    <w:p w14:paraId="10290A6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or/8-14 (845)</w:t>
      </w:r>
    </w:p>
    <w:p w14:paraId="1181F7BA"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unnecessary procedures.mp. or Unnecessary Procedures/ (20)</w:t>
      </w:r>
    </w:p>
    <w:p w14:paraId="4209654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Decision-Making/ (0)</w:t>
      </w:r>
    </w:p>
    <w:p w14:paraId="7D7F0BF0"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Decision Support Systems, Clinical/ (0)</w:t>
      </w:r>
    </w:p>
    <w:p w14:paraId="0DF9EA68"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Education, Medical, Continuing/ (0)</w:t>
      </w:r>
    </w:p>
    <w:p w14:paraId="47A240C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Medical Audit/ (419)</w:t>
      </w:r>
    </w:p>
    <w:p w14:paraId="369B86C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interventions.mp. (160232)</w:t>
      </w:r>
    </w:p>
    <w:p w14:paraId="078D750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test utilization.mp. (45)</w:t>
      </w:r>
    </w:p>
    <w:p w14:paraId="58CE6780"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Audit/ (419)</w:t>
      </w:r>
    </w:p>
    <w:p w14:paraId="016585E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Guideline Adherence/ (0)</w:t>
      </w:r>
    </w:p>
    <w:p w14:paraId="2ECF823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 feedback.mp. (0)</w:t>
      </w:r>
    </w:p>
    <w:p w14:paraId="69C2EC1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patterns, physicians/ (0)</w:t>
      </w:r>
    </w:p>
    <w:p w14:paraId="75E7321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Quality Improvement/ (0)</w:t>
      </w:r>
    </w:p>
    <w:p w14:paraId="41795959"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Guideline/ (0)</w:t>
      </w:r>
    </w:p>
    <w:p w14:paraId="67657FC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or/17-28 (160648)</w:t>
      </w:r>
    </w:p>
    <w:p w14:paraId="3BE3C3F8"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7 and 15 and 29 (4)</w:t>
      </w:r>
    </w:p>
    <w:p w14:paraId="2BE1D04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7 and 15 and 16 (0)</w:t>
      </w:r>
    </w:p>
    <w:p w14:paraId="1100A6D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30 or 31 (4)</w:t>
      </w:r>
    </w:p>
    <w:p w14:paraId="610E290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limit 32 to (english language and humans and yr="2012 -Current" and systematic reviews) [Limit not valid in PsycINFO; records were retained] (0)</w:t>
      </w:r>
    </w:p>
    <w:p w14:paraId="7749BD79"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lastRenderedPageBreak/>
        <w:t>7 and 15 and 30 (4)</w:t>
      </w:r>
    </w:p>
    <w:p w14:paraId="62F6BE6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Primary </w:t>
      </w:r>
      <w:r>
        <w:rPr>
          <w:rFonts w:eastAsia="Arial Unicode MS"/>
        </w:rPr>
        <w:t>Healthcare</w:t>
      </w:r>
      <w:r w:rsidRPr="006B1AB3">
        <w:rPr>
          <w:rFonts w:eastAsia="Arial Unicode MS"/>
        </w:rPr>
        <w:t>/ (15335)</w:t>
      </w:r>
    </w:p>
    <w:p w14:paraId="2EF40BA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Family Practice/ (0)</w:t>
      </w:r>
    </w:p>
    <w:p w14:paraId="636EE38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Practice/ (0)</w:t>
      </w:r>
    </w:p>
    <w:p w14:paraId="301B62D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General Practitioners/ (5431)</w:t>
      </w:r>
    </w:p>
    <w:p w14:paraId="25AAF5A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Physicians, Family/ (0)</w:t>
      </w:r>
    </w:p>
    <w:p w14:paraId="2A9E8F3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GP.mp. (3722)</w:t>
      </w:r>
    </w:p>
    <w:p w14:paraId="1FE9D7E7"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or/35-40 (21674)</w:t>
      </w:r>
    </w:p>
    <w:p w14:paraId="690C69FE"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unnecessary procedures.mp. or Unnecessary Procedures/ (20)</w:t>
      </w:r>
    </w:p>
    <w:p w14:paraId="1C4B3481"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Decision-Making/ (0)</w:t>
      </w:r>
    </w:p>
    <w:p w14:paraId="0C29FCA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Decision Support Systems, Clinical/ (0)</w:t>
      </w:r>
    </w:p>
    <w:p w14:paraId="41CF3B1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Education, Medical, Continuing/ (0)</w:t>
      </w:r>
    </w:p>
    <w:p w14:paraId="461A8459"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Medical Audit/ (419)</w:t>
      </w:r>
    </w:p>
    <w:p w14:paraId="02541D8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interventions.mp. (160232)</w:t>
      </w:r>
    </w:p>
    <w:p w14:paraId="6FFCA92A"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test utilization.mp. (45)</w:t>
      </w:r>
    </w:p>
    <w:p w14:paraId="4AF29F27"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Clinical Audit/ (419)</w:t>
      </w:r>
    </w:p>
    <w:p w14:paraId="58D0857D"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Guideline Adherence/ (0)</w:t>
      </w:r>
    </w:p>
    <w:p w14:paraId="529E02F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 feedback.mp. (0)</w:t>
      </w:r>
    </w:p>
    <w:p w14:paraId="12E3E56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patterns, physicians/ (0)</w:t>
      </w:r>
    </w:p>
    <w:p w14:paraId="4BE4013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Quality Improvement/ (0)</w:t>
      </w:r>
    </w:p>
    <w:p w14:paraId="0510B88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Practice Guideline/ (0)</w:t>
      </w:r>
    </w:p>
    <w:p w14:paraId="6D833F45"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or/43-54 (160648)</w:t>
      </w:r>
    </w:p>
    <w:p w14:paraId="5F1F376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imaging.tw. (64160)</w:t>
      </w:r>
    </w:p>
    <w:p w14:paraId="4B9DFFBA"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ultrasound*.tw. (2960)</w:t>
      </w:r>
    </w:p>
    <w:p w14:paraId="0768661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MRI.tw. (29047)</w:t>
      </w:r>
    </w:p>
    <w:p w14:paraId="4B20C922"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CT scan.tw. (1194)</w:t>
      </w:r>
    </w:p>
    <w:p w14:paraId="43D0FC3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Magnetic Resonance Imaging/ or Diagnostic Imaging/ (16596)</w:t>
      </w:r>
    </w:p>
    <w:p w14:paraId="43687BCF"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Ultrasonography/ (0)</w:t>
      </w:r>
    </w:p>
    <w:p w14:paraId="1A62860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ultraso*.tw. (4950)</w:t>
      </w:r>
    </w:p>
    <w:p w14:paraId="50BC552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Magnetic resonance imaging.tw. (36081)</w:t>
      </w:r>
    </w:p>
    <w:p w14:paraId="641B326C"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 xml:space="preserve">tomography, </w:t>
      </w:r>
      <w:r>
        <w:rPr>
          <w:rFonts w:eastAsia="Arial Unicode MS"/>
        </w:rPr>
        <w:t>X-ray</w:t>
      </w:r>
      <w:r w:rsidRPr="006B1AB3">
        <w:rPr>
          <w:rFonts w:eastAsia="Arial Unicode MS"/>
        </w:rPr>
        <w:t xml:space="preserve"> computed/ (0)</w:t>
      </w:r>
    </w:p>
    <w:p w14:paraId="026A4C1B"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x ray*.tw. (2273)</w:t>
      </w:r>
    </w:p>
    <w:p w14:paraId="42F64661" w14:textId="77777777" w:rsidR="00C9672D" w:rsidRPr="006B1AB3" w:rsidRDefault="00C9672D" w:rsidP="0029574B">
      <w:pPr>
        <w:pStyle w:val="BodyText1"/>
        <w:numPr>
          <w:ilvl w:val="0"/>
          <w:numId w:val="103"/>
        </w:numPr>
        <w:ind w:left="426" w:hanging="426"/>
        <w:rPr>
          <w:rFonts w:eastAsia="Arial Unicode MS"/>
        </w:rPr>
      </w:pPr>
      <w:r>
        <w:rPr>
          <w:rFonts w:eastAsia="Arial Unicode MS"/>
        </w:rPr>
        <w:t>X-ray</w:t>
      </w:r>
      <w:r w:rsidRPr="006B1AB3">
        <w:rPr>
          <w:rFonts w:eastAsia="Arial Unicode MS"/>
        </w:rPr>
        <w:t>s/ (0)</w:t>
      </w:r>
    </w:p>
    <w:p w14:paraId="7CF6D54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or/56-66 (84348)</w:t>
      </w:r>
    </w:p>
    <w:p w14:paraId="2460CDB3"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41 and 55 and 67 (5)</w:t>
      </w:r>
    </w:p>
    <w:p w14:paraId="30C01BD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41 and 42 and 67 (0)</w:t>
      </w:r>
    </w:p>
    <w:p w14:paraId="54F858A6"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t>68 or 69 (5)</w:t>
      </w:r>
    </w:p>
    <w:p w14:paraId="566DC0D4" w14:textId="77777777" w:rsidR="00C9672D" w:rsidRPr="006B1AB3" w:rsidRDefault="00C9672D" w:rsidP="0029574B">
      <w:pPr>
        <w:pStyle w:val="BodyText1"/>
        <w:numPr>
          <w:ilvl w:val="0"/>
          <w:numId w:val="103"/>
        </w:numPr>
        <w:ind w:left="426" w:hanging="426"/>
        <w:rPr>
          <w:rFonts w:eastAsia="Arial Unicode MS"/>
        </w:rPr>
      </w:pPr>
      <w:r w:rsidRPr="006B1AB3">
        <w:rPr>
          <w:rFonts w:eastAsia="Arial Unicode MS"/>
        </w:rPr>
        <w:lastRenderedPageBreak/>
        <w:t>limit 70 to (human and english language and yr="2007 -Current") (4)</w:t>
      </w:r>
    </w:p>
    <w:p w14:paraId="4B8B6DC4" w14:textId="77777777" w:rsidR="00C9672D" w:rsidRPr="006B1AB3" w:rsidRDefault="00C9672D" w:rsidP="00C9672D">
      <w:pPr>
        <w:pStyle w:val="BodyText1"/>
        <w:rPr>
          <w:rFonts w:eastAsia="Arial Unicode MS"/>
        </w:rPr>
      </w:pPr>
    </w:p>
    <w:p w14:paraId="3EFECF7F" w14:textId="77777777" w:rsidR="00C9672D" w:rsidRPr="00BE1F39" w:rsidRDefault="00C9672D" w:rsidP="00C9672D">
      <w:pPr>
        <w:pStyle w:val="ApDHead3"/>
        <w:rPr>
          <w:rStyle w:val="Bold"/>
          <w:rFonts w:eastAsia="Arial Unicode MS"/>
          <w:b/>
        </w:rPr>
      </w:pPr>
      <w:bookmarkStart w:id="421" w:name="_Toc525740601"/>
      <w:bookmarkStart w:id="422" w:name="_Toc525816167"/>
      <w:r w:rsidRPr="00BE1F39">
        <w:rPr>
          <w:rStyle w:val="Bold"/>
          <w:rFonts w:eastAsia="Arial Unicode MS"/>
        </w:rPr>
        <w:t xml:space="preserve">PsycINFO search for </w:t>
      </w:r>
      <w:r w:rsidRPr="00BE1F39">
        <w:t>reviews</w:t>
      </w:r>
      <w:r w:rsidRPr="00BE1F39">
        <w:rPr>
          <w:rStyle w:val="Bold"/>
          <w:rFonts w:eastAsia="Arial Unicode MS"/>
        </w:rPr>
        <w:t xml:space="preserve"> investigating pathology tests</w:t>
      </w:r>
      <w:bookmarkEnd w:id="421"/>
      <w:bookmarkEnd w:id="422"/>
    </w:p>
    <w:p w14:paraId="506B0610" w14:textId="77777777" w:rsidR="00C9672D" w:rsidRPr="006B1AB3" w:rsidRDefault="00C9672D" w:rsidP="00C9672D">
      <w:pPr>
        <w:pStyle w:val="BodyText1"/>
        <w:rPr>
          <w:rFonts w:eastAsia="Arial Unicode MS"/>
        </w:rPr>
      </w:pPr>
      <w:r w:rsidRPr="006B1AB3">
        <w:rPr>
          <w:rFonts w:eastAsia="Arial Unicode MS"/>
        </w:rPr>
        <w:t>Search Strategy:</w:t>
      </w:r>
    </w:p>
    <w:p w14:paraId="34D4863B" w14:textId="77777777" w:rsidR="00C9672D" w:rsidRPr="006B1AB3" w:rsidRDefault="00C9672D" w:rsidP="0029574B">
      <w:pPr>
        <w:pStyle w:val="BodyText1"/>
        <w:numPr>
          <w:ilvl w:val="0"/>
          <w:numId w:val="104"/>
        </w:numPr>
        <w:rPr>
          <w:rFonts w:eastAsia="Arial Unicode MS"/>
        </w:rPr>
      </w:pPr>
      <w:r w:rsidRPr="006B1AB3">
        <w:rPr>
          <w:rFonts w:eastAsia="Arial Unicode MS"/>
        </w:rPr>
        <w:t xml:space="preserve">Primary </w:t>
      </w:r>
      <w:r>
        <w:rPr>
          <w:rFonts w:eastAsia="Arial Unicode MS"/>
        </w:rPr>
        <w:t>Healthcare</w:t>
      </w:r>
      <w:r w:rsidRPr="006B1AB3">
        <w:rPr>
          <w:rFonts w:eastAsia="Arial Unicode MS"/>
        </w:rPr>
        <w:t>/ (15335)</w:t>
      </w:r>
    </w:p>
    <w:p w14:paraId="582E46EB" w14:textId="77777777" w:rsidR="00C9672D" w:rsidRPr="006B1AB3" w:rsidRDefault="00C9672D" w:rsidP="0029574B">
      <w:pPr>
        <w:pStyle w:val="BodyText1"/>
        <w:numPr>
          <w:ilvl w:val="0"/>
          <w:numId w:val="104"/>
        </w:numPr>
        <w:rPr>
          <w:rFonts w:eastAsia="Arial Unicode MS"/>
        </w:rPr>
      </w:pPr>
      <w:r w:rsidRPr="006B1AB3">
        <w:rPr>
          <w:rFonts w:eastAsia="Arial Unicode MS"/>
        </w:rPr>
        <w:t>Family Practice/ (0)</w:t>
      </w:r>
    </w:p>
    <w:p w14:paraId="02639C23" w14:textId="77777777" w:rsidR="00C9672D" w:rsidRPr="006B1AB3" w:rsidRDefault="00C9672D" w:rsidP="0029574B">
      <w:pPr>
        <w:pStyle w:val="BodyText1"/>
        <w:numPr>
          <w:ilvl w:val="0"/>
          <w:numId w:val="104"/>
        </w:numPr>
        <w:rPr>
          <w:rFonts w:eastAsia="Arial Unicode MS"/>
        </w:rPr>
      </w:pPr>
      <w:r w:rsidRPr="006B1AB3">
        <w:rPr>
          <w:rFonts w:eastAsia="Arial Unicode MS"/>
        </w:rPr>
        <w:t>General Practice/ (0)</w:t>
      </w:r>
    </w:p>
    <w:p w14:paraId="42699A5F" w14:textId="77777777" w:rsidR="00C9672D" w:rsidRPr="006B1AB3" w:rsidRDefault="00C9672D" w:rsidP="0029574B">
      <w:pPr>
        <w:pStyle w:val="BodyText1"/>
        <w:numPr>
          <w:ilvl w:val="0"/>
          <w:numId w:val="104"/>
        </w:numPr>
        <w:rPr>
          <w:rFonts w:eastAsia="Arial Unicode MS"/>
        </w:rPr>
      </w:pPr>
      <w:r w:rsidRPr="006B1AB3">
        <w:rPr>
          <w:rFonts w:eastAsia="Arial Unicode MS"/>
        </w:rPr>
        <w:t>General Practitioners/ (5431)</w:t>
      </w:r>
    </w:p>
    <w:p w14:paraId="6853F612" w14:textId="77777777" w:rsidR="00C9672D" w:rsidRPr="006B1AB3" w:rsidRDefault="00C9672D" w:rsidP="0029574B">
      <w:pPr>
        <w:pStyle w:val="BodyText1"/>
        <w:numPr>
          <w:ilvl w:val="0"/>
          <w:numId w:val="104"/>
        </w:numPr>
        <w:rPr>
          <w:rFonts w:eastAsia="Arial Unicode MS"/>
        </w:rPr>
      </w:pPr>
      <w:r w:rsidRPr="006B1AB3">
        <w:rPr>
          <w:rFonts w:eastAsia="Arial Unicode MS"/>
        </w:rPr>
        <w:t>Physicians, Family/ (0)</w:t>
      </w:r>
    </w:p>
    <w:p w14:paraId="7813ECEC" w14:textId="77777777" w:rsidR="00C9672D" w:rsidRPr="006B1AB3" w:rsidRDefault="00C9672D" w:rsidP="0029574B">
      <w:pPr>
        <w:pStyle w:val="BodyText1"/>
        <w:numPr>
          <w:ilvl w:val="0"/>
          <w:numId w:val="104"/>
        </w:numPr>
        <w:rPr>
          <w:rFonts w:eastAsia="Arial Unicode MS"/>
        </w:rPr>
      </w:pPr>
      <w:r w:rsidRPr="006B1AB3">
        <w:rPr>
          <w:rFonts w:eastAsia="Arial Unicode MS"/>
        </w:rPr>
        <w:t>GP.mp. (3722)</w:t>
      </w:r>
    </w:p>
    <w:p w14:paraId="2F751884" w14:textId="77777777" w:rsidR="00C9672D" w:rsidRPr="006B1AB3" w:rsidRDefault="00C9672D" w:rsidP="0029574B">
      <w:pPr>
        <w:pStyle w:val="BodyText1"/>
        <w:numPr>
          <w:ilvl w:val="0"/>
          <w:numId w:val="104"/>
        </w:numPr>
        <w:rPr>
          <w:rFonts w:eastAsia="Arial Unicode MS"/>
        </w:rPr>
      </w:pPr>
      <w:r w:rsidRPr="006B1AB3">
        <w:rPr>
          <w:rFonts w:eastAsia="Arial Unicode MS"/>
        </w:rPr>
        <w:t>or/1-6 (21674)</w:t>
      </w:r>
    </w:p>
    <w:p w14:paraId="3A3A4051" w14:textId="77777777" w:rsidR="00C9672D" w:rsidRPr="006B1AB3" w:rsidRDefault="00C9672D" w:rsidP="0029574B">
      <w:pPr>
        <w:pStyle w:val="BodyText1"/>
        <w:numPr>
          <w:ilvl w:val="0"/>
          <w:numId w:val="104"/>
        </w:numPr>
        <w:rPr>
          <w:rFonts w:eastAsia="Arial Unicode MS"/>
        </w:rPr>
      </w:pPr>
      <w:r w:rsidRPr="006B1AB3">
        <w:rPr>
          <w:rFonts w:eastAsia="Arial Unicode MS"/>
        </w:rPr>
        <w:t>medical tests.mp. (156)</w:t>
      </w:r>
    </w:p>
    <w:p w14:paraId="67C23E63" w14:textId="77777777" w:rsidR="00C9672D" w:rsidRPr="006B1AB3" w:rsidRDefault="00C9672D" w:rsidP="0029574B">
      <w:pPr>
        <w:pStyle w:val="BodyText1"/>
        <w:numPr>
          <w:ilvl w:val="0"/>
          <w:numId w:val="104"/>
        </w:numPr>
        <w:rPr>
          <w:rFonts w:eastAsia="Arial Unicode MS"/>
        </w:rPr>
      </w:pPr>
      <w:r w:rsidRPr="006B1AB3">
        <w:rPr>
          <w:rFonts w:eastAsia="Arial Unicode MS"/>
        </w:rPr>
        <w:t>(diagnostic tests and procedures).mp. [mp=title, abstract, heading word, table of contents, key concepts, original title, tests &amp; measures] (96)</w:t>
      </w:r>
    </w:p>
    <w:p w14:paraId="21E04970" w14:textId="77777777" w:rsidR="00C9672D" w:rsidRPr="006B1AB3" w:rsidRDefault="00C9672D" w:rsidP="0029574B">
      <w:pPr>
        <w:pStyle w:val="BodyText1"/>
        <w:numPr>
          <w:ilvl w:val="0"/>
          <w:numId w:val="104"/>
        </w:numPr>
        <w:rPr>
          <w:rFonts w:eastAsia="Arial Unicode MS"/>
        </w:rPr>
      </w:pPr>
      <w:r w:rsidRPr="006B1AB3">
        <w:rPr>
          <w:rFonts w:eastAsia="Arial Unicode MS"/>
        </w:rPr>
        <w:t>Diagnostic Tests, Routine/ (0)</w:t>
      </w:r>
    </w:p>
    <w:p w14:paraId="346E0FA0" w14:textId="77777777" w:rsidR="00C9672D" w:rsidRPr="006B1AB3" w:rsidRDefault="00C9672D" w:rsidP="0029574B">
      <w:pPr>
        <w:pStyle w:val="BodyText1"/>
        <w:numPr>
          <w:ilvl w:val="0"/>
          <w:numId w:val="104"/>
        </w:numPr>
        <w:rPr>
          <w:rFonts w:eastAsia="Arial Unicode MS"/>
        </w:rPr>
      </w:pPr>
      <w:r>
        <w:rPr>
          <w:rFonts w:eastAsia="Arial Unicode MS"/>
        </w:rPr>
        <w:t>Haemato</w:t>
      </w:r>
      <w:r w:rsidRPr="006B1AB3">
        <w:rPr>
          <w:rFonts w:eastAsia="Arial Unicode MS"/>
        </w:rPr>
        <w:t>logic Tests/ (0)</w:t>
      </w:r>
    </w:p>
    <w:p w14:paraId="7D5A40F7" w14:textId="77777777" w:rsidR="00C9672D" w:rsidRPr="006B1AB3" w:rsidRDefault="00C9672D" w:rsidP="0029574B">
      <w:pPr>
        <w:pStyle w:val="BodyText1"/>
        <w:numPr>
          <w:ilvl w:val="0"/>
          <w:numId w:val="104"/>
        </w:numPr>
        <w:rPr>
          <w:rFonts w:eastAsia="Arial Unicode MS"/>
        </w:rPr>
      </w:pPr>
      <w:r w:rsidRPr="006B1AB3">
        <w:rPr>
          <w:rFonts w:eastAsia="Arial Unicode MS"/>
        </w:rPr>
        <w:t>Pathology, Clinical/ (0)</w:t>
      </w:r>
    </w:p>
    <w:p w14:paraId="0A7B4DC1" w14:textId="77777777" w:rsidR="00C9672D" w:rsidRPr="006B1AB3" w:rsidRDefault="00C9672D" w:rsidP="0029574B">
      <w:pPr>
        <w:pStyle w:val="BodyText1"/>
        <w:numPr>
          <w:ilvl w:val="0"/>
          <w:numId w:val="104"/>
        </w:numPr>
        <w:rPr>
          <w:rFonts w:eastAsia="Arial Unicode MS"/>
        </w:rPr>
      </w:pPr>
      <w:r w:rsidRPr="006B1AB3">
        <w:rPr>
          <w:rFonts w:eastAsia="Arial Unicode MS"/>
        </w:rPr>
        <w:t>blood tests.mp. (594)</w:t>
      </w:r>
    </w:p>
    <w:p w14:paraId="376288B4" w14:textId="77777777" w:rsidR="00C9672D" w:rsidRPr="006B1AB3" w:rsidRDefault="00C9672D" w:rsidP="0029574B">
      <w:pPr>
        <w:pStyle w:val="BodyText1"/>
        <w:numPr>
          <w:ilvl w:val="0"/>
          <w:numId w:val="104"/>
        </w:numPr>
        <w:rPr>
          <w:rFonts w:eastAsia="Arial Unicode MS"/>
        </w:rPr>
      </w:pPr>
      <w:r w:rsidRPr="006B1AB3">
        <w:rPr>
          <w:rFonts w:eastAsia="Arial Unicode MS"/>
        </w:rPr>
        <w:t>Clinical Laboratory Techniques/ (0)</w:t>
      </w:r>
    </w:p>
    <w:p w14:paraId="5A2345F1" w14:textId="77777777" w:rsidR="00C9672D" w:rsidRPr="006B1AB3" w:rsidRDefault="00C9672D" w:rsidP="0029574B">
      <w:pPr>
        <w:pStyle w:val="BodyText1"/>
        <w:numPr>
          <w:ilvl w:val="0"/>
          <w:numId w:val="104"/>
        </w:numPr>
        <w:rPr>
          <w:rFonts w:eastAsia="Arial Unicode MS"/>
        </w:rPr>
      </w:pPr>
      <w:r w:rsidRPr="006B1AB3">
        <w:rPr>
          <w:rFonts w:eastAsia="Arial Unicode MS"/>
        </w:rPr>
        <w:t>or/8-14 (845)</w:t>
      </w:r>
    </w:p>
    <w:p w14:paraId="163F259D" w14:textId="77777777" w:rsidR="00C9672D" w:rsidRPr="006B1AB3" w:rsidRDefault="00C9672D" w:rsidP="0029574B">
      <w:pPr>
        <w:pStyle w:val="BodyText1"/>
        <w:numPr>
          <w:ilvl w:val="0"/>
          <w:numId w:val="104"/>
        </w:numPr>
        <w:rPr>
          <w:rFonts w:eastAsia="Arial Unicode MS"/>
        </w:rPr>
      </w:pPr>
      <w:r w:rsidRPr="006B1AB3">
        <w:rPr>
          <w:rFonts w:eastAsia="Arial Unicode MS"/>
        </w:rPr>
        <w:t>unnecessary procedures.mp. or Unnecessary Procedures/ (20)</w:t>
      </w:r>
    </w:p>
    <w:p w14:paraId="0F92C391" w14:textId="77777777" w:rsidR="00C9672D" w:rsidRPr="006B1AB3" w:rsidRDefault="00C9672D" w:rsidP="0029574B">
      <w:pPr>
        <w:pStyle w:val="BodyText1"/>
        <w:numPr>
          <w:ilvl w:val="0"/>
          <w:numId w:val="104"/>
        </w:numPr>
        <w:rPr>
          <w:rFonts w:eastAsia="Arial Unicode MS"/>
        </w:rPr>
      </w:pPr>
      <w:r w:rsidRPr="006B1AB3">
        <w:rPr>
          <w:rFonts w:eastAsia="Arial Unicode MS"/>
        </w:rPr>
        <w:t>Clinical Decision-Making/ (0)</w:t>
      </w:r>
    </w:p>
    <w:p w14:paraId="0C6548C0" w14:textId="77777777" w:rsidR="00C9672D" w:rsidRPr="006B1AB3" w:rsidRDefault="00C9672D" w:rsidP="0029574B">
      <w:pPr>
        <w:pStyle w:val="BodyText1"/>
        <w:numPr>
          <w:ilvl w:val="0"/>
          <w:numId w:val="104"/>
        </w:numPr>
        <w:rPr>
          <w:rFonts w:eastAsia="Arial Unicode MS"/>
        </w:rPr>
      </w:pPr>
      <w:r w:rsidRPr="006B1AB3">
        <w:rPr>
          <w:rFonts w:eastAsia="Arial Unicode MS"/>
        </w:rPr>
        <w:t>Decision Support Systems, Clinical/ (0)</w:t>
      </w:r>
    </w:p>
    <w:p w14:paraId="24A4B4A2" w14:textId="77777777" w:rsidR="00C9672D" w:rsidRPr="006B1AB3" w:rsidRDefault="00C9672D" w:rsidP="0029574B">
      <w:pPr>
        <w:pStyle w:val="BodyText1"/>
        <w:numPr>
          <w:ilvl w:val="0"/>
          <w:numId w:val="104"/>
        </w:numPr>
        <w:rPr>
          <w:rFonts w:eastAsia="Arial Unicode MS"/>
        </w:rPr>
      </w:pPr>
      <w:r w:rsidRPr="006B1AB3">
        <w:rPr>
          <w:rFonts w:eastAsia="Arial Unicode MS"/>
        </w:rPr>
        <w:t>Education, Medical, Continuing/ (0)</w:t>
      </w:r>
    </w:p>
    <w:p w14:paraId="5DB27E3F" w14:textId="77777777" w:rsidR="00C9672D" w:rsidRPr="006B1AB3" w:rsidRDefault="00C9672D" w:rsidP="0029574B">
      <w:pPr>
        <w:pStyle w:val="BodyText1"/>
        <w:numPr>
          <w:ilvl w:val="0"/>
          <w:numId w:val="104"/>
        </w:numPr>
        <w:rPr>
          <w:rFonts w:eastAsia="Arial Unicode MS"/>
        </w:rPr>
      </w:pPr>
      <w:r w:rsidRPr="006B1AB3">
        <w:rPr>
          <w:rFonts w:eastAsia="Arial Unicode MS"/>
        </w:rPr>
        <w:t>in service training.mp. [mp=title, abstract, heading word, table of contents, key concepts, original title, tests &amp; measures] (1231)</w:t>
      </w:r>
    </w:p>
    <w:p w14:paraId="23A21719" w14:textId="77777777" w:rsidR="00C9672D" w:rsidRPr="006B1AB3" w:rsidRDefault="00C9672D" w:rsidP="0029574B">
      <w:pPr>
        <w:pStyle w:val="BodyText1"/>
        <w:numPr>
          <w:ilvl w:val="0"/>
          <w:numId w:val="104"/>
        </w:numPr>
        <w:rPr>
          <w:rFonts w:eastAsia="Arial Unicode MS"/>
        </w:rPr>
      </w:pPr>
      <w:r w:rsidRPr="006B1AB3">
        <w:rPr>
          <w:rFonts w:eastAsia="Arial Unicode MS"/>
        </w:rPr>
        <w:t>general practitioners education.mp. [mp=title, abstract, heading word, table of contents, key concepts, original title, tests &amp; measures] (2)</w:t>
      </w:r>
    </w:p>
    <w:p w14:paraId="1C5CD641" w14:textId="77777777" w:rsidR="00C9672D" w:rsidRPr="006B1AB3" w:rsidRDefault="00C9672D" w:rsidP="0029574B">
      <w:pPr>
        <w:pStyle w:val="BodyText1"/>
        <w:numPr>
          <w:ilvl w:val="0"/>
          <w:numId w:val="104"/>
        </w:numPr>
        <w:rPr>
          <w:rFonts w:eastAsia="Arial Unicode MS"/>
        </w:rPr>
      </w:pPr>
      <w:r w:rsidRPr="006B1AB3">
        <w:rPr>
          <w:rFonts w:eastAsia="Arial Unicode MS"/>
        </w:rPr>
        <w:t>Medical Audit/ (419)</w:t>
      </w:r>
    </w:p>
    <w:p w14:paraId="3094299F" w14:textId="77777777" w:rsidR="00C9672D" w:rsidRPr="006B1AB3" w:rsidRDefault="00C9672D" w:rsidP="0029574B">
      <w:pPr>
        <w:pStyle w:val="BodyText1"/>
        <w:numPr>
          <w:ilvl w:val="0"/>
          <w:numId w:val="104"/>
        </w:numPr>
        <w:rPr>
          <w:rFonts w:eastAsia="Arial Unicode MS"/>
        </w:rPr>
      </w:pPr>
      <w:r w:rsidRPr="006B1AB3">
        <w:rPr>
          <w:rFonts w:eastAsia="Arial Unicode MS"/>
        </w:rPr>
        <w:t>interventions.mp. (160232)</w:t>
      </w:r>
    </w:p>
    <w:p w14:paraId="3F0D8078" w14:textId="77777777" w:rsidR="00C9672D" w:rsidRPr="006B1AB3" w:rsidRDefault="00C9672D" w:rsidP="0029574B">
      <w:pPr>
        <w:pStyle w:val="BodyText1"/>
        <w:numPr>
          <w:ilvl w:val="0"/>
          <w:numId w:val="104"/>
        </w:numPr>
        <w:rPr>
          <w:rFonts w:eastAsia="Arial Unicode MS"/>
        </w:rPr>
      </w:pPr>
      <w:r w:rsidRPr="006B1AB3">
        <w:rPr>
          <w:rFonts w:eastAsia="Arial Unicode MS"/>
        </w:rPr>
        <w:t>test utilization.mp. (45)</w:t>
      </w:r>
    </w:p>
    <w:p w14:paraId="04064EEB" w14:textId="77777777" w:rsidR="00C9672D" w:rsidRPr="006B1AB3" w:rsidRDefault="00C9672D" w:rsidP="0029574B">
      <w:pPr>
        <w:pStyle w:val="BodyText1"/>
        <w:numPr>
          <w:ilvl w:val="0"/>
          <w:numId w:val="104"/>
        </w:numPr>
        <w:rPr>
          <w:rFonts w:eastAsia="Arial Unicode MS"/>
        </w:rPr>
      </w:pPr>
      <w:r w:rsidRPr="006B1AB3">
        <w:rPr>
          <w:rFonts w:eastAsia="Arial Unicode MS"/>
        </w:rPr>
        <w:t>Clinical Audit/ (419)</w:t>
      </w:r>
    </w:p>
    <w:p w14:paraId="010E4040" w14:textId="77777777" w:rsidR="00C9672D" w:rsidRPr="006B1AB3" w:rsidRDefault="00C9672D" w:rsidP="0029574B">
      <w:pPr>
        <w:pStyle w:val="BodyText1"/>
        <w:numPr>
          <w:ilvl w:val="0"/>
          <w:numId w:val="104"/>
        </w:numPr>
        <w:rPr>
          <w:rFonts w:eastAsia="Arial Unicode MS"/>
        </w:rPr>
      </w:pPr>
      <w:r w:rsidRPr="006B1AB3">
        <w:rPr>
          <w:rFonts w:eastAsia="Arial Unicode MS"/>
        </w:rPr>
        <w:t>Guideline Adherence/ (0)</w:t>
      </w:r>
    </w:p>
    <w:p w14:paraId="1AC3978B" w14:textId="77777777" w:rsidR="00C9672D" w:rsidRPr="006B1AB3" w:rsidRDefault="00C9672D" w:rsidP="0029574B">
      <w:pPr>
        <w:pStyle w:val="BodyText1"/>
        <w:numPr>
          <w:ilvl w:val="0"/>
          <w:numId w:val="104"/>
        </w:numPr>
        <w:rPr>
          <w:rFonts w:eastAsia="Arial Unicode MS"/>
        </w:rPr>
      </w:pPr>
      <w:r w:rsidRPr="006B1AB3">
        <w:rPr>
          <w:rFonts w:eastAsia="Arial Unicode MS"/>
        </w:rPr>
        <w:t>practice pattern feedback.mp. (0)</w:t>
      </w:r>
    </w:p>
    <w:p w14:paraId="5C995D21" w14:textId="77777777" w:rsidR="00C9672D" w:rsidRPr="006B1AB3" w:rsidRDefault="00C9672D" w:rsidP="0029574B">
      <w:pPr>
        <w:pStyle w:val="BodyText1"/>
        <w:numPr>
          <w:ilvl w:val="0"/>
          <w:numId w:val="104"/>
        </w:numPr>
        <w:rPr>
          <w:rFonts w:eastAsia="Arial Unicode MS"/>
        </w:rPr>
      </w:pPr>
      <w:r w:rsidRPr="006B1AB3">
        <w:rPr>
          <w:rFonts w:eastAsia="Arial Unicode MS"/>
        </w:rPr>
        <w:t>practice patterns, physicians/ (0)</w:t>
      </w:r>
    </w:p>
    <w:p w14:paraId="029691B9" w14:textId="77777777" w:rsidR="00C9672D" w:rsidRPr="006B1AB3" w:rsidRDefault="00C9672D" w:rsidP="0029574B">
      <w:pPr>
        <w:pStyle w:val="BodyText1"/>
        <w:numPr>
          <w:ilvl w:val="0"/>
          <w:numId w:val="104"/>
        </w:numPr>
        <w:rPr>
          <w:rFonts w:eastAsia="Arial Unicode MS"/>
        </w:rPr>
      </w:pPr>
      <w:r w:rsidRPr="006B1AB3">
        <w:rPr>
          <w:rFonts w:eastAsia="Arial Unicode MS"/>
        </w:rPr>
        <w:t>Quality Improvement/ (0)</w:t>
      </w:r>
    </w:p>
    <w:p w14:paraId="65611004" w14:textId="77777777" w:rsidR="00C9672D" w:rsidRPr="006B1AB3" w:rsidRDefault="00C9672D" w:rsidP="0029574B">
      <w:pPr>
        <w:pStyle w:val="BodyText1"/>
        <w:numPr>
          <w:ilvl w:val="0"/>
          <w:numId w:val="104"/>
        </w:numPr>
        <w:rPr>
          <w:rFonts w:eastAsia="Arial Unicode MS"/>
        </w:rPr>
      </w:pPr>
      <w:r w:rsidRPr="006B1AB3">
        <w:rPr>
          <w:rFonts w:eastAsia="Arial Unicode MS"/>
        </w:rPr>
        <w:t>Practice Guideline/ (0)</w:t>
      </w:r>
    </w:p>
    <w:p w14:paraId="57B050EE" w14:textId="77777777" w:rsidR="00C9672D" w:rsidRPr="006B1AB3" w:rsidRDefault="00C9672D" w:rsidP="0029574B">
      <w:pPr>
        <w:pStyle w:val="BodyText1"/>
        <w:numPr>
          <w:ilvl w:val="0"/>
          <w:numId w:val="104"/>
        </w:numPr>
        <w:rPr>
          <w:rFonts w:eastAsia="Arial Unicode MS"/>
        </w:rPr>
      </w:pPr>
      <w:r w:rsidRPr="006B1AB3">
        <w:rPr>
          <w:rFonts w:eastAsia="Arial Unicode MS"/>
        </w:rPr>
        <w:lastRenderedPageBreak/>
        <w:t>practice guidelines as topic.mp. [mp=title, abstract, heading word, table of contents, key concepts, original title, tests &amp; measures] (2)</w:t>
      </w:r>
    </w:p>
    <w:p w14:paraId="221DA563" w14:textId="77777777" w:rsidR="00C9672D" w:rsidRPr="006B1AB3" w:rsidRDefault="00C9672D" w:rsidP="0029574B">
      <w:pPr>
        <w:pStyle w:val="BodyText1"/>
        <w:numPr>
          <w:ilvl w:val="0"/>
          <w:numId w:val="104"/>
        </w:numPr>
        <w:rPr>
          <w:rFonts w:eastAsia="Arial Unicode MS"/>
        </w:rPr>
      </w:pPr>
      <w:r w:rsidRPr="006B1AB3">
        <w:rPr>
          <w:rFonts w:eastAsia="Arial Unicode MS"/>
        </w:rPr>
        <w:t>or/17-31 (161798)</w:t>
      </w:r>
    </w:p>
    <w:p w14:paraId="665E8228" w14:textId="77777777" w:rsidR="00C9672D" w:rsidRPr="006B1AB3" w:rsidRDefault="00C9672D" w:rsidP="0029574B">
      <w:pPr>
        <w:pStyle w:val="BodyText1"/>
        <w:numPr>
          <w:ilvl w:val="0"/>
          <w:numId w:val="104"/>
        </w:numPr>
        <w:rPr>
          <w:rFonts w:eastAsia="Arial Unicode MS"/>
        </w:rPr>
      </w:pPr>
      <w:r w:rsidRPr="006B1AB3">
        <w:rPr>
          <w:rFonts w:eastAsia="Arial Unicode MS"/>
        </w:rPr>
        <w:t>7 and 15 and 32 (4)</w:t>
      </w:r>
    </w:p>
    <w:p w14:paraId="52B42567" w14:textId="77777777" w:rsidR="00C9672D" w:rsidRPr="006B1AB3" w:rsidRDefault="00C9672D" w:rsidP="0029574B">
      <w:pPr>
        <w:pStyle w:val="BodyText1"/>
        <w:numPr>
          <w:ilvl w:val="0"/>
          <w:numId w:val="104"/>
        </w:numPr>
        <w:rPr>
          <w:rFonts w:eastAsia="Arial Unicode MS"/>
        </w:rPr>
      </w:pPr>
      <w:r w:rsidRPr="006B1AB3">
        <w:rPr>
          <w:rFonts w:eastAsia="Arial Unicode MS"/>
        </w:rPr>
        <w:t>7 and 15 and 16 (0)</w:t>
      </w:r>
    </w:p>
    <w:p w14:paraId="640BB755" w14:textId="77777777" w:rsidR="00C9672D" w:rsidRPr="006B1AB3" w:rsidRDefault="00C9672D" w:rsidP="0029574B">
      <w:pPr>
        <w:pStyle w:val="BodyText1"/>
        <w:numPr>
          <w:ilvl w:val="0"/>
          <w:numId w:val="104"/>
        </w:numPr>
        <w:rPr>
          <w:rFonts w:eastAsia="Arial Unicode MS"/>
        </w:rPr>
      </w:pPr>
      <w:r w:rsidRPr="006B1AB3">
        <w:rPr>
          <w:rFonts w:eastAsia="Arial Unicode MS"/>
        </w:rPr>
        <w:t>33 or 34 (4)</w:t>
      </w:r>
    </w:p>
    <w:p w14:paraId="30852CB2" w14:textId="77777777" w:rsidR="00C9672D" w:rsidRPr="006B1AB3" w:rsidRDefault="00C9672D" w:rsidP="0029574B">
      <w:pPr>
        <w:pStyle w:val="BodyText1"/>
        <w:numPr>
          <w:ilvl w:val="0"/>
          <w:numId w:val="104"/>
        </w:numPr>
        <w:rPr>
          <w:rFonts w:eastAsia="Arial Unicode MS"/>
        </w:rPr>
      </w:pPr>
      <w:r w:rsidRPr="006B1AB3">
        <w:rPr>
          <w:rFonts w:eastAsia="Arial Unicode MS"/>
        </w:rPr>
        <w:t>limit 35 to (english language and humans and yr="2012 -Current" and systematic reviews) [Limit not valid in PsycINFO; records were retained] (0)</w:t>
      </w:r>
    </w:p>
    <w:p w14:paraId="001062F6" w14:textId="77777777" w:rsidR="00C9672D" w:rsidRDefault="00C9672D" w:rsidP="00C9672D">
      <w:pPr>
        <w:pStyle w:val="BodyText"/>
      </w:pPr>
      <w:r>
        <w:br w:type="page"/>
      </w:r>
    </w:p>
    <w:p w14:paraId="0FB136FC" w14:textId="77777777" w:rsidR="00C9672D" w:rsidRPr="0037570E" w:rsidRDefault="00C9672D" w:rsidP="00553C63">
      <w:pPr>
        <w:pStyle w:val="ApDHead1"/>
        <w:outlineLvl w:val="0"/>
        <w:rPr>
          <w:rFonts w:eastAsia="TimesNewRomanPSMT"/>
        </w:rPr>
      </w:pPr>
      <w:bookmarkStart w:id="423" w:name="_Toc525740602"/>
      <w:bookmarkStart w:id="424" w:name="_Toc525816168"/>
      <w:r>
        <w:rPr>
          <w:rFonts w:eastAsia="TimesNewRomanPSMT"/>
        </w:rPr>
        <w:lastRenderedPageBreak/>
        <w:t>References</w:t>
      </w:r>
      <w:bookmarkEnd w:id="423"/>
      <w:bookmarkEnd w:id="424"/>
    </w:p>
    <w:p w14:paraId="1C971D32" w14:textId="77777777" w:rsidR="00C9672D" w:rsidRDefault="00C9672D" w:rsidP="00C9672D">
      <w:pPr>
        <w:rPr>
          <w:rStyle w:val="Bold"/>
          <w:rFonts w:eastAsiaTheme="minorHAnsi"/>
        </w:rPr>
      </w:pPr>
      <w:r>
        <w:rPr>
          <w:rStyle w:val="Bold"/>
          <w:rFonts w:eastAsiaTheme="minorHAnsi"/>
        </w:rPr>
        <w:fldChar w:fldCharType="begin"/>
      </w:r>
      <w:r>
        <w:rPr>
          <w:rStyle w:val="Bold"/>
          <w:rFonts w:eastAsiaTheme="minorHAnsi"/>
        </w:rPr>
        <w:instrText xml:space="preserve"> ADDIN EN.SECTION.REFLIST </w:instrText>
      </w:r>
      <w:r>
        <w:rPr>
          <w:rStyle w:val="Bold"/>
          <w:rFonts w:eastAsiaTheme="minorHAnsi"/>
        </w:rPr>
        <w:fldChar w:fldCharType="end"/>
      </w:r>
    </w:p>
    <w:p w14:paraId="6C47B869" w14:textId="77777777" w:rsidR="00C9672D" w:rsidRPr="00BC7020" w:rsidRDefault="00C9672D" w:rsidP="00C9672D">
      <w:pPr>
        <w:pStyle w:val="EndNoteBibliography"/>
        <w:ind w:left="567" w:hanging="567"/>
      </w:pPr>
      <w:r>
        <w:rPr>
          <w:rFonts w:eastAsiaTheme="minorHAnsi"/>
          <w:lang w:val="en-US" w:eastAsia="en-US"/>
        </w:rPr>
        <w:fldChar w:fldCharType="begin"/>
      </w:r>
      <w:r>
        <w:instrText xml:space="preserve"> ADDIN EN.REFLIST </w:instrText>
      </w:r>
      <w:r>
        <w:rPr>
          <w:rFonts w:eastAsiaTheme="minorHAnsi"/>
          <w:lang w:val="en-US" w:eastAsia="en-US"/>
        </w:rPr>
        <w:fldChar w:fldCharType="separate"/>
      </w:r>
      <w:r w:rsidRPr="00BC7020">
        <w:t>1.</w:t>
      </w:r>
      <w:r w:rsidRPr="00BC7020">
        <w:tab/>
        <w:t xml:space="preserve">Colla CH, Mainor AJ, Hargreaves C, et al. Interventions aimed at reducing use of low-value health services: a systematic review. Med Care Res Rev 2016. </w:t>
      </w:r>
    </w:p>
    <w:p w14:paraId="167A7315" w14:textId="77777777" w:rsidR="00C9672D" w:rsidRPr="00BC7020" w:rsidRDefault="00C9672D" w:rsidP="00C9672D">
      <w:pPr>
        <w:pStyle w:val="EndNoteBibliography"/>
        <w:ind w:left="567" w:hanging="567"/>
      </w:pPr>
      <w:r w:rsidRPr="00BC7020">
        <w:t>2.</w:t>
      </w:r>
      <w:r w:rsidRPr="00BC7020">
        <w:tab/>
        <w:t xml:space="preserve">Bright TJ, Wong A, Dhurjati R, et al. Effect of clinical decision-support systems: a systematic review. Ann Intern Med 2012;157 (1):29–43. </w:t>
      </w:r>
      <w:hyperlink r:id="rId39" w:history="1">
        <w:r w:rsidR="00FE1900">
          <w:rPr>
            <w:rStyle w:val="Hyperlink"/>
          </w:rPr>
          <w:t>at http://annals.org/aim/article/1206700/effect-clinical-decision-support-systems-systematic-review</w:t>
        </w:r>
      </w:hyperlink>
    </w:p>
    <w:p w14:paraId="729DA57F" w14:textId="77777777" w:rsidR="00C9672D" w:rsidRPr="007D2D4C" w:rsidRDefault="00C9672D" w:rsidP="00C9672D">
      <w:pPr>
        <w:pStyle w:val="EndNoteBibliography"/>
        <w:ind w:left="567" w:hanging="567"/>
        <w:rPr>
          <w:lang w:val="fr-CA"/>
        </w:rPr>
      </w:pPr>
      <w:r w:rsidRPr="00BC7020">
        <w:t>3.</w:t>
      </w:r>
      <w:r w:rsidRPr="00BC7020">
        <w:tab/>
        <w:t xml:space="preserve">Cadogan SL, Browne JP, Bradley CP, et al. The effectiveness of interventions to improve laboratory requesting patterns among primary care physicians: a systematic review. </w:t>
      </w:r>
      <w:r w:rsidRPr="007D2D4C">
        <w:rPr>
          <w:lang w:val="fr-CA"/>
        </w:rPr>
        <w:t xml:space="preserve">Implement Sci 2015;10 167. </w:t>
      </w:r>
      <w:hyperlink r:id="rId40" w:history="1">
        <w:r w:rsidR="00FE1900">
          <w:rPr>
            <w:rStyle w:val="Hyperlink"/>
            <w:lang w:val="fr-CA"/>
          </w:rPr>
          <w:t>at https://www.ncbi.nlm.nih.gov/pmc/articles/PMC4670500/pdf/13012_2015_Article_356.pdf</w:t>
        </w:r>
      </w:hyperlink>
    </w:p>
    <w:p w14:paraId="24E2F42C" w14:textId="77777777" w:rsidR="00C9672D" w:rsidRPr="00BC7020" w:rsidRDefault="00C9672D" w:rsidP="00C9672D">
      <w:pPr>
        <w:pStyle w:val="EndNoteBibliography"/>
        <w:ind w:left="567" w:hanging="567"/>
      </w:pPr>
      <w:r w:rsidRPr="007D2D4C">
        <w:rPr>
          <w:lang w:val="fr-CA"/>
        </w:rPr>
        <w:t>4.</w:t>
      </w:r>
      <w:r w:rsidRPr="007D2D4C">
        <w:rPr>
          <w:lang w:val="fr-CA"/>
        </w:rPr>
        <w:tab/>
        <w:t xml:space="preserve">Chaudhuri D, Montgomery A, Gulenchyn K, et al. </w:t>
      </w:r>
      <w:r w:rsidRPr="00BC7020">
        <w:t xml:space="preserve">Effectiveness of quality improvement interventions at reducing inappropriate cardiac imaging: a systematic review and meta-analysis. Circ Cardiovasc Qual Outcomes 2016;9 (1):7–13. </w:t>
      </w:r>
      <w:hyperlink r:id="rId41" w:history="1">
        <w:r w:rsidR="00FE1900">
          <w:rPr>
            <w:rStyle w:val="Hyperlink"/>
          </w:rPr>
          <w:t>at http://circoutcomes.ahajournals.org/content/circcvoq/9/1/7.full.pdf</w:t>
        </w:r>
      </w:hyperlink>
    </w:p>
    <w:p w14:paraId="31BDF95A" w14:textId="77777777" w:rsidR="00C9672D" w:rsidRPr="00BC7020" w:rsidRDefault="00C9672D" w:rsidP="00C9672D">
      <w:pPr>
        <w:pStyle w:val="EndNoteBibliography"/>
        <w:ind w:left="567" w:hanging="567"/>
      </w:pPr>
      <w:r w:rsidRPr="00BC7020">
        <w:t>5.</w:t>
      </w:r>
      <w:r w:rsidRPr="00BC7020">
        <w:tab/>
        <w:t xml:space="preserve">Flodgren G, Hall AM, Goulding L, et al. Tools developed and disseminated by guideline producers to promote the uptake of their guidelines. Cochrane Database Syst Rev 2016 (8):CD010669. </w:t>
      </w:r>
      <w:hyperlink r:id="rId42" w:history="1">
        <w:r w:rsidR="00FE1900">
          <w:rPr>
            <w:rStyle w:val="Hyperlink"/>
          </w:rPr>
          <w:t>at http://onlinelibrary.wiley.com/store/10.1002/14651858.CD010669.pub2/asset/CD010669.pdf?v=1&amp;t=izxj0qfp&amp;s=83612f3f683035d83ce2825f25db0c8b8b598f13</w:t>
        </w:r>
      </w:hyperlink>
    </w:p>
    <w:p w14:paraId="6013C277" w14:textId="77777777" w:rsidR="00C9672D" w:rsidRPr="00BC7020" w:rsidRDefault="00C9672D" w:rsidP="00C9672D">
      <w:pPr>
        <w:pStyle w:val="EndNoteBibliography"/>
        <w:ind w:left="567" w:hanging="567"/>
      </w:pPr>
      <w:r w:rsidRPr="00BC7020">
        <w:t>6.</w:t>
      </w:r>
      <w:r w:rsidRPr="00BC7020">
        <w:tab/>
        <w:t xml:space="preserve">French SD, Green S, Buchbinder R, et al. Interventions for improving the appropriate use of imaging in people with musculoskeletal conditions. Cochrane Database Syst Rev 2010 (1):CD006094. </w:t>
      </w:r>
      <w:hyperlink r:id="rId43" w:history="1">
        <w:r w:rsidR="00FE1900">
          <w:rPr>
            <w:rStyle w:val="Hyperlink"/>
          </w:rPr>
          <w:t>at http://onlinelibrary.wiley.com/store/10.1002/14651858.CD006094.pub2/asset/CD006094.pdf?v=1&amp;t=izno50iv&amp;s=c0202655b40b7f7676f120b11139afb3531e220a</w:t>
        </w:r>
      </w:hyperlink>
    </w:p>
    <w:p w14:paraId="71184816" w14:textId="77777777" w:rsidR="00C9672D" w:rsidRPr="00BC7020" w:rsidRDefault="00C9672D" w:rsidP="00C9672D">
      <w:pPr>
        <w:pStyle w:val="EndNoteBibliography"/>
        <w:ind w:left="567" w:hanging="567"/>
      </w:pPr>
      <w:r w:rsidRPr="00BC7020">
        <w:t>7.</w:t>
      </w:r>
      <w:r w:rsidRPr="00BC7020">
        <w:tab/>
        <w:t xml:space="preserve">Georgiou A, Prgomet M, Markewycz A, et al. The impact of computerized provider order entry systems on medical-imaging services: a systematic review. J Am Med Inform Assoc 2011;18 (3):335–40. </w:t>
      </w:r>
      <w:hyperlink r:id="rId44" w:history="1">
        <w:r w:rsidR="00FE1900">
          <w:rPr>
            <w:rStyle w:val="Hyperlink"/>
          </w:rPr>
          <w:t>at https://www.ncbi.nlm.nih.gov/pmc/articles/PMC3078656/pdf/amiajnl-2010-000043.pdf</w:t>
        </w:r>
      </w:hyperlink>
    </w:p>
    <w:p w14:paraId="4B9273AB" w14:textId="77777777" w:rsidR="00C9672D" w:rsidRPr="00BC7020" w:rsidRDefault="00C9672D" w:rsidP="00C9672D">
      <w:pPr>
        <w:pStyle w:val="EndNoteBibliography"/>
        <w:ind w:left="567" w:hanging="567"/>
      </w:pPr>
      <w:r w:rsidRPr="00BC7020">
        <w:t>8.</w:t>
      </w:r>
      <w:r w:rsidRPr="00BC7020">
        <w:tab/>
        <w:t xml:space="preserve">Georgiou A, Williamson M, Westbrook JI, et al. The impact of computerised physician order entry systems on pathology services: a systematic review. Int J Med Inform 2007;76 (7):514–29. </w:t>
      </w:r>
    </w:p>
    <w:p w14:paraId="4C6C54BE" w14:textId="77777777" w:rsidR="00C9672D" w:rsidRPr="00BC7020" w:rsidRDefault="00C9672D" w:rsidP="00C9672D">
      <w:pPr>
        <w:pStyle w:val="EndNoteBibliography"/>
        <w:ind w:left="567" w:hanging="567"/>
      </w:pPr>
      <w:r w:rsidRPr="00BC7020">
        <w:t>9.</w:t>
      </w:r>
      <w:r w:rsidRPr="00BC7020">
        <w:tab/>
        <w:t xml:space="preserve">Goetz C, Rotman SR, Hartoularos G, et al. The effect of charge display on cost of care and physician practice behaviors: a systematic review. J Gen Intern Med 2015;30 (6):835–42. </w:t>
      </w:r>
      <w:hyperlink r:id="rId45" w:history="1">
        <w:r w:rsidR="00FE1900">
          <w:rPr>
            <w:rStyle w:val="Hyperlink"/>
          </w:rPr>
          <w:t>at https://www.ncbi.nlm.nih.gov/pmc/articles/PMC4441675/pdf/11606_2015_Article_3226.pdf</w:t>
        </w:r>
      </w:hyperlink>
    </w:p>
    <w:p w14:paraId="72FBCCE5" w14:textId="77777777" w:rsidR="00C9672D" w:rsidRPr="00BC7020" w:rsidRDefault="00C9672D" w:rsidP="00C9672D">
      <w:pPr>
        <w:pStyle w:val="EndNoteBibliography"/>
        <w:ind w:left="567" w:hanging="567"/>
      </w:pPr>
      <w:r w:rsidRPr="00BC7020">
        <w:t>10.</w:t>
      </w:r>
      <w:r w:rsidRPr="00BC7020">
        <w:tab/>
        <w:t xml:space="preserve">Jenkins HJ, Hancock MJ, French SD, et al. Effectiveness of interventions designed to reduce the use of imaging for low-back pain: a systematic review. CMAJ 2015;187 (6):401–8. </w:t>
      </w:r>
      <w:hyperlink r:id="rId46" w:history="1">
        <w:r w:rsidR="00FE1900">
          <w:rPr>
            <w:rStyle w:val="Hyperlink"/>
          </w:rPr>
          <w:t>at https://www.ncbi.nlm.nih.gov/pubmed/25733741</w:t>
        </w:r>
      </w:hyperlink>
    </w:p>
    <w:p w14:paraId="40F05F28" w14:textId="77777777" w:rsidR="00C9672D" w:rsidRPr="00BC7020" w:rsidRDefault="00C9672D" w:rsidP="00C9672D">
      <w:pPr>
        <w:pStyle w:val="EndNoteBibliography"/>
        <w:ind w:left="567" w:hanging="567"/>
      </w:pPr>
      <w:r w:rsidRPr="00BC7020">
        <w:lastRenderedPageBreak/>
        <w:t>11.</w:t>
      </w:r>
      <w:r w:rsidRPr="00BC7020">
        <w:tab/>
        <w:t xml:space="preserve">Kobewka DM, Ronksley PE, McKay JA, et al. Influence of educational, audit and feedback, system based, and incentive and penalty interventions to reduce laboratory test utilization: a systematic review. Clin Chem Lab Med 2015;53 (2):157–83. </w:t>
      </w:r>
      <w:hyperlink r:id="rId47" w:history="1">
        <w:r w:rsidR="00FE1900">
          <w:rPr>
            <w:rStyle w:val="Hyperlink"/>
          </w:rPr>
          <w:t>at https://www.ncbi.nlm.nih.gov/pubmed/25263310</w:t>
        </w:r>
      </w:hyperlink>
    </w:p>
    <w:p w14:paraId="607F6602" w14:textId="77777777" w:rsidR="00C9672D" w:rsidRPr="00BC7020" w:rsidRDefault="00C9672D" w:rsidP="00C9672D">
      <w:pPr>
        <w:pStyle w:val="EndNoteBibliography"/>
        <w:ind w:left="567" w:hanging="567"/>
      </w:pPr>
      <w:r w:rsidRPr="00BC7020">
        <w:t>12.</w:t>
      </w:r>
      <w:r w:rsidRPr="00BC7020">
        <w:tab/>
        <w:t xml:space="preserve">Main C, Moxham T, Wyatt JC, et al. Computerised decision support systems in order communication for diagnostic, screening or monitoring test ordering: systematic reviews of the effects and cost-effectiveness of systems. Health Technol Assess 2010;14 (48):1–227. </w:t>
      </w:r>
    </w:p>
    <w:p w14:paraId="12794AD3" w14:textId="77777777" w:rsidR="00C9672D" w:rsidRPr="00BC7020" w:rsidRDefault="00C9672D" w:rsidP="00C9672D">
      <w:pPr>
        <w:pStyle w:val="EndNoteBibliography"/>
        <w:ind w:left="567" w:hanging="567"/>
      </w:pPr>
      <w:r w:rsidRPr="00BC7020">
        <w:t>13.</w:t>
      </w:r>
      <w:r w:rsidRPr="00BC7020">
        <w:tab/>
        <w:t xml:space="preserve">Roshanov PS, You JJ, Dhaliwal J, et al. Can computerized clinical decision support systems improve practitioners' diagnostic test ordering behavior? A decision-maker-researcher partnership systematic review. Implement Sci 2011;6 88. </w:t>
      </w:r>
      <w:hyperlink r:id="rId48" w:history="1">
        <w:r w:rsidR="00FE1900">
          <w:rPr>
            <w:rStyle w:val="Hyperlink"/>
          </w:rPr>
          <w:t>at https://www.ncbi.nlm.nih.gov/pmc/articles/PMC3174115/pdf/1748-5908-6-88.pdf</w:t>
        </w:r>
      </w:hyperlink>
    </w:p>
    <w:p w14:paraId="523829F0" w14:textId="77777777" w:rsidR="00C9672D" w:rsidRPr="00BC7020" w:rsidRDefault="00C9672D" w:rsidP="00C9672D">
      <w:pPr>
        <w:pStyle w:val="EndNoteBibliography"/>
        <w:ind w:left="567" w:hanging="567"/>
      </w:pPr>
      <w:r w:rsidRPr="00BC7020">
        <w:t>14.</w:t>
      </w:r>
      <w:r w:rsidRPr="00BC7020">
        <w:tab/>
        <w:t xml:space="preserve">Silvestri MT, Bongiovanni TR, Glover JG, et al. Impact of price display on provider ordering: A systematic review. J Hosp Med 2016;11 (1):65–76. </w:t>
      </w:r>
      <w:hyperlink r:id="rId49" w:history="1">
        <w:r w:rsidR="00B13F46">
          <w:rPr>
            <w:rStyle w:val="Hyperlink"/>
          </w:rPr>
          <w:t>at http://onlinelibrary.wiley.com/store/10.1002/jhm.2500/asset/jhm2500.pdf?v=1&amp;t=izszkxch&amp;s=f39be7380993f3977bd2870d587ef310206cce86</w:t>
        </w:r>
      </w:hyperlink>
    </w:p>
    <w:p w14:paraId="4FADB93F" w14:textId="77777777" w:rsidR="00C9672D" w:rsidRPr="00BC7020" w:rsidRDefault="00C9672D" w:rsidP="00C9672D">
      <w:pPr>
        <w:pStyle w:val="EndNoteBibliography"/>
        <w:ind w:left="567" w:hanging="567"/>
      </w:pPr>
      <w:r w:rsidRPr="00BC7020">
        <w:t>15.</w:t>
      </w:r>
      <w:r w:rsidRPr="00BC7020">
        <w:tab/>
        <w:t xml:space="preserve">Thomas RE, Vaska M, Naugler C, et al. Interventions to educate family physicians to change test ordering systematic review of randomized controlled trials. Academic Pathology 2016;3 doi:10.1177/2374289516633476. </w:t>
      </w:r>
      <w:hyperlink r:id="rId50" w:history="1">
        <w:r w:rsidR="00B13F46">
          <w:rPr>
            <w:rStyle w:val="Hyperlink"/>
          </w:rPr>
          <w:t>at http://journals.sagepub.com/doi/full/10.1177/2374289516633476</w:t>
        </w:r>
      </w:hyperlink>
    </w:p>
    <w:p w14:paraId="56A896A7" w14:textId="77777777" w:rsidR="00C9672D" w:rsidRPr="007D2D4C" w:rsidRDefault="00C9672D" w:rsidP="00C9672D">
      <w:pPr>
        <w:pStyle w:val="EndNoteBibliography"/>
        <w:ind w:left="567" w:hanging="567"/>
        <w:rPr>
          <w:lang w:val="fr-CA"/>
        </w:rPr>
      </w:pPr>
      <w:r w:rsidRPr="00BC7020">
        <w:t>16.</w:t>
      </w:r>
      <w:r w:rsidRPr="00BC7020">
        <w:tab/>
        <w:t xml:space="preserve">Tzortziou Brown V, Underwood M, Mohamed N, et al. Professional interventions for general practitioners on the management of musculoskeletal conditions. </w:t>
      </w:r>
      <w:r w:rsidRPr="007D2D4C">
        <w:rPr>
          <w:lang w:val="fr-CA"/>
        </w:rPr>
        <w:t xml:space="preserve">Cochrane Database Syst Rev 2016 (5):CD007495. </w:t>
      </w:r>
      <w:hyperlink r:id="rId51" w:history="1">
        <w:r w:rsidR="00B13F46">
          <w:rPr>
            <w:rStyle w:val="Hyperlink"/>
            <w:lang w:val="fr-CA"/>
          </w:rPr>
          <w:t>at http://onlinelibrary.wiley.com/store/10.1002/14651858.CD007495.pub2/asset/CD007495.pdf?v=1&amp;t=iznopuo3&amp;s=0f1d3dd994ea853775865936d229f0154dd980ba</w:t>
        </w:r>
      </w:hyperlink>
    </w:p>
    <w:p w14:paraId="1CA86CAC" w14:textId="77777777" w:rsidR="00C9672D" w:rsidRPr="00BC7020" w:rsidRDefault="00C9672D" w:rsidP="00C9672D">
      <w:pPr>
        <w:pStyle w:val="EndNoteBibliography"/>
        <w:ind w:left="567" w:hanging="567"/>
      </w:pPr>
      <w:r w:rsidRPr="007D2D4C">
        <w:rPr>
          <w:lang w:val="fr-CA"/>
        </w:rPr>
        <w:t>17.</w:t>
      </w:r>
      <w:r w:rsidRPr="007D2D4C">
        <w:rPr>
          <w:lang w:val="fr-CA"/>
        </w:rPr>
        <w:tab/>
        <w:t xml:space="preserve">Stammen LA, Stalmeijer RE, Paternotte E, et al. </w:t>
      </w:r>
      <w:r w:rsidRPr="00BC7020">
        <w:t xml:space="preserve">Training physicians to provide high-value, cost-conscious care: a systematic review. JAMA 2015;314 (22):2384–400. </w:t>
      </w:r>
      <w:hyperlink r:id="rId52" w:history="1">
        <w:r w:rsidR="00B13F46">
          <w:rPr>
            <w:rStyle w:val="Hyperlink"/>
          </w:rPr>
          <w:t>at http://jama.jamanetwork.com/pdfaccess.ashx?url=/data/journals/jama/934739/joi150149.pdf</w:t>
        </w:r>
      </w:hyperlink>
    </w:p>
    <w:p w14:paraId="045DBA76" w14:textId="77777777" w:rsidR="00C9672D" w:rsidRPr="00BC7020" w:rsidRDefault="00C9672D" w:rsidP="00C9672D">
      <w:pPr>
        <w:pStyle w:val="EndNoteBibliography"/>
        <w:ind w:left="567" w:hanging="567"/>
      </w:pPr>
      <w:r w:rsidRPr="00BC7020">
        <w:t>18.</w:t>
      </w:r>
      <w:r w:rsidRPr="00BC7020">
        <w:tab/>
        <w:t xml:space="preserve">Legare F, Robitaille H, Gane C, et al. Improving decision making about genetic testing in the clinic: An overview of effective knowledge translation interventions. PLoS One 2016;11 (3):e0150123. </w:t>
      </w:r>
      <w:hyperlink r:id="rId53" w:history="1">
        <w:r w:rsidR="00B13F46">
          <w:rPr>
            <w:rStyle w:val="Hyperlink"/>
          </w:rPr>
          <w:t>at https://www.ncbi.nlm.nih.gov/pmc/articles/PMC4777394/pdf/pone.0150123.pdf</w:t>
        </w:r>
      </w:hyperlink>
    </w:p>
    <w:p w14:paraId="1AC6E848" w14:textId="77777777" w:rsidR="00C9672D" w:rsidRPr="00BC7020" w:rsidRDefault="00C9672D" w:rsidP="00C9672D">
      <w:pPr>
        <w:pStyle w:val="EndNoteBibliography"/>
        <w:ind w:left="567" w:hanging="567"/>
      </w:pPr>
      <w:r w:rsidRPr="00BC7020">
        <w:t>19.</w:t>
      </w:r>
      <w:r w:rsidRPr="00BC7020">
        <w:tab/>
        <w:t xml:space="preserve">Thomas RE, Vaska M, Naugler C, et al. Interventions at the laboratory level to reduce laboratory test ordering by family physicians: Systematic review. Clin Biochem 2015;48 (18):1358–65. </w:t>
      </w:r>
      <w:hyperlink r:id="rId54" w:history="1">
        <w:r w:rsidR="00B13F46">
          <w:rPr>
            <w:rStyle w:val="Hyperlink"/>
          </w:rPr>
          <w:t>at https://www.ncbi.nlm.nih.gov/pubmed/26436568</w:t>
        </w:r>
      </w:hyperlink>
    </w:p>
    <w:p w14:paraId="5BC9DA76" w14:textId="77777777" w:rsidR="00C9672D" w:rsidRPr="00BC7020" w:rsidRDefault="00C9672D" w:rsidP="00C9672D">
      <w:pPr>
        <w:pStyle w:val="EndNoteBibliography"/>
        <w:ind w:left="567" w:hanging="567"/>
      </w:pPr>
      <w:r w:rsidRPr="00BC7020">
        <w:t>20.</w:t>
      </w:r>
      <w:r w:rsidRPr="00BC7020">
        <w:tab/>
        <w:t xml:space="preserve">Colla CH, Sequist TD, Rosenthal MB, et al. Use of non-indicated cardiac testing in low-risk patients: Choosing Wisely. BMJ Qual Saf 2015;24 (2):149–53. </w:t>
      </w:r>
    </w:p>
    <w:p w14:paraId="69CEC592" w14:textId="77777777" w:rsidR="00C9672D" w:rsidRPr="00BC7020" w:rsidRDefault="00C9672D" w:rsidP="00C9672D">
      <w:pPr>
        <w:pStyle w:val="EndNoteBibliography"/>
        <w:ind w:left="567" w:hanging="567"/>
      </w:pPr>
      <w:r w:rsidRPr="00BC7020">
        <w:t>21.</w:t>
      </w:r>
      <w:r w:rsidRPr="00BC7020">
        <w:tab/>
        <w:t xml:space="preserve">Whiting-O'Keefe QE, Henke C, Simborg DW. Choosing the correct unit of analysis in Medical Care experiments. Med Care 1984;22 (12):1101–14. </w:t>
      </w:r>
    </w:p>
    <w:p w14:paraId="3C7E50AD" w14:textId="77777777" w:rsidR="00C9672D" w:rsidRPr="00BC7020" w:rsidRDefault="00C9672D" w:rsidP="00C9672D">
      <w:pPr>
        <w:pStyle w:val="EndNoteBibliography"/>
        <w:ind w:left="567" w:hanging="567"/>
      </w:pPr>
      <w:r w:rsidRPr="00BC7020">
        <w:t>22.</w:t>
      </w:r>
      <w:r w:rsidRPr="00BC7020">
        <w:tab/>
        <w:t xml:space="preserve">Effective Practice and Organisation of Care (EPOC). EPOC Taxonomy; 2015.  </w:t>
      </w:r>
      <w:hyperlink r:id="rId55" w:history="1">
        <w:r w:rsidR="00FE1900">
          <w:rPr>
            <w:rStyle w:val="Hyperlink"/>
          </w:rPr>
          <w:t>at http://epoc.cochrane.org/sites/epoc.cochrane.org/files/public/uploads/2015%20EPOC%20Taxonomy%20FINAL.pdf</w:t>
        </w:r>
      </w:hyperlink>
      <w:r w:rsidRPr="00BC7020">
        <w:t xml:space="preserve"> (accessed 23 March 2017).</w:t>
      </w:r>
    </w:p>
    <w:p w14:paraId="54E9C022" w14:textId="77777777" w:rsidR="00C9672D" w:rsidRPr="00BC7020" w:rsidRDefault="00C9672D" w:rsidP="00C9672D">
      <w:pPr>
        <w:pStyle w:val="EndNoteBibliography"/>
        <w:ind w:left="567" w:hanging="567"/>
      </w:pPr>
      <w:r w:rsidRPr="00BC7020">
        <w:lastRenderedPageBreak/>
        <w:t>23.</w:t>
      </w:r>
      <w:r w:rsidRPr="00BC7020">
        <w:tab/>
        <w:t xml:space="preserve">Rauh SS, Wadsworth EB, Weeks WB, et al. The savings illusion – why clinical quality improvement fails to deliver bottom-line results. N Engl J Med 2011;365 (26):e48. </w:t>
      </w:r>
      <w:hyperlink r:id="rId56" w:history="1">
        <w:r w:rsidR="00FE1900">
          <w:rPr>
            <w:rStyle w:val="Hyperlink"/>
          </w:rPr>
          <w:t>at http://www.nejm.org/doi/pdf/10.1056/NEJMp1111662</w:t>
        </w:r>
      </w:hyperlink>
    </w:p>
    <w:p w14:paraId="267CB68A" w14:textId="77777777" w:rsidR="007D581F" w:rsidRPr="00DF58C6" w:rsidRDefault="00C9672D" w:rsidP="00E9674B">
      <w:pPr>
        <w:pStyle w:val="BodyText1"/>
        <w:ind w:left="567" w:hanging="567"/>
      </w:pPr>
      <w:r>
        <w:fldChar w:fldCharType="end"/>
      </w:r>
    </w:p>
    <w:sectPr w:rsidR="007D581F" w:rsidRPr="00DF58C6" w:rsidSect="00B653E4">
      <w:endnotePr>
        <w:numFmt w:val="decimal"/>
      </w:endnotePr>
      <w:pgSz w:w="11906" w:h="16838" w:code="9"/>
      <w:pgMar w:top="1440" w:right="1797" w:bottom="1440" w:left="1797" w:header="567"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97BE0" w14:textId="77777777" w:rsidR="00FC654A" w:rsidRDefault="00FC654A" w:rsidP="000D1CF6">
      <w:r>
        <w:separator/>
      </w:r>
    </w:p>
    <w:p w14:paraId="6591FA25" w14:textId="77777777" w:rsidR="00FC654A" w:rsidRDefault="00FC654A" w:rsidP="000D1CF6"/>
    <w:p w14:paraId="2C363901" w14:textId="77777777" w:rsidR="00FC654A" w:rsidRDefault="00FC654A"/>
  </w:endnote>
  <w:endnote w:type="continuationSeparator" w:id="0">
    <w:p w14:paraId="22419FE4" w14:textId="77777777" w:rsidR="00FC654A" w:rsidRDefault="00FC654A" w:rsidP="000D1CF6">
      <w:r>
        <w:continuationSeparator/>
      </w:r>
    </w:p>
    <w:p w14:paraId="4A9FC4AB" w14:textId="77777777" w:rsidR="00FC654A" w:rsidRDefault="00FC654A" w:rsidP="000D1CF6"/>
    <w:p w14:paraId="6E48C1F7" w14:textId="77777777" w:rsidR="00FC654A" w:rsidRDefault="00FC654A"/>
  </w:endnote>
  <w:endnote w:type="continuationNotice" w:id="1">
    <w:p w14:paraId="314E31E8" w14:textId="77777777" w:rsidR="00FC654A" w:rsidRDefault="00FC65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9AEEFEC-830B-43BF-8EBE-286CBEA98777}"/>
    <w:embedBold r:id="rId2" w:fontKey="{8E06CC6F-3E07-4A7F-B140-F5471E9333A3}"/>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3" w:fontKey="{EF979937-BCFF-4362-B88B-1BB781C12D46}"/>
    <w:embedBold r:id="rId4" w:fontKey="{90F84115-383D-4450-842C-B6B830CD3E4E}"/>
    <w:embedItalic r:id="rId5" w:fontKey="{AD53AD44-C096-4DC0-A033-C88FD3BDBFFD}"/>
    <w:embedBoldItalic r:id="rId6" w:fontKey="{B654CCF6-D6B4-40F1-8996-24A47BD3BAD9}"/>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embedBold r:id="rId7" w:subsetted="1" w:fontKey="{A11AB506-4194-4823-9CE3-8B6FAD5488DD}"/>
  </w:font>
  <w:font w:name="SimSun">
    <w:altName w:val="宋体"/>
    <w:panose1 w:val="02010600030101010101"/>
    <w:charset w:val="86"/>
    <w:family w:val="auto"/>
    <w:pitch w:val="variable"/>
    <w:sig w:usb0="00000003" w:usb1="288F0000" w:usb2="00000016" w:usb3="00000000" w:csb0="0004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Che">
    <w:charset w:val="81"/>
    <w:family w:val="modern"/>
    <w:pitch w:val="fixed"/>
    <w:sig w:usb0="B00002AF" w:usb1="69D77CFB" w:usb2="00000030" w:usb3="00000000" w:csb0="000800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TimesNewRomanPSMT">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NewBaskervilleITCbyBT-Roman">
    <w:altName w:val="MS Mincho"/>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22AF6" w14:textId="6D6DFD9E" w:rsidR="00FC654A" w:rsidRPr="00602688" w:rsidRDefault="00FC654A" w:rsidP="00684AA4">
    <w:pPr>
      <w:pStyle w:val="Footer"/>
    </w:pPr>
    <w:r>
      <w:t>R</w:t>
    </w:r>
    <w:r w:rsidRPr="00655CD2">
      <w:t xml:space="preserve">eport from the </w:t>
    </w:r>
    <w:r>
      <w:t>Diagnostic Medicine</w:t>
    </w:r>
    <w:r w:rsidRPr="00655CD2">
      <w:t xml:space="preserve"> Clinical </w:t>
    </w:r>
    <w:r w:rsidRPr="00684AA4">
      <w:t>Committee</w:t>
    </w:r>
    <w:r>
      <w:t>,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041F25">
      <w:rPr>
        <w:noProof/>
      </w:rPr>
      <w:t>21</w:t>
    </w:r>
    <w:r w:rsidRPr="00602688">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956A7" w14:textId="506050E9" w:rsidR="00FC654A" w:rsidRDefault="00FC654A" w:rsidP="00C9672D">
    <w:pPr>
      <w:pStyle w:val="Footer"/>
      <w:framePr w:wrap="around" w:vAnchor="text" w:hAnchor="page" w:x="10801" w:y="29"/>
      <w:rPr>
        <w:rStyle w:val="PageNumber"/>
      </w:rPr>
    </w:pPr>
    <w:r>
      <w:rPr>
        <w:rStyle w:val="PageNumber"/>
      </w:rPr>
      <w:fldChar w:fldCharType="begin"/>
    </w:r>
    <w:r>
      <w:rPr>
        <w:rStyle w:val="PageNumber"/>
      </w:rPr>
      <w:instrText xml:space="preserve">PAGE  </w:instrText>
    </w:r>
    <w:r>
      <w:rPr>
        <w:rStyle w:val="PageNumber"/>
      </w:rPr>
      <w:fldChar w:fldCharType="separate"/>
    </w:r>
    <w:r w:rsidR="00041F25">
      <w:rPr>
        <w:rStyle w:val="PageNumber"/>
        <w:noProof/>
      </w:rPr>
      <w:t>35</w:t>
    </w:r>
    <w:r>
      <w:rPr>
        <w:rStyle w:val="PageNumber"/>
      </w:rPr>
      <w:fldChar w:fldCharType="end"/>
    </w:r>
    <w:r>
      <w:rPr>
        <w:rStyle w:val="PageNumber"/>
      </w:rPr>
      <w:t xml:space="preserve"> </w:t>
    </w:r>
  </w:p>
  <w:p w14:paraId="127E3EBB" w14:textId="77777777" w:rsidR="00FC654A" w:rsidRPr="00CC0461" w:rsidRDefault="00FC654A" w:rsidP="00C9672D">
    <w:pPr>
      <w:pStyle w:val="Footer"/>
      <w:tabs>
        <w:tab w:val="left" w:pos="1829"/>
      </w:tabs>
      <w:ind w:right="13"/>
      <w:rPr>
        <w:sz w:val="20"/>
      </w:rPr>
    </w:pPr>
    <w:r>
      <w:rPr>
        <w:sz w:val="20"/>
      </w:rPr>
      <w:t>RESULTS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457ED" w14:textId="397F9B65" w:rsidR="00FC654A" w:rsidRDefault="00FC654A" w:rsidP="00C9672D">
    <w:pPr>
      <w:pStyle w:val="Footer"/>
      <w:framePr w:wrap="around" w:vAnchor="text" w:hAnchor="page" w:x="10801" w:y="29"/>
      <w:rPr>
        <w:rStyle w:val="PageNumber"/>
      </w:rPr>
    </w:pPr>
    <w:r>
      <w:rPr>
        <w:rStyle w:val="PageNumber"/>
      </w:rPr>
      <w:fldChar w:fldCharType="begin"/>
    </w:r>
    <w:r>
      <w:rPr>
        <w:rStyle w:val="PageNumber"/>
      </w:rPr>
      <w:instrText xml:space="preserve">PAGE  </w:instrText>
    </w:r>
    <w:r>
      <w:rPr>
        <w:rStyle w:val="PageNumber"/>
      </w:rPr>
      <w:fldChar w:fldCharType="separate"/>
    </w:r>
    <w:r w:rsidR="00041F25">
      <w:rPr>
        <w:rStyle w:val="PageNumber"/>
        <w:noProof/>
      </w:rPr>
      <w:t>38</w:t>
    </w:r>
    <w:r>
      <w:rPr>
        <w:rStyle w:val="PageNumber"/>
      </w:rPr>
      <w:fldChar w:fldCharType="end"/>
    </w:r>
    <w:r>
      <w:rPr>
        <w:rStyle w:val="PageNumber"/>
      </w:rPr>
      <w:t xml:space="preserve"> </w:t>
    </w:r>
  </w:p>
  <w:p w14:paraId="01CE1B55" w14:textId="77777777" w:rsidR="00FC654A" w:rsidRPr="00CC0461" w:rsidRDefault="00FC654A" w:rsidP="00C9672D">
    <w:pPr>
      <w:pStyle w:val="Footer"/>
      <w:tabs>
        <w:tab w:val="left" w:pos="1829"/>
      </w:tabs>
      <w:ind w:right="13"/>
      <w:rPr>
        <w:sz w:val="20"/>
      </w:rPr>
    </w:pPr>
    <w:r>
      <w:rPr>
        <w:sz w:val="20"/>
      </w:rPr>
      <w:t>DISCUSSION</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BCCDE" w14:textId="17A821A4" w:rsidR="00FC654A" w:rsidRDefault="00FC654A" w:rsidP="00C9672D">
    <w:pPr>
      <w:pStyle w:val="Footer"/>
      <w:framePr w:wrap="around" w:vAnchor="text" w:hAnchor="page" w:x="15541" w:y="-19"/>
      <w:rPr>
        <w:rStyle w:val="PageNumber"/>
      </w:rPr>
    </w:pPr>
    <w:r>
      <w:rPr>
        <w:rStyle w:val="PageNumber"/>
      </w:rPr>
      <w:fldChar w:fldCharType="begin"/>
    </w:r>
    <w:r>
      <w:rPr>
        <w:rStyle w:val="PageNumber"/>
      </w:rPr>
      <w:instrText xml:space="preserve">PAGE  </w:instrText>
    </w:r>
    <w:r>
      <w:rPr>
        <w:rStyle w:val="PageNumber"/>
      </w:rPr>
      <w:fldChar w:fldCharType="separate"/>
    </w:r>
    <w:r w:rsidR="00041F25">
      <w:rPr>
        <w:rStyle w:val="PageNumber"/>
        <w:noProof/>
      </w:rPr>
      <w:t>108</w:t>
    </w:r>
    <w:r>
      <w:rPr>
        <w:rStyle w:val="PageNumber"/>
      </w:rPr>
      <w:fldChar w:fldCharType="end"/>
    </w:r>
    <w:r>
      <w:rPr>
        <w:rStyle w:val="PageNumber"/>
      </w:rPr>
      <w:t xml:space="preserve"> </w:t>
    </w:r>
  </w:p>
  <w:p w14:paraId="7DDF5023" w14:textId="77777777" w:rsidR="00FC654A" w:rsidRPr="00CC0461" w:rsidRDefault="00FC654A" w:rsidP="00C9672D">
    <w:pPr>
      <w:pStyle w:val="Footer"/>
      <w:tabs>
        <w:tab w:val="left" w:pos="1829"/>
      </w:tabs>
      <w:ind w:right="13"/>
      <w:rPr>
        <w:sz w:val="20"/>
      </w:rPr>
    </w:pPr>
    <w:r>
      <w:rPr>
        <w:sz w:val="20"/>
      </w:rPr>
      <w:t>FIGURES AND TABLES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2424D" w14:textId="77777777" w:rsidR="00FC654A" w:rsidRDefault="00FC654A" w:rsidP="00C967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758C0" w14:textId="77777777" w:rsidR="00FC654A" w:rsidRDefault="00FC654A" w:rsidP="00C967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43D29" w14:textId="77777777" w:rsidR="00FC654A" w:rsidRDefault="00FC654A" w:rsidP="00C967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r>
      <w:rPr>
        <w:rStyle w:val="PageNumber"/>
      </w:rPr>
      <w:t xml:space="preserve"> </w:t>
    </w:r>
  </w:p>
  <w:p w14:paraId="03FB354D" w14:textId="77777777" w:rsidR="00FC654A" w:rsidRDefault="00FC654A" w:rsidP="00C9672D">
    <w:pPr>
      <w:pStyle w:val="FooterLHS"/>
      <w:ind w:right="1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969B2" w14:textId="77777777" w:rsidR="00FC654A" w:rsidRDefault="00FC654A" w:rsidP="004E2C16">
    <w:pPr>
      <w:pStyle w:val="Footer"/>
      <w:ind w:right="13"/>
    </w:pPr>
    <w:r>
      <w:t>A Review for the Medicare Review Taskforce: Interventions to improve the appropriateness and clinical utility of diagnostic investigations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itlepagefooter"/>
      <w:tblW w:w="7938" w:type="dxa"/>
      <w:tblInd w:w="1242" w:type="dxa"/>
      <w:tblLook w:val="04A0" w:firstRow="1" w:lastRow="0" w:firstColumn="1" w:lastColumn="0" w:noHBand="0" w:noVBand="1"/>
      <w:tblCaption w:val="Footer to the report Interventions to improve the appropriateness and clinical utility of diagnostic investigations conducted by NPSMedicineWise"/>
      <w:tblDescription w:val="The footer contains the logo of NPSMedicineWise Professional, with the contact details of the organisation and the statement &quot;Independent, not-for-profit and evidence-based, NPS enables better decisions about medicines and medical tests. We are funded by the Australian Government Department of Health and Ageing.&quot;"/>
    </w:tblPr>
    <w:tblGrid>
      <w:gridCol w:w="2257"/>
      <w:gridCol w:w="2138"/>
      <w:gridCol w:w="3543"/>
    </w:tblGrid>
    <w:tr w:rsidR="00FC654A" w14:paraId="1DC95260" w14:textId="77777777" w:rsidTr="008D10A5">
      <w:trPr>
        <w:trHeight w:val="901"/>
        <w:tblHeader/>
      </w:trPr>
      <w:tc>
        <w:tcPr>
          <w:tcW w:w="4395" w:type="dxa"/>
          <w:gridSpan w:val="2"/>
          <w:tcBorders>
            <w:top w:val="single" w:sz="4" w:space="0" w:color="B66113"/>
          </w:tcBorders>
        </w:tcPr>
        <w:p w14:paraId="42E032B0" w14:textId="77777777" w:rsidR="00FC654A" w:rsidRPr="006A762A" w:rsidRDefault="00FC654A" w:rsidP="00AB3AC3">
          <w:pPr>
            <w:numPr>
              <w:ilvl w:val="0"/>
              <w:numId w:val="47"/>
            </w:numPr>
            <w:spacing w:before="0" w:after="0" w:line="240" w:lineRule="auto"/>
            <w:jc w:val="both"/>
            <w:rPr>
              <w:sz w:val="18"/>
            </w:rPr>
          </w:pPr>
          <w:r w:rsidRPr="006A762A">
            <w:rPr>
              <w:sz w:val="18"/>
            </w:rPr>
            <w:t>Independent, not-for-profit and evidence based, NPS enables better decisions about medicines and medical tests. We are funded by the Australian Government Department of Health and Ageing.</w:t>
          </w:r>
        </w:p>
      </w:tc>
      <w:tc>
        <w:tcPr>
          <w:tcW w:w="3543" w:type="dxa"/>
          <w:vMerge w:val="restart"/>
          <w:tcBorders>
            <w:top w:val="single" w:sz="4" w:space="0" w:color="B66113"/>
          </w:tcBorders>
        </w:tcPr>
        <w:p w14:paraId="2E055637" w14:textId="77777777" w:rsidR="00FC654A" w:rsidRPr="002E6A54" w:rsidRDefault="00FC654A" w:rsidP="00AB3AC3">
          <w:pPr>
            <w:numPr>
              <w:ilvl w:val="0"/>
              <w:numId w:val="47"/>
            </w:numPr>
            <w:spacing w:before="0" w:after="0" w:line="240" w:lineRule="auto"/>
            <w:jc w:val="right"/>
            <w:rPr>
              <w:color w:val="4B306A"/>
              <w:sz w:val="18"/>
            </w:rPr>
          </w:pPr>
          <w:r w:rsidRPr="0077509D">
            <w:rPr>
              <w:noProof/>
            </w:rPr>
            <w:drawing>
              <wp:inline distT="0" distB="0" distL="0" distR="0" wp14:anchorId="7BEC1152" wp14:editId="2A617725">
                <wp:extent cx="1877785" cy="381000"/>
                <wp:effectExtent l="0" t="0" r="8255" b="0"/>
                <wp:docPr id="9" name="Picture 7" descr="NPS logo &#10;" title="NPSMedicineWise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 logo pt1.eps"/>
                        <pic:cNvPicPr/>
                      </pic:nvPicPr>
                      <pic:blipFill>
                        <a:blip r:embed="rId1"/>
                        <a:stretch>
                          <a:fillRect/>
                        </a:stretch>
                      </pic:blipFill>
                      <pic:spPr>
                        <a:xfrm>
                          <a:off x="0" y="0"/>
                          <a:ext cx="1877785" cy="381000"/>
                        </a:xfrm>
                        <a:prstGeom prst="rect">
                          <a:avLst/>
                        </a:prstGeom>
                      </pic:spPr>
                    </pic:pic>
                  </a:graphicData>
                </a:graphic>
              </wp:inline>
            </w:drawing>
          </w:r>
          <w:r w:rsidRPr="0077509D">
            <w:rPr>
              <w:noProof/>
            </w:rPr>
            <w:drawing>
              <wp:inline distT="0" distB="0" distL="0" distR="0" wp14:anchorId="78247FC2" wp14:editId="2B4633F5">
                <wp:extent cx="1895475" cy="134300"/>
                <wp:effectExtent l="0" t="0" r="0" b="0"/>
                <wp:docPr id="13" name="Picture 13" descr="Continuation of NPS logo " title="'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S logo pt2.eps"/>
                        <pic:cNvPicPr/>
                      </pic:nvPicPr>
                      <pic:blipFill>
                        <a:blip r:embed="rId2"/>
                        <a:stretch>
                          <a:fillRect/>
                        </a:stretch>
                      </pic:blipFill>
                      <pic:spPr>
                        <a:xfrm>
                          <a:off x="0" y="0"/>
                          <a:ext cx="1895475" cy="134300"/>
                        </a:xfrm>
                        <a:prstGeom prst="rect">
                          <a:avLst/>
                        </a:prstGeom>
                      </pic:spPr>
                    </pic:pic>
                  </a:graphicData>
                </a:graphic>
              </wp:inline>
            </w:drawing>
          </w:r>
        </w:p>
      </w:tc>
    </w:tr>
    <w:tr w:rsidR="00FC654A" w14:paraId="15942A2C" w14:textId="77777777" w:rsidTr="008D10A5">
      <w:trPr>
        <w:trHeight w:val="768"/>
        <w:tblHeader/>
      </w:trPr>
      <w:tc>
        <w:tcPr>
          <w:tcW w:w="2257" w:type="dxa"/>
        </w:tcPr>
        <w:p w14:paraId="4F69F0E9" w14:textId="77777777" w:rsidR="00FC654A" w:rsidRDefault="00FC654A" w:rsidP="00AB3AC3">
          <w:pPr>
            <w:numPr>
              <w:ilvl w:val="0"/>
              <w:numId w:val="47"/>
            </w:numPr>
            <w:spacing w:before="0" w:after="0" w:line="240" w:lineRule="auto"/>
          </w:pPr>
          <w:r w:rsidRPr="002E6A54">
            <w:rPr>
              <w:sz w:val="16"/>
            </w:rPr>
            <w:t>Level 7/418A Elizabeth St</w:t>
          </w:r>
          <w:r w:rsidRPr="002E6A54">
            <w:rPr>
              <w:sz w:val="16"/>
            </w:rPr>
            <w:br/>
            <w:t>Surry Hills NSW 2010</w:t>
          </w:r>
          <w:r w:rsidRPr="002E6A54">
            <w:rPr>
              <w:sz w:val="16"/>
            </w:rPr>
            <w:br/>
            <w:t>PO box 1147</w:t>
          </w:r>
          <w:r w:rsidRPr="002E6A54">
            <w:rPr>
              <w:sz w:val="16"/>
            </w:rPr>
            <w:br/>
            <w:t>Strawberry Hills NSW 2012</w:t>
          </w:r>
        </w:p>
      </w:tc>
      <w:tc>
        <w:tcPr>
          <w:tcW w:w="2138" w:type="dxa"/>
        </w:tcPr>
        <w:p w14:paraId="2E4BF1CA" w14:textId="77777777" w:rsidR="00FC654A" w:rsidRDefault="00FC654A" w:rsidP="00AB3AC3">
          <w:pPr>
            <w:numPr>
              <w:ilvl w:val="0"/>
              <w:numId w:val="47"/>
            </w:numPr>
            <w:spacing w:before="0" w:after="0" w:line="240" w:lineRule="auto"/>
          </w:pPr>
          <w:r w:rsidRPr="002E6A54">
            <w:rPr>
              <w:b/>
              <w:sz w:val="16"/>
            </w:rPr>
            <w:t>P.</w:t>
          </w:r>
          <w:r w:rsidRPr="002E6A54">
            <w:rPr>
              <w:sz w:val="16"/>
            </w:rPr>
            <w:t xml:space="preserve"> 02 8217 8700</w:t>
          </w:r>
          <w:r w:rsidRPr="002E6A54">
            <w:rPr>
              <w:sz w:val="16"/>
            </w:rPr>
            <w:br/>
          </w:r>
          <w:r w:rsidRPr="002E6A54">
            <w:rPr>
              <w:b/>
              <w:sz w:val="16"/>
            </w:rPr>
            <w:t>F.</w:t>
          </w:r>
          <w:r w:rsidRPr="002E6A54">
            <w:rPr>
              <w:sz w:val="16"/>
            </w:rPr>
            <w:t xml:space="preserve"> 02 9211 7578</w:t>
          </w:r>
          <w:r w:rsidRPr="002E6A54">
            <w:rPr>
              <w:sz w:val="16"/>
            </w:rPr>
            <w:br/>
            <w:t>info@nps.org.au</w:t>
          </w:r>
          <w:r w:rsidRPr="002E6A54">
            <w:rPr>
              <w:sz w:val="16"/>
            </w:rPr>
            <w:br/>
          </w:r>
          <w:r w:rsidRPr="002E6A54">
            <w:rPr>
              <w:b/>
              <w:sz w:val="16"/>
            </w:rPr>
            <w:t>www.nps.org.au</w:t>
          </w:r>
          <w:r w:rsidRPr="002E6A54">
            <w:rPr>
              <w:sz w:val="16"/>
            </w:rPr>
            <w:t xml:space="preserve"> </w:t>
          </w:r>
        </w:p>
      </w:tc>
      <w:tc>
        <w:tcPr>
          <w:tcW w:w="3543" w:type="dxa"/>
          <w:vMerge/>
        </w:tcPr>
        <w:p w14:paraId="32878F60" w14:textId="77777777" w:rsidR="00FC654A" w:rsidRPr="002E6A54" w:rsidRDefault="00FC654A" w:rsidP="00AB3AC3">
          <w:pPr>
            <w:numPr>
              <w:ilvl w:val="0"/>
              <w:numId w:val="47"/>
            </w:numPr>
            <w:spacing w:before="0" w:after="0" w:line="240" w:lineRule="auto"/>
            <w:rPr>
              <w:b/>
              <w:sz w:val="16"/>
            </w:rPr>
          </w:pPr>
        </w:p>
      </w:tc>
    </w:tr>
    <w:tr w:rsidR="00FC654A" w14:paraId="7B1EF33E" w14:textId="77777777" w:rsidTr="00C9672D">
      <w:trPr>
        <w:trHeight w:val="123"/>
      </w:trPr>
      <w:tc>
        <w:tcPr>
          <w:tcW w:w="4395" w:type="dxa"/>
          <w:gridSpan w:val="2"/>
        </w:tcPr>
        <w:p w14:paraId="70229AB8" w14:textId="77DF07F2" w:rsidR="00FC654A" w:rsidRPr="00C71AAD" w:rsidRDefault="00FC654A" w:rsidP="00AB3AC3">
          <w:pPr>
            <w:numPr>
              <w:ilvl w:val="0"/>
              <w:numId w:val="47"/>
            </w:numPr>
            <w:spacing w:before="0" w:after="0" w:line="240" w:lineRule="auto"/>
            <w:rPr>
              <w:b/>
              <w:sz w:val="20"/>
              <w:szCs w:val="20"/>
            </w:rPr>
          </w:pPr>
          <w:r w:rsidRPr="00C71AAD">
            <w:rPr>
              <w:rFonts w:cs="Arial"/>
              <w:sz w:val="20"/>
              <w:szCs w:val="20"/>
            </w:rPr>
            <w:t>©</w:t>
          </w:r>
          <w:r w:rsidRPr="00C71AAD">
            <w:rPr>
              <w:rFonts w:cs="Arial"/>
              <w:sz w:val="20"/>
              <w:szCs w:val="20"/>
            </w:rPr>
            <w:fldChar w:fldCharType="begin"/>
          </w:r>
          <w:r w:rsidRPr="00C71AAD">
            <w:rPr>
              <w:rFonts w:cs="Arial"/>
              <w:sz w:val="20"/>
              <w:szCs w:val="20"/>
            </w:rPr>
            <w:instrText xml:space="preserve"> DATE  \@ "yyyy"  \* MERGEFORMAT </w:instrText>
          </w:r>
          <w:r w:rsidRPr="00C71AAD">
            <w:rPr>
              <w:rFonts w:cs="Arial"/>
              <w:sz w:val="20"/>
              <w:szCs w:val="20"/>
            </w:rPr>
            <w:fldChar w:fldCharType="separate"/>
          </w:r>
          <w:r w:rsidR="00041F25">
            <w:rPr>
              <w:rFonts w:cs="Arial"/>
              <w:noProof/>
              <w:sz w:val="20"/>
              <w:szCs w:val="20"/>
            </w:rPr>
            <w:t>2020</w:t>
          </w:r>
          <w:r w:rsidRPr="00C71AAD">
            <w:rPr>
              <w:rFonts w:cs="Arial"/>
              <w:sz w:val="20"/>
              <w:szCs w:val="20"/>
            </w:rPr>
            <w:fldChar w:fldCharType="end"/>
          </w:r>
          <w:r w:rsidRPr="00C71AAD">
            <w:rPr>
              <w:rFonts w:cs="Arial"/>
              <w:sz w:val="20"/>
              <w:szCs w:val="20"/>
            </w:rPr>
            <w:t xml:space="preserve"> National Prescribing Service Limited. </w:t>
          </w:r>
          <w:r w:rsidRPr="00C71AAD">
            <w:rPr>
              <w:rFonts w:cs="Arial"/>
              <w:sz w:val="20"/>
              <w:szCs w:val="20"/>
            </w:rPr>
            <w:br/>
            <w:t>ABN 61 082 034 393</w:t>
          </w:r>
        </w:p>
      </w:tc>
      <w:tc>
        <w:tcPr>
          <w:tcW w:w="3543" w:type="dxa"/>
          <w:vAlign w:val="bottom"/>
        </w:tcPr>
        <w:p w14:paraId="7A9682A5" w14:textId="77777777" w:rsidR="00FC654A" w:rsidRPr="00C71AAD" w:rsidRDefault="00FC654A" w:rsidP="00AB3AC3">
          <w:pPr>
            <w:numPr>
              <w:ilvl w:val="0"/>
              <w:numId w:val="47"/>
            </w:numPr>
            <w:spacing w:before="0" w:after="0" w:line="240" w:lineRule="auto"/>
            <w:jc w:val="right"/>
            <w:rPr>
              <w:rFonts w:cs="Arial"/>
              <w:sz w:val="20"/>
              <w:szCs w:val="20"/>
            </w:rPr>
          </w:pPr>
          <w:r w:rsidRPr="00C71AAD">
            <w:rPr>
              <w:rFonts w:cs="Arial"/>
              <w:sz w:val="20"/>
              <w:szCs w:val="20"/>
            </w:rPr>
            <w:t>Stock code (if required)</w:t>
          </w:r>
        </w:p>
      </w:tc>
    </w:tr>
  </w:tbl>
  <w:p w14:paraId="6D6682BD" w14:textId="77777777" w:rsidR="00FC654A" w:rsidRPr="00900930" w:rsidRDefault="00FC654A" w:rsidP="00C9672D"/>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15ECB" w14:textId="77777777" w:rsidR="00FC654A" w:rsidRDefault="00FC654A" w:rsidP="00C967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r>
      <w:rPr>
        <w:rStyle w:val="PageNumber"/>
      </w:rPr>
      <w:t xml:space="preserve"> </w:t>
    </w:r>
  </w:p>
  <w:p w14:paraId="408E721B" w14:textId="77777777" w:rsidR="00FC654A" w:rsidRDefault="00FC654A" w:rsidP="00C9672D">
    <w:pPr>
      <w:pStyle w:val="FooterLHS"/>
    </w:pPr>
    <w:r>
      <w:rPr>
        <w:noProof/>
      </w:rPr>
      <w:fldChar w:fldCharType="begin"/>
    </w:r>
    <w:r>
      <w:rPr>
        <w:noProof/>
      </w:rPr>
      <w:instrText xml:space="preserve"> STYLEREF  "Heading 1"  \* MERGEFORMAT </w:instrText>
    </w:r>
    <w:r>
      <w:rPr>
        <w:noProof/>
      </w:rPr>
      <w:fldChar w:fldCharType="separate"/>
    </w:r>
    <w:r>
      <w:rPr>
        <w:noProof/>
      </w:rPr>
      <w:t>Bibliography</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CC022" w14:textId="466155B4" w:rsidR="00FC654A" w:rsidRDefault="00FC654A" w:rsidP="00C9672D">
    <w:pPr>
      <w:pStyle w:val="Footer"/>
      <w:framePr w:wrap="around" w:vAnchor="text" w:hAnchor="page" w:x="11101" w:y="9"/>
      <w:rPr>
        <w:rStyle w:val="PageNumber"/>
      </w:rPr>
    </w:pPr>
    <w:r>
      <w:rPr>
        <w:rStyle w:val="PageNumber"/>
      </w:rPr>
      <w:fldChar w:fldCharType="begin"/>
    </w:r>
    <w:r>
      <w:rPr>
        <w:rStyle w:val="PageNumber"/>
      </w:rPr>
      <w:instrText xml:space="preserve">PAGE  </w:instrText>
    </w:r>
    <w:r>
      <w:rPr>
        <w:rStyle w:val="PageNumber"/>
      </w:rPr>
      <w:fldChar w:fldCharType="separate"/>
    </w:r>
    <w:r w:rsidR="00041F25">
      <w:rPr>
        <w:rStyle w:val="PageNumber"/>
        <w:noProof/>
      </w:rPr>
      <w:t>15</w:t>
    </w:r>
    <w:r>
      <w:rPr>
        <w:rStyle w:val="PageNumber"/>
      </w:rPr>
      <w:fldChar w:fldCharType="end"/>
    </w:r>
    <w:r>
      <w:rPr>
        <w:rStyle w:val="PageNumber"/>
      </w:rPr>
      <w:t xml:space="preserve"> </w:t>
    </w:r>
  </w:p>
  <w:p w14:paraId="3093C72C" w14:textId="77777777" w:rsidR="00FC654A" w:rsidRPr="00CC0461" w:rsidRDefault="00FC654A" w:rsidP="00C9672D">
    <w:pPr>
      <w:pStyle w:val="Footer"/>
      <w:tabs>
        <w:tab w:val="left" w:pos="1829"/>
      </w:tabs>
      <w:ind w:right="13"/>
      <w:rPr>
        <w:sz w:val="20"/>
      </w:rPr>
    </w:pPr>
    <w:r>
      <w:rPr>
        <w:sz w:val="20"/>
      </w:rPr>
      <w:t>INTRODUCTION</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60F05" w14:textId="2A01E45D" w:rsidR="00FC654A" w:rsidRDefault="00FC654A" w:rsidP="00C9672D">
    <w:pPr>
      <w:pStyle w:val="Footer"/>
      <w:framePr w:wrap="around" w:vAnchor="text" w:hAnchor="page" w:x="10801" w:y="29"/>
      <w:rPr>
        <w:rStyle w:val="PageNumber"/>
      </w:rPr>
    </w:pPr>
    <w:r>
      <w:rPr>
        <w:rStyle w:val="PageNumber"/>
      </w:rPr>
      <w:fldChar w:fldCharType="begin"/>
    </w:r>
    <w:r>
      <w:rPr>
        <w:rStyle w:val="PageNumber"/>
      </w:rPr>
      <w:instrText xml:space="preserve">PAGE  </w:instrText>
    </w:r>
    <w:r>
      <w:rPr>
        <w:rStyle w:val="PageNumber"/>
      </w:rPr>
      <w:fldChar w:fldCharType="separate"/>
    </w:r>
    <w:r w:rsidR="00041F25">
      <w:rPr>
        <w:rStyle w:val="PageNumber"/>
        <w:noProof/>
      </w:rPr>
      <w:t>16</w:t>
    </w:r>
    <w:r>
      <w:rPr>
        <w:rStyle w:val="PageNumber"/>
      </w:rPr>
      <w:fldChar w:fldCharType="end"/>
    </w:r>
    <w:r>
      <w:rPr>
        <w:rStyle w:val="PageNumber"/>
      </w:rPr>
      <w:t xml:space="preserve"> </w:t>
    </w:r>
  </w:p>
  <w:p w14:paraId="0B1B1640" w14:textId="77777777" w:rsidR="00FC654A" w:rsidRPr="00CC0461" w:rsidRDefault="00FC654A" w:rsidP="00C9672D">
    <w:pPr>
      <w:pStyle w:val="Footer"/>
      <w:tabs>
        <w:tab w:val="left" w:pos="1829"/>
      </w:tabs>
      <w:ind w:right="13"/>
      <w:rPr>
        <w:sz w:val="20"/>
      </w:rPr>
    </w:pPr>
    <w:r>
      <w:rPr>
        <w:sz w:val="20"/>
      </w:rPr>
      <w:t>INTERVENTIONS TO IMPROVE TEST ORDERING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4FE6D" w14:textId="77777777" w:rsidR="00FC654A" w:rsidRDefault="00FC654A" w:rsidP="000D1CF6">
      <w:r>
        <w:separator/>
      </w:r>
    </w:p>
    <w:p w14:paraId="7271925B" w14:textId="77777777" w:rsidR="00FC654A" w:rsidRDefault="00FC654A" w:rsidP="000D1CF6"/>
    <w:p w14:paraId="0A08A971" w14:textId="77777777" w:rsidR="00FC654A" w:rsidRDefault="00FC654A"/>
  </w:footnote>
  <w:footnote w:type="continuationSeparator" w:id="0">
    <w:p w14:paraId="3A84F50E" w14:textId="77777777" w:rsidR="00FC654A" w:rsidRDefault="00FC654A" w:rsidP="000D1CF6">
      <w:r>
        <w:continuationSeparator/>
      </w:r>
    </w:p>
    <w:p w14:paraId="19B9FB92" w14:textId="77777777" w:rsidR="00FC654A" w:rsidRDefault="00FC654A" w:rsidP="000D1CF6"/>
    <w:p w14:paraId="0EF4CF95" w14:textId="77777777" w:rsidR="00FC654A" w:rsidRDefault="00FC654A"/>
  </w:footnote>
  <w:footnote w:type="continuationNotice" w:id="1">
    <w:p w14:paraId="161F1BEA" w14:textId="77777777" w:rsidR="00FC654A" w:rsidRDefault="00FC654A">
      <w:pPr>
        <w:spacing w:before="0" w:after="0" w:line="240" w:lineRule="auto"/>
      </w:pPr>
    </w:p>
  </w:footnote>
  <w:footnote w:id="2">
    <w:p w14:paraId="6724B758" w14:textId="77777777" w:rsidR="00FC654A" w:rsidRPr="008817E9" w:rsidRDefault="00FC654A"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069AA10F" w14:textId="77777777" w:rsidR="00FC654A" w:rsidRPr="008817E9" w:rsidRDefault="00FC654A"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4">
    <w:p w14:paraId="75217A1D" w14:textId="77777777" w:rsidR="00FC654A" w:rsidRDefault="00FC654A" w:rsidP="00360531">
      <w:pPr>
        <w:pStyle w:val="FootnoteText"/>
      </w:pPr>
      <w:r>
        <w:rPr>
          <w:rStyle w:val="FootnoteReference"/>
        </w:rPr>
        <w:footnoteRef/>
      </w:r>
      <w:r>
        <w:t xml:space="preserve"> Based on clinical presentations with headache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237D2" w14:textId="77777777" w:rsidR="00FC654A" w:rsidRDefault="00FC654A">
    <w:pPr>
      <w:spacing w:before="0"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D95D7" w14:textId="77777777" w:rsidR="00FC654A" w:rsidRDefault="00FC654A" w:rsidP="00C967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C73BC" w14:textId="77777777" w:rsidR="00FC654A" w:rsidRDefault="00FC6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37615" w14:textId="77777777" w:rsidR="00FC654A" w:rsidRDefault="00FC654A">
    <w:r>
      <w:rPr>
        <w:noProof/>
      </w:rPr>
      <w:drawing>
        <wp:anchor distT="0" distB="0" distL="114300" distR="114300" simplePos="0" relativeHeight="251658240" behindDoc="0" locked="0" layoutInCell="1" allowOverlap="1" wp14:anchorId="7B6B7295" wp14:editId="6417C526">
          <wp:simplePos x="0" y="0"/>
          <wp:positionH relativeFrom="page">
            <wp:posOffset>523875</wp:posOffset>
          </wp:positionH>
          <wp:positionV relativeFrom="paragraph">
            <wp:posOffset>-361950</wp:posOffset>
          </wp:positionV>
          <wp:extent cx="7033895" cy="735965"/>
          <wp:effectExtent l="0" t="0" r="0" b="6985"/>
          <wp:wrapSquare wrapText="bothSides"/>
          <wp:docPr id="2" name="Picture 2" descr="The header, which is replicated on every page henceforth, reads: Medicare Benefits Schedule Review Taskforce" title="Rep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033895" cy="735965"/>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62E81" w14:textId="77777777" w:rsidR="00FC654A" w:rsidRDefault="00FC654A" w:rsidP="002D1FF9">
    <w:pPr>
      <w:tabs>
        <w:tab w:val="left" w:pos="6180"/>
      </w:tabs>
      <w:spacing w:before="0" w:after="0" w:line="240" w:lineRule="auto"/>
    </w:pPr>
    <w:r w:rsidRPr="002D1FF9">
      <w:rPr>
        <w:noProof/>
      </w:rPr>
      <w:drawing>
        <wp:anchor distT="0" distB="0" distL="114300" distR="114300" simplePos="0" relativeHeight="251663360" behindDoc="1" locked="0" layoutInCell="1" allowOverlap="1" wp14:anchorId="7EF328EE" wp14:editId="51762267">
          <wp:simplePos x="0" y="0"/>
          <wp:positionH relativeFrom="page">
            <wp:align>left</wp:align>
          </wp:positionH>
          <wp:positionV relativeFrom="paragraph">
            <wp:posOffset>-457200</wp:posOffset>
          </wp:positionV>
          <wp:extent cx="7591425" cy="10737775"/>
          <wp:effectExtent l="0" t="0" r="0" b="6985"/>
          <wp:wrapNone/>
          <wp:docPr id="3" name="Picture 3" descr="The report cover page features an image of surgeons conducting an operation and reads: Medicare Benefits Schedule Review Taskforce - Report form the Diagnostic Medicine Clinical Committee 2018" title="Repor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44C11" w14:textId="77777777" w:rsidR="00FC654A" w:rsidRDefault="00FC654A">
    <w:r>
      <w:rPr>
        <w:noProof/>
      </w:rPr>
      <w:drawing>
        <wp:anchor distT="0" distB="0" distL="114300" distR="114300" simplePos="0" relativeHeight="251661312" behindDoc="0" locked="0" layoutInCell="1" allowOverlap="1" wp14:anchorId="083387EB" wp14:editId="3BF1E4B0">
          <wp:simplePos x="0" y="0"/>
          <wp:positionH relativeFrom="page">
            <wp:align>right</wp:align>
          </wp:positionH>
          <wp:positionV relativeFrom="paragraph">
            <wp:posOffset>-459740</wp:posOffset>
          </wp:positionV>
          <wp:extent cx="7619117" cy="736979"/>
          <wp:effectExtent l="0" t="0" r="1270" b="0"/>
          <wp:wrapSquare wrapText="bothSides"/>
          <wp:docPr id="7" name="Picture 7" descr="The header reads &quot;Medicare Benefits Schedule Review Taskforce&quot;" title="Header to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74CA2" w14:textId="77777777" w:rsidR="00FC654A" w:rsidRDefault="00FC654A" w:rsidP="00C967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95619" w14:textId="77777777" w:rsidR="00FC654A" w:rsidRDefault="00FC654A" w:rsidP="00C967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AB48" w14:textId="77777777" w:rsidR="00FC654A" w:rsidRDefault="00FC654A" w:rsidP="00C967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0C14D" w14:textId="77777777" w:rsidR="00FC654A" w:rsidRPr="005670CF" w:rsidRDefault="00FC654A" w:rsidP="005670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6FBA" w14:textId="77777777" w:rsidR="00FC654A" w:rsidRPr="004C75A5" w:rsidRDefault="00FC654A" w:rsidP="00C96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5584E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028B8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0C4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FEA87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A687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CA28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2CAA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52BA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0436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CE5B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B30A1"/>
    <w:multiLevelType w:val="multilevel"/>
    <w:tmpl w:val="FF2CCDA6"/>
    <w:lvl w:ilvl="0">
      <w:start w:val="2"/>
      <w:numFmt w:val="lowerLetter"/>
      <w:lvlText w:val="%1)"/>
      <w:lvlJc w:val="left"/>
      <w:pPr>
        <w:ind w:left="360" w:hanging="360"/>
      </w:pPr>
      <w:rPr>
        <w:rFonts w:hint="default"/>
        <w:color w:val="4F6228" w:themeColor="accent3" w:themeShade="8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1EB5106"/>
    <w:multiLevelType w:val="hybridMultilevel"/>
    <w:tmpl w:val="7EB8B848"/>
    <w:lvl w:ilvl="0" w:tplc="C9A6767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7937B0"/>
    <w:multiLevelType w:val="multilevel"/>
    <w:tmpl w:val="17683D7A"/>
    <w:lvl w:ilvl="0">
      <w:start w:val="1"/>
      <w:numFmt w:val="decimal"/>
      <w:pStyle w:val="Tabletitle"/>
      <w:lvlText w:val="Table %1: "/>
      <w:lvlJc w:val="left"/>
      <w:pPr>
        <w:ind w:left="360" w:hanging="360"/>
      </w:pPr>
      <w:rPr>
        <w:rFonts w:ascii="Arial Narrow" w:hAnsi="Arial Narrow" w:hint="default"/>
        <w:b/>
        <w:bCs w:val="0"/>
        <w:i w:val="0"/>
        <w:iCs w:val="0"/>
        <w:caps/>
        <w:smallCaps w:val="0"/>
        <w:strike w:val="0"/>
        <w:dstrike w:val="0"/>
        <w:noProof w:val="0"/>
        <w:vanish w:val="0"/>
        <w:webHidden w:val="0"/>
        <w:color w:val="4B306A"/>
        <w:spacing w:val="0"/>
        <w:kern w:val="0"/>
        <w:position w:val="0"/>
        <w:sz w:val="1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52D2D50"/>
    <w:multiLevelType w:val="multilevel"/>
    <w:tmpl w:val="3CD4DA12"/>
    <w:lvl w:ilvl="0">
      <w:start w:val="1"/>
      <w:numFmt w:val="bullet"/>
      <w:pStyle w:val="List-Warning"/>
      <w:lvlText w:val=""/>
      <w:lvlJc w:val="left"/>
      <w:pPr>
        <w:ind w:left="485" w:hanging="360"/>
      </w:pPr>
      <w:rPr>
        <w:rFonts w:ascii="Wingdings" w:hAnsi="Wingdings" w:hint="default"/>
        <w:b w:val="0"/>
        <w:i w:val="0"/>
        <w:color w:val="F47B28"/>
        <w:spacing w:val="0"/>
        <w:w w:val="100"/>
        <w:kern w:val="0"/>
        <w:position w:val="-4"/>
        <w:sz w:val="36"/>
      </w:rPr>
    </w:lvl>
    <w:lvl w:ilvl="1">
      <w:start w:val="1"/>
      <w:numFmt w:val="bullet"/>
      <w:lvlText w:val="▹"/>
      <w:lvlJc w:val="left"/>
      <w:pPr>
        <w:ind w:left="709" w:hanging="284"/>
      </w:pPr>
      <w:rPr>
        <w:rFonts w:ascii="Arial Unicode MS" w:eastAsia="Arial Unicode MS" w:hAnsi="Arial Unicode MS" w:cs="Times New Roman" w:hint="eastAsia"/>
        <w:b/>
        <w:i w:val="0"/>
        <w:color w:val="F47B28"/>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CA5473"/>
    <w:multiLevelType w:val="multilevel"/>
    <w:tmpl w:val="A0A8F0A8"/>
    <w:lvl w:ilvl="0">
      <w:start w:val="1"/>
      <w:numFmt w:val="decimal"/>
      <w:pStyle w:val="Figuretitle"/>
      <w:lvlText w:val="Figure %1: "/>
      <w:lvlJc w:val="left"/>
      <w:pPr>
        <w:ind w:left="360" w:hanging="360"/>
      </w:pPr>
      <w:rPr>
        <w:rFonts w:ascii="Arial Narrow" w:hAnsi="Arial Narrow" w:hint="default"/>
        <w:b/>
        <w:i w:val="0"/>
        <w:caps/>
        <w:color w:val="4B306A"/>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6731C95"/>
    <w:multiLevelType w:val="hybridMultilevel"/>
    <w:tmpl w:val="CF0A4740"/>
    <w:lvl w:ilvl="0" w:tplc="D2BE728E">
      <w:start w:val="1"/>
      <w:numFmt w:val="bullet"/>
      <w:pStyle w:val="Tablecheckbox"/>
      <w:lvlText w:val=""/>
      <w:lvlJc w:val="left"/>
      <w:pPr>
        <w:ind w:left="720" w:hanging="360"/>
      </w:pPr>
      <w:rPr>
        <w:rFonts w:ascii="Wingdings" w:hAnsi="Wingdings" w:hint="default"/>
        <w:position w:val="0"/>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97629AB"/>
    <w:multiLevelType w:val="multilevel"/>
    <w:tmpl w:val="B8EE1A1C"/>
    <w:lvl w:ilvl="0">
      <w:start w:val="1"/>
      <w:numFmt w:val="bullet"/>
      <w:pStyle w:val="List-Info"/>
      <w:lvlText w:val=""/>
      <w:lvlJc w:val="left"/>
      <w:pPr>
        <w:ind w:left="485" w:hanging="360"/>
      </w:pPr>
      <w:rPr>
        <w:rFonts w:ascii="Webdings" w:hAnsi="Webdings" w:hint="default"/>
        <w:b w:val="0"/>
        <w:i w:val="0"/>
        <w:color w:val="4B306A"/>
        <w:spacing w:val="0"/>
        <w:w w:val="100"/>
        <w:kern w:val="0"/>
        <w:position w:val="-4"/>
        <w:sz w:val="28"/>
      </w:rPr>
    </w:lvl>
    <w:lvl w:ilvl="1">
      <w:start w:val="1"/>
      <w:numFmt w:val="bullet"/>
      <w:lvlText w:val="▹"/>
      <w:lvlJc w:val="left"/>
      <w:pPr>
        <w:ind w:left="709" w:hanging="284"/>
      </w:pPr>
      <w:rPr>
        <w:rFonts w:ascii="Arial Unicode MS" w:eastAsia="Arial Unicode MS" w:hAnsi="Arial Unicode MS" w:cs="Times New Roman"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B229F1"/>
    <w:multiLevelType w:val="hybridMultilevel"/>
    <w:tmpl w:val="FB127CD4"/>
    <w:lvl w:ilvl="0" w:tplc="D716F1A6">
      <w:start w:val="1"/>
      <w:numFmt w:val="bullet"/>
      <w:pStyle w:val="Breakout-warning"/>
      <w:lvlText w:val=""/>
      <w:lvlJc w:val="left"/>
      <w:pPr>
        <w:ind w:left="360" w:hanging="360"/>
      </w:pPr>
      <w:rPr>
        <w:rFonts w:ascii="Wingdings" w:hAnsi="Wingdings" w:hint="default"/>
        <w:b/>
        <w:i w:val="0"/>
        <w:color w:val="F47B28"/>
        <w:spacing w:val="0"/>
        <w:w w:val="100"/>
        <w:kern w:val="0"/>
        <w:position w:val="-6"/>
        <w:sz w:val="4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0E022535"/>
    <w:multiLevelType w:val="multilevel"/>
    <w:tmpl w:val="AEBE2608"/>
    <w:lvl w:ilvl="0">
      <w:start w:val="1"/>
      <w:numFmt w:val="bullet"/>
      <w:pStyle w:val="List-Practicepoints"/>
      <w:lvlText w:val=""/>
      <w:lvlJc w:val="left"/>
      <w:pPr>
        <w:ind w:left="488" w:hanging="363"/>
      </w:pPr>
      <w:rPr>
        <w:rFonts w:ascii="Wingdings" w:hAnsi="Wingdings" w:hint="default"/>
        <w:b/>
        <w:i w:val="0"/>
        <w:color w:val="81BD41"/>
        <w:spacing w:val="0"/>
        <w:w w:val="100"/>
        <w:kern w:val="0"/>
        <w:position w:val="-4"/>
        <w:sz w:val="36"/>
      </w:rPr>
    </w:lvl>
    <w:lvl w:ilvl="1">
      <w:start w:val="1"/>
      <w:numFmt w:val="bullet"/>
      <w:lvlText w:val="▷"/>
      <w:lvlJc w:val="left"/>
      <w:pPr>
        <w:ind w:left="709" w:hanging="284"/>
      </w:pPr>
      <w:rPr>
        <w:rFonts w:ascii="Arial Unicode MS" w:eastAsia="Arial Unicode MS" w:hAnsi="Arial Unicode MS" w:cs="Times New Roman" w:hint="eastAsia"/>
        <w:b/>
        <w:i w:val="0"/>
        <w:color w:val="81BD41"/>
        <w:position w:val="-5"/>
        <w:sz w:val="3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8514D"/>
    <w:multiLevelType w:val="hybridMultilevel"/>
    <w:tmpl w:val="C050537C"/>
    <w:lvl w:ilvl="0" w:tplc="1048F7A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0041AA4"/>
    <w:multiLevelType w:val="hybridMultilevel"/>
    <w:tmpl w:val="8726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611835"/>
    <w:multiLevelType w:val="hybridMultilevel"/>
    <w:tmpl w:val="D30CEC1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1E36D28"/>
    <w:multiLevelType w:val="hybridMultilevel"/>
    <w:tmpl w:val="F45ABF60"/>
    <w:lvl w:ilvl="0" w:tplc="3DDEED34">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5A0E70"/>
    <w:multiLevelType w:val="hybridMultilevel"/>
    <w:tmpl w:val="9894DC92"/>
    <w:lvl w:ilvl="0" w:tplc="84F2CDE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13D7526C"/>
    <w:multiLevelType w:val="hybridMultilevel"/>
    <w:tmpl w:val="7DFA40C8"/>
    <w:lvl w:ilvl="0" w:tplc="41B4FA48">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49142DA"/>
    <w:multiLevelType w:val="hybridMultilevel"/>
    <w:tmpl w:val="68389148"/>
    <w:lvl w:ilvl="0" w:tplc="04604B34">
      <w:start w:val="1"/>
      <w:numFmt w:val="bullet"/>
      <w:pStyle w:val="Breakout-Info"/>
      <w:lvlText w:val=""/>
      <w:lvlJc w:val="left"/>
      <w:pPr>
        <w:ind w:left="360" w:hanging="360"/>
      </w:pPr>
      <w:rPr>
        <w:rFonts w:ascii="Webdings" w:hAnsi="Webdings" w:hint="default"/>
        <w:b w:val="0"/>
        <w:i w:val="0"/>
        <w:color w:val="F47B28"/>
        <w:spacing w:val="0"/>
        <w:w w:val="100"/>
        <w:kern w:val="0"/>
        <w:position w:val="0"/>
        <w:sz w:val="4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14B92C8B"/>
    <w:multiLevelType w:val="hybridMultilevel"/>
    <w:tmpl w:val="F5A2070A"/>
    <w:lvl w:ilvl="0" w:tplc="0D24785E">
      <w:start w:val="1"/>
      <w:numFmt w:val="lowerLetter"/>
      <w:pStyle w:val="Itembulletlevel1"/>
      <w:lvlText w:val="(%1)"/>
      <w:lvlJc w:val="left"/>
      <w:pPr>
        <w:ind w:left="360" w:hanging="360"/>
      </w:pPr>
      <w:rPr>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156F6F8D"/>
    <w:multiLevelType w:val="multilevel"/>
    <w:tmpl w:val="A54031AC"/>
    <w:lvl w:ilvl="0">
      <w:start w:val="1"/>
      <w:numFmt w:val="bullet"/>
      <w:lvlText w:val=""/>
      <w:lvlJc w:val="left"/>
      <w:pPr>
        <w:ind w:left="360" w:hanging="360"/>
      </w:pPr>
      <w:rPr>
        <w:rFonts w:ascii="Symbol" w:hAnsi="Symbol" w:hint="default"/>
        <w:color w:val="4F6228" w:themeColor="accent3" w:themeShade="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1" w15:restartNumberingAfterBreak="0">
    <w:nsid w:val="15E65121"/>
    <w:multiLevelType w:val="hybridMultilevel"/>
    <w:tmpl w:val="82B868FC"/>
    <w:lvl w:ilvl="0" w:tplc="F222AF26">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E876CF"/>
    <w:multiLevelType w:val="hybridMultilevel"/>
    <w:tmpl w:val="139ED6E2"/>
    <w:lvl w:ilvl="0" w:tplc="0D24785E">
      <w:start w:val="1"/>
      <w:numFmt w:val="lowerLetter"/>
      <w:lvlText w:val="(%1)"/>
      <w:lvlJc w:val="left"/>
      <w:pPr>
        <w:ind w:left="360" w:hanging="360"/>
      </w:pPr>
      <w:rPr>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35" w15:restartNumberingAfterBreak="0">
    <w:nsid w:val="17B538F5"/>
    <w:multiLevelType w:val="hybridMultilevel"/>
    <w:tmpl w:val="F5DEFC00"/>
    <w:lvl w:ilvl="0" w:tplc="0C090017">
      <w:start w:val="1"/>
      <w:numFmt w:val="lowerLetter"/>
      <w:lvlText w:val="%1)"/>
      <w:lvlJc w:val="left"/>
      <w:pPr>
        <w:ind w:left="431" w:hanging="431"/>
      </w:pPr>
      <w:rPr>
        <w:rFonts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95D4D7F"/>
    <w:multiLevelType w:val="hybridMultilevel"/>
    <w:tmpl w:val="34726D90"/>
    <w:lvl w:ilvl="0" w:tplc="994C755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96501A"/>
    <w:multiLevelType w:val="hybridMultilevel"/>
    <w:tmpl w:val="5B6223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AF14CF5"/>
    <w:multiLevelType w:val="hybridMultilevel"/>
    <w:tmpl w:val="6F0A3EA8"/>
    <w:lvl w:ilvl="0" w:tplc="0C090001">
      <w:start w:val="1"/>
      <w:numFmt w:val="bullet"/>
      <w:lvlText w:val=""/>
      <w:lvlJc w:val="left"/>
      <w:pPr>
        <w:ind w:left="360" w:hanging="360"/>
      </w:pPr>
      <w:rPr>
        <w:rFonts w:ascii="Symbol" w:hAnsi="Symbol" w:hint="default"/>
        <w:color w:val="4F6228" w:themeColor="accent3"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B9F5478"/>
    <w:multiLevelType w:val="hybridMultilevel"/>
    <w:tmpl w:val="D52C7B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1BD571FB"/>
    <w:multiLevelType w:val="hybridMultilevel"/>
    <w:tmpl w:val="D422B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FCA3494"/>
    <w:multiLevelType w:val="multilevel"/>
    <w:tmpl w:val="B726B10C"/>
    <w:lvl w:ilvl="0">
      <w:start w:val="1"/>
      <w:numFmt w:val="bullet"/>
      <w:pStyle w:val="List-Discuss"/>
      <w:lvlText w:val=""/>
      <w:lvlJc w:val="left"/>
      <w:pPr>
        <w:ind w:left="485" w:hanging="360"/>
      </w:pPr>
      <w:rPr>
        <w:rFonts w:ascii="Webdings" w:hAnsi="Webdings" w:hint="default"/>
        <w:b w:val="0"/>
        <w:i w:val="0"/>
        <w:color w:val="4B306A"/>
        <w:spacing w:val="0"/>
        <w:w w:val="100"/>
        <w:kern w:val="0"/>
        <w:position w:val="-4"/>
        <w:sz w:val="28"/>
      </w:rPr>
    </w:lvl>
    <w:lvl w:ilvl="1">
      <w:start w:val="1"/>
      <w:numFmt w:val="bullet"/>
      <w:lvlText w:val="▹"/>
      <w:lvlJc w:val="left"/>
      <w:pPr>
        <w:ind w:left="709" w:hanging="284"/>
      </w:pPr>
      <w:rPr>
        <w:rFonts w:ascii="Arial Unicode MS" w:eastAsia="Arial Unicode MS" w:hAnsi="Arial Unicode MS" w:cs="Times New Roman"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0D67655"/>
    <w:multiLevelType w:val="hybridMultilevel"/>
    <w:tmpl w:val="2AD81D26"/>
    <w:lvl w:ilvl="0" w:tplc="A15CF010">
      <w:start w:val="1"/>
      <w:numFmt w:val="bullet"/>
      <w:pStyle w:val="Surveycheckboxchecked"/>
      <w:lvlText w:val=""/>
      <w:lvlJc w:val="left"/>
      <w:pPr>
        <w:ind w:left="899" w:hanging="360"/>
      </w:pPr>
      <w:rPr>
        <w:rFonts w:ascii="Wingdings" w:hAnsi="Wingdings" w:hint="default"/>
        <w:position w:val="-4"/>
        <w:sz w:val="2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3593547"/>
    <w:multiLevelType w:val="multilevel"/>
    <w:tmpl w:val="8DB4AC64"/>
    <w:styleLink w:val="Style2"/>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44" w15:restartNumberingAfterBreak="0">
    <w:nsid w:val="23622F01"/>
    <w:multiLevelType w:val="hybridMultilevel"/>
    <w:tmpl w:val="DD940D48"/>
    <w:lvl w:ilvl="0" w:tplc="CCD839D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23953C4A"/>
    <w:multiLevelType w:val="multilevel"/>
    <w:tmpl w:val="A5CAC838"/>
    <w:styleLink w:val="Tabletextcheckbox"/>
    <w:lvl w:ilvl="0">
      <w:start w:val="1"/>
      <w:numFmt w:val="bullet"/>
      <w:lvlText w:val=""/>
      <w:lvlJc w:val="left"/>
      <w:pPr>
        <w:tabs>
          <w:tab w:val="num" w:pos="170"/>
        </w:tabs>
        <w:ind w:left="170" w:hanging="170"/>
      </w:pPr>
      <w:rPr>
        <w:rFonts w:ascii="Wingdings" w:hAnsi="Wingdings" w:hint="default"/>
        <w:sz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24742B66"/>
    <w:multiLevelType w:val="hybridMultilevel"/>
    <w:tmpl w:val="4EF46102"/>
    <w:lvl w:ilvl="0" w:tplc="0C090001">
      <w:start w:val="1"/>
      <w:numFmt w:val="bullet"/>
      <w:lvlText w:val=""/>
      <w:lvlJc w:val="left"/>
      <w:pPr>
        <w:ind w:left="720" w:hanging="360"/>
      </w:pPr>
      <w:rPr>
        <w:rFonts w:ascii="Symbol" w:hAnsi="Symbol" w:hint="default"/>
      </w:rPr>
    </w:lvl>
    <w:lvl w:ilvl="1" w:tplc="016AB9E8">
      <w:start w:val="1"/>
      <w:numFmt w:val="bullet"/>
      <w:lvlText w:val="–"/>
      <w:lvlJc w:val="left"/>
      <w:pPr>
        <w:ind w:left="1440" w:hanging="360"/>
      </w:pPr>
      <w:rPr>
        <w:rFonts w:ascii="Calibri" w:hAnsi="Calibri"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25277DF2"/>
    <w:multiLevelType w:val="hybridMultilevel"/>
    <w:tmpl w:val="099640A4"/>
    <w:lvl w:ilvl="0" w:tplc="3C20292C">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6641654"/>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9" w15:restartNumberingAfterBreak="0">
    <w:nsid w:val="27F11500"/>
    <w:multiLevelType w:val="hybridMultilevel"/>
    <w:tmpl w:val="C13A66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87D765F"/>
    <w:multiLevelType w:val="hybridMultilevel"/>
    <w:tmpl w:val="7152BAC0"/>
    <w:lvl w:ilvl="0" w:tplc="F3221B16">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A3B54B9"/>
    <w:multiLevelType w:val="hybridMultilevel"/>
    <w:tmpl w:val="ADDC73AE"/>
    <w:lvl w:ilvl="0" w:tplc="72A0CAD0">
      <w:start w:val="1"/>
      <w:numFmt w:val="bullet"/>
      <w:pStyle w:val="Breakout-Discuss"/>
      <w:lvlText w:val=""/>
      <w:lvlJc w:val="left"/>
      <w:pPr>
        <w:ind w:left="700" w:hanging="360"/>
      </w:pPr>
      <w:rPr>
        <w:rFonts w:ascii="Webdings" w:hAnsi="Webdings" w:hint="default"/>
        <w:b w:val="0"/>
        <w:i w:val="0"/>
        <w:color w:val="4B306A"/>
        <w:spacing w:val="0"/>
        <w:w w:val="100"/>
        <w:kern w:val="0"/>
        <w:position w:val="-4"/>
        <w:sz w:val="4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E3261F3"/>
    <w:multiLevelType w:val="hybridMultilevel"/>
    <w:tmpl w:val="EA347C32"/>
    <w:lvl w:ilvl="0" w:tplc="04A68FFC">
      <w:start w:val="1"/>
      <w:numFmt w:val="bullet"/>
      <w:pStyle w:val="Surveycheckboxticked"/>
      <w:lvlText w:val=""/>
      <w:lvlJc w:val="left"/>
      <w:pPr>
        <w:ind w:left="1259" w:hanging="360"/>
      </w:pPr>
      <w:rPr>
        <w:rFonts w:ascii="Wingdings" w:hAnsi="Wingdings" w:hint="default"/>
        <w:position w:val="-4"/>
        <w:sz w:val="28"/>
      </w:rPr>
    </w:lvl>
    <w:lvl w:ilvl="1" w:tplc="0C090003">
      <w:start w:val="1"/>
      <w:numFmt w:val="bullet"/>
      <w:lvlText w:val="o"/>
      <w:lvlJc w:val="left"/>
      <w:pPr>
        <w:ind w:left="1979" w:hanging="360"/>
      </w:pPr>
      <w:rPr>
        <w:rFonts w:ascii="Courier New" w:hAnsi="Courier New" w:cs="Courier New" w:hint="default"/>
      </w:rPr>
    </w:lvl>
    <w:lvl w:ilvl="2" w:tplc="0C090005">
      <w:start w:val="1"/>
      <w:numFmt w:val="bullet"/>
      <w:lvlText w:val=""/>
      <w:lvlJc w:val="left"/>
      <w:pPr>
        <w:ind w:left="2699" w:hanging="360"/>
      </w:pPr>
      <w:rPr>
        <w:rFonts w:ascii="Wingdings" w:hAnsi="Wingdings" w:hint="default"/>
      </w:rPr>
    </w:lvl>
    <w:lvl w:ilvl="3" w:tplc="0C090001">
      <w:start w:val="1"/>
      <w:numFmt w:val="bullet"/>
      <w:lvlText w:val=""/>
      <w:lvlJc w:val="left"/>
      <w:pPr>
        <w:ind w:left="3419" w:hanging="360"/>
      </w:pPr>
      <w:rPr>
        <w:rFonts w:ascii="Symbol" w:hAnsi="Symbol" w:hint="default"/>
      </w:rPr>
    </w:lvl>
    <w:lvl w:ilvl="4" w:tplc="0C090003">
      <w:start w:val="1"/>
      <w:numFmt w:val="bullet"/>
      <w:lvlText w:val="o"/>
      <w:lvlJc w:val="left"/>
      <w:pPr>
        <w:ind w:left="4139" w:hanging="360"/>
      </w:pPr>
      <w:rPr>
        <w:rFonts w:ascii="Courier New" w:hAnsi="Courier New" w:cs="Courier New" w:hint="default"/>
      </w:rPr>
    </w:lvl>
    <w:lvl w:ilvl="5" w:tplc="0C090005">
      <w:start w:val="1"/>
      <w:numFmt w:val="bullet"/>
      <w:lvlText w:val=""/>
      <w:lvlJc w:val="left"/>
      <w:pPr>
        <w:ind w:left="4859" w:hanging="360"/>
      </w:pPr>
      <w:rPr>
        <w:rFonts w:ascii="Wingdings" w:hAnsi="Wingdings" w:hint="default"/>
      </w:rPr>
    </w:lvl>
    <w:lvl w:ilvl="6" w:tplc="0C090001">
      <w:start w:val="1"/>
      <w:numFmt w:val="bullet"/>
      <w:lvlText w:val=""/>
      <w:lvlJc w:val="left"/>
      <w:pPr>
        <w:ind w:left="5579" w:hanging="360"/>
      </w:pPr>
      <w:rPr>
        <w:rFonts w:ascii="Symbol" w:hAnsi="Symbol" w:hint="default"/>
      </w:rPr>
    </w:lvl>
    <w:lvl w:ilvl="7" w:tplc="0C090003">
      <w:start w:val="1"/>
      <w:numFmt w:val="bullet"/>
      <w:lvlText w:val="o"/>
      <w:lvlJc w:val="left"/>
      <w:pPr>
        <w:ind w:left="6299" w:hanging="360"/>
      </w:pPr>
      <w:rPr>
        <w:rFonts w:ascii="Courier New" w:hAnsi="Courier New" w:cs="Courier New" w:hint="default"/>
      </w:rPr>
    </w:lvl>
    <w:lvl w:ilvl="8" w:tplc="0C090005">
      <w:start w:val="1"/>
      <w:numFmt w:val="bullet"/>
      <w:lvlText w:val=""/>
      <w:lvlJc w:val="left"/>
      <w:pPr>
        <w:ind w:left="7019" w:hanging="360"/>
      </w:pPr>
      <w:rPr>
        <w:rFonts w:ascii="Wingdings" w:hAnsi="Wingdings" w:hint="default"/>
      </w:rPr>
    </w:lvl>
  </w:abstractNum>
  <w:abstractNum w:abstractNumId="53" w15:restartNumberingAfterBreak="0">
    <w:nsid w:val="2EAD50AB"/>
    <w:multiLevelType w:val="multilevel"/>
    <w:tmpl w:val="7F1E3D32"/>
    <w:lvl w:ilvl="0">
      <w:start w:val="1"/>
      <w:numFmt w:val="decimal"/>
      <w:pStyle w:val="Surveyquestionlist"/>
      <w:lvlText w:val="%1."/>
      <w:lvlJc w:val="left"/>
      <w:pPr>
        <w:tabs>
          <w:tab w:val="num" w:pos="312"/>
        </w:tabs>
        <w:ind w:left="312" w:hanging="312"/>
      </w:pPr>
      <w:rPr>
        <w:rFonts w:ascii="Arial Narrow" w:hAnsi="Arial Narrow" w:hint="default"/>
        <w:b/>
        <w:i w:val="0"/>
        <w:sz w:val="19"/>
      </w:rPr>
    </w:lvl>
    <w:lvl w:ilvl="1">
      <w:start w:val="1"/>
      <w:numFmt w:val="lowerLetter"/>
      <w:lvlText w:val="%2."/>
      <w:lvlJc w:val="left"/>
      <w:pPr>
        <w:tabs>
          <w:tab w:val="num" w:pos="539"/>
        </w:tabs>
        <w:ind w:left="539" w:hanging="227"/>
      </w:pPr>
      <w:rPr>
        <w:rFonts w:ascii="Arial Narrow" w:hAnsi="Arial Narrow" w:hint="default"/>
        <w:b/>
        <w:i w:val="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31262DD1"/>
    <w:multiLevelType w:val="hybridMultilevel"/>
    <w:tmpl w:val="DDEC438C"/>
    <w:lvl w:ilvl="0" w:tplc="B134A62E">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1542F80"/>
    <w:multiLevelType w:val="hybridMultilevel"/>
    <w:tmpl w:val="B344D8B6"/>
    <w:lvl w:ilvl="0" w:tplc="4A089102">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2F11481"/>
    <w:multiLevelType w:val="multilevel"/>
    <w:tmpl w:val="242892A6"/>
    <w:styleLink w:val="Style21"/>
    <w:lvl w:ilvl="0">
      <w:start w:val="1"/>
      <w:numFmt w:val="decimal"/>
      <w:lvlText w:val="%1."/>
      <w:lvlJc w:val="left"/>
      <w:pPr>
        <w:ind w:left="432" w:hanging="432"/>
      </w:pPr>
      <w:rPr>
        <w:rFonts w:cs="Times New Roman"/>
        <w:b/>
        <w:bCs w:val="0"/>
        <w:i w:val="0"/>
        <w:iCs w:val="0"/>
        <w:caps w:val="0"/>
        <w:smallCaps w:val="0"/>
        <w:strike w:val="0"/>
        <w:dstrike w:val="0"/>
        <w:noProof w:val="0"/>
        <w:vanish w:val="0"/>
        <w:webHidden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377279C"/>
    <w:multiLevelType w:val="hybridMultilevel"/>
    <w:tmpl w:val="B638024E"/>
    <w:lvl w:ilvl="0" w:tplc="A4724FBE">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9"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5570DA1"/>
    <w:multiLevelType w:val="hybridMultilevel"/>
    <w:tmpl w:val="3C4233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cs="Times New Roman"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Times New Roman"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Times New Roman" w:hint="default"/>
      </w:rPr>
    </w:lvl>
    <w:lvl w:ilvl="8" w:tplc="04090005">
      <w:start w:val="1"/>
      <w:numFmt w:val="bullet"/>
      <w:lvlText w:val=""/>
      <w:lvlJc w:val="left"/>
      <w:pPr>
        <w:ind w:left="6837" w:hanging="360"/>
      </w:pPr>
      <w:rPr>
        <w:rFonts w:ascii="Wingdings" w:hAnsi="Wingdings" w:hint="default"/>
      </w:rPr>
    </w:lvl>
  </w:abstractNum>
  <w:abstractNum w:abstractNumId="62" w15:restartNumberingAfterBreak="0">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9AF2BE8"/>
    <w:multiLevelType w:val="hybridMultilevel"/>
    <w:tmpl w:val="3032707E"/>
    <w:lvl w:ilvl="0" w:tplc="CBDEA63A">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E6263C9"/>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3E9C18D7"/>
    <w:multiLevelType w:val="hybridMultilevel"/>
    <w:tmpl w:val="34BC692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44094122"/>
    <w:multiLevelType w:val="hybridMultilevel"/>
    <w:tmpl w:val="6DEA153A"/>
    <w:lvl w:ilvl="0" w:tplc="A71C4CC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46F0C1E"/>
    <w:multiLevelType w:val="multilevel"/>
    <w:tmpl w:val="F9C0CF04"/>
    <w:styleLink w:val="Tabletextcheckboxchecked"/>
    <w:lvl w:ilvl="0">
      <w:start w:val="1"/>
      <w:numFmt w:val="bullet"/>
      <w:lvlText w:val=""/>
      <w:lvlJc w:val="left"/>
      <w:pPr>
        <w:tabs>
          <w:tab w:val="num" w:pos="170"/>
        </w:tabs>
        <w:ind w:left="170" w:hanging="170"/>
      </w:pPr>
      <w:rPr>
        <w:rFonts w:ascii="Wingdings" w:hAnsi="Wingdings" w:hint="default"/>
        <w:sz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44FA653E"/>
    <w:multiLevelType w:val="hybridMultilevel"/>
    <w:tmpl w:val="82D0FA24"/>
    <w:lvl w:ilvl="0" w:tplc="FCCCB79C">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cs="Times New Roman" w:hint="default"/>
        <w:color w:val="auto"/>
        <w:sz w:val="22"/>
      </w:rPr>
    </w:lvl>
    <w:lvl w:ilvl="1" w:tplc="04090019">
      <w:start w:val="1"/>
      <w:numFmt w:val="lowerLetter"/>
      <w:lvlText w:val="%2."/>
      <w:lvlJc w:val="left"/>
      <w:pPr>
        <w:ind w:left="2086" w:hanging="360"/>
      </w:pPr>
    </w:lvl>
    <w:lvl w:ilvl="2" w:tplc="0409001B">
      <w:start w:val="1"/>
      <w:numFmt w:val="lowerRoman"/>
      <w:lvlText w:val="%3."/>
      <w:lvlJc w:val="right"/>
      <w:pPr>
        <w:ind w:left="2806" w:hanging="180"/>
      </w:pPr>
    </w:lvl>
    <w:lvl w:ilvl="3" w:tplc="0409000F">
      <w:start w:val="1"/>
      <w:numFmt w:val="decimal"/>
      <w:lvlText w:val="%4."/>
      <w:lvlJc w:val="left"/>
      <w:pPr>
        <w:ind w:left="3526" w:hanging="360"/>
      </w:pPr>
    </w:lvl>
    <w:lvl w:ilvl="4" w:tplc="04090019">
      <w:start w:val="1"/>
      <w:numFmt w:val="lowerLetter"/>
      <w:lvlText w:val="%5."/>
      <w:lvlJc w:val="left"/>
      <w:pPr>
        <w:ind w:left="4246" w:hanging="360"/>
      </w:pPr>
    </w:lvl>
    <w:lvl w:ilvl="5" w:tplc="0409001B">
      <w:start w:val="1"/>
      <w:numFmt w:val="lowerRoman"/>
      <w:lvlText w:val="%6."/>
      <w:lvlJc w:val="right"/>
      <w:pPr>
        <w:ind w:left="4966" w:hanging="180"/>
      </w:pPr>
    </w:lvl>
    <w:lvl w:ilvl="6" w:tplc="0409000F">
      <w:start w:val="1"/>
      <w:numFmt w:val="decimal"/>
      <w:lvlText w:val="%7."/>
      <w:lvlJc w:val="left"/>
      <w:pPr>
        <w:ind w:left="5686" w:hanging="360"/>
      </w:pPr>
    </w:lvl>
    <w:lvl w:ilvl="7" w:tplc="04090019">
      <w:start w:val="1"/>
      <w:numFmt w:val="lowerLetter"/>
      <w:lvlText w:val="%8."/>
      <w:lvlJc w:val="left"/>
      <w:pPr>
        <w:ind w:left="6406" w:hanging="360"/>
      </w:pPr>
    </w:lvl>
    <w:lvl w:ilvl="8" w:tplc="0409001B">
      <w:start w:val="1"/>
      <w:numFmt w:val="lowerRoman"/>
      <w:lvlText w:val="%9."/>
      <w:lvlJc w:val="right"/>
      <w:pPr>
        <w:ind w:left="7126" w:hanging="180"/>
      </w:pPr>
    </w:lvl>
  </w:abstractNum>
  <w:abstractNum w:abstractNumId="72" w15:restartNumberingAfterBreak="0">
    <w:nsid w:val="48646067"/>
    <w:multiLevelType w:val="multilevel"/>
    <w:tmpl w:val="89146834"/>
    <w:styleLink w:val="Heading1numberedlist"/>
    <w:lvl w:ilvl="0">
      <w:start w:val="1"/>
      <w:numFmt w:val="decimal"/>
      <w:lvlText w:val="%1."/>
      <w:lvlJc w:val="left"/>
      <w:pPr>
        <w:ind w:left="360" w:hanging="360"/>
      </w:pPr>
      <w:rPr>
        <w:rFonts w:ascii="Arial Bold" w:hAnsi="Arial Bold" w:hint="default"/>
        <w:b/>
        <w:i w:val="0"/>
        <w:color w:val="401E6C"/>
        <w:sz w:val="42"/>
      </w:rPr>
    </w:lvl>
    <w:lvl w:ilvl="1">
      <w:start w:val="1"/>
      <w:numFmt w:val="decimal"/>
      <w:lvlText w:val="%2."/>
      <w:lvlJc w:val="left"/>
      <w:pPr>
        <w:ind w:left="720" w:hanging="360"/>
      </w:pPr>
      <w:rPr>
        <w:rFonts w:ascii="Arial Bold" w:hAnsi="Arial Bold" w:hint="default"/>
        <w:b/>
        <w:i w:val="0"/>
        <w:color w:val="401E6C"/>
        <w:sz w:val="28"/>
      </w:rPr>
    </w:lvl>
    <w:lvl w:ilvl="2">
      <w:start w:val="1"/>
      <w:numFmt w:val="decimal"/>
      <w:lvlText w:val="%3."/>
      <w:lvlJc w:val="left"/>
      <w:pPr>
        <w:ind w:left="1080" w:hanging="360"/>
      </w:pPr>
      <w:rPr>
        <w:rFonts w:ascii="Arial" w:hAnsi="Arial" w:cs="Times New Roman" w:hint="default"/>
        <w:b w:val="0"/>
        <w:i w:val="0"/>
        <w:color w:val="401E6C"/>
        <w:sz w:val="26"/>
      </w:rPr>
    </w:lvl>
    <w:lvl w:ilvl="3">
      <w:start w:val="1"/>
      <w:numFmt w:val="decimal"/>
      <w:lvlText w:val="%4."/>
      <w:lvlJc w:val="left"/>
      <w:pPr>
        <w:ind w:left="1440" w:hanging="360"/>
      </w:pPr>
      <w:rPr>
        <w:rFonts w:ascii="Arial" w:hAnsi="Arial" w:cs="Times New Roman" w:hint="default"/>
        <w:b w:val="0"/>
        <w:i/>
        <w:color w:val="595959" w:themeColor="text1" w:themeTint="A6"/>
        <w:sz w:val="22"/>
      </w:rPr>
    </w:lvl>
    <w:lvl w:ilvl="4">
      <w:start w:val="1"/>
      <w:numFmt w:val="decimal"/>
      <w:lvlText w:val="%5."/>
      <w:lvlJc w:val="left"/>
      <w:pPr>
        <w:ind w:left="1800" w:hanging="360"/>
      </w:pPr>
      <w:rPr>
        <w:rFonts w:ascii="Arial Bold" w:hAnsi="Arial Bold" w:hint="default"/>
        <w:b/>
        <w:i w:val="0"/>
        <w:color w:val="595959" w:themeColor="text1" w:themeTint="A6"/>
        <w:sz w:val="2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4A835B46"/>
    <w:multiLevelType w:val="hybridMultilevel"/>
    <w:tmpl w:val="DE2E47D2"/>
    <w:lvl w:ilvl="0" w:tplc="9A3C9EAE">
      <w:start w:val="1"/>
      <w:numFmt w:val="bullet"/>
      <w:pStyle w:val="Surveycheckbox"/>
      <w:lvlText w:val=""/>
      <w:lvlJc w:val="left"/>
      <w:pPr>
        <w:ind w:left="899" w:hanging="360"/>
      </w:pPr>
      <w:rPr>
        <w:rFonts w:ascii="Wingdings" w:hAnsi="Wingdings" w:hint="default"/>
        <w:position w:val="-4"/>
        <w:sz w:val="2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AD47271"/>
    <w:multiLevelType w:val="multilevel"/>
    <w:tmpl w:val="41DE70A4"/>
    <w:lvl w:ilvl="0">
      <w:start w:val="1"/>
      <w:numFmt w:val="decimal"/>
      <w:pStyle w:val="Appendix"/>
      <w:lvlText w:val="Appendix %1."/>
      <w:lvlJc w:val="left"/>
      <w:pPr>
        <w:ind w:left="360" w:hanging="360"/>
      </w:pPr>
      <w:rPr>
        <w:rFonts w:ascii="Arial Bold" w:hAnsi="Arial Bold" w:hint="default"/>
        <w:b/>
        <w:i w:val="0"/>
        <w:caps/>
        <w:color w:val="4B306A"/>
        <w:sz w:val="3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4B390FCA"/>
    <w:multiLevelType w:val="hybridMultilevel"/>
    <w:tmpl w:val="DD08FB42"/>
    <w:lvl w:ilvl="0" w:tplc="76F40928">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B413064"/>
    <w:multiLevelType w:val="multilevel"/>
    <w:tmpl w:val="184203F0"/>
    <w:lvl w:ilvl="0">
      <w:start w:val="1"/>
      <w:numFmt w:val="upperLetter"/>
      <w:pStyle w:val="Surveyanswerlist"/>
      <w:lvlText w:val="%1)"/>
      <w:lvlJc w:val="left"/>
      <w:pPr>
        <w:tabs>
          <w:tab w:val="num" w:pos="794"/>
        </w:tabs>
        <w:ind w:left="794" w:hanging="255"/>
      </w:pPr>
      <w:rPr>
        <w:rFonts w:ascii="Arial Narrow" w:hAnsi="Arial Narrow" w:hint="default"/>
        <w:b w:val="0"/>
        <w:i w:val="0"/>
        <w:sz w:val="19"/>
      </w:rPr>
    </w:lvl>
    <w:lvl w:ilvl="1">
      <w:start w:val="1"/>
      <w:numFmt w:val="lowerRoman"/>
      <w:lvlText w:val="%2)"/>
      <w:lvlJc w:val="left"/>
      <w:pPr>
        <w:tabs>
          <w:tab w:val="num" w:pos="1049"/>
        </w:tabs>
        <w:ind w:left="1049" w:hanging="255"/>
      </w:pPr>
      <w:rPr>
        <w:rFonts w:ascii="Arial Narrow" w:hAnsi="Arial Narrow" w:hint="default"/>
        <w:b w:val="0"/>
        <w:i w:val="0"/>
        <w:sz w:val="19"/>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4B720C9C"/>
    <w:multiLevelType w:val="multilevel"/>
    <w:tmpl w:val="EE7CAB00"/>
    <w:styleLink w:val="Tabletextheadinglist"/>
    <w:lvl w:ilvl="0">
      <w:start w:val="1"/>
      <w:numFmt w:val="lowerLetter"/>
      <w:lvlText w:val="%1."/>
      <w:lvlJc w:val="left"/>
      <w:pPr>
        <w:tabs>
          <w:tab w:val="num" w:pos="170"/>
        </w:tabs>
        <w:ind w:left="170" w:hanging="170"/>
      </w:pPr>
      <w:rPr>
        <w:rFonts w:ascii="Arial Narrow" w:hAnsi="Arial Narrow" w:hint="default"/>
        <w:b/>
        <w:i w:val="0"/>
        <w:sz w:val="19"/>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4C076230"/>
    <w:multiLevelType w:val="hybridMultilevel"/>
    <w:tmpl w:val="4B9AB0DC"/>
    <w:lvl w:ilvl="0" w:tplc="55D2E0F4">
      <w:start w:val="1"/>
      <w:numFmt w:val="lowerLetter"/>
      <w:lvlText w:val="%1)"/>
      <w:lvlJc w:val="left"/>
      <w:pPr>
        <w:ind w:left="360" w:hanging="360"/>
      </w:pPr>
      <w:rPr>
        <w:rFonts w:hint="default"/>
        <w:color w:val="4F6228" w:themeColor="accent3"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start w:val="1"/>
      <w:numFmt w:val="bullet"/>
      <w:lvlText w:val="o"/>
      <w:lvlJc w:val="left"/>
      <w:pPr>
        <w:ind w:left="4233" w:hanging="360"/>
      </w:pPr>
      <w:rPr>
        <w:rFonts w:ascii="Courier New" w:hAnsi="Courier New" w:cs="Courier New" w:hint="default"/>
      </w:rPr>
    </w:lvl>
    <w:lvl w:ilvl="5" w:tplc="08090005">
      <w:start w:val="1"/>
      <w:numFmt w:val="bullet"/>
      <w:lvlText w:val=""/>
      <w:lvlJc w:val="left"/>
      <w:pPr>
        <w:ind w:left="4953" w:hanging="360"/>
      </w:pPr>
      <w:rPr>
        <w:rFonts w:ascii="Wingdings" w:hAnsi="Wingdings" w:hint="default"/>
      </w:rPr>
    </w:lvl>
    <w:lvl w:ilvl="6" w:tplc="08090001">
      <w:start w:val="1"/>
      <w:numFmt w:val="bullet"/>
      <w:lvlText w:val=""/>
      <w:lvlJc w:val="left"/>
      <w:pPr>
        <w:ind w:left="5673" w:hanging="360"/>
      </w:pPr>
      <w:rPr>
        <w:rFonts w:ascii="Symbol" w:hAnsi="Symbol" w:hint="default"/>
      </w:rPr>
    </w:lvl>
    <w:lvl w:ilvl="7" w:tplc="08090003">
      <w:start w:val="1"/>
      <w:numFmt w:val="bullet"/>
      <w:lvlText w:val="o"/>
      <w:lvlJc w:val="left"/>
      <w:pPr>
        <w:ind w:left="6393" w:hanging="360"/>
      </w:pPr>
      <w:rPr>
        <w:rFonts w:ascii="Courier New" w:hAnsi="Courier New" w:cs="Courier New" w:hint="default"/>
      </w:rPr>
    </w:lvl>
    <w:lvl w:ilvl="8" w:tplc="08090005">
      <w:start w:val="1"/>
      <w:numFmt w:val="bullet"/>
      <w:lvlText w:val=""/>
      <w:lvlJc w:val="left"/>
      <w:pPr>
        <w:ind w:left="7113" w:hanging="360"/>
      </w:pPr>
      <w:rPr>
        <w:rFonts w:ascii="Wingdings" w:hAnsi="Wingdings" w:hint="default"/>
      </w:rPr>
    </w:lvl>
  </w:abstractNum>
  <w:abstractNum w:abstractNumId="81" w15:restartNumberingAfterBreak="0">
    <w:nsid w:val="50407F85"/>
    <w:multiLevelType w:val="hybridMultilevel"/>
    <w:tmpl w:val="EE5AB4AE"/>
    <w:lvl w:ilvl="0" w:tplc="0C09001B">
      <w:start w:val="1"/>
      <w:numFmt w:val="lowerRoman"/>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2" w15:restartNumberingAfterBreak="0">
    <w:nsid w:val="50E76B7A"/>
    <w:multiLevelType w:val="multilevel"/>
    <w:tmpl w:val="E8B8642C"/>
    <w:lvl w:ilvl="0">
      <w:start w:val="1"/>
      <w:numFmt w:val="decimal"/>
      <w:pStyle w:val="ApD1Head"/>
      <w:lvlText w:val="%1."/>
      <w:lvlJc w:val="left"/>
      <w:pPr>
        <w:ind w:left="360" w:hanging="360"/>
      </w:pPr>
    </w:lvl>
    <w:lvl w:ilvl="1">
      <w:start w:val="1"/>
      <w:numFmt w:val="decimal"/>
      <w:pStyle w:val="ApD2Head"/>
      <w:lvlText w:val="%1.%2."/>
      <w:lvlJc w:val="left"/>
      <w:pPr>
        <w:ind w:left="792" w:hanging="432"/>
      </w:pPr>
    </w:lvl>
    <w:lvl w:ilvl="2">
      <w:start w:val="1"/>
      <w:numFmt w:val="decimal"/>
      <w:pStyle w:val="ApD3Hea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C946E9"/>
    <w:multiLevelType w:val="multilevel"/>
    <w:tmpl w:val="D05A98FC"/>
    <w:lvl w:ilvl="0">
      <w:start w:val="1"/>
      <w:numFmt w:val="bullet"/>
      <w:lvlText w:val=""/>
      <w:lvlJc w:val="left"/>
      <w:pPr>
        <w:ind w:left="360" w:hanging="360"/>
      </w:pPr>
      <w:rPr>
        <w:rFonts w:ascii="Symbol" w:hAnsi="Symbol" w:hint="default"/>
        <w:color w:val="4F6228" w:themeColor="accent3" w:themeShade="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4"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86" w15:restartNumberingAfterBreak="0">
    <w:nsid w:val="572F5B9D"/>
    <w:multiLevelType w:val="multilevel"/>
    <w:tmpl w:val="1E588E16"/>
    <w:lvl w:ilvl="0">
      <w:start w:val="1"/>
      <w:numFmt w:val="bullet"/>
      <w:pStyle w:val="List-Question"/>
      <w:lvlText w:val=""/>
      <w:lvlJc w:val="left"/>
      <w:pPr>
        <w:ind w:left="485" w:hanging="360"/>
      </w:pPr>
      <w:rPr>
        <w:rFonts w:ascii="Webdings" w:hAnsi="Webdings" w:hint="default"/>
        <w:b w:val="0"/>
        <w:i w:val="0"/>
        <w:color w:val="401E6C"/>
        <w:spacing w:val="0"/>
        <w:w w:val="100"/>
        <w:kern w:val="0"/>
        <w:position w:val="0"/>
        <w:sz w:val="28"/>
      </w:rPr>
    </w:lvl>
    <w:lvl w:ilvl="1">
      <w:start w:val="1"/>
      <w:numFmt w:val="bullet"/>
      <w:lvlText w:val="▹"/>
      <w:lvlJc w:val="left"/>
      <w:pPr>
        <w:ind w:left="709" w:hanging="284"/>
      </w:pPr>
      <w:rPr>
        <w:rFonts w:ascii="Arial Unicode MS" w:eastAsia="Arial Unicode MS" w:hAnsi="Arial Unicode MS" w:cs="Times New Roman" w:hint="eastAsia"/>
        <w:b/>
        <w:i w:val="0"/>
        <w:color w:val="401E6C"/>
        <w:position w:val="-5"/>
        <w:sz w:val="3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A414A3"/>
    <w:multiLevelType w:val="multilevel"/>
    <w:tmpl w:val="B8E6D110"/>
    <w:lvl w:ilvl="0">
      <w:start w:val="1"/>
      <w:numFmt w:val="bullet"/>
      <w:lvlText w:val="Δ"/>
      <w:lvlJc w:val="left"/>
      <w:pPr>
        <w:ind w:left="360" w:hanging="360"/>
      </w:pPr>
      <w:rPr>
        <w:rFonts w:ascii="Calibri" w:hAnsi="Calibri" w:cs="Times New Roman" w:hint="default"/>
        <w:color w:val="B66113"/>
        <w:sz w:val="24"/>
      </w:rPr>
    </w:lvl>
    <w:lvl w:ilvl="1">
      <w:start w:val="1"/>
      <w:numFmt w:val="lowerRoman"/>
      <w:lvlText w:val="%2."/>
      <w:lvlJc w:val="right"/>
      <w:pPr>
        <w:ind w:left="720" w:hanging="360"/>
      </w:pPr>
      <w:rPr>
        <w:rFonts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89" w15:restartNumberingAfterBreak="0">
    <w:nsid w:val="5ACD44E9"/>
    <w:multiLevelType w:val="hybridMultilevel"/>
    <w:tmpl w:val="FA04F66E"/>
    <w:lvl w:ilvl="0" w:tplc="A08EE2B2">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C574A11"/>
    <w:multiLevelType w:val="multilevel"/>
    <w:tmpl w:val="8DB4AC64"/>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91" w15:restartNumberingAfterBreak="0">
    <w:nsid w:val="608178B5"/>
    <w:multiLevelType w:val="hybridMultilevel"/>
    <w:tmpl w:val="0442B1F8"/>
    <w:lvl w:ilvl="0" w:tplc="E83E1082">
      <w:start w:val="1"/>
      <w:numFmt w:val="bullet"/>
      <w:pStyle w:val="Tablecheckboxchecked"/>
      <w:lvlText w:val=""/>
      <w:lvlJc w:val="left"/>
      <w:pPr>
        <w:ind w:left="530" w:hanging="360"/>
      </w:pPr>
      <w:rPr>
        <w:rFonts w:ascii="Wingdings" w:hAnsi="Wingdings" w:hint="default"/>
        <w:position w:val="0"/>
        <w:sz w:val="18"/>
      </w:rPr>
    </w:lvl>
    <w:lvl w:ilvl="1" w:tplc="0C090003">
      <w:start w:val="1"/>
      <w:numFmt w:val="bullet"/>
      <w:lvlText w:val="o"/>
      <w:lvlJc w:val="left"/>
      <w:pPr>
        <w:ind w:left="1667" w:hanging="360"/>
      </w:pPr>
      <w:rPr>
        <w:rFonts w:ascii="Courier New" w:hAnsi="Courier New" w:cs="Courier New" w:hint="default"/>
      </w:rPr>
    </w:lvl>
    <w:lvl w:ilvl="2" w:tplc="0C090005">
      <w:start w:val="1"/>
      <w:numFmt w:val="bullet"/>
      <w:lvlText w:val=""/>
      <w:lvlJc w:val="left"/>
      <w:pPr>
        <w:ind w:left="2387" w:hanging="360"/>
      </w:pPr>
      <w:rPr>
        <w:rFonts w:ascii="Wingdings" w:hAnsi="Wingdings" w:hint="default"/>
      </w:rPr>
    </w:lvl>
    <w:lvl w:ilvl="3" w:tplc="0C090001">
      <w:start w:val="1"/>
      <w:numFmt w:val="bullet"/>
      <w:lvlText w:val=""/>
      <w:lvlJc w:val="left"/>
      <w:pPr>
        <w:ind w:left="3107" w:hanging="360"/>
      </w:pPr>
      <w:rPr>
        <w:rFonts w:ascii="Symbol" w:hAnsi="Symbol" w:hint="default"/>
      </w:rPr>
    </w:lvl>
    <w:lvl w:ilvl="4" w:tplc="0C090003">
      <w:start w:val="1"/>
      <w:numFmt w:val="bullet"/>
      <w:lvlText w:val="o"/>
      <w:lvlJc w:val="left"/>
      <w:pPr>
        <w:ind w:left="3827" w:hanging="360"/>
      </w:pPr>
      <w:rPr>
        <w:rFonts w:ascii="Courier New" w:hAnsi="Courier New" w:cs="Courier New" w:hint="default"/>
      </w:rPr>
    </w:lvl>
    <w:lvl w:ilvl="5" w:tplc="0C090005">
      <w:start w:val="1"/>
      <w:numFmt w:val="bullet"/>
      <w:lvlText w:val=""/>
      <w:lvlJc w:val="left"/>
      <w:pPr>
        <w:ind w:left="4547" w:hanging="360"/>
      </w:pPr>
      <w:rPr>
        <w:rFonts w:ascii="Wingdings" w:hAnsi="Wingdings" w:hint="default"/>
      </w:rPr>
    </w:lvl>
    <w:lvl w:ilvl="6" w:tplc="0C090001">
      <w:start w:val="1"/>
      <w:numFmt w:val="bullet"/>
      <w:lvlText w:val=""/>
      <w:lvlJc w:val="left"/>
      <w:pPr>
        <w:ind w:left="5267" w:hanging="360"/>
      </w:pPr>
      <w:rPr>
        <w:rFonts w:ascii="Symbol" w:hAnsi="Symbol" w:hint="default"/>
      </w:rPr>
    </w:lvl>
    <w:lvl w:ilvl="7" w:tplc="0C090003">
      <w:start w:val="1"/>
      <w:numFmt w:val="bullet"/>
      <w:lvlText w:val="o"/>
      <w:lvlJc w:val="left"/>
      <w:pPr>
        <w:ind w:left="5987" w:hanging="360"/>
      </w:pPr>
      <w:rPr>
        <w:rFonts w:ascii="Courier New" w:hAnsi="Courier New" w:cs="Courier New" w:hint="default"/>
      </w:rPr>
    </w:lvl>
    <w:lvl w:ilvl="8" w:tplc="0C090005">
      <w:start w:val="1"/>
      <w:numFmt w:val="bullet"/>
      <w:lvlText w:val=""/>
      <w:lvlJc w:val="left"/>
      <w:pPr>
        <w:ind w:left="6707" w:hanging="360"/>
      </w:pPr>
      <w:rPr>
        <w:rFonts w:ascii="Wingdings" w:hAnsi="Wingdings" w:hint="default"/>
      </w:rPr>
    </w:lvl>
  </w:abstractNum>
  <w:abstractNum w:abstractNumId="92" w15:restartNumberingAfterBreak="0">
    <w:nsid w:val="60B65FB6"/>
    <w:multiLevelType w:val="hybridMultilevel"/>
    <w:tmpl w:val="88AEFA1A"/>
    <w:lvl w:ilvl="0" w:tplc="80E8CCD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66B202CB"/>
    <w:multiLevelType w:val="hybridMultilevel"/>
    <w:tmpl w:val="76A4CC0C"/>
    <w:lvl w:ilvl="0" w:tplc="90F46322">
      <w:start w:val="1"/>
      <w:numFmt w:val="lowerLetter"/>
      <w:lvlText w:val="%1)"/>
      <w:lvlJc w:val="left"/>
      <w:pPr>
        <w:ind w:left="431" w:hanging="431"/>
      </w:pPr>
      <w:rPr>
        <w:rFonts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67451E1A"/>
    <w:multiLevelType w:val="multilevel"/>
    <w:tmpl w:val="FF2AAA86"/>
    <w:lvl w:ilvl="0">
      <w:start w:val="1"/>
      <w:numFmt w:val="bullet"/>
      <w:lvlText w:val=""/>
      <w:lvlJc w:val="left"/>
      <w:pPr>
        <w:ind w:left="488" w:hanging="363"/>
      </w:pPr>
      <w:rPr>
        <w:rFonts w:ascii="Webdings" w:hAnsi="Webdings" w:hint="default"/>
        <w:b w:val="0"/>
        <w:i w:val="0"/>
        <w:color w:val="81BD41"/>
        <w:spacing w:val="0"/>
        <w:w w:val="100"/>
        <w:kern w:val="0"/>
        <w:position w:val="-4"/>
        <w:sz w:val="36"/>
      </w:rPr>
    </w:lvl>
    <w:lvl w:ilvl="1">
      <w:start w:val="1"/>
      <w:numFmt w:val="bullet"/>
      <w:lvlText w:val="▷"/>
      <w:lvlJc w:val="left"/>
      <w:pPr>
        <w:ind w:left="709" w:hanging="284"/>
      </w:pPr>
      <w:rPr>
        <w:rFonts w:ascii="Arial Unicode MS" w:eastAsia="Arial Unicode MS" w:hAnsi="Arial Unicode MS" w:cs="Times New Roman" w:hint="eastAsia"/>
        <w:b/>
        <w:i w:val="0"/>
        <w:color w:val="81BD41"/>
        <w:position w:val="-5"/>
        <w:sz w:val="3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74F2080"/>
    <w:multiLevelType w:val="multilevel"/>
    <w:tmpl w:val="1B3652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67E9153F"/>
    <w:multiLevelType w:val="hybridMultilevel"/>
    <w:tmpl w:val="4AD43160"/>
    <w:lvl w:ilvl="0" w:tplc="4D7021CC">
      <w:start w:val="1"/>
      <w:numFmt w:val="bullet"/>
      <w:pStyle w:val="NormalBulleted"/>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F107557"/>
    <w:multiLevelType w:val="hybridMultilevel"/>
    <w:tmpl w:val="C964A0AA"/>
    <w:lvl w:ilvl="0" w:tplc="0409001B">
      <w:start w:val="1"/>
      <w:numFmt w:val="lowerRoman"/>
      <w:lvlText w:val="%1."/>
      <w:lvlJc w:val="right"/>
      <w:pPr>
        <w:ind w:left="1364" w:hanging="360"/>
      </w:pPr>
    </w:lvl>
    <w:lvl w:ilvl="1" w:tplc="0C090019">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98"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16212E3"/>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0"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FB222C"/>
    <w:multiLevelType w:val="hybridMultilevel"/>
    <w:tmpl w:val="A3CE8358"/>
    <w:lvl w:ilvl="0" w:tplc="7A2C5C92">
      <w:start w:val="1"/>
      <w:numFmt w:val="decimal"/>
      <w:pStyle w:val="Referencenumbered"/>
      <w:lvlText w:val="%1."/>
      <w:lvlJc w:val="left"/>
      <w:pPr>
        <w:tabs>
          <w:tab w:val="num" w:pos="357"/>
        </w:tabs>
        <w:ind w:left="357" w:hanging="357"/>
      </w:pPr>
      <w:rPr>
        <w:rFonts w:ascii="Arial" w:hAnsi="Arial" w:cs="Times New Roman" w:hint="default"/>
        <w:b w:val="0"/>
        <w:i w:val="0"/>
        <w:sz w:val="16"/>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2" w15:restartNumberingAfterBreak="0">
    <w:nsid w:val="74901B54"/>
    <w:multiLevelType w:val="hybridMultilevel"/>
    <w:tmpl w:val="474A79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4DD17BD"/>
    <w:multiLevelType w:val="multilevel"/>
    <w:tmpl w:val="8BE082AC"/>
    <w:lvl w:ilvl="0">
      <w:start w:val="1"/>
      <w:numFmt w:val="decimal"/>
      <w:pStyle w:val="Heading1numbered"/>
      <w:lvlText w:val="%1."/>
      <w:lvlJc w:val="left"/>
      <w:pPr>
        <w:ind w:left="567" w:hanging="567"/>
      </w:pPr>
      <w:rPr>
        <w:rFonts w:ascii="Arial Bold" w:hAnsi="Arial Bold" w:hint="default"/>
        <w:b/>
        <w:i w:val="0"/>
        <w:color w:val="401E6C"/>
        <w:sz w:val="42"/>
      </w:rPr>
    </w:lvl>
    <w:lvl w:ilvl="1">
      <w:start w:val="1"/>
      <w:numFmt w:val="decimal"/>
      <w:pStyle w:val="Heading2numbered"/>
      <w:lvlText w:val="%1.%2."/>
      <w:lvlJc w:val="left"/>
      <w:pPr>
        <w:ind w:left="680" w:hanging="680"/>
      </w:pPr>
      <w:rPr>
        <w:rFonts w:ascii="Arial Bold" w:hAnsi="Arial Bold" w:hint="default"/>
        <w:b/>
        <w:i w:val="0"/>
        <w:color w:val="401E6C"/>
        <w:sz w:val="28"/>
      </w:rPr>
    </w:lvl>
    <w:lvl w:ilvl="2">
      <w:start w:val="1"/>
      <w:numFmt w:val="decimal"/>
      <w:pStyle w:val="Heading3numbered"/>
      <w:lvlText w:val="%1.%2.%3."/>
      <w:lvlJc w:val="left"/>
      <w:pPr>
        <w:ind w:left="794" w:hanging="794"/>
      </w:pPr>
      <w:rPr>
        <w:rFonts w:ascii="Arial Bold" w:hAnsi="Arial Bold" w:hint="default"/>
        <w:b/>
        <w:i w:val="0"/>
        <w:color w:val="4D4D4D"/>
        <w:sz w:val="26"/>
      </w:rPr>
    </w:lvl>
    <w:lvl w:ilvl="3">
      <w:start w:val="1"/>
      <w:numFmt w:val="decimal"/>
      <w:pStyle w:val="Heading4numbered"/>
      <w:lvlText w:val="%1.%2.%3.%4."/>
      <w:lvlJc w:val="left"/>
      <w:pPr>
        <w:ind w:left="907" w:hanging="907"/>
      </w:pPr>
      <w:rPr>
        <w:rFonts w:ascii="Arial" w:hAnsi="Arial" w:cs="Times New Roman" w:hint="default"/>
        <w:b w:val="0"/>
        <w:i/>
        <w:color w:val="4D4D4D"/>
        <w:sz w:val="22"/>
      </w:rPr>
    </w:lvl>
    <w:lvl w:ilvl="4">
      <w:start w:val="1"/>
      <w:numFmt w:val="decimal"/>
      <w:pStyle w:val="Heading5numbered"/>
      <w:lvlText w:val="%1.%2.%3.%4.%5."/>
      <w:lvlJc w:val="left"/>
      <w:pPr>
        <w:ind w:left="1021" w:hanging="1021"/>
      </w:pPr>
      <w:rPr>
        <w:rFonts w:ascii="Arial Bold" w:hAnsi="Arial Bold" w:hint="default"/>
        <w:b/>
        <w:i w:val="0"/>
        <w:color w:val="4D4D4D"/>
        <w:sz w:val="2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76876275"/>
    <w:multiLevelType w:val="hybridMultilevel"/>
    <w:tmpl w:val="1A9C3966"/>
    <w:lvl w:ilvl="0" w:tplc="50ECC9E0">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76A6385"/>
    <w:multiLevelType w:val="hybridMultilevel"/>
    <w:tmpl w:val="26EEC7C2"/>
    <w:lvl w:ilvl="0" w:tplc="E3AA71C2">
      <w:start w:val="1"/>
      <w:numFmt w:val="decimal"/>
      <w:pStyle w:val="Boxtitle"/>
      <w:lvlText w:val="BOX %1: "/>
      <w:lvlJc w:val="left"/>
      <w:pPr>
        <w:ind w:left="360" w:hanging="360"/>
      </w:pPr>
      <w:rPr>
        <w:rFonts w:ascii="Arial Narrow" w:hAnsi="Arial Narrow" w:hint="default"/>
        <w:b/>
        <w:i w:val="0"/>
        <w:caps/>
        <w:color w:val="4B306A"/>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6"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cs="Times New Roman"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start w:val="1"/>
      <w:numFmt w:val="decimal"/>
      <w:lvlText w:val="%4."/>
      <w:lvlJc w:val="left"/>
      <w:pPr>
        <w:ind w:left="3804" w:hanging="360"/>
      </w:pPr>
    </w:lvl>
    <w:lvl w:ilvl="4" w:tplc="04090019">
      <w:start w:val="1"/>
      <w:numFmt w:val="lowerLetter"/>
      <w:lvlText w:val="%5."/>
      <w:lvlJc w:val="left"/>
      <w:pPr>
        <w:ind w:left="4524" w:hanging="360"/>
      </w:pPr>
    </w:lvl>
    <w:lvl w:ilvl="5" w:tplc="0409001B">
      <w:start w:val="1"/>
      <w:numFmt w:val="lowerRoman"/>
      <w:lvlText w:val="%6."/>
      <w:lvlJc w:val="right"/>
      <w:pPr>
        <w:ind w:left="5244" w:hanging="180"/>
      </w:pPr>
    </w:lvl>
    <w:lvl w:ilvl="6" w:tplc="0409000F">
      <w:start w:val="1"/>
      <w:numFmt w:val="decimal"/>
      <w:lvlText w:val="%7."/>
      <w:lvlJc w:val="left"/>
      <w:pPr>
        <w:ind w:left="5964" w:hanging="360"/>
      </w:pPr>
    </w:lvl>
    <w:lvl w:ilvl="7" w:tplc="04090019">
      <w:start w:val="1"/>
      <w:numFmt w:val="lowerLetter"/>
      <w:lvlText w:val="%8."/>
      <w:lvlJc w:val="left"/>
      <w:pPr>
        <w:ind w:left="6684" w:hanging="360"/>
      </w:pPr>
    </w:lvl>
    <w:lvl w:ilvl="8" w:tplc="0409001B">
      <w:start w:val="1"/>
      <w:numFmt w:val="lowerRoman"/>
      <w:lvlText w:val="%9."/>
      <w:lvlJc w:val="right"/>
      <w:pPr>
        <w:ind w:left="7404" w:hanging="180"/>
      </w:pPr>
    </w:lvl>
  </w:abstractNum>
  <w:abstractNum w:abstractNumId="107" w15:restartNumberingAfterBreak="0">
    <w:nsid w:val="7B8E557E"/>
    <w:multiLevelType w:val="multilevel"/>
    <w:tmpl w:val="2DBA922A"/>
    <w:lvl w:ilvl="0">
      <w:start w:val="1"/>
      <w:numFmt w:val="decimal"/>
      <w:pStyle w:val="05number1"/>
      <w:lvlText w:val="%1."/>
      <w:lvlJc w:val="left"/>
      <w:pPr>
        <w:ind w:left="360" w:hanging="360"/>
      </w:pPr>
      <w:rPr>
        <w:rFonts w:asciiTheme="minorHAnsi" w:hAnsiTheme="minorHAnsi" w:cs="Arial" w:hint="default"/>
        <w:color w:val="auto"/>
        <w:sz w:val="22"/>
        <w:szCs w:val="22"/>
      </w:rPr>
    </w:lvl>
    <w:lvl w:ilvl="1">
      <w:start w:val="1"/>
      <w:numFmt w:val="lowerLetter"/>
      <w:lvlText w:val="%2."/>
      <w:lvlJc w:val="left"/>
      <w:pPr>
        <w:tabs>
          <w:tab w:val="num" w:pos="646"/>
        </w:tabs>
        <w:ind w:left="646" w:hanging="289"/>
      </w:pPr>
      <w:rPr>
        <w:rFonts w:ascii="Arial" w:hAnsi="Arial" w:cs="Times New Roman" w:hint="default"/>
        <w:color w:val="auto"/>
        <w:sz w:val="22"/>
      </w:rPr>
    </w:lvl>
    <w:lvl w:ilvl="2">
      <w:start w:val="1"/>
      <w:numFmt w:val="decimal"/>
      <w:lvlText w:val="%3)"/>
      <w:lvlJc w:val="left"/>
      <w:pPr>
        <w:tabs>
          <w:tab w:val="num" w:pos="924"/>
        </w:tabs>
        <w:ind w:left="924" w:hanging="278"/>
      </w:pPr>
      <w:rPr>
        <w:rFonts w:ascii="Arial" w:hAnsi="Arial" w:cs="Times New Roman" w:hint="default"/>
        <w:color w:val="auto"/>
        <w:sz w:val="22"/>
      </w:rPr>
    </w:lvl>
    <w:lvl w:ilvl="3">
      <w:start w:val="1"/>
      <w:numFmt w:val="lowerLetter"/>
      <w:lvlText w:val="%4)"/>
      <w:lvlJc w:val="left"/>
      <w:pPr>
        <w:tabs>
          <w:tab w:val="num" w:pos="1213"/>
        </w:tabs>
        <w:ind w:left="1213" w:hanging="289"/>
      </w:pPr>
      <w:rPr>
        <w:rFonts w:asciiTheme="minorHAnsi" w:hAnsiTheme="minorHAnsi" w:cs="Times New Roman" w:hint="default"/>
        <w:b w:val="0"/>
        <w:i w:val="0"/>
        <w:color w:val="auto"/>
        <w:sz w:val="22"/>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08" w15:restartNumberingAfterBreak="0">
    <w:nsid w:val="7C3C6FDA"/>
    <w:multiLevelType w:val="hybridMultilevel"/>
    <w:tmpl w:val="8682A894"/>
    <w:styleLink w:val="Style22"/>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09" w15:restartNumberingAfterBreak="0">
    <w:nsid w:val="7C786C65"/>
    <w:multiLevelType w:val="hybridMultilevel"/>
    <w:tmpl w:val="9A228C18"/>
    <w:lvl w:ilvl="0" w:tplc="12488FEA">
      <w:start w:val="1"/>
      <w:numFmt w:val="bullet"/>
      <w:lvlText w:val=""/>
      <w:lvlJc w:val="left"/>
      <w:pPr>
        <w:ind w:left="431" w:hanging="431"/>
      </w:pPr>
      <w:rPr>
        <w:rFonts w:ascii="Symbol" w:hAnsi="Symbol" w:hint="default"/>
        <w:color w:val="4F6228" w:themeColor="accent3" w:themeShade="8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D0575B2"/>
    <w:multiLevelType w:val="multilevel"/>
    <w:tmpl w:val="239CA3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0"/>
      <w:lvlText w:val="%1.%2.%3"/>
      <w:lvlJc w:val="left"/>
      <w:pPr>
        <w:ind w:left="720"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11" w15:restartNumberingAfterBreak="0">
    <w:nsid w:val="7EDB59BA"/>
    <w:multiLevelType w:val="multilevel"/>
    <w:tmpl w:val="8DB4AC64"/>
    <w:numStyleLink w:val="Style2"/>
  </w:abstractNum>
  <w:abstractNum w:abstractNumId="112" w15:restartNumberingAfterBreak="0">
    <w:nsid w:val="7FD9764A"/>
    <w:multiLevelType w:val="hybridMultilevel"/>
    <w:tmpl w:val="1FB4B54E"/>
    <w:lvl w:ilvl="0" w:tplc="247C2F6E">
      <w:start w:val="1"/>
      <w:numFmt w:val="bullet"/>
      <w:pStyle w:val="Breakout-Question"/>
      <w:lvlText w:val="?"/>
      <w:lvlJc w:val="left"/>
      <w:pPr>
        <w:ind w:left="360" w:hanging="360"/>
      </w:pPr>
      <w:rPr>
        <w:rFonts w:ascii="Franklin Gothic Demi" w:hAnsi="Franklin Gothic Demi" w:hint="default"/>
        <w:b/>
        <w:i w:val="0"/>
        <w:color w:val="401E6C"/>
        <w:spacing w:val="0"/>
        <w:w w:val="100"/>
        <w:kern w:val="0"/>
        <w:position w:val="-6"/>
        <w:sz w:val="4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4"/>
  </w:num>
  <w:num w:numId="2">
    <w:abstractNumId w:val="66"/>
  </w:num>
  <w:num w:numId="3">
    <w:abstractNumId w:val="110"/>
  </w:num>
  <w:num w:numId="4">
    <w:abstractNumId w:val="98"/>
  </w:num>
  <w:num w:numId="5">
    <w:abstractNumId w:val="26"/>
  </w:num>
  <w:num w:numId="6">
    <w:abstractNumId w:val="43"/>
  </w:num>
  <w:num w:numId="7">
    <w:abstractNumId w:val="79"/>
  </w:num>
  <w:num w:numId="8">
    <w:abstractNumId w:val="66"/>
    <w:lvlOverride w:ilvl="0">
      <w:startOverride w:val="1"/>
    </w:lvlOverride>
  </w:num>
  <w:num w:numId="9">
    <w:abstractNumId w:val="24"/>
  </w:num>
  <w:num w:numId="10">
    <w:abstractNumId w:val="58"/>
  </w:num>
  <w:num w:numId="11">
    <w:abstractNumId w:val="59"/>
  </w:num>
  <w:num w:numId="12">
    <w:abstractNumId w:val="87"/>
  </w:num>
  <w:num w:numId="13">
    <w:abstractNumId w:val="25"/>
  </w:num>
  <w:num w:numId="14">
    <w:abstractNumId w:val="100"/>
  </w:num>
  <w:num w:numId="15">
    <w:abstractNumId w:val="32"/>
  </w:num>
  <w:num w:numId="16">
    <w:abstractNumId w:val="85"/>
  </w:num>
  <w:num w:numId="17">
    <w:abstractNumId w:val="90"/>
    <w:lvlOverride w:ilvl="1">
      <w:lvl w:ilvl="1">
        <w:start w:val="1"/>
        <w:numFmt w:val="bullet"/>
        <w:lvlText w:val="–"/>
        <w:lvlJc w:val="left"/>
        <w:pPr>
          <w:tabs>
            <w:tab w:val="num" w:pos="646"/>
          </w:tabs>
          <w:ind w:left="644" w:hanging="284"/>
        </w:pPr>
        <w:rPr>
          <w:rFonts w:ascii="Arial" w:hAnsi="Arial" w:hint="default"/>
          <w:color w:val="auto"/>
          <w:sz w:val="24"/>
        </w:rPr>
      </w:lvl>
    </w:lvlOverride>
    <w:lvlOverride w:ilvl="2">
      <w:lvl w:ilvl="2">
        <w:start w:val="1"/>
        <w:numFmt w:val="bullet"/>
        <w:lvlText w:val="□"/>
        <w:lvlJc w:val="left"/>
        <w:pPr>
          <w:tabs>
            <w:tab w:val="num" w:pos="924"/>
          </w:tabs>
          <w:ind w:left="927" w:hanging="283"/>
        </w:pPr>
        <w:rPr>
          <w:rFonts w:ascii="Times New Roman" w:hAnsi="Times New Roman" w:cs="Times New Roman" w:hint="default"/>
          <w:color w:val="auto"/>
          <w:sz w:val="20"/>
        </w:rPr>
      </w:lvl>
    </w:lvlOverride>
  </w:num>
  <w:num w:numId="18">
    <w:abstractNumId w:val="111"/>
    <w:lvlOverride w:ilvl="0">
      <w:lvl w:ilvl="0">
        <w:start w:val="1"/>
        <w:numFmt w:val="bullet"/>
        <w:pStyle w:val="01squarebullet"/>
        <w:lvlText w:val="Δ"/>
        <w:lvlJc w:val="left"/>
        <w:pPr>
          <w:ind w:left="720" w:hanging="360"/>
        </w:pPr>
        <w:rPr>
          <w:rFonts w:ascii="Calibri" w:hAnsi="Calibri" w:cs="Times New Roman" w:hint="default"/>
          <w:color w:val="B66113"/>
          <w:sz w:val="24"/>
        </w:rPr>
      </w:lvl>
    </w:lvlOverride>
  </w:num>
  <w:num w:numId="19">
    <w:abstractNumId w:val="96"/>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 w:numId="30">
    <w:abstractNumId w:val="80"/>
  </w:num>
  <w:num w:numId="31">
    <w:abstractNumId w:val="46"/>
  </w:num>
  <w:num w:numId="32">
    <w:abstractNumId w:val="108"/>
  </w:num>
  <w:num w:numId="33">
    <w:abstractNumId w:val="107"/>
  </w:num>
  <w:num w:numId="34">
    <w:abstractNumId w:val="29"/>
  </w:num>
  <w:num w:numId="35">
    <w:abstractNumId w:val="71"/>
  </w:num>
  <w:num w:numId="36">
    <w:abstractNumId w:val="106"/>
  </w:num>
  <w:num w:numId="37">
    <w:abstractNumId w:val="33"/>
  </w:num>
  <w:num w:numId="38">
    <w:abstractNumId w:val="101"/>
  </w:num>
  <w:num w:numId="39">
    <w:abstractNumId w:val="62"/>
  </w:num>
  <w:num w:numId="40">
    <w:abstractNumId w:val="103"/>
  </w:num>
  <w:num w:numId="41">
    <w:abstractNumId w:val="74"/>
  </w:num>
  <w:num w:numId="42">
    <w:abstractNumId w:val="14"/>
  </w:num>
  <w:num w:numId="43">
    <w:abstractNumId w:val="12"/>
  </w:num>
  <w:num w:numId="44">
    <w:abstractNumId w:val="53"/>
  </w:num>
  <w:num w:numId="45">
    <w:abstractNumId w:val="76"/>
  </w:num>
  <w:num w:numId="46">
    <w:abstractNumId w:val="51"/>
  </w:num>
  <w:num w:numId="47">
    <w:abstractNumId w:val="70"/>
  </w:num>
  <w:num w:numId="48">
    <w:abstractNumId w:val="73"/>
  </w:num>
  <w:num w:numId="49">
    <w:abstractNumId w:val="42"/>
  </w:num>
  <w:num w:numId="50">
    <w:abstractNumId w:val="105"/>
  </w:num>
  <w:num w:numId="51">
    <w:abstractNumId w:val="41"/>
  </w:num>
  <w:num w:numId="52">
    <w:abstractNumId w:val="16"/>
  </w:num>
  <w:num w:numId="53">
    <w:abstractNumId w:val="86"/>
  </w:num>
  <w:num w:numId="54">
    <w:abstractNumId w:val="13"/>
  </w:num>
  <w:num w:numId="55">
    <w:abstractNumId w:val="28"/>
  </w:num>
  <w:num w:numId="56">
    <w:abstractNumId w:val="112"/>
  </w:num>
  <w:num w:numId="57">
    <w:abstractNumId w:val="17"/>
  </w:num>
  <w:num w:numId="58">
    <w:abstractNumId w:val="94"/>
  </w:num>
  <w:num w:numId="59">
    <w:abstractNumId w:val="18"/>
  </w:num>
  <w:num w:numId="60">
    <w:abstractNumId w:val="52"/>
  </w:num>
  <w:num w:numId="61">
    <w:abstractNumId w:val="82"/>
  </w:num>
  <w:num w:numId="62">
    <w:abstractNumId w:val="15"/>
  </w:num>
  <w:num w:numId="63">
    <w:abstractNumId w:val="91"/>
  </w:num>
  <w:num w:numId="64">
    <w:abstractNumId w:val="90"/>
    <w:lvlOverride w:ilvl="0">
      <w:lvl w:ilvl="0">
        <w:start w:val="1"/>
        <w:numFmt w:val="bullet"/>
        <w:lvlText w:val="Δ"/>
        <w:lvlJc w:val="left"/>
        <w:pPr>
          <w:ind w:left="360" w:hanging="360"/>
        </w:pPr>
        <w:rPr>
          <w:rFonts w:ascii="Calibri" w:hAnsi="Calibri" w:cs="Times New Roman" w:hint="default"/>
          <w:color w:val="B66113"/>
          <w:sz w:val="24"/>
        </w:rPr>
      </w:lvl>
    </w:lvlOverride>
    <w:lvlOverride w:ilvl="1">
      <w:lvl w:ilvl="1">
        <w:start w:val="1"/>
        <w:numFmt w:val="bullet"/>
        <w:lvlText w:val="–"/>
        <w:lvlJc w:val="left"/>
        <w:pPr>
          <w:tabs>
            <w:tab w:val="num" w:pos="646"/>
          </w:tabs>
          <w:ind w:left="644" w:hanging="284"/>
        </w:pPr>
        <w:rPr>
          <w:rFonts w:ascii="Arial" w:hAnsi="Arial" w:cs="Times New Roman" w:hint="default"/>
          <w:color w:val="auto"/>
          <w:sz w:val="24"/>
        </w:rPr>
      </w:lvl>
    </w:lvlOverride>
    <w:lvlOverride w:ilvl="2">
      <w:lvl w:ilvl="2">
        <w:start w:val="1"/>
        <w:numFmt w:val="bullet"/>
        <w:lvlText w:val="□"/>
        <w:lvlJc w:val="left"/>
        <w:pPr>
          <w:tabs>
            <w:tab w:val="num" w:pos="924"/>
          </w:tabs>
          <w:ind w:left="927" w:hanging="283"/>
        </w:pPr>
        <w:rPr>
          <w:rFonts w:ascii="Times New Roman" w:hAnsi="Times New Roman" w:cs="Times New Roman" w:hint="default"/>
          <w:color w:val="auto"/>
          <w:sz w:val="20"/>
        </w:rPr>
      </w:lvl>
    </w:lvlOverride>
    <w:lvlOverride w:ilvl="3">
      <w:lvl w:ilvl="3">
        <w:start w:val="1"/>
        <w:numFmt w:val="bullet"/>
        <w:lvlText w:val="-"/>
        <w:lvlJc w:val="left"/>
        <w:pPr>
          <w:tabs>
            <w:tab w:val="num" w:pos="1213"/>
          </w:tabs>
          <w:ind w:left="1211" w:hanging="284"/>
        </w:pPr>
        <w:rPr>
          <w:rFonts w:ascii="Times New Roman" w:hAnsi="Times New Roman" w:cs="Times New Roman" w:hint="default"/>
          <w:color w:val="002960"/>
          <w:sz w:val="24"/>
        </w:rPr>
      </w:lvl>
    </w:lvlOverride>
    <w:lvlOverride w:ilvl="4">
      <w:lvl w:ilvl="4">
        <w:start w:val="1"/>
        <w:numFmt w:val="lowerLetter"/>
        <w:lvlText w:val="(%5)"/>
        <w:lvlJc w:val="left"/>
        <w:pPr>
          <w:tabs>
            <w:tab w:val="num" w:pos="1877"/>
          </w:tabs>
          <w:ind w:left="1877" w:hanging="360"/>
        </w:pPr>
        <w:rPr>
          <w:rFonts w:hint="default"/>
        </w:rPr>
      </w:lvl>
    </w:lvlOverride>
    <w:lvlOverride w:ilvl="5">
      <w:lvl w:ilvl="5">
        <w:start w:val="1"/>
        <w:numFmt w:val="lowerRoman"/>
        <w:lvlText w:val="(%6)"/>
        <w:lvlJc w:val="left"/>
        <w:pPr>
          <w:tabs>
            <w:tab w:val="num" w:pos="2237"/>
          </w:tabs>
          <w:ind w:left="2237" w:hanging="360"/>
        </w:pPr>
        <w:rPr>
          <w:rFonts w:hint="default"/>
        </w:rPr>
      </w:lvl>
    </w:lvlOverride>
    <w:lvlOverride w:ilvl="6">
      <w:lvl w:ilvl="6">
        <w:start w:val="1"/>
        <w:numFmt w:val="decimal"/>
        <w:lvlText w:val="%7."/>
        <w:lvlJc w:val="left"/>
        <w:pPr>
          <w:tabs>
            <w:tab w:val="num" w:pos="2597"/>
          </w:tabs>
          <w:ind w:left="2597" w:hanging="360"/>
        </w:pPr>
        <w:rPr>
          <w:rFonts w:hint="default"/>
        </w:rPr>
      </w:lvl>
    </w:lvlOverride>
    <w:lvlOverride w:ilvl="7">
      <w:lvl w:ilvl="7">
        <w:start w:val="1"/>
        <w:numFmt w:val="lowerLetter"/>
        <w:lvlText w:val="%8."/>
        <w:lvlJc w:val="left"/>
        <w:pPr>
          <w:tabs>
            <w:tab w:val="num" w:pos="2957"/>
          </w:tabs>
          <w:ind w:left="2957" w:hanging="360"/>
        </w:pPr>
        <w:rPr>
          <w:rFonts w:hint="default"/>
        </w:rPr>
      </w:lvl>
    </w:lvlOverride>
    <w:lvlOverride w:ilvl="8">
      <w:lvl w:ilvl="8">
        <w:start w:val="1"/>
        <w:numFmt w:val="lowerRoman"/>
        <w:lvlText w:val="%9."/>
        <w:lvlJc w:val="left"/>
        <w:pPr>
          <w:tabs>
            <w:tab w:val="num" w:pos="3317"/>
          </w:tabs>
          <w:ind w:left="3317" w:hanging="360"/>
        </w:pPr>
        <w:rPr>
          <w:rFonts w:hint="default"/>
        </w:rPr>
      </w:lvl>
    </w:lvlOverride>
  </w:num>
  <w:num w:numId="65">
    <w:abstractNumId w:val="90"/>
    <w:lvlOverride w:ilvl="0">
      <w:lvl w:ilvl="0">
        <w:numFmt w:val="decimal"/>
        <w:lvlText w:val=""/>
        <w:lvlJc w:val="left"/>
      </w:lvl>
    </w:lvlOverride>
    <w:lvlOverride w:ilvl="1">
      <w:startOverride w:val="1"/>
      <w:lvl w:ilvl="1">
        <w:start w:val="1"/>
        <w:numFmt w:val="bullet"/>
        <w:lvlText w:val="–"/>
        <w:lvlJc w:val="left"/>
        <w:pPr>
          <w:tabs>
            <w:tab w:val="num" w:pos="646"/>
          </w:tabs>
          <w:ind w:left="644" w:hanging="284"/>
        </w:pPr>
        <w:rPr>
          <w:rFonts w:ascii="Arial" w:hAnsi="Arial" w:cs="Times New Roman" w:hint="default"/>
          <w:color w:val="auto"/>
          <w:sz w:val="24"/>
        </w:rPr>
      </w:lvl>
    </w:lvlOverride>
    <w:lvlOverride w:ilvl="2">
      <w:lvl w:ilvl="2">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
    <w:abstractNumId w:val="45"/>
  </w:num>
  <w:num w:numId="67">
    <w:abstractNumId w:val="48"/>
  </w:num>
  <w:num w:numId="68">
    <w:abstractNumId w:val="56"/>
  </w:num>
  <w:num w:numId="69">
    <w:abstractNumId w:val="64"/>
  </w:num>
  <w:num w:numId="70">
    <w:abstractNumId w:val="68"/>
  </w:num>
  <w:num w:numId="71">
    <w:abstractNumId w:val="72"/>
  </w:num>
  <w:num w:numId="72">
    <w:abstractNumId w:val="77"/>
  </w:num>
  <w:num w:numId="73">
    <w:abstractNumId w:val="84"/>
  </w:num>
  <w:num w:numId="74">
    <w:abstractNumId w:val="99"/>
  </w:num>
  <w:num w:numId="75">
    <w:abstractNumId w:val="35"/>
  </w:num>
  <w:num w:numId="76">
    <w:abstractNumId w:val="69"/>
  </w:num>
  <w:num w:numId="77">
    <w:abstractNumId w:val="54"/>
  </w:num>
  <w:num w:numId="78">
    <w:abstractNumId w:val="83"/>
  </w:num>
  <w:num w:numId="79">
    <w:abstractNumId w:val="31"/>
  </w:num>
  <w:num w:numId="80">
    <w:abstractNumId w:val="55"/>
  </w:num>
  <w:num w:numId="81">
    <w:abstractNumId w:val="23"/>
  </w:num>
  <w:num w:numId="82">
    <w:abstractNumId w:val="30"/>
  </w:num>
  <w:num w:numId="83">
    <w:abstractNumId w:val="89"/>
  </w:num>
  <w:num w:numId="84">
    <w:abstractNumId w:val="22"/>
  </w:num>
  <w:num w:numId="85">
    <w:abstractNumId w:val="109"/>
  </w:num>
  <w:num w:numId="86">
    <w:abstractNumId w:val="36"/>
  </w:num>
  <w:num w:numId="87">
    <w:abstractNumId w:val="67"/>
  </w:num>
  <w:num w:numId="88">
    <w:abstractNumId w:val="44"/>
  </w:num>
  <w:num w:numId="89">
    <w:abstractNumId w:val="47"/>
  </w:num>
  <w:num w:numId="90">
    <w:abstractNumId w:val="104"/>
  </w:num>
  <w:num w:numId="91">
    <w:abstractNumId w:val="93"/>
  </w:num>
  <w:num w:numId="92">
    <w:abstractNumId w:val="50"/>
  </w:num>
  <w:num w:numId="93">
    <w:abstractNumId w:val="19"/>
  </w:num>
  <w:num w:numId="94">
    <w:abstractNumId w:val="92"/>
  </w:num>
  <w:num w:numId="95">
    <w:abstractNumId w:val="57"/>
  </w:num>
  <w:num w:numId="96">
    <w:abstractNumId w:val="38"/>
  </w:num>
  <w:num w:numId="9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
  </w:num>
  <w:num w:numId="100">
    <w:abstractNumId w:val="49"/>
  </w:num>
  <w:num w:numId="101">
    <w:abstractNumId w:val="20"/>
  </w:num>
  <w:num w:numId="102">
    <w:abstractNumId w:val="40"/>
  </w:num>
  <w:num w:numId="103">
    <w:abstractNumId w:val="60"/>
  </w:num>
  <w:num w:numId="104">
    <w:abstractNumId w:val="102"/>
  </w:num>
  <w:num w:numId="105">
    <w:abstractNumId w:val="65"/>
  </w:num>
  <w:num w:numId="106">
    <w:abstractNumId w:val="10"/>
  </w:num>
  <w:num w:numId="107">
    <w:abstractNumId w:val="97"/>
  </w:num>
  <w:num w:numId="108">
    <w:abstractNumId w:val="21"/>
  </w:num>
  <w:num w:numId="109">
    <w:abstractNumId w:val="27"/>
  </w:num>
  <w:num w:numId="110">
    <w:abstractNumId w:val="63"/>
  </w:num>
  <w:num w:numId="111">
    <w:abstractNumId w:val="78"/>
  </w:num>
  <w:num w:numId="112">
    <w:abstractNumId w:val="75"/>
  </w:num>
  <w:num w:numId="113">
    <w:abstractNumId w:val="81"/>
  </w:num>
  <w:num w:numId="114">
    <w:abstractNumId w:val="88"/>
  </w:num>
  <w:num w:numId="115">
    <w:abstractNumId w:val="39"/>
  </w:num>
  <w:num w:numId="116">
    <w:abstractNumId w:val="11"/>
  </w:num>
  <w:num w:numId="117">
    <w:abstractNumId w:val="32"/>
    <w:lvlOverride w:ilvl="0">
      <w:startOverride w:val="1"/>
    </w:lvlOverride>
    <w:lvlOverride w:ilvl="1"/>
    <w:lvlOverride w:ilvl="2"/>
    <w:lvlOverride w:ilvl="3"/>
    <w:lvlOverride w:ilvl="4"/>
    <w:lvlOverride w:ilvl="5"/>
    <w:lvlOverride w:ilvl="6"/>
    <w:lvlOverride w:ilvl="7"/>
    <w:lvlOverride w:ilvl="8"/>
  </w:num>
  <w:num w:numId="118">
    <w:abstractNumId w:val="61"/>
  </w:num>
  <w:num w:numId="119">
    <w:abstractNumId w:val="96"/>
  </w:num>
  <w:num w:numId="120">
    <w:abstractNumId w:val="110"/>
  </w:num>
  <w:num w:numId="121">
    <w:abstractNumId w:val="110"/>
  </w:num>
  <w:num w:numId="122">
    <w:abstractNumId w:val="110"/>
  </w:num>
  <w:num w:numId="123">
    <w:abstractNumId w:val="110"/>
  </w:num>
  <w:num w:numId="124">
    <w:abstractNumId w:val="110"/>
  </w:num>
  <w:num w:numId="125">
    <w:abstractNumId w:val="110"/>
  </w:num>
  <w:num w:numId="126">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saveSubset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CA" w:vendorID="64" w:dllVersion="131078" w:nlCheck="1" w:checkStyle="0"/>
  <w:activeWritingStyle w:appName="MSWord" w:lang="es-ES_tradnl"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3686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1FFF"/>
    <w:rsid w:val="00002222"/>
    <w:rsid w:val="00002477"/>
    <w:rsid w:val="00002678"/>
    <w:rsid w:val="000028AB"/>
    <w:rsid w:val="00002A0C"/>
    <w:rsid w:val="000036E5"/>
    <w:rsid w:val="000044E9"/>
    <w:rsid w:val="00004920"/>
    <w:rsid w:val="00004CCA"/>
    <w:rsid w:val="0000566B"/>
    <w:rsid w:val="00006915"/>
    <w:rsid w:val="0000693D"/>
    <w:rsid w:val="00006AE9"/>
    <w:rsid w:val="00007B18"/>
    <w:rsid w:val="00007CFB"/>
    <w:rsid w:val="000107B3"/>
    <w:rsid w:val="0001084A"/>
    <w:rsid w:val="0001291F"/>
    <w:rsid w:val="00012E74"/>
    <w:rsid w:val="0001359C"/>
    <w:rsid w:val="00013881"/>
    <w:rsid w:val="0001393A"/>
    <w:rsid w:val="000140C8"/>
    <w:rsid w:val="00014712"/>
    <w:rsid w:val="00014B3B"/>
    <w:rsid w:val="0001545C"/>
    <w:rsid w:val="00015973"/>
    <w:rsid w:val="00016A2E"/>
    <w:rsid w:val="00017563"/>
    <w:rsid w:val="00020196"/>
    <w:rsid w:val="00020431"/>
    <w:rsid w:val="00020587"/>
    <w:rsid w:val="000206BB"/>
    <w:rsid w:val="00020E0E"/>
    <w:rsid w:val="00021658"/>
    <w:rsid w:val="00021A9A"/>
    <w:rsid w:val="00022E87"/>
    <w:rsid w:val="0002353D"/>
    <w:rsid w:val="00023C89"/>
    <w:rsid w:val="00024230"/>
    <w:rsid w:val="000249C4"/>
    <w:rsid w:val="00024FE0"/>
    <w:rsid w:val="000253EC"/>
    <w:rsid w:val="00025B79"/>
    <w:rsid w:val="00027148"/>
    <w:rsid w:val="000278CF"/>
    <w:rsid w:val="00027C07"/>
    <w:rsid w:val="00027FC8"/>
    <w:rsid w:val="0003055F"/>
    <w:rsid w:val="000309CE"/>
    <w:rsid w:val="00030B28"/>
    <w:rsid w:val="00031095"/>
    <w:rsid w:val="00031ADE"/>
    <w:rsid w:val="00031E6C"/>
    <w:rsid w:val="00031F0C"/>
    <w:rsid w:val="00031F39"/>
    <w:rsid w:val="00032108"/>
    <w:rsid w:val="00032EA4"/>
    <w:rsid w:val="000337EF"/>
    <w:rsid w:val="00033DA4"/>
    <w:rsid w:val="0003544F"/>
    <w:rsid w:val="00035A74"/>
    <w:rsid w:val="00036C0E"/>
    <w:rsid w:val="000374B5"/>
    <w:rsid w:val="00040940"/>
    <w:rsid w:val="00040EAC"/>
    <w:rsid w:val="00040F54"/>
    <w:rsid w:val="000411E6"/>
    <w:rsid w:val="00041B0F"/>
    <w:rsid w:val="00041F25"/>
    <w:rsid w:val="00042A17"/>
    <w:rsid w:val="00043742"/>
    <w:rsid w:val="000440C2"/>
    <w:rsid w:val="000441C6"/>
    <w:rsid w:val="00045495"/>
    <w:rsid w:val="000459AD"/>
    <w:rsid w:val="00045F1B"/>
    <w:rsid w:val="00045F6B"/>
    <w:rsid w:val="00046AF0"/>
    <w:rsid w:val="00046C9C"/>
    <w:rsid w:val="00046ECC"/>
    <w:rsid w:val="00047145"/>
    <w:rsid w:val="0004772F"/>
    <w:rsid w:val="00047FB5"/>
    <w:rsid w:val="0005001C"/>
    <w:rsid w:val="000501C9"/>
    <w:rsid w:val="00050ED2"/>
    <w:rsid w:val="00050EF0"/>
    <w:rsid w:val="00051058"/>
    <w:rsid w:val="000531AF"/>
    <w:rsid w:val="000537C0"/>
    <w:rsid w:val="00053EC0"/>
    <w:rsid w:val="00054036"/>
    <w:rsid w:val="000544D2"/>
    <w:rsid w:val="00054D62"/>
    <w:rsid w:val="00055192"/>
    <w:rsid w:val="0005522D"/>
    <w:rsid w:val="0005557F"/>
    <w:rsid w:val="000556D8"/>
    <w:rsid w:val="000556FB"/>
    <w:rsid w:val="000558E5"/>
    <w:rsid w:val="00056CF7"/>
    <w:rsid w:val="00057AB0"/>
    <w:rsid w:val="00057F0D"/>
    <w:rsid w:val="00060C3B"/>
    <w:rsid w:val="00060C76"/>
    <w:rsid w:val="00061127"/>
    <w:rsid w:val="000612DC"/>
    <w:rsid w:val="000612E4"/>
    <w:rsid w:val="0006140B"/>
    <w:rsid w:val="0006177C"/>
    <w:rsid w:val="00062404"/>
    <w:rsid w:val="00062B74"/>
    <w:rsid w:val="0006309D"/>
    <w:rsid w:val="0006336F"/>
    <w:rsid w:val="00064465"/>
    <w:rsid w:val="0006464C"/>
    <w:rsid w:val="00064A52"/>
    <w:rsid w:val="0006504A"/>
    <w:rsid w:val="00065250"/>
    <w:rsid w:val="000653C1"/>
    <w:rsid w:val="000655C1"/>
    <w:rsid w:val="00065ADB"/>
    <w:rsid w:val="00066AF2"/>
    <w:rsid w:val="00067083"/>
    <w:rsid w:val="00067BEC"/>
    <w:rsid w:val="00067C58"/>
    <w:rsid w:val="00070239"/>
    <w:rsid w:val="00070347"/>
    <w:rsid w:val="000703EC"/>
    <w:rsid w:val="000707D3"/>
    <w:rsid w:val="00070CD8"/>
    <w:rsid w:val="0007194A"/>
    <w:rsid w:val="00071E47"/>
    <w:rsid w:val="0007261D"/>
    <w:rsid w:val="00072D68"/>
    <w:rsid w:val="00073660"/>
    <w:rsid w:val="000737C9"/>
    <w:rsid w:val="00074357"/>
    <w:rsid w:val="000744E0"/>
    <w:rsid w:val="00074D54"/>
    <w:rsid w:val="0007506F"/>
    <w:rsid w:val="0007623D"/>
    <w:rsid w:val="000765ED"/>
    <w:rsid w:val="00076AB6"/>
    <w:rsid w:val="00076C83"/>
    <w:rsid w:val="0007750B"/>
    <w:rsid w:val="000801A7"/>
    <w:rsid w:val="00080829"/>
    <w:rsid w:val="00080CAF"/>
    <w:rsid w:val="00081875"/>
    <w:rsid w:val="00081DD2"/>
    <w:rsid w:val="00081F8E"/>
    <w:rsid w:val="00082219"/>
    <w:rsid w:val="00082CEB"/>
    <w:rsid w:val="000831DB"/>
    <w:rsid w:val="000838B7"/>
    <w:rsid w:val="00083CF7"/>
    <w:rsid w:val="00083E2A"/>
    <w:rsid w:val="0008448B"/>
    <w:rsid w:val="00084B53"/>
    <w:rsid w:val="00084F7A"/>
    <w:rsid w:val="00085C67"/>
    <w:rsid w:val="0008648C"/>
    <w:rsid w:val="000869E6"/>
    <w:rsid w:val="00086AFF"/>
    <w:rsid w:val="00086C40"/>
    <w:rsid w:val="00086FD0"/>
    <w:rsid w:val="0008778F"/>
    <w:rsid w:val="00087975"/>
    <w:rsid w:val="00091AC3"/>
    <w:rsid w:val="000923EA"/>
    <w:rsid w:val="00092416"/>
    <w:rsid w:val="00092463"/>
    <w:rsid w:val="0009284F"/>
    <w:rsid w:val="00092AB5"/>
    <w:rsid w:val="00093404"/>
    <w:rsid w:val="00094411"/>
    <w:rsid w:val="000958FE"/>
    <w:rsid w:val="000959B5"/>
    <w:rsid w:val="00097A82"/>
    <w:rsid w:val="000A0939"/>
    <w:rsid w:val="000A0C01"/>
    <w:rsid w:val="000A126D"/>
    <w:rsid w:val="000A2C3B"/>
    <w:rsid w:val="000A38E3"/>
    <w:rsid w:val="000A3C55"/>
    <w:rsid w:val="000A3FBE"/>
    <w:rsid w:val="000A4EF9"/>
    <w:rsid w:val="000A5376"/>
    <w:rsid w:val="000A705B"/>
    <w:rsid w:val="000B0FB3"/>
    <w:rsid w:val="000B167F"/>
    <w:rsid w:val="000B18FD"/>
    <w:rsid w:val="000B197F"/>
    <w:rsid w:val="000B24D3"/>
    <w:rsid w:val="000B2534"/>
    <w:rsid w:val="000B2AAD"/>
    <w:rsid w:val="000B2FBB"/>
    <w:rsid w:val="000B30AF"/>
    <w:rsid w:val="000B3DCA"/>
    <w:rsid w:val="000B48DB"/>
    <w:rsid w:val="000B4B1F"/>
    <w:rsid w:val="000B4CE8"/>
    <w:rsid w:val="000B4D61"/>
    <w:rsid w:val="000B4EB8"/>
    <w:rsid w:val="000B5054"/>
    <w:rsid w:val="000B52C9"/>
    <w:rsid w:val="000B544F"/>
    <w:rsid w:val="000B710A"/>
    <w:rsid w:val="000B7216"/>
    <w:rsid w:val="000B76F2"/>
    <w:rsid w:val="000B7F3F"/>
    <w:rsid w:val="000C0CE4"/>
    <w:rsid w:val="000C10BE"/>
    <w:rsid w:val="000C2086"/>
    <w:rsid w:val="000C2699"/>
    <w:rsid w:val="000C2768"/>
    <w:rsid w:val="000C2F11"/>
    <w:rsid w:val="000C3378"/>
    <w:rsid w:val="000C366C"/>
    <w:rsid w:val="000C4035"/>
    <w:rsid w:val="000C41CB"/>
    <w:rsid w:val="000C421B"/>
    <w:rsid w:val="000C4756"/>
    <w:rsid w:val="000C498A"/>
    <w:rsid w:val="000C548F"/>
    <w:rsid w:val="000C54E8"/>
    <w:rsid w:val="000C565E"/>
    <w:rsid w:val="000C5F18"/>
    <w:rsid w:val="000C70F5"/>
    <w:rsid w:val="000C7305"/>
    <w:rsid w:val="000C7A37"/>
    <w:rsid w:val="000C7B86"/>
    <w:rsid w:val="000D1176"/>
    <w:rsid w:val="000D14E3"/>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9F9"/>
    <w:rsid w:val="000D7E75"/>
    <w:rsid w:val="000D7F4F"/>
    <w:rsid w:val="000E015A"/>
    <w:rsid w:val="000E03E7"/>
    <w:rsid w:val="000E0690"/>
    <w:rsid w:val="000E07AD"/>
    <w:rsid w:val="000E0950"/>
    <w:rsid w:val="000E13E8"/>
    <w:rsid w:val="000E1636"/>
    <w:rsid w:val="000E1934"/>
    <w:rsid w:val="000E1B03"/>
    <w:rsid w:val="000E1BE2"/>
    <w:rsid w:val="000E2050"/>
    <w:rsid w:val="000E28DA"/>
    <w:rsid w:val="000E2F64"/>
    <w:rsid w:val="000E347D"/>
    <w:rsid w:val="000E39CD"/>
    <w:rsid w:val="000E3DE0"/>
    <w:rsid w:val="000E4A79"/>
    <w:rsid w:val="000E4F24"/>
    <w:rsid w:val="000E521E"/>
    <w:rsid w:val="000E5530"/>
    <w:rsid w:val="000E5E69"/>
    <w:rsid w:val="000E6B0A"/>
    <w:rsid w:val="000E6C56"/>
    <w:rsid w:val="000E70E3"/>
    <w:rsid w:val="000E7727"/>
    <w:rsid w:val="000F0B7D"/>
    <w:rsid w:val="000F0D2A"/>
    <w:rsid w:val="000F0F68"/>
    <w:rsid w:val="000F0F7F"/>
    <w:rsid w:val="000F1311"/>
    <w:rsid w:val="000F2CDA"/>
    <w:rsid w:val="000F2E2B"/>
    <w:rsid w:val="000F2E9B"/>
    <w:rsid w:val="000F3C1E"/>
    <w:rsid w:val="000F3F4F"/>
    <w:rsid w:val="000F4DB6"/>
    <w:rsid w:val="000F5115"/>
    <w:rsid w:val="000F6378"/>
    <w:rsid w:val="000F66C0"/>
    <w:rsid w:val="000F6A75"/>
    <w:rsid w:val="000F6EE9"/>
    <w:rsid w:val="000F705F"/>
    <w:rsid w:val="000F72BF"/>
    <w:rsid w:val="000F7608"/>
    <w:rsid w:val="000F7D1F"/>
    <w:rsid w:val="0010003C"/>
    <w:rsid w:val="0010008F"/>
    <w:rsid w:val="00101268"/>
    <w:rsid w:val="00101410"/>
    <w:rsid w:val="001017BA"/>
    <w:rsid w:val="00101DE4"/>
    <w:rsid w:val="00101DFA"/>
    <w:rsid w:val="00101E86"/>
    <w:rsid w:val="00102280"/>
    <w:rsid w:val="00102941"/>
    <w:rsid w:val="00102D12"/>
    <w:rsid w:val="00102D40"/>
    <w:rsid w:val="00103830"/>
    <w:rsid w:val="00103DA5"/>
    <w:rsid w:val="00104311"/>
    <w:rsid w:val="00104D7C"/>
    <w:rsid w:val="00105EB2"/>
    <w:rsid w:val="00106078"/>
    <w:rsid w:val="0010664E"/>
    <w:rsid w:val="00106987"/>
    <w:rsid w:val="00106F4B"/>
    <w:rsid w:val="00106FA6"/>
    <w:rsid w:val="00107B15"/>
    <w:rsid w:val="001104FA"/>
    <w:rsid w:val="00110719"/>
    <w:rsid w:val="0011099B"/>
    <w:rsid w:val="001114C1"/>
    <w:rsid w:val="0011158E"/>
    <w:rsid w:val="0011166D"/>
    <w:rsid w:val="00111A0E"/>
    <w:rsid w:val="001121E7"/>
    <w:rsid w:val="001122B9"/>
    <w:rsid w:val="001127A4"/>
    <w:rsid w:val="00112C49"/>
    <w:rsid w:val="00113907"/>
    <w:rsid w:val="0011395E"/>
    <w:rsid w:val="001141BB"/>
    <w:rsid w:val="001143E8"/>
    <w:rsid w:val="001145A1"/>
    <w:rsid w:val="00114D06"/>
    <w:rsid w:val="00114E0F"/>
    <w:rsid w:val="0011540D"/>
    <w:rsid w:val="00115549"/>
    <w:rsid w:val="001156AF"/>
    <w:rsid w:val="00115F6A"/>
    <w:rsid w:val="00116136"/>
    <w:rsid w:val="00116533"/>
    <w:rsid w:val="00116BB6"/>
    <w:rsid w:val="0011770F"/>
    <w:rsid w:val="001201D4"/>
    <w:rsid w:val="0012096A"/>
    <w:rsid w:val="00120E25"/>
    <w:rsid w:val="00120FDE"/>
    <w:rsid w:val="00122717"/>
    <w:rsid w:val="00122E25"/>
    <w:rsid w:val="00123147"/>
    <w:rsid w:val="00123D3B"/>
    <w:rsid w:val="00124A29"/>
    <w:rsid w:val="00125F82"/>
    <w:rsid w:val="001265B1"/>
    <w:rsid w:val="00126E67"/>
    <w:rsid w:val="0012701C"/>
    <w:rsid w:val="00127BD9"/>
    <w:rsid w:val="00131578"/>
    <w:rsid w:val="00132336"/>
    <w:rsid w:val="001329BB"/>
    <w:rsid w:val="00132F58"/>
    <w:rsid w:val="00135D05"/>
    <w:rsid w:val="0013638A"/>
    <w:rsid w:val="00136C3E"/>
    <w:rsid w:val="00136E05"/>
    <w:rsid w:val="0013789F"/>
    <w:rsid w:val="00142C57"/>
    <w:rsid w:val="0014315F"/>
    <w:rsid w:val="0014366A"/>
    <w:rsid w:val="00143948"/>
    <w:rsid w:val="00143A60"/>
    <w:rsid w:val="00145358"/>
    <w:rsid w:val="001453BB"/>
    <w:rsid w:val="001461F3"/>
    <w:rsid w:val="00146272"/>
    <w:rsid w:val="0014694A"/>
    <w:rsid w:val="001472FA"/>
    <w:rsid w:val="001479CB"/>
    <w:rsid w:val="00147EBE"/>
    <w:rsid w:val="00150C38"/>
    <w:rsid w:val="00151388"/>
    <w:rsid w:val="0015141E"/>
    <w:rsid w:val="001514D7"/>
    <w:rsid w:val="001518D4"/>
    <w:rsid w:val="001518DA"/>
    <w:rsid w:val="00151AAE"/>
    <w:rsid w:val="00151F01"/>
    <w:rsid w:val="00152849"/>
    <w:rsid w:val="00152C99"/>
    <w:rsid w:val="00152CFA"/>
    <w:rsid w:val="001530FC"/>
    <w:rsid w:val="00153816"/>
    <w:rsid w:val="001542EF"/>
    <w:rsid w:val="001545AB"/>
    <w:rsid w:val="001548FB"/>
    <w:rsid w:val="0015505E"/>
    <w:rsid w:val="001553A5"/>
    <w:rsid w:val="00155CB6"/>
    <w:rsid w:val="001560F9"/>
    <w:rsid w:val="00157102"/>
    <w:rsid w:val="00157337"/>
    <w:rsid w:val="00157784"/>
    <w:rsid w:val="0015789A"/>
    <w:rsid w:val="00157F85"/>
    <w:rsid w:val="00160601"/>
    <w:rsid w:val="001611A5"/>
    <w:rsid w:val="001614A0"/>
    <w:rsid w:val="0016298C"/>
    <w:rsid w:val="001629A1"/>
    <w:rsid w:val="001629F3"/>
    <w:rsid w:val="00162C3E"/>
    <w:rsid w:val="001631CB"/>
    <w:rsid w:val="00163874"/>
    <w:rsid w:val="00163AA0"/>
    <w:rsid w:val="001643F5"/>
    <w:rsid w:val="00164423"/>
    <w:rsid w:val="0016604A"/>
    <w:rsid w:val="001661F8"/>
    <w:rsid w:val="0016694A"/>
    <w:rsid w:val="00166CAF"/>
    <w:rsid w:val="00166D14"/>
    <w:rsid w:val="00167150"/>
    <w:rsid w:val="001672F2"/>
    <w:rsid w:val="001677C8"/>
    <w:rsid w:val="001700F4"/>
    <w:rsid w:val="001701C0"/>
    <w:rsid w:val="001704D2"/>
    <w:rsid w:val="00170846"/>
    <w:rsid w:val="0017098E"/>
    <w:rsid w:val="00170A64"/>
    <w:rsid w:val="00170F32"/>
    <w:rsid w:val="00171193"/>
    <w:rsid w:val="001717C6"/>
    <w:rsid w:val="00171AC1"/>
    <w:rsid w:val="00171BA8"/>
    <w:rsid w:val="00171DB2"/>
    <w:rsid w:val="001722C6"/>
    <w:rsid w:val="0017270D"/>
    <w:rsid w:val="001727E3"/>
    <w:rsid w:val="00172A0E"/>
    <w:rsid w:val="00174822"/>
    <w:rsid w:val="00174940"/>
    <w:rsid w:val="00174A70"/>
    <w:rsid w:val="00174BD7"/>
    <w:rsid w:val="00175BCE"/>
    <w:rsid w:val="00176080"/>
    <w:rsid w:val="0017625E"/>
    <w:rsid w:val="00176D6E"/>
    <w:rsid w:val="00176F32"/>
    <w:rsid w:val="00177E5A"/>
    <w:rsid w:val="00177E9F"/>
    <w:rsid w:val="0018075E"/>
    <w:rsid w:val="001807AC"/>
    <w:rsid w:val="001807ED"/>
    <w:rsid w:val="00181C5E"/>
    <w:rsid w:val="0018209E"/>
    <w:rsid w:val="001825EC"/>
    <w:rsid w:val="00182A9B"/>
    <w:rsid w:val="00182CAC"/>
    <w:rsid w:val="00183251"/>
    <w:rsid w:val="0018384D"/>
    <w:rsid w:val="0018389D"/>
    <w:rsid w:val="00184199"/>
    <w:rsid w:val="001842C4"/>
    <w:rsid w:val="001849D5"/>
    <w:rsid w:val="00184B8B"/>
    <w:rsid w:val="001869DD"/>
    <w:rsid w:val="00186CD0"/>
    <w:rsid w:val="00187050"/>
    <w:rsid w:val="001871A8"/>
    <w:rsid w:val="00187333"/>
    <w:rsid w:val="00187F36"/>
    <w:rsid w:val="00190347"/>
    <w:rsid w:val="001906B0"/>
    <w:rsid w:val="00191078"/>
    <w:rsid w:val="0019117E"/>
    <w:rsid w:val="00192413"/>
    <w:rsid w:val="001925E8"/>
    <w:rsid w:val="00192897"/>
    <w:rsid w:val="00192B0B"/>
    <w:rsid w:val="00192F97"/>
    <w:rsid w:val="001937BB"/>
    <w:rsid w:val="001938F8"/>
    <w:rsid w:val="001951F7"/>
    <w:rsid w:val="001957F8"/>
    <w:rsid w:val="00195D92"/>
    <w:rsid w:val="00196AA8"/>
    <w:rsid w:val="00196D11"/>
    <w:rsid w:val="00196F67"/>
    <w:rsid w:val="00197283"/>
    <w:rsid w:val="0019747D"/>
    <w:rsid w:val="001975C4"/>
    <w:rsid w:val="0019781D"/>
    <w:rsid w:val="00197F7F"/>
    <w:rsid w:val="001A078E"/>
    <w:rsid w:val="001A0E75"/>
    <w:rsid w:val="001A10D5"/>
    <w:rsid w:val="001A128A"/>
    <w:rsid w:val="001A14A8"/>
    <w:rsid w:val="001A1B51"/>
    <w:rsid w:val="001A1DBA"/>
    <w:rsid w:val="001A1FC5"/>
    <w:rsid w:val="001A2772"/>
    <w:rsid w:val="001A2F4C"/>
    <w:rsid w:val="001A3164"/>
    <w:rsid w:val="001A3B71"/>
    <w:rsid w:val="001A3D86"/>
    <w:rsid w:val="001A4524"/>
    <w:rsid w:val="001A4A4C"/>
    <w:rsid w:val="001A4AEB"/>
    <w:rsid w:val="001A5017"/>
    <w:rsid w:val="001A56B3"/>
    <w:rsid w:val="001A71AB"/>
    <w:rsid w:val="001A7629"/>
    <w:rsid w:val="001A7644"/>
    <w:rsid w:val="001B0195"/>
    <w:rsid w:val="001B05C2"/>
    <w:rsid w:val="001B0A48"/>
    <w:rsid w:val="001B0EFC"/>
    <w:rsid w:val="001B1416"/>
    <w:rsid w:val="001B1EC2"/>
    <w:rsid w:val="001B21CA"/>
    <w:rsid w:val="001B28EA"/>
    <w:rsid w:val="001B3443"/>
    <w:rsid w:val="001B36A2"/>
    <w:rsid w:val="001B44C3"/>
    <w:rsid w:val="001B4762"/>
    <w:rsid w:val="001B5B16"/>
    <w:rsid w:val="001B7A86"/>
    <w:rsid w:val="001B7D4C"/>
    <w:rsid w:val="001B7DCA"/>
    <w:rsid w:val="001C032F"/>
    <w:rsid w:val="001C1428"/>
    <w:rsid w:val="001C152C"/>
    <w:rsid w:val="001C1650"/>
    <w:rsid w:val="001C172A"/>
    <w:rsid w:val="001C1BDF"/>
    <w:rsid w:val="001C2780"/>
    <w:rsid w:val="001C2AA1"/>
    <w:rsid w:val="001C2CAA"/>
    <w:rsid w:val="001C2D99"/>
    <w:rsid w:val="001C2FE0"/>
    <w:rsid w:val="001C37C5"/>
    <w:rsid w:val="001C3D07"/>
    <w:rsid w:val="001C5E1D"/>
    <w:rsid w:val="001C5E2F"/>
    <w:rsid w:val="001C610D"/>
    <w:rsid w:val="001C719B"/>
    <w:rsid w:val="001C7535"/>
    <w:rsid w:val="001C79A8"/>
    <w:rsid w:val="001D0278"/>
    <w:rsid w:val="001D0D1A"/>
    <w:rsid w:val="001D0F3F"/>
    <w:rsid w:val="001D1098"/>
    <w:rsid w:val="001D226A"/>
    <w:rsid w:val="001D2AF1"/>
    <w:rsid w:val="001D3697"/>
    <w:rsid w:val="001D4C7C"/>
    <w:rsid w:val="001D507E"/>
    <w:rsid w:val="001D658B"/>
    <w:rsid w:val="001D7199"/>
    <w:rsid w:val="001D73E5"/>
    <w:rsid w:val="001D7C3C"/>
    <w:rsid w:val="001D7C4E"/>
    <w:rsid w:val="001D7F51"/>
    <w:rsid w:val="001E0124"/>
    <w:rsid w:val="001E0A42"/>
    <w:rsid w:val="001E0B5F"/>
    <w:rsid w:val="001E13BA"/>
    <w:rsid w:val="001E146E"/>
    <w:rsid w:val="001E197E"/>
    <w:rsid w:val="001E1B30"/>
    <w:rsid w:val="001E2467"/>
    <w:rsid w:val="001E26B2"/>
    <w:rsid w:val="001E2778"/>
    <w:rsid w:val="001E2E7D"/>
    <w:rsid w:val="001E2FA6"/>
    <w:rsid w:val="001E3134"/>
    <w:rsid w:val="001E3E01"/>
    <w:rsid w:val="001E3E7E"/>
    <w:rsid w:val="001E4930"/>
    <w:rsid w:val="001E4B81"/>
    <w:rsid w:val="001E59A7"/>
    <w:rsid w:val="001E68C9"/>
    <w:rsid w:val="001E7BD7"/>
    <w:rsid w:val="001F012F"/>
    <w:rsid w:val="001F051E"/>
    <w:rsid w:val="001F0EAF"/>
    <w:rsid w:val="001F0F85"/>
    <w:rsid w:val="001F1135"/>
    <w:rsid w:val="001F11CE"/>
    <w:rsid w:val="001F134F"/>
    <w:rsid w:val="001F1810"/>
    <w:rsid w:val="001F297A"/>
    <w:rsid w:val="001F45A9"/>
    <w:rsid w:val="001F4AE6"/>
    <w:rsid w:val="001F50C1"/>
    <w:rsid w:val="001F5AB3"/>
    <w:rsid w:val="001F736E"/>
    <w:rsid w:val="001F7873"/>
    <w:rsid w:val="002009CD"/>
    <w:rsid w:val="00200F16"/>
    <w:rsid w:val="00201125"/>
    <w:rsid w:val="0020199E"/>
    <w:rsid w:val="00202BC7"/>
    <w:rsid w:val="00202DB4"/>
    <w:rsid w:val="0020352E"/>
    <w:rsid w:val="00204534"/>
    <w:rsid w:val="00204BEE"/>
    <w:rsid w:val="0020555B"/>
    <w:rsid w:val="00205BC3"/>
    <w:rsid w:val="00205C46"/>
    <w:rsid w:val="00206F6E"/>
    <w:rsid w:val="00206FEA"/>
    <w:rsid w:val="00206FF1"/>
    <w:rsid w:val="002074CE"/>
    <w:rsid w:val="0020796B"/>
    <w:rsid w:val="002079A4"/>
    <w:rsid w:val="002105F7"/>
    <w:rsid w:val="0021097C"/>
    <w:rsid w:val="00210A7C"/>
    <w:rsid w:val="00211A73"/>
    <w:rsid w:val="00211FE7"/>
    <w:rsid w:val="00212975"/>
    <w:rsid w:val="002129AE"/>
    <w:rsid w:val="00212AF8"/>
    <w:rsid w:val="00212BB5"/>
    <w:rsid w:val="002132C5"/>
    <w:rsid w:val="00213592"/>
    <w:rsid w:val="0021404D"/>
    <w:rsid w:val="002147B7"/>
    <w:rsid w:val="00214AF6"/>
    <w:rsid w:val="00214C93"/>
    <w:rsid w:val="00215607"/>
    <w:rsid w:val="00215A2B"/>
    <w:rsid w:val="00215CDD"/>
    <w:rsid w:val="002161AE"/>
    <w:rsid w:val="00216340"/>
    <w:rsid w:val="00216901"/>
    <w:rsid w:val="00216DD6"/>
    <w:rsid w:val="002173D9"/>
    <w:rsid w:val="002175F5"/>
    <w:rsid w:val="0021772A"/>
    <w:rsid w:val="00220C72"/>
    <w:rsid w:val="00221664"/>
    <w:rsid w:val="00221F03"/>
    <w:rsid w:val="0022219C"/>
    <w:rsid w:val="002227B6"/>
    <w:rsid w:val="002229DB"/>
    <w:rsid w:val="00222E2F"/>
    <w:rsid w:val="0022331C"/>
    <w:rsid w:val="00224135"/>
    <w:rsid w:val="00224AC8"/>
    <w:rsid w:val="00225887"/>
    <w:rsid w:val="002262DB"/>
    <w:rsid w:val="002269B5"/>
    <w:rsid w:val="00226CA6"/>
    <w:rsid w:val="00226E62"/>
    <w:rsid w:val="0022729C"/>
    <w:rsid w:val="00227512"/>
    <w:rsid w:val="00227705"/>
    <w:rsid w:val="00227753"/>
    <w:rsid w:val="00230619"/>
    <w:rsid w:val="0023138C"/>
    <w:rsid w:val="00231418"/>
    <w:rsid w:val="0023150C"/>
    <w:rsid w:val="00231835"/>
    <w:rsid w:val="00231ACE"/>
    <w:rsid w:val="00231B4C"/>
    <w:rsid w:val="00231E3D"/>
    <w:rsid w:val="00233CC6"/>
    <w:rsid w:val="002345FA"/>
    <w:rsid w:val="00234812"/>
    <w:rsid w:val="002355B4"/>
    <w:rsid w:val="00235840"/>
    <w:rsid w:val="00235892"/>
    <w:rsid w:val="00235DD0"/>
    <w:rsid w:val="00236BB7"/>
    <w:rsid w:val="00236FB1"/>
    <w:rsid w:val="00237403"/>
    <w:rsid w:val="002378DB"/>
    <w:rsid w:val="00237BA5"/>
    <w:rsid w:val="002400C9"/>
    <w:rsid w:val="002407CB"/>
    <w:rsid w:val="00240A81"/>
    <w:rsid w:val="00240CAF"/>
    <w:rsid w:val="00240E05"/>
    <w:rsid w:val="00241429"/>
    <w:rsid w:val="00241D60"/>
    <w:rsid w:val="00241E3C"/>
    <w:rsid w:val="002429D9"/>
    <w:rsid w:val="00242CF5"/>
    <w:rsid w:val="0024332A"/>
    <w:rsid w:val="00243A06"/>
    <w:rsid w:val="00243BE2"/>
    <w:rsid w:val="00243CB0"/>
    <w:rsid w:val="00244CFB"/>
    <w:rsid w:val="002454FD"/>
    <w:rsid w:val="0024720B"/>
    <w:rsid w:val="002477A3"/>
    <w:rsid w:val="002478C9"/>
    <w:rsid w:val="00247E56"/>
    <w:rsid w:val="00250831"/>
    <w:rsid w:val="002508D0"/>
    <w:rsid w:val="0025096F"/>
    <w:rsid w:val="00251269"/>
    <w:rsid w:val="002513F9"/>
    <w:rsid w:val="00251B9C"/>
    <w:rsid w:val="00251EEE"/>
    <w:rsid w:val="00251FF0"/>
    <w:rsid w:val="00252A33"/>
    <w:rsid w:val="00252AC9"/>
    <w:rsid w:val="0025322B"/>
    <w:rsid w:val="00253414"/>
    <w:rsid w:val="00253780"/>
    <w:rsid w:val="00253F2C"/>
    <w:rsid w:val="0025405E"/>
    <w:rsid w:val="00254BE8"/>
    <w:rsid w:val="00254EA4"/>
    <w:rsid w:val="002552B6"/>
    <w:rsid w:val="00255AD3"/>
    <w:rsid w:val="00255E89"/>
    <w:rsid w:val="002568C0"/>
    <w:rsid w:val="00256FEA"/>
    <w:rsid w:val="0025740C"/>
    <w:rsid w:val="002575B0"/>
    <w:rsid w:val="002576AA"/>
    <w:rsid w:val="00257CB6"/>
    <w:rsid w:val="00257F6B"/>
    <w:rsid w:val="0026010C"/>
    <w:rsid w:val="002615AA"/>
    <w:rsid w:val="00262127"/>
    <w:rsid w:val="00263D5C"/>
    <w:rsid w:val="00264364"/>
    <w:rsid w:val="002647E1"/>
    <w:rsid w:val="00264A6B"/>
    <w:rsid w:val="00264AFE"/>
    <w:rsid w:val="00265446"/>
    <w:rsid w:val="00265DC7"/>
    <w:rsid w:val="00266013"/>
    <w:rsid w:val="00266262"/>
    <w:rsid w:val="00266516"/>
    <w:rsid w:val="0026678E"/>
    <w:rsid w:val="00266968"/>
    <w:rsid w:val="0026725D"/>
    <w:rsid w:val="00267803"/>
    <w:rsid w:val="002679A9"/>
    <w:rsid w:val="00267E18"/>
    <w:rsid w:val="0027084B"/>
    <w:rsid w:val="00270866"/>
    <w:rsid w:val="00270957"/>
    <w:rsid w:val="00270DA4"/>
    <w:rsid w:val="00270E97"/>
    <w:rsid w:val="00270F66"/>
    <w:rsid w:val="002721C8"/>
    <w:rsid w:val="00272695"/>
    <w:rsid w:val="0027331F"/>
    <w:rsid w:val="00273B42"/>
    <w:rsid w:val="002741EF"/>
    <w:rsid w:val="0027474C"/>
    <w:rsid w:val="002755AF"/>
    <w:rsid w:val="0027685D"/>
    <w:rsid w:val="00276A36"/>
    <w:rsid w:val="00276C8E"/>
    <w:rsid w:val="00277043"/>
    <w:rsid w:val="00277BC0"/>
    <w:rsid w:val="0028172C"/>
    <w:rsid w:val="002818C3"/>
    <w:rsid w:val="00281A36"/>
    <w:rsid w:val="00283024"/>
    <w:rsid w:val="00283359"/>
    <w:rsid w:val="0028345C"/>
    <w:rsid w:val="002843C6"/>
    <w:rsid w:val="00284E84"/>
    <w:rsid w:val="00285B18"/>
    <w:rsid w:val="00285E03"/>
    <w:rsid w:val="002866D5"/>
    <w:rsid w:val="00286922"/>
    <w:rsid w:val="00286DBC"/>
    <w:rsid w:val="00287FA4"/>
    <w:rsid w:val="00290D04"/>
    <w:rsid w:val="00291A31"/>
    <w:rsid w:val="00291BF6"/>
    <w:rsid w:val="00291FF0"/>
    <w:rsid w:val="002926F0"/>
    <w:rsid w:val="00292C7A"/>
    <w:rsid w:val="0029368F"/>
    <w:rsid w:val="00293AD6"/>
    <w:rsid w:val="00293C64"/>
    <w:rsid w:val="0029456E"/>
    <w:rsid w:val="002945B4"/>
    <w:rsid w:val="00294895"/>
    <w:rsid w:val="00295167"/>
    <w:rsid w:val="0029520B"/>
    <w:rsid w:val="0029574B"/>
    <w:rsid w:val="00295954"/>
    <w:rsid w:val="00295AF0"/>
    <w:rsid w:val="00295C69"/>
    <w:rsid w:val="00296439"/>
    <w:rsid w:val="00296C96"/>
    <w:rsid w:val="00297A56"/>
    <w:rsid w:val="00297CD3"/>
    <w:rsid w:val="00297DC3"/>
    <w:rsid w:val="002A01FE"/>
    <w:rsid w:val="002A0BF1"/>
    <w:rsid w:val="002A1285"/>
    <w:rsid w:val="002A1546"/>
    <w:rsid w:val="002A1756"/>
    <w:rsid w:val="002A1A39"/>
    <w:rsid w:val="002A293E"/>
    <w:rsid w:val="002A2D68"/>
    <w:rsid w:val="002A3863"/>
    <w:rsid w:val="002A389E"/>
    <w:rsid w:val="002A4EB2"/>
    <w:rsid w:val="002A53CD"/>
    <w:rsid w:val="002A5570"/>
    <w:rsid w:val="002A5C75"/>
    <w:rsid w:val="002A5E16"/>
    <w:rsid w:val="002A614A"/>
    <w:rsid w:val="002A62B0"/>
    <w:rsid w:val="002B03B0"/>
    <w:rsid w:val="002B0BC7"/>
    <w:rsid w:val="002B0E31"/>
    <w:rsid w:val="002B10FF"/>
    <w:rsid w:val="002B11A3"/>
    <w:rsid w:val="002B137D"/>
    <w:rsid w:val="002B1C1D"/>
    <w:rsid w:val="002B1D52"/>
    <w:rsid w:val="002B1D8A"/>
    <w:rsid w:val="002B1F64"/>
    <w:rsid w:val="002B2866"/>
    <w:rsid w:val="002B2D5B"/>
    <w:rsid w:val="002B2D9F"/>
    <w:rsid w:val="002B2E9C"/>
    <w:rsid w:val="002B37F6"/>
    <w:rsid w:val="002B42C5"/>
    <w:rsid w:val="002B462B"/>
    <w:rsid w:val="002B50DD"/>
    <w:rsid w:val="002B51FB"/>
    <w:rsid w:val="002B65D4"/>
    <w:rsid w:val="002B7883"/>
    <w:rsid w:val="002B7C6B"/>
    <w:rsid w:val="002C2397"/>
    <w:rsid w:val="002C289D"/>
    <w:rsid w:val="002C2A74"/>
    <w:rsid w:val="002C3AA9"/>
    <w:rsid w:val="002C450D"/>
    <w:rsid w:val="002C4900"/>
    <w:rsid w:val="002C4BDA"/>
    <w:rsid w:val="002C51A3"/>
    <w:rsid w:val="002C5616"/>
    <w:rsid w:val="002C5905"/>
    <w:rsid w:val="002C5916"/>
    <w:rsid w:val="002C635C"/>
    <w:rsid w:val="002C7C8F"/>
    <w:rsid w:val="002D19FB"/>
    <w:rsid w:val="002D1EF1"/>
    <w:rsid w:val="002D1FF9"/>
    <w:rsid w:val="002D2021"/>
    <w:rsid w:val="002D27E4"/>
    <w:rsid w:val="002D2F76"/>
    <w:rsid w:val="002D2FD2"/>
    <w:rsid w:val="002D3019"/>
    <w:rsid w:val="002D3642"/>
    <w:rsid w:val="002D60CE"/>
    <w:rsid w:val="002D63AE"/>
    <w:rsid w:val="002D6FCA"/>
    <w:rsid w:val="002D770A"/>
    <w:rsid w:val="002E0AF0"/>
    <w:rsid w:val="002E0FC2"/>
    <w:rsid w:val="002E1555"/>
    <w:rsid w:val="002E1559"/>
    <w:rsid w:val="002E1AB3"/>
    <w:rsid w:val="002E1AE4"/>
    <w:rsid w:val="002E1BB1"/>
    <w:rsid w:val="002E28FD"/>
    <w:rsid w:val="002E2A1C"/>
    <w:rsid w:val="002E2F45"/>
    <w:rsid w:val="002E372E"/>
    <w:rsid w:val="002E3CF7"/>
    <w:rsid w:val="002E4168"/>
    <w:rsid w:val="002E4513"/>
    <w:rsid w:val="002E531B"/>
    <w:rsid w:val="002E5508"/>
    <w:rsid w:val="002E5CDA"/>
    <w:rsid w:val="002E759F"/>
    <w:rsid w:val="002E7F34"/>
    <w:rsid w:val="002F0202"/>
    <w:rsid w:val="002F08F3"/>
    <w:rsid w:val="002F0CCD"/>
    <w:rsid w:val="002F17BA"/>
    <w:rsid w:val="002F1EFD"/>
    <w:rsid w:val="002F24B5"/>
    <w:rsid w:val="002F300D"/>
    <w:rsid w:val="002F3BB5"/>
    <w:rsid w:val="002F4265"/>
    <w:rsid w:val="002F5343"/>
    <w:rsid w:val="002F5602"/>
    <w:rsid w:val="002F57AD"/>
    <w:rsid w:val="002F5A7A"/>
    <w:rsid w:val="002F5F27"/>
    <w:rsid w:val="003002B5"/>
    <w:rsid w:val="003010F7"/>
    <w:rsid w:val="00301524"/>
    <w:rsid w:val="00301CAE"/>
    <w:rsid w:val="00302B5E"/>
    <w:rsid w:val="00302F55"/>
    <w:rsid w:val="00302F65"/>
    <w:rsid w:val="00303067"/>
    <w:rsid w:val="00303AE1"/>
    <w:rsid w:val="00304630"/>
    <w:rsid w:val="003046F7"/>
    <w:rsid w:val="00304A10"/>
    <w:rsid w:val="00305745"/>
    <w:rsid w:val="00305D5C"/>
    <w:rsid w:val="003067E4"/>
    <w:rsid w:val="00306AC2"/>
    <w:rsid w:val="00306D5B"/>
    <w:rsid w:val="00306EF2"/>
    <w:rsid w:val="00307001"/>
    <w:rsid w:val="003072CD"/>
    <w:rsid w:val="0030786C"/>
    <w:rsid w:val="0030796F"/>
    <w:rsid w:val="00307B0B"/>
    <w:rsid w:val="00310011"/>
    <w:rsid w:val="0031002A"/>
    <w:rsid w:val="003100BD"/>
    <w:rsid w:val="00310C71"/>
    <w:rsid w:val="00310DC6"/>
    <w:rsid w:val="00312180"/>
    <w:rsid w:val="003126DB"/>
    <w:rsid w:val="0031317F"/>
    <w:rsid w:val="003136F2"/>
    <w:rsid w:val="003138CB"/>
    <w:rsid w:val="00314122"/>
    <w:rsid w:val="003144F1"/>
    <w:rsid w:val="00314F69"/>
    <w:rsid w:val="0031595E"/>
    <w:rsid w:val="00316D32"/>
    <w:rsid w:val="003174CF"/>
    <w:rsid w:val="003177F3"/>
    <w:rsid w:val="0031799A"/>
    <w:rsid w:val="00317F56"/>
    <w:rsid w:val="00320315"/>
    <w:rsid w:val="0032076A"/>
    <w:rsid w:val="00321288"/>
    <w:rsid w:val="003215D3"/>
    <w:rsid w:val="003216B7"/>
    <w:rsid w:val="00321A4E"/>
    <w:rsid w:val="00321B3D"/>
    <w:rsid w:val="00322482"/>
    <w:rsid w:val="0032320C"/>
    <w:rsid w:val="00323267"/>
    <w:rsid w:val="00323AE8"/>
    <w:rsid w:val="00323B09"/>
    <w:rsid w:val="00323CCF"/>
    <w:rsid w:val="003242C8"/>
    <w:rsid w:val="00324415"/>
    <w:rsid w:val="003246CB"/>
    <w:rsid w:val="00324818"/>
    <w:rsid w:val="00324ECF"/>
    <w:rsid w:val="00325101"/>
    <w:rsid w:val="0032559C"/>
    <w:rsid w:val="0032600B"/>
    <w:rsid w:val="00326D7D"/>
    <w:rsid w:val="0032742C"/>
    <w:rsid w:val="00327C01"/>
    <w:rsid w:val="003304D6"/>
    <w:rsid w:val="00331533"/>
    <w:rsid w:val="0033180B"/>
    <w:rsid w:val="00331ED5"/>
    <w:rsid w:val="0033219A"/>
    <w:rsid w:val="00332A99"/>
    <w:rsid w:val="00332C4D"/>
    <w:rsid w:val="00333711"/>
    <w:rsid w:val="00333DDC"/>
    <w:rsid w:val="00334A38"/>
    <w:rsid w:val="00334DB3"/>
    <w:rsid w:val="00334FFC"/>
    <w:rsid w:val="003362F6"/>
    <w:rsid w:val="003367CA"/>
    <w:rsid w:val="00336BD9"/>
    <w:rsid w:val="003371CB"/>
    <w:rsid w:val="0033730C"/>
    <w:rsid w:val="003401EF"/>
    <w:rsid w:val="00340E57"/>
    <w:rsid w:val="003417A7"/>
    <w:rsid w:val="00341948"/>
    <w:rsid w:val="00341C69"/>
    <w:rsid w:val="003420BD"/>
    <w:rsid w:val="00342829"/>
    <w:rsid w:val="00342E98"/>
    <w:rsid w:val="00342F35"/>
    <w:rsid w:val="00343B07"/>
    <w:rsid w:val="003444D2"/>
    <w:rsid w:val="00344975"/>
    <w:rsid w:val="00344A70"/>
    <w:rsid w:val="00345075"/>
    <w:rsid w:val="00346145"/>
    <w:rsid w:val="0034674B"/>
    <w:rsid w:val="00346F24"/>
    <w:rsid w:val="00346FA4"/>
    <w:rsid w:val="00350453"/>
    <w:rsid w:val="00350813"/>
    <w:rsid w:val="00350D59"/>
    <w:rsid w:val="0035187A"/>
    <w:rsid w:val="003530A2"/>
    <w:rsid w:val="003531A4"/>
    <w:rsid w:val="00353206"/>
    <w:rsid w:val="003549AB"/>
    <w:rsid w:val="00354AC7"/>
    <w:rsid w:val="00355E4D"/>
    <w:rsid w:val="00355E53"/>
    <w:rsid w:val="003562BD"/>
    <w:rsid w:val="0035785C"/>
    <w:rsid w:val="0036052D"/>
    <w:rsid w:val="00360531"/>
    <w:rsid w:val="00360B7A"/>
    <w:rsid w:val="00361580"/>
    <w:rsid w:val="0036177A"/>
    <w:rsid w:val="00361E69"/>
    <w:rsid w:val="003620E7"/>
    <w:rsid w:val="003627A4"/>
    <w:rsid w:val="00362D8A"/>
    <w:rsid w:val="0036390D"/>
    <w:rsid w:val="0036410F"/>
    <w:rsid w:val="00364BB7"/>
    <w:rsid w:val="00365B42"/>
    <w:rsid w:val="00366D0C"/>
    <w:rsid w:val="00370DEF"/>
    <w:rsid w:val="00371559"/>
    <w:rsid w:val="0037183B"/>
    <w:rsid w:val="00372460"/>
    <w:rsid w:val="00372A48"/>
    <w:rsid w:val="00372BF0"/>
    <w:rsid w:val="00372E34"/>
    <w:rsid w:val="00372E64"/>
    <w:rsid w:val="00373016"/>
    <w:rsid w:val="003744BA"/>
    <w:rsid w:val="003744D6"/>
    <w:rsid w:val="00374D9F"/>
    <w:rsid w:val="003750C0"/>
    <w:rsid w:val="003767F0"/>
    <w:rsid w:val="00380A8B"/>
    <w:rsid w:val="00381125"/>
    <w:rsid w:val="00381526"/>
    <w:rsid w:val="00382C96"/>
    <w:rsid w:val="00382CC5"/>
    <w:rsid w:val="00383582"/>
    <w:rsid w:val="003837AF"/>
    <w:rsid w:val="003845CB"/>
    <w:rsid w:val="00384A6E"/>
    <w:rsid w:val="003856A8"/>
    <w:rsid w:val="00385FA0"/>
    <w:rsid w:val="00386D66"/>
    <w:rsid w:val="00387321"/>
    <w:rsid w:val="0039008B"/>
    <w:rsid w:val="003902E5"/>
    <w:rsid w:val="003905E0"/>
    <w:rsid w:val="003906F1"/>
    <w:rsid w:val="00390BD4"/>
    <w:rsid w:val="00390DA5"/>
    <w:rsid w:val="00390F34"/>
    <w:rsid w:val="00391B78"/>
    <w:rsid w:val="00391B9B"/>
    <w:rsid w:val="003922A8"/>
    <w:rsid w:val="00392426"/>
    <w:rsid w:val="00392464"/>
    <w:rsid w:val="00392A02"/>
    <w:rsid w:val="00393684"/>
    <w:rsid w:val="00393A1C"/>
    <w:rsid w:val="00394EAE"/>
    <w:rsid w:val="0039568A"/>
    <w:rsid w:val="00396B69"/>
    <w:rsid w:val="003970A7"/>
    <w:rsid w:val="00397EFB"/>
    <w:rsid w:val="003A0046"/>
    <w:rsid w:val="003A1051"/>
    <w:rsid w:val="003A1AEE"/>
    <w:rsid w:val="003A2186"/>
    <w:rsid w:val="003A2586"/>
    <w:rsid w:val="003A418B"/>
    <w:rsid w:val="003A46D2"/>
    <w:rsid w:val="003A4907"/>
    <w:rsid w:val="003A527D"/>
    <w:rsid w:val="003A55B2"/>
    <w:rsid w:val="003A5728"/>
    <w:rsid w:val="003A605D"/>
    <w:rsid w:val="003A645C"/>
    <w:rsid w:val="003A6B42"/>
    <w:rsid w:val="003A6C14"/>
    <w:rsid w:val="003A6D31"/>
    <w:rsid w:val="003B00FD"/>
    <w:rsid w:val="003B04C3"/>
    <w:rsid w:val="003B08CA"/>
    <w:rsid w:val="003B0AAD"/>
    <w:rsid w:val="003B0B47"/>
    <w:rsid w:val="003B0FF9"/>
    <w:rsid w:val="003B1222"/>
    <w:rsid w:val="003B23E5"/>
    <w:rsid w:val="003B2657"/>
    <w:rsid w:val="003B2972"/>
    <w:rsid w:val="003B2C42"/>
    <w:rsid w:val="003B2E5C"/>
    <w:rsid w:val="003B3001"/>
    <w:rsid w:val="003B3033"/>
    <w:rsid w:val="003B3C7F"/>
    <w:rsid w:val="003B44E3"/>
    <w:rsid w:val="003B4B2A"/>
    <w:rsid w:val="003B4C9E"/>
    <w:rsid w:val="003B54BC"/>
    <w:rsid w:val="003B59C4"/>
    <w:rsid w:val="003B5AC1"/>
    <w:rsid w:val="003B6012"/>
    <w:rsid w:val="003B60A7"/>
    <w:rsid w:val="003B7766"/>
    <w:rsid w:val="003B797C"/>
    <w:rsid w:val="003B7C92"/>
    <w:rsid w:val="003C05B5"/>
    <w:rsid w:val="003C0856"/>
    <w:rsid w:val="003C0974"/>
    <w:rsid w:val="003C0BDC"/>
    <w:rsid w:val="003C0FC5"/>
    <w:rsid w:val="003C175E"/>
    <w:rsid w:val="003C1DD5"/>
    <w:rsid w:val="003C1F67"/>
    <w:rsid w:val="003C2F8E"/>
    <w:rsid w:val="003C36FF"/>
    <w:rsid w:val="003C3D3A"/>
    <w:rsid w:val="003C3E2A"/>
    <w:rsid w:val="003C502B"/>
    <w:rsid w:val="003C51B9"/>
    <w:rsid w:val="003C6180"/>
    <w:rsid w:val="003C729B"/>
    <w:rsid w:val="003C736D"/>
    <w:rsid w:val="003C73C7"/>
    <w:rsid w:val="003C7719"/>
    <w:rsid w:val="003D0BA7"/>
    <w:rsid w:val="003D0D1C"/>
    <w:rsid w:val="003D22FE"/>
    <w:rsid w:val="003D2675"/>
    <w:rsid w:val="003D282A"/>
    <w:rsid w:val="003D2E0F"/>
    <w:rsid w:val="003D2F8F"/>
    <w:rsid w:val="003D3218"/>
    <w:rsid w:val="003D38DD"/>
    <w:rsid w:val="003D3E15"/>
    <w:rsid w:val="003D59E7"/>
    <w:rsid w:val="003D5E45"/>
    <w:rsid w:val="003D64D2"/>
    <w:rsid w:val="003D6BC1"/>
    <w:rsid w:val="003E058B"/>
    <w:rsid w:val="003E1403"/>
    <w:rsid w:val="003E15AA"/>
    <w:rsid w:val="003E297F"/>
    <w:rsid w:val="003E36C5"/>
    <w:rsid w:val="003E39C7"/>
    <w:rsid w:val="003E3BEF"/>
    <w:rsid w:val="003E4622"/>
    <w:rsid w:val="003E4EDB"/>
    <w:rsid w:val="003E577A"/>
    <w:rsid w:val="003E63E6"/>
    <w:rsid w:val="003E6B4C"/>
    <w:rsid w:val="003E7AB4"/>
    <w:rsid w:val="003E7ADD"/>
    <w:rsid w:val="003F03D0"/>
    <w:rsid w:val="003F0625"/>
    <w:rsid w:val="003F06B0"/>
    <w:rsid w:val="003F09FF"/>
    <w:rsid w:val="003F1597"/>
    <w:rsid w:val="003F1969"/>
    <w:rsid w:val="003F19D4"/>
    <w:rsid w:val="003F1DC7"/>
    <w:rsid w:val="003F2A8D"/>
    <w:rsid w:val="003F35FA"/>
    <w:rsid w:val="003F3668"/>
    <w:rsid w:val="003F485A"/>
    <w:rsid w:val="003F4CF2"/>
    <w:rsid w:val="003F4E26"/>
    <w:rsid w:val="003F4FE2"/>
    <w:rsid w:val="003F59D0"/>
    <w:rsid w:val="003F6163"/>
    <w:rsid w:val="003F64B4"/>
    <w:rsid w:val="003F777B"/>
    <w:rsid w:val="003F7882"/>
    <w:rsid w:val="003F788A"/>
    <w:rsid w:val="003F79B6"/>
    <w:rsid w:val="003F7A83"/>
    <w:rsid w:val="0040008D"/>
    <w:rsid w:val="004004C3"/>
    <w:rsid w:val="00400796"/>
    <w:rsid w:val="00400C7A"/>
    <w:rsid w:val="0040164D"/>
    <w:rsid w:val="004018FB"/>
    <w:rsid w:val="00401DCE"/>
    <w:rsid w:val="00401E59"/>
    <w:rsid w:val="00401FCD"/>
    <w:rsid w:val="004020CA"/>
    <w:rsid w:val="00402D30"/>
    <w:rsid w:val="00403E1A"/>
    <w:rsid w:val="00404475"/>
    <w:rsid w:val="004059A8"/>
    <w:rsid w:val="00405C49"/>
    <w:rsid w:val="0040678A"/>
    <w:rsid w:val="00406ED1"/>
    <w:rsid w:val="004072A8"/>
    <w:rsid w:val="004074E1"/>
    <w:rsid w:val="004077BB"/>
    <w:rsid w:val="004115AD"/>
    <w:rsid w:val="00411892"/>
    <w:rsid w:val="00412122"/>
    <w:rsid w:val="00412607"/>
    <w:rsid w:val="00412BE6"/>
    <w:rsid w:val="00412EFD"/>
    <w:rsid w:val="00413087"/>
    <w:rsid w:val="004131C3"/>
    <w:rsid w:val="0041410C"/>
    <w:rsid w:val="00414954"/>
    <w:rsid w:val="00416622"/>
    <w:rsid w:val="00417CD7"/>
    <w:rsid w:val="00417FDF"/>
    <w:rsid w:val="004200CD"/>
    <w:rsid w:val="0042033B"/>
    <w:rsid w:val="00420391"/>
    <w:rsid w:val="0042071B"/>
    <w:rsid w:val="00420A01"/>
    <w:rsid w:val="00421A70"/>
    <w:rsid w:val="00422829"/>
    <w:rsid w:val="004228BB"/>
    <w:rsid w:val="00423928"/>
    <w:rsid w:val="00424DB2"/>
    <w:rsid w:val="00425937"/>
    <w:rsid w:val="00425D06"/>
    <w:rsid w:val="0042614A"/>
    <w:rsid w:val="0042615E"/>
    <w:rsid w:val="0042696C"/>
    <w:rsid w:val="0042753C"/>
    <w:rsid w:val="004307C5"/>
    <w:rsid w:val="00430B21"/>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4E2"/>
    <w:rsid w:val="004405D1"/>
    <w:rsid w:val="0044076B"/>
    <w:rsid w:val="00440815"/>
    <w:rsid w:val="00440845"/>
    <w:rsid w:val="00441295"/>
    <w:rsid w:val="00441EAB"/>
    <w:rsid w:val="00441FC2"/>
    <w:rsid w:val="0044224F"/>
    <w:rsid w:val="0044292D"/>
    <w:rsid w:val="00442A2B"/>
    <w:rsid w:val="00442AF0"/>
    <w:rsid w:val="00442C70"/>
    <w:rsid w:val="00443623"/>
    <w:rsid w:val="00444173"/>
    <w:rsid w:val="00445169"/>
    <w:rsid w:val="0044555A"/>
    <w:rsid w:val="00445614"/>
    <w:rsid w:val="00445CB1"/>
    <w:rsid w:val="00445CC7"/>
    <w:rsid w:val="00446362"/>
    <w:rsid w:val="004465C8"/>
    <w:rsid w:val="00446ADF"/>
    <w:rsid w:val="00446CE4"/>
    <w:rsid w:val="004477BE"/>
    <w:rsid w:val="00450311"/>
    <w:rsid w:val="00451065"/>
    <w:rsid w:val="00451A5E"/>
    <w:rsid w:val="00451B3F"/>
    <w:rsid w:val="00451CA2"/>
    <w:rsid w:val="004520E6"/>
    <w:rsid w:val="00452C36"/>
    <w:rsid w:val="004532C2"/>
    <w:rsid w:val="00453DAD"/>
    <w:rsid w:val="00454FE1"/>
    <w:rsid w:val="00455780"/>
    <w:rsid w:val="00455EBB"/>
    <w:rsid w:val="0045615C"/>
    <w:rsid w:val="00456EEC"/>
    <w:rsid w:val="00457661"/>
    <w:rsid w:val="00457693"/>
    <w:rsid w:val="00457A12"/>
    <w:rsid w:val="00460A32"/>
    <w:rsid w:val="00460C9C"/>
    <w:rsid w:val="0046126D"/>
    <w:rsid w:val="00461DD4"/>
    <w:rsid w:val="00461F9C"/>
    <w:rsid w:val="00462BAA"/>
    <w:rsid w:val="00462C69"/>
    <w:rsid w:val="00462CB1"/>
    <w:rsid w:val="004632FD"/>
    <w:rsid w:val="00463319"/>
    <w:rsid w:val="00463683"/>
    <w:rsid w:val="00463720"/>
    <w:rsid w:val="00463B1C"/>
    <w:rsid w:val="00463CE2"/>
    <w:rsid w:val="004644A3"/>
    <w:rsid w:val="004644F9"/>
    <w:rsid w:val="0046512B"/>
    <w:rsid w:val="004660CC"/>
    <w:rsid w:val="00466953"/>
    <w:rsid w:val="00466A0E"/>
    <w:rsid w:val="0046737D"/>
    <w:rsid w:val="00467750"/>
    <w:rsid w:val="00470B37"/>
    <w:rsid w:val="00470CDE"/>
    <w:rsid w:val="00471B83"/>
    <w:rsid w:val="00472534"/>
    <w:rsid w:val="0047256D"/>
    <w:rsid w:val="00472706"/>
    <w:rsid w:val="00472743"/>
    <w:rsid w:val="00472BEA"/>
    <w:rsid w:val="00472C91"/>
    <w:rsid w:val="00472D28"/>
    <w:rsid w:val="00474686"/>
    <w:rsid w:val="00474780"/>
    <w:rsid w:val="004749E9"/>
    <w:rsid w:val="00474ADC"/>
    <w:rsid w:val="00474CF9"/>
    <w:rsid w:val="00474DAD"/>
    <w:rsid w:val="00475785"/>
    <w:rsid w:val="00475E69"/>
    <w:rsid w:val="0047654A"/>
    <w:rsid w:val="00476C07"/>
    <w:rsid w:val="00477345"/>
    <w:rsid w:val="0048125A"/>
    <w:rsid w:val="0048144C"/>
    <w:rsid w:val="00481FDB"/>
    <w:rsid w:val="00482932"/>
    <w:rsid w:val="0048386A"/>
    <w:rsid w:val="0048416D"/>
    <w:rsid w:val="00484218"/>
    <w:rsid w:val="00484CA7"/>
    <w:rsid w:val="004859A5"/>
    <w:rsid w:val="004859DF"/>
    <w:rsid w:val="00485D21"/>
    <w:rsid w:val="004862D3"/>
    <w:rsid w:val="004867E2"/>
    <w:rsid w:val="00486A7D"/>
    <w:rsid w:val="004871BA"/>
    <w:rsid w:val="00487394"/>
    <w:rsid w:val="00490F2A"/>
    <w:rsid w:val="00490F36"/>
    <w:rsid w:val="00491F70"/>
    <w:rsid w:val="0049247B"/>
    <w:rsid w:val="00492A67"/>
    <w:rsid w:val="00493F21"/>
    <w:rsid w:val="004942CA"/>
    <w:rsid w:val="00494B98"/>
    <w:rsid w:val="004963B8"/>
    <w:rsid w:val="00496CD3"/>
    <w:rsid w:val="00497603"/>
    <w:rsid w:val="004A1D0D"/>
    <w:rsid w:val="004A253B"/>
    <w:rsid w:val="004A28CA"/>
    <w:rsid w:val="004A29C3"/>
    <w:rsid w:val="004A2B9A"/>
    <w:rsid w:val="004A2F14"/>
    <w:rsid w:val="004A3803"/>
    <w:rsid w:val="004A40A5"/>
    <w:rsid w:val="004A40BD"/>
    <w:rsid w:val="004A411E"/>
    <w:rsid w:val="004A43F3"/>
    <w:rsid w:val="004A61DB"/>
    <w:rsid w:val="004A6E95"/>
    <w:rsid w:val="004A7A05"/>
    <w:rsid w:val="004A7E00"/>
    <w:rsid w:val="004B0928"/>
    <w:rsid w:val="004B1BA5"/>
    <w:rsid w:val="004B2987"/>
    <w:rsid w:val="004B2F46"/>
    <w:rsid w:val="004B411F"/>
    <w:rsid w:val="004B4440"/>
    <w:rsid w:val="004B4D10"/>
    <w:rsid w:val="004B6382"/>
    <w:rsid w:val="004B661C"/>
    <w:rsid w:val="004B6F11"/>
    <w:rsid w:val="004B7242"/>
    <w:rsid w:val="004C0614"/>
    <w:rsid w:val="004C1369"/>
    <w:rsid w:val="004C13B1"/>
    <w:rsid w:val="004C1923"/>
    <w:rsid w:val="004C280C"/>
    <w:rsid w:val="004C2904"/>
    <w:rsid w:val="004C29CE"/>
    <w:rsid w:val="004C30CE"/>
    <w:rsid w:val="004C3AE0"/>
    <w:rsid w:val="004C4891"/>
    <w:rsid w:val="004C4951"/>
    <w:rsid w:val="004C4CAD"/>
    <w:rsid w:val="004C5E9C"/>
    <w:rsid w:val="004C64BC"/>
    <w:rsid w:val="004C6985"/>
    <w:rsid w:val="004C724D"/>
    <w:rsid w:val="004D0A22"/>
    <w:rsid w:val="004D1B38"/>
    <w:rsid w:val="004D2469"/>
    <w:rsid w:val="004D2602"/>
    <w:rsid w:val="004D2685"/>
    <w:rsid w:val="004D285C"/>
    <w:rsid w:val="004D2C42"/>
    <w:rsid w:val="004D38CB"/>
    <w:rsid w:val="004D4525"/>
    <w:rsid w:val="004D482B"/>
    <w:rsid w:val="004D5156"/>
    <w:rsid w:val="004D57AE"/>
    <w:rsid w:val="004D584F"/>
    <w:rsid w:val="004D6453"/>
    <w:rsid w:val="004D66D0"/>
    <w:rsid w:val="004D67AF"/>
    <w:rsid w:val="004D69BB"/>
    <w:rsid w:val="004D6FB9"/>
    <w:rsid w:val="004D72E6"/>
    <w:rsid w:val="004D781D"/>
    <w:rsid w:val="004D7CBA"/>
    <w:rsid w:val="004E0013"/>
    <w:rsid w:val="004E0161"/>
    <w:rsid w:val="004E0BC0"/>
    <w:rsid w:val="004E14A4"/>
    <w:rsid w:val="004E15B9"/>
    <w:rsid w:val="004E19F9"/>
    <w:rsid w:val="004E1F3F"/>
    <w:rsid w:val="004E21F8"/>
    <w:rsid w:val="004E2C16"/>
    <w:rsid w:val="004E4471"/>
    <w:rsid w:val="004E4681"/>
    <w:rsid w:val="004E49EA"/>
    <w:rsid w:val="004E4C13"/>
    <w:rsid w:val="004E5C08"/>
    <w:rsid w:val="004E705F"/>
    <w:rsid w:val="004E72CB"/>
    <w:rsid w:val="004E72CC"/>
    <w:rsid w:val="004E734A"/>
    <w:rsid w:val="004E7548"/>
    <w:rsid w:val="004F01B7"/>
    <w:rsid w:val="004F0267"/>
    <w:rsid w:val="004F0CC7"/>
    <w:rsid w:val="004F12D4"/>
    <w:rsid w:val="004F2A61"/>
    <w:rsid w:val="004F2D47"/>
    <w:rsid w:val="004F36B0"/>
    <w:rsid w:val="004F3775"/>
    <w:rsid w:val="004F50BA"/>
    <w:rsid w:val="004F56EF"/>
    <w:rsid w:val="004F5C57"/>
    <w:rsid w:val="004F6C7E"/>
    <w:rsid w:val="004F6D63"/>
    <w:rsid w:val="004F7273"/>
    <w:rsid w:val="004F7428"/>
    <w:rsid w:val="004F784C"/>
    <w:rsid w:val="004F79F3"/>
    <w:rsid w:val="004F7C8E"/>
    <w:rsid w:val="00500F5A"/>
    <w:rsid w:val="00501A51"/>
    <w:rsid w:val="00502A2A"/>
    <w:rsid w:val="00503E04"/>
    <w:rsid w:val="005040B7"/>
    <w:rsid w:val="005048B5"/>
    <w:rsid w:val="005049DD"/>
    <w:rsid w:val="005051FD"/>
    <w:rsid w:val="005057EB"/>
    <w:rsid w:val="00505D08"/>
    <w:rsid w:val="00505D16"/>
    <w:rsid w:val="00506E2E"/>
    <w:rsid w:val="005072E5"/>
    <w:rsid w:val="00507402"/>
    <w:rsid w:val="00507569"/>
    <w:rsid w:val="00507F8F"/>
    <w:rsid w:val="00510445"/>
    <w:rsid w:val="0051059A"/>
    <w:rsid w:val="00510787"/>
    <w:rsid w:val="00510D4D"/>
    <w:rsid w:val="005110E4"/>
    <w:rsid w:val="00511214"/>
    <w:rsid w:val="00511D68"/>
    <w:rsid w:val="00512065"/>
    <w:rsid w:val="0051250F"/>
    <w:rsid w:val="00512DE7"/>
    <w:rsid w:val="005130A6"/>
    <w:rsid w:val="0051326A"/>
    <w:rsid w:val="00513EA2"/>
    <w:rsid w:val="005149E5"/>
    <w:rsid w:val="00515C8C"/>
    <w:rsid w:val="00515FDE"/>
    <w:rsid w:val="00516298"/>
    <w:rsid w:val="0051650E"/>
    <w:rsid w:val="00516F16"/>
    <w:rsid w:val="00517383"/>
    <w:rsid w:val="005173EC"/>
    <w:rsid w:val="00517D3C"/>
    <w:rsid w:val="00520D16"/>
    <w:rsid w:val="005211BA"/>
    <w:rsid w:val="0052142D"/>
    <w:rsid w:val="00522B51"/>
    <w:rsid w:val="00522C7A"/>
    <w:rsid w:val="0052325B"/>
    <w:rsid w:val="00523499"/>
    <w:rsid w:val="0052373D"/>
    <w:rsid w:val="00523BE9"/>
    <w:rsid w:val="00524DA2"/>
    <w:rsid w:val="00525974"/>
    <w:rsid w:val="005262A4"/>
    <w:rsid w:val="005262C3"/>
    <w:rsid w:val="00526832"/>
    <w:rsid w:val="005269F1"/>
    <w:rsid w:val="00526E24"/>
    <w:rsid w:val="00526F01"/>
    <w:rsid w:val="00527034"/>
    <w:rsid w:val="00527B38"/>
    <w:rsid w:val="0053053F"/>
    <w:rsid w:val="005307BB"/>
    <w:rsid w:val="00530ED3"/>
    <w:rsid w:val="00532271"/>
    <w:rsid w:val="00532D8C"/>
    <w:rsid w:val="005332A5"/>
    <w:rsid w:val="00533CFE"/>
    <w:rsid w:val="00534C4A"/>
    <w:rsid w:val="005359FF"/>
    <w:rsid w:val="00535DD0"/>
    <w:rsid w:val="00535E22"/>
    <w:rsid w:val="005364D9"/>
    <w:rsid w:val="005366A2"/>
    <w:rsid w:val="0053671F"/>
    <w:rsid w:val="0053694B"/>
    <w:rsid w:val="00536C27"/>
    <w:rsid w:val="00536E07"/>
    <w:rsid w:val="00536EB8"/>
    <w:rsid w:val="0053791D"/>
    <w:rsid w:val="00540534"/>
    <w:rsid w:val="00541E6E"/>
    <w:rsid w:val="00542990"/>
    <w:rsid w:val="005438A0"/>
    <w:rsid w:val="0054443F"/>
    <w:rsid w:val="00544C04"/>
    <w:rsid w:val="0054559B"/>
    <w:rsid w:val="0054627D"/>
    <w:rsid w:val="00546C8D"/>
    <w:rsid w:val="00547427"/>
    <w:rsid w:val="005474DB"/>
    <w:rsid w:val="00550612"/>
    <w:rsid w:val="005508A4"/>
    <w:rsid w:val="00550D28"/>
    <w:rsid w:val="00550E24"/>
    <w:rsid w:val="00551DC2"/>
    <w:rsid w:val="005521F7"/>
    <w:rsid w:val="0055285B"/>
    <w:rsid w:val="00552935"/>
    <w:rsid w:val="00552F9E"/>
    <w:rsid w:val="0055338F"/>
    <w:rsid w:val="00553C63"/>
    <w:rsid w:val="005542A2"/>
    <w:rsid w:val="005542B8"/>
    <w:rsid w:val="005542DF"/>
    <w:rsid w:val="0055458C"/>
    <w:rsid w:val="00555BA9"/>
    <w:rsid w:val="00555F56"/>
    <w:rsid w:val="0055643B"/>
    <w:rsid w:val="005577C4"/>
    <w:rsid w:val="00557E9F"/>
    <w:rsid w:val="00557F39"/>
    <w:rsid w:val="00561614"/>
    <w:rsid w:val="0056191C"/>
    <w:rsid w:val="0056258F"/>
    <w:rsid w:val="00562F23"/>
    <w:rsid w:val="005631FB"/>
    <w:rsid w:val="00563284"/>
    <w:rsid w:val="005632B5"/>
    <w:rsid w:val="00563CCC"/>
    <w:rsid w:val="00563F39"/>
    <w:rsid w:val="00564DA4"/>
    <w:rsid w:val="00565224"/>
    <w:rsid w:val="0056522B"/>
    <w:rsid w:val="0056626E"/>
    <w:rsid w:val="00566310"/>
    <w:rsid w:val="00566467"/>
    <w:rsid w:val="0056678E"/>
    <w:rsid w:val="00566CE0"/>
    <w:rsid w:val="005670CF"/>
    <w:rsid w:val="005673D8"/>
    <w:rsid w:val="00567A33"/>
    <w:rsid w:val="005703A3"/>
    <w:rsid w:val="00570522"/>
    <w:rsid w:val="00570845"/>
    <w:rsid w:val="00570A1E"/>
    <w:rsid w:val="005717BB"/>
    <w:rsid w:val="005719DA"/>
    <w:rsid w:val="005727D3"/>
    <w:rsid w:val="00572B5D"/>
    <w:rsid w:val="005734F8"/>
    <w:rsid w:val="00573569"/>
    <w:rsid w:val="00573D95"/>
    <w:rsid w:val="005749DC"/>
    <w:rsid w:val="005755AF"/>
    <w:rsid w:val="00575736"/>
    <w:rsid w:val="00575C2E"/>
    <w:rsid w:val="00575F16"/>
    <w:rsid w:val="0057605A"/>
    <w:rsid w:val="00576D6E"/>
    <w:rsid w:val="005801CC"/>
    <w:rsid w:val="00580207"/>
    <w:rsid w:val="00580263"/>
    <w:rsid w:val="0058196D"/>
    <w:rsid w:val="00581CB6"/>
    <w:rsid w:val="005825D0"/>
    <w:rsid w:val="00582B3C"/>
    <w:rsid w:val="00582CE3"/>
    <w:rsid w:val="00583ACA"/>
    <w:rsid w:val="00583C98"/>
    <w:rsid w:val="00584AFC"/>
    <w:rsid w:val="00584B8F"/>
    <w:rsid w:val="00584C97"/>
    <w:rsid w:val="00584DEA"/>
    <w:rsid w:val="005850CC"/>
    <w:rsid w:val="00585A1A"/>
    <w:rsid w:val="00585C0D"/>
    <w:rsid w:val="00585C90"/>
    <w:rsid w:val="00585F54"/>
    <w:rsid w:val="00587227"/>
    <w:rsid w:val="005901F2"/>
    <w:rsid w:val="00590D1E"/>
    <w:rsid w:val="005913C5"/>
    <w:rsid w:val="00591EB8"/>
    <w:rsid w:val="005921B6"/>
    <w:rsid w:val="0059223F"/>
    <w:rsid w:val="0059336A"/>
    <w:rsid w:val="00593BB7"/>
    <w:rsid w:val="00593ED0"/>
    <w:rsid w:val="0059489D"/>
    <w:rsid w:val="00594F4C"/>
    <w:rsid w:val="005952E5"/>
    <w:rsid w:val="005953AE"/>
    <w:rsid w:val="005955C5"/>
    <w:rsid w:val="00595811"/>
    <w:rsid w:val="00595B9E"/>
    <w:rsid w:val="00595CB6"/>
    <w:rsid w:val="00595F78"/>
    <w:rsid w:val="0059628F"/>
    <w:rsid w:val="005962BE"/>
    <w:rsid w:val="00596777"/>
    <w:rsid w:val="005975C1"/>
    <w:rsid w:val="00597C04"/>
    <w:rsid w:val="00597C36"/>
    <w:rsid w:val="005A1A12"/>
    <w:rsid w:val="005A25E8"/>
    <w:rsid w:val="005A33C6"/>
    <w:rsid w:val="005A4485"/>
    <w:rsid w:val="005A45A3"/>
    <w:rsid w:val="005A462A"/>
    <w:rsid w:val="005A47E9"/>
    <w:rsid w:val="005A4B09"/>
    <w:rsid w:val="005A52F2"/>
    <w:rsid w:val="005A5416"/>
    <w:rsid w:val="005A58DE"/>
    <w:rsid w:val="005A6179"/>
    <w:rsid w:val="005A623E"/>
    <w:rsid w:val="005A6A48"/>
    <w:rsid w:val="005A6B6A"/>
    <w:rsid w:val="005A6D6D"/>
    <w:rsid w:val="005A6EAF"/>
    <w:rsid w:val="005B006C"/>
    <w:rsid w:val="005B107D"/>
    <w:rsid w:val="005B168B"/>
    <w:rsid w:val="005B2E79"/>
    <w:rsid w:val="005B2EB9"/>
    <w:rsid w:val="005B2F78"/>
    <w:rsid w:val="005B30E9"/>
    <w:rsid w:val="005B3495"/>
    <w:rsid w:val="005B364C"/>
    <w:rsid w:val="005B3BA3"/>
    <w:rsid w:val="005B3D3B"/>
    <w:rsid w:val="005B4FEA"/>
    <w:rsid w:val="005B5A75"/>
    <w:rsid w:val="005B7582"/>
    <w:rsid w:val="005B7D85"/>
    <w:rsid w:val="005C0054"/>
    <w:rsid w:val="005C1005"/>
    <w:rsid w:val="005C11B4"/>
    <w:rsid w:val="005C1B8E"/>
    <w:rsid w:val="005C1C70"/>
    <w:rsid w:val="005C2F46"/>
    <w:rsid w:val="005C33F4"/>
    <w:rsid w:val="005C3D54"/>
    <w:rsid w:val="005C43A3"/>
    <w:rsid w:val="005C4DFD"/>
    <w:rsid w:val="005C55B8"/>
    <w:rsid w:val="005C5C4A"/>
    <w:rsid w:val="005C5C96"/>
    <w:rsid w:val="005C6B1F"/>
    <w:rsid w:val="005C6FFC"/>
    <w:rsid w:val="005C7FB0"/>
    <w:rsid w:val="005D0181"/>
    <w:rsid w:val="005D0441"/>
    <w:rsid w:val="005D0C65"/>
    <w:rsid w:val="005D1190"/>
    <w:rsid w:val="005D1B05"/>
    <w:rsid w:val="005D24EC"/>
    <w:rsid w:val="005D2C6E"/>
    <w:rsid w:val="005D2E12"/>
    <w:rsid w:val="005D3387"/>
    <w:rsid w:val="005D359D"/>
    <w:rsid w:val="005D3B21"/>
    <w:rsid w:val="005D4CF7"/>
    <w:rsid w:val="005D5EC0"/>
    <w:rsid w:val="005D5F51"/>
    <w:rsid w:val="005D6B3A"/>
    <w:rsid w:val="005D7699"/>
    <w:rsid w:val="005E06D0"/>
    <w:rsid w:val="005E0849"/>
    <w:rsid w:val="005E1695"/>
    <w:rsid w:val="005E16C5"/>
    <w:rsid w:val="005E18FB"/>
    <w:rsid w:val="005E25E3"/>
    <w:rsid w:val="005E2CF2"/>
    <w:rsid w:val="005E2D5A"/>
    <w:rsid w:val="005E31B4"/>
    <w:rsid w:val="005E3627"/>
    <w:rsid w:val="005E3726"/>
    <w:rsid w:val="005E379F"/>
    <w:rsid w:val="005E39B6"/>
    <w:rsid w:val="005E4E94"/>
    <w:rsid w:val="005E5468"/>
    <w:rsid w:val="005E54BD"/>
    <w:rsid w:val="005E55C2"/>
    <w:rsid w:val="005E5CE4"/>
    <w:rsid w:val="005E6078"/>
    <w:rsid w:val="005E6428"/>
    <w:rsid w:val="005E6F21"/>
    <w:rsid w:val="005E78AE"/>
    <w:rsid w:val="005F0181"/>
    <w:rsid w:val="005F03D7"/>
    <w:rsid w:val="005F16AA"/>
    <w:rsid w:val="005F1818"/>
    <w:rsid w:val="005F2885"/>
    <w:rsid w:val="005F2D6B"/>
    <w:rsid w:val="005F2DD9"/>
    <w:rsid w:val="005F3C7E"/>
    <w:rsid w:val="005F40D3"/>
    <w:rsid w:val="005F4832"/>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D00"/>
    <w:rsid w:val="0060352A"/>
    <w:rsid w:val="00604FC5"/>
    <w:rsid w:val="00605812"/>
    <w:rsid w:val="00605A06"/>
    <w:rsid w:val="00605B07"/>
    <w:rsid w:val="00605DF3"/>
    <w:rsid w:val="00606830"/>
    <w:rsid w:val="0060697D"/>
    <w:rsid w:val="0060762E"/>
    <w:rsid w:val="006101B0"/>
    <w:rsid w:val="00610394"/>
    <w:rsid w:val="0061043D"/>
    <w:rsid w:val="0061065D"/>
    <w:rsid w:val="006111F0"/>
    <w:rsid w:val="00611EC0"/>
    <w:rsid w:val="0061248A"/>
    <w:rsid w:val="00612ADD"/>
    <w:rsid w:val="00612B3B"/>
    <w:rsid w:val="00613143"/>
    <w:rsid w:val="00613533"/>
    <w:rsid w:val="00613B5F"/>
    <w:rsid w:val="00614121"/>
    <w:rsid w:val="00614A82"/>
    <w:rsid w:val="00614E5F"/>
    <w:rsid w:val="00615102"/>
    <w:rsid w:val="006161C7"/>
    <w:rsid w:val="006163D8"/>
    <w:rsid w:val="00616801"/>
    <w:rsid w:val="0061697D"/>
    <w:rsid w:val="00616D3D"/>
    <w:rsid w:val="00617900"/>
    <w:rsid w:val="00620F24"/>
    <w:rsid w:val="00622642"/>
    <w:rsid w:val="006234D9"/>
    <w:rsid w:val="006237E2"/>
    <w:rsid w:val="00623C5D"/>
    <w:rsid w:val="00625801"/>
    <w:rsid w:val="0062643F"/>
    <w:rsid w:val="00626680"/>
    <w:rsid w:val="00626F91"/>
    <w:rsid w:val="006270A3"/>
    <w:rsid w:val="00630151"/>
    <w:rsid w:val="00630391"/>
    <w:rsid w:val="00631889"/>
    <w:rsid w:val="00631CCF"/>
    <w:rsid w:val="006325B6"/>
    <w:rsid w:val="0063279E"/>
    <w:rsid w:val="00632A22"/>
    <w:rsid w:val="00632CEF"/>
    <w:rsid w:val="00632ED6"/>
    <w:rsid w:val="00633420"/>
    <w:rsid w:val="00633424"/>
    <w:rsid w:val="0063478C"/>
    <w:rsid w:val="00634B44"/>
    <w:rsid w:val="00634E32"/>
    <w:rsid w:val="00634FA3"/>
    <w:rsid w:val="006351E8"/>
    <w:rsid w:val="00635B53"/>
    <w:rsid w:val="006361A4"/>
    <w:rsid w:val="00636BA9"/>
    <w:rsid w:val="00636C93"/>
    <w:rsid w:val="00636DBA"/>
    <w:rsid w:val="00636EE9"/>
    <w:rsid w:val="00640207"/>
    <w:rsid w:val="00640794"/>
    <w:rsid w:val="006408F4"/>
    <w:rsid w:val="00640C30"/>
    <w:rsid w:val="00640EF8"/>
    <w:rsid w:val="00641651"/>
    <w:rsid w:val="00641DF3"/>
    <w:rsid w:val="00643356"/>
    <w:rsid w:val="0064346B"/>
    <w:rsid w:val="00643535"/>
    <w:rsid w:val="0064373A"/>
    <w:rsid w:val="00644425"/>
    <w:rsid w:val="00644D64"/>
    <w:rsid w:val="00644F02"/>
    <w:rsid w:val="0064562F"/>
    <w:rsid w:val="006458E6"/>
    <w:rsid w:val="00645949"/>
    <w:rsid w:val="00645CCE"/>
    <w:rsid w:val="00645ED4"/>
    <w:rsid w:val="00646BCE"/>
    <w:rsid w:val="00646F70"/>
    <w:rsid w:val="0064750A"/>
    <w:rsid w:val="00647973"/>
    <w:rsid w:val="0065067D"/>
    <w:rsid w:val="00650725"/>
    <w:rsid w:val="00650915"/>
    <w:rsid w:val="006514AB"/>
    <w:rsid w:val="00651739"/>
    <w:rsid w:val="006519CA"/>
    <w:rsid w:val="006526C6"/>
    <w:rsid w:val="0065281F"/>
    <w:rsid w:val="0065315D"/>
    <w:rsid w:val="0065351B"/>
    <w:rsid w:val="00653785"/>
    <w:rsid w:val="006543DD"/>
    <w:rsid w:val="00655054"/>
    <w:rsid w:val="00655586"/>
    <w:rsid w:val="00656458"/>
    <w:rsid w:val="0065699B"/>
    <w:rsid w:val="00657B5D"/>
    <w:rsid w:val="00657C74"/>
    <w:rsid w:val="00660142"/>
    <w:rsid w:val="00660D7E"/>
    <w:rsid w:val="00662AF3"/>
    <w:rsid w:val="00662D4A"/>
    <w:rsid w:val="006637C7"/>
    <w:rsid w:val="00663BD7"/>
    <w:rsid w:val="006646CB"/>
    <w:rsid w:val="00664A0A"/>
    <w:rsid w:val="00665000"/>
    <w:rsid w:val="006655DE"/>
    <w:rsid w:val="00666241"/>
    <w:rsid w:val="006673E0"/>
    <w:rsid w:val="006674A5"/>
    <w:rsid w:val="00670376"/>
    <w:rsid w:val="00670C77"/>
    <w:rsid w:val="00671F7C"/>
    <w:rsid w:val="0067213C"/>
    <w:rsid w:val="00672333"/>
    <w:rsid w:val="0067299F"/>
    <w:rsid w:val="00672B9B"/>
    <w:rsid w:val="006731B4"/>
    <w:rsid w:val="006734A7"/>
    <w:rsid w:val="006748B5"/>
    <w:rsid w:val="006751CA"/>
    <w:rsid w:val="00675304"/>
    <w:rsid w:val="00675F01"/>
    <w:rsid w:val="0067639C"/>
    <w:rsid w:val="006771AD"/>
    <w:rsid w:val="006776FE"/>
    <w:rsid w:val="00677E98"/>
    <w:rsid w:val="00677EBB"/>
    <w:rsid w:val="00680922"/>
    <w:rsid w:val="00681471"/>
    <w:rsid w:val="006816D3"/>
    <w:rsid w:val="00681757"/>
    <w:rsid w:val="00682C10"/>
    <w:rsid w:val="0068387C"/>
    <w:rsid w:val="00683966"/>
    <w:rsid w:val="00683B78"/>
    <w:rsid w:val="00684042"/>
    <w:rsid w:val="00684AA4"/>
    <w:rsid w:val="0068534C"/>
    <w:rsid w:val="006857B1"/>
    <w:rsid w:val="00685CE3"/>
    <w:rsid w:val="00685E41"/>
    <w:rsid w:val="00686517"/>
    <w:rsid w:val="00686778"/>
    <w:rsid w:val="00686FA0"/>
    <w:rsid w:val="00687096"/>
    <w:rsid w:val="006877D3"/>
    <w:rsid w:val="00687DAD"/>
    <w:rsid w:val="00691577"/>
    <w:rsid w:val="00691C5B"/>
    <w:rsid w:val="00691D24"/>
    <w:rsid w:val="00692057"/>
    <w:rsid w:val="00692C6A"/>
    <w:rsid w:val="0069342F"/>
    <w:rsid w:val="006949D8"/>
    <w:rsid w:val="00696295"/>
    <w:rsid w:val="006966F6"/>
    <w:rsid w:val="00696AEF"/>
    <w:rsid w:val="00696E97"/>
    <w:rsid w:val="0069737A"/>
    <w:rsid w:val="006976AE"/>
    <w:rsid w:val="00697EAF"/>
    <w:rsid w:val="00697F76"/>
    <w:rsid w:val="006A0DD6"/>
    <w:rsid w:val="006A24C9"/>
    <w:rsid w:val="006A26B8"/>
    <w:rsid w:val="006A286B"/>
    <w:rsid w:val="006A2BC3"/>
    <w:rsid w:val="006A3A98"/>
    <w:rsid w:val="006A3BF1"/>
    <w:rsid w:val="006A4136"/>
    <w:rsid w:val="006A48FC"/>
    <w:rsid w:val="006A4BB7"/>
    <w:rsid w:val="006A5170"/>
    <w:rsid w:val="006A5DE0"/>
    <w:rsid w:val="006A5E0F"/>
    <w:rsid w:val="006A7406"/>
    <w:rsid w:val="006A7956"/>
    <w:rsid w:val="006A7AB2"/>
    <w:rsid w:val="006A7AEF"/>
    <w:rsid w:val="006A7B95"/>
    <w:rsid w:val="006B034B"/>
    <w:rsid w:val="006B0D15"/>
    <w:rsid w:val="006B1119"/>
    <w:rsid w:val="006B12CA"/>
    <w:rsid w:val="006B15BC"/>
    <w:rsid w:val="006B16BF"/>
    <w:rsid w:val="006B2E99"/>
    <w:rsid w:val="006B2EB4"/>
    <w:rsid w:val="006B3147"/>
    <w:rsid w:val="006B31A8"/>
    <w:rsid w:val="006B3527"/>
    <w:rsid w:val="006B383C"/>
    <w:rsid w:val="006B3C13"/>
    <w:rsid w:val="006B4430"/>
    <w:rsid w:val="006B5552"/>
    <w:rsid w:val="006B58BF"/>
    <w:rsid w:val="006B6787"/>
    <w:rsid w:val="006B68E2"/>
    <w:rsid w:val="006B6DAC"/>
    <w:rsid w:val="006B6DBF"/>
    <w:rsid w:val="006B7A51"/>
    <w:rsid w:val="006C0049"/>
    <w:rsid w:val="006C02B8"/>
    <w:rsid w:val="006C0A7E"/>
    <w:rsid w:val="006C114B"/>
    <w:rsid w:val="006C18EF"/>
    <w:rsid w:val="006C1FA2"/>
    <w:rsid w:val="006C2C37"/>
    <w:rsid w:val="006C31FB"/>
    <w:rsid w:val="006C3338"/>
    <w:rsid w:val="006C3F52"/>
    <w:rsid w:val="006C436B"/>
    <w:rsid w:val="006C509C"/>
    <w:rsid w:val="006C5359"/>
    <w:rsid w:val="006C5B59"/>
    <w:rsid w:val="006C65D4"/>
    <w:rsid w:val="006C688E"/>
    <w:rsid w:val="006C751B"/>
    <w:rsid w:val="006C7FE8"/>
    <w:rsid w:val="006D0012"/>
    <w:rsid w:val="006D0861"/>
    <w:rsid w:val="006D0BEA"/>
    <w:rsid w:val="006D0DAE"/>
    <w:rsid w:val="006D151E"/>
    <w:rsid w:val="006D1D8A"/>
    <w:rsid w:val="006D1EEA"/>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CA6"/>
    <w:rsid w:val="006E2919"/>
    <w:rsid w:val="006E2B84"/>
    <w:rsid w:val="006E2C4B"/>
    <w:rsid w:val="006E312A"/>
    <w:rsid w:val="006E404A"/>
    <w:rsid w:val="006E47CC"/>
    <w:rsid w:val="006E4A8A"/>
    <w:rsid w:val="006E4BDB"/>
    <w:rsid w:val="006E6C19"/>
    <w:rsid w:val="006E720B"/>
    <w:rsid w:val="006E77A4"/>
    <w:rsid w:val="006E799D"/>
    <w:rsid w:val="006F0082"/>
    <w:rsid w:val="006F02A9"/>
    <w:rsid w:val="006F05BD"/>
    <w:rsid w:val="006F07CC"/>
    <w:rsid w:val="006F15BF"/>
    <w:rsid w:val="006F164C"/>
    <w:rsid w:val="006F1800"/>
    <w:rsid w:val="006F1A8C"/>
    <w:rsid w:val="006F21C7"/>
    <w:rsid w:val="006F2792"/>
    <w:rsid w:val="006F2A16"/>
    <w:rsid w:val="006F39A3"/>
    <w:rsid w:val="006F3E20"/>
    <w:rsid w:val="006F5729"/>
    <w:rsid w:val="006F57E6"/>
    <w:rsid w:val="006F61CF"/>
    <w:rsid w:val="006F6592"/>
    <w:rsid w:val="006F6B91"/>
    <w:rsid w:val="006F7E2D"/>
    <w:rsid w:val="00700711"/>
    <w:rsid w:val="00700D3F"/>
    <w:rsid w:val="00700E31"/>
    <w:rsid w:val="00701F36"/>
    <w:rsid w:val="00702B97"/>
    <w:rsid w:val="00702E8E"/>
    <w:rsid w:val="00703091"/>
    <w:rsid w:val="00703DC7"/>
    <w:rsid w:val="00704D52"/>
    <w:rsid w:val="00704E29"/>
    <w:rsid w:val="007058EE"/>
    <w:rsid w:val="007060DA"/>
    <w:rsid w:val="007066E6"/>
    <w:rsid w:val="0070687A"/>
    <w:rsid w:val="00706EC4"/>
    <w:rsid w:val="00710394"/>
    <w:rsid w:val="00710E4D"/>
    <w:rsid w:val="00710E65"/>
    <w:rsid w:val="00710ED1"/>
    <w:rsid w:val="00711182"/>
    <w:rsid w:val="00711C6E"/>
    <w:rsid w:val="00712BC4"/>
    <w:rsid w:val="007131DD"/>
    <w:rsid w:val="00713594"/>
    <w:rsid w:val="00713662"/>
    <w:rsid w:val="00713875"/>
    <w:rsid w:val="00713E66"/>
    <w:rsid w:val="0071481F"/>
    <w:rsid w:val="0071493B"/>
    <w:rsid w:val="00714C81"/>
    <w:rsid w:val="00714DBD"/>
    <w:rsid w:val="0071509B"/>
    <w:rsid w:val="007154E8"/>
    <w:rsid w:val="00715996"/>
    <w:rsid w:val="00715CA7"/>
    <w:rsid w:val="00715EC9"/>
    <w:rsid w:val="00716A19"/>
    <w:rsid w:val="007171C6"/>
    <w:rsid w:val="0072016D"/>
    <w:rsid w:val="007203D1"/>
    <w:rsid w:val="007205DF"/>
    <w:rsid w:val="007220D9"/>
    <w:rsid w:val="00722B05"/>
    <w:rsid w:val="007237A9"/>
    <w:rsid w:val="007237B6"/>
    <w:rsid w:val="00723932"/>
    <w:rsid w:val="00723D7A"/>
    <w:rsid w:val="00725788"/>
    <w:rsid w:val="00725D11"/>
    <w:rsid w:val="00725EF0"/>
    <w:rsid w:val="007260AE"/>
    <w:rsid w:val="00726488"/>
    <w:rsid w:val="007266CB"/>
    <w:rsid w:val="0072705E"/>
    <w:rsid w:val="007274A9"/>
    <w:rsid w:val="00730545"/>
    <w:rsid w:val="00730C7B"/>
    <w:rsid w:val="00732CA7"/>
    <w:rsid w:val="00732EDC"/>
    <w:rsid w:val="00733070"/>
    <w:rsid w:val="0073374D"/>
    <w:rsid w:val="007342BE"/>
    <w:rsid w:val="007345B7"/>
    <w:rsid w:val="00734A82"/>
    <w:rsid w:val="00735A54"/>
    <w:rsid w:val="00735B38"/>
    <w:rsid w:val="00737491"/>
    <w:rsid w:val="007374AB"/>
    <w:rsid w:val="00737AEE"/>
    <w:rsid w:val="00737B23"/>
    <w:rsid w:val="007405AB"/>
    <w:rsid w:val="007410A9"/>
    <w:rsid w:val="0074117E"/>
    <w:rsid w:val="007411EF"/>
    <w:rsid w:val="0074171E"/>
    <w:rsid w:val="00741959"/>
    <w:rsid w:val="00741C5B"/>
    <w:rsid w:val="007427F3"/>
    <w:rsid w:val="00742EAD"/>
    <w:rsid w:val="0074371C"/>
    <w:rsid w:val="00743B78"/>
    <w:rsid w:val="00743D9C"/>
    <w:rsid w:val="00743F5B"/>
    <w:rsid w:val="00744949"/>
    <w:rsid w:val="00744FBE"/>
    <w:rsid w:val="0074538E"/>
    <w:rsid w:val="007457F2"/>
    <w:rsid w:val="00745ABC"/>
    <w:rsid w:val="0074604E"/>
    <w:rsid w:val="00746466"/>
    <w:rsid w:val="00746AE4"/>
    <w:rsid w:val="00746AF2"/>
    <w:rsid w:val="00746E5F"/>
    <w:rsid w:val="0074754E"/>
    <w:rsid w:val="00747B2E"/>
    <w:rsid w:val="007502D6"/>
    <w:rsid w:val="0075092F"/>
    <w:rsid w:val="007512B4"/>
    <w:rsid w:val="00751666"/>
    <w:rsid w:val="00751CF2"/>
    <w:rsid w:val="007524C0"/>
    <w:rsid w:val="00753466"/>
    <w:rsid w:val="00753B3C"/>
    <w:rsid w:val="00754383"/>
    <w:rsid w:val="0075518B"/>
    <w:rsid w:val="00755971"/>
    <w:rsid w:val="00755FE9"/>
    <w:rsid w:val="00756090"/>
    <w:rsid w:val="00756A5C"/>
    <w:rsid w:val="00757C05"/>
    <w:rsid w:val="007623ED"/>
    <w:rsid w:val="0076275C"/>
    <w:rsid w:val="007627E0"/>
    <w:rsid w:val="00762D5B"/>
    <w:rsid w:val="007630B3"/>
    <w:rsid w:val="0076332F"/>
    <w:rsid w:val="0076349B"/>
    <w:rsid w:val="00763A89"/>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C0"/>
    <w:rsid w:val="00775BF0"/>
    <w:rsid w:val="007760A3"/>
    <w:rsid w:val="00776ADA"/>
    <w:rsid w:val="00777701"/>
    <w:rsid w:val="007777EE"/>
    <w:rsid w:val="0077793C"/>
    <w:rsid w:val="00777D66"/>
    <w:rsid w:val="00777DB4"/>
    <w:rsid w:val="00780681"/>
    <w:rsid w:val="007818DE"/>
    <w:rsid w:val="00783285"/>
    <w:rsid w:val="00783F83"/>
    <w:rsid w:val="00784B22"/>
    <w:rsid w:val="00784EAE"/>
    <w:rsid w:val="007851E8"/>
    <w:rsid w:val="00785236"/>
    <w:rsid w:val="00785C6E"/>
    <w:rsid w:val="00785FF2"/>
    <w:rsid w:val="007869A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3F15"/>
    <w:rsid w:val="0079494A"/>
    <w:rsid w:val="00794CCB"/>
    <w:rsid w:val="00795937"/>
    <w:rsid w:val="0079763C"/>
    <w:rsid w:val="00797801"/>
    <w:rsid w:val="007A02E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CDC"/>
    <w:rsid w:val="007B4466"/>
    <w:rsid w:val="007B4508"/>
    <w:rsid w:val="007B46FC"/>
    <w:rsid w:val="007B4FA2"/>
    <w:rsid w:val="007B51EF"/>
    <w:rsid w:val="007B57A1"/>
    <w:rsid w:val="007B5EF6"/>
    <w:rsid w:val="007B6354"/>
    <w:rsid w:val="007B65A2"/>
    <w:rsid w:val="007B733D"/>
    <w:rsid w:val="007B78D5"/>
    <w:rsid w:val="007B7CB8"/>
    <w:rsid w:val="007B7F33"/>
    <w:rsid w:val="007C00E1"/>
    <w:rsid w:val="007C024E"/>
    <w:rsid w:val="007C04C0"/>
    <w:rsid w:val="007C0A8D"/>
    <w:rsid w:val="007C0B33"/>
    <w:rsid w:val="007C1C32"/>
    <w:rsid w:val="007C2345"/>
    <w:rsid w:val="007C3F89"/>
    <w:rsid w:val="007C49F1"/>
    <w:rsid w:val="007C5386"/>
    <w:rsid w:val="007C5DFA"/>
    <w:rsid w:val="007C6518"/>
    <w:rsid w:val="007C6DD5"/>
    <w:rsid w:val="007C7016"/>
    <w:rsid w:val="007C787B"/>
    <w:rsid w:val="007C7FC3"/>
    <w:rsid w:val="007D03B6"/>
    <w:rsid w:val="007D0DF0"/>
    <w:rsid w:val="007D15E7"/>
    <w:rsid w:val="007D1735"/>
    <w:rsid w:val="007D2992"/>
    <w:rsid w:val="007D2B7B"/>
    <w:rsid w:val="007D2F6A"/>
    <w:rsid w:val="007D3156"/>
    <w:rsid w:val="007D36B9"/>
    <w:rsid w:val="007D4032"/>
    <w:rsid w:val="007D4373"/>
    <w:rsid w:val="007D49F1"/>
    <w:rsid w:val="007D581F"/>
    <w:rsid w:val="007D5BB4"/>
    <w:rsid w:val="007D642B"/>
    <w:rsid w:val="007D669C"/>
    <w:rsid w:val="007D790A"/>
    <w:rsid w:val="007D797C"/>
    <w:rsid w:val="007D7E70"/>
    <w:rsid w:val="007D7E91"/>
    <w:rsid w:val="007E02E9"/>
    <w:rsid w:val="007E1027"/>
    <w:rsid w:val="007E107B"/>
    <w:rsid w:val="007E1388"/>
    <w:rsid w:val="007E1461"/>
    <w:rsid w:val="007E21B0"/>
    <w:rsid w:val="007E2B6C"/>
    <w:rsid w:val="007E2BD5"/>
    <w:rsid w:val="007E2F00"/>
    <w:rsid w:val="007E356A"/>
    <w:rsid w:val="007E4154"/>
    <w:rsid w:val="007E47EF"/>
    <w:rsid w:val="007E4D20"/>
    <w:rsid w:val="007E4F02"/>
    <w:rsid w:val="007E5782"/>
    <w:rsid w:val="007E588A"/>
    <w:rsid w:val="007E5C0B"/>
    <w:rsid w:val="007E69FC"/>
    <w:rsid w:val="007E7082"/>
    <w:rsid w:val="007E74DC"/>
    <w:rsid w:val="007E751A"/>
    <w:rsid w:val="007E79CE"/>
    <w:rsid w:val="007E7AF6"/>
    <w:rsid w:val="007E7FC8"/>
    <w:rsid w:val="007F00FB"/>
    <w:rsid w:val="007F0180"/>
    <w:rsid w:val="007F03DD"/>
    <w:rsid w:val="007F0B1F"/>
    <w:rsid w:val="007F1243"/>
    <w:rsid w:val="007F136B"/>
    <w:rsid w:val="007F1641"/>
    <w:rsid w:val="007F178F"/>
    <w:rsid w:val="007F2051"/>
    <w:rsid w:val="007F345C"/>
    <w:rsid w:val="007F3890"/>
    <w:rsid w:val="007F43E9"/>
    <w:rsid w:val="007F530A"/>
    <w:rsid w:val="007F59A2"/>
    <w:rsid w:val="007F5F99"/>
    <w:rsid w:val="007F60DE"/>
    <w:rsid w:val="007F637C"/>
    <w:rsid w:val="007F65AE"/>
    <w:rsid w:val="007F6814"/>
    <w:rsid w:val="007F6995"/>
    <w:rsid w:val="007F6EF6"/>
    <w:rsid w:val="007F70DE"/>
    <w:rsid w:val="007F7B48"/>
    <w:rsid w:val="00800A30"/>
    <w:rsid w:val="008034AA"/>
    <w:rsid w:val="008037F6"/>
    <w:rsid w:val="00803CBB"/>
    <w:rsid w:val="00803DA5"/>
    <w:rsid w:val="00803F98"/>
    <w:rsid w:val="00803FA5"/>
    <w:rsid w:val="00804630"/>
    <w:rsid w:val="00804BC5"/>
    <w:rsid w:val="00805802"/>
    <w:rsid w:val="008059EE"/>
    <w:rsid w:val="008066EC"/>
    <w:rsid w:val="008066FB"/>
    <w:rsid w:val="00806C64"/>
    <w:rsid w:val="0080700E"/>
    <w:rsid w:val="00807E7B"/>
    <w:rsid w:val="008108CB"/>
    <w:rsid w:val="00811E9A"/>
    <w:rsid w:val="00812570"/>
    <w:rsid w:val="00812C15"/>
    <w:rsid w:val="00812DD2"/>
    <w:rsid w:val="00813106"/>
    <w:rsid w:val="00813172"/>
    <w:rsid w:val="008133E9"/>
    <w:rsid w:val="0081492E"/>
    <w:rsid w:val="00814D8F"/>
    <w:rsid w:val="00814E17"/>
    <w:rsid w:val="00814F3A"/>
    <w:rsid w:val="00817015"/>
    <w:rsid w:val="008172B8"/>
    <w:rsid w:val="00817A04"/>
    <w:rsid w:val="00817E9E"/>
    <w:rsid w:val="008204EF"/>
    <w:rsid w:val="008207D4"/>
    <w:rsid w:val="00822C57"/>
    <w:rsid w:val="008230EC"/>
    <w:rsid w:val="00823299"/>
    <w:rsid w:val="00823A9D"/>
    <w:rsid w:val="00823C70"/>
    <w:rsid w:val="0082487B"/>
    <w:rsid w:val="00824939"/>
    <w:rsid w:val="00824C50"/>
    <w:rsid w:val="00824D9D"/>
    <w:rsid w:val="00825F02"/>
    <w:rsid w:val="008260BD"/>
    <w:rsid w:val="0082638A"/>
    <w:rsid w:val="008264EB"/>
    <w:rsid w:val="0082788A"/>
    <w:rsid w:val="00827F65"/>
    <w:rsid w:val="00827FBD"/>
    <w:rsid w:val="00830160"/>
    <w:rsid w:val="00830811"/>
    <w:rsid w:val="008309AF"/>
    <w:rsid w:val="00830C05"/>
    <w:rsid w:val="00830D89"/>
    <w:rsid w:val="00831390"/>
    <w:rsid w:val="00832045"/>
    <w:rsid w:val="00832763"/>
    <w:rsid w:val="00833C60"/>
    <w:rsid w:val="00833D4A"/>
    <w:rsid w:val="008342B2"/>
    <w:rsid w:val="00835456"/>
    <w:rsid w:val="00835D9F"/>
    <w:rsid w:val="00836D94"/>
    <w:rsid w:val="00837097"/>
    <w:rsid w:val="00837815"/>
    <w:rsid w:val="00837BED"/>
    <w:rsid w:val="00837D41"/>
    <w:rsid w:val="008405A1"/>
    <w:rsid w:val="0084061A"/>
    <w:rsid w:val="00840B1E"/>
    <w:rsid w:val="00840C6F"/>
    <w:rsid w:val="008410EF"/>
    <w:rsid w:val="00841D33"/>
    <w:rsid w:val="00842862"/>
    <w:rsid w:val="00842A4F"/>
    <w:rsid w:val="008435C9"/>
    <w:rsid w:val="008435F7"/>
    <w:rsid w:val="0084368A"/>
    <w:rsid w:val="00843A5D"/>
    <w:rsid w:val="008452AC"/>
    <w:rsid w:val="008459AA"/>
    <w:rsid w:val="00846DDA"/>
    <w:rsid w:val="00846EBF"/>
    <w:rsid w:val="00847488"/>
    <w:rsid w:val="00847675"/>
    <w:rsid w:val="0084793A"/>
    <w:rsid w:val="0085074A"/>
    <w:rsid w:val="00850E21"/>
    <w:rsid w:val="00851353"/>
    <w:rsid w:val="008516C0"/>
    <w:rsid w:val="00851DA0"/>
    <w:rsid w:val="008521D9"/>
    <w:rsid w:val="00852226"/>
    <w:rsid w:val="0085231C"/>
    <w:rsid w:val="0085248A"/>
    <w:rsid w:val="00852525"/>
    <w:rsid w:val="00852A26"/>
    <w:rsid w:val="0085357E"/>
    <w:rsid w:val="00853D82"/>
    <w:rsid w:val="00854013"/>
    <w:rsid w:val="00854A50"/>
    <w:rsid w:val="008552C6"/>
    <w:rsid w:val="0085559A"/>
    <w:rsid w:val="0085593C"/>
    <w:rsid w:val="00855EAE"/>
    <w:rsid w:val="00856109"/>
    <w:rsid w:val="008568E7"/>
    <w:rsid w:val="00856FC4"/>
    <w:rsid w:val="008572E4"/>
    <w:rsid w:val="00857893"/>
    <w:rsid w:val="00857A32"/>
    <w:rsid w:val="00857BDF"/>
    <w:rsid w:val="0086028B"/>
    <w:rsid w:val="008606E8"/>
    <w:rsid w:val="00861063"/>
    <w:rsid w:val="0086156A"/>
    <w:rsid w:val="0086173B"/>
    <w:rsid w:val="00861DAE"/>
    <w:rsid w:val="00862EC7"/>
    <w:rsid w:val="00863EB5"/>
    <w:rsid w:val="008646FE"/>
    <w:rsid w:val="008653C3"/>
    <w:rsid w:val="00865620"/>
    <w:rsid w:val="00866852"/>
    <w:rsid w:val="00866994"/>
    <w:rsid w:val="008670E5"/>
    <w:rsid w:val="0086743C"/>
    <w:rsid w:val="00867CC4"/>
    <w:rsid w:val="00870A5E"/>
    <w:rsid w:val="00870B85"/>
    <w:rsid w:val="00871CA2"/>
    <w:rsid w:val="00871F79"/>
    <w:rsid w:val="00872175"/>
    <w:rsid w:val="00873E30"/>
    <w:rsid w:val="0087400D"/>
    <w:rsid w:val="00874222"/>
    <w:rsid w:val="008745D9"/>
    <w:rsid w:val="00875279"/>
    <w:rsid w:val="00875B90"/>
    <w:rsid w:val="00875D98"/>
    <w:rsid w:val="008761B5"/>
    <w:rsid w:val="008764F2"/>
    <w:rsid w:val="0087668E"/>
    <w:rsid w:val="00876D06"/>
    <w:rsid w:val="00876D31"/>
    <w:rsid w:val="008770DF"/>
    <w:rsid w:val="00877476"/>
    <w:rsid w:val="008775F2"/>
    <w:rsid w:val="00877C64"/>
    <w:rsid w:val="00880178"/>
    <w:rsid w:val="00880466"/>
    <w:rsid w:val="008805DF"/>
    <w:rsid w:val="008810D4"/>
    <w:rsid w:val="00881532"/>
    <w:rsid w:val="00881B7D"/>
    <w:rsid w:val="00882515"/>
    <w:rsid w:val="00882EE8"/>
    <w:rsid w:val="00883DE8"/>
    <w:rsid w:val="008841DC"/>
    <w:rsid w:val="00884AF6"/>
    <w:rsid w:val="00884CCE"/>
    <w:rsid w:val="00885022"/>
    <w:rsid w:val="00885208"/>
    <w:rsid w:val="00885AEE"/>
    <w:rsid w:val="00885DB4"/>
    <w:rsid w:val="00885E8E"/>
    <w:rsid w:val="00886F2C"/>
    <w:rsid w:val="008876DA"/>
    <w:rsid w:val="00887DB8"/>
    <w:rsid w:val="00887E80"/>
    <w:rsid w:val="00890048"/>
    <w:rsid w:val="00890920"/>
    <w:rsid w:val="00890C8B"/>
    <w:rsid w:val="008912C3"/>
    <w:rsid w:val="00891863"/>
    <w:rsid w:val="00892556"/>
    <w:rsid w:val="00892950"/>
    <w:rsid w:val="0089315C"/>
    <w:rsid w:val="00893242"/>
    <w:rsid w:val="0089331C"/>
    <w:rsid w:val="00893D9A"/>
    <w:rsid w:val="00894AB0"/>
    <w:rsid w:val="00894C15"/>
    <w:rsid w:val="00894EDF"/>
    <w:rsid w:val="008958D6"/>
    <w:rsid w:val="008964DF"/>
    <w:rsid w:val="00896BCD"/>
    <w:rsid w:val="00897111"/>
    <w:rsid w:val="00897136"/>
    <w:rsid w:val="0089791F"/>
    <w:rsid w:val="00897EBD"/>
    <w:rsid w:val="00897F3D"/>
    <w:rsid w:val="008A00F0"/>
    <w:rsid w:val="008A05B8"/>
    <w:rsid w:val="008A06C4"/>
    <w:rsid w:val="008A06D6"/>
    <w:rsid w:val="008A0BC2"/>
    <w:rsid w:val="008A0E18"/>
    <w:rsid w:val="008A0E33"/>
    <w:rsid w:val="008A13AB"/>
    <w:rsid w:val="008A1730"/>
    <w:rsid w:val="008A1DDC"/>
    <w:rsid w:val="008A2C6F"/>
    <w:rsid w:val="008A2DCD"/>
    <w:rsid w:val="008A34CC"/>
    <w:rsid w:val="008A34DC"/>
    <w:rsid w:val="008A375C"/>
    <w:rsid w:val="008A3E3C"/>
    <w:rsid w:val="008A405A"/>
    <w:rsid w:val="008A44F4"/>
    <w:rsid w:val="008A44FF"/>
    <w:rsid w:val="008A49F1"/>
    <w:rsid w:val="008A4B64"/>
    <w:rsid w:val="008A517B"/>
    <w:rsid w:val="008A52D0"/>
    <w:rsid w:val="008A5B18"/>
    <w:rsid w:val="008A5B60"/>
    <w:rsid w:val="008A64FC"/>
    <w:rsid w:val="008A6F0F"/>
    <w:rsid w:val="008A6FE6"/>
    <w:rsid w:val="008A7861"/>
    <w:rsid w:val="008A7BF5"/>
    <w:rsid w:val="008A7D3D"/>
    <w:rsid w:val="008A7F46"/>
    <w:rsid w:val="008B02B4"/>
    <w:rsid w:val="008B1065"/>
    <w:rsid w:val="008B1083"/>
    <w:rsid w:val="008B153E"/>
    <w:rsid w:val="008B1627"/>
    <w:rsid w:val="008B1A29"/>
    <w:rsid w:val="008B1FB3"/>
    <w:rsid w:val="008B25EE"/>
    <w:rsid w:val="008B26E4"/>
    <w:rsid w:val="008B29D9"/>
    <w:rsid w:val="008B4C7C"/>
    <w:rsid w:val="008B536D"/>
    <w:rsid w:val="008B5A18"/>
    <w:rsid w:val="008B6081"/>
    <w:rsid w:val="008B688D"/>
    <w:rsid w:val="008B6E11"/>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2EF5"/>
    <w:rsid w:val="008C455F"/>
    <w:rsid w:val="008C5AC7"/>
    <w:rsid w:val="008C6042"/>
    <w:rsid w:val="008C7145"/>
    <w:rsid w:val="008C7660"/>
    <w:rsid w:val="008C7A6C"/>
    <w:rsid w:val="008C7A73"/>
    <w:rsid w:val="008D0497"/>
    <w:rsid w:val="008D0840"/>
    <w:rsid w:val="008D0B7C"/>
    <w:rsid w:val="008D10A5"/>
    <w:rsid w:val="008D1C3F"/>
    <w:rsid w:val="008D1C6A"/>
    <w:rsid w:val="008D35CA"/>
    <w:rsid w:val="008D5138"/>
    <w:rsid w:val="008D5E8C"/>
    <w:rsid w:val="008D6292"/>
    <w:rsid w:val="008D62E8"/>
    <w:rsid w:val="008D6D51"/>
    <w:rsid w:val="008D6EB1"/>
    <w:rsid w:val="008D7291"/>
    <w:rsid w:val="008D7374"/>
    <w:rsid w:val="008D73B5"/>
    <w:rsid w:val="008E001E"/>
    <w:rsid w:val="008E03EF"/>
    <w:rsid w:val="008E0525"/>
    <w:rsid w:val="008E07B0"/>
    <w:rsid w:val="008E0DBE"/>
    <w:rsid w:val="008E135B"/>
    <w:rsid w:val="008E182B"/>
    <w:rsid w:val="008E2AFF"/>
    <w:rsid w:val="008E2BA5"/>
    <w:rsid w:val="008E315C"/>
    <w:rsid w:val="008E3373"/>
    <w:rsid w:val="008E34C1"/>
    <w:rsid w:val="008E34E5"/>
    <w:rsid w:val="008E3992"/>
    <w:rsid w:val="008E3BFC"/>
    <w:rsid w:val="008E3F26"/>
    <w:rsid w:val="008E3F75"/>
    <w:rsid w:val="008E45AF"/>
    <w:rsid w:val="008E5BB3"/>
    <w:rsid w:val="008E5CD4"/>
    <w:rsid w:val="008E5F3E"/>
    <w:rsid w:val="008E6265"/>
    <w:rsid w:val="008E6267"/>
    <w:rsid w:val="008E7380"/>
    <w:rsid w:val="008E7B76"/>
    <w:rsid w:val="008E7F61"/>
    <w:rsid w:val="008F0798"/>
    <w:rsid w:val="008F0A08"/>
    <w:rsid w:val="008F0C06"/>
    <w:rsid w:val="008F1C69"/>
    <w:rsid w:val="008F20B2"/>
    <w:rsid w:val="008F2607"/>
    <w:rsid w:val="008F2B47"/>
    <w:rsid w:val="008F2EA0"/>
    <w:rsid w:val="008F30CB"/>
    <w:rsid w:val="008F3899"/>
    <w:rsid w:val="008F38FF"/>
    <w:rsid w:val="008F39AA"/>
    <w:rsid w:val="008F3EBA"/>
    <w:rsid w:val="008F4ADC"/>
    <w:rsid w:val="008F4E21"/>
    <w:rsid w:val="008F5442"/>
    <w:rsid w:val="008F549A"/>
    <w:rsid w:val="008F54ED"/>
    <w:rsid w:val="008F6371"/>
    <w:rsid w:val="008F63B0"/>
    <w:rsid w:val="008F6552"/>
    <w:rsid w:val="008F6710"/>
    <w:rsid w:val="008F6C85"/>
    <w:rsid w:val="008F6E76"/>
    <w:rsid w:val="008F6FD0"/>
    <w:rsid w:val="008F7722"/>
    <w:rsid w:val="008F7766"/>
    <w:rsid w:val="008F7C32"/>
    <w:rsid w:val="008F7F39"/>
    <w:rsid w:val="009009D6"/>
    <w:rsid w:val="00901615"/>
    <w:rsid w:val="00901AC7"/>
    <w:rsid w:val="0090307D"/>
    <w:rsid w:val="009035E7"/>
    <w:rsid w:val="009038F8"/>
    <w:rsid w:val="00904AC2"/>
    <w:rsid w:val="009051BC"/>
    <w:rsid w:val="00905497"/>
    <w:rsid w:val="00905988"/>
    <w:rsid w:val="00905EE9"/>
    <w:rsid w:val="0090625F"/>
    <w:rsid w:val="00907139"/>
    <w:rsid w:val="00907A3E"/>
    <w:rsid w:val="009105CD"/>
    <w:rsid w:val="00910E7D"/>
    <w:rsid w:val="00912EB3"/>
    <w:rsid w:val="00913062"/>
    <w:rsid w:val="00913160"/>
    <w:rsid w:val="009134EC"/>
    <w:rsid w:val="00913704"/>
    <w:rsid w:val="009137F0"/>
    <w:rsid w:val="00913B3A"/>
    <w:rsid w:val="00913EA8"/>
    <w:rsid w:val="009155BF"/>
    <w:rsid w:val="009155EC"/>
    <w:rsid w:val="009160F5"/>
    <w:rsid w:val="009161FF"/>
    <w:rsid w:val="009164DA"/>
    <w:rsid w:val="00916D6A"/>
    <w:rsid w:val="00916FCF"/>
    <w:rsid w:val="009173A1"/>
    <w:rsid w:val="009175F7"/>
    <w:rsid w:val="009200D8"/>
    <w:rsid w:val="009205CE"/>
    <w:rsid w:val="00921343"/>
    <w:rsid w:val="00922481"/>
    <w:rsid w:val="00923056"/>
    <w:rsid w:val="00923829"/>
    <w:rsid w:val="009238AF"/>
    <w:rsid w:val="00923912"/>
    <w:rsid w:val="00924EBF"/>
    <w:rsid w:val="00925406"/>
    <w:rsid w:val="009255F9"/>
    <w:rsid w:val="00925674"/>
    <w:rsid w:val="009256C5"/>
    <w:rsid w:val="009257E1"/>
    <w:rsid w:val="0092638D"/>
    <w:rsid w:val="00926493"/>
    <w:rsid w:val="009269B5"/>
    <w:rsid w:val="00927C34"/>
    <w:rsid w:val="00931038"/>
    <w:rsid w:val="00931BC4"/>
    <w:rsid w:val="009335F1"/>
    <w:rsid w:val="00934174"/>
    <w:rsid w:val="00934DB0"/>
    <w:rsid w:val="00935AA0"/>
    <w:rsid w:val="00936307"/>
    <w:rsid w:val="0093644A"/>
    <w:rsid w:val="00937252"/>
    <w:rsid w:val="0093778C"/>
    <w:rsid w:val="00937B33"/>
    <w:rsid w:val="00940ABC"/>
    <w:rsid w:val="00940EF6"/>
    <w:rsid w:val="009413D0"/>
    <w:rsid w:val="00941426"/>
    <w:rsid w:val="00942A79"/>
    <w:rsid w:val="00942E90"/>
    <w:rsid w:val="00943C8C"/>
    <w:rsid w:val="00943E9E"/>
    <w:rsid w:val="00944A96"/>
    <w:rsid w:val="00946C79"/>
    <w:rsid w:val="009506CB"/>
    <w:rsid w:val="00953010"/>
    <w:rsid w:val="00953116"/>
    <w:rsid w:val="00953E54"/>
    <w:rsid w:val="0095439D"/>
    <w:rsid w:val="00955FF7"/>
    <w:rsid w:val="0095688F"/>
    <w:rsid w:val="009574FF"/>
    <w:rsid w:val="00957F67"/>
    <w:rsid w:val="0096034E"/>
    <w:rsid w:val="00960863"/>
    <w:rsid w:val="00960B35"/>
    <w:rsid w:val="00960BFE"/>
    <w:rsid w:val="009614F2"/>
    <w:rsid w:val="00961902"/>
    <w:rsid w:val="009620AE"/>
    <w:rsid w:val="00962257"/>
    <w:rsid w:val="00962D55"/>
    <w:rsid w:val="0096360D"/>
    <w:rsid w:val="00963F67"/>
    <w:rsid w:val="009640FD"/>
    <w:rsid w:val="00964217"/>
    <w:rsid w:val="0096427B"/>
    <w:rsid w:val="009645FB"/>
    <w:rsid w:val="00964CBF"/>
    <w:rsid w:val="00964D4F"/>
    <w:rsid w:val="009653AE"/>
    <w:rsid w:val="0096579B"/>
    <w:rsid w:val="009657B0"/>
    <w:rsid w:val="00965AE3"/>
    <w:rsid w:val="009662CD"/>
    <w:rsid w:val="00966933"/>
    <w:rsid w:val="00966D11"/>
    <w:rsid w:val="00966E90"/>
    <w:rsid w:val="0096700A"/>
    <w:rsid w:val="00967B0F"/>
    <w:rsid w:val="00967D1B"/>
    <w:rsid w:val="0097029A"/>
    <w:rsid w:val="00971680"/>
    <w:rsid w:val="00971855"/>
    <w:rsid w:val="009720E7"/>
    <w:rsid w:val="0097248F"/>
    <w:rsid w:val="009724E3"/>
    <w:rsid w:val="009727F9"/>
    <w:rsid w:val="009734E5"/>
    <w:rsid w:val="00973CFB"/>
    <w:rsid w:val="00973D46"/>
    <w:rsid w:val="00974038"/>
    <w:rsid w:val="00974127"/>
    <w:rsid w:val="0097470C"/>
    <w:rsid w:val="00975F3A"/>
    <w:rsid w:val="009761E1"/>
    <w:rsid w:val="009764CB"/>
    <w:rsid w:val="00976834"/>
    <w:rsid w:val="00977136"/>
    <w:rsid w:val="009778EA"/>
    <w:rsid w:val="00977D13"/>
    <w:rsid w:val="00977EF3"/>
    <w:rsid w:val="0098021F"/>
    <w:rsid w:val="00981051"/>
    <w:rsid w:val="0098143E"/>
    <w:rsid w:val="0098301E"/>
    <w:rsid w:val="009834B1"/>
    <w:rsid w:val="00983653"/>
    <w:rsid w:val="009837DB"/>
    <w:rsid w:val="00983ED8"/>
    <w:rsid w:val="00984488"/>
    <w:rsid w:val="00984785"/>
    <w:rsid w:val="00984BFF"/>
    <w:rsid w:val="00984F36"/>
    <w:rsid w:val="00985650"/>
    <w:rsid w:val="00985B35"/>
    <w:rsid w:val="00985BE6"/>
    <w:rsid w:val="00986533"/>
    <w:rsid w:val="009868EE"/>
    <w:rsid w:val="00986A79"/>
    <w:rsid w:val="00986C5C"/>
    <w:rsid w:val="00987088"/>
    <w:rsid w:val="0098724E"/>
    <w:rsid w:val="00990089"/>
    <w:rsid w:val="009904A3"/>
    <w:rsid w:val="00990C93"/>
    <w:rsid w:val="00990F02"/>
    <w:rsid w:val="00991750"/>
    <w:rsid w:val="00991A47"/>
    <w:rsid w:val="00991C56"/>
    <w:rsid w:val="009922D4"/>
    <w:rsid w:val="00992C97"/>
    <w:rsid w:val="00992E2B"/>
    <w:rsid w:val="00994589"/>
    <w:rsid w:val="00995BA2"/>
    <w:rsid w:val="00995D3F"/>
    <w:rsid w:val="00997945"/>
    <w:rsid w:val="009A07C4"/>
    <w:rsid w:val="009A08AF"/>
    <w:rsid w:val="009A0DC4"/>
    <w:rsid w:val="009A1898"/>
    <w:rsid w:val="009A19F7"/>
    <w:rsid w:val="009A1BED"/>
    <w:rsid w:val="009A1C5F"/>
    <w:rsid w:val="009A211B"/>
    <w:rsid w:val="009A23CD"/>
    <w:rsid w:val="009A2569"/>
    <w:rsid w:val="009A3684"/>
    <w:rsid w:val="009A385B"/>
    <w:rsid w:val="009A415A"/>
    <w:rsid w:val="009A44BC"/>
    <w:rsid w:val="009A46EA"/>
    <w:rsid w:val="009A519E"/>
    <w:rsid w:val="009A5A94"/>
    <w:rsid w:val="009A5E50"/>
    <w:rsid w:val="009A5EAF"/>
    <w:rsid w:val="009A622D"/>
    <w:rsid w:val="009A721A"/>
    <w:rsid w:val="009A7BA2"/>
    <w:rsid w:val="009B04B4"/>
    <w:rsid w:val="009B08ED"/>
    <w:rsid w:val="009B0EBB"/>
    <w:rsid w:val="009B156A"/>
    <w:rsid w:val="009B187F"/>
    <w:rsid w:val="009B2C53"/>
    <w:rsid w:val="009B3221"/>
    <w:rsid w:val="009B34F1"/>
    <w:rsid w:val="009B3678"/>
    <w:rsid w:val="009B3C70"/>
    <w:rsid w:val="009B4240"/>
    <w:rsid w:val="009B42B8"/>
    <w:rsid w:val="009B4B66"/>
    <w:rsid w:val="009B4B96"/>
    <w:rsid w:val="009B5010"/>
    <w:rsid w:val="009B54FC"/>
    <w:rsid w:val="009B5671"/>
    <w:rsid w:val="009B5C97"/>
    <w:rsid w:val="009B61F0"/>
    <w:rsid w:val="009B63F5"/>
    <w:rsid w:val="009B73FD"/>
    <w:rsid w:val="009B7443"/>
    <w:rsid w:val="009B7570"/>
    <w:rsid w:val="009B75CF"/>
    <w:rsid w:val="009B7D4E"/>
    <w:rsid w:val="009B7FA7"/>
    <w:rsid w:val="009C02D2"/>
    <w:rsid w:val="009C10DF"/>
    <w:rsid w:val="009C162C"/>
    <w:rsid w:val="009C1E32"/>
    <w:rsid w:val="009C3086"/>
    <w:rsid w:val="009C4001"/>
    <w:rsid w:val="009C5628"/>
    <w:rsid w:val="009C5D84"/>
    <w:rsid w:val="009C5E85"/>
    <w:rsid w:val="009C62F9"/>
    <w:rsid w:val="009C78B5"/>
    <w:rsid w:val="009D0E2D"/>
    <w:rsid w:val="009D0EED"/>
    <w:rsid w:val="009D10FE"/>
    <w:rsid w:val="009D11A6"/>
    <w:rsid w:val="009D183C"/>
    <w:rsid w:val="009D2F9E"/>
    <w:rsid w:val="009D40D0"/>
    <w:rsid w:val="009D4807"/>
    <w:rsid w:val="009D483D"/>
    <w:rsid w:val="009D4966"/>
    <w:rsid w:val="009D4B37"/>
    <w:rsid w:val="009D4EBF"/>
    <w:rsid w:val="009D58C6"/>
    <w:rsid w:val="009D594E"/>
    <w:rsid w:val="009D743C"/>
    <w:rsid w:val="009D74AB"/>
    <w:rsid w:val="009E03DF"/>
    <w:rsid w:val="009E042B"/>
    <w:rsid w:val="009E104E"/>
    <w:rsid w:val="009E1331"/>
    <w:rsid w:val="009E14B4"/>
    <w:rsid w:val="009E1864"/>
    <w:rsid w:val="009E196E"/>
    <w:rsid w:val="009E1E11"/>
    <w:rsid w:val="009E2435"/>
    <w:rsid w:val="009E2932"/>
    <w:rsid w:val="009E44AC"/>
    <w:rsid w:val="009E4B27"/>
    <w:rsid w:val="009E55D9"/>
    <w:rsid w:val="009E55F6"/>
    <w:rsid w:val="009E6AF3"/>
    <w:rsid w:val="009E76CF"/>
    <w:rsid w:val="009E7880"/>
    <w:rsid w:val="009E7D8A"/>
    <w:rsid w:val="009F0287"/>
    <w:rsid w:val="009F0534"/>
    <w:rsid w:val="009F095A"/>
    <w:rsid w:val="009F1655"/>
    <w:rsid w:val="009F2552"/>
    <w:rsid w:val="009F29CF"/>
    <w:rsid w:val="009F3C66"/>
    <w:rsid w:val="009F3E64"/>
    <w:rsid w:val="009F40E4"/>
    <w:rsid w:val="009F47A9"/>
    <w:rsid w:val="009F4B18"/>
    <w:rsid w:val="009F500C"/>
    <w:rsid w:val="009F50FB"/>
    <w:rsid w:val="009F52EA"/>
    <w:rsid w:val="009F5C9B"/>
    <w:rsid w:val="009F6AD3"/>
    <w:rsid w:val="009F6FE8"/>
    <w:rsid w:val="009F739B"/>
    <w:rsid w:val="009F781F"/>
    <w:rsid w:val="009F7F00"/>
    <w:rsid w:val="00A00387"/>
    <w:rsid w:val="00A00EED"/>
    <w:rsid w:val="00A02134"/>
    <w:rsid w:val="00A02737"/>
    <w:rsid w:val="00A0282E"/>
    <w:rsid w:val="00A03039"/>
    <w:rsid w:val="00A036E6"/>
    <w:rsid w:val="00A043AB"/>
    <w:rsid w:val="00A054C8"/>
    <w:rsid w:val="00A05C35"/>
    <w:rsid w:val="00A05C88"/>
    <w:rsid w:val="00A060E2"/>
    <w:rsid w:val="00A0698E"/>
    <w:rsid w:val="00A06ABB"/>
    <w:rsid w:val="00A0716B"/>
    <w:rsid w:val="00A07547"/>
    <w:rsid w:val="00A07684"/>
    <w:rsid w:val="00A07AFD"/>
    <w:rsid w:val="00A07BDB"/>
    <w:rsid w:val="00A10A0E"/>
    <w:rsid w:val="00A10A3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4872"/>
    <w:rsid w:val="00A1504E"/>
    <w:rsid w:val="00A15C12"/>
    <w:rsid w:val="00A15F0A"/>
    <w:rsid w:val="00A17024"/>
    <w:rsid w:val="00A17352"/>
    <w:rsid w:val="00A17514"/>
    <w:rsid w:val="00A206CB"/>
    <w:rsid w:val="00A208B6"/>
    <w:rsid w:val="00A21348"/>
    <w:rsid w:val="00A220E4"/>
    <w:rsid w:val="00A22251"/>
    <w:rsid w:val="00A22961"/>
    <w:rsid w:val="00A23571"/>
    <w:rsid w:val="00A238C4"/>
    <w:rsid w:val="00A2436B"/>
    <w:rsid w:val="00A24BDF"/>
    <w:rsid w:val="00A25374"/>
    <w:rsid w:val="00A258E2"/>
    <w:rsid w:val="00A2602A"/>
    <w:rsid w:val="00A264A4"/>
    <w:rsid w:val="00A300C6"/>
    <w:rsid w:val="00A31C8C"/>
    <w:rsid w:val="00A31DC8"/>
    <w:rsid w:val="00A3257B"/>
    <w:rsid w:val="00A33C45"/>
    <w:rsid w:val="00A3408F"/>
    <w:rsid w:val="00A3532E"/>
    <w:rsid w:val="00A359D7"/>
    <w:rsid w:val="00A35B61"/>
    <w:rsid w:val="00A3613D"/>
    <w:rsid w:val="00A3648B"/>
    <w:rsid w:val="00A36E34"/>
    <w:rsid w:val="00A373EB"/>
    <w:rsid w:val="00A37926"/>
    <w:rsid w:val="00A40548"/>
    <w:rsid w:val="00A407A9"/>
    <w:rsid w:val="00A40942"/>
    <w:rsid w:val="00A41A93"/>
    <w:rsid w:val="00A421A7"/>
    <w:rsid w:val="00A4240A"/>
    <w:rsid w:val="00A424A5"/>
    <w:rsid w:val="00A425C2"/>
    <w:rsid w:val="00A4292D"/>
    <w:rsid w:val="00A431A9"/>
    <w:rsid w:val="00A434BE"/>
    <w:rsid w:val="00A436A7"/>
    <w:rsid w:val="00A44957"/>
    <w:rsid w:val="00A44DD3"/>
    <w:rsid w:val="00A458A5"/>
    <w:rsid w:val="00A458F0"/>
    <w:rsid w:val="00A46223"/>
    <w:rsid w:val="00A473A6"/>
    <w:rsid w:val="00A474A3"/>
    <w:rsid w:val="00A477B2"/>
    <w:rsid w:val="00A50D60"/>
    <w:rsid w:val="00A50E42"/>
    <w:rsid w:val="00A517E3"/>
    <w:rsid w:val="00A5186F"/>
    <w:rsid w:val="00A51F95"/>
    <w:rsid w:val="00A533DD"/>
    <w:rsid w:val="00A535EF"/>
    <w:rsid w:val="00A53DD9"/>
    <w:rsid w:val="00A54073"/>
    <w:rsid w:val="00A54260"/>
    <w:rsid w:val="00A54322"/>
    <w:rsid w:val="00A54423"/>
    <w:rsid w:val="00A54A63"/>
    <w:rsid w:val="00A54B48"/>
    <w:rsid w:val="00A54D9E"/>
    <w:rsid w:val="00A54DCA"/>
    <w:rsid w:val="00A55586"/>
    <w:rsid w:val="00A55818"/>
    <w:rsid w:val="00A55880"/>
    <w:rsid w:val="00A56BA1"/>
    <w:rsid w:val="00A57092"/>
    <w:rsid w:val="00A5714F"/>
    <w:rsid w:val="00A571E5"/>
    <w:rsid w:val="00A57B65"/>
    <w:rsid w:val="00A57E9F"/>
    <w:rsid w:val="00A60598"/>
    <w:rsid w:val="00A6080D"/>
    <w:rsid w:val="00A60C06"/>
    <w:rsid w:val="00A61061"/>
    <w:rsid w:val="00A62C01"/>
    <w:rsid w:val="00A63C7F"/>
    <w:rsid w:val="00A63CC5"/>
    <w:rsid w:val="00A6413B"/>
    <w:rsid w:val="00A6503D"/>
    <w:rsid w:val="00A656F0"/>
    <w:rsid w:val="00A65A53"/>
    <w:rsid w:val="00A65E61"/>
    <w:rsid w:val="00A665B0"/>
    <w:rsid w:val="00A666C1"/>
    <w:rsid w:val="00A6692E"/>
    <w:rsid w:val="00A66B73"/>
    <w:rsid w:val="00A66C8D"/>
    <w:rsid w:val="00A66F52"/>
    <w:rsid w:val="00A66F54"/>
    <w:rsid w:val="00A67563"/>
    <w:rsid w:val="00A67A52"/>
    <w:rsid w:val="00A705CE"/>
    <w:rsid w:val="00A70995"/>
    <w:rsid w:val="00A71C13"/>
    <w:rsid w:val="00A721D5"/>
    <w:rsid w:val="00A73F8C"/>
    <w:rsid w:val="00A74666"/>
    <w:rsid w:val="00A74C6B"/>
    <w:rsid w:val="00A74CA8"/>
    <w:rsid w:val="00A764EE"/>
    <w:rsid w:val="00A7651E"/>
    <w:rsid w:val="00A7663E"/>
    <w:rsid w:val="00A76A8C"/>
    <w:rsid w:val="00A76AE8"/>
    <w:rsid w:val="00A776BC"/>
    <w:rsid w:val="00A77A65"/>
    <w:rsid w:val="00A77B0E"/>
    <w:rsid w:val="00A80493"/>
    <w:rsid w:val="00A80875"/>
    <w:rsid w:val="00A80D97"/>
    <w:rsid w:val="00A8103F"/>
    <w:rsid w:val="00A81878"/>
    <w:rsid w:val="00A81F14"/>
    <w:rsid w:val="00A82BC4"/>
    <w:rsid w:val="00A83200"/>
    <w:rsid w:val="00A8370E"/>
    <w:rsid w:val="00A838A6"/>
    <w:rsid w:val="00A83C08"/>
    <w:rsid w:val="00A84213"/>
    <w:rsid w:val="00A8492E"/>
    <w:rsid w:val="00A84E01"/>
    <w:rsid w:val="00A8511C"/>
    <w:rsid w:val="00A8574C"/>
    <w:rsid w:val="00A85B7F"/>
    <w:rsid w:val="00A85EFF"/>
    <w:rsid w:val="00A86633"/>
    <w:rsid w:val="00A86B37"/>
    <w:rsid w:val="00A874C4"/>
    <w:rsid w:val="00A87A21"/>
    <w:rsid w:val="00A908EE"/>
    <w:rsid w:val="00A91510"/>
    <w:rsid w:val="00A9291A"/>
    <w:rsid w:val="00A932C0"/>
    <w:rsid w:val="00A93E8C"/>
    <w:rsid w:val="00A942F3"/>
    <w:rsid w:val="00A949FC"/>
    <w:rsid w:val="00A94B17"/>
    <w:rsid w:val="00A94BF6"/>
    <w:rsid w:val="00A94CA2"/>
    <w:rsid w:val="00A94D08"/>
    <w:rsid w:val="00A9543E"/>
    <w:rsid w:val="00A95BB9"/>
    <w:rsid w:val="00A95CFB"/>
    <w:rsid w:val="00A96054"/>
    <w:rsid w:val="00A962D1"/>
    <w:rsid w:val="00A966E5"/>
    <w:rsid w:val="00A968C7"/>
    <w:rsid w:val="00A96BC1"/>
    <w:rsid w:val="00A9711F"/>
    <w:rsid w:val="00A97413"/>
    <w:rsid w:val="00A9745D"/>
    <w:rsid w:val="00A97632"/>
    <w:rsid w:val="00AA01A9"/>
    <w:rsid w:val="00AA209F"/>
    <w:rsid w:val="00AA22FA"/>
    <w:rsid w:val="00AA2CA4"/>
    <w:rsid w:val="00AA33B9"/>
    <w:rsid w:val="00AA37FF"/>
    <w:rsid w:val="00AA448A"/>
    <w:rsid w:val="00AA464B"/>
    <w:rsid w:val="00AA47FF"/>
    <w:rsid w:val="00AA488B"/>
    <w:rsid w:val="00AA57AC"/>
    <w:rsid w:val="00AA6C64"/>
    <w:rsid w:val="00AA6F40"/>
    <w:rsid w:val="00AA77B8"/>
    <w:rsid w:val="00AA7F29"/>
    <w:rsid w:val="00AB0D64"/>
    <w:rsid w:val="00AB10FF"/>
    <w:rsid w:val="00AB11C7"/>
    <w:rsid w:val="00AB2B45"/>
    <w:rsid w:val="00AB2DC8"/>
    <w:rsid w:val="00AB3003"/>
    <w:rsid w:val="00AB3933"/>
    <w:rsid w:val="00AB3AC3"/>
    <w:rsid w:val="00AB425A"/>
    <w:rsid w:val="00AB4A94"/>
    <w:rsid w:val="00AB4F71"/>
    <w:rsid w:val="00AB56DF"/>
    <w:rsid w:val="00AB626B"/>
    <w:rsid w:val="00AB6963"/>
    <w:rsid w:val="00AB733E"/>
    <w:rsid w:val="00AB755D"/>
    <w:rsid w:val="00AB75B1"/>
    <w:rsid w:val="00AC01F0"/>
    <w:rsid w:val="00AC02A4"/>
    <w:rsid w:val="00AC1913"/>
    <w:rsid w:val="00AC2D48"/>
    <w:rsid w:val="00AC2DAE"/>
    <w:rsid w:val="00AC34EA"/>
    <w:rsid w:val="00AC3E0E"/>
    <w:rsid w:val="00AC42B0"/>
    <w:rsid w:val="00AC4318"/>
    <w:rsid w:val="00AC491D"/>
    <w:rsid w:val="00AC49DB"/>
    <w:rsid w:val="00AC5C5C"/>
    <w:rsid w:val="00AC5D97"/>
    <w:rsid w:val="00AC5FDC"/>
    <w:rsid w:val="00AC6474"/>
    <w:rsid w:val="00AC6D2B"/>
    <w:rsid w:val="00AC70AF"/>
    <w:rsid w:val="00AC78FF"/>
    <w:rsid w:val="00AC7B3F"/>
    <w:rsid w:val="00AC7CE1"/>
    <w:rsid w:val="00AD031F"/>
    <w:rsid w:val="00AD08E4"/>
    <w:rsid w:val="00AD11E1"/>
    <w:rsid w:val="00AD135B"/>
    <w:rsid w:val="00AD231E"/>
    <w:rsid w:val="00AD26BF"/>
    <w:rsid w:val="00AD4F19"/>
    <w:rsid w:val="00AD5464"/>
    <w:rsid w:val="00AD5A19"/>
    <w:rsid w:val="00AD5AD7"/>
    <w:rsid w:val="00AD64D3"/>
    <w:rsid w:val="00AD6C1A"/>
    <w:rsid w:val="00AD6D4B"/>
    <w:rsid w:val="00AD7270"/>
    <w:rsid w:val="00AE066B"/>
    <w:rsid w:val="00AE07D5"/>
    <w:rsid w:val="00AE0B4C"/>
    <w:rsid w:val="00AE0D45"/>
    <w:rsid w:val="00AE112B"/>
    <w:rsid w:val="00AE1A40"/>
    <w:rsid w:val="00AE1B3A"/>
    <w:rsid w:val="00AE208F"/>
    <w:rsid w:val="00AE2319"/>
    <w:rsid w:val="00AE2340"/>
    <w:rsid w:val="00AE2637"/>
    <w:rsid w:val="00AE2918"/>
    <w:rsid w:val="00AE2DDA"/>
    <w:rsid w:val="00AE2F8A"/>
    <w:rsid w:val="00AE30FA"/>
    <w:rsid w:val="00AE3203"/>
    <w:rsid w:val="00AE34AD"/>
    <w:rsid w:val="00AE385C"/>
    <w:rsid w:val="00AE3E09"/>
    <w:rsid w:val="00AE3E7C"/>
    <w:rsid w:val="00AE5197"/>
    <w:rsid w:val="00AE5BA9"/>
    <w:rsid w:val="00AE5CB3"/>
    <w:rsid w:val="00AE60CF"/>
    <w:rsid w:val="00AE62EB"/>
    <w:rsid w:val="00AE63B0"/>
    <w:rsid w:val="00AE6937"/>
    <w:rsid w:val="00AE69AC"/>
    <w:rsid w:val="00AE6A7B"/>
    <w:rsid w:val="00AE6B7C"/>
    <w:rsid w:val="00AE70E3"/>
    <w:rsid w:val="00AE7289"/>
    <w:rsid w:val="00AE72F9"/>
    <w:rsid w:val="00AE7424"/>
    <w:rsid w:val="00AF0179"/>
    <w:rsid w:val="00AF11CA"/>
    <w:rsid w:val="00AF127F"/>
    <w:rsid w:val="00AF1799"/>
    <w:rsid w:val="00AF1AD0"/>
    <w:rsid w:val="00AF1CB0"/>
    <w:rsid w:val="00AF23ED"/>
    <w:rsid w:val="00AF306D"/>
    <w:rsid w:val="00AF38C6"/>
    <w:rsid w:val="00AF3B5D"/>
    <w:rsid w:val="00AF4007"/>
    <w:rsid w:val="00AF4746"/>
    <w:rsid w:val="00AF4A98"/>
    <w:rsid w:val="00AF5A7C"/>
    <w:rsid w:val="00AF5D5F"/>
    <w:rsid w:val="00AF62DB"/>
    <w:rsid w:val="00AF6A7F"/>
    <w:rsid w:val="00AF7769"/>
    <w:rsid w:val="00AF78EC"/>
    <w:rsid w:val="00B001E1"/>
    <w:rsid w:val="00B00256"/>
    <w:rsid w:val="00B00418"/>
    <w:rsid w:val="00B00B0E"/>
    <w:rsid w:val="00B00B71"/>
    <w:rsid w:val="00B010CF"/>
    <w:rsid w:val="00B01112"/>
    <w:rsid w:val="00B01949"/>
    <w:rsid w:val="00B01BAF"/>
    <w:rsid w:val="00B0275C"/>
    <w:rsid w:val="00B02A29"/>
    <w:rsid w:val="00B02B1E"/>
    <w:rsid w:val="00B03730"/>
    <w:rsid w:val="00B03886"/>
    <w:rsid w:val="00B04A5D"/>
    <w:rsid w:val="00B04DBB"/>
    <w:rsid w:val="00B056C0"/>
    <w:rsid w:val="00B05CDF"/>
    <w:rsid w:val="00B05E6E"/>
    <w:rsid w:val="00B05FC9"/>
    <w:rsid w:val="00B06001"/>
    <w:rsid w:val="00B06138"/>
    <w:rsid w:val="00B062D5"/>
    <w:rsid w:val="00B063DE"/>
    <w:rsid w:val="00B06965"/>
    <w:rsid w:val="00B06970"/>
    <w:rsid w:val="00B06B06"/>
    <w:rsid w:val="00B06F3E"/>
    <w:rsid w:val="00B06F73"/>
    <w:rsid w:val="00B0749B"/>
    <w:rsid w:val="00B079FF"/>
    <w:rsid w:val="00B108AE"/>
    <w:rsid w:val="00B10F5F"/>
    <w:rsid w:val="00B11C53"/>
    <w:rsid w:val="00B12310"/>
    <w:rsid w:val="00B12978"/>
    <w:rsid w:val="00B12EC5"/>
    <w:rsid w:val="00B13F46"/>
    <w:rsid w:val="00B14528"/>
    <w:rsid w:val="00B145B0"/>
    <w:rsid w:val="00B147CC"/>
    <w:rsid w:val="00B148DB"/>
    <w:rsid w:val="00B1520C"/>
    <w:rsid w:val="00B158C8"/>
    <w:rsid w:val="00B15962"/>
    <w:rsid w:val="00B15A00"/>
    <w:rsid w:val="00B15C98"/>
    <w:rsid w:val="00B15F35"/>
    <w:rsid w:val="00B16069"/>
    <w:rsid w:val="00B16CF2"/>
    <w:rsid w:val="00B16FA4"/>
    <w:rsid w:val="00B20A72"/>
    <w:rsid w:val="00B214E2"/>
    <w:rsid w:val="00B2187A"/>
    <w:rsid w:val="00B219CC"/>
    <w:rsid w:val="00B22CEC"/>
    <w:rsid w:val="00B23133"/>
    <w:rsid w:val="00B23740"/>
    <w:rsid w:val="00B23F69"/>
    <w:rsid w:val="00B242E8"/>
    <w:rsid w:val="00B24748"/>
    <w:rsid w:val="00B24AE8"/>
    <w:rsid w:val="00B26719"/>
    <w:rsid w:val="00B270E2"/>
    <w:rsid w:val="00B2737F"/>
    <w:rsid w:val="00B27595"/>
    <w:rsid w:val="00B30B43"/>
    <w:rsid w:val="00B31AF5"/>
    <w:rsid w:val="00B31FD6"/>
    <w:rsid w:val="00B32323"/>
    <w:rsid w:val="00B3254A"/>
    <w:rsid w:val="00B32A4D"/>
    <w:rsid w:val="00B33589"/>
    <w:rsid w:val="00B33615"/>
    <w:rsid w:val="00B33B7A"/>
    <w:rsid w:val="00B33E5C"/>
    <w:rsid w:val="00B33FA4"/>
    <w:rsid w:val="00B34008"/>
    <w:rsid w:val="00B34C66"/>
    <w:rsid w:val="00B35A1C"/>
    <w:rsid w:val="00B35A36"/>
    <w:rsid w:val="00B35C48"/>
    <w:rsid w:val="00B365F6"/>
    <w:rsid w:val="00B3691B"/>
    <w:rsid w:val="00B378D5"/>
    <w:rsid w:val="00B37E1B"/>
    <w:rsid w:val="00B41592"/>
    <w:rsid w:val="00B4171E"/>
    <w:rsid w:val="00B41781"/>
    <w:rsid w:val="00B42851"/>
    <w:rsid w:val="00B42913"/>
    <w:rsid w:val="00B43352"/>
    <w:rsid w:val="00B4476F"/>
    <w:rsid w:val="00B44B2F"/>
    <w:rsid w:val="00B45329"/>
    <w:rsid w:val="00B4585C"/>
    <w:rsid w:val="00B45B10"/>
    <w:rsid w:val="00B45DFF"/>
    <w:rsid w:val="00B46BCD"/>
    <w:rsid w:val="00B504B8"/>
    <w:rsid w:val="00B51979"/>
    <w:rsid w:val="00B51BE0"/>
    <w:rsid w:val="00B5270F"/>
    <w:rsid w:val="00B52AC5"/>
    <w:rsid w:val="00B52FD3"/>
    <w:rsid w:val="00B532A0"/>
    <w:rsid w:val="00B54163"/>
    <w:rsid w:val="00B54804"/>
    <w:rsid w:val="00B55000"/>
    <w:rsid w:val="00B55638"/>
    <w:rsid w:val="00B55D36"/>
    <w:rsid w:val="00B55E29"/>
    <w:rsid w:val="00B56411"/>
    <w:rsid w:val="00B56612"/>
    <w:rsid w:val="00B5767E"/>
    <w:rsid w:val="00B5790E"/>
    <w:rsid w:val="00B57FBD"/>
    <w:rsid w:val="00B6036B"/>
    <w:rsid w:val="00B60658"/>
    <w:rsid w:val="00B60D52"/>
    <w:rsid w:val="00B618B6"/>
    <w:rsid w:val="00B62A7E"/>
    <w:rsid w:val="00B62F13"/>
    <w:rsid w:val="00B62FF8"/>
    <w:rsid w:val="00B63371"/>
    <w:rsid w:val="00B637A1"/>
    <w:rsid w:val="00B63B4B"/>
    <w:rsid w:val="00B63B54"/>
    <w:rsid w:val="00B63FC5"/>
    <w:rsid w:val="00B64518"/>
    <w:rsid w:val="00B64ED3"/>
    <w:rsid w:val="00B653E4"/>
    <w:rsid w:val="00B6569C"/>
    <w:rsid w:val="00B65872"/>
    <w:rsid w:val="00B65AAE"/>
    <w:rsid w:val="00B65C81"/>
    <w:rsid w:val="00B66245"/>
    <w:rsid w:val="00B66BE1"/>
    <w:rsid w:val="00B66EB2"/>
    <w:rsid w:val="00B6740E"/>
    <w:rsid w:val="00B67B0E"/>
    <w:rsid w:val="00B67B47"/>
    <w:rsid w:val="00B67C79"/>
    <w:rsid w:val="00B7489E"/>
    <w:rsid w:val="00B75411"/>
    <w:rsid w:val="00B75853"/>
    <w:rsid w:val="00B766C6"/>
    <w:rsid w:val="00B76F43"/>
    <w:rsid w:val="00B77015"/>
    <w:rsid w:val="00B775FF"/>
    <w:rsid w:val="00B77743"/>
    <w:rsid w:val="00B800BB"/>
    <w:rsid w:val="00B800D5"/>
    <w:rsid w:val="00B812A8"/>
    <w:rsid w:val="00B81A4D"/>
    <w:rsid w:val="00B81C2F"/>
    <w:rsid w:val="00B8219B"/>
    <w:rsid w:val="00B8389D"/>
    <w:rsid w:val="00B838EB"/>
    <w:rsid w:val="00B83E4D"/>
    <w:rsid w:val="00B83F35"/>
    <w:rsid w:val="00B84517"/>
    <w:rsid w:val="00B84C4F"/>
    <w:rsid w:val="00B84DBA"/>
    <w:rsid w:val="00B84E2A"/>
    <w:rsid w:val="00B84F46"/>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34F"/>
    <w:rsid w:val="00B96558"/>
    <w:rsid w:val="00B9770B"/>
    <w:rsid w:val="00B97B76"/>
    <w:rsid w:val="00B97ECB"/>
    <w:rsid w:val="00BA075B"/>
    <w:rsid w:val="00BA0B9A"/>
    <w:rsid w:val="00BA1621"/>
    <w:rsid w:val="00BA189B"/>
    <w:rsid w:val="00BA23FB"/>
    <w:rsid w:val="00BA2755"/>
    <w:rsid w:val="00BA2F72"/>
    <w:rsid w:val="00BA361F"/>
    <w:rsid w:val="00BA3F0C"/>
    <w:rsid w:val="00BA4779"/>
    <w:rsid w:val="00BA4A55"/>
    <w:rsid w:val="00BA4D9B"/>
    <w:rsid w:val="00BA4E11"/>
    <w:rsid w:val="00BA6B22"/>
    <w:rsid w:val="00BA7415"/>
    <w:rsid w:val="00BA7532"/>
    <w:rsid w:val="00BA7E18"/>
    <w:rsid w:val="00BB01CC"/>
    <w:rsid w:val="00BB0CD7"/>
    <w:rsid w:val="00BB0E70"/>
    <w:rsid w:val="00BB13C7"/>
    <w:rsid w:val="00BB17FD"/>
    <w:rsid w:val="00BB2271"/>
    <w:rsid w:val="00BB22D8"/>
    <w:rsid w:val="00BB359F"/>
    <w:rsid w:val="00BB3C7D"/>
    <w:rsid w:val="00BB44EB"/>
    <w:rsid w:val="00BB4CC2"/>
    <w:rsid w:val="00BB4EFA"/>
    <w:rsid w:val="00BB5038"/>
    <w:rsid w:val="00BB514E"/>
    <w:rsid w:val="00BB53DB"/>
    <w:rsid w:val="00BB582A"/>
    <w:rsid w:val="00BB5ECA"/>
    <w:rsid w:val="00BB69EC"/>
    <w:rsid w:val="00BB6E50"/>
    <w:rsid w:val="00BB6FDC"/>
    <w:rsid w:val="00BC1241"/>
    <w:rsid w:val="00BC1374"/>
    <w:rsid w:val="00BC14DA"/>
    <w:rsid w:val="00BC1747"/>
    <w:rsid w:val="00BC2570"/>
    <w:rsid w:val="00BC2920"/>
    <w:rsid w:val="00BC339C"/>
    <w:rsid w:val="00BC391B"/>
    <w:rsid w:val="00BC4704"/>
    <w:rsid w:val="00BC4FD0"/>
    <w:rsid w:val="00BC5AE0"/>
    <w:rsid w:val="00BC6531"/>
    <w:rsid w:val="00BC669B"/>
    <w:rsid w:val="00BC7152"/>
    <w:rsid w:val="00BC715C"/>
    <w:rsid w:val="00BC7AF0"/>
    <w:rsid w:val="00BC7F4F"/>
    <w:rsid w:val="00BD09D5"/>
    <w:rsid w:val="00BD1440"/>
    <w:rsid w:val="00BD172F"/>
    <w:rsid w:val="00BD177F"/>
    <w:rsid w:val="00BD20BA"/>
    <w:rsid w:val="00BD3C3A"/>
    <w:rsid w:val="00BD3C93"/>
    <w:rsid w:val="00BD4118"/>
    <w:rsid w:val="00BD4370"/>
    <w:rsid w:val="00BD4515"/>
    <w:rsid w:val="00BD4FEC"/>
    <w:rsid w:val="00BD5456"/>
    <w:rsid w:val="00BD5B35"/>
    <w:rsid w:val="00BD5C8D"/>
    <w:rsid w:val="00BD6486"/>
    <w:rsid w:val="00BD6572"/>
    <w:rsid w:val="00BD7AB1"/>
    <w:rsid w:val="00BD7AF2"/>
    <w:rsid w:val="00BD7EE7"/>
    <w:rsid w:val="00BE118A"/>
    <w:rsid w:val="00BE151A"/>
    <w:rsid w:val="00BE1658"/>
    <w:rsid w:val="00BE19DA"/>
    <w:rsid w:val="00BE3064"/>
    <w:rsid w:val="00BE364B"/>
    <w:rsid w:val="00BE3771"/>
    <w:rsid w:val="00BE40E6"/>
    <w:rsid w:val="00BE509A"/>
    <w:rsid w:val="00BE5B07"/>
    <w:rsid w:val="00BE5F8F"/>
    <w:rsid w:val="00BE5FCF"/>
    <w:rsid w:val="00BE62DE"/>
    <w:rsid w:val="00BE63C7"/>
    <w:rsid w:val="00BE6DAC"/>
    <w:rsid w:val="00BE6F03"/>
    <w:rsid w:val="00BE742A"/>
    <w:rsid w:val="00BF0013"/>
    <w:rsid w:val="00BF0A4F"/>
    <w:rsid w:val="00BF0E4D"/>
    <w:rsid w:val="00BF0F88"/>
    <w:rsid w:val="00BF3CB8"/>
    <w:rsid w:val="00BF3D48"/>
    <w:rsid w:val="00BF58D5"/>
    <w:rsid w:val="00BF611E"/>
    <w:rsid w:val="00BF682D"/>
    <w:rsid w:val="00BF7113"/>
    <w:rsid w:val="00BF746B"/>
    <w:rsid w:val="00C01B17"/>
    <w:rsid w:val="00C026B8"/>
    <w:rsid w:val="00C02DC8"/>
    <w:rsid w:val="00C02FFA"/>
    <w:rsid w:val="00C03421"/>
    <w:rsid w:val="00C03ADB"/>
    <w:rsid w:val="00C04D55"/>
    <w:rsid w:val="00C0506F"/>
    <w:rsid w:val="00C052A6"/>
    <w:rsid w:val="00C05302"/>
    <w:rsid w:val="00C0550A"/>
    <w:rsid w:val="00C069D4"/>
    <w:rsid w:val="00C072AB"/>
    <w:rsid w:val="00C076CA"/>
    <w:rsid w:val="00C07B75"/>
    <w:rsid w:val="00C100FB"/>
    <w:rsid w:val="00C10984"/>
    <w:rsid w:val="00C11F5A"/>
    <w:rsid w:val="00C127DA"/>
    <w:rsid w:val="00C12862"/>
    <w:rsid w:val="00C12CE5"/>
    <w:rsid w:val="00C14049"/>
    <w:rsid w:val="00C1468E"/>
    <w:rsid w:val="00C14752"/>
    <w:rsid w:val="00C14D13"/>
    <w:rsid w:val="00C1610A"/>
    <w:rsid w:val="00C1623D"/>
    <w:rsid w:val="00C172DC"/>
    <w:rsid w:val="00C17978"/>
    <w:rsid w:val="00C17B3E"/>
    <w:rsid w:val="00C21485"/>
    <w:rsid w:val="00C221B9"/>
    <w:rsid w:val="00C222A1"/>
    <w:rsid w:val="00C225D2"/>
    <w:rsid w:val="00C22709"/>
    <w:rsid w:val="00C22FB9"/>
    <w:rsid w:val="00C2331A"/>
    <w:rsid w:val="00C233FF"/>
    <w:rsid w:val="00C23C1D"/>
    <w:rsid w:val="00C24060"/>
    <w:rsid w:val="00C24897"/>
    <w:rsid w:val="00C24A84"/>
    <w:rsid w:val="00C25432"/>
    <w:rsid w:val="00C25556"/>
    <w:rsid w:val="00C260E5"/>
    <w:rsid w:val="00C26340"/>
    <w:rsid w:val="00C30340"/>
    <w:rsid w:val="00C30D83"/>
    <w:rsid w:val="00C31232"/>
    <w:rsid w:val="00C313DD"/>
    <w:rsid w:val="00C31763"/>
    <w:rsid w:val="00C31AF4"/>
    <w:rsid w:val="00C32780"/>
    <w:rsid w:val="00C32C5F"/>
    <w:rsid w:val="00C3352B"/>
    <w:rsid w:val="00C33A00"/>
    <w:rsid w:val="00C344C9"/>
    <w:rsid w:val="00C35BB3"/>
    <w:rsid w:val="00C35D19"/>
    <w:rsid w:val="00C365BC"/>
    <w:rsid w:val="00C36771"/>
    <w:rsid w:val="00C37227"/>
    <w:rsid w:val="00C374DB"/>
    <w:rsid w:val="00C37A44"/>
    <w:rsid w:val="00C37CC0"/>
    <w:rsid w:val="00C37DE8"/>
    <w:rsid w:val="00C40520"/>
    <w:rsid w:val="00C40A4A"/>
    <w:rsid w:val="00C40BE7"/>
    <w:rsid w:val="00C411DE"/>
    <w:rsid w:val="00C41365"/>
    <w:rsid w:val="00C41A2D"/>
    <w:rsid w:val="00C41F76"/>
    <w:rsid w:val="00C42B95"/>
    <w:rsid w:val="00C431CE"/>
    <w:rsid w:val="00C43CD8"/>
    <w:rsid w:val="00C440BC"/>
    <w:rsid w:val="00C44417"/>
    <w:rsid w:val="00C4554C"/>
    <w:rsid w:val="00C47078"/>
    <w:rsid w:val="00C47132"/>
    <w:rsid w:val="00C47D6C"/>
    <w:rsid w:val="00C47F13"/>
    <w:rsid w:val="00C501AF"/>
    <w:rsid w:val="00C50AC0"/>
    <w:rsid w:val="00C50B0E"/>
    <w:rsid w:val="00C50FA9"/>
    <w:rsid w:val="00C51065"/>
    <w:rsid w:val="00C516B5"/>
    <w:rsid w:val="00C51E67"/>
    <w:rsid w:val="00C52368"/>
    <w:rsid w:val="00C52786"/>
    <w:rsid w:val="00C534C6"/>
    <w:rsid w:val="00C5356C"/>
    <w:rsid w:val="00C53A92"/>
    <w:rsid w:val="00C53E01"/>
    <w:rsid w:val="00C53F26"/>
    <w:rsid w:val="00C548D0"/>
    <w:rsid w:val="00C54A35"/>
    <w:rsid w:val="00C559FA"/>
    <w:rsid w:val="00C55B70"/>
    <w:rsid w:val="00C55BBF"/>
    <w:rsid w:val="00C55FDC"/>
    <w:rsid w:val="00C569E2"/>
    <w:rsid w:val="00C56D96"/>
    <w:rsid w:val="00C56DF9"/>
    <w:rsid w:val="00C56EAB"/>
    <w:rsid w:val="00C578A5"/>
    <w:rsid w:val="00C600AB"/>
    <w:rsid w:val="00C60857"/>
    <w:rsid w:val="00C60A3A"/>
    <w:rsid w:val="00C60D93"/>
    <w:rsid w:val="00C61149"/>
    <w:rsid w:val="00C61530"/>
    <w:rsid w:val="00C62DA7"/>
    <w:rsid w:val="00C62E46"/>
    <w:rsid w:val="00C635A8"/>
    <w:rsid w:val="00C63824"/>
    <w:rsid w:val="00C63BD1"/>
    <w:rsid w:val="00C64174"/>
    <w:rsid w:val="00C65670"/>
    <w:rsid w:val="00C65ADF"/>
    <w:rsid w:val="00C6641A"/>
    <w:rsid w:val="00C6642D"/>
    <w:rsid w:val="00C6692D"/>
    <w:rsid w:val="00C67B0F"/>
    <w:rsid w:val="00C67FB1"/>
    <w:rsid w:val="00C701B7"/>
    <w:rsid w:val="00C70845"/>
    <w:rsid w:val="00C70B9E"/>
    <w:rsid w:val="00C70E55"/>
    <w:rsid w:val="00C71194"/>
    <w:rsid w:val="00C71388"/>
    <w:rsid w:val="00C7191E"/>
    <w:rsid w:val="00C719DA"/>
    <w:rsid w:val="00C71B13"/>
    <w:rsid w:val="00C71C59"/>
    <w:rsid w:val="00C71DCD"/>
    <w:rsid w:val="00C727A8"/>
    <w:rsid w:val="00C72869"/>
    <w:rsid w:val="00C730F7"/>
    <w:rsid w:val="00C733C8"/>
    <w:rsid w:val="00C74CDD"/>
    <w:rsid w:val="00C75FBD"/>
    <w:rsid w:val="00C7683D"/>
    <w:rsid w:val="00C76A58"/>
    <w:rsid w:val="00C76ABF"/>
    <w:rsid w:val="00C7715C"/>
    <w:rsid w:val="00C775AB"/>
    <w:rsid w:val="00C77DC3"/>
    <w:rsid w:val="00C80539"/>
    <w:rsid w:val="00C80CC5"/>
    <w:rsid w:val="00C81211"/>
    <w:rsid w:val="00C812B0"/>
    <w:rsid w:val="00C81D1F"/>
    <w:rsid w:val="00C82065"/>
    <w:rsid w:val="00C820B5"/>
    <w:rsid w:val="00C82112"/>
    <w:rsid w:val="00C822BD"/>
    <w:rsid w:val="00C8275D"/>
    <w:rsid w:val="00C827A6"/>
    <w:rsid w:val="00C82E3C"/>
    <w:rsid w:val="00C83A7C"/>
    <w:rsid w:val="00C83CD8"/>
    <w:rsid w:val="00C84632"/>
    <w:rsid w:val="00C848B4"/>
    <w:rsid w:val="00C84F9E"/>
    <w:rsid w:val="00C8560D"/>
    <w:rsid w:val="00C85F2F"/>
    <w:rsid w:val="00C86F3D"/>
    <w:rsid w:val="00C87E83"/>
    <w:rsid w:val="00C87F79"/>
    <w:rsid w:val="00C9194B"/>
    <w:rsid w:val="00C91AB0"/>
    <w:rsid w:val="00C91F31"/>
    <w:rsid w:val="00C92003"/>
    <w:rsid w:val="00C92234"/>
    <w:rsid w:val="00C925B7"/>
    <w:rsid w:val="00C92B63"/>
    <w:rsid w:val="00C936AF"/>
    <w:rsid w:val="00C93A12"/>
    <w:rsid w:val="00C94175"/>
    <w:rsid w:val="00C950F8"/>
    <w:rsid w:val="00C95253"/>
    <w:rsid w:val="00C9557C"/>
    <w:rsid w:val="00C958D4"/>
    <w:rsid w:val="00C95961"/>
    <w:rsid w:val="00C95B06"/>
    <w:rsid w:val="00C95CBF"/>
    <w:rsid w:val="00C95E2D"/>
    <w:rsid w:val="00C9672D"/>
    <w:rsid w:val="00C96B34"/>
    <w:rsid w:val="00C96B5F"/>
    <w:rsid w:val="00C96D9A"/>
    <w:rsid w:val="00C97407"/>
    <w:rsid w:val="00C976DA"/>
    <w:rsid w:val="00CA0275"/>
    <w:rsid w:val="00CA027C"/>
    <w:rsid w:val="00CA0C38"/>
    <w:rsid w:val="00CA17FD"/>
    <w:rsid w:val="00CA2A25"/>
    <w:rsid w:val="00CA2AC0"/>
    <w:rsid w:val="00CA2C99"/>
    <w:rsid w:val="00CA2D15"/>
    <w:rsid w:val="00CA30DC"/>
    <w:rsid w:val="00CA3169"/>
    <w:rsid w:val="00CA3500"/>
    <w:rsid w:val="00CA3F19"/>
    <w:rsid w:val="00CA47CB"/>
    <w:rsid w:val="00CA4C2B"/>
    <w:rsid w:val="00CA52CF"/>
    <w:rsid w:val="00CA5962"/>
    <w:rsid w:val="00CA5B2A"/>
    <w:rsid w:val="00CA6263"/>
    <w:rsid w:val="00CA6426"/>
    <w:rsid w:val="00CA6865"/>
    <w:rsid w:val="00CA6BB7"/>
    <w:rsid w:val="00CA70FA"/>
    <w:rsid w:val="00CA74B7"/>
    <w:rsid w:val="00CA780C"/>
    <w:rsid w:val="00CA7B21"/>
    <w:rsid w:val="00CB0621"/>
    <w:rsid w:val="00CB078E"/>
    <w:rsid w:val="00CB087E"/>
    <w:rsid w:val="00CB19E3"/>
    <w:rsid w:val="00CB257F"/>
    <w:rsid w:val="00CB2FA9"/>
    <w:rsid w:val="00CB3B18"/>
    <w:rsid w:val="00CB3EB0"/>
    <w:rsid w:val="00CB450B"/>
    <w:rsid w:val="00CB462C"/>
    <w:rsid w:val="00CB53D7"/>
    <w:rsid w:val="00CB564E"/>
    <w:rsid w:val="00CB5B1A"/>
    <w:rsid w:val="00CB5DF1"/>
    <w:rsid w:val="00CB60F8"/>
    <w:rsid w:val="00CB6978"/>
    <w:rsid w:val="00CB7689"/>
    <w:rsid w:val="00CC12BC"/>
    <w:rsid w:val="00CC1C86"/>
    <w:rsid w:val="00CC1D2F"/>
    <w:rsid w:val="00CC260D"/>
    <w:rsid w:val="00CC2A09"/>
    <w:rsid w:val="00CC33E0"/>
    <w:rsid w:val="00CC3504"/>
    <w:rsid w:val="00CC36A6"/>
    <w:rsid w:val="00CC3ADA"/>
    <w:rsid w:val="00CC3E9A"/>
    <w:rsid w:val="00CC4E66"/>
    <w:rsid w:val="00CC52F5"/>
    <w:rsid w:val="00CC555A"/>
    <w:rsid w:val="00CC5791"/>
    <w:rsid w:val="00CC64E0"/>
    <w:rsid w:val="00CC6A8E"/>
    <w:rsid w:val="00CC6BC9"/>
    <w:rsid w:val="00CC7350"/>
    <w:rsid w:val="00CC73BE"/>
    <w:rsid w:val="00CD049D"/>
    <w:rsid w:val="00CD1177"/>
    <w:rsid w:val="00CD1B21"/>
    <w:rsid w:val="00CD281B"/>
    <w:rsid w:val="00CD2948"/>
    <w:rsid w:val="00CD2964"/>
    <w:rsid w:val="00CD2B50"/>
    <w:rsid w:val="00CD2BB5"/>
    <w:rsid w:val="00CD40A2"/>
    <w:rsid w:val="00CD412F"/>
    <w:rsid w:val="00CD4146"/>
    <w:rsid w:val="00CD5F84"/>
    <w:rsid w:val="00CD65BA"/>
    <w:rsid w:val="00CD6F63"/>
    <w:rsid w:val="00CD75F2"/>
    <w:rsid w:val="00CD75FB"/>
    <w:rsid w:val="00CD7A89"/>
    <w:rsid w:val="00CE07D1"/>
    <w:rsid w:val="00CE0E68"/>
    <w:rsid w:val="00CE1022"/>
    <w:rsid w:val="00CE1453"/>
    <w:rsid w:val="00CE22F2"/>
    <w:rsid w:val="00CE284B"/>
    <w:rsid w:val="00CE2C06"/>
    <w:rsid w:val="00CE347E"/>
    <w:rsid w:val="00CE4491"/>
    <w:rsid w:val="00CE4B31"/>
    <w:rsid w:val="00CE4D00"/>
    <w:rsid w:val="00CE4E0D"/>
    <w:rsid w:val="00CE4E66"/>
    <w:rsid w:val="00CE55D5"/>
    <w:rsid w:val="00CE5614"/>
    <w:rsid w:val="00CE59AE"/>
    <w:rsid w:val="00CE5DBC"/>
    <w:rsid w:val="00CE6211"/>
    <w:rsid w:val="00CE62A9"/>
    <w:rsid w:val="00CE72C4"/>
    <w:rsid w:val="00CE7A79"/>
    <w:rsid w:val="00CE7AA4"/>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0F26"/>
    <w:rsid w:val="00D014E4"/>
    <w:rsid w:val="00D01B58"/>
    <w:rsid w:val="00D0377A"/>
    <w:rsid w:val="00D03E5F"/>
    <w:rsid w:val="00D04243"/>
    <w:rsid w:val="00D045EB"/>
    <w:rsid w:val="00D049FB"/>
    <w:rsid w:val="00D05157"/>
    <w:rsid w:val="00D059C5"/>
    <w:rsid w:val="00D05C23"/>
    <w:rsid w:val="00D063EB"/>
    <w:rsid w:val="00D06CCE"/>
    <w:rsid w:val="00D07A3B"/>
    <w:rsid w:val="00D07B7B"/>
    <w:rsid w:val="00D07CF7"/>
    <w:rsid w:val="00D07D5F"/>
    <w:rsid w:val="00D1056D"/>
    <w:rsid w:val="00D115BA"/>
    <w:rsid w:val="00D11ABF"/>
    <w:rsid w:val="00D11D80"/>
    <w:rsid w:val="00D12771"/>
    <w:rsid w:val="00D134D3"/>
    <w:rsid w:val="00D14062"/>
    <w:rsid w:val="00D14876"/>
    <w:rsid w:val="00D14986"/>
    <w:rsid w:val="00D160BB"/>
    <w:rsid w:val="00D168B6"/>
    <w:rsid w:val="00D169E5"/>
    <w:rsid w:val="00D17A1E"/>
    <w:rsid w:val="00D17C42"/>
    <w:rsid w:val="00D2036F"/>
    <w:rsid w:val="00D20CCE"/>
    <w:rsid w:val="00D21154"/>
    <w:rsid w:val="00D21E79"/>
    <w:rsid w:val="00D237B1"/>
    <w:rsid w:val="00D24516"/>
    <w:rsid w:val="00D2577E"/>
    <w:rsid w:val="00D2599A"/>
    <w:rsid w:val="00D266B5"/>
    <w:rsid w:val="00D26C6F"/>
    <w:rsid w:val="00D26F50"/>
    <w:rsid w:val="00D274D9"/>
    <w:rsid w:val="00D2770E"/>
    <w:rsid w:val="00D27978"/>
    <w:rsid w:val="00D31932"/>
    <w:rsid w:val="00D31AAB"/>
    <w:rsid w:val="00D31B6B"/>
    <w:rsid w:val="00D327B2"/>
    <w:rsid w:val="00D328FA"/>
    <w:rsid w:val="00D33512"/>
    <w:rsid w:val="00D3527C"/>
    <w:rsid w:val="00D355A5"/>
    <w:rsid w:val="00D35B85"/>
    <w:rsid w:val="00D35E4F"/>
    <w:rsid w:val="00D36EA6"/>
    <w:rsid w:val="00D37F03"/>
    <w:rsid w:val="00D401AE"/>
    <w:rsid w:val="00D40B6B"/>
    <w:rsid w:val="00D40F17"/>
    <w:rsid w:val="00D420CB"/>
    <w:rsid w:val="00D42FB0"/>
    <w:rsid w:val="00D43403"/>
    <w:rsid w:val="00D4365D"/>
    <w:rsid w:val="00D43CCE"/>
    <w:rsid w:val="00D43ECE"/>
    <w:rsid w:val="00D447C6"/>
    <w:rsid w:val="00D47138"/>
    <w:rsid w:val="00D474F9"/>
    <w:rsid w:val="00D4773F"/>
    <w:rsid w:val="00D47A26"/>
    <w:rsid w:val="00D47E23"/>
    <w:rsid w:val="00D505B9"/>
    <w:rsid w:val="00D50A53"/>
    <w:rsid w:val="00D51BF3"/>
    <w:rsid w:val="00D51E7F"/>
    <w:rsid w:val="00D523E1"/>
    <w:rsid w:val="00D530B0"/>
    <w:rsid w:val="00D530FE"/>
    <w:rsid w:val="00D53AF2"/>
    <w:rsid w:val="00D54593"/>
    <w:rsid w:val="00D550A0"/>
    <w:rsid w:val="00D555C9"/>
    <w:rsid w:val="00D55DF9"/>
    <w:rsid w:val="00D564B9"/>
    <w:rsid w:val="00D5694F"/>
    <w:rsid w:val="00D56A62"/>
    <w:rsid w:val="00D56BBF"/>
    <w:rsid w:val="00D5751F"/>
    <w:rsid w:val="00D575A9"/>
    <w:rsid w:val="00D57793"/>
    <w:rsid w:val="00D5799B"/>
    <w:rsid w:val="00D57DBC"/>
    <w:rsid w:val="00D6052F"/>
    <w:rsid w:val="00D61068"/>
    <w:rsid w:val="00D622EB"/>
    <w:rsid w:val="00D62C57"/>
    <w:rsid w:val="00D62CC5"/>
    <w:rsid w:val="00D63477"/>
    <w:rsid w:val="00D63537"/>
    <w:rsid w:val="00D63EA0"/>
    <w:rsid w:val="00D64073"/>
    <w:rsid w:val="00D641B6"/>
    <w:rsid w:val="00D6526B"/>
    <w:rsid w:val="00D65CC9"/>
    <w:rsid w:val="00D65EFF"/>
    <w:rsid w:val="00D66FEC"/>
    <w:rsid w:val="00D67260"/>
    <w:rsid w:val="00D67DC6"/>
    <w:rsid w:val="00D705EC"/>
    <w:rsid w:val="00D706C3"/>
    <w:rsid w:val="00D70B23"/>
    <w:rsid w:val="00D70F17"/>
    <w:rsid w:val="00D71E2C"/>
    <w:rsid w:val="00D71E54"/>
    <w:rsid w:val="00D71EE3"/>
    <w:rsid w:val="00D72D56"/>
    <w:rsid w:val="00D7333E"/>
    <w:rsid w:val="00D73969"/>
    <w:rsid w:val="00D73FC2"/>
    <w:rsid w:val="00D74397"/>
    <w:rsid w:val="00D74415"/>
    <w:rsid w:val="00D74580"/>
    <w:rsid w:val="00D752D4"/>
    <w:rsid w:val="00D763B0"/>
    <w:rsid w:val="00D765A7"/>
    <w:rsid w:val="00D7711C"/>
    <w:rsid w:val="00D77149"/>
    <w:rsid w:val="00D800A9"/>
    <w:rsid w:val="00D8069D"/>
    <w:rsid w:val="00D80739"/>
    <w:rsid w:val="00D80E2E"/>
    <w:rsid w:val="00D80E78"/>
    <w:rsid w:val="00D80F12"/>
    <w:rsid w:val="00D8120A"/>
    <w:rsid w:val="00D81B43"/>
    <w:rsid w:val="00D81DC6"/>
    <w:rsid w:val="00D82197"/>
    <w:rsid w:val="00D8261A"/>
    <w:rsid w:val="00D82757"/>
    <w:rsid w:val="00D82D2D"/>
    <w:rsid w:val="00D83327"/>
    <w:rsid w:val="00D8332E"/>
    <w:rsid w:val="00D83D36"/>
    <w:rsid w:val="00D84272"/>
    <w:rsid w:val="00D8464C"/>
    <w:rsid w:val="00D85783"/>
    <w:rsid w:val="00D85BC0"/>
    <w:rsid w:val="00D861C5"/>
    <w:rsid w:val="00D8622A"/>
    <w:rsid w:val="00D86941"/>
    <w:rsid w:val="00D86E43"/>
    <w:rsid w:val="00D8706D"/>
    <w:rsid w:val="00D871F1"/>
    <w:rsid w:val="00D874EC"/>
    <w:rsid w:val="00D87B34"/>
    <w:rsid w:val="00D87B61"/>
    <w:rsid w:val="00D87CA3"/>
    <w:rsid w:val="00D902B4"/>
    <w:rsid w:val="00D91210"/>
    <w:rsid w:val="00D92B97"/>
    <w:rsid w:val="00D9327B"/>
    <w:rsid w:val="00D93294"/>
    <w:rsid w:val="00D937FC"/>
    <w:rsid w:val="00D93A69"/>
    <w:rsid w:val="00D93C50"/>
    <w:rsid w:val="00D94323"/>
    <w:rsid w:val="00D95278"/>
    <w:rsid w:val="00D955CF"/>
    <w:rsid w:val="00D9570C"/>
    <w:rsid w:val="00D95B8C"/>
    <w:rsid w:val="00D95C0D"/>
    <w:rsid w:val="00D97389"/>
    <w:rsid w:val="00D97B2C"/>
    <w:rsid w:val="00D97F1C"/>
    <w:rsid w:val="00DA0337"/>
    <w:rsid w:val="00DA043C"/>
    <w:rsid w:val="00DA07F9"/>
    <w:rsid w:val="00DA2146"/>
    <w:rsid w:val="00DA2F47"/>
    <w:rsid w:val="00DA393D"/>
    <w:rsid w:val="00DA44C6"/>
    <w:rsid w:val="00DA4A23"/>
    <w:rsid w:val="00DA4E59"/>
    <w:rsid w:val="00DA51D1"/>
    <w:rsid w:val="00DA5BBC"/>
    <w:rsid w:val="00DA5C11"/>
    <w:rsid w:val="00DA5E04"/>
    <w:rsid w:val="00DA6737"/>
    <w:rsid w:val="00DA7B56"/>
    <w:rsid w:val="00DA7BF2"/>
    <w:rsid w:val="00DB090A"/>
    <w:rsid w:val="00DB2DF5"/>
    <w:rsid w:val="00DB3145"/>
    <w:rsid w:val="00DB35C4"/>
    <w:rsid w:val="00DB38F0"/>
    <w:rsid w:val="00DB3A4A"/>
    <w:rsid w:val="00DB4977"/>
    <w:rsid w:val="00DB5E33"/>
    <w:rsid w:val="00DB6523"/>
    <w:rsid w:val="00DB71C9"/>
    <w:rsid w:val="00DC03EB"/>
    <w:rsid w:val="00DC09DC"/>
    <w:rsid w:val="00DC0E09"/>
    <w:rsid w:val="00DC0FA6"/>
    <w:rsid w:val="00DC130C"/>
    <w:rsid w:val="00DC2292"/>
    <w:rsid w:val="00DC3A6A"/>
    <w:rsid w:val="00DC459C"/>
    <w:rsid w:val="00DC4992"/>
    <w:rsid w:val="00DC4BB8"/>
    <w:rsid w:val="00DC508E"/>
    <w:rsid w:val="00DC5487"/>
    <w:rsid w:val="00DC5DC9"/>
    <w:rsid w:val="00DC62B3"/>
    <w:rsid w:val="00DC62D8"/>
    <w:rsid w:val="00DC677E"/>
    <w:rsid w:val="00DC6B2C"/>
    <w:rsid w:val="00DC6E54"/>
    <w:rsid w:val="00DC714C"/>
    <w:rsid w:val="00DC73C4"/>
    <w:rsid w:val="00DC79ED"/>
    <w:rsid w:val="00DC7CC1"/>
    <w:rsid w:val="00DC7F60"/>
    <w:rsid w:val="00DC7F96"/>
    <w:rsid w:val="00DD0342"/>
    <w:rsid w:val="00DD0F74"/>
    <w:rsid w:val="00DD119F"/>
    <w:rsid w:val="00DD1D99"/>
    <w:rsid w:val="00DD2F7B"/>
    <w:rsid w:val="00DD4A2C"/>
    <w:rsid w:val="00DD4C42"/>
    <w:rsid w:val="00DD5673"/>
    <w:rsid w:val="00DD6A4B"/>
    <w:rsid w:val="00DD6A85"/>
    <w:rsid w:val="00DD6E24"/>
    <w:rsid w:val="00DE0115"/>
    <w:rsid w:val="00DE04FA"/>
    <w:rsid w:val="00DE0C23"/>
    <w:rsid w:val="00DE14A2"/>
    <w:rsid w:val="00DE23C8"/>
    <w:rsid w:val="00DE25AF"/>
    <w:rsid w:val="00DE29BA"/>
    <w:rsid w:val="00DE2E79"/>
    <w:rsid w:val="00DE31BD"/>
    <w:rsid w:val="00DE34B7"/>
    <w:rsid w:val="00DE38F1"/>
    <w:rsid w:val="00DE3939"/>
    <w:rsid w:val="00DE3E82"/>
    <w:rsid w:val="00DE418C"/>
    <w:rsid w:val="00DE4BE0"/>
    <w:rsid w:val="00DE4CCF"/>
    <w:rsid w:val="00DE5060"/>
    <w:rsid w:val="00DE52B0"/>
    <w:rsid w:val="00DE588D"/>
    <w:rsid w:val="00DE73EA"/>
    <w:rsid w:val="00DE74B8"/>
    <w:rsid w:val="00DE7BE0"/>
    <w:rsid w:val="00DF1623"/>
    <w:rsid w:val="00DF16CC"/>
    <w:rsid w:val="00DF2D3E"/>
    <w:rsid w:val="00DF2D9E"/>
    <w:rsid w:val="00DF30D8"/>
    <w:rsid w:val="00DF3546"/>
    <w:rsid w:val="00DF366C"/>
    <w:rsid w:val="00DF36FD"/>
    <w:rsid w:val="00DF3A8E"/>
    <w:rsid w:val="00DF3BB9"/>
    <w:rsid w:val="00DF3EFD"/>
    <w:rsid w:val="00DF3F89"/>
    <w:rsid w:val="00DF4216"/>
    <w:rsid w:val="00DF46C4"/>
    <w:rsid w:val="00DF4E88"/>
    <w:rsid w:val="00DF58C6"/>
    <w:rsid w:val="00DF5FA1"/>
    <w:rsid w:val="00DF6A92"/>
    <w:rsid w:val="00DF7AFF"/>
    <w:rsid w:val="00E00299"/>
    <w:rsid w:val="00E02518"/>
    <w:rsid w:val="00E025F8"/>
    <w:rsid w:val="00E027FF"/>
    <w:rsid w:val="00E038C5"/>
    <w:rsid w:val="00E03E3B"/>
    <w:rsid w:val="00E04589"/>
    <w:rsid w:val="00E04D05"/>
    <w:rsid w:val="00E04E05"/>
    <w:rsid w:val="00E0500A"/>
    <w:rsid w:val="00E05480"/>
    <w:rsid w:val="00E05EB9"/>
    <w:rsid w:val="00E05EEF"/>
    <w:rsid w:val="00E065FF"/>
    <w:rsid w:val="00E06B38"/>
    <w:rsid w:val="00E07340"/>
    <w:rsid w:val="00E0747D"/>
    <w:rsid w:val="00E078BB"/>
    <w:rsid w:val="00E102DF"/>
    <w:rsid w:val="00E128D8"/>
    <w:rsid w:val="00E12C42"/>
    <w:rsid w:val="00E12D0E"/>
    <w:rsid w:val="00E130F6"/>
    <w:rsid w:val="00E132D9"/>
    <w:rsid w:val="00E155A9"/>
    <w:rsid w:val="00E15E54"/>
    <w:rsid w:val="00E165B5"/>
    <w:rsid w:val="00E1688A"/>
    <w:rsid w:val="00E170B3"/>
    <w:rsid w:val="00E1728C"/>
    <w:rsid w:val="00E17A0A"/>
    <w:rsid w:val="00E17ED6"/>
    <w:rsid w:val="00E20EEF"/>
    <w:rsid w:val="00E2102F"/>
    <w:rsid w:val="00E219DF"/>
    <w:rsid w:val="00E21A4C"/>
    <w:rsid w:val="00E227DA"/>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0F6C"/>
    <w:rsid w:val="00E31085"/>
    <w:rsid w:val="00E3128A"/>
    <w:rsid w:val="00E324C1"/>
    <w:rsid w:val="00E32568"/>
    <w:rsid w:val="00E328DF"/>
    <w:rsid w:val="00E32AD7"/>
    <w:rsid w:val="00E33D3B"/>
    <w:rsid w:val="00E346CE"/>
    <w:rsid w:val="00E34F4C"/>
    <w:rsid w:val="00E35299"/>
    <w:rsid w:val="00E3560E"/>
    <w:rsid w:val="00E36167"/>
    <w:rsid w:val="00E36375"/>
    <w:rsid w:val="00E36421"/>
    <w:rsid w:val="00E37140"/>
    <w:rsid w:val="00E37193"/>
    <w:rsid w:val="00E37CBC"/>
    <w:rsid w:val="00E37CC1"/>
    <w:rsid w:val="00E409C1"/>
    <w:rsid w:val="00E40F5E"/>
    <w:rsid w:val="00E415E8"/>
    <w:rsid w:val="00E416FC"/>
    <w:rsid w:val="00E42214"/>
    <w:rsid w:val="00E422FF"/>
    <w:rsid w:val="00E42848"/>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1F1C"/>
    <w:rsid w:val="00E5231C"/>
    <w:rsid w:val="00E5239C"/>
    <w:rsid w:val="00E525AB"/>
    <w:rsid w:val="00E52888"/>
    <w:rsid w:val="00E52FA6"/>
    <w:rsid w:val="00E53564"/>
    <w:rsid w:val="00E54208"/>
    <w:rsid w:val="00E544F8"/>
    <w:rsid w:val="00E553A5"/>
    <w:rsid w:val="00E55613"/>
    <w:rsid w:val="00E5655B"/>
    <w:rsid w:val="00E56F58"/>
    <w:rsid w:val="00E570AC"/>
    <w:rsid w:val="00E57444"/>
    <w:rsid w:val="00E57A44"/>
    <w:rsid w:val="00E57E79"/>
    <w:rsid w:val="00E57EEC"/>
    <w:rsid w:val="00E601E9"/>
    <w:rsid w:val="00E606C4"/>
    <w:rsid w:val="00E6090F"/>
    <w:rsid w:val="00E60AF7"/>
    <w:rsid w:val="00E60C59"/>
    <w:rsid w:val="00E615DE"/>
    <w:rsid w:val="00E61D87"/>
    <w:rsid w:val="00E61DE6"/>
    <w:rsid w:val="00E61F7E"/>
    <w:rsid w:val="00E62D84"/>
    <w:rsid w:val="00E63C7B"/>
    <w:rsid w:val="00E64099"/>
    <w:rsid w:val="00E64120"/>
    <w:rsid w:val="00E64420"/>
    <w:rsid w:val="00E64ED5"/>
    <w:rsid w:val="00E652A7"/>
    <w:rsid w:val="00E65C68"/>
    <w:rsid w:val="00E65F02"/>
    <w:rsid w:val="00E66A7A"/>
    <w:rsid w:val="00E66A89"/>
    <w:rsid w:val="00E66BEB"/>
    <w:rsid w:val="00E7006B"/>
    <w:rsid w:val="00E700D9"/>
    <w:rsid w:val="00E70882"/>
    <w:rsid w:val="00E70C63"/>
    <w:rsid w:val="00E712AC"/>
    <w:rsid w:val="00E71614"/>
    <w:rsid w:val="00E716AC"/>
    <w:rsid w:val="00E72592"/>
    <w:rsid w:val="00E72680"/>
    <w:rsid w:val="00E72728"/>
    <w:rsid w:val="00E72B34"/>
    <w:rsid w:val="00E736CD"/>
    <w:rsid w:val="00E73879"/>
    <w:rsid w:val="00E7391A"/>
    <w:rsid w:val="00E745B7"/>
    <w:rsid w:val="00E7471C"/>
    <w:rsid w:val="00E750EC"/>
    <w:rsid w:val="00E757C3"/>
    <w:rsid w:val="00E75A44"/>
    <w:rsid w:val="00E76018"/>
    <w:rsid w:val="00E76877"/>
    <w:rsid w:val="00E768C2"/>
    <w:rsid w:val="00E77470"/>
    <w:rsid w:val="00E805F3"/>
    <w:rsid w:val="00E82938"/>
    <w:rsid w:val="00E8314E"/>
    <w:rsid w:val="00E836D1"/>
    <w:rsid w:val="00E844D0"/>
    <w:rsid w:val="00E848C1"/>
    <w:rsid w:val="00E84DA3"/>
    <w:rsid w:val="00E85516"/>
    <w:rsid w:val="00E85EF5"/>
    <w:rsid w:val="00E85F04"/>
    <w:rsid w:val="00E86C0D"/>
    <w:rsid w:val="00E871B1"/>
    <w:rsid w:val="00E874B3"/>
    <w:rsid w:val="00E876DE"/>
    <w:rsid w:val="00E876E3"/>
    <w:rsid w:val="00E877F8"/>
    <w:rsid w:val="00E8795E"/>
    <w:rsid w:val="00E87967"/>
    <w:rsid w:val="00E90059"/>
    <w:rsid w:val="00E90F34"/>
    <w:rsid w:val="00E9147D"/>
    <w:rsid w:val="00E916B1"/>
    <w:rsid w:val="00E918DD"/>
    <w:rsid w:val="00E91DF2"/>
    <w:rsid w:val="00E9258F"/>
    <w:rsid w:val="00E9398C"/>
    <w:rsid w:val="00E93BA0"/>
    <w:rsid w:val="00E93F0F"/>
    <w:rsid w:val="00E9426D"/>
    <w:rsid w:val="00E9479E"/>
    <w:rsid w:val="00E9485E"/>
    <w:rsid w:val="00E94A47"/>
    <w:rsid w:val="00E951BB"/>
    <w:rsid w:val="00E95AC3"/>
    <w:rsid w:val="00E95CD4"/>
    <w:rsid w:val="00E9674B"/>
    <w:rsid w:val="00E96B47"/>
    <w:rsid w:val="00E9791F"/>
    <w:rsid w:val="00E97B6F"/>
    <w:rsid w:val="00E97DDD"/>
    <w:rsid w:val="00EA013A"/>
    <w:rsid w:val="00EA019E"/>
    <w:rsid w:val="00EA01FF"/>
    <w:rsid w:val="00EA025A"/>
    <w:rsid w:val="00EA0A9F"/>
    <w:rsid w:val="00EA1022"/>
    <w:rsid w:val="00EA104A"/>
    <w:rsid w:val="00EA1AA2"/>
    <w:rsid w:val="00EA1B94"/>
    <w:rsid w:val="00EA25B4"/>
    <w:rsid w:val="00EA2BE7"/>
    <w:rsid w:val="00EA2D62"/>
    <w:rsid w:val="00EA2D6F"/>
    <w:rsid w:val="00EA3B1C"/>
    <w:rsid w:val="00EA3D4E"/>
    <w:rsid w:val="00EA42F9"/>
    <w:rsid w:val="00EA4956"/>
    <w:rsid w:val="00EA55DA"/>
    <w:rsid w:val="00EA5FC2"/>
    <w:rsid w:val="00EA6C49"/>
    <w:rsid w:val="00EA7863"/>
    <w:rsid w:val="00EA7928"/>
    <w:rsid w:val="00EA7C92"/>
    <w:rsid w:val="00EA7CA9"/>
    <w:rsid w:val="00EB01FC"/>
    <w:rsid w:val="00EB0974"/>
    <w:rsid w:val="00EB0A94"/>
    <w:rsid w:val="00EB0B1F"/>
    <w:rsid w:val="00EB1CA9"/>
    <w:rsid w:val="00EB2648"/>
    <w:rsid w:val="00EB2703"/>
    <w:rsid w:val="00EB3AD2"/>
    <w:rsid w:val="00EB5466"/>
    <w:rsid w:val="00EB5FB8"/>
    <w:rsid w:val="00EB6655"/>
    <w:rsid w:val="00EB6B60"/>
    <w:rsid w:val="00EB71F8"/>
    <w:rsid w:val="00EC0D96"/>
    <w:rsid w:val="00EC23EC"/>
    <w:rsid w:val="00EC2575"/>
    <w:rsid w:val="00EC276B"/>
    <w:rsid w:val="00EC2805"/>
    <w:rsid w:val="00EC2B54"/>
    <w:rsid w:val="00EC2F3C"/>
    <w:rsid w:val="00EC38DD"/>
    <w:rsid w:val="00EC3C52"/>
    <w:rsid w:val="00EC44DC"/>
    <w:rsid w:val="00EC44FB"/>
    <w:rsid w:val="00EC4DD4"/>
    <w:rsid w:val="00EC5495"/>
    <w:rsid w:val="00EC5882"/>
    <w:rsid w:val="00EC5AAE"/>
    <w:rsid w:val="00EC5D6D"/>
    <w:rsid w:val="00EC727F"/>
    <w:rsid w:val="00EC72E6"/>
    <w:rsid w:val="00EC78C3"/>
    <w:rsid w:val="00EC7EB9"/>
    <w:rsid w:val="00ED0B2F"/>
    <w:rsid w:val="00ED0B96"/>
    <w:rsid w:val="00ED0D10"/>
    <w:rsid w:val="00ED1A48"/>
    <w:rsid w:val="00ED1AC3"/>
    <w:rsid w:val="00ED323D"/>
    <w:rsid w:val="00ED4E0B"/>
    <w:rsid w:val="00ED550D"/>
    <w:rsid w:val="00ED61B9"/>
    <w:rsid w:val="00ED6303"/>
    <w:rsid w:val="00ED66F6"/>
    <w:rsid w:val="00ED69D0"/>
    <w:rsid w:val="00ED7217"/>
    <w:rsid w:val="00ED7D2E"/>
    <w:rsid w:val="00EE0FA7"/>
    <w:rsid w:val="00EE15D7"/>
    <w:rsid w:val="00EE1D4E"/>
    <w:rsid w:val="00EE240C"/>
    <w:rsid w:val="00EE2830"/>
    <w:rsid w:val="00EE2F90"/>
    <w:rsid w:val="00EE3070"/>
    <w:rsid w:val="00EE322B"/>
    <w:rsid w:val="00EE3563"/>
    <w:rsid w:val="00EE3CA8"/>
    <w:rsid w:val="00EE3CDA"/>
    <w:rsid w:val="00EE5963"/>
    <w:rsid w:val="00EE6F77"/>
    <w:rsid w:val="00EE6FA6"/>
    <w:rsid w:val="00EE704A"/>
    <w:rsid w:val="00EE75CB"/>
    <w:rsid w:val="00EE7ADD"/>
    <w:rsid w:val="00EF0641"/>
    <w:rsid w:val="00EF1063"/>
    <w:rsid w:val="00EF164F"/>
    <w:rsid w:val="00EF2424"/>
    <w:rsid w:val="00EF2840"/>
    <w:rsid w:val="00EF37C6"/>
    <w:rsid w:val="00EF3ADB"/>
    <w:rsid w:val="00EF3BDF"/>
    <w:rsid w:val="00EF493A"/>
    <w:rsid w:val="00EF4A69"/>
    <w:rsid w:val="00EF4F1E"/>
    <w:rsid w:val="00EF56F5"/>
    <w:rsid w:val="00EF57B6"/>
    <w:rsid w:val="00EF59A1"/>
    <w:rsid w:val="00EF5A5C"/>
    <w:rsid w:val="00EF616C"/>
    <w:rsid w:val="00EF7738"/>
    <w:rsid w:val="00EF78A5"/>
    <w:rsid w:val="00EF7FE0"/>
    <w:rsid w:val="00F00159"/>
    <w:rsid w:val="00F0067B"/>
    <w:rsid w:val="00F008DA"/>
    <w:rsid w:val="00F00DFD"/>
    <w:rsid w:val="00F01545"/>
    <w:rsid w:val="00F027EC"/>
    <w:rsid w:val="00F02B4B"/>
    <w:rsid w:val="00F03092"/>
    <w:rsid w:val="00F03530"/>
    <w:rsid w:val="00F04461"/>
    <w:rsid w:val="00F04924"/>
    <w:rsid w:val="00F058DD"/>
    <w:rsid w:val="00F05FAA"/>
    <w:rsid w:val="00F0650C"/>
    <w:rsid w:val="00F06CE3"/>
    <w:rsid w:val="00F071B9"/>
    <w:rsid w:val="00F110B3"/>
    <w:rsid w:val="00F11BEC"/>
    <w:rsid w:val="00F126D9"/>
    <w:rsid w:val="00F12760"/>
    <w:rsid w:val="00F12EA2"/>
    <w:rsid w:val="00F13E28"/>
    <w:rsid w:val="00F145D2"/>
    <w:rsid w:val="00F1477A"/>
    <w:rsid w:val="00F14897"/>
    <w:rsid w:val="00F165D1"/>
    <w:rsid w:val="00F16ECB"/>
    <w:rsid w:val="00F175FB"/>
    <w:rsid w:val="00F17F69"/>
    <w:rsid w:val="00F209DE"/>
    <w:rsid w:val="00F22529"/>
    <w:rsid w:val="00F227B3"/>
    <w:rsid w:val="00F22B98"/>
    <w:rsid w:val="00F232E9"/>
    <w:rsid w:val="00F23C3D"/>
    <w:rsid w:val="00F23ECB"/>
    <w:rsid w:val="00F249F7"/>
    <w:rsid w:val="00F24EDE"/>
    <w:rsid w:val="00F24F0D"/>
    <w:rsid w:val="00F2524B"/>
    <w:rsid w:val="00F2600A"/>
    <w:rsid w:val="00F26056"/>
    <w:rsid w:val="00F2657C"/>
    <w:rsid w:val="00F26807"/>
    <w:rsid w:val="00F26C10"/>
    <w:rsid w:val="00F26F67"/>
    <w:rsid w:val="00F304A5"/>
    <w:rsid w:val="00F30888"/>
    <w:rsid w:val="00F30ABD"/>
    <w:rsid w:val="00F30D6A"/>
    <w:rsid w:val="00F31FF4"/>
    <w:rsid w:val="00F322C3"/>
    <w:rsid w:val="00F32506"/>
    <w:rsid w:val="00F32875"/>
    <w:rsid w:val="00F32BD9"/>
    <w:rsid w:val="00F334B7"/>
    <w:rsid w:val="00F3356D"/>
    <w:rsid w:val="00F33798"/>
    <w:rsid w:val="00F33FCE"/>
    <w:rsid w:val="00F341F6"/>
    <w:rsid w:val="00F34483"/>
    <w:rsid w:val="00F347A4"/>
    <w:rsid w:val="00F3485F"/>
    <w:rsid w:val="00F353B1"/>
    <w:rsid w:val="00F35627"/>
    <w:rsid w:val="00F359B3"/>
    <w:rsid w:val="00F35D54"/>
    <w:rsid w:val="00F363DE"/>
    <w:rsid w:val="00F36E8C"/>
    <w:rsid w:val="00F37139"/>
    <w:rsid w:val="00F37832"/>
    <w:rsid w:val="00F401D5"/>
    <w:rsid w:val="00F40CD8"/>
    <w:rsid w:val="00F417F4"/>
    <w:rsid w:val="00F41AB2"/>
    <w:rsid w:val="00F41ADB"/>
    <w:rsid w:val="00F42A00"/>
    <w:rsid w:val="00F42F6A"/>
    <w:rsid w:val="00F42F9F"/>
    <w:rsid w:val="00F42FEE"/>
    <w:rsid w:val="00F438FE"/>
    <w:rsid w:val="00F43DE6"/>
    <w:rsid w:val="00F43E18"/>
    <w:rsid w:val="00F440C9"/>
    <w:rsid w:val="00F4473E"/>
    <w:rsid w:val="00F45065"/>
    <w:rsid w:val="00F45C83"/>
    <w:rsid w:val="00F5086A"/>
    <w:rsid w:val="00F51121"/>
    <w:rsid w:val="00F51405"/>
    <w:rsid w:val="00F521A4"/>
    <w:rsid w:val="00F52FB1"/>
    <w:rsid w:val="00F5342F"/>
    <w:rsid w:val="00F536BE"/>
    <w:rsid w:val="00F53CEE"/>
    <w:rsid w:val="00F5447B"/>
    <w:rsid w:val="00F54549"/>
    <w:rsid w:val="00F54B11"/>
    <w:rsid w:val="00F5626C"/>
    <w:rsid w:val="00F5628B"/>
    <w:rsid w:val="00F5639B"/>
    <w:rsid w:val="00F56A78"/>
    <w:rsid w:val="00F56D5F"/>
    <w:rsid w:val="00F6025D"/>
    <w:rsid w:val="00F6068B"/>
    <w:rsid w:val="00F61588"/>
    <w:rsid w:val="00F61591"/>
    <w:rsid w:val="00F61657"/>
    <w:rsid w:val="00F619E2"/>
    <w:rsid w:val="00F623CB"/>
    <w:rsid w:val="00F6268B"/>
    <w:rsid w:val="00F630C5"/>
    <w:rsid w:val="00F63244"/>
    <w:rsid w:val="00F63502"/>
    <w:rsid w:val="00F63723"/>
    <w:rsid w:val="00F6386A"/>
    <w:rsid w:val="00F638BF"/>
    <w:rsid w:val="00F64150"/>
    <w:rsid w:val="00F648DD"/>
    <w:rsid w:val="00F65753"/>
    <w:rsid w:val="00F65FF2"/>
    <w:rsid w:val="00F6710C"/>
    <w:rsid w:val="00F6736B"/>
    <w:rsid w:val="00F678A7"/>
    <w:rsid w:val="00F678B6"/>
    <w:rsid w:val="00F67B9B"/>
    <w:rsid w:val="00F67BDB"/>
    <w:rsid w:val="00F67F82"/>
    <w:rsid w:val="00F7058B"/>
    <w:rsid w:val="00F71753"/>
    <w:rsid w:val="00F71C0F"/>
    <w:rsid w:val="00F72872"/>
    <w:rsid w:val="00F72CD9"/>
    <w:rsid w:val="00F72EF2"/>
    <w:rsid w:val="00F7303D"/>
    <w:rsid w:val="00F73773"/>
    <w:rsid w:val="00F7463C"/>
    <w:rsid w:val="00F751E0"/>
    <w:rsid w:val="00F753F8"/>
    <w:rsid w:val="00F75546"/>
    <w:rsid w:val="00F7598D"/>
    <w:rsid w:val="00F76364"/>
    <w:rsid w:val="00F77066"/>
    <w:rsid w:val="00F7755E"/>
    <w:rsid w:val="00F77DB4"/>
    <w:rsid w:val="00F80A60"/>
    <w:rsid w:val="00F81645"/>
    <w:rsid w:val="00F8237E"/>
    <w:rsid w:val="00F82ACF"/>
    <w:rsid w:val="00F83821"/>
    <w:rsid w:val="00F83854"/>
    <w:rsid w:val="00F838F8"/>
    <w:rsid w:val="00F83D74"/>
    <w:rsid w:val="00F83D8B"/>
    <w:rsid w:val="00F85057"/>
    <w:rsid w:val="00F86057"/>
    <w:rsid w:val="00F8646D"/>
    <w:rsid w:val="00F86C58"/>
    <w:rsid w:val="00F87EEE"/>
    <w:rsid w:val="00F90583"/>
    <w:rsid w:val="00F90EA1"/>
    <w:rsid w:val="00F91893"/>
    <w:rsid w:val="00F91DF3"/>
    <w:rsid w:val="00F91E13"/>
    <w:rsid w:val="00F9213E"/>
    <w:rsid w:val="00F92E88"/>
    <w:rsid w:val="00F93D47"/>
    <w:rsid w:val="00F94293"/>
    <w:rsid w:val="00F971B5"/>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920"/>
    <w:rsid w:val="00FA4BD8"/>
    <w:rsid w:val="00FA564F"/>
    <w:rsid w:val="00FA57C3"/>
    <w:rsid w:val="00FA6357"/>
    <w:rsid w:val="00FA67F4"/>
    <w:rsid w:val="00FA68E4"/>
    <w:rsid w:val="00FA72AA"/>
    <w:rsid w:val="00FA7EC2"/>
    <w:rsid w:val="00FB0BB1"/>
    <w:rsid w:val="00FB11A7"/>
    <w:rsid w:val="00FB21EE"/>
    <w:rsid w:val="00FB2D84"/>
    <w:rsid w:val="00FB34AE"/>
    <w:rsid w:val="00FB3604"/>
    <w:rsid w:val="00FB3EE7"/>
    <w:rsid w:val="00FB40AE"/>
    <w:rsid w:val="00FB467E"/>
    <w:rsid w:val="00FB4F61"/>
    <w:rsid w:val="00FB59AE"/>
    <w:rsid w:val="00FB5DA8"/>
    <w:rsid w:val="00FB629F"/>
    <w:rsid w:val="00FB64A3"/>
    <w:rsid w:val="00FB65B6"/>
    <w:rsid w:val="00FB69AB"/>
    <w:rsid w:val="00FB70FC"/>
    <w:rsid w:val="00FB7BAA"/>
    <w:rsid w:val="00FC0267"/>
    <w:rsid w:val="00FC04C9"/>
    <w:rsid w:val="00FC17F7"/>
    <w:rsid w:val="00FC1A6A"/>
    <w:rsid w:val="00FC1E45"/>
    <w:rsid w:val="00FC21C7"/>
    <w:rsid w:val="00FC3428"/>
    <w:rsid w:val="00FC3592"/>
    <w:rsid w:val="00FC39DF"/>
    <w:rsid w:val="00FC3BE9"/>
    <w:rsid w:val="00FC3D55"/>
    <w:rsid w:val="00FC44A0"/>
    <w:rsid w:val="00FC44E2"/>
    <w:rsid w:val="00FC486F"/>
    <w:rsid w:val="00FC49BA"/>
    <w:rsid w:val="00FC4B99"/>
    <w:rsid w:val="00FC4BA6"/>
    <w:rsid w:val="00FC5119"/>
    <w:rsid w:val="00FC5254"/>
    <w:rsid w:val="00FC53C1"/>
    <w:rsid w:val="00FC54D0"/>
    <w:rsid w:val="00FC62EB"/>
    <w:rsid w:val="00FC654A"/>
    <w:rsid w:val="00FC6ADB"/>
    <w:rsid w:val="00FC75AC"/>
    <w:rsid w:val="00FC773C"/>
    <w:rsid w:val="00FC77CF"/>
    <w:rsid w:val="00FC77D1"/>
    <w:rsid w:val="00FC7E17"/>
    <w:rsid w:val="00FD0575"/>
    <w:rsid w:val="00FD1000"/>
    <w:rsid w:val="00FD195E"/>
    <w:rsid w:val="00FD30FB"/>
    <w:rsid w:val="00FD326D"/>
    <w:rsid w:val="00FD5BC3"/>
    <w:rsid w:val="00FD5BF3"/>
    <w:rsid w:val="00FD657C"/>
    <w:rsid w:val="00FD691A"/>
    <w:rsid w:val="00FD6957"/>
    <w:rsid w:val="00FD7609"/>
    <w:rsid w:val="00FE0180"/>
    <w:rsid w:val="00FE0350"/>
    <w:rsid w:val="00FE088C"/>
    <w:rsid w:val="00FE08C4"/>
    <w:rsid w:val="00FE1900"/>
    <w:rsid w:val="00FE2A0B"/>
    <w:rsid w:val="00FE2D37"/>
    <w:rsid w:val="00FE32FE"/>
    <w:rsid w:val="00FE3A56"/>
    <w:rsid w:val="00FE3AB2"/>
    <w:rsid w:val="00FE3BE9"/>
    <w:rsid w:val="00FE414F"/>
    <w:rsid w:val="00FE5321"/>
    <w:rsid w:val="00FE5B59"/>
    <w:rsid w:val="00FE60E9"/>
    <w:rsid w:val="00FE6404"/>
    <w:rsid w:val="00FE6651"/>
    <w:rsid w:val="00FE6F32"/>
    <w:rsid w:val="00FE7163"/>
    <w:rsid w:val="00FE71EF"/>
    <w:rsid w:val="00FE77C6"/>
    <w:rsid w:val="00FE7ECE"/>
    <w:rsid w:val="00FF0018"/>
    <w:rsid w:val="00FF03CA"/>
    <w:rsid w:val="00FF0528"/>
    <w:rsid w:val="00FF05C8"/>
    <w:rsid w:val="00FF0A06"/>
    <w:rsid w:val="00FF0DE2"/>
    <w:rsid w:val="00FF1D73"/>
    <w:rsid w:val="00FF2899"/>
    <w:rsid w:val="00FF2C90"/>
    <w:rsid w:val="00FF356A"/>
    <w:rsid w:val="00FF3E2C"/>
    <w:rsid w:val="00FF3F3E"/>
    <w:rsid w:val="00FF4A69"/>
    <w:rsid w:val="00FF5283"/>
    <w:rsid w:val="00FF5BA5"/>
    <w:rsid w:val="00FF5CCC"/>
    <w:rsid w:val="00FF5E8C"/>
    <w:rsid w:val="00FF669C"/>
    <w:rsid w:val="00FF67C8"/>
    <w:rsid w:val="00FF6892"/>
    <w:rsid w:val="00FF739A"/>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A89DAA5"/>
  <w15:docId w15:val="{22725E04-7BF7-4668-811E-A1E97755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1" w:qFormat="1"/>
    <w:lsdException w:name="heading 3" w:locked="0" w:uiPriority="4" w:qFormat="1"/>
    <w:lsdException w:name="heading 4" w:uiPriority="10" w:qFormat="1"/>
    <w:lsdException w:name="heading 5" w:uiPriority="1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0" w:unhideWhenUsed="1"/>
    <w:lsdException w:name="header" w:semiHidden="1" w:unhideWhenUsed="1"/>
    <w:lsdException w:name="footer" w:locked="0" w:semiHidden="1" w:unhideWhenUsed="1"/>
    <w:lsdException w:name="index heading" w:semiHidden="1" w:unhideWhenUsed="1"/>
    <w:lsdException w:name="caption"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3" w:unhideWhenUsed="1"/>
    <w:lsdException w:name="List Number" w:uiPriority="10"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2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1"/>
    <w:qFormat/>
    <w:rsid w:val="00314122"/>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4"/>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10"/>
    <w:qFormat/>
    <w:locked/>
    <w:rsid w:val="004632FD"/>
    <w:pPr>
      <w:numPr>
        <w:ilvl w:val="3"/>
        <w:numId w:val="3"/>
      </w:numPr>
      <w:ind w:left="851" w:hanging="851"/>
      <w:outlineLvl w:val="3"/>
    </w:pPr>
    <w:rPr>
      <w:b w:val="0"/>
      <w:sz w:val="22"/>
    </w:rPr>
  </w:style>
  <w:style w:type="paragraph" w:styleId="Heading5">
    <w:name w:val="heading 5"/>
    <w:basedOn w:val="Normal"/>
    <w:next w:val="Normal"/>
    <w:link w:val="Heading5Char"/>
    <w:uiPriority w:val="11"/>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1"/>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9"/>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aliases w:val="Header RHS"/>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aliases w:val="Header RHS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D20CCE"/>
    <w:pPr>
      <w:tabs>
        <w:tab w:val="left" w:pos="440"/>
        <w:tab w:val="right" w:leader="dot" w:pos="9071"/>
      </w:tabs>
      <w:spacing w:before="120" w:after="0"/>
    </w:pPr>
    <w:rPr>
      <w:b/>
      <w:bCs/>
      <w:i/>
      <w:iCs/>
      <w:sz w:val="24"/>
    </w:rPr>
  </w:style>
  <w:style w:type="paragraph" w:styleId="TOC2">
    <w:name w:val="toc 2"/>
    <w:basedOn w:val="Normal"/>
    <w:next w:val="Normal"/>
    <w:autoRedefine/>
    <w:uiPriority w:val="39"/>
    <w:qFormat/>
    <w:rsid w:val="00A0282E"/>
    <w:pPr>
      <w:spacing w:before="120" w:after="0"/>
      <w:ind w:left="220"/>
    </w:pPr>
    <w:rPr>
      <w:b/>
      <w:bCs/>
      <w:szCs w:val="22"/>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aliases w:val="Footer RHS"/>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aliases w:val="Footer RHS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99"/>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spacing w:before="0"/>
      <w:ind w:left="440"/>
    </w:pPr>
    <w:rPr>
      <w:b w:val="0"/>
      <w:bCs w:val="0"/>
      <w:sz w:val="20"/>
      <w:szCs w:val="20"/>
    </w:r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iPriority w:val="99"/>
    <w:unhideWhenUsed/>
    <w:locked/>
    <w:rsid w:val="00E61DE6"/>
    <w:rPr>
      <w:b/>
      <w:bCs/>
      <w:sz w:val="20"/>
      <w:szCs w:val="20"/>
    </w:rPr>
  </w:style>
  <w:style w:type="character" w:customStyle="1" w:styleId="CommentSubjectChar">
    <w:name w:val="Comment Subject Char"/>
    <w:basedOn w:val="DefaultParagraphFont"/>
    <w:link w:val="CommentSubject"/>
    <w:uiPriority w:val="99"/>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uiPriority w:val="11"/>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uiPriority w:val="99"/>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rsid w:val="0060697D"/>
    <w:rPr>
      <w:sz w:val="24"/>
      <w:szCs w:val="24"/>
    </w:rPr>
  </w:style>
  <w:style w:type="paragraph" w:customStyle="1" w:styleId="DNU3">
    <w:name w:val="DNU3"/>
    <w:basedOn w:val="Heading3Numbered0"/>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uiPriority w:val="12"/>
    <w:qFormat/>
    <w:rsid w:val="003C7719"/>
    <w:pPr>
      <w:numPr>
        <w:numId w:val="14"/>
      </w:numPr>
      <w:spacing w:before="120"/>
      <w:ind w:right="142"/>
    </w:pPr>
    <w:rPr>
      <w:szCs w:val="20"/>
      <w:lang w:val="en-US" w:eastAsia="en-US"/>
    </w:rPr>
  </w:style>
  <w:style w:type="paragraph" w:styleId="ListContinue">
    <w:name w:val="List Continue"/>
    <w:basedOn w:val="Normal"/>
    <w:uiPriority w:val="99"/>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4"/>
    <w:rsid w:val="00B5790E"/>
    <w:rPr>
      <w:rFonts w:asciiTheme="minorHAnsi" w:eastAsiaTheme="minorHAnsi" w:hAnsiTheme="minorHAnsi" w:cs="Arial"/>
      <w:b/>
      <w:bCs/>
      <w:sz w:val="24"/>
      <w:szCs w:val="26"/>
      <w:lang w:val="en-US" w:eastAsia="en-US"/>
    </w:rPr>
  </w:style>
  <w:style w:type="paragraph" w:customStyle="1" w:styleId="Heading3Numbered0">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0">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7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uiPriority w:val="1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0"/>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2"/>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3"/>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nhideWhenUsed/>
    <w:locked/>
    <w:rsid w:val="00A63CC5"/>
    <w:pPr>
      <w:spacing w:line="240" w:lineRule="auto"/>
    </w:pPr>
    <w:rPr>
      <w:sz w:val="20"/>
      <w:szCs w:val="20"/>
    </w:rPr>
  </w:style>
  <w:style w:type="character" w:customStyle="1" w:styleId="CommentTextChar">
    <w:name w:val="Comment Text Char"/>
    <w:basedOn w:val="DefaultParagraphFont"/>
    <w:link w:val="CommentText"/>
    <w:rsid w:val="00A63CC5"/>
    <w:rPr>
      <w:rFonts w:asciiTheme="minorHAnsi" w:hAnsiTheme="minorHAnsi"/>
    </w:rPr>
  </w:style>
  <w:style w:type="paragraph" w:customStyle="1" w:styleId="Boxbulletgreen">
    <w:name w:val="Box bullet green"/>
    <w:basedOn w:val="Normal"/>
    <w:qFormat/>
    <w:rsid w:val="00D67260"/>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uiPriority w:val="9"/>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iPriority w:val="99"/>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uiPriority w:val="99"/>
    <w:rsid w:val="000F6EE9"/>
    <w:rPr>
      <w:rFonts w:asciiTheme="minorHAnsi" w:hAnsiTheme="minorHAnsi"/>
    </w:rPr>
  </w:style>
  <w:style w:type="character" w:styleId="EndnoteReference">
    <w:name w:val="endnote reference"/>
    <w:basedOn w:val="DefaultParagraphFont"/>
    <w:uiPriority w:val="99"/>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paragraph" w:customStyle="1" w:styleId="04shortdash">
    <w:name w:val="04 short dash"/>
    <w:basedOn w:val="Normal"/>
    <w:uiPriority w:val="6"/>
    <w:qFormat/>
    <w:rsid w:val="002615AA"/>
    <w:pPr>
      <w:numPr>
        <w:ilvl w:val="1"/>
        <w:numId w:val="16"/>
      </w:numPr>
      <w:tabs>
        <w:tab w:val="left" w:pos="1213"/>
      </w:tabs>
      <w:spacing w:before="0" w:line="240" w:lineRule="auto"/>
      <w:ind w:left="1208" w:hanging="284"/>
    </w:pPr>
    <w:rPr>
      <w:rFonts w:eastAsiaTheme="minorHAnsi"/>
      <w:szCs w:val="20"/>
      <w:lang w:val="en-US" w:eastAsia="en-US"/>
    </w:rPr>
  </w:style>
  <w:style w:type="paragraph" w:customStyle="1" w:styleId="Normalpara">
    <w:name w:val="Normal para"/>
    <w:basedOn w:val="Normal"/>
    <w:link w:val="NormalparaChar"/>
    <w:qFormat/>
    <w:rsid w:val="00170A64"/>
    <w:pPr>
      <w:spacing w:before="120" w:line="240" w:lineRule="auto"/>
    </w:pPr>
    <w:rPr>
      <w:lang w:val="en-US"/>
    </w:rPr>
  </w:style>
  <w:style w:type="character" w:customStyle="1" w:styleId="NormalparaChar">
    <w:name w:val="Normal para Char"/>
    <w:basedOn w:val="DefaultParagraphFont"/>
    <w:link w:val="Normalpara"/>
    <w:rsid w:val="00170A64"/>
    <w:rPr>
      <w:rFonts w:asciiTheme="minorHAnsi" w:hAnsiTheme="minorHAnsi"/>
      <w:sz w:val="22"/>
      <w:szCs w:val="24"/>
      <w:lang w:val="en-US"/>
    </w:rPr>
  </w:style>
  <w:style w:type="paragraph" w:customStyle="1" w:styleId="Bullet3">
    <w:name w:val="Bullet 3"/>
    <w:basedOn w:val="02dash"/>
    <w:uiPriority w:val="4"/>
    <w:qFormat/>
    <w:rsid w:val="00555F56"/>
    <w:pPr>
      <w:numPr>
        <w:ilvl w:val="0"/>
      </w:numPr>
      <w:tabs>
        <w:tab w:val="num" w:pos="924"/>
      </w:tabs>
      <w:spacing w:before="0" w:line="240" w:lineRule="auto"/>
      <w:ind w:left="927" w:right="0" w:hanging="283"/>
    </w:pPr>
    <w:rPr>
      <w:rFonts w:eastAsiaTheme="minorHAnsi"/>
    </w:rPr>
  </w:style>
  <w:style w:type="paragraph" w:customStyle="1" w:styleId="01squarebullet">
    <w:name w:val="01 square bullet"/>
    <w:basedOn w:val="Normal"/>
    <w:link w:val="01squarebulletChar"/>
    <w:uiPriority w:val="3"/>
    <w:qFormat/>
    <w:rsid w:val="00555F56"/>
    <w:pPr>
      <w:numPr>
        <w:numId w:val="18"/>
      </w:numPr>
      <w:spacing w:before="120" w:line="240" w:lineRule="auto"/>
    </w:pPr>
    <w:rPr>
      <w:szCs w:val="20"/>
      <w:lang w:val="en-US" w:eastAsia="en-US"/>
    </w:rPr>
  </w:style>
  <w:style w:type="paragraph" w:customStyle="1" w:styleId="02Tabletext">
    <w:name w:val="02. Table text"/>
    <w:next w:val="Normal"/>
    <w:link w:val="02TabletextChar"/>
    <w:uiPriority w:val="11"/>
    <w:qFormat/>
    <w:rsid w:val="00400C7A"/>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400C7A"/>
    <w:rPr>
      <w:rFonts w:ascii="Arial" w:eastAsiaTheme="minorHAnsi" w:hAnsi="Arial" w:cs="Arial"/>
      <w:sz w:val="18"/>
      <w:szCs w:val="18"/>
      <w:lang w:val="en-GB" w:eastAsia="en-US"/>
    </w:rPr>
  </w:style>
  <w:style w:type="paragraph" w:customStyle="1" w:styleId="AppendixStyle2">
    <w:name w:val="Appendix Style2"/>
    <w:basedOn w:val="Normal"/>
    <w:uiPriority w:val="10"/>
    <w:qFormat/>
    <w:rsid w:val="00DF30D8"/>
    <w:pPr>
      <w:keepNext/>
      <w:spacing w:before="120"/>
      <w:outlineLvl w:val="1"/>
    </w:pPr>
    <w:rPr>
      <w:rFonts w:eastAsiaTheme="minorHAnsi" w:cs="Arial"/>
      <w:b/>
      <w:bCs/>
      <w:iCs/>
      <w:sz w:val="26"/>
      <w:szCs w:val="22"/>
      <w:lang w:val="en-US" w:eastAsia="en-US"/>
    </w:rPr>
  </w:style>
  <w:style w:type="paragraph" w:customStyle="1" w:styleId="01Tableheaderrow">
    <w:name w:val="01. Table header row"/>
    <w:basedOn w:val="02Tabletext"/>
    <w:link w:val="01TableheaderrowChar"/>
    <w:uiPriority w:val="9"/>
    <w:qFormat/>
    <w:rsid w:val="00BB582A"/>
    <w:rPr>
      <w:b/>
    </w:rPr>
  </w:style>
  <w:style w:type="character" w:customStyle="1" w:styleId="01TableheaderrowChar">
    <w:name w:val="01. Table header row Char"/>
    <w:basedOn w:val="02TabletextChar"/>
    <w:link w:val="01Tableheaderrow"/>
    <w:uiPriority w:val="9"/>
    <w:rsid w:val="00BB582A"/>
    <w:rPr>
      <w:rFonts w:ascii="Arial" w:eastAsiaTheme="minorHAnsi" w:hAnsi="Arial" w:cs="Arial"/>
      <w:b/>
      <w:sz w:val="18"/>
      <w:szCs w:val="18"/>
      <w:lang w:val="en-GB" w:eastAsia="en-US"/>
    </w:rPr>
  </w:style>
  <w:style w:type="table" w:customStyle="1" w:styleId="TableGridLight1">
    <w:name w:val="Table Grid Light1"/>
    <w:basedOn w:val="TableNormal"/>
    <w:uiPriority w:val="99"/>
    <w:rsid w:val="00BB58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0exhtblnormal">
    <w:name w:val="70 exh tbl normal"/>
    <w:basedOn w:val="Normal"/>
    <w:rsid w:val="00442C70"/>
    <w:pPr>
      <w:spacing w:before="60" w:line="240" w:lineRule="auto"/>
      <w:ind w:left="144" w:right="289"/>
      <w:jc w:val="center"/>
    </w:pPr>
    <w:rPr>
      <w:szCs w:val="20"/>
      <w:lang w:val="en-US" w:eastAsia="en-US"/>
    </w:rPr>
  </w:style>
  <w:style w:type="character" w:customStyle="1" w:styleId="01squarebulletChar">
    <w:name w:val="01 square bullet Char"/>
    <w:basedOn w:val="DefaultParagraphFont"/>
    <w:link w:val="01squarebullet"/>
    <w:uiPriority w:val="3"/>
    <w:locked/>
    <w:rsid w:val="003F1969"/>
    <w:rPr>
      <w:rFonts w:asciiTheme="minorHAnsi" w:hAnsiTheme="minorHAnsi"/>
      <w:sz w:val="22"/>
      <w:lang w:val="en-US" w:eastAsia="en-US"/>
    </w:rPr>
  </w:style>
  <w:style w:type="character" w:customStyle="1" w:styleId="NormalBulletedChar">
    <w:name w:val="Normal Bulleted Char"/>
    <w:basedOn w:val="DefaultParagraphFont"/>
    <w:link w:val="NormalBulleted"/>
    <w:locked/>
    <w:rsid w:val="003F1969"/>
    <w:rPr>
      <w:rFonts w:asciiTheme="minorHAnsi" w:hAnsiTheme="minorHAnsi" w:cs="Calibri"/>
      <w:sz w:val="22"/>
      <w:szCs w:val="24"/>
      <w:lang w:val="en-US"/>
    </w:rPr>
  </w:style>
  <w:style w:type="paragraph" w:customStyle="1" w:styleId="NormalBulleted">
    <w:name w:val="Normal Bulleted"/>
    <w:basedOn w:val="ListContinue"/>
    <w:link w:val="NormalBulletedChar"/>
    <w:qFormat/>
    <w:rsid w:val="003F1969"/>
    <w:pPr>
      <w:numPr>
        <w:numId w:val="19"/>
      </w:numPr>
      <w:spacing w:before="120" w:after="60" w:line="240" w:lineRule="auto"/>
      <w:contextualSpacing w:val="0"/>
    </w:pPr>
    <w:rPr>
      <w:rFonts w:cs="Calibri"/>
      <w:lang w:val="en-US"/>
    </w:rPr>
  </w:style>
  <w:style w:type="paragraph" w:customStyle="1" w:styleId="Item">
    <w:name w:val="Item #"/>
    <w:basedOn w:val="Normal"/>
    <w:next w:val="Normal"/>
    <w:qFormat/>
    <w:rsid w:val="003F1969"/>
    <w:pPr>
      <w:keepNext/>
      <w:keepLines/>
      <w:spacing w:before="240" w:line="240" w:lineRule="auto"/>
    </w:pPr>
    <w:rPr>
      <w:b/>
      <w:szCs w:val="22"/>
      <w:lang w:val="en-US"/>
    </w:rPr>
  </w:style>
  <w:style w:type="character" w:customStyle="1" w:styleId="Heading2Char">
    <w:name w:val="Heading 2 Char"/>
    <w:basedOn w:val="DefaultParagraphFont"/>
    <w:link w:val="Heading2"/>
    <w:uiPriority w:val="1"/>
    <w:rsid w:val="00BE40E6"/>
    <w:rPr>
      <w:rFonts w:asciiTheme="minorHAnsi" w:eastAsiaTheme="minorHAnsi" w:hAnsiTheme="minorHAnsi" w:cs="Arial"/>
      <w:b/>
      <w:bCs/>
      <w:iCs/>
      <w:color w:val="01653F"/>
      <w:sz w:val="26"/>
      <w:szCs w:val="26"/>
      <w:lang w:val="en-US" w:eastAsia="en-US"/>
    </w:rPr>
  </w:style>
  <w:style w:type="character" w:customStyle="1" w:styleId="Heading4Char">
    <w:name w:val="Heading 4 Char"/>
    <w:basedOn w:val="DefaultParagraphFont"/>
    <w:link w:val="Heading4"/>
    <w:uiPriority w:val="10"/>
    <w:rsid w:val="00BE40E6"/>
    <w:rPr>
      <w:rFonts w:asciiTheme="minorHAnsi" w:eastAsiaTheme="minorHAnsi" w:hAnsiTheme="minorHAnsi" w:cs="Arial"/>
      <w:bCs/>
      <w:sz w:val="22"/>
      <w:szCs w:val="26"/>
      <w:lang w:val="en-US" w:eastAsia="en-US"/>
    </w:rPr>
  </w:style>
  <w:style w:type="character" w:customStyle="1" w:styleId="Heading5Char">
    <w:name w:val="Heading 5 Char"/>
    <w:basedOn w:val="DefaultParagraphFont"/>
    <w:link w:val="Heading5"/>
    <w:uiPriority w:val="11"/>
    <w:rsid w:val="00BE40E6"/>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uiPriority w:val="99"/>
    <w:rsid w:val="00BE40E6"/>
    <w:rPr>
      <w:rFonts w:asciiTheme="minorHAnsi" w:eastAsiaTheme="minorHAnsi" w:hAnsiTheme="minorHAnsi" w:cs="Arial"/>
      <w:b/>
      <w:bCs/>
      <w:i/>
      <w:sz w:val="22"/>
      <w:szCs w:val="22"/>
      <w:lang w:val="en-US" w:eastAsia="en-US"/>
    </w:rPr>
  </w:style>
  <w:style w:type="character" w:styleId="FollowedHyperlink">
    <w:name w:val="FollowedHyperlink"/>
    <w:basedOn w:val="DefaultParagraphFont"/>
    <w:uiPriority w:val="99"/>
    <w:unhideWhenUsed/>
    <w:locked/>
    <w:rsid w:val="00BE40E6"/>
    <w:rPr>
      <w:color w:val="800080" w:themeColor="followedHyperlink"/>
      <w:u w:val="single"/>
    </w:rPr>
  </w:style>
  <w:style w:type="paragraph" w:styleId="HTMLAddress">
    <w:name w:val="HTML Address"/>
    <w:basedOn w:val="Normal"/>
    <w:link w:val="HTMLAddressChar"/>
    <w:uiPriority w:val="99"/>
    <w:unhideWhenUsed/>
    <w:locked/>
    <w:rsid w:val="00BE40E6"/>
    <w:pPr>
      <w:spacing w:line="240" w:lineRule="auto"/>
    </w:pPr>
    <w:rPr>
      <w:i/>
      <w:iCs/>
      <w:sz w:val="26"/>
      <w:szCs w:val="20"/>
      <w:lang w:val="en-US" w:eastAsia="en-US"/>
    </w:rPr>
  </w:style>
  <w:style w:type="character" w:customStyle="1" w:styleId="HTMLAddressChar">
    <w:name w:val="HTML Address Char"/>
    <w:basedOn w:val="DefaultParagraphFont"/>
    <w:link w:val="HTMLAddress"/>
    <w:uiPriority w:val="99"/>
    <w:rsid w:val="00BE40E6"/>
    <w:rPr>
      <w:rFonts w:asciiTheme="minorHAnsi" w:hAnsiTheme="minorHAnsi"/>
      <w:i/>
      <w:iCs/>
      <w:sz w:val="26"/>
      <w:lang w:val="en-US" w:eastAsia="en-US"/>
    </w:rPr>
  </w:style>
  <w:style w:type="character" w:styleId="HTMLCode">
    <w:name w:val="HTML Code"/>
    <w:basedOn w:val="DefaultParagraphFont"/>
    <w:uiPriority w:val="99"/>
    <w:unhideWhenUsed/>
    <w:locked/>
    <w:rsid w:val="00BE40E6"/>
    <w:rPr>
      <w:rFonts w:ascii="Consolas" w:eastAsia="Times New Roman" w:hAnsi="Consolas" w:cs="Times New Roman" w:hint="default"/>
      <w:sz w:val="20"/>
      <w:szCs w:val="20"/>
    </w:rPr>
  </w:style>
  <w:style w:type="character" w:styleId="HTMLKeyboard">
    <w:name w:val="HTML Keyboard"/>
    <w:basedOn w:val="DefaultParagraphFont"/>
    <w:uiPriority w:val="99"/>
    <w:unhideWhenUsed/>
    <w:locked/>
    <w:rsid w:val="00BE40E6"/>
    <w:rPr>
      <w:rFonts w:ascii="Consolas" w:eastAsia="Times New Roman" w:hAnsi="Consolas" w:cs="Times New Roman" w:hint="default"/>
      <w:sz w:val="20"/>
      <w:szCs w:val="20"/>
    </w:rPr>
  </w:style>
  <w:style w:type="paragraph" w:styleId="HTMLPreformatted">
    <w:name w:val="HTML Preformatted"/>
    <w:basedOn w:val="Normal"/>
    <w:link w:val="HTMLPreformattedChar"/>
    <w:uiPriority w:val="99"/>
    <w:unhideWhenUsed/>
    <w:locked/>
    <w:rsid w:val="00BE4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BE40E6"/>
    <w:rPr>
      <w:rFonts w:ascii="Consolas" w:hAnsi="Consolas"/>
      <w:lang w:val="en-US" w:eastAsia="en-US"/>
    </w:rPr>
  </w:style>
  <w:style w:type="character" w:styleId="HTMLSample">
    <w:name w:val="HTML Sample"/>
    <w:basedOn w:val="DefaultParagraphFont"/>
    <w:uiPriority w:val="99"/>
    <w:unhideWhenUsed/>
    <w:locked/>
    <w:rsid w:val="00BE40E6"/>
    <w:rPr>
      <w:rFonts w:ascii="Consolas" w:eastAsia="Times New Roman" w:hAnsi="Consolas" w:cs="Times New Roman" w:hint="default"/>
      <w:sz w:val="24"/>
      <w:szCs w:val="24"/>
    </w:rPr>
  </w:style>
  <w:style w:type="character" w:styleId="HTMLTypewriter">
    <w:name w:val="HTML Typewriter"/>
    <w:basedOn w:val="DefaultParagraphFont"/>
    <w:uiPriority w:val="99"/>
    <w:unhideWhenUsed/>
    <w:locked/>
    <w:rsid w:val="00BE40E6"/>
    <w:rPr>
      <w:rFonts w:ascii="Consolas" w:eastAsia="Times New Roman" w:hAnsi="Consolas" w:cs="Times New Roman" w:hint="default"/>
      <w:sz w:val="20"/>
      <w:szCs w:val="20"/>
    </w:rPr>
  </w:style>
  <w:style w:type="paragraph" w:customStyle="1" w:styleId="msonormal0">
    <w:name w:val="msonormal"/>
    <w:basedOn w:val="Normal"/>
    <w:uiPriority w:val="99"/>
    <w:rsid w:val="00BE40E6"/>
    <w:pPr>
      <w:spacing w:before="100" w:beforeAutospacing="1" w:after="100" w:afterAutospacing="1" w:line="240" w:lineRule="auto"/>
    </w:pPr>
    <w:rPr>
      <w:rFonts w:eastAsiaTheme="minorHAnsi" w:cs="Arial"/>
      <w:szCs w:val="22"/>
      <w:lang w:val="en-US"/>
    </w:rPr>
  </w:style>
  <w:style w:type="paragraph" w:styleId="NormalWeb">
    <w:name w:val="Normal (Web)"/>
    <w:basedOn w:val="Normal"/>
    <w:uiPriority w:val="99"/>
    <w:unhideWhenUsed/>
    <w:locked/>
    <w:rsid w:val="00BE40E6"/>
    <w:pPr>
      <w:spacing w:before="100" w:beforeAutospacing="1" w:after="100" w:afterAutospacing="1" w:line="240" w:lineRule="auto"/>
    </w:pPr>
    <w:rPr>
      <w:rFonts w:eastAsiaTheme="minorHAnsi" w:cs="Arial"/>
      <w:szCs w:val="22"/>
      <w:lang w:val="en-US"/>
    </w:rPr>
  </w:style>
  <w:style w:type="paragraph" w:styleId="Index1">
    <w:name w:val="index 1"/>
    <w:basedOn w:val="Normal"/>
    <w:next w:val="Normal"/>
    <w:autoRedefine/>
    <w:uiPriority w:val="99"/>
    <w:unhideWhenUsed/>
    <w:locked/>
    <w:rsid w:val="00BE40E6"/>
    <w:pPr>
      <w:spacing w:line="240" w:lineRule="auto"/>
      <w:ind w:left="260" w:hanging="260"/>
    </w:pPr>
    <w:rPr>
      <w:sz w:val="26"/>
      <w:szCs w:val="20"/>
      <w:lang w:val="en-US" w:eastAsia="en-US"/>
    </w:rPr>
  </w:style>
  <w:style w:type="paragraph" w:styleId="Index2">
    <w:name w:val="index 2"/>
    <w:basedOn w:val="Normal"/>
    <w:next w:val="Normal"/>
    <w:autoRedefine/>
    <w:uiPriority w:val="99"/>
    <w:unhideWhenUsed/>
    <w:locked/>
    <w:rsid w:val="00BE40E6"/>
    <w:pPr>
      <w:spacing w:line="240" w:lineRule="auto"/>
      <w:ind w:left="520" w:hanging="260"/>
    </w:pPr>
    <w:rPr>
      <w:sz w:val="26"/>
      <w:szCs w:val="20"/>
      <w:lang w:val="en-US" w:eastAsia="en-US"/>
    </w:rPr>
  </w:style>
  <w:style w:type="paragraph" w:styleId="Index3">
    <w:name w:val="index 3"/>
    <w:basedOn w:val="Normal"/>
    <w:next w:val="Normal"/>
    <w:autoRedefine/>
    <w:uiPriority w:val="99"/>
    <w:unhideWhenUsed/>
    <w:locked/>
    <w:rsid w:val="00BE40E6"/>
    <w:pPr>
      <w:spacing w:line="240" w:lineRule="auto"/>
      <w:ind w:left="780" w:hanging="260"/>
    </w:pPr>
    <w:rPr>
      <w:sz w:val="26"/>
      <w:szCs w:val="20"/>
      <w:lang w:val="en-US" w:eastAsia="en-US"/>
    </w:rPr>
  </w:style>
  <w:style w:type="paragraph" w:styleId="Index4">
    <w:name w:val="index 4"/>
    <w:basedOn w:val="Normal"/>
    <w:next w:val="Normal"/>
    <w:autoRedefine/>
    <w:uiPriority w:val="99"/>
    <w:unhideWhenUsed/>
    <w:locked/>
    <w:rsid w:val="00BE40E6"/>
    <w:pPr>
      <w:spacing w:line="240" w:lineRule="auto"/>
      <w:ind w:left="1040" w:hanging="260"/>
    </w:pPr>
    <w:rPr>
      <w:sz w:val="26"/>
      <w:szCs w:val="20"/>
      <w:lang w:val="en-US" w:eastAsia="en-US"/>
    </w:rPr>
  </w:style>
  <w:style w:type="paragraph" w:styleId="Index5">
    <w:name w:val="index 5"/>
    <w:basedOn w:val="Normal"/>
    <w:next w:val="Normal"/>
    <w:autoRedefine/>
    <w:uiPriority w:val="99"/>
    <w:unhideWhenUsed/>
    <w:locked/>
    <w:rsid w:val="00BE40E6"/>
    <w:pPr>
      <w:spacing w:line="240" w:lineRule="auto"/>
      <w:ind w:left="1300" w:hanging="260"/>
    </w:pPr>
    <w:rPr>
      <w:sz w:val="26"/>
      <w:szCs w:val="20"/>
      <w:lang w:val="en-US" w:eastAsia="en-US"/>
    </w:rPr>
  </w:style>
  <w:style w:type="paragraph" w:styleId="Index6">
    <w:name w:val="index 6"/>
    <w:basedOn w:val="Normal"/>
    <w:next w:val="Normal"/>
    <w:autoRedefine/>
    <w:uiPriority w:val="99"/>
    <w:unhideWhenUsed/>
    <w:locked/>
    <w:rsid w:val="00BE40E6"/>
    <w:pPr>
      <w:spacing w:line="240" w:lineRule="auto"/>
      <w:ind w:left="1560" w:hanging="260"/>
    </w:pPr>
    <w:rPr>
      <w:sz w:val="26"/>
      <w:szCs w:val="20"/>
      <w:lang w:val="en-US" w:eastAsia="en-US"/>
    </w:rPr>
  </w:style>
  <w:style w:type="paragraph" w:styleId="Index7">
    <w:name w:val="index 7"/>
    <w:basedOn w:val="Normal"/>
    <w:next w:val="Normal"/>
    <w:autoRedefine/>
    <w:uiPriority w:val="99"/>
    <w:unhideWhenUsed/>
    <w:locked/>
    <w:rsid w:val="00BE40E6"/>
    <w:pPr>
      <w:spacing w:line="240" w:lineRule="auto"/>
      <w:ind w:left="1820" w:hanging="260"/>
    </w:pPr>
    <w:rPr>
      <w:sz w:val="26"/>
      <w:szCs w:val="20"/>
      <w:lang w:val="en-US" w:eastAsia="en-US"/>
    </w:rPr>
  </w:style>
  <w:style w:type="paragraph" w:styleId="Index8">
    <w:name w:val="index 8"/>
    <w:basedOn w:val="Normal"/>
    <w:next w:val="Normal"/>
    <w:autoRedefine/>
    <w:uiPriority w:val="99"/>
    <w:unhideWhenUsed/>
    <w:locked/>
    <w:rsid w:val="00BE40E6"/>
    <w:pPr>
      <w:spacing w:line="240" w:lineRule="auto"/>
      <w:ind w:left="2080" w:hanging="260"/>
    </w:pPr>
    <w:rPr>
      <w:sz w:val="26"/>
      <w:szCs w:val="20"/>
      <w:lang w:val="en-US" w:eastAsia="en-US"/>
    </w:rPr>
  </w:style>
  <w:style w:type="paragraph" w:styleId="Index9">
    <w:name w:val="index 9"/>
    <w:basedOn w:val="Normal"/>
    <w:next w:val="Normal"/>
    <w:autoRedefine/>
    <w:uiPriority w:val="99"/>
    <w:unhideWhenUsed/>
    <w:locked/>
    <w:rsid w:val="00BE40E6"/>
    <w:pPr>
      <w:spacing w:line="240" w:lineRule="auto"/>
      <w:ind w:left="2340" w:hanging="260"/>
    </w:pPr>
    <w:rPr>
      <w:sz w:val="26"/>
      <w:szCs w:val="20"/>
      <w:lang w:val="en-US" w:eastAsia="en-US"/>
    </w:rPr>
  </w:style>
  <w:style w:type="paragraph" w:styleId="TOC4">
    <w:name w:val="toc 4"/>
    <w:basedOn w:val="Normal"/>
    <w:next w:val="Normal"/>
    <w:autoRedefine/>
    <w:uiPriority w:val="39"/>
    <w:unhideWhenUsed/>
    <w:locked/>
    <w:rsid w:val="00BE40E6"/>
    <w:pPr>
      <w:spacing w:before="0" w:after="0"/>
      <w:ind w:left="660"/>
    </w:pPr>
    <w:rPr>
      <w:sz w:val="20"/>
      <w:szCs w:val="20"/>
    </w:rPr>
  </w:style>
  <w:style w:type="paragraph" w:styleId="TOC5">
    <w:name w:val="toc 5"/>
    <w:basedOn w:val="Normal"/>
    <w:next w:val="Normal"/>
    <w:autoRedefine/>
    <w:uiPriority w:val="39"/>
    <w:unhideWhenUsed/>
    <w:locked/>
    <w:rsid w:val="00BE40E6"/>
    <w:pPr>
      <w:spacing w:before="0" w:after="0"/>
      <w:ind w:left="880"/>
    </w:pPr>
    <w:rPr>
      <w:sz w:val="20"/>
      <w:szCs w:val="20"/>
    </w:rPr>
  </w:style>
  <w:style w:type="paragraph" w:styleId="TOC6">
    <w:name w:val="toc 6"/>
    <w:basedOn w:val="Normal"/>
    <w:next w:val="Normal"/>
    <w:autoRedefine/>
    <w:uiPriority w:val="39"/>
    <w:unhideWhenUsed/>
    <w:locked/>
    <w:rsid w:val="00BE40E6"/>
    <w:pPr>
      <w:spacing w:before="0" w:after="0"/>
      <w:ind w:left="1100"/>
    </w:pPr>
    <w:rPr>
      <w:sz w:val="20"/>
      <w:szCs w:val="20"/>
    </w:rPr>
  </w:style>
  <w:style w:type="paragraph" w:styleId="TOC7">
    <w:name w:val="toc 7"/>
    <w:basedOn w:val="Normal"/>
    <w:next w:val="Normal"/>
    <w:autoRedefine/>
    <w:uiPriority w:val="39"/>
    <w:unhideWhenUsed/>
    <w:locked/>
    <w:rsid w:val="00BE40E6"/>
    <w:pPr>
      <w:spacing w:before="0" w:after="0"/>
      <w:ind w:left="1320"/>
    </w:pPr>
    <w:rPr>
      <w:sz w:val="20"/>
      <w:szCs w:val="20"/>
    </w:rPr>
  </w:style>
  <w:style w:type="paragraph" w:styleId="TOC8">
    <w:name w:val="toc 8"/>
    <w:basedOn w:val="Normal"/>
    <w:next w:val="Normal"/>
    <w:autoRedefine/>
    <w:uiPriority w:val="39"/>
    <w:unhideWhenUsed/>
    <w:locked/>
    <w:rsid w:val="00BE40E6"/>
    <w:pPr>
      <w:spacing w:before="0" w:after="0"/>
      <w:ind w:left="1540"/>
    </w:pPr>
    <w:rPr>
      <w:sz w:val="20"/>
      <w:szCs w:val="20"/>
    </w:rPr>
  </w:style>
  <w:style w:type="paragraph" w:styleId="TOC9">
    <w:name w:val="toc 9"/>
    <w:basedOn w:val="Normal"/>
    <w:next w:val="Normal"/>
    <w:autoRedefine/>
    <w:uiPriority w:val="39"/>
    <w:unhideWhenUsed/>
    <w:locked/>
    <w:rsid w:val="00BE40E6"/>
    <w:pPr>
      <w:spacing w:before="0" w:after="0"/>
      <w:ind w:left="1760"/>
    </w:pPr>
    <w:rPr>
      <w:sz w:val="20"/>
      <w:szCs w:val="20"/>
    </w:rPr>
  </w:style>
  <w:style w:type="paragraph" w:styleId="NormalIndent">
    <w:name w:val="Normal Indent"/>
    <w:basedOn w:val="Normal"/>
    <w:uiPriority w:val="99"/>
    <w:unhideWhenUsed/>
    <w:locked/>
    <w:rsid w:val="00BE40E6"/>
    <w:pPr>
      <w:spacing w:line="240" w:lineRule="auto"/>
      <w:ind w:left="720"/>
    </w:pPr>
    <w:rPr>
      <w:sz w:val="26"/>
      <w:szCs w:val="20"/>
      <w:lang w:val="en-US" w:eastAsia="en-US"/>
    </w:rPr>
  </w:style>
  <w:style w:type="character" w:customStyle="1" w:styleId="HeaderChar1">
    <w:name w:val="Header Char1"/>
    <w:aliases w:val="Header RHS Char1"/>
    <w:basedOn w:val="DefaultParagraphFont"/>
    <w:uiPriority w:val="99"/>
    <w:semiHidden/>
    <w:rsid w:val="00BE40E6"/>
    <w:rPr>
      <w:sz w:val="24"/>
      <w:szCs w:val="24"/>
      <w:lang w:val="en-US"/>
    </w:rPr>
  </w:style>
  <w:style w:type="character" w:customStyle="1" w:styleId="FooterChar1">
    <w:name w:val="Footer Char1"/>
    <w:aliases w:val="Footer RHS Char1"/>
    <w:basedOn w:val="DefaultParagraphFont"/>
    <w:uiPriority w:val="99"/>
    <w:semiHidden/>
    <w:rsid w:val="00BE40E6"/>
    <w:rPr>
      <w:sz w:val="24"/>
      <w:szCs w:val="24"/>
      <w:lang w:val="en-US"/>
    </w:rPr>
  </w:style>
  <w:style w:type="paragraph" w:styleId="IndexHeading">
    <w:name w:val="index heading"/>
    <w:basedOn w:val="Normal"/>
    <w:next w:val="Index1"/>
    <w:uiPriority w:val="99"/>
    <w:unhideWhenUsed/>
    <w:locked/>
    <w:rsid w:val="00BE40E6"/>
    <w:pPr>
      <w:spacing w:line="240" w:lineRule="auto"/>
    </w:pPr>
    <w:rPr>
      <w:rFonts w:asciiTheme="majorHAnsi" w:eastAsiaTheme="majorEastAsia" w:hAnsiTheme="majorHAnsi" w:cstheme="majorBidi"/>
      <w:b/>
      <w:bCs/>
      <w:sz w:val="26"/>
      <w:szCs w:val="20"/>
      <w:lang w:val="en-US" w:eastAsia="en-US"/>
    </w:rPr>
  </w:style>
  <w:style w:type="paragraph" w:styleId="EnvelopeAddress">
    <w:name w:val="envelope address"/>
    <w:basedOn w:val="Normal"/>
    <w:uiPriority w:val="99"/>
    <w:unhideWhenUsed/>
    <w:locked/>
    <w:rsid w:val="00BE40E6"/>
    <w:pPr>
      <w:framePr w:w="7920" w:h="1980" w:hSpace="180" w:wrap="auto" w:hAnchor="page" w:xAlign="center" w:yAlign="bottom"/>
      <w:spacing w:line="240" w:lineRule="auto"/>
      <w:ind w:left="2880"/>
    </w:pPr>
    <w:rPr>
      <w:sz w:val="26"/>
      <w:szCs w:val="20"/>
      <w:lang w:val="en-US" w:eastAsia="en-US"/>
    </w:rPr>
  </w:style>
  <w:style w:type="paragraph" w:styleId="EnvelopeReturn">
    <w:name w:val="envelope return"/>
    <w:basedOn w:val="Normal"/>
    <w:uiPriority w:val="99"/>
    <w:unhideWhenUsed/>
    <w:locked/>
    <w:rsid w:val="00BE40E6"/>
    <w:pPr>
      <w:spacing w:line="240" w:lineRule="auto"/>
    </w:pPr>
    <w:rPr>
      <w:sz w:val="20"/>
      <w:szCs w:val="20"/>
      <w:lang w:val="en-US" w:eastAsia="en-US"/>
    </w:rPr>
  </w:style>
  <w:style w:type="paragraph" w:styleId="TableofAuthorities">
    <w:name w:val="table of authorities"/>
    <w:basedOn w:val="Normal"/>
    <w:next w:val="Normal"/>
    <w:uiPriority w:val="99"/>
    <w:unhideWhenUsed/>
    <w:locked/>
    <w:rsid w:val="00BE40E6"/>
    <w:pPr>
      <w:spacing w:line="240" w:lineRule="auto"/>
      <w:ind w:left="260" w:hanging="260"/>
    </w:pPr>
    <w:rPr>
      <w:sz w:val="26"/>
      <w:szCs w:val="20"/>
      <w:lang w:val="en-US" w:eastAsia="en-US"/>
    </w:rPr>
  </w:style>
  <w:style w:type="paragraph" w:styleId="MacroText">
    <w:name w:val="macro"/>
    <w:link w:val="MacroTextChar"/>
    <w:unhideWhenUsed/>
    <w:locked/>
    <w:rsid w:val="00BE40E6"/>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BE40E6"/>
    <w:rPr>
      <w:rFonts w:ascii="Arial" w:hAnsi="Arial"/>
      <w:lang w:val="en-US" w:eastAsia="en-US"/>
    </w:rPr>
  </w:style>
  <w:style w:type="paragraph" w:styleId="TOAHeading">
    <w:name w:val="toa heading"/>
    <w:basedOn w:val="Normal"/>
    <w:next w:val="Normal"/>
    <w:uiPriority w:val="99"/>
    <w:unhideWhenUsed/>
    <w:locked/>
    <w:rsid w:val="00BE40E6"/>
    <w:pPr>
      <w:spacing w:before="120" w:line="240" w:lineRule="auto"/>
    </w:pPr>
    <w:rPr>
      <w:rFonts w:asciiTheme="majorHAnsi" w:eastAsiaTheme="majorEastAsia" w:hAnsiTheme="majorHAnsi" w:cstheme="majorBidi"/>
      <w:b/>
      <w:bCs/>
      <w:lang w:val="en-US" w:eastAsia="en-US"/>
    </w:rPr>
  </w:style>
  <w:style w:type="paragraph" w:styleId="List">
    <w:name w:val="List"/>
    <w:basedOn w:val="Normal"/>
    <w:uiPriority w:val="99"/>
    <w:unhideWhenUsed/>
    <w:locked/>
    <w:rsid w:val="00BE40E6"/>
    <w:pPr>
      <w:spacing w:line="240" w:lineRule="auto"/>
      <w:ind w:left="360" w:hanging="360"/>
      <w:contextualSpacing/>
    </w:pPr>
    <w:rPr>
      <w:sz w:val="26"/>
      <w:szCs w:val="20"/>
      <w:lang w:val="en-US" w:eastAsia="en-US"/>
    </w:rPr>
  </w:style>
  <w:style w:type="paragraph" w:styleId="ListBullet">
    <w:name w:val="List Bullet"/>
    <w:basedOn w:val="Normal"/>
    <w:uiPriority w:val="3"/>
    <w:unhideWhenUsed/>
    <w:locked/>
    <w:rsid w:val="00BE40E6"/>
    <w:pPr>
      <w:numPr>
        <w:numId w:val="20"/>
      </w:numPr>
      <w:spacing w:line="240" w:lineRule="auto"/>
      <w:contextualSpacing/>
    </w:pPr>
    <w:rPr>
      <w:sz w:val="26"/>
      <w:szCs w:val="20"/>
      <w:lang w:val="en-US" w:eastAsia="en-US"/>
    </w:rPr>
  </w:style>
  <w:style w:type="paragraph" w:styleId="ListNumber">
    <w:name w:val="List Number"/>
    <w:basedOn w:val="Normal"/>
    <w:uiPriority w:val="10"/>
    <w:unhideWhenUsed/>
    <w:qFormat/>
    <w:locked/>
    <w:rsid w:val="00BE40E6"/>
    <w:pPr>
      <w:numPr>
        <w:numId w:val="21"/>
      </w:numPr>
      <w:spacing w:line="240" w:lineRule="auto"/>
      <w:contextualSpacing/>
    </w:pPr>
    <w:rPr>
      <w:sz w:val="26"/>
      <w:szCs w:val="20"/>
      <w:lang w:val="en-US" w:eastAsia="en-US"/>
    </w:rPr>
  </w:style>
  <w:style w:type="paragraph" w:styleId="List2">
    <w:name w:val="List 2"/>
    <w:basedOn w:val="Normal"/>
    <w:uiPriority w:val="99"/>
    <w:unhideWhenUsed/>
    <w:locked/>
    <w:rsid w:val="00BE40E6"/>
    <w:pPr>
      <w:spacing w:line="240" w:lineRule="auto"/>
      <w:ind w:left="720" w:hanging="360"/>
      <w:contextualSpacing/>
    </w:pPr>
    <w:rPr>
      <w:sz w:val="26"/>
      <w:szCs w:val="20"/>
      <w:lang w:val="en-US" w:eastAsia="en-US"/>
    </w:rPr>
  </w:style>
  <w:style w:type="paragraph" w:styleId="List3">
    <w:name w:val="List 3"/>
    <w:basedOn w:val="Normal"/>
    <w:uiPriority w:val="99"/>
    <w:unhideWhenUsed/>
    <w:locked/>
    <w:rsid w:val="00BE40E6"/>
    <w:pPr>
      <w:spacing w:line="240" w:lineRule="auto"/>
      <w:ind w:left="1080" w:hanging="360"/>
      <w:contextualSpacing/>
    </w:pPr>
    <w:rPr>
      <w:sz w:val="26"/>
      <w:szCs w:val="20"/>
      <w:lang w:val="en-US" w:eastAsia="en-US"/>
    </w:rPr>
  </w:style>
  <w:style w:type="paragraph" w:styleId="List4">
    <w:name w:val="List 4"/>
    <w:basedOn w:val="Normal"/>
    <w:uiPriority w:val="99"/>
    <w:unhideWhenUsed/>
    <w:locked/>
    <w:rsid w:val="00BE40E6"/>
    <w:pPr>
      <w:spacing w:line="240" w:lineRule="auto"/>
      <w:ind w:left="1440" w:hanging="360"/>
      <w:contextualSpacing/>
    </w:pPr>
    <w:rPr>
      <w:sz w:val="26"/>
      <w:szCs w:val="20"/>
      <w:lang w:val="en-US" w:eastAsia="en-US"/>
    </w:rPr>
  </w:style>
  <w:style w:type="paragraph" w:styleId="List5">
    <w:name w:val="List 5"/>
    <w:basedOn w:val="Normal"/>
    <w:uiPriority w:val="99"/>
    <w:unhideWhenUsed/>
    <w:locked/>
    <w:rsid w:val="00BE40E6"/>
    <w:pPr>
      <w:spacing w:line="240" w:lineRule="auto"/>
      <w:ind w:left="1800" w:hanging="360"/>
      <w:contextualSpacing/>
    </w:pPr>
    <w:rPr>
      <w:sz w:val="26"/>
      <w:szCs w:val="20"/>
      <w:lang w:val="en-US" w:eastAsia="en-US"/>
    </w:rPr>
  </w:style>
  <w:style w:type="paragraph" w:styleId="ListBullet2">
    <w:name w:val="List Bullet 2"/>
    <w:basedOn w:val="Normal"/>
    <w:uiPriority w:val="99"/>
    <w:unhideWhenUsed/>
    <w:locked/>
    <w:rsid w:val="00BE40E6"/>
    <w:pPr>
      <w:numPr>
        <w:numId w:val="22"/>
      </w:numPr>
      <w:tabs>
        <w:tab w:val="clear" w:pos="643"/>
        <w:tab w:val="num" w:pos="720"/>
      </w:tabs>
      <w:spacing w:line="240" w:lineRule="auto"/>
      <w:ind w:left="720"/>
      <w:contextualSpacing/>
    </w:pPr>
    <w:rPr>
      <w:sz w:val="26"/>
      <w:szCs w:val="20"/>
      <w:lang w:val="en-US" w:eastAsia="en-US"/>
    </w:rPr>
  </w:style>
  <w:style w:type="paragraph" w:styleId="ListBullet3">
    <w:name w:val="List Bullet 3"/>
    <w:basedOn w:val="Normal"/>
    <w:uiPriority w:val="99"/>
    <w:unhideWhenUsed/>
    <w:locked/>
    <w:rsid w:val="00BE40E6"/>
    <w:pPr>
      <w:numPr>
        <w:numId w:val="23"/>
      </w:numPr>
      <w:tabs>
        <w:tab w:val="clear" w:pos="926"/>
        <w:tab w:val="num" w:pos="1080"/>
      </w:tabs>
      <w:spacing w:line="240" w:lineRule="auto"/>
      <w:ind w:left="1080"/>
      <w:contextualSpacing/>
    </w:pPr>
    <w:rPr>
      <w:sz w:val="26"/>
      <w:szCs w:val="20"/>
      <w:lang w:val="en-US" w:eastAsia="en-US"/>
    </w:rPr>
  </w:style>
  <w:style w:type="paragraph" w:styleId="ListBullet4">
    <w:name w:val="List Bullet 4"/>
    <w:basedOn w:val="Normal"/>
    <w:uiPriority w:val="99"/>
    <w:unhideWhenUsed/>
    <w:locked/>
    <w:rsid w:val="00BE40E6"/>
    <w:pPr>
      <w:numPr>
        <w:numId w:val="24"/>
      </w:numPr>
      <w:tabs>
        <w:tab w:val="clear" w:pos="1209"/>
        <w:tab w:val="num" w:pos="1440"/>
      </w:tabs>
      <w:spacing w:line="240" w:lineRule="auto"/>
      <w:ind w:left="1440"/>
      <w:contextualSpacing/>
    </w:pPr>
    <w:rPr>
      <w:sz w:val="26"/>
      <w:szCs w:val="20"/>
      <w:lang w:val="en-US" w:eastAsia="en-US"/>
    </w:rPr>
  </w:style>
  <w:style w:type="paragraph" w:styleId="ListBullet5">
    <w:name w:val="List Bullet 5"/>
    <w:basedOn w:val="Normal"/>
    <w:uiPriority w:val="99"/>
    <w:unhideWhenUsed/>
    <w:locked/>
    <w:rsid w:val="00BE40E6"/>
    <w:pPr>
      <w:numPr>
        <w:numId w:val="25"/>
      </w:numPr>
      <w:tabs>
        <w:tab w:val="clear" w:pos="1492"/>
        <w:tab w:val="num" w:pos="1800"/>
      </w:tabs>
      <w:spacing w:line="240" w:lineRule="auto"/>
      <w:ind w:left="1800"/>
      <w:contextualSpacing/>
    </w:pPr>
    <w:rPr>
      <w:sz w:val="26"/>
      <w:szCs w:val="20"/>
      <w:lang w:val="en-US" w:eastAsia="en-US"/>
    </w:rPr>
  </w:style>
  <w:style w:type="paragraph" w:styleId="ListNumber2">
    <w:name w:val="List Number 2"/>
    <w:basedOn w:val="Normal"/>
    <w:uiPriority w:val="3"/>
    <w:unhideWhenUsed/>
    <w:locked/>
    <w:rsid w:val="00BE40E6"/>
    <w:pPr>
      <w:numPr>
        <w:numId w:val="26"/>
      </w:numPr>
      <w:tabs>
        <w:tab w:val="clear" w:pos="643"/>
        <w:tab w:val="num" w:pos="720"/>
      </w:tabs>
      <w:spacing w:line="240" w:lineRule="auto"/>
      <w:ind w:left="720"/>
      <w:contextualSpacing/>
    </w:pPr>
    <w:rPr>
      <w:sz w:val="26"/>
      <w:szCs w:val="20"/>
      <w:lang w:val="en-US" w:eastAsia="en-US"/>
    </w:rPr>
  </w:style>
  <w:style w:type="paragraph" w:styleId="ListNumber3">
    <w:name w:val="List Number 3"/>
    <w:basedOn w:val="Normal"/>
    <w:uiPriority w:val="3"/>
    <w:unhideWhenUsed/>
    <w:locked/>
    <w:rsid w:val="00BE40E6"/>
    <w:pPr>
      <w:numPr>
        <w:numId w:val="27"/>
      </w:numPr>
      <w:tabs>
        <w:tab w:val="clear" w:pos="926"/>
        <w:tab w:val="num" w:pos="1080"/>
      </w:tabs>
      <w:spacing w:line="240" w:lineRule="auto"/>
      <w:ind w:left="1080"/>
      <w:contextualSpacing/>
    </w:pPr>
    <w:rPr>
      <w:sz w:val="26"/>
      <w:szCs w:val="20"/>
      <w:lang w:val="en-US" w:eastAsia="en-US"/>
    </w:rPr>
  </w:style>
  <w:style w:type="paragraph" w:styleId="ListNumber4">
    <w:name w:val="List Number 4"/>
    <w:basedOn w:val="Normal"/>
    <w:uiPriority w:val="3"/>
    <w:unhideWhenUsed/>
    <w:locked/>
    <w:rsid w:val="00BE40E6"/>
    <w:pPr>
      <w:numPr>
        <w:numId w:val="28"/>
      </w:numPr>
      <w:tabs>
        <w:tab w:val="clear" w:pos="1209"/>
        <w:tab w:val="num" w:pos="1440"/>
      </w:tabs>
      <w:spacing w:line="240" w:lineRule="auto"/>
      <w:ind w:left="1440"/>
      <w:contextualSpacing/>
    </w:pPr>
    <w:rPr>
      <w:sz w:val="26"/>
      <w:szCs w:val="20"/>
      <w:lang w:val="en-US" w:eastAsia="en-US"/>
    </w:rPr>
  </w:style>
  <w:style w:type="paragraph" w:styleId="ListNumber5">
    <w:name w:val="List Number 5"/>
    <w:basedOn w:val="Normal"/>
    <w:uiPriority w:val="3"/>
    <w:unhideWhenUsed/>
    <w:locked/>
    <w:rsid w:val="00BE40E6"/>
    <w:pPr>
      <w:numPr>
        <w:numId w:val="29"/>
      </w:numPr>
      <w:tabs>
        <w:tab w:val="clear" w:pos="1492"/>
        <w:tab w:val="num" w:pos="1800"/>
      </w:tabs>
      <w:spacing w:line="240" w:lineRule="auto"/>
      <w:ind w:left="1800"/>
      <w:contextualSpacing/>
    </w:pPr>
    <w:rPr>
      <w:sz w:val="26"/>
      <w:szCs w:val="20"/>
      <w:lang w:val="en-US" w:eastAsia="en-US"/>
    </w:rPr>
  </w:style>
  <w:style w:type="paragraph" w:styleId="Title">
    <w:name w:val="Title"/>
    <w:basedOn w:val="Normal"/>
    <w:next w:val="Normal"/>
    <w:link w:val="TitleChar"/>
    <w:uiPriority w:val="99"/>
    <w:qFormat/>
    <w:locked/>
    <w:rsid w:val="00553C63"/>
    <w:pPr>
      <w:pBdr>
        <w:bottom w:val="double" w:sz="4" w:space="4" w:color="984806" w:themeColor="accent6" w:themeShade="80"/>
      </w:pBdr>
      <w:spacing w:before="120" w:after="300" w:line="240" w:lineRule="auto"/>
      <w:contextualSpacing/>
      <w:jc w:val="center"/>
    </w:pPr>
    <w:rPr>
      <w:rFonts w:eastAsiaTheme="majorEastAsia" w:cstheme="majorBidi"/>
      <w:b/>
      <w:kern w:val="28"/>
      <w:sz w:val="72"/>
      <w:szCs w:val="52"/>
      <w:lang w:val="en-US"/>
    </w:rPr>
  </w:style>
  <w:style w:type="character" w:customStyle="1" w:styleId="TitleChar">
    <w:name w:val="Title Char"/>
    <w:basedOn w:val="DefaultParagraphFont"/>
    <w:link w:val="Title"/>
    <w:uiPriority w:val="99"/>
    <w:rsid w:val="00553C63"/>
    <w:rPr>
      <w:rFonts w:asciiTheme="minorHAnsi" w:eastAsiaTheme="majorEastAsia" w:hAnsiTheme="minorHAnsi" w:cstheme="majorBidi"/>
      <w:b/>
      <w:kern w:val="28"/>
      <w:sz w:val="72"/>
      <w:szCs w:val="52"/>
      <w:lang w:val="en-US"/>
    </w:rPr>
  </w:style>
  <w:style w:type="paragraph" w:styleId="Closing">
    <w:name w:val="Closing"/>
    <w:basedOn w:val="Normal"/>
    <w:link w:val="ClosingChar"/>
    <w:uiPriority w:val="99"/>
    <w:unhideWhenUsed/>
    <w:locked/>
    <w:rsid w:val="00BE40E6"/>
    <w:pPr>
      <w:spacing w:line="240" w:lineRule="auto"/>
      <w:ind w:left="4320"/>
    </w:pPr>
    <w:rPr>
      <w:sz w:val="26"/>
      <w:szCs w:val="20"/>
      <w:lang w:val="en-US" w:eastAsia="en-US"/>
    </w:rPr>
  </w:style>
  <w:style w:type="character" w:customStyle="1" w:styleId="ClosingChar">
    <w:name w:val="Closing Char"/>
    <w:basedOn w:val="DefaultParagraphFont"/>
    <w:link w:val="Closing"/>
    <w:uiPriority w:val="99"/>
    <w:rsid w:val="00BE40E6"/>
    <w:rPr>
      <w:rFonts w:asciiTheme="minorHAnsi" w:hAnsiTheme="minorHAnsi"/>
      <w:sz w:val="26"/>
      <w:lang w:val="en-US" w:eastAsia="en-US"/>
    </w:rPr>
  </w:style>
  <w:style w:type="paragraph" w:styleId="Signature">
    <w:name w:val="Signature"/>
    <w:basedOn w:val="Normal"/>
    <w:link w:val="SignatureChar"/>
    <w:uiPriority w:val="99"/>
    <w:unhideWhenUsed/>
    <w:locked/>
    <w:rsid w:val="00BE40E6"/>
    <w:pPr>
      <w:spacing w:line="240" w:lineRule="auto"/>
      <w:ind w:left="4320"/>
    </w:pPr>
    <w:rPr>
      <w:sz w:val="26"/>
      <w:szCs w:val="20"/>
      <w:lang w:val="en-US" w:eastAsia="en-US"/>
    </w:rPr>
  </w:style>
  <w:style w:type="character" w:customStyle="1" w:styleId="SignatureChar">
    <w:name w:val="Signature Char"/>
    <w:basedOn w:val="DefaultParagraphFont"/>
    <w:link w:val="Signature"/>
    <w:uiPriority w:val="99"/>
    <w:rsid w:val="00BE40E6"/>
    <w:rPr>
      <w:rFonts w:asciiTheme="minorHAnsi" w:hAnsiTheme="minorHAnsi"/>
      <w:sz w:val="26"/>
      <w:lang w:val="en-US" w:eastAsia="en-US"/>
    </w:rPr>
  </w:style>
  <w:style w:type="paragraph" w:styleId="BodyText">
    <w:name w:val="Body Text"/>
    <w:basedOn w:val="Normal"/>
    <w:link w:val="BodyTextChar"/>
    <w:uiPriority w:val="24"/>
    <w:unhideWhenUsed/>
    <w:qFormat/>
    <w:locked/>
    <w:rsid w:val="00BE40E6"/>
    <w:pPr>
      <w:spacing w:before="120" w:line="240" w:lineRule="auto"/>
    </w:pPr>
    <w:rPr>
      <w:rFonts w:eastAsiaTheme="minorHAnsi" w:cs="Arial"/>
      <w:szCs w:val="20"/>
      <w:lang w:val="en-US"/>
    </w:rPr>
  </w:style>
  <w:style w:type="character" w:customStyle="1" w:styleId="BodyTextChar">
    <w:name w:val="Body Text Char"/>
    <w:basedOn w:val="DefaultParagraphFont"/>
    <w:link w:val="BodyText"/>
    <w:uiPriority w:val="24"/>
    <w:rsid w:val="00BE40E6"/>
    <w:rPr>
      <w:rFonts w:asciiTheme="minorHAnsi" w:eastAsiaTheme="minorHAnsi" w:hAnsiTheme="minorHAnsi" w:cs="Arial"/>
      <w:sz w:val="22"/>
      <w:lang w:val="en-US"/>
    </w:rPr>
  </w:style>
  <w:style w:type="paragraph" w:styleId="BodyTextIndent">
    <w:name w:val="Body Text Indent"/>
    <w:basedOn w:val="Normal"/>
    <w:link w:val="BodyTextIndentChar"/>
    <w:uiPriority w:val="99"/>
    <w:unhideWhenUsed/>
    <w:locked/>
    <w:rsid w:val="00BE40E6"/>
    <w:pPr>
      <w:spacing w:before="120" w:line="240" w:lineRule="auto"/>
      <w:ind w:left="283"/>
    </w:pPr>
    <w:rPr>
      <w:rFonts w:eastAsiaTheme="minorHAnsi" w:cs="Arial"/>
      <w:szCs w:val="20"/>
      <w:lang w:val="en-US"/>
    </w:rPr>
  </w:style>
  <w:style w:type="character" w:customStyle="1" w:styleId="BodyTextIndentChar">
    <w:name w:val="Body Text Indent Char"/>
    <w:basedOn w:val="DefaultParagraphFont"/>
    <w:link w:val="BodyTextIndent"/>
    <w:uiPriority w:val="99"/>
    <w:rsid w:val="00BE40E6"/>
    <w:rPr>
      <w:rFonts w:asciiTheme="minorHAnsi" w:eastAsiaTheme="minorHAnsi" w:hAnsiTheme="minorHAnsi" w:cs="Arial"/>
      <w:sz w:val="22"/>
      <w:lang w:val="en-US"/>
    </w:rPr>
  </w:style>
  <w:style w:type="paragraph" w:styleId="ListContinue2">
    <w:name w:val="List Continue 2"/>
    <w:basedOn w:val="Normal"/>
    <w:uiPriority w:val="99"/>
    <w:unhideWhenUsed/>
    <w:locked/>
    <w:rsid w:val="00BE40E6"/>
    <w:pPr>
      <w:spacing w:line="240" w:lineRule="auto"/>
      <w:ind w:left="720"/>
      <w:contextualSpacing/>
    </w:pPr>
    <w:rPr>
      <w:sz w:val="26"/>
      <w:szCs w:val="20"/>
      <w:lang w:val="en-US" w:eastAsia="en-US"/>
    </w:rPr>
  </w:style>
  <w:style w:type="paragraph" w:styleId="ListContinue3">
    <w:name w:val="List Continue 3"/>
    <w:basedOn w:val="Normal"/>
    <w:uiPriority w:val="99"/>
    <w:unhideWhenUsed/>
    <w:locked/>
    <w:rsid w:val="00BE40E6"/>
    <w:pPr>
      <w:spacing w:line="240" w:lineRule="auto"/>
      <w:ind w:left="1080"/>
      <w:contextualSpacing/>
    </w:pPr>
    <w:rPr>
      <w:sz w:val="26"/>
      <w:szCs w:val="20"/>
      <w:lang w:val="en-US" w:eastAsia="en-US"/>
    </w:rPr>
  </w:style>
  <w:style w:type="paragraph" w:styleId="ListContinue4">
    <w:name w:val="List Continue 4"/>
    <w:basedOn w:val="Normal"/>
    <w:uiPriority w:val="99"/>
    <w:unhideWhenUsed/>
    <w:locked/>
    <w:rsid w:val="00BE40E6"/>
    <w:pPr>
      <w:spacing w:line="240" w:lineRule="auto"/>
      <w:ind w:left="1440"/>
      <w:contextualSpacing/>
    </w:pPr>
    <w:rPr>
      <w:sz w:val="26"/>
      <w:szCs w:val="20"/>
      <w:lang w:val="en-US" w:eastAsia="en-US"/>
    </w:rPr>
  </w:style>
  <w:style w:type="paragraph" w:styleId="ListContinue5">
    <w:name w:val="List Continue 5"/>
    <w:basedOn w:val="Normal"/>
    <w:uiPriority w:val="99"/>
    <w:unhideWhenUsed/>
    <w:locked/>
    <w:rsid w:val="00BE40E6"/>
    <w:pPr>
      <w:spacing w:line="240" w:lineRule="auto"/>
      <w:ind w:left="1800"/>
      <w:contextualSpacing/>
    </w:pPr>
    <w:rPr>
      <w:sz w:val="26"/>
      <w:szCs w:val="20"/>
      <w:lang w:val="en-US" w:eastAsia="en-US"/>
    </w:rPr>
  </w:style>
  <w:style w:type="paragraph" w:styleId="MessageHeader">
    <w:name w:val="Message Header"/>
    <w:basedOn w:val="Normal"/>
    <w:link w:val="MessageHeaderChar"/>
    <w:uiPriority w:val="99"/>
    <w:unhideWhenUsed/>
    <w:locked/>
    <w:rsid w:val="00BE40E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cs="Arial"/>
      <w:lang w:val="en-US" w:eastAsia="en-US"/>
    </w:rPr>
  </w:style>
  <w:style w:type="character" w:customStyle="1" w:styleId="MessageHeaderChar">
    <w:name w:val="Message Header Char"/>
    <w:basedOn w:val="DefaultParagraphFont"/>
    <w:link w:val="MessageHeader"/>
    <w:uiPriority w:val="99"/>
    <w:rsid w:val="00BE40E6"/>
    <w:rPr>
      <w:rFonts w:ascii="Arial" w:hAnsi="Arial" w:cs="Arial"/>
      <w:sz w:val="22"/>
      <w:szCs w:val="24"/>
      <w:shd w:val="pct20" w:color="auto" w:fill="auto"/>
      <w:lang w:val="en-US" w:eastAsia="en-US"/>
    </w:rPr>
  </w:style>
  <w:style w:type="paragraph" w:styleId="Subtitle">
    <w:name w:val="Subtitle"/>
    <w:basedOn w:val="Normal"/>
    <w:next w:val="Normal"/>
    <w:link w:val="SubtitleChar"/>
    <w:uiPriority w:val="99"/>
    <w:qFormat/>
    <w:locked/>
    <w:rsid w:val="00553C63"/>
    <w:pPr>
      <w:pBdr>
        <w:top w:val="double" w:sz="4" w:space="6" w:color="B66113"/>
        <w:bottom w:val="double" w:sz="4" w:space="6" w:color="B66113"/>
      </w:pBdr>
      <w:spacing w:before="360" w:after="360" w:line="240" w:lineRule="auto"/>
      <w:ind w:right="-187"/>
      <w:jc w:val="center"/>
    </w:pPr>
    <w:rPr>
      <w:rFonts w:eastAsiaTheme="majorEastAsia" w:cstheme="majorBidi"/>
      <w:b/>
      <w:iCs/>
      <w:color w:val="01653F"/>
      <w:spacing w:val="15"/>
      <w:sz w:val="48"/>
      <w:szCs w:val="20"/>
      <w:lang w:val="en-GB"/>
    </w:rPr>
  </w:style>
  <w:style w:type="character" w:customStyle="1" w:styleId="SubtitleChar">
    <w:name w:val="Subtitle Char"/>
    <w:basedOn w:val="DefaultParagraphFont"/>
    <w:link w:val="Subtitle"/>
    <w:uiPriority w:val="99"/>
    <w:rsid w:val="00553C63"/>
    <w:rPr>
      <w:rFonts w:asciiTheme="minorHAnsi" w:eastAsiaTheme="majorEastAsia" w:hAnsiTheme="minorHAnsi" w:cstheme="majorBidi"/>
      <w:b/>
      <w:iCs/>
      <w:color w:val="01653F"/>
      <w:spacing w:val="15"/>
      <w:sz w:val="48"/>
      <w:lang w:val="en-GB"/>
    </w:rPr>
  </w:style>
  <w:style w:type="paragraph" w:styleId="Salutation">
    <w:name w:val="Salutation"/>
    <w:basedOn w:val="Normal"/>
    <w:next w:val="Normal"/>
    <w:link w:val="SalutationChar"/>
    <w:uiPriority w:val="99"/>
    <w:unhideWhenUsed/>
    <w:locked/>
    <w:rsid w:val="00BE40E6"/>
    <w:pPr>
      <w:spacing w:line="240" w:lineRule="auto"/>
    </w:pPr>
    <w:rPr>
      <w:sz w:val="26"/>
      <w:szCs w:val="20"/>
      <w:lang w:val="en-US" w:eastAsia="en-US"/>
    </w:rPr>
  </w:style>
  <w:style w:type="character" w:customStyle="1" w:styleId="SalutationChar">
    <w:name w:val="Salutation Char"/>
    <w:basedOn w:val="DefaultParagraphFont"/>
    <w:link w:val="Salutation"/>
    <w:uiPriority w:val="99"/>
    <w:rsid w:val="00BE40E6"/>
    <w:rPr>
      <w:rFonts w:asciiTheme="minorHAnsi" w:hAnsiTheme="minorHAnsi"/>
      <w:sz w:val="26"/>
      <w:lang w:val="en-US" w:eastAsia="en-US"/>
    </w:rPr>
  </w:style>
  <w:style w:type="paragraph" w:styleId="Date">
    <w:name w:val="Date"/>
    <w:basedOn w:val="Normal"/>
    <w:next w:val="Normal"/>
    <w:link w:val="DateChar"/>
    <w:uiPriority w:val="99"/>
    <w:unhideWhenUsed/>
    <w:locked/>
    <w:rsid w:val="00BE40E6"/>
    <w:pPr>
      <w:spacing w:line="240" w:lineRule="auto"/>
    </w:pPr>
    <w:rPr>
      <w:sz w:val="26"/>
      <w:szCs w:val="20"/>
      <w:lang w:val="en-US" w:eastAsia="en-US"/>
    </w:rPr>
  </w:style>
  <w:style w:type="character" w:customStyle="1" w:styleId="DateChar">
    <w:name w:val="Date Char"/>
    <w:basedOn w:val="DefaultParagraphFont"/>
    <w:link w:val="Date"/>
    <w:uiPriority w:val="99"/>
    <w:rsid w:val="00BE40E6"/>
    <w:rPr>
      <w:rFonts w:asciiTheme="minorHAnsi" w:hAnsiTheme="minorHAnsi"/>
      <w:sz w:val="26"/>
      <w:lang w:val="en-US" w:eastAsia="en-US"/>
    </w:rPr>
  </w:style>
  <w:style w:type="paragraph" w:styleId="BodyTextFirstIndent">
    <w:name w:val="Body Text First Indent"/>
    <w:basedOn w:val="BodyText"/>
    <w:link w:val="BodyTextFirstIndentChar"/>
    <w:uiPriority w:val="99"/>
    <w:unhideWhenUsed/>
    <w:locked/>
    <w:rsid w:val="00BE40E6"/>
    <w:pPr>
      <w:spacing w:before="180" w:after="180"/>
      <w:ind w:firstLine="360"/>
    </w:pPr>
    <w:rPr>
      <w:rFonts w:eastAsia="Times New Roman" w:cs="Times New Roman"/>
      <w:sz w:val="26"/>
    </w:rPr>
  </w:style>
  <w:style w:type="character" w:customStyle="1" w:styleId="BodyTextFirstIndentChar">
    <w:name w:val="Body Text First Indent Char"/>
    <w:basedOn w:val="BodyTextChar"/>
    <w:link w:val="BodyTextFirstIndent"/>
    <w:uiPriority w:val="99"/>
    <w:rsid w:val="00BE40E6"/>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locked/>
    <w:rsid w:val="00BE40E6"/>
    <w:pPr>
      <w:spacing w:before="180" w:after="180"/>
      <w:ind w:left="360" w:firstLine="360"/>
    </w:pPr>
    <w:rPr>
      <w:rFonts w:eastAsia="Times New Roman" w:cs="Times New Roman"/>
      <w:sz w:val="26"/>
    </w:rPr>
  </w:style>
  <w:style w:type="character" w:customStyle="1" w:styleId="BodyTextFirstIndent2Char">
    <w:name w:val="Body Text First Indent 2 Char"/>
    <w:basedOn w:val="BodyTextIndentChar"/>
    <w:link w:val="BodyTextFirstIndent2"/>
    <w:uiPriority w:val="99"/>
    <w:rsid w:val="00BE40E6"/>
    <w:rPr>
      <w:rFonts w:asciiTheme="minorHAnsi" w:eastAsiaTheme="minorHAnsi" w:hAnsiTheme="minorHAnsi" w:cs="Arial"/>
      <w:sz w:val="26"/>
      <w:lang w:val="en-US"/>
    </w:rPr>
  </w:style>
  <w:style w:type="paragraph" w:styleId="NoteHeading">
    <w:name w:val="Note Heading"/>
    <w:basedOn w:val="Normal"/>
    <w:next w:val="Normal"/>
    <w:link w:val="NoteHeadingChar"/>
    <w:uiPriority w:val="99"/>
    <w:unhideWhenUsed/>
    <w:locked/>
    <w:rsid w:val="00BE40E6"/>
    <w:pPr>
      <w:spacing w:line="240" w:lineRule="auto"/>
    </w:pPr>
    <w:rPr>
      <w:sz w:val="26"/>
      <w:szCs w:val="20"/>
      <w:lang w:val="en-US" w:eastAsia="en-US"/>
    </w:rPr>
  </w:style>
  <w:style w:type="character" w:customStyle="1" w:styleId="NoteHeadingChar">
    <w:name w:val="Note Heading Char"/>
    <w:basedOn w:val="DefaultParagraphFont"/>
    <w:link w:val="NoteHeading"/>
    <w:uiPriority w:val="99"/>
    <w:rsid w:val="00BE40E6"/>
    <w:rPr>
      <w:rFonts w:asciiTheme="minorHAnsi" w:hAnsiTheme="minorHAnsi"/>
      <w:sz w:val="26"/>
      <w:lang w:val="en-US" w:eastAsia="en-US"/>
    </w:rPr>
  </w:style>
  <w:style w:type="paragraph" w:styleId="BodyText2">
    <w:name w:val="Body Text 2"/>
    <w:basedOn w:val="Normal"/>
    <w:link w:val="BodyText2Char"/>
    <w:uiPriority w:val="99"/>
    <w:unhideWhenUsed/>
    <w:locked/>
    <w:rsid w:val="00BE40E6"/>
    <w:pPr>
      <w:spacing w:line="480" w:lineRule="auto"/>
    </w:pPr>
    <w:rPr>
      <w:sz w:val="26"/>
      <w:szCs w:val="20"/>
      <w:lang w:val="en-US" w:eastAsia="en-US"/>
    </w:rPr>
  </w:style>
  <w:style w:type="character" w:customStyle="1" w:styleId="BodyText2Char">
    <w:name w:val="Body Text 2 Char"/>
    <w:basedOn w:val="DefaultParagraphFont"/>
    <w:link w:val="BodyText2"/>
    <w:uiPriority w:val="99"/>
    <w:rsid w:val="00BE40E6"/>
    <w:rPr>
      <w:rFonts w:asciiTheme="minorHAnsi" w:hAnsiTheme="minorHAnsi"/>
      <w:sz w:val="26"/>
      <w:lang w:val="en-US" w:eastAsia="en-US"/>
    </w:rPr>
  </w:style>
  <w:style w:type="paragraph" w:styleId="BodyText3">
    <w:name w:val="Body Text 3"/>
    <w:basedOn w:val="Normal"/>
    <w:link w:val="BodyText3Char"/>
    <w:uiPriority w:val="99"/>
    <w:unhideWhenUsed/>
    <w:locked/>
    <w:rsid w:val="00BE40E6"/>
    <w:pPr>
      <w:spacing w:before="120" w:line="240" w:lineRule="auto"/>
    </w:pPr>
    <w:rPr>
      <w:rFonts w:eastAsiaTheme="minorHAnsi" w:cs="Arial"/>
      <w:sz w:val="16"/>
      <w:szCs w:val="16"/>
      <w:lang w:val="en-US"/>
    </w:rPr>
  </w:style>
  <w:style w:type="character" w:customStyle="1" w:styleId="BodyText3Char">
    <w:name w:val="Body Text 3 Char"/>
    <w:basedOn w:val="DefaultParagraphFont"/>
    <w:link w:val="BodyText3"/>
    <w:uiPriority w:val="99"/>
    <w:rsid w:val="00BE40E6"/>
    <w:rPr>
      <w:rFonts w:asciiTheme="minorHAnsi" w:eastAsiaTheme="minorHAnsi" w:hAnsiTheme="minorHAnsi" w:cs="Arial"/>
      <w:sz w:val="16"/>
      <w:szCs w:val="16"/>
      <w:lang w:val="en-US"/>
    </w:rPr>
  </w:style>
  <w:style w:type="paragraph" w:styleId="BodyTextIndent2">
    <w:name w:val="Body Text Indent 2"/>
    <w:basedOn w:val="Normal"/>
    <w:link w:val="BodyTextIndent2Char"/>
    <w:uiPriority w:val="99"/>
    <w:unhideWhenUsed/>
    <w:locked/>
    <w:rsid w:val="00BE40E6"/>
    <w:pPr>
      <w:spacing w:before="120" w:line="480" w:lineRule="auto"/>
      <w:ind w:left="283"/>
    </w:pPr>
    <w:rPr>
      <w:rFonts w:eastAsiaTheme="minorHAnsi" w:cs="Arial"/>
      <w:szCs w:val="22"/>
      <w:lang w:val="en-US" w:eastAsia="en-US"/>
    </w:rPr>
  </w:style>
  <w:style w:type="character" w:customStyle="1" w:styleId="BodyTextIndent2Char">
    <w:name w:val="Body Text Indent 2 Char"/>
    <w:basedOn w:val="DefaultParagraphFont"/>
    <w:link w:val="BodyTextIndent2"/>
    <w:uiPriority w:val="99"/>
    <w:rsid w:val="00BE40E6"/>
    <w:rPr>
      <w:rFonts w:asciiTheme="minorHAnsi" w:eastAsiaTheme="minorHAnsi" w:hAnsiTheme="minorHAnsi" w:cs="Arial"/>
      <w:sz w:val="22"/>
      <w:szCs w:val="22"/>
      <w:lang w:val="en-US" w:eastAsia="en-US"/>
    </w:rPr>
  </w:style>
  <w:style w:type="paragraph" w:styleId="BodyTextIndent3">
    <w:name w:val="Body Text Indent 3"/>
    <w:basedOn w:val="Normal"/>
    <w:link w:val="BodyTextIndent3Char"/>
    <w:uiPriority w:val="99"/>
    <w:unhideWhenUsed/>
    <w:locked/>
    <w:rsid w:val="00BE40E6"/>
    <w:pPr>
      <w:spacing w:line="240" w:lineRule="auto"/>
      <w:ind w:left="360"/>
    </w:pPr>
    <w:rPr>
      <w:sz w:val="16"/>
      <w:szCs w:val="16"/>
      <w:lang w:val="en-US" w:eastAsia="en-US"/>
    </w:rPr>
  </w:style>
  <w:style w:type="character" w:customStyle="1" w:styleId="BodyTextIndent3Char">
    <w:name w:val="Body Text Indent 3 Char"/>
    <w:basedOn w:val="DefaultParagraphFont"/>
    <w:link w:val="BodyTextIndent3"/>
    <w:uiPriority w:val="99"/>
    <w:rsid w:val="00BE40E6"/>
    <w:rPr>
      <w:rFonts w:asciiTheme="minorHAnsi" w:hAnsiTheme="minorHAnsi"/>
      <w:sz w:val="16"/>
      <w:szCs w:val="16"/>
      <w:lang w:val="en-US" w:eastAsia="en-US"/>
    </w:rPr>
  </w:style>
  <w:style w:type="paragraph" w:styleId="BlockText">
    <w:name w:val="Block Text"/>
    <w:basedOn w:val="Normal"/>
    <w:uiPriority w:val="99"/>
    <w:unhideWhenUsed/>
    <w:locked/>
    <w:rsid w:val="00BE40E6"/>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uto"/>
      <w:ind w:left="1152" w:right="1152"/>
    </w:pPr>
    <w:rPr>
      <w:rFonts w:eastAsiaTheme="minorEastAsia" w:cstheme="minorBidi"/>
      <w:i/>
      <w:iCs/>
      <w:color w:val="4F81BD" w:themeColor="accent1"/>
      <w:sz w:val="26"/>
      <w:szCs w:val="20"/>
      <w:lang w:val="en-US" w:eastAsia="en-US"/>
    </w:rPr>
  </w:style>
  <w:style w:type="paragraph" w:styleId="PlainText">
    <w:name w:val="Plain Text"/>
    <w:basedOn w:val="Normal"/>
    <w:link w:val="PlainTextChar"/>
    <w:uiPriority w:val="99"/>
    <w:unhideWhenUsed/>
    <w:locked/>
    <w:rsid w:val="00BE40E6"/>
    <w:pPr>
      <w:spacing w:line="240" w:lineRule="auto"/>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BE40E6"/>
    <w:rPr>
      <w:rFonts w:ascii="Consolas" w:hAnsi="Consolas"/>
      <w:sz w:val="21"/>
      <w:szCs w:val="21"/>
      <w:lang w:val="en-US" w:eastAsia="en-US"/>
    </w:rPr>
  </w:style>
  <w:style w:type="paragraph" w:styleId="E-mailSignature">
    <w:name w:val="E-mail Signature"/>
    <w:basedOn w:val="Normal"/>
    <w:link w:val="E-mailSignatureChar"/>
    <w:uiPriority w:val="99"/>
    <w:unhideWhenUsed/>
    <w:locked/>
    <w:rsid w:val="00BE40E6"/>
    <w:pPr>
      <w:spacing w:line="240" w:lineRule="auto"/>
    </w:pPr>
    <w:rPr>
      <w:sz w:val="26"/>
      <w:szCs w:val="20"/>
      <w:lang w:val="en-US" w:eastAsia="en-US"/>
    </w:rPr>
  </w:style>
  <w:style w:type="character" w:customStyle="1" w:styleId="E-mailSignatureChar">
    <w:name w:val="E-mail Signature Char"/>
    <w:basedOn w:val="DefaultParagraphFont"/>
    <w:link w:val="E-mailSignature"/>
    <w:uiPriority w:val="99"/>
    <w:rsid w:val="00BE40E6"/>
    <w:rPr>
      <w:rFonts w:asciiTheme="minorHAnsi" w:hAnsiTheme="minorHAnsi"/>
      <w:sz w:val="26"/>
      <w:lang w:val="en-US" w:eastAsia="en-US"/>
    </w:rPr>
  </w:style>
  <w:style w:type="paragraph" w:styleId="NoSpacing">
    <w:name w:val="No Spacing"/>
    <w:uiPriority w:val="20"/>
    <w:qFormat/>
    <w:locked/>
    <w:rsid w:val="00BE40E6"/>
    <w:rPr>
      <w:sz w:val="24"/>
      <w:szCs w:val="24"/>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BE40E6"/>
    <w:rPr>
      <w:rFonts w:asciiTheme="minorHAnsi" w:hAnsiTheme="minorHAnsi"/>
      <w:sz w:val="22"/>
      <w:szCs w:val="24"/>
    </w:rPr>
  </w:style>
  <w:style w:type="paragraph" w:styleId="Quote">
    <w:name w:val="Quote"/>
    <w:basedOn w:val="Normal"/>
    <w:next w:val="Normal"/>
    <w:link w:val="QuoteChar"/>
    <w:uiPriority w:val="19"/>
    <w:qFormat/>
    <w:locked/>
    <w:rsid w:val="00BE40E6"/>
    <w:pPr>
      <w:spacing w:before="120" w:line="240" w:lineRule="auto"/>
    </w:pPr>
    <w:rPr>
      <w:rFonts w:eastAsiaTheme="minorHAnsi" w:cs="Arial"/>
      <w:i/>
      <w:iCs/>
      <w:color w:val="000000" w:themeColor="text1"/>
      <w:szCs w:val="20"/>
      <w:lang w:val="en-US"/>
    </w:rPr>
  </w:style>
  <w:style w:type="character" w:customStyle="1" w:styleId="QuoteChar">
    <w:name w:val="Quote Char"/>
    <w:basedOn w:val="DefaultParagraphFont"/>
    <w:link w:val="Quote"/>
    <w:uiPriority w:val="19"/>
    <w:rsid w:val="00BE40E6"/>
    <w:rPr>
      <w:rFonts w:asciiTheme="minorHAnsi" w:eastAsiaTheme="minorHAnsi" w:hAnsiTheme="minorHAnsi" w:cs="Arial"/>
      <w:i/>
      <w:iCs/>
      <w:color w:val="000000" w:themeColor="text1"/>
      <w:sz w:val="22"/>
      <w:lang w:val="en-US"/>
    </w:rPr>
  </w:style>
  <w:style w:type="paragraph" w:styleId="IntenseQuote">
    <w:name w:val="Intense Quote"/>
    <w:basedOn w:val="Normal"/>
    <w:next w:val="Normal"/>
    <w:link w:val="IntenseQuoteChar"/>
    <w:uiPriority w:val="30"/>
    <w:qFormat/>
    <w:locked/>
    <w:rsid w:val="00BE40E6"/>
    <w:pPr>
      <w:pBdr>
        <w:bottom w:val="single" w:sz="4" w:space="4" w:color="4F81BD" w:themeColor="accent1"/>
      </w:pBdr>
      <w:spacing w:before="120" w:after="280" w:line="240" w:lineRule="auto"/>
      <w:ind w:left="936" w:right="936"/>
    </w:pPr>
    <w:rPr>
      <w:rFonts w:eastAsiaTheme="minorHAnsi" w:cs="Arial"/>
      <w:b/>
      <w:bCs/>
      <w:i/>
      <w:iCs/>
      <w:color w:val="4F81BD" w:themeColor="accent1"/>
      <w:szCs w:val="20"/>
      <w:lang w:val="en-US"/>
    </w:rPr>
  </w:style>
  <w:style w:type="character" w:customStyle="1" w:styleId="IntenseQuoteChar">
    <w:name w:val="Intense Quote Char"/>
    <w:basedOn w:val="DefaultParagraphFont"/>
    <w:link w:val="IntenseQuote"/>
    <w:uiPriority w:val="30"/>
    <w:rsid w:val="00BE40E6"/>
    <w:rPr>
      <w:rFonts w:asciiTheme="minorHAnsi" w:eastAsiaTheme="minorHAnsi" w:hAnsiTheme="minorHAnsi" w:cs="Arial"/>
      <w:b/>
      <w:bCs/>
      <w:i/>
      <w:iCs/>
      <w:color w:val="4F81BD" w:themeColor="accent1"/>
      <w:sz w:val="22"/>
      <w:lang w:val="en-US"/>
    </w:rPr>
  </w:style>
  <w:style w:type="paragraph" w:customStyle="1" w:styleId="Default">
    <w:name w:val="Default"/>
    <w:uiPriority w:val="74"/>
    <w:rsid w:val="00BE40E6"/>
    <w:pPr>
      <w:autoSpaceDE w:val="0"/>
      <w:autoSpaceDN w:val="0"/>
      <w:adjustRightInd w:val="0"/>
    </w:pPr>
    <w:rPr>
      <w:rFonts w:ascii="Calibri" w:hAnsi="Calibri" w:cs="Calibri"/>
      <w:color w:val="000000"/>
      <w:sz w:val="24"/>
      <w:szCs w:val="24"/>
    </w:rPr>
  </w:style>
  <w:style w:type="paragraph" w:customStyle="1" w:styleId="departmentalnormal">
    <w:name w:val="departmentalnormal"/>
    <w:basedOn w:val="Normal"/>
    <w:uiPriority w:val="74"/>
    <w:rsid w:val="00BE40E6"/>
    <w:pPr>
      <w:spacing w:before="100" w:beforeAutospacing="1" w:after="100" w:afterAutospacing="1" w:line="240" w:lineRule="auto"/>
    </w:pPr>
    <w:rPr>
      <w:rFonts w:eastAsiaTheme="minorHAnsi" w:cs="Arial"/>
      <w:szCs w:val="22"/>
      <w:lang w:val="en-US"/>
    </w:rPr>
  </w:style>
  <w:style w:type="paragraph" w:customStyle="1" w:styleId="DepartmentalNormal0">
    <w:name w:val="Departmental Normal"/>
    <w:basedOn w:val="Normal"/>
    <w:uiPriority w:val="74"/>
    <w:rsid w:val="00BE40E6"/>
    <w:pPr>
      <w:spacing w:before="120" w:line="240" w:lineRule="auto"/>
    </w:pPr>
    <w:rPr>
      <w:rFonts w:eastAsiaTheme="minorHAnsi" w:cs="Arial"/>
      <w:szCs w:val="20"/>
      <w:lang w:val="en-US"/>
    </w:rPr>
  </w:style>
  <w:style w:type="paragraph" w:customStyle="1" w:styleId="CharCharChar">
    <w:name w:val="Char Char Char"/>
    <w:basedOn w:val="Normal"/>
    <w:uiPriority w:val="74"/>
    <w:rsid w:val="00BE40E6"/>
    <w:pPr>
      <w:spacing w:before="120" w:line="240" w:lineRule="auto"/>
    </w:pPr>
    <w:rPr>
      <w:rFonts w:eastAsiaTheme="minorHAnsi" w:cs="Arial"/>
      <w:szCs w:val="22"/>
      <w:lang w:val="en-US" w:eastAsia="en-US"/>
    </w:rPr>
  </w:style>
  <w:style w:type="character" w:customStyle="1" w:styleId="BulletedChar">
    <w:name w:val="Bulleted Char"/>
    <w:basedOn w:val="DefaultParagraphFont"/>
    <w:link w:val="Bulleted"/>
    <w:uiPriority w:val="4"/>
    <w:locked/>
    <w:rsid w:val="00BE40E6"/>
    <w:rPr>
      <w:rFonts w:asciiTheme="minorHAnsi" w:eastAsia="MS Mincho" w:hAnsiTheme="minorHAnsi" w:cs="Arial"/>
      <w:sz w:val="22"/>
      <w:szCs w:val="22"/>
      <w:lang w:val="en-US" w:eastAsia="en-US"/>
    </w:rPr>
  </w:style>
  <w:style w:type="paragraph" w:customStyle="1" w:styleId="Bulleted">
    <w:name w:val="Bulleted"/>
    <w:basedOn w:val="Normal"/>
    <w:link w:val="BulletedChar"/>
    <w:uiPriority w:val="4"/>
    <w:qFormat/>
    <w:rsid w:val="00BE40E6"/>
    <w:pPr>
      <w:numPr>
        <w:numId w:val="30"/>
      </w:numPr>
      <w:autoSpaceDE w:val="0"/>
      <w:autoSpaceDN w:val="0"/>
      <w:adjustRightInd w:val="0"/>
      <w:spacing w:before="120" w:after="200" w:line="300" w:lineRule="auto"/>
    </w:pPr>
    <w:rPr>
      <w:rFonts w:eastAsia="MS Mincho" w:cs="Arial"/>
      <w:szCs w:val="22"/>
      <w:lang w:val="en-US" w:eastAsia="en-US"/>
    </w:rPr>
  </w:style>
  <w:style w:type="paragraph" w:customStyle="1" w:styleId="Bullet1">
    <w:name w:val="Bullet 1"/>
    <w:basedOn w:val="Bulleted"/>
    <w:uiPriority w:val="8"/>
    <w:qFormat/>
    <w:rsid w:val="00BE40E6"/>
    <w:pPr>
      <w:spacing w:after="60" w:line="240" w:lineRule="auto"/>
      <w:ind w:left="357"/>
    </w:pPr>
  </w:style>
  <w:style w:type="paragraph" w:customStyle="1" w:styleId="60exhnormal">
    <w:name w:val="60 exh normal"/>
    <w:basedOn w:val="Normal"/>
    <w:rsid w:val="00BE40E6"/>
    <w:pPr>
      <w:spacing w:before="120" w:line="240" w:lineRule="auto"/>
    </w:pPr>
    <w:rPr>
      <w:szCs w:val="20"/>
      <w:lang w:val="en-US" w:eastAsia="en-US"/>
    </w:rPr>
  </w:style>
  <w:style w:type="paragraph" w:customStyle="1" w:styleId="03opensquarebullet">
    <w:name w:val="03 open square bullet"/>
    <w:basedOn w:val="02dash"/>
    <w:uiPriority w:val="5"/>
    <w:qFormat/>
    <w:rsid w:val="00BE40E6"/>
    <w:pPr>
      <w:numPr>
        <w:numId w:val="32"/>
      </w:numPr>
      <w:tabs>
        <w:tab w:val="num" w:pos="360"/>
        <w:tab w:val="left" w:pos="924"/>
      </w:tabs>
      <w:spacing w:before="0" w:line="240" w:lineRule="auto"/>
      <w:ind w:left="925" w:right="0" w:hanging="284"/>
    </w:pPr>
    <w:rPr>
      <w:rFonts w:eastAsiaTheme="minorHAnsi" w:cs="Calibri"/>
    </w:rPr>
  </w:style>
  <w:style w:type="character" w:customStyle="1" w:styleId="Heading2ReportChar">
    <w:name w:val="Heading 2 Report Char"/>
    <w:basedOn w:val="DefaultParagraphFont"/>
    <w:link w:val="Heading2Report"/>
    <w:locked/>
    <w:rsid w:val="00BE40E6"/>
    <w:rPr>
      <w:rFonts w:ascii="Calibri" w:hAnsi="Calibri" w:cs="Arial"/>
      <w:b/>
      <w:bCs/>
      <w:iCs/>
      <w:color w:val="01653F"/>
      <w:sz w:val="32"/>
      <w:szCs w:val="24"/>
      <w:lang w:val="en-US"/>
    </w:rPr>
  </w:style>
  <w:style w:type="paragraph" w:customStyle="1" w:styleId="Heading2Report">
    <w:name w:val="Heading 2 Report"/>
    <w:basedOn w:val="Heading2"/>
    <w:link w:val="Heading2ReportChar"/>
    <w:qFormat/>
    <w:rsid w:val="00BE40E6"/>
    <w:pPr>
      <w:keepLines/>
      <w:numPr>
        <w:ilvl w:val="0"/>
        <w:numId w:val="0"/>
      </w:numPr>
      <w:spacing w:before="280" w:line="240" w:lineRule="auto"/>
    </w:pPr>
    <w:rPr>
      <w:rFonts w:ascii="Calibri" w:eastAsia="Times New Roman" w:hAnsi="Calibri"/>
      <w:sz w:val="32"/>
      <w:szCs w:val="24"/>
      <w:lang w:eastAsia="en-AU"/>
    </w:rPr>
  </w:style>
  <w:style w:type="paragraph" w:customStyle="1" w:styleId="05number1">
    <w:name w:val="05 number/1"/>
    <w:basedOn w:val="Normal"/>
    <w:uiPriority w:val="7"/>
    <w:qFormat/>
    <w:rsid w:val="00BE40E6"/>
    <w:pPr>
      <w:numPr>
        <w:numId w:val="33"/>
      </w:numPr>
      <w:spacing w:before="120" w:line="240" w:lineRule="auto"/>
      <w:ind w:left="357" w:hanging="357"/>
    </w:pPr>
    <w:rPr>
      <w:szCs w:val="20"/>
      <w:lang w:val="en-US" w:eastAsia="en-US"/>
    </w:rPr>
  </w:style>
  <w:style w:type="character" w:customStyle="1" w:styleId="Itembulletlevel1Char">
    <w:name w:val="Item bullet level 1 Char"/>
    <w:basedOn w:val="DefaultParagraphFont"/>
    <w:link w:val="Itembulletlevel1"/>
    <w:uiPriority w:val="5"/>
    <w:locked/>
    <w:rsid w:val="00BE40E6"/>
    <w:rPr>
      <w:rFonts w:asciiTheme="minorHAnsi" w:hAnsiTheme="minorHAnsi" w:cs="Calibri"/>
      <w:sz w:val="22"/>
      <w:lang w:val="en-US" w:eastAsia="en-US"/>
    </w:rPr>
  </w:style>
  <w:style w:type="paragraph" w:customStyle="1" w:styleId="Itembulletlevel1">
    <w:name w:val="Item bullet level 1"/>
    <w:basedOn w:val="Normal"/>
    <w:link w:val="Itembulletlevel1Char"/>
    <w:uiPriority w:val="5"/>
    <w:qFormat/>
    <w:rsid w:val="00BE40E6"/>
    <w:pPr>
      <w:numPr>
        <w:numId w:val="34"/>
      </w:numPr>
      <w:spacing w:before="120" w:line="264" w:lineRule="auto"/>
    </w:pPr>
    <w:rPr>
      <w:rFonts w:cs="Calibri"/>
      <w:szCs w:val="20"/>
      <w:lang w:val="en-US" w:eastAsia="en-US"/>
    </w:rPr>
  </w:style>
  <w:style w:type="paragraph" w:customStyle="1" w:styleId="07number3">
    <w:name w:val="07 number/3"/>
    <w:basedOn w:val="Normal"/>
    <w:uiPriority w:val="9"/>
    <w:qFormat/>
    <w:rsid w:val="00BE40E6"/>
    <w:pPr>
      <w:numPr>
        <w:numId w:val="35"/>
      </w:numPr>
      <w:spacing w:before="120" w:line="264" w:lineRule="auto"/>
      <w:ind w:left="925" w:hanging="284"/>
    </w:pPr>
    <w:rPr>
      <w:szCs w:val="20"/>
      <w:lang w:val="en-US" w:eastAsia="en-US"/>
    </w:rPr>
  </w:style>
  <w:style w:type="paragraph" w:customStyle="1" w:styleId="08letter4">
    <w:name w:val="08 letter/4"/>
    <w:basedOn w:val="Normal"/>
    <w:uiPriority w:val="10"/>
    <w:qFormat/>
    <w:rsid w:val="00BE40E6"/>
    <w:pPr>
      <w:numPr>
        <w:numId w:val="36"/>
      </w:numPr>
      <w:spacing w:before="120" w:line="264" w:lineRule="auto"/>
    </w:pPr>
    <w:rPr>
      <w:szCs w:val="20"/>
      <w:lang w:val="en-US" w:eastAsia="en-US"/>
    </w:rPr>
  </w:style>
  <w:style w:type="paragraph" w:customStyle="1" w:styleId="20major">
    <w:name w:val="20 major"/>
    <w:basedOn w:val="Normal"/>
    <w:next w:val="Normal"/>
    <w:uiPriority w:val="14"/>
    <w:rsid w:val="00BE40E6"/>
    <w:pPr>
      <w:keepNext/>
      <w:spacing w:before="540" w:line="264" w:lineRule="auto"/>
      <w:ind w:right="360"/>
      <w:outlineLvl w:val="1"/>
    </w:pPr>
    <w:rPr>
      <w:b/>
      <w:caps/>
      <w:color w:val="002960"/>
      <w:szCs w:val="20"/>
      <w:lang w:val="en-US" w:eastAsia="en-US"/>
    </w:rPr>
  </w:style>
  <w:style w:type="paragraph" w:customStyle="1" w:styleId="21minor">
    <w:name w:val="21 minor"/>
    <w:basedOn w:val="Normal"/>
    <w:next w:val="Normal"/>
    <w:uiPriority w:val="14"/>
    <w:rsid w:val="00BE40E6"/>
    <w:pPr>
      <w:keepNext/>
      <w:spacing w:before="420" w:line="264" w:lineRule="auto"/>
      <w:ind w:right="360"/>
      <w:outlineLvl w:val="2"/>
    </w:pPr>
    <w:rPr>
      <w:b/>
      <w:color w:val="002960"/>
      <w:sz w:val="26"/>
      <w:szCs w:val="20"/>
      <w:lang w:val="en-US" w:eastAsia="en-US"/>
    </w:rPr>
  </w:style>
  <w:style w:type="paragraph" w:customStyle="1" w:styleId="Normal2">
    <w:name w:val="Normal 2"/>
    <w:basedOn w:val="Bulleted"/>
    <w:rsid w:val="00BE40E6"/>
    <w:pPr>
      <w:numPr>
        <w:numId w:val="0"/>
      </w:numPr>
    </w:pPr>
  </w:style>
  <w:style w:type="character" w:customStyle="1" w:styleId="BoldhdgChar">
    <w:name w:val="Bold hdg Char"/>
    <w:basedOn w:val="DefaultParagraphFont"/>
    <w:link w:val="Boldhdg"/>
    <w:uiPriority w:val="99"/>
    <w:locked/>
    <w:rsid w:val="00BE40E6"/>
    <w:rPr>
      <w:rFonts w:asciiTheme="minorHAnsi" w:eastAsiaTheme="minorHAnsi" w:hAnsiTheme="minorHAnsi" w:cs="Arial"/>
      <w:b/>
      <w:sz w:val="22"/>
      <w:szCs w:val="22"/>
      <w:lang w:val="en-US" w:eastAsia="en-US"/>
    </w:rPr>
  </w:style>
  <w:style w:type="paragraph" w:customStyle="1" w:styleId="Boldhdg">
    <w:name w:val="Bold hdg"/>
    <w:basedOn w:val="Normal"/>
    <w:link w:val="BoldhdgChar"/>
    <w:uiPriority w:val="99"/>
    <w:qFormat/>
    <w:rsid w:val="00BE40E6"/>
    <w:pPr>
      <w:keepNext/>
      <w:spacing w:before="320" w:line="240" w:lineRule="auto"/>
    </w:pPr>
    <w:rPr>
      <w:rFonts w:eastAsiaTheme="minorHAnsi" w:cs="Arial"/>
      <w:b/>
      <w:szCs w:val="22"/>
      <w:lang w:val="en-US" w:eastAsia="en-US"/>
    </w:rPr>
  </w:style>
  <w:style w:type="paragraph" w:customStyle="1" w:styleId="10tablenormal">
    <w:name w:val="10 table normal"/>
    <w:basedOn w:val="Normal"/>
    <w:rsid w:val="00BE40E6"/>
    <w:pPr>
      <w:spacing w:before="120" w:line="240" w:lineRule="auto"/>
      <w:ind w:right="142"/>
    </w:pPr>
    <w:rPr>
      <w:sz w:val="26"/>
      <w:szCs w:val="20"/>
      <w:lang w:val="en-US" w:eastAsia="en-US"/>
    </w:rPr>
  </w:style>
  <w:style w:type="paragraph" w:customStyle="1" w:styleId="15tableheading">
    <w:name w:val="15 table heading"/>
    <w:basedOn w:val="10tablenormal"/>
    <w:next w:val="10tablenormal"/>
    <w:rsid w:val="00BE40E6"/>
    <w:rPr>
      <w:b/>
    </w:rPr>
  </w:style>
  <w:style w:type="character" w:customStyle="1" w:styleId="22numberedparagraphChar">
    <w:name w:val="22 numbered paragraph Char"/>
    <w:basedOn w:val="DefaultParagraphFont"/>
    <w:link w:val="22numberedparagraph"/>
    <w:uiPriority w:val="11"/>
    <w:locked/>
    <w:rsid w:val="00BE40E6"/>
    <w:rPr>
      <w:rFonts w:ascii="Arial" w:hAnsi="Arial" w:cs="Arial"/>
      <w:b/>
      <w:sz w:val="22"/>
      <w:lang w:val="en-US" w:eastAsia="en-US"/>
    </w:rPr>
  </w:style>
  <w:style w:type="paragraph" w:customStyle="1" w:styleId="22numberedparagraph">
    <w:name w:val="22 numbered paragraph"/>
    <w:basedOn w:val="Normal"/>
    <w:next w:val="Normal"/>
    <w:link w:val="22numberedparagraphChar"/>
    <w:uiPriority w:val="11"/>
    <w:rsid w:val="00BE40E6"/>
    <w:pPr>
      <w:spacing w:line="240" w:lineRule="auto"/>
      <w:outlineLvl w:val="3"/>
    </w:pPr>
    <w:rPr>
      <w:rFonts w:ascii="Arial" w:hAnsi="Arial" w:cs="Arial"/>
      <w:b/>
      <w:szCs w:val="20"/>
      <w:lang w:val="en-US" w:eastAsia="en-US"/>
    </w:rPr>
  </w:style>
  <w:style w:type="paragraph" w:customStyle="1" w:styleId="24enddate">
    <w:name w:val="24 end date"/>
    <w:basedOn w:val="Normal"/>
    <w:next w:val="Normal"/>
    <w:rsid w:val="00BE40E6"/>
    <w:pPr>
      <w:pBdr>
        <w:top w:val="single" w:sz="4" w:space="6" w:color="auto"/>
      </w:pBdr>
      <w:spacing w:before="300" w:line="240" w:lineRule="auto"/>
    </w:pPr>
    <w:rPr>
      <w:rFonts w:ascii="Arial" w:hAnsi="Arial"/>
      <w:sz w:val="20"/>
      <w:szCs w:val="20"/>
      <w:lang w:val="en-US" w:eastAsia="en-US"/>
    </w:rPr>
  </w:style>
  <w:style w:type="paragraph" w:customStyle="1" w:styleId="30documenttitle">
    <w:name w:val="30 document title"/>
    <w:basedOn w:val="Normal"/>
    <w:next w:val="Normal"/>
    <w:rsid w:val="00BE40E6"/>
    <w:pPr>
      <w:spacing w:before="600" w:after="360" w:line="240" w:lineRule="auto"/>
      <w:ind w:right="1080"/>
      <w:outlineLvl w:val="0"/>
    </w:pPr>
    <w:rPr>
      <w:rFonts w:ascii="Arial" w:hAnsi="Arial"/>
      <w:sz w:val="44"/>
      <w:szCs w:val="20"/>
      <w:lang w:val="en-US" w:eastAsia="en-US"/>
    </w:rPr>
  </w:style>
  <w:style w:type="paragraph" w:customStyle="1" w:styleId="32chaptertitle">
    <w:name w:val="32 chapter title"/>
    <w:basedOn w:val="Normal"/>
    <w:next w:val="Normal"/>
    <w:uiPriority w:val="12"/>
    <w:rsid w:val="00BE40E6"/>
    <w:pPr>
      <w:pageBreakBefore/>
      <w:spacing w:before="120" w:after="300" w:line="240" w:lineRule="auto"/>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BE40E6"/>
    <w:pPr>
      <w:spacing w:after="1000" w:line="240" w:lineRule="auto"/>
    </w:pPr>
    <w:rPr>
      <w:rFonts w:ascii="Arial" w:hAnsi="Arial" w:cs="Arial"/>
      <w:sz w:val="44"/>
      <w:szCs w:val="20"/>
      <w:lang w:val="en-US" w:eastAsia="en-US"/>
    </w:rPr>
  </w:style>
  <w:style w:type="paragraph" w:customStyle="1" w:styleId="36opener">
    <w:name w:val="36 opener"/>
    <w:basedOn w:val="Normal"/>
    <w:rsid w:val="00BE40E6"/>
    <w:pPr>
      <w:tabs>
        <w:tab w:val="right" w:pos="-261"/>
      </w:tabs>
      <w:spacing w:line="240" w:lineRule="auto"/>
      <w:ind w:hanging="2160"/>
    </w:pPr>
    <w:rPr>
      <w:sz w:val="26"/>
      <w:szCs w:val="20"/>
      <w:lang w:val="en-US" w:eastAsia="en-US"/>
    </w:rPr>
  </w:style>
  <w:style w:type="paragraph" w:customStyle="1" w:styleId="39restrictivenote">
    <w:name w:val="39 restrictive note"/>
    <w:basedOn w:val="Normal"/>
    <w:next w:val="Normal"/>
    <w:rsid w:val="00BE40E6"/>
    <w:pPr>
      <w:spacing w:line="240" w:lineRule="auto"/>
    </w:pPr>
    <w:rPr>
      <w:rFonts w:ascii="Arial" w:hAnsi="Arial"/>
      <w:caps/>
      <w:sz w:val="20"/>
      <w:szCs w:val="20"/>
      <w:lang w:val="en-US" w:eastAsia="en-US"/>
    </w:rPr>
  </w:style>
  <w:style w:type="paragraph" w:customStyle="1" w:styleId="40address">
    <w:name w:val="40 address"/>
    <w:basedOn w:val="Normal"/>
    <w:rsid w:val="00BE40E6"/>
    <w:pPr>
      <w:spacing w:line="240" w:lineRule="auto"/>
    </w:pPr>
    <w:rPr>
      <w:sz w:val="26"/>
      <w:szCs w:val="20"/>
      <w:lang w:val="en-US" w:eastAsia="en-US"/>
    </w:rPr>
  </w:style>
  <w:style w:type="paragraph" w:customStyle="1" w:styleId="41closing">
    <w:name w:val="41 closing"/>
    <w:basedOn w:val="Normal"/>
    <w:rsid w:val="00BE40E6"/>
    <w:pPr>
      <w:spacing w:before="60" w:line="240" w:lineRule="auto"/>
      <w:ind w:left="3958"/>
    </w:pPr>
    <w:rPr>
      <w:sz w:val="26"/>
      <w:szCs w:val="20"/>
      <w:lang w:val="en-US" w:eastAsia="en-US"/>
    </w:rPr>
  </w:style>
  <w:style w:type="paragraph" w:customStyle="1" w:styleId="42cc">
    <w:name w:val="42 cc:"/>
    <w:basedOn w:val="Normal"/>
    <w:rsid w:val="00BE40E6"/>
    <w:pPr>
      <w:spacing w:line="240" w:lineRule="auto"/>
      <w:ind w:left="544" w:hanging="544"/>
    </w:pPr>
    <w:rPr>
      <w:sz w:val="26"/>
      <w:szCs w:val="20"/>
      <w:lang w:val="en-US" w:eastAsia="en-US"/>
    </w:rPr>
  </w:style>
  <w:style w:type="paragraph" w:customStyle="1" w:styleId="DocumentID-BL">
    <w:name w:val="DocumentID-BL"/>
    <w:basedOn w:val="Normal"/>
    <w:next w:val="Header"/>
    <w:rsid w:val="00BE40E6"/>
    <w:pPr>
      <w:framePr w:hSpace="187" w:vSpace="187" w:wrap="around" w:vAnchor="page" w:hAnchor="page" w:x="721" w:y="15985" w:anchorLock="1"/>
      <w:spacing w:line="240" w:lineRule="auto"/>
    </w:pPr>
    <w:rPr>
      <w:sz w:val="16"/>
      <w:szCs w:val="20"/>
      <w:lang w:val="en-US" w:eastAsia="en-US"/>
    </w:rPr>
  </w:style>
  <w:style w:type="paragraph" w:customStyle="1" w:styleId="DocumentID-BLGlobal">
    <w:name w:val="DocumentID-BLGlobal"/>
    <w:basedOn w:val="Normal"/>
    <w:next w:val="Header"/>
    <w:rsid w:val="00BE40E6"/>
    <w:pPr>
      <w:framePr w:hSpace="187" w:vSpace="187" w:wrap="around" w:vAnchor="page" w:hAnchor="page" w:x="721" w:y="15985" w:anchorLock="1"/>
      <w:spacing w:line="240" w:lineRule="auto"/>
    </w:pPr>
    <w:rPr>
      <w:sz w:val="16"/>
      <w:szCs w:val="20"/>
      <w:lang w:val="en-US" w:eastAsia="en-US"/>
    </w:rPr>
  </w:style>
  <w:style w:type="paragraph" w:customStyle="1" w:styleId="DocumentID-BLT">
    <w:name w:val="DocumentID-BLT"/>
    <w:basedOn w:val="DocumentID-BL"/>
    <w:rsid w:val="00BE40E6"/>
    <w:pPr>
      <w:framePr w:wrap="around"/>
    </w:pPr>
    <w:rPr>
      <w:vanish/>
      <w:color w:val="FF0000"/>
    </w:rPr>
  </w:style>
  <w:style w:type="paragraph" w:customStyle="1" w:styleId="DocumentID-TR">
    <w:name w:val="DocumentID-TR"/>
    <w:basedOn w:val="Normal"/>
    <w:next w:val="Header"/>
    <w:rsid w:val="00BE40E6"/>
    <w:pPr>
      <w:framePr w:w="5760" w:wrap="around" w:vAnchor="page" w:hAnchor="page" w:x="5401" w:y="721" w:anchorLock="1"/>
      <w:spacing w:line="240" w:lineRule="auto"/>
      <w:jc w:val="right"/>
    </w:pPr>
    <w:rPr>
      <w:sz w:val="16"/>
      <w:szCs w:val="20"/>
      <w:lang w:val="en-US" w:eastAsia="en-US"/>
    </w:rPr>
  </w:style>
  <w:style w:type="paragraph" w:customStyle="1" w:styleId="DocumentID-TRGlobal">
    <w:name w:val="DocumentID-TRGlobal"/>
    <w:basedOn w:val="Normal"/>
    <w:next w:val="Header"/>
    <w:rsid w:val="00BE40E6"/>
    <w:pPr>
      <w:framePr w:w="5760" w:wrap="around" w:vAnchor="page" w:hAnchor="page" w:x="5401" w:y="721" w:anchorLock="1"/>
      <w:spacing w:line="240" w:lineRule="auto"/>
      <w:jc w:val="right"/>
    </w:pPr>
    <w:rPr>
      <w:sz w:val="16"/>
      <w:szCs w:val="20"/>
      <w:lang w:val="en-US" w:eastAsia="en-US"/>
    </w:rPr>
  </w:style>
  <w:style w:type="paragraph" w:customStyle="1" w:styleId="DocumentID-TRT">
    <w:name w:val="DocumentID-TRT"/>
    <w:basedOn w:val="DocumentID-TR"/>
    <w:rsid w:val="00BE40E6"/>
    <w:pPr>
      <w:framePr w:wrap="around"/>
    </w:pPr>
    <w:rPr>
      <w:vanish/>
      <w:color w:val="FF0000"/>
    </w:rPr>
  </w:style>
  <w:style w:type="paragraph" w:customStyle="1" w:styleId="SOPP20major">
    <w:name w:val="SOPP_20 major"/>
    <w:basedOn w:val="Normal"/>
    <w:next w:val="Normal"/>
    <w:rsid w:val="00BE40E6"/>
    <w:pPr>
      <w:keepNext/>
      <w:spacing w:before="540" w:line="240" w:lineRule="auto"/>
      <w:ind w:right="360"/>
      <w:outlineLvl w:val="2"/>
    </w:pPr>
    <w:rPr>
      <w:rFonts w:ascii="Arial" w:hAnsi="Arial"/>
      <w:b/>
      <w:caps/>
      <w:szCs w:val="20"/>
      <w:lang w:val="cs-CZ" w:eastAsia="en-US"/>
    </w:rPr>
  </w:style>
  <w:style w:type="paragraph" w:customStyle="1" w:styleId="SOPP21minor">
    <w:name w:val="SOPP_21 minor"/>
    <w:basedOn w:val="Normal"/>
    <w:next w:val="Normal"/>
    <w:rsid w:val="00BE40E6"/>
    <w:pPr>
      <w:keepNext/>
      <w:spacing w:before="420" w:line="240" w:lineRule="auto"/>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BE40E6"/>
    <w:pPr>
      <w:spacing w:before="780" w:after="360" w:line="240" w:lineRule="auto"/>
      <w:ind w:right="1080"/>
      <w:outlineLvl w:val="0"/>
    </w:pPr>
    <w:rPr>
      <w:rFonts w:ascii="Arial" w:hAnsi="Arial"/>
      <w:sz w:val="44"/>
      <w:szCs w:val="20"/>
      <w:lang w:val="cs-CZ" w:eastAsia="en-US"/>
    </w:rPr>
  </w:style>
  <w:style w:type="paragraph" w:customStyle="1" w:styleId="SOPP42cc">
    <w:name w:val="SOPP_42 cc:"/>
    <w:basedOn w:val="Normal"/>
    <w:rsid w:val="00BE40E6"/>
    <w:pPr>
      <w:spacing w:before="480" w:line="240" w:lineRule="auto"/>
      <w:ind w:left="544" w:hanging="544"/>
    </w:pPr>
    <w:rPr>
      <w:sz w:val="26"/>
      <w:szCs w:val="20"/>
      <w:lang w:val="cs-CZ" w:eastAsia="en-US"/>
    </w:rPr>
  </w:style>
  <w:style w:type="paragraph" w:customStyle="1" w:styleId="StyleArial22ptCustomAfter10pt">
    <w:name w:val="Style Arial 22 pt Custom After:  10 pt"/>
    <w:basedOn w:val="Normal"/>
    <w:rsid w:val="00BE40E6"/>
    <w:pPr>
      <w:spacing w:after="200" w:line="240" w:lineRule="auto"/>
    </w:pPr>
    <w:rPr>
      <w:rFonts w:ascii="Arial" w:hAnsi="Arial"/>
      <w:sz w:val="44"/>
      <w:szCs w:val="20"/>
      <w:lang w:val="en-US" w:eastAsia="en-US"/>
    </w:rPr>
  </w:style>
  <w:style w:type="paragraph" w:customStyle="1" w:styleId="TitlePageClient">
    <w:name w:val="Title Page_Client"/>
    <w:basedOn w:val="Normal"/>
    <w:next w:val="Normal"/>
    <w:rsid w:val="00BE40E6"/>
    <w:pPr>
      <w:spacing w:line="240" w:lineRule="auto"/>
    </w:pPr>
    <w:rPr>
      <w:rFonts w:ascii="Arial" w:hAnsi="Arial"/>
      <w:sz w:val="28"/>
      <w:szCs w:val="20"/>
      <w:lang w:val="en-US" w:eastAsia="en-US"/>
    </w:rPr>
  </w:style>
  <w:style w:type="paragraph" w:customStyle="1" w:styleId="TitlePageDisclaimer">
    <w:name w:val="Title Page_Disclaimer"/>
    <w:basedOn w:val="Normal"/>
    <w:rsid w:val="00BE40E6"/>
    <w:pPr>
      <w:spacing w:line="240" w:lineRule="auto"/>
    </w:pPr>
    <w:rPr>
      <w:rFonts w:ascii="Arial" w:hAnsi="Arial"/>
      <w:sz w:val="18"/>
      <w:szCs w:val="20"/>
      <w:lang w:val="en-US" w:eastAsia="en-US"/>
    </w:rPr>
  </w:style>
  <w:style w:type="paragraph" w:customStyle="1" w:styleId="TitlePageDocument">
    <w:name w:val="Title Page_Document"/>
    <w:basedOn w:val="Normal"/>
    <w:rsid w:val="00BE40E6"/>
    <w:pPr>
      <w:spacing w:line="240" w:lineRule="auto"/>
    </w:pPr>
    <w:rPr>
      <w:rFonts w:ascii="Arial" w:hAnsi="Arial" w:cs="Arial"/>
      <w:sz w:val="26"/>
      <w:szCs w:val="20"/>
      <w:lang w:val="en-US" w:eastAsia="en-US"/>
    </w:rPr>
  </w:style>
  <w:style w:type="paragraph" w:customStyle="1" w:styleId="TitlePageTitle">
    <w:name w:val="Title Page_Title"/>
    <w:basedOn w:val="Normal"/>
    <w:next w:val="Normal"/>
    <w:rsid w:val="00BE40E6"/>
    <w:pPr>
      <w:spacing w:after="200" w:line="240" w:lineRule="auto"/>
    </w:pPr>
    <w:rPr>
      <w:rFonts w:ascii="Arial" w:hAnsi="Arial"/>
      <w:sz w:val="44"/>
      <w:szCs w:val="20"/>
      <w:lang w:val="en-US" w:eastAsia="en-US"/>
    </w:rPr>
  </w:style>
  <w:style w:type="paragraph" w:customStyle="1" w:styleId="38letterdate">
    <w:name w:val="38 letter date"/>
    <w:basedOn w:val="Normal"/>
    <w:next w:val="Normal"/>
    <w:uiPriority w:val="49"/>
    <w:rsid w:val="00BE40E6"/>
    <w:pPr>
      <w:spacing w:before="1680" w:line="240" w:lineRule="auto"/>
      <w:jc w:val="right"/>
    </w:pPr>
    <w:rPr>
      <w:sz w:val="26"/>
      <w:szCs w:val="20"/>
      <w:lang w:val="en-US" w:eastAsia="en-US"/>
    </w:rPr>
  </w:style>
  <w:style w:type="paragraph" w:customStyle="1" w:styleId="StyleArialLatin12ptLeft-2cmAfter0pt">
    <w:name w:val="Style Arial (Latin) 12 pt Left:  -2 cm After:  0 pt"/>
    <w:basedOn w:val="Normal"/>
    <w:uiPriority w:val="49"/>
    <w:rsid w:val="00BE40E6"/>
    <w:pPr>
      <w:spacing w:line="240" w:lineRule="auto"/>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BE40E6"/>
    <w:pPr>
      <w:spacing w:line="240" w:lineRule="auto"/>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BE40E6"/>
    <w:pPr>
      <w:spacing w:line="240" w:lineRule="auto"/>
    </w:pPr>
    <w:rPr>
      <w:rFonts w:ascii="Arial" w:hAnsi="Arial"/>
      <w:sz w:val="20"/>
      <w:szCs w:val="20"/>
      <w:lang w:val="en-US" w:eastAsia="en-US"/>
    </w:rPr>
  </w:style>
  <w:style w:type="character" w:customStyle="1" w:styleId="Style3Char">
    <w:name w:val="Style3 Char"/>
    <w:basedOn w:val="Itembulletlevel1Char"/>
    <w:link w:val="Style3"/>
    <w:uiPriority w:val="8"/>
    <w:locked/>
    <w:rsid w:val="00BE40E6"/>
    <w:rPr>
      <w:rFonts w:asciiTheme="minorHAnsi" w:hAnsiTheme="minorHAnsi" w:cs="Calibri"/>
      <w:sz w:val="22"/>
      <w:lang w:val="en-US" w:eastAsia="en-US"/>
    </w:rPr>
  </w:style>
  <w:style w:type="paragraph" w:customStyle="1" w:styleId="Style3">
    <w:name w:val="Style3"/>
    <w:basedOn w:val="Itembulletlevel1"/>
    <w:link w:val="Style3Char"/>
    <w:uiPriority w:val="8"/>
    <w:rsid w:val="00BE40E6"/>
    <w:pPr>
      <w:numPr>
        <w:numId w:val="0"/>
      </w:numPr>
      <w:spacing w:line="240" w:lineRule="auto"/>
      <w:ind w:left="1071" w:hanging="357"/>
    </w:pPr>
  </w:style>
  <w:style w:type="character" w:customStyle="1" w:styleId="ItemdescriptorChar">
    <w:name w:val="Item descriptor Char"/>
    <w:basedOn w:val="DefaultParagraphFont"/>
    <w:link w:val="Itemdescriptor"/>
    <w:uiPriority w:val="6"/>
    <w:locked/>
    <w:rsid w:val="00BE40E6"/>
    <w:rPr>
      <w:rFonts w:asciiTheme="minorHAnsi" w:hAnsiTheme="minorHAnsi" w:cs="Calibri"/>
      <w:sz w:val="22"/>
      <w:szCs w:val="24"/>
      <w:lang w:val="en-GB"/>
    </w:rPr>
  </w:style>
  <w:style w:type="paragraph" w:customStyle="1" w:styleId="Itemdescriptor">
    <w:name w:val="Item descriptor"/>
    <w:basedOn w:val="Normal"/>
    <w:link w:val="ItemdescriptorChar"/>
    <w:uiPriority w:val="6"/>
    <w:rsid w:val="00BE40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line="240" w:lineRule="auto"/>
    </w:pPr>
    <w:rPr>
      <w:rFonts w:cs="Calibri"/>
      <w:lang w:val="en-GB"/>
    </w:rPr>
  </w:style>
  <w:style w:type="character" w:customStyle="1" w:styleId="ExplanatoryNotesChar">
    <w:name w:val="Explanatory Notes Char"/>
    <w:basedOn w:val="DefaultParagraphFont"/>
    <w:link w:val="ExplanatoryNotes"/>
    <w:uiPriority w:val="13"/>
    <w:locked/>
    <w:rsid w:val="00BE40E6"/>
    <w:rPr>
      <w:rFonts w:asciiTheme="minorHAnsi" w:hAnsiTheme="minorHAnsi" w:cs="Calibri"/>
      <w:i/>
      <w:sz w:val="22"/>
      <w:szCs w:val="22"/>
      <w:lang w:val="en-US"/>
    </w:rPr>
  </w:style>
  <w:style w:type="paragraph" w:customStyle="1" w:styleId="ExplanatoryNotes">
    <w:name w:val="Explanatory Notes"/>
    <w:basedOn w:val="Normal"/>
    <w:link w:val="ExplanatoryNotesChar"/>
    <w:uiPriority w:val="13"/>
    <w:qFormat/>
    <w:rsid w:val="00BE40E6"/>
    <w:pPr>
      <w:spacing w:before="120" w:line="240" w:lineRule="auto"/>
    </w:pPr>
    <w:rPr>
      <w:rFonts w:cs="Calibri"/>
      <w:i/>
      <w:szCs w:val="22"/>
      <w:lang w:val="en-US"/>
    </w:rPr>
  </w:style>
  <w:style w:type="character" w:customStyle="1" w:styleId="Itembulletlevel2Char">
    <w:name w:val="Item bullet level 2 Char"/>
    <w:basedOn w:val="Itembulletlevel1Char"/>
    <w:link w:val="Itembulletlevel2"/>
    <w:uiPriority w:val="7"/>
    <w:locked/>
    <w:rsid w:val="00BE40E6"/>
    <w:rPr>
      <w:rFonts w:asciiTheme="minorHAnsi" w:hAnsiTheme="minorHAnsi" w:cs="Calibri"/>
      <w:sz w:val="22"/>
      <w:lang w:val="en-US" w:eastAsia="en-US"/>
    </w:rPr>
  </w:style>
  <w:style w:type="paragraph" w:customStyle="1" w:styleId="Itembulletlevel2">
    <w:name w:val="Item bullet level 2"/>
    <w:basedOn w:val="Itembulletlevel1"/>
    <w:link w:val="Itembulletlevel2Char"/>
    <w:uiPriority w:val="7"/>
    <w:qFormat/>
    <w:rsid w:val="00BE40E6"/>
    <w:pPr>
      <w:numPr>
        <w:ilvl w:val="1"/>
      </w:numPr>
    </w:pPr>
  </w:style>
  <w:style w:type="character" w:customStyle="1" w:styleId="Itembulletlevel3oldChar">
    <w:name w:val="Item bullet level 3 old Char"/>
    <w:basedOn w:val="Itembulletlevel2Char"/>
    <w:link w:val="Itembulletlevel3old"/>
    <w:locked/>
    <w:rsid w:val="00BE40E6"/>
    <w:rPr>
      <w:rFonts w:asciiTheme="minorHAnsi" w:hAnsiTheme="minorHAnsi" w:cs="Calibri"/>
      <w:sz w:val="22"/>
      <w:lang w:val="en-US" w:eastAsia="en-US"/>
    </w:rPr>
  </w:style>
  <w:style w:type="paragraph" w:customStyle="1" w:styleId="Itembulletlevel3old">
    <w:name w:val="Item bullet level 3 old"/>
    <w:basedOn w:val="Itembulletlevel2"/>
    <w:link w:val="Itembulletlevel3oldChar"/>
    <w:rsid w:val="00BE40E6"/>
    <w:pPr>
      <w:numPr>
        <w:ilvl w:val="2"/>
        <w:numId w:val="37"/>
      </w:numPr>
      <w:ind w:hanging="382"/>
    </w:pPr>
  </w:style>
  <w:style w:type="character" w:customStyle="1" w:styleId="Itembulletlevel3Char">
    <w:name w:val="Item bullet level 3 Char"/>
    <w:basedOn w:val="Itembulletlevel2Char"/>
    <w:link w:val="Itembulletlevel3"/>
    <w:uiPriority w:val="10"/>
    <w:locked/>
    <w:rsid w:val="00BE40E6"/>
    <w:rPr>
      <w:rFonts w:asciiTheme="minorHAnsi" w:hAnsiTheme="minorHAnsi" w:cs="Calibri"/>
      <w:sz w:val="22"/>
      <w:lang w:val="en-US" w:eastAsia="en-US"/>
    </w:rPr>
  </w:style>
  <w:style w:type="paragraph" w:customStyle="1" w:styleId="Itembulletlevel3">
    <w:name w:val="Item bullet level 3"/>
    <w:basedOn w:val="Itembulletlevel2"/>
    <w:link w:val="Itembulletlevel3Char"/>
    <w:uiPriority w:val="10"/>
    <w:qFormat/>
    <w:rsid w:val="00BE40E6"/>
    <w:pPr>
      <w:numPr>
        <w:ilvl w:val="2"/>
      </w:numPr>
      <w:ind w:left="1985" w:hanging="365"/>
    </w:pPr>
  </w:style>
  <w:style w:type="paragraph" w:customStyle="1" w:styleId="06letter2">
    <w:name w:val="06 letter/2"/>
    <w:basedOn w:val="Normal"/>
    <w:uiPriority w:val="8"/>
    <w:qFormat/>
    <w:rsid w:val="00BE40E6"/>
    <w:pPr>
      <w:spacing w:before="120" w:line="264" w:lineRule="auto"/>
      <w:ind w:left="641" w:hanging="284"/>
    </w:pPr>
    <w:rPr>
      <w:szCs w:val="20"/>
      <w:lang w:val="en-US" w:eastAsia="en-US"/>
    </w:rPr>
  </w:style>
  <w:style w:type="paragraph" w:customStyle="1" w:styleId="BoxBullet0">
    <w:name w:val="BoxBullet"/>
    <w:basedOn w:val="BoxText0"/>
    <w:rsid w:val="00BE40E6"/>
    <w:pPr>
      <w:tabs>
        <w:tab w:val="num" w:pos="357"/>
      </w:tabs>
      <w:spacing w:before="120" w:after="60"/>
      <w:ind w:left="357" w:hanging="357"/>
    </w:pPr>
    <w:rPr>
      <w:lang w:val="en-US"/>
    </w:rPr>
  </w:style>
  <w:style w:type="paragraph" w:customStyle="1" w:styleId="NLRecommendation">
    <w:name w:val="NL_Recommendation"/>
    <w:basedOn w:val="Normal"/>
    <w:uiPriority w:val="12"/>
    <w:qFormat/>
    <w:rsid w:val="00BE40E6"/>
    <w:pPr>
      <w:spacing w:before="360" w:line="240" w:lineRule="auto"/>
    </w:pPr>
    <w:rPr>
      <w:b/>
      <w:lang w:val="en-US"/>
    </w:rPr>
  </w:style>
  <w:style w:type="paragraph" w:customStyle="1" w:styleId="Descriptor">
    <w:name w:val="Descriptor"/>
    <w:basedOn w:val="Normal"/>
    <w:uiPriority w:val="8"/>
    <w:qFormat/>
    <w:rsid w:val="00BE40E6"/>
    <w:pPr>
      <w:keepNext/>
      <w:spacing w:before="60" w:after="360" w:line="240" w:lineRule="auto"/>
      <w:contextualSpacing/>
    </w:pPr>
    <w:rPr>
      <w:rFonts w:ascii="Georgia" w:hAnsi="Georgia"/>
      <w:i/>
      <w:szCs w:val="20"/>
      <w:lang w:val="en-US" w:eastAsia="en-US"/>
    </w:rPr>
  </w:style>
  <w:style w:type="character" w:customStyle="1" w:styleId="SourcestyleChar">
    <w:name w:val="Source style Char"/>
    <w:basedOn w:val="DefaultParagraphFont"/>
    <w:link w:val="Sourcestyle"/>
    <w:uiPriority w:val="17"/>
    <w:locked/>
    <w:rsid w:val="00BE40E6"/>
    <w:rPr>
      <w:rFonts w:asciiTheme="minorHAnsi" w:hAnsiTheme="minorHAnsi" w:cs="Calibri"/>
      <w:sz w:val="22"/>
      <w:szCs w:val="24"/>
      <w:lang w:val="en-GB"/>
    </w:rPr>
  </w:style>
  <w:style w:type="paragraph" w:customStyle="1" w:styleId="Sourcestyle">
    <w:name w:val="Source style"/>
    <w:basedOn w:val="Normal"/>
    <w:link w:val="SourcestyleChar"/>
    <w:uiPriority w:val="17"/>
    <w:qFormat/>
    <w:rsid w:val="00BE40E6"/>
    <w:pPr>
      <w:pBdr>
        <w:top w:val="single" w:sz="4" w:space="1" w:color="auto"/>
      </w:pBdr>
      <w:spacing w:before="120" w:after="180" w:line="240" w:lineRule="auto"/>
    </w:pPr>
    <w:rPr>
      <w:rFonts w:cs="Calibri"/>
      <w:lang w:val="en-GB"/>
    </w:rPr>
  </w:style>
  <w:style w:type="character" w:customStyle="1" w:styleId="BoldtextChar">
    <w:name w:val="Bold text Char"/>
    <w:basedOn w:val="BoldhdgChar"/>
    <w:link w:val="Boldtext"/>
    <w:locked/>
    <w:rsid w:val="00BE40E6"/>
    <w:rPr>
      <w:rFonts w:asciiTheme="minorHAnsi" w:eastAsiaTheme="minorHAnsi" w:hAnsiTheme="minorHAnsi" w:cs="Arial"/>
      <w:b/>
      <w:sz w:val="22"/>
      <w:szCs w:val="22"/>
      <w:lang w:val="en-GB" w:eastAsia="en-US"/>
    </w:rPr>
  </w:style>
  <w:style w:type="paragraph" w:customStyle="1" w:styleId="Boldtext">
    <w:name w:val="Bold text"/>
    <w:basedOn w:val="Boldhdg"/>
    <w:link w:val="BoldtextChar"/>
    <w:qFormat/>
    <w:rsid w:val="00BE40E6"/>
    <w:pPr>
      <w:spacing w:before="280"/>
    </w:pPr>
    <w:rPr>
      <w:lang w:val="en-GB"/>
    </w:rPr>
  </w:style>
  <w:style w:type="paragraph" w:customStyle="1" w:styleId="Body">
    <w:name w:val="Body"/>
    <w:rsid w:val="00BE40E6"/>
    <w:rPr>
      <w:rFonts w:ascii="Cambria" w:eastAsia="Cambria" w:hAnsi="Cambria" w:cs="Cambria"/>
      <w:color w:val="000000"/>
      <w:sz w:val="24"/>
      <w:szCs w:val="24"/>
      <w:u w:color="000000"/>
      <w:lang w:val="en-US" w:eastAsia="en-US"/>
    </w:rPr>
  </w:style>
  <w:style w:type="character" w:customStyle="1" w:styleId="BodytextChar0">
    <w:name w:val="Body text Char"/>
    <w:basedOn w:val="DefaultParagraphFont"/>
    <w:link w:val="BodyText1"/>
    <w:uiPriority w:val="16"/>
    <w:locked/>
    <w:rsid w:val="00BE40E6"/>
    <w:rPr>
      <w:rFonts w:ascii="Arial" w:hAnsi="Arial" w:cs="Arial"/>
      <w:shd w:val="clear" w:color="auto" w:fill="FFFFFF" w:themeFill="background1"/>
      <w:lang w:val="en-US"/>
    </w:rPr>
  </w:style>
  <w:style w:type="paragraph" w:customStyle="1" w:styleId="BodyText1">
    <w:name w:val="Body Text1"/>
    <w:basedOn w:val="Normal"/>
    <w:link w:val="BodytextChar0"/>
    <w:uiPriority w:val="16"/>
    <w:rsid w:val="00BE40E6"/>
    <w:pPr>
      <w:shd w:val="clear" w:color="auto" w:fill="FFFFFF" w:themeFill="background1"/>
      <w:spacing w:before="120" w:after="120" w:line="260" w:lineRule="exact"/>
    </w:pPr>
    <w:rPr>
      <w:rFonts w:ascii="Arial" w:hAnsi="Arial" w:cs="Arial"/>
      <w:sz w:val="20"/>
      <w:szCs w:val="20"/>
      <w:lang w:val="en-US"/>
    </w:rPr>
  </w:style>
  <w:style w:type="paragraph" w:customStyle="1" w:styleId="Contents">
    <w:name w:val="Contents"/>
    <w:basedOn w:val="Normal"/>
    <w:next w:val="Normal"/>
    <w:uiPriority w:val="99"/>
    <w:semiHidden/>
    <w:rsid w:val="00BE40E6"/>
    <w:pPr>
      <w:spacing w:before="120" w:after="120" w:line="360" w:lineRule="auto"/>
    </w:pPr>
    <w:rPr>
      <w:rFonts w:ascii="Arial" w:hAnsi="Arial"/>
      <w:bCs/>
      <w:color w:val="4B306A"/>
      <w:sz w:val="32"/>
      <w:szCs w:val="20"/>
      <w:lang w:val="en-US" w:eastAsia="en-US"/>
    </w:rPr>
  </w:style>
  <w:style w:type="paragraph" w:customStyle="1" w:styleId="DocumentTitleSub">
    <w:name w:val="DocumentTitleSub"/>
    <w:basedOn w:val="DocumentTitle"/>
    <w:uiPriority w:val="99"/>
    <w:semiHidden/>
    <w:qFormat/>
    <w:rsid w:val="00BE40E6"/>
    <w:pPr>
      <w:ind w:right="0"/>
      <w:contextualSpacing/>
    </w:pPr>
    <w:rPr>
      <w:b w:val="0"/>
      <w:caps w:val="0"/>
      <w:sz w:val="32"/>
    </w:rPr>
  </w:style>
  <w:style w:type="paragraph" w:customStyle="1" w:styleId="DocumentTitle">
    <w:name w:val="DocumentTitle"/>
    <w:basedOn w:val="Normal"/>
    <w:next w:val="DocumentTitleSub"/>
    <w:uiPriority w:val="99"/>
    <w:semiHidden/>
    <w:rsid w:val="00BE40E6"/>
    <w:pPr>
      <w:keepNext/>
      <w:spacing w:before="240" w:line="400" w:lineRule="exact"/>
      <w:ind w:left="284" w:right="284"/>
      <w:outlineLvl w:val="0"/>
    </w:pPr>
    <w:rPr>
      <w:rFonts w:ascii="Arial" w:hAnsi="Arial"/>
      <w:b/>
      <w:caps/>
      <w:color w:val="4B306A"/>
      <w:kern w:val="32"/>
      <w:sz w:val="36"/>
      <w:szCs w:val="20"/>
      <w:lang w:val="en-US" w:eastAsia="en-US"/>
    </w:rPr>
  </w:style>
  <w:style w:type="paragraph" w:customStyle="1" w:styleId="Heading4unspaced">
    <w:name w:val="Heading 4 unspaced"/>
    <w:basedOn w:val="Heading4"/>
    <w:next w:val="BodyText1"/>
    <w:uiPriority w:val="75"/>
    <w:rsid w:val="00BE40E6"/>
    <w:pPr>
      <w:numPr>
        <w:ilvl w:val="0"/>
        <w:numId w:val="0"/>
      </w:numPr>
      <w:shd w:val="clear" w:color="auto" w:fill="FFFFFF" w:themeFill="background1"/>
      <w:tabs>
        <w:tab w:val="left" w:pos="181"/>
      </w:tabs>
      <w:spacing w:line="270" w:lineRule="exact"/>
    </w:pPr>
    <w:rPr>
      <w:rFonts w:ascii="Arial" w:eastAsia="Times New Roman" w:hAnsi="Arial"/>
      <w:bCs w:val="0"/>
      <w:i/>
      <w:color w:val="595959" w:themeColor="text1" w:themeTint="A6"/>
      <w:kern w:val="32"/>
      <w:szCs w:val="20"/>
      <w:lang w:val="en-AU"/>
    </w:rPr>
  </w:style>
  <w:style w:type="paragraph" w:customStyle="1" w:styleId="Heading2unspaced">
    <w:name w:val="Heading 2 unspaced"/>
    <w:basedOn w:val="Heading2"/>
    <w:next w:val="BodyText1"/>
    <w:uiPriority w:val="75"/>
    <w:rsid w:val="00BE40E6"/>
    <w:pPr>
      <w:numPr>
        <w:ilvl w:val="0"/>
        <w:numId w:val="0"/>
      </w:numPr>
      <w:shd w:val="clear" w:color="auto" w:fill="FFFFFF" w:themeFill="background1"/>
      <w:spacing w:line="300" w:lineRule="atLeast"/>
      <w:contextualSpacing/>
    </w:pPr>
    <w:rPr>
      <w:rFonts w:ascii="Arial Bold" w:eastAsia="Times New Roman" w:hAnsi="Arial Bold"/>
      <w:bCs w:val="0"/>
      <w:color w:val="4B306A"/>
      <w:kern w:val="32"/>
      <w:sz w:val="28"/>
      <w:szCs w:val="28"/>
      <w:lang w:val="en-AU"/>
    </w:rPr>
  </w:style>
  <w:style w:type="paragraph" w:customStyle="1" w:styleId="Quotes">
    <w:name w:val="Quotes"/>
    <w:basedOn w:val="Normal"/>
    <w:uiPriority w:val="99"/>
    <w:semiHidden/>
    <w:rsid w:val="00BE40E6"/>
    <w:pPr>
      <w:spacing w:before="120" w:after="120" w:line="260" w:lineRule="exact"/>
      <w:ind w:left="340"/>
    </w:pPr>
    <w:rPr>
      <w:rFonts w:ascii="Arial" w:hAnsi="Arial"/>
      <w:i/>
      <w:lang w:val="en-US" w:eastAsia="en-US"/>
    </w:rPr>
  </w:style>
  <w:style w:type="paragraph" w:customStyle="1" w:styleId="Reference">
    <w:name w:val="Reference"/>
    <w:basedOn w:val="Normal"/>
    <w:uiPriority w:val="20"/>
    <w:rsid w:val="00BE40E6"/>
    <w:pPr>
      <w:spacing w:before="240" w:after="120" w:line="288" w:lineRule="auto"/>
      <w:ind w:left="360" w:hanging="360"/>
      <w:contextualSpacing/>
    </w:pPr>
    <w:rPr>
      <w:rFonts w:ascii="Arial Narrow" w:hAnsi="Arial Narrow"/>
      <w:sz w:val="18"/>
      <w:szCs w:val="20"/>
      <w:lang w:val="en-US" w:eastAsia="en-US"/>
    </w:rPr>
  </w:style>
  <w:style w:type="character" w:customStyle="1" w:styleId="TablefootnoteCharChar">
    <w:name w:val="Table footnote Char Char"/>
    <w:basedOn w:val="DefaultParagraphFont"/>
    <w:link w:val="Tablefootnote"/>
    <w:uiPriority w:val="57"/>
    <w:locked/>
    <w:rsid w:val="00BE40E6"/>
    <w:rPr>
      <w:rFonts w:ascii="Arial Narrow" w:hAnsi="Arial Narrow"/>
      <w:sz w:val="16"/>
      <w:lang w:val="en-US" w:eastAsia="en-US"/>
    </w:rPr>
  </w:style>
  <w:style w:type="paragraph" w:customStyle="1" w:styleId="Tablefootnote">
    <w:name w:val="Table footnote"/>
    <w:basedOn w:val="Normal"/>
    <w:next w:val="BodyText1"/>
    <w:link w:val="TablefootnoteCharChar"/>
    <w:uiPriority w:val="57"/>
    <w:rsid w:val="00BE40E6"/>
    <w:pPr>
      <w:spacing w:before="60" w:line="240" w:lineRule="auto"/>
      <w:ind w:left="426"/>
    </w:pPr>
    <w:rPr>
      <w:rFonts w:ascii="Arial Narrow" w:hAnsi="Arial Narrow"/>
      <w:sz w:val="16"/>
      <w:szCs w:val="20"/>
      <w:lang w:val="en-US" w:eastAsia="en-US"/>
    </w:rPr>
  </w:style>
  <w:style w:type="paragraph" w:customStyle="1" w:styleId="Referencenumbered">
    <w:name w:val="Reference numbered"/>
    <w:basedOn w:val="Reference"/>
    <w:uiPriority w:val="75"/>
    <w:rsid w:val="00BE40E6"/>
    <w:pPr>
      <w:numPr>
        <w:numId w:val="38"/>
      </w:numPr>
    </w:pPr>
    <w:rPr>
      <w:lang w:val="en-AU"/>
    </w:rPr>
  </w:style>
  <w:style w:type="paragraph" w:customStyle="1" w:styleId="Heading3unspaced">
    <w:name w:val="Heading 3 unspaced"/>
    <w:basedOn w:val="Heading3"/>
    <w:next w:val="BodyText1"/>
    <w:uiPriority w:val="75"/>
    <w:rsid w:val="00BE40E6"/>
    <w:pPr>
      <w:shd w:val="clear" w:color="auto" w:fill="FFFFFF" w:themeFill="background1"/>
      <w:tabs>
        <w:tab w:val="left" w:pos="181"/>
      </w:tabs>
      <w:spacing w:line="270" w:lineRule="exact"/>
    </w:pPr>
    <w:rPr>
      <w:rFonts w:ascii="Arial Bold" w:eastAsia="Times New Roman" w:hAnsi="Arial Bold"/>
      <w:b w:val="0"/>
      <w:iCs/>
      <w:color w:val="595959"/>
      <w:kern w:val="32"/>
      <w:sz w:val="26"/>
      <w:szCs w:val="34"/>
    </w:rPr>
  </w:style>
  <w:style w:type="paragraph" w:customStyle="1" w:styleId="Listbody">
    <w:name w:val="List body"/>
    <w:basedOn w:val="BodyText1"/>
    <w:uiPriority w:val="99"/>
    <w:semiHidden/>
    <w:rsid w:val="00BE40E6"/>
  </w:style>
  <w:style w:type="paragraph" w:customStyle="1" w:styleId="ListBullet1">
    <w:name w:val="List Bullet1"/>
    <w:basedOn w:val="BodyText1"/>
    <w:uiPriority w:val="5"/>
    <w:rsid w:val="00BE40E6"/>
    <w:pPr>
      <w:numPr>
        <w:numId w:val="39"/>
      </w:numPr>
      <w:tabs>
        <w:tab w:val="num" w:pos="360"/>
      </w:tabs>
      <w:ind w:left="0" w:firstLine="0"/>
      <w:contextualSpacing/>
    </w:pPr>
  </w:style>
  <w:style w:type="paragraph" w:customStyle="1" w:styleId="FooterLHS">
    <w:name w:val="Footer LHS"/>
    <w:basedOn w:val="Footer"/>
    <w:uiPriority w:val="99"/>
    <w:semiHidden/>
    <w:rsid w:val="00BE40E6"/>
    <w:pPr>
      <w:pBdr>
        <w:top w:val="none" w:sz="0" w:space="0" w:color="auto"/>
      </w:pBdr>
      <w:tabs>
        <w:tab w:val="clear" w:pos="4513"/>
        <w:tab w:val="clear" w:pos="9026"/>
      </w:tabs>
      <w:spacing w:before="0" w:after="0" w:line="240" w:lineRule="auto"/>
    </w:pPr>
    <w:rPr>
      <w:rFonts w:ascii="Times New Roman" w:eastAsia="Times New Roman" w:hAnsi="Times New Roman" w:cs="Times New Roman"/>
      <w:b w:val="0"/>
      <w:color w:val="auto"/>
      <w:sz w:val="20"/>
      <w:szCs w:val="20"/>
    </w:rPr>
  </w:style>
  <w:style w:type="paragraph" w:customStyle="1" w:styleId="HeaderLHS">
    <w:name w:val="Header LHS"/>
    <w:basedOn w:val="Header"/>
    <w:uiPriority w:val="99"/>
    <w:semiHidden/>
    <w:rsid w:val="00BE40E6"/>
    <w:pPr>
      <w:tabs>
        <w:tab w:val="clear" w:pos="4680"/>
        <w:tab w:val="clear" w:pos="9360"/>
        <w:tab w:val="center" w:pos="4153"/>
        <w:tab w:val="right" w:pos="8306"/>
      </w:tabs>
      <w:spacing w:line="360" w:lineRule="auto"/>
    </w:pPr>
    <w:rPr>
      <w:rFonts w:ascii="Arial Narrow" w:hAnsi="Arial Narrow"/>
      <w:caps/>
      <w:noProof/>
      <w:color w:val="4B306A"/>
      <w:sz w:val="16"/>
      <w:lang w:val="en-US"/>
    </w:rPr>
  </w:style>
  <w:style w:type="paragraph" w:customStyle="1" w:styleId="Footerintropage">
    <w:name w:val="Footer intro page"/>
    <w:basedOn w:val="Footer"/>
    <w:uiPriority w:val="99"/>
    <w:semiHidden/>
    <w:rsid w:val="00BE40E6"/>
    <w:pPr>
      <w:pBdr>
        <w:top w:val="none" w:sz="0" w:space="0" w:color="auto"/>
      </w:pBdr>
      <w:tabs>
        <w:tab w:val="clear" w:pos="4513"/>
        <w:tab w:val="clear" w:pos="9026"/>
      </w:tabs>
      <w:spacing w:before="0" w:after="0" w:line="240" w:lineRule="auto"/>
    </w:pPr>
    <w:rPr>
      <w:rFonts w:ascii="Times New Roman" w:eastAsia="Times New Roman" w:hAnsi="Times New Roman" w:cs="Times New Roman"/>
      <w:b w:val="0"/>
      <w:color w:val="auto"/>
      <w:sz w:val="20"/>
      <w:szCs w:val="20"/>
    </w:rPr>
  </w:style>
  <w:style w:type="paragraph" w:customStyle="1" w:styleId="Heading1numbered">
    <w:name w:val="Heading 1 numbered"/>
    <w:basedOn w:val="Heading1"/>
    <w:next w:val="BodyText1"/>
    <w:uiPriority w:val="75"/>
    <w:rsid w:val="00BE40E6"/>
    <w:pPr>
      <w:pageBreakBefore/>
      <w:widowControl/>
      <w:numPr>
        <w:numId w:val="40"/>
      </w:numPr>
      <w:pBdr>
        <w:bottom w:val="single" w:sz="18" w:space="5" w:color="4B306A"/>
      </w:pBdr>
      <w:shd w:val="clear" w:color="auto" w:fill="FFFFFF" w:themeFill="background1"/>
      <w:autoSpaceDE/>
      <w:autoSpaceDN/>
      <w:adjustRightInd/>
      <w:spacing w:before="0" w:after="240" w:line="240" w:lineRule="auto"/>
      <w:textAlignment w:val="auto"/>
    </w:pPr>
    <w:rPr>
      <w:rFonts w:ascii="Arial Bold" w:hAnsi="Arial Bold" w:cs="Arial"/>
      <w:caps/>
      <w:color w:val="4B306A"/>
      <w:kern w:val="32"/>
      <w:sz w:val="42"/>
      <w:szCs w:val="32"/>
      <w:lang w:val="en-AU"/>
    </w:rPr>
  </w:style>
  <w:style w:type="paragraph" w:customStyle="1" w:styleId="Heading5unspaced">
    <w:name w:val="Heading 5 unspaced"/>
    <w:basedOn w:val="Heading5"/>
    <w:next w:val="BodyText1"/>
    <w:uiPriority w:val="75"/>
    <w:rsid w:val="00BE40E6"/>
    <w:pPr>
      <w:keepNext/>
      <w:shd w:val="clear" w:color="auto" w:fill="FFFFFF" w:themeFill="background1"/>
      <w:tabs>
        <w:tab w:val="left" w:pos="181"/>
      </w:tabs>
      <w:spacing w:before="120" w:after="120" w:line="230" w:lineRule="exact"/>
    </w:pPr>
    <w:rPr>
      <w:rFonts w:ascii="Arial" w:eastAsia="Times New Roman" w:hAnsi="Arial"/>
      <w:iCs w:val="0"/>
      <w:color w:val="595959" w:themeColor="text1" w:themeTint="A6"/>
      <w:kern w:val="32"/>
      <w:sz w:val="20"/>
      <w:lang w:val="en-AU"/>
    </w:rPr>
  </w:style>
  <w:style w:type="paragraph" w:customStyle="1" w:styleId="Heading2numbered">
    <w:name w:val="Heading 2 numbered"/>
    <w:basedOn w:val="Heading2"/>
    <w:next w:val="BodyText1"/>
    <w:uiPriority w:val="75"/>
    <w:rsid w:val="00BE40E6"/>
    <w:pPr>
      <w:numPr>
        <w:numId w:val="40"/>
      </w:numPr>
      <w:shd w:val="clear" w:color="auto" w:fill="FFFFFF" w:themeFill="background1"/>
      <w:spacing w:before="360" w:line="300" w:lineRule="atLeast"/>
      <w:contextualSpacing/>
    </w:pPr>
    <w:rPr>
      <w:rFonts w:ascii="Arial Bold" w:eastAsia="Times New Roman" w:hAnsi="Arial Bold"/>
      <w:bCs w:val="0"/>
      <w:color w:val="4B306A"/>
      <w:kern w:val="32"/>
      <w:sz w:val="28"/>
      <w:szCs w:val="28"/>
      <w:lang w:val="en-AU"/>
    </w:rPr>
  </w:style>
  <w:style w:type="paragraph" w:customStyle="1" w:styleId="Heading3numbered">
    <w:name w:val="Heading 3 numbered"/>
    <w:basedOn w:val="Heading3"/>
    <w:next w:val="BodyText1"/>
    <w:uiPriority w:val="75"/>
    <w:rsid w:val="00BE40E6"/>
    <w:pPr>
      <w:numPr>
        <w:ilvl w:val="2"/>
        <w:numId w:val="40"/>
      </w:numPr>
      <w:shd w:val="clear" w:color="auto" w:fill="FFFFFF" w:themeFill="background1"/>
      <w:tabs>
        <w:tab w:val="left" w:pos="-3960"/>
      </w:tabs>
      <w:spacing w:before="360" w:line="270" w:lineRule="exact"/>
    </w:pPr>
    <w:rPr>
      <w:rFonts w:ascii="Arial Bold" w:eastAsia="Times New Roman" w:hAnsi="Arial Bold"/>
      <w:b w:val="0"/>
      <w:iCs/>
      <w:color w:val="595959"/>
      <w:kern w:val="32"/>
      <w:sz w:val="26"/>
      <w:szCs w:val="34"/>
      <w:lang w:val="en-AU"/>
    </w:rPr>
  </w:style>
  <w:style w:type="paragraph" w:customStyle="1" w:styleId="Heading4numbered">
    <w:name w:val="Heading 4 numbered"/>
    <w:basedOn w:val="Heading4"/>
    <w:next w:val="BodyText1"/>
    <w:uiPriority w:val="75"/>
    <w:rsid w:val="00BE40E6"/>
    <w:pPr>
      <w:numPr>
        <w:numId w:val="40"/>
      </w:numPr>
      <w:shd w:val="clear" w:color="auto" w:fill="FFFFFF" w:themeFill="background1"/>
      <w:spacing w:before="360" w:line="270" w:lineRule="exact"/>
    </w:pPr>
    <w:rPr>
      <w:rFonts w:ascii="Arial" w:eastAsia="Times New Roman" w:hAnsi="Arial"/>
      <w:bCs w:val="0"/>
      <w:i/>
      <w:iCs/>
      <w:color w:val="595959" w:themeColor="text1" w:themeTint="A6"/>
      <w:kern w:val="32"/>
      <w:szCs w:val="28"/>
      <w:lang w:val="en-AU"/>
    </w:rPr>
  </w:style>
  <w:style w:type="paragraph" w:customStyle="1" w:styleId="Heading5numbered">
    <w:name w:val="Heading 5 numbered"/>
    <w:basedOn w:val="Heading5"/>
    <w:next w:val="Normal"/>
    <w:uiPriority w:val="75"/>
    <w:rsid w:val="00BE40E6"/>
    <w:pPr>
      <w:keepNext/>
      <w:numPr>
        <w:ilvl w:val="4"/>
        <w:numId w:val="40"/>
      </w:numPr>
      <w:shd w:val="clear" w:color="auto" w:fill="FFFFFF" w:themeFill="background1"/>
      <w:spacing w:before="360" w:after="120" w:line="230" w:lineRule="exact"/>
    </w:pPr>
    <w:rPr>
      <w:rFonts w:ascii="Arial" w:eastAsia="Times New Roman" w:hAnsi="Arial"/>
      <w:iCs w:val="0"/>
      <w:color w:val="595959" w:themeColor="text1" w:themeTint="A6"/>
      <w:kern w:val="32"/>
      <w:sz w:val="20"/>
      <w:lang w:val="en-AU"/>
    </w:rPr>
  </w:style>
  <w:style w:type="paragraph" w:customStyle="1" w:styleId="Pullquote">
    <w:name w:val="Pull quote"/>
    <w:basedOn w:val="Normal"/>
    <w:next w:val="BodyText1"/>
    <w:uiPriority w:val="75"/>
    <w:rsid w:val="00BE40E6"/>
    <w:pPr>
      <w:spacing w:before="240" w:after="120" w:line="288" w:lineRule="auto"/>
      <w:ind w:left="-284" w:right="1633"/>
      <w:contextualSpacing/>
    </w:pPr>
    <w:rPr>
      <w:rFonts w:ascii="Arial Narrow" w:hAnsi="Arial Narrow"/>
      <w:color w:val="4D4D4D"/>
      <w:sz w:val="25"/>
      <w:szCs w:val="20"/>
      <w:lang w:val="en-US" w:eastAsia="en-US"/>
    </w:rPr>
  </w:style>
  <w:style w:type="paragraph" w:customStyle="1" w:styleId="Appendix">
    <w:name w:val="Appendix"/>
    <w:basedOn w:val="Heading1"/>
    <w:next w:val="BodyText1"/>
    <w:uiPriority w:val="75"/>
    <w:rsid w:val="00BE40E6"/>
    <w:pPr>
      <w:pageBreakBefore/>
      <w:widowControl/>
      <w:numPr>
        <w:numId w:val="41"/>
      </w:numPr>
      <w:pBdr>
        <w:bottom w:val="single" w:sz="18" w:space="5" w:color="4B306A"/>
      </w:pBdr>
      <w:shd w:val="clear" w:color="auto" w:fill="FFFFFF" w:themeFill="background1"/>
      <w:autoSpaceDE/>
      <w:autoSpaceDN/>
      <w:adjustRightInd/>
      <w:spacing w:before="0" w:after="240" w:line="240" w:lineRule="auto"/>
      <w:textAlignment w:val="auto"/>
    </w:pPr>
    <w:rPr>
      <w:rFonts w:ascii="Arial Bold" w:hAnsi="Arial Bold" w:cs="Arial"/>
      <w:caps/>
      <w:color w:val="4B306A"/>
      <w:kern w:val="32"/>
      <w:sz w:val="36"/>
      <w:szCs w:val="32"/>
      <w:lang w:val="en-AU"/>
    </w:rPr>
  </w:style>
  <w:style w:type="paragraph" w:customStyle="1" w:styleId="Figure">
    <w:name w:val="Figure"/>
    <w:next w:val="BodyText1"/>
    <w:uiPriority w:val="16"/>
    <w:qFormat/>
    <w:rsid w:val="00BE40E6"/>
    <w:pPr>
      <w:spacing w:line="360" w:lineRule="auto"/>
    </w:pPr>
    <w:rPr>
      <w:rFonts w:asciiTheme="minorHAnsi" w:hAnsiTheme="minorHAnsi" w:cstheme="minorHAnsi"/>
      <w:b/>
      <w:noProof/>
      <w:color w:val="B66113"/>
      <w:sz w:val="22"/>
      <w:szCs w:val="22"/>
      <w:lang w:val="en-US"/>
    </w:rPr>
  </w:style>
  <w:style w:type="paragraph" w:customStyle="1" w:styleId="Figuretitle">
    <w:name w:val="Figure title"/>
    <w:basedOn w:val="BodyText1"/>
    <w:next w:val="Figure"/>
    <w:uiPriority w:val="15"/>
    <w:rsid w:val="00BE40E6"/>
    <w:pPr>
      <w:keepNext/>
      <w:numPr>
        <w:numId w:val="42"/>
      </w:numPr>
      <w:tabs>
        <w:tab w:val="num" w:pos="360"/>
      </w:tabs>
      <w:spacing w:before="240"/>
      <w:ind w:left="720" w:firstLine="0"/>
      <w:outlineLvl w:val="2"/>
    </w:pPr>
    <w:rPr>
      <w:rFonts w:ascii="Arial Narrow" w:hAnsi="Arial Narrow"/>
      <w:b/>
      <w:caps/>
      <w:color w:val="4B306A"/>
      <w:sz w:val="16"/>
      <w:lang w:eastAsia="en-US"/>
    </w:rPr>
  </w:style>
  <w:style w:type="paragraph" w:customStyle="1" w:styleId="Tabletitle">
    <w:name w:val="Table title"/>
    <w:basedOn w:val="Figuretitle"/>
    <w:next w:val="BodyText1"/>
    <w:uiPriority w:val="51"/>
    <w:rsid w:val="00BE40E6"/>
    <w:pPr>
      <w:numPr>
        <w:numId w:val="43"/>
      </w:numPr>
      <w:tabs>
        <w:tab w:val="num" w:pos="360"/>
      </w:tabs>
      <w:ind w:left="720" w:firstLine="0"/>
    </w:pPr>
  </w:style>
  <w:style w:type="paragraph" w:customStyle="1" w:styleId="Bodytextintro">
    <w:name w:val="Body text intro"/>
    <w:basedOn w:val="BodyText1"/>
    <w:next w:val="BodyText1"/>
    <w:uiPriority w:val="75"/>
    <w:rsid w:val="00BE40E6"/>
    <w:rPr>
      <w:sz w:val="23"/>
      <w:lang w:eastAsia="en-US"/>
    </w:rPr>
  </w:style>
  <w:style w:type="paragraph" w:customStyle="1" w:styleId="Surveyquestionlist">
    <w:name w:val="Survey question list"/>
    <w:basedOn w:val="BodyText1"/>
    <w:uiPriority w:val="91"/>
    <w:rsid w:val="00BE40E6"/>
    <w:pPr>
      <w:numPr>
        <w:numId w:val="44"/>
      </w:numPr>
      <w:tabs>
        <w:tab w:val="clear" w:pos="312"/>
        <w:tab w:val="num" w:pos="360"/>
      </w:tabs>
      <w:spacing w:after="0" w:line="280" w:lineRule="exact"/>
      <w:ind w:left="360" w:hanging="360"/>
      <w:contextualSpacing/>
    </w:pPr>
    <w:rPr>
      <w:rFonts w:ascii="Arial Narrow" w:hAnsi="Arial Narrow"/>
      <w:b/>
      <w:lang w:eastAsia="en-US"/>
    </w:rPr>
  </w:style>
  <w:style w:type="paragraph" w:customStyle="1" w:styleId="Surveyanswerlist">
    <w:name w:val="Survey answer list"/>
    <w:basedOn w:val="BodyText1"/>
    <w:uiPriority w:val="91"/>
    <w:rsid w:val="00BE40E6"/>
    <w:pPr>
      <w:numPr>
        <w:numId w:val="45"/>
      </w:numPr>
      <w:tabs>
        <w:tab w:val="clear" w:pos="794"/>
        <w:tab w:val="num" w:pos="360"/>
      </w:tabs>
      <w:ind w:left="720" w:hanging="360"/>
    </w:pPr>
    <w:rPr>
      <w:rFonts w:ascii="Arial Narrow" w:hAnsi="Arial Narrow"/>
      <w:lang w:eastAsia="en-US"/>
    </w:rPr>
  </w:style>
  <w:style w:type="paragraph" w:customStyle="1" w:styleId="Breakout-Discuss">
    <w:name w:val="Breakout - Discuss"/>
    <w:next w:val="BodyText1"/>
    <w:uiPriority w:val="75"/>
    <w:rsid w:val="00BE40E6"/>
    <w:pPr>
      <w:keepNext/>
      <w:keepLines/>
      <w:framePr w:w="3402" w:hSpace="284" w:wrap="around" w:vAnchor="text" w:hAnchor="text" w:xAlign="right" w:y="1"/>
      <w:numPr>
        <w:numId w:val="46"/>
      </w:numPr>
      <w:pBdr>
        <w:top w:val="single" w:sz="18" w:space="8" w:color="4B306A"/>
        <w:left w:val="single" w:sz="18" w:space="4" w:color="4B306A"/>
        <w:bottom w:val="single" w:sz="18" w:space="8" w:color="4B306A"/>
        <w:right w:val="single" w:sz="18" w:space="8" w:color="4B306A"/>
      </w:pBdr>
      <w:spacing w:line="280" w:lineRule="exact"/>
      <w:ind w:left="567" w:hanging="567"/>
      <w:textboxTightWrap w:val="allLines"/>
    </w:pPr>
    <w:rPr>
      <w:rFonts w:ascii="Arial Narrow" w:hAnsi="Arial Narrow"/>
      <w:sz w:val="23"/>
      <w:lang w:eastAsia="en-US"/>
    </w:rPr>
  </w:style>
  <w:style w:type="paragraph" w:customStyle="1" w:styleId="Tablebullet">
    <w:name w:val="Table bullet"/>
    <w:basedOn w:val="Normal"/>
    <w:uiPriority w:val="53"/>
    <w:rsid w:val="00BE40E6"/>
    <w:pPr>
      <w:numPr>
        <w:numId w:val="47"/>
      </w:numPr>
      <w:spacing w:before="0" w:after="0" w:line="240" w:lineRule="auto"/>
    </w:pPr>
    <w:rPr>
      <w:rFonts w:ascii="Arial Narrow" w:hAnsi="Arial Narrow"/>
      <w:sz w:val="20"/>
      <w:lang w:val="en-US"/>
    </w:rPr>
  </w:style>
  <w:style w:type="paragraph" w:customStyle="1" w:styleId="Blankpage">
    <w:name w:val="Blank page"/>
    <w:basedOn w:val="BodyText1"/>
    <w:uiPriority w:val="75"/>
    <w:rsid w:val="00BE40E6"/>
    <w:pPr>
      <w:framePr w:wrap="around" w:hAnchor="margin" w:xAlign="center" w:yAlign="center"/>
    </w:pPr>
    <w:rPr>
      <w:color w:val="401E6C"/>
    </w:rPr>
  </w:style>
  <w:style w:type="paragraph" w:customStyle="1" w:styleId="Surveycheckbox">
    <w:name w:val="Survey check box"/>
    <w:basedOn w:val="Normal"/>
    <w:uiPriority w:val="91"/>
    <w:rsid w:val="00BE40E6"/>
    <w:pPr>
      <w:numPr>
        <w:numId w:val="48"/>
      </w:numPr>
      <w:spacing w:before="0" w:after="0" w:line="280" w:lineRule="exact"/>
    </w:pPr>
    <w:rPr>
      <w:rFonts w:ascii="Arial Narrow" w:hAnsi="Arial Narrow"/>
      <w:sz w:val="20"/>
      <w:lang w:val="en-US"/>
    </w:rPr>
  </w:style>
  <w:style w:type="paragraph" w:customStyle="1" w:styleId="Surveycheckboxchecked">
    <w:name w:val="Survey check box checked"/>
    <w:next w:val="Surveycheckbox"/>
    <w:uiPriority w:val="91"/>
    <w:rsid w:val="00BE40E6"/>
    <w:pPr>
      <w:numPr>
        <w:numId w:val="49"/>
      </w:numPr>
      <w:spacing w:line="280" w:lineRule="exact"/>
    </w:pPr>
    <w:rPr>
      <w:rFonts w:ascii="Arial Narrow" w:hAnsi="Arial Narrow"/>
      <w:szCs w:val="24"/>
    </w:rPr>
  </w:style>
  <w:style w:type="paragraph" w:customStyle="1" w:styleId="Surveyinstruction">
    <w:name w:val="Survey instruction"/>
    <w:basedOn w:val="Surveyquestionlist"/>
    <w:next w:val="Surveycheckbox"/>
    <w:uiPriority w:val="91"/>
    <w:rsid w:val="00BE40E6"/>
    <w:pPr>
      <w:numPr>
        <w:numId w:val="0"/>
      </w:numPr>
      <w:spacing w:before="0" w:line="240" w:lineRule="auto"/>
      <w:ind w:left="1078" w:hanging="539"/>
      <w:contextualSpacing w:val="0"/>
    </w:pPr>
    <w:rPr>
      <w:b w:val="0"/>
      <w:sz w:val="18"/>
    </w:rPr>
  </w:style>
  <w:style w:type="paragraph" w:customStyle="1" w:styleId="DocumentVersion">
    <w:name w:val="DocumentVersion"/>
    <w:basedOn w:val="DocumentTitle"/>
    <w:uiPriority w:val="99"/>
    <w:rsid w:val="00BE40E6"/>
    <w:pPr>
      <w:spacing w:before="0" w:after="0" w:line="240" w:lineRule="auto"/>
      <w:ind w:right="0"/>
    </w:pPr>
    <w:rPr>
      <w:b w:val="0"/>
      <w:caps w:val="0"/>
      <w:sz w:val="24"/>
    </w:rPr>
  </w:style>
  <w:style w:type="paragraph" w:customStyle="1" w:styleId="Tablenumbers">
    <w:name w:val="Table numbers"/>
    <w:basedOn w:val="Normal"/>
    <w:uiPriority w:val="56"/>
    <w:rsid w:val="00BE40E6"/>
    <w:pPr>
      <w:tabs>
        <w:tab w:val="decimal" w:pos="406"/>
      </w:tabs>
      <w:spacing w:before="60" w:after="0" w:line="264" w:lineRule="auto"/>
      <w:ind w:right="170"/>
    </w:pPr>
    <w:rPr>
      <w:rFonts w:ascii="Arial Narrow" w:hAnsi="Arial Narrow"/>
      <w:sz w:val="20"/>
      <w:lang w:val="en-US"/>
    </w:rPr>
  </w:style>
  <w:style w:type="paragraph" w:customStyle="1" w:styleId="Continuedover">
    <w:name w:val="Continued over"/>
    <w:basedOn w:val="BodyText1"/>
    <w:uiPriority w:val="75"/>
    <w:rsid w:val="00BE40E6"/>
    <w:pPr>
      <w:framePr w:wrap="notBeside" w:vAnchor="page" w:hAnchor="margin" w:xAlign="right" w:y="15877"/>
      <w:spacing w:after="60" w:line="270" w:lineRule="exact"/>
      <w:jc w:val="right"/>
    </w:pPr>
    <w:rPr>
      <w:i/>
      <w:sz w:val="17"/>
      <w:lang w:eastAsia="en-US"/>
    </w:rPr>
  </w:style>
  <w:style w:type="paragraph" w:customStyle="1" w:styleId="Continuedfrom">
    <w:name w:val="Continued from"/>
    <w:basedOn w:val="Continuedover"/>
    <w:uiPriority w:val="75"/>
    <w:rsid w:val="00BE40E6"/>
    <w:pPr>
      <w:framePr w:wrap="around" w:xAlign="left" w:y="766"/>
      <w:jc w:val="left"/>
    </w:pPr>
  </w:style>
  <w:style w:type="paragraph" w:customStyle="1" w:styleId="Author">
    <w:name w:val="Author"/>
    <w:basedOn w:val="BodyText1"/>
    <w:uiPriority w:val="75"/>
    <w:rsid w:val="00BE40E6"/>
    <w:pPr>
      <w:framePr w:vSpace="85" w:wrap="notBeside" w:hAnchor="margin" w:yAlign="top"/>
      <w:spacing w:before="0" w:after="0" w:line="200" w:lineRule="exact"/>
      <w:contextualSpacing/>
    </w:pPr>
    <w:rPr>
      <w:rFonts w:ascii="Arial Narrow" w:hAnsi="Arial Narrow"/>
      <w:color w:val="401E6C"/>
      <w:sz w:val="18"/>
      <w:lang w:eastAsia="en-US"/>
    </w:rPr>
  </w:style>
  <w:style w:type="paragraph" w:customStyle="1" w:styleId="Tableinlinepadding">
    <w:name w:val="Table inline padding"/>
    <w:basedOn w:val="BodyText1"/>
    <w:uiPriority w:val="57"/>
    <w:rsid w:val="00BE40E6"/>
    <w:pPr>
      <w:spacing w:before="0" w:after="0" w:line="240" w:lineRule="auto"/>
      <w:contextualSpacing/>
    </w:pPr>
    <w:rPr>
      <w:sz w:val="12"/>
      <w:szCs w:val="12"/>
      <w:lang w:eastAsia="en-US"/>
    </w:rPr>
  </w:style>
  <w:style w:type="paragraph" w:customStyle="1" w:styleId="TitleNPS">
    <w:name w:val="Title NPS"/>
    <w:basedOn w:val="Contents"/>
    <w:uiPriority w:val="99"/>
    <w:semiHidden/>
    <w:qFormat/>
    <w:rsid w:val="00BE40E6"/>
    <w:pPr>
      <w:spacing w:before="0" w:after="0" w:line="240" w:lineRule="auto"/>
      <w:contextualSpacing/>
    </w:pPr>
    <w:rPr>
      <w:sz w:val="28"/>
    </w:rPr>
  </w:style>
  <w:style w:type="paragraph" w:customStyle="1" w:styleId="Boxtitle">
    <w:name w:val="Box title"/>
    <w:basedOn w:val="Figuretitle"/>
    <w:uiPriority w:val="75"/>
    <w:rsid w:val="00BE40E6"/>
    <w:pPr>
      <w:numPr>
        <w:numId w:val="50"/>
      </w:numPr>
      <w:tabs>
        <w:tab w:val="num" w:pos="360"/>
      </w:tabs>
      <w:ind w:left="720" w:firstLine="0"/>
    </w:pPr>
  </w:style>
  <w:style w:type="paragraph" w:customStyle="1" w:styleId="List-Discuss">
    <w:name w:val="List - Discuss"/>
    <w:next w:val="BodyText1"/>
    <w:uiPriority w:val="75"/>
    <w:rsid w:val="00BE40E6"/>
    <w:pPr>
      <w:numPr>
        <w:numId w:val="51"/>
      </w:numPr>
      <w:spacing w:before="120" w:after="120" w:line="240" w:lineRule="exact"/>
    </w:pPr>
    <w:rPr>
      <w:rFonts w:ascii="Arial Narrow" w:hAnsi="Arial Narrow"/>
      <w:sz w:val="23"/>
      <w:lang w:eastAsia="en-US"/>
    </w:rPr>
  </w:style>
  <w:style w:type="paragraph" w:customStyle="1" w:styleId="List-Info">
    <w:name w:val="List - Info"/>
    <w:basedOn w:val="List-Discuss"/>
    <w:uiPriority w:val="75"/>
    <w:rsid w:val="00BE40E6"/>
    <w:pPr>
      <w:numPr>
        <w:numId w:val="52"/>
      </w:numPr>
    </w:pPr>
  </w:style>
  <w:style w:type="paragraph" w:customStyle="1" w:styleId="List-Question">
    <w:name w:val="List - Question"/>
    <w:basedOn w:val="List-Discuss"/>
    <w:uiPriority w:val="75"/>
    <w:rsid w:val="00BE40E6"/>
    <w:pPr>
      <w:numPr>
        <w:numId w:val="53"/>
      </w:numPr>
    </w:pPr>
  </w:style>
  <w:style w:type="paragraph" w:customStyle="1" w:styleId="List-Warning">
    <w:name w:val="List - Warning"/>
    <w:basedOn w:val="List-Info"/>
    <w:uiPriority w:val="75"/>
    <w:rsid w:val="00BE40E6"/>
    <w:pPr>
      <w:numPr>
        <w:numId w:val="54"/>
      </w:numPr>
    </w:pPr>
  </w:style>
  <w:style w:type="paragraph" w:customStyle="1" w:styleId="Breakout-Info">
    <w:name w:val="Breakout - Info"/>
    <w:basedOn w:val="Breakout-Discuss"/>
    <w:uiPriority w:val="75"/>
    <w:rsid w:val="00BE40E6"/>
    <w:pPr>
      <w:framePr w:wrap="around"/>
      <w:numPr>
        <w:numId w:val="55"/>
      </w:numPr>
      <w:pBdr>
        <w:top w:val="single" w:sz="18" w:space="8" w:color="F47B28"/>
        <w:left w:val="single" w:sz="18" w:space="4" w:color="F47B28"/>
        <w:bottom w:val="single" w:sz="18" w:space="8" w:color="F47B28"/>
        <w:right w:val="single" w:sz="18" w:space="4" w:color="F47B28"/>
      </w:pBdr>
      <w:ind w:left="567" w:hanging="567"/>
    </w:pPr>
  </w:style>
  <w:style w:type="paragraph" w:customStyle="1" w:styleId="Breakout-Question">
    <w:name w:val="Breakout - Question"/>
    <w:basedOn w:val="Breakout-Info"/>
    <w:uiPriority w:val="75"/>
    <w:rsid w:val="00BE40E6"/>
    <w:pPr>
      <w:framePr w:wrap="around"/>
      <w:numPr>
        <w:numId w:val="56"/>
      </w:numPr>
      <w:pBdr>
        <w:top w:val="single" w:sz="18" w:space="8" w:color="401E6C"/>
        <w:left w:val="single" w:sz="18" w:space="4" w:color="401E6C"/>
        <w:bottom w:val="single" w:sz="18" w:space="8" w:color="401E6C"/>
        <w:right w:val="single" w:sz="18" w:space="4" w:color="401E6C"/>
      </w:pBdr>
    </w:pPr>
  </w:style>
  <w:style w:type="paragraph" w:customStyle="1" w:styleId="Breakout-warning">
    <w:name w:val="Breakout - warning"/>
    <w:basedOn w:val="Breakout-Info"/>
    <w:uiPriority w:val="75"/>
    <w:rsid w:val="00BE40E6"/>
    <w:pPr>
      <w:framePr w:wrap="around"/>
      <w:numPr>
        <w:numId w:val="57"/>
      </w:numPr>
      <w:ind w:left="510" w:hanging="510"/>
    </w:pPr>
  </w:style>
  <w:style w:type="paragraph" w:customStyle="1" w:styleId="List-Practicepoints">
    <w:name w:val="List  - Practice points"/>
    <w:basedOn w:val="Normal"/>
    <w:uiPriority w:val="75"/>
    <w:rsid w:val="005670CF"/>
    <w:pPr>
      <w:numPr>
        <w:numId w:val="59"/>
      </w:numPr>
      <w:spacing w:before="120" w:after="120" w:line="240" w:lineRule="exact"/>
    </w:pPr>
    <w:rPr>
      <w:rFonts w:ascii="Arial" w:hAnsi="Arial"/>
      <w:sz w:val="20"/>
      <w:szCs w:val="20"/>
      <w:lang w:eastAsia="en-US"/>
    </w:rPr>
  </w:style>
  <w:style w:type="paragraph" w:customStyle="1" w:styleId="Surveycheckboxticked">
    <w:name w:val="Survey check box ticked"/>
    <w:basedOn w:val="Surveycheckboxchecked"/>
    <w:uiPriority w:val="91"/>
    <w:rsid w:val="00BE40E6"/>
    <w:pPr>
      <w:numPr>
        <w:numId w:val="60"/>
      </w:numPr>
      <w:ind w:left="896" w:hanging="357"/>
    </w:pPr>
    <w:rPr>
      <w:lang w:eastAsia="en-US"/>
    </w:rPr>
  </w:style>
  <w:style w:type="character" w:customStyle="1" w:styleId="EndNoteBibliographyTitleChar14">
    <w:name w:val="EndNote Bibliography Title Char14"/>
    <w:basedOn w:val="BodytextChar0"/>
    <w:link w:val="EndNoteBibliographyTitle"/>
    <w:locked/>
    <w:rsid w:val="00BE40E6"/>
    <w:rPr>
      <w:rFonts w:ascii="Arial" w:hAnsi="Arial" w:cs="Arial"/>
      <w:noProof/>
      <w:szCs w:val="24"/>
      <w:shd w:val="clear" w:color="auto" w:fill="FFFFFF" w:themeFill="background1"/>
      <w:lang w:val="en-US"/>
    </w:rPr>
  </w:style>
  <w:style w:type="paragraph" w:customStyle="1" w:styleId="EndNoteBibliographyTitle">
    <w:name w:val="EndNote Bibliography Title"/>
    <w:basedOn w:val="Normal"/>
    <w:link w:val="EndNoteBibliographyTitleChar14"/>
    <w:rsid w:val="00BE40E6"/>
    <w:pPr>
      <w:spacing w:before="0" w:after="0" w:line="360" w:lineRule="auto"/>
      <w:jc w:val="center"/>
    </w:pPr>
    <w:rPr>
      <w:rFonts w:ascii="Arial" w:hAnsi="Arial" w:cs="Arial"/>
      <w:noProof/>
      <w:sz w:val="20"/>
      <w:lang w:val="en-US"/>
    </w:rPr>
  </w:style>
  <w:style w:type="paragraph" w:customStyle="1" w:styleId="para">
    <w:name w:val="para"/>
    <w:basedOn w:val="Normal"/>
    <w:rsid w:val="00BE40E6"/>
    <w:pPr>
      <w:spacing w:before="100" w:beforeAutospacing="1" w:after="100" w:afterAutospacing="1" w:line="240" w:lineRule="auto"/>
    </w:pPr>
    <w:rPr>
      <w:rFonts w:ascii="Times New Roman" w:hAnsi="Times New Roman"/>
      <w:sz w:val="24"/>
      <w:lang w:val="en-US"/>
    </w:rPr>
  </w:style>
  <w:style w:type="paragraph" w:customStyle="1" w:styleId="ApDHead1">
    <w:name w:val="ApD Head 1"/>
    <w:basedOn w:val="Heading2Report"/>
    <w:next w:val="BlockText"/>
    <w:uiPriority w:val="16"/>
    <w:qFormat/>
    <w:rsid w:val="00BE40E6"/>
    <w:rPr>
      <w:sz w:val="36"/>
      <w:szCs w:val="36"/>
    </w:rPr>
  </w:style>
  <w:style w:type="paragraph" w:customStyle="1" w:styleId="ApDHead2">
    <w:name w:val="ApD Head 2"/>
    <w:basedOn w:val="Heading2Report"/>
    <w:next w:val="BlockText"/>
    <w:uiPriority w:val="16"/>
    <w:qFormat/>
    <w:rsid w:val="00BE40E6"/>
    <w:rPr>
      <w:sz w:val="28"/>
      <w:szCs w:val="28"/>
    </w:rPr>
  </w:style>
  <w:style w:type="paragraph" w:customStyle="1" w:styleId="ApDHead3">
    <w:name w:val="ApD Head 3"/>
    <w:basedOn w:val="Heading3"/>
    <w:next w:val="BodyText"/>
    <w:uiPriority w:val="16"/>
    <w:qFormat/>
    <w:rsid w:val="00BE40E6"/>
    <w:pPr>
      <w:keepLines/>
      <w:spacing w:before="240" w:after="60" w:line="240" w:lineRule="auto"/>
    </w:pPr>
    <w:rPr>
      <w:i/>
      <w:color w:val="B66113"/>
      <w:szCs w:val="24"/>
    </w:rPr>
  </w:style>
  <w:style w:type="paragraph" w:customStyle="1" w:styleId="ApDHead4">
    <w:name w:val="ApD Head 4"/>
    <w:basedOn w:val="Heading4"/>
    <w:next w:val="Normalpara"/>
    <w:uiPriority w:val="16"/>
    <w:qFormat/>
    <w:rsid w:val="00BE40E6"/>
    <w:pPr>
      <w:keepLines/>
      <w:numPr>
        <w:ilvl w:val="0"/>
        <w:numId w:val="0"/>
      </w:numPr>
      <w:spacing w:before="240" w:after="0" w:line="240" w:lineRule="auto"/>
    </w:pPr>
    <w:rPr>
      <w:i/>
      <w:color w:val="B66113"/>
      <w:szCs w:val="22"/>
    </w:rPr>
  </w:style>
  <w:style w:type="paragraph" w:customStyle="1" w:styleId="ApD1Head">
    <w:name w:val="ApD 1 Head"/>
    <w:basedOn w:val="Normal"/>
    <w:next w:val="Normalpara"/>
    <w:uiPriority w:val="16"/>
    <w:qFormat/>
    <w:rsid w:val="00BE40E6"/>
    <w:pPr>
      <w:keepNext/>
      <w:pageBreakBefore/>
      <w:numPr>
        <w:numId w:val="61"/>
      </w:numPr>
      <w:shd w:val="clear" w:color="auto" w:fill="FFFFFF" w:themeFill="background1"/>
      <w:spacing w:before="0" w:after="240" w:line="240" w:lineRule="auto"/>
      <w:outlineLvl w:val="0"/>
    </w:pPr>
    <w:rPr>
      <w:rFonts w:eastAsiaTheme="minorHAnsi" w:cs="Arial"/>
      <w:b/>
      <w:bCs/>
      <w:color w:val="01653F"/>
      <w:kern w:val="32"/>
      <w:sz w:val="32"/>
      <w:szCs w:val="28"/>
      <w:lang w:val="en-GB" w:eastAsia="en-US"/>
    </w:rPr>
  </w:style>
  <w:style w:type="paragraph" w:customStyle="1" w:styleId="Style5">
    <w:name w:val="Style5"/>
    <w:basedOn w:val="ApD1Head"/>
    <w:uiPriority w:val="16"/>
    <w:rsid w:val="00BE40E6"/>
  </w:style>
  <w:style w:type="paragraph" w:customStyle="1" w:styleId="ApD2Head">
    <w:name w:val="ApD 2 Head"/>
    <w:basedOn w:val="ApD1Head"/>
    <w:next w:val="Normalpara"/>
    <w:uiPriority w:val="16"/>
    <w:qFormat/>
    <w:rsid w:val="00553C63"/>
    <w:pPr>
      <w:pageBreakBefore w:val="0"/>
      <w:numPr>
        <w:ilvl w:val="1"/>
      </w:numPr>
      <w:spacing w:before="240" w:after="120"/>
      <w:ind w:left="851" w:hanging="851"/>
      <w:outlineLvl w:val="1"/>
    </w:pPr>
    <w:rPr>
      <w:sz w:val="28"/>
    </w:rPr>
  </w:style>
  <w:style w:type="paragraph" w:customStyle="1" w:styleId="ApD3Head">
    <w:name w:val="ApD 3 Head"/>
    <w:basedOn w:val="ApD2Head"/>
    <w:next w:val="Normalpara"/>
    <w:uiPriority w:val="16"/>
    <w:qFormat/>
    <w:rsid w:val="00553C63"/>
    <w:pPr>
      <w:numPr>
        <w:ilvl w:val="2"/>
      </w:numPr>
      <w:ind w:left="851" w:hanging="851"/>
    </w:pPr>
    <w:rPr>
      <w:i/>
      <w:color w:val="B66113"/>
      <w:sz w:val="24"/>
      <w:szCs w:val="24"/>
    </w:rPr>
  </w:style>
  <w:style w:type="paragraph" w:customStyle="1" w:styleId="ApDCont">
    <w:name w:val="ApD Cont"/>
    <w:basedOn w:val="ApDHead1"/>
    <w:next w:val="Normalpara"/>
    <w:uiPriority w:val="16"/>
    <w:rsid w:val="00BE40E6"/>
  </w:style>
  <w:style w:type="character" w:styleId="PlaceholderText">
    <w:name w:val="Placeholder Text"/>
    <w:basedOn w:val="DefaultParagraphFont"/>
    <w:uiPriority w:val="99"/>
    <w:semiHidden/>
    <w:locked/>
    <w:rsid w:val="00BE40E6"/>
    <w:rPr>
      <w:color w:val="808080"/>
    </w:rPr>
  </w:style>
  <w:style w:type="character" w:styleId="SubtleEmphasis">
    <w:name w:val="Subtle Emphasis"/>
    <w:basedOn w:val="DefaultParagraphFont"/>
    <w:uiPriority w:val="19"/>
    <w:qFormat/>
    <w:locked/>
    <w:rsid w:val="00BE40E6"/>
    <w:rPr>
      <w:i/>
      <w:iCs/>
      <w:color w:val="808080" w:themeColor="text1" w:themeTint="7F"/>
    </w:rPr>
  </w:style>
  <w:style w:type="character" w:styleId="SubtleReference">
    <w:name w:val="Subtle Reference"/>
    <w:basedOn w:val="DefaultParagraphFont"/>
    <w:uiPriority w:val="31"/>
    <w:qFormat/>
    <w:locked/>
    <w:rsid w:val="00BE40E6"/>
    <w:rPr>
      <w:smallCaps/>
      <w:color w:val="C0504D" w:themeColor="accent2"/>
      <w:u w:val="single"/>
    </w:rPr>
  </w:style>
  <w:style w:type="character" w:styleId="IntenseReference">
    <w:name w:val="Intense Reference"/>
    <w:basedOn w:val="DefaultParagraphFont"/>
    <w:uiPriority w:val="32"/>
    <w:qFormat/>
    <w:locked/>
    <w:rsid w:val="00BE40E6"/>
    <w:rPr>
      <w:b/>
      <w:bCs/>
      <w:i/>
      <w:iCs w:val="0"/>
      <w:smallCaps/>
      <w:strike w:val="0"/>
      <w:dstrike w:val="0"/>
      <w:color w:val="C0504D" w:themeColor="accent2"/>
      <w:spacing w:val="5"/>
      <w:u w:val="none"/>
      <w:effect w:val="none"/>
    </w:rPr>
  </w:style>
  <w:style w:type="character" w:styleId="BookTitle">
    <w:name w:val="Book Title"/>
    <w:basedOn w:val="DefaultParagraphFont"/>
    <w:uiPriority w:val="33"/>
    <w:qFormat/>
    <w:locked/>
    <w:rsid w:val="00BE40E6"/>
    <w:rPr>
      <w:b/>
      <w:bCs/>
      <w:smallCaps/>
      <w:spacing w:val="5"/>
    </w:rPr>
  </w:style>
  <w:style w:type="character" w:customStyle="1" w:styleId="apple-converted-space">
    <w:name w:val="apple-converted-space"/>
    <w:basedOn w:val="DefaultParagraphFont"/>
    <w:rsid w:val="00BE40E6"/>
  </w:style>
  <w:style w:type="character" w:customStyle="1" w:styleId="source-copyright1">
    <w:name w:val="source-copyright1"/>
    <w:basedOn w:val="DefaultParagraphFont"/>
    <w:rsid w:val="00BE40E6"/>
    <w:rPr>
      <w:sz w:val="20"/>
      <w:szCs w:val="20"/>
    </w:rPr>
  </w:style>
  <w:style w:type="character" w:customStyle="1" w:styleId="lexicon-term">
    <w:name w:val="lexicon-term"/>
    <w:basedOn w:val="DefaultParagraphFont"/>
    <w:rsid w:val="00BE40E6"/>
  </w:style>
  <w:style w:type="character" w:customStyle="1" w:styleId="slug-pub-date">
    <w:name w:val="slug-pub-date"/>
    <w:basedOn w:val="DefaultParagraphFont"/>
    <w:rsid w:val="00BE40E6"/>
  </w:style>
  <w:style w:type="character" w:customStyle="1" w:styleId="slug-vol">
    <w:name w:val="slug-vol"/>
    <w:basedOn w:val="DefaultParagraphFont"/>
    <w:rsid w:val="00BE40E6"/>
  </w:style>
  <w:style w:type="character" w:customStyle="1" w:styleId="slug-issue">
    <w:name w:val="slug-issue"/>
    <w:basedOn w:val="DefaultParagraphFont"/>
    <w:rsid w:val="00BE40E6"/>
  </w:style>
  <w:style w:type="character" w:customStyle="1" w:styleId="slug-pages">
    <w:name w:val="slug-pages"/>
    <w:basedOn w:val="DefaultParagraphFont"/>
    <w:rsid w:val="00BE40E6"/>
  </w:style>
  <w:style w:type="character" w:customStyle="1" w:styleId="StyleArialLatin13pt">
    <w:name w:val="Style Arial (Latin) 13 pt"/>
    <w:basedOn w:val="DefaultParagraphFont"/>
    <w:rsid w:val="00BE40E6"/>
    <w:rPr>
      <w:rFonts w:ascii="Arial" w:hAnsi="Arial" w:cs="Arial" w:hint="default"/>
      <w:color w:val="auto"/>
      <w:sz w:val="26"/>
    </w:rPr>
  </w:style>
  <w:style w:type="character" w:customStyle="1" w:styleId="StyleArial14pt">
    <w:name w:val="Style Arial 14 pt"/>
    <w:basedOn w:val="DefaultParagraphFont"/>
    <w:rsid w:val="00BE40E6"/>
    <w:rPr>
      <w:rFonts w:ascii="Arial" w:hAnsi="Arial" w:cs="Arial" w:hint="default"/>
      <w:color w:val="auto"/>
      <w:sz w:val="28"/>
    </w:rPr>
  </w:style>
  <w:style w:type="character" w:customStyle="1" w:styleId="cit-name-surname">
    <w:name w:val="cit-name-surname"/>
    <w:basedOn w:val="DefaultParagraphFont"/>
    <w:rsid w:val="00BE40E6"/>
  </w:style>
  <w:style w:type="character" w:customStyle="1" w:styleId="cit-name-given-names">
    <w:name w:val="cit-name-given-names"/>
    <w:basedOn w:val="DefaultParagraphFont"/>
    <w:rsid w:val="00BE40E6"/>
  </w:style>
  <w:style w:type="character" w:customStyle="1" w:styleId="cit-etal">
    <w:name w:val="cit-etal"/>
    <w:basedOn w:val="DefaultParagraphFont"/>
    <w:rsid w:val="00BE40E6"/>
  </w:style>
  <w:style w:type="character" w:customStyle="1" w:styleId="cit-pub-date">
    <w:name w:val="cit-pub-date"/>
    <w:basedOn w:val="DefaultParagraphFont"/>
    <w:rsid w:val="00BE40E6"/>
  </w:style>
  <w:style w:type="character" w:customStyle="1" w:styleId="cit-article-title">
    <w:name w:val="cit-article-title"/>
    <w:basedOn w:val="DefaultParagraphFont"/>
    <w:rsid w:val="00BE40E6"/>
  </w:style>
  <w:style w:type="character" w:customStyle="1" w:styleId="cit-vol">
    <w:name w:val="cit-vol"/>
    <w:basedOn w:val="DefaultParagraphFont"/>
    <w:rsid w:val="00BE40E6"/>
  </w:style>
  <w:style w:type="character" w:customStyle="1" w:styleId="cit-fpage">
    <w:name w:val="cit-fpage"/>
    <w:basedOn w:val="DefaultParagraphFont"/>
    <w:rsid w:val="00BE40E6"/>
  </w:style>
  <w:style w:type="character" w:customStyle="1" w:styleId="cit-lpage">
    <w:name w:val="cit-lpage"/>
    <w:basedOn w:val="DefaultParagraphFont"/>
    <w:rsid w:val="00BE40E6"/>
  </w:style>
  <w:style w:type="character" w:customStyle="1" w:styleId="journaltitle">
    <w:name w:val="journaltitle"/>
    <w:basedOn w:val="DefaultParagraphFont"/>
    <w:rsid w:val="00BE40E6"/>
  </w:style>
  <w:style w:type="character" w:customStyle="1" w:styleId="articlecitationyear">
    <w:name w:val="articlecitation_year"/>
    <w:basedOn w:val="DefaultParagraphFont"/>
    <w:rsid w:val="00BE40E6"/>
  </w:style>
  <w:style w:type="character" w:customStyle="1" w:styleId="articlecitationvolume">
    <w:name w:val="articlecitation_volume"/>
    <w:basedOn w:val="DefaultParagraphFont"/>
    <w:rsid w:val="00BE40E6"/>
  </w:style>
  <w:style w:type="character" w:customStyle="1" w:styleId="articlecitationpages">
    <w:name w:val="articlecitation_pages"/>
    <w:basedOn w:val="DefaultParagraphFont"/>
    <w:rsid w:val="00BE40E6"/>
  </w:style>
  <w:style w:type="character" w:customStyle="1" w:styleId="authorname">
    <w:name w:val="author__name"/>
    <w:basedOn w:val="DefaultParagraphFont"/>
    <w:rsid w:val="00BE40E6"/>
  </w:style>
  <w:style w:type="character" w:customStyle="1" w:styleId="highlight">
    <w:name w:val="highlight"/>
    <w:basedOn w:val="DefaultParagraphFont"/>
    <w:rsid w:val="00BE40E6"/>
  </w:style>
  <w:style w:type="character" w:customStyle="1" w:styleId="Surveyresponsefield">
    <w:name w:val="Survey response field"/>
    <w:uiPriority w:val="91"/>
    <w:rsid w:val="00BE40E6"/>
    <w:rPr>
      <w:i/>
      <w:iCs w:val="0"/>
      <w:color w:val="4B306A"/>
      <w:u w:val="dotted" w:color="999999"/>
    </w:rPr>
  </w:style>
  <w:style w:type="character" w:customStyle="1" w:styleId="Bold">
    <w:name w:val="Bold"/>
    <w:uiPriority w:val="8"/>
    <w:qFormat/>
    <w:rsid w:val="00BE40E6"/>
    <w:rPr>
      <w:b/>
      <w:bCs w:val="0"/>
      <w:lang w:val="en-AU" w:eastAsia="en-US"/>
    </w:rPr>
  </w:style>
  <w:style w:type="character" w:customStyle="1" w:styleId="Italic">
    <w:name w:val="Italic"/>
    <w:uiPriority w:val="3"/>
    <w:rsid w:val="00BE40E6"/>
    <w:rPr>
      <w:i/>
      <w:iCs w:val="0"/>
      <w:lang w:val="en-AU" w:eastAsia="en-US"/>
    </w:rPr>
  </w:style>
  <w:style w:type="character" w:customStyle="1" w:styleId="Bolditalic">
    <w:name w:val="Bold + italic"/>
    <w:uiPriority w:val="4"/>
    <w:rsid w:val="00BE40E6"/>
    <w:rPr>
      <w:b/>
      <w:bCs w:val="0"/>
      <w:i/>
      <w:iCs w:val="0"/>
    </w:rPr>
  </w:style>
  <w:style w:type="character" w:customStyle="1" w:styleId="Superscript">
    <w:name w:val="Superscript"/>
    <w:uiPriority w:val="18"/>
    <w:rsid w:val="00BE40E6"/>
    <w:rPr>
      <w:vertAlign w:val="superscript"/>
    </w:rPr>
  </w:style>
  <w:style w:type="character" w:customStyle="1" w:styleId="HighlightOrange">
    <w:name w:val="Highlight Orange"/>
    <w:basedOn w:val="DefaultParagraphFont"/>
    <w:uiPriority w:val="75"/>
    <w:rsid w:val="00BE40E6"/>
    <w:rPr>
      <w:color w:val="F47B28"/>
    </w:rPr>
  </w:style>
  <w:style w:type="character" w:customStyle="1" w:styleId="HighlightPurple">
    <w:name w:val="Highlight Purple"/>
    <w:basedOn w:val="HighlightOrange"/>
    <w:uiPriority w:val="75"/>
    <w:rsid w:val="00BE40E6"/>
    <w:rPr>
      <w:color w:val="3C1E6C"/>
    </w:rPr>
  </w:style>
  <w:style w:type="character" w:customStyle="1" w:styleId="Subscript">
    <w:name w:val="Subscript"/>
    <w:basedOn w:val="Superscript"/>
    <w:uiPriority w:val="17"/>
    <w:rsid w:val="00BE40E6"/>
    <w:rPr>
      <w:vertAlign w:val="subscript"/>
    </w:rPr>
  </w:style>
  <w:style w:type="character" w:customStyle="1" w:styleId="Highlighter">
    <w:name w:val="Highlighter"/>
    <w:basedOn w:val="DefaultParagraphFont"/>
    <w:uiPriority w:val="21"/>
    <w:rsid w:val="00BE40E6"/>
    <w:rPr>
      <w:bdr w:val="none" w:sz="0" w:space="0" w:color="auto" w:frame="1"/>
      <w:shd w:val="clear" w:color="auto" w:fill="FFFF00"/>
    </w:rPr>
  </w:style>
  <w:style w:type="character" w:customStyle="1" w:styleId="PRIMARYSTYLES">
    <w:name w:val="PRIMARY STYLES"/>
    <w:basedOn w:val="DefaultParagraphFont"/>
    <w:rsid w:val="00BE40E6"/>
    <w:rPr>
      <w:rFonts w:ascii="Arial Black" w:hAnsi="Arial Black" w:hint="default"/>
      <w:vanish/>
      <w:webHidden w:val="0"/>
      <w:color w:val="FFFFFF" w:themeColor="background1"/>
      <w:sz w:val="28"/>
      <w:bdr w:val="none" w:sz="0" w:space="0" w:color="auto" w:frame="1"/>
      <w:shd w:val="clear" w:color="auto" w:fill="943634" w:themeFill="accent2" w:themeFillShade="BF"/>
      <w:specVanish w:val="0"/>
    </w:rPr>
  </w:style>
  <w:style w:type="character" w:customStyle="1" w:styleId="SECONDARYSTYLES">
    <w:name w:val="SECONDARY STYLES"/>
    <w:basedOn w:val="DefaultParagraphFont"/>
    <w:uiPriority w:val="73"/>
    <w:rsid w:val="00BE40E6"/>
    <w:rPr>
      <w:rFonts w:ascii="Arial Black" w:hAnsi="Arial Black" w:hint="default"/>
      <w:vanish/>
      <w:webHidden w:val="0"/>
      <w:color w:val="FFFFFF" w:themeColor="background1"/>
      <w:sz w:val="28"/>
      <w:bdr w:val="none" w:sz="0" w:space="0" w:color="auto" w:frame="1"/>
      <w:shd w:val="clear" w:color="auto" w:fill="943634" w:themeFill="accent2" w:themeFillShade="BF"/>
      <w:specVanish w:val="0"/>
    </w:rPr>
  </w:style>
  <w:style w:type="character" w:customStyle="1" w:styleId="TABLESTYLES">
    <w:name w:val="TABLE STYLES"/>
    <w:basedOn w:val="DefaultParagraphFont"/>
    <w:uiPriority w:val="50"/>
    <w:rsid w:val="00BE40E6"/>
    <w:rPr>
      <w:rFonts w:ascii="Arial Black" w:hAnsi="Arial Black" w:hint="default"/>
      <w:b/>
      <w:bCs w:val="0"/>
      <w:vanish/>
      <w:webHidden w:val="0"/>
      <w:color w:val="FFFFFF" w:themeColor="background1"/>
      <w:sz w:val="28"/>
      <w:bdr w:val="none" w:sz="0" w:space="0" w:color="auto" w:frame="1"/>
      <w:shd w:val="clear" w:color="auto" w:fill="943634" w:themeFill="accent2" w:themeFillShade="BF"/>
      <w:specVanish w:val="0"/>
    </w:rPr>
  </w:style>
  <w:style w:type="character" w:customStyle="1" w:styleId="SURVEYSTYLES">
    <w:name w:val="SURVEY STYLES"/>
    <w:basedOn w:val="TABLESTYLES"/>
    <w:uiPriority w:val="90"/>
    <w:rsid w:val="00BE40E6"/>
    <w:rPr>
      <w:rFonts w:ascii="Arial Black" w:hAnsi="Arial Black" w:hint="default"/>
      <w:b/>
      <w:bCs w:val="0"/>
      <w:vanish/>
      <w:webHidden w:val="0"/>
      <w:color w:val="FFFFFF" w:themeColor="background1"/>
      <w:sz w:val="28"/>
      <w:bdr w:val="none" w:sz="0" w:space="0" w:color="auto" w:frame="1"/>
      <w:shd w:val="clear" w:color="auto" w:fill="943634" w:themeFill="accent2" w:themeFillShade="BF"/>
      <w:specVanish w:val="0"/>
    </w:rPr>
  </w:style>
  <w:style w:type="character" w:customStyle="1" w:styleId="HighlightGreen">
    <w:name w:val="Highlight Green"/>
    <w:basedOn w:val="HighlightOrange"/>
    <w:uiPriority w:val="75"/>
    <w:rsid w:val="00BE40E6"/>
    <w:rPr>
      <w:color w:val="81BD41"/>
    </w:rPr>
  </w:style>
  <w:style w:type="character" w:customStyle="1" w:styleId="EndNoteBibliographyTitleChar">
    <w:name w:val="EndNote Bibliography Title Char"/>
    <w:basedOn w:val="BodytextChar0"/>
    <w:rsid w:val="00BE40E6"/>
    <w:rPr>
      <w:rFonts w:ascii="Arial" w:hAnsi="Arial" w:cs="Arial"/>
      <w:shd w:val="clear" w:color="auto" w:fill="FFFFFF" w:themeFill="background1"/>
      <w:lang w:val="en-US"/>
    </w:rPr>
  </w:style>
  <w:style w:type="character" w:customStyle="1" w:styleId="EndNoteBibliographyTitleChar1">
    <w:name w:val="EndNote Bibliography Title Char1"/>
    <w:basedOn w:val="BodytextChar0"/>
    <w:rsid w:val="00BE40E6"/>
    <w:rPr>
      <w:rFonts w:ascii="Arial" w:hAnsi="Arial" w:cs="Arial"/>
      <w:shd w:val="clear" w:color="auto" w:fill="FFFFFF" w:themeFill="background1"/>
      <w:lang w:val="en-US"/>
    </w:rPr>
  </w:style>
  <w:style w:type="character" w:customStyle="1" w:styleId="EndNoteBibliographyTitleChar2">
    <w:name w:val="EndNote Bibliography Title Char2"/>
    <w:basedOn w:val="BodytextChar0"/>
    <w:rsid w:val="00BE40E6"/>
    <w:rPr>
      <w:rFonts w:ascii="Arial" w:hAnsi="Arial" w:cs="Arial"/>
      <w:shd w:val="clear" w:color="auto" w:fill="FFFFFF" w:themeFill="background1"/>
      <w:lang w:val="en-US"/>
    </w:rPr>
  </w:style>
  <w:style w:type="character" w:customStyle="1" w:styleId="EndNoteBibliographyTitleChar3">
    <w:name w:val="EndNote Bibliography Title Char3"/>
    <w:basedOn w:val="BodytextChar0"/>
    <w:rsid w:val="00BE40E6"/>
    <w:rPr>
      <w:rFonts w:ascii="Arial" w:hAnsi="Arial" w:cs="Arial"/>
      <w:shd w:val="clear" w:color="auto" w:fill="FFFFFF" w:themeFill="background1"/>
      <w:lang w:val="en-US"/>
    </w:rPr>
  </w:style>
  <w:style w:type="character" w:customStyle="1" w:styleId="EndNoteBibliographyTitleChar4">
    <w:name w:val="EndNote Bibliography Title Char4"/>
    <w:basedOn w:val="BodytextChar0"/>
    <w:rsid w:val="00BE40E6"/>
    <w:rPr>
      <w:rFonts w:ascii="Arial" w:hAnsi="Arial" w:cs="Arial"/>
      <w:shd w:val="clear" w:color="auto" w:fill="FFFFFF" w:themeFill="background1"/>
      <w:lang w:val="en-US"/>
    </w:rPr>
  </w:style>
  <w:style w:type="character" w:customStyle="1" w:styleId="EndNoteBibliographyTitleChar5">
    <w:name w:val="EndNote Bibliography Title Char5"/>
    <w:basedOn w:val="BodytextChar0"/>
    <w:rsid w:val="00BE40E6"/>
    <w:rPr>
      <w:rFonts w:ascii="Arial" w:hAnsi="Arial" w:cs="Arial"/>
      <w:shd w:val="clear" w:color="auto" w:fill="FFFFFF" w:themeFill="background1"/>
      <w:lang w:val="en-US"/>
    </w:rPr>
  </w:style>
  <w:style w:type="character" w:customStyle="1" w:styleId="EndNoteBibliographyTitleChar6">
    <w:name w:val="EndNote Bibliography Title Char6"/>
    <w:basedOn w:val="BodytextChar0"/>
    <w:rsid w:val="00BE40E6"/>
    <w:rPr>
      <w:rFonts w:ascii="Arial" w:hAnsi="Arial" w:cs="Arial"/>
      <w:shd w:val="clear" w:color="auto" w:fill="FFFFFF" w:themeFill="background1"/>
      <w:lang w:val="en-US"/>
    </w:rPr>
  </w:style>
  <w:style w:type="character" w:customStyle="1" w:styleId="EndNoteBibliographyTitleChar7">
    <w:name w:val="EndNote Bibliography Title Char7"/>
    <w:basedOn w:val="BodytextChar0"/>
    <w:rsid w:val="00BE40E6"/>
    <w:rPr>
      <w:rFonts w:ascii="Arial" w:hAnsi="Arial" w:cs="Arial"/>
      <w:shd w:val="clear" w:color="auto" w:fill="FFFFFF" w:themeFill="background1"/>
      <w:lang w:val="en-US"/>
    </w:rPr>
  </w:style>
  <w:style w:type="character" w:customStyle="1" w:styleId="EndNoteBibliographyTitleChar8">
    <w:name w:val="EndNote Bibliography Title Char8"/>
    <w:basedOn w:val="BodytextChar0"/>
    <w:rsid w:val="00BE40E6"/>
    <w:rPr>
      <w:rFonts w:ascii="Arial" w:hAnsi="Arial" w:cs="Arial"/>
      <w:shd w:val="clear" w:color="auto" w:fill="FFFFFF" w:themeFill="background1"/>
      <w:lang w:val="en-US"/>
    </w:rPr>
  </w:style>
  <w:style w:type="character" w:customStyle="1" w:styleId="EndNoteBibliographyTitleChar9">
    <w:name w:val="EndNote Bibliography Title Char9"/>
    <w:basedOn w:val="BodytextChar0"/>
    <w:rsid w:val="00BE40E6"/>
    <w:rPr>
      <w:rFonts w:ascii="Arial" w:hAnsi="Arial" w:cs="Arial"/>
      <w:shd w:val="clear" w:color="auto" w:fill="FFFFFF" w:themeFill="background1"/>
      <w:lang w:val="en-US"/>
    </w:rPr>
  </w:style>
  <w:style w:type="character" w:customStyle="1" w:styleId="EndNoteBibliographyTitleChar10">
    <w:name w:val="EndNote Bibliography Title Char10"/>
    <w:basedOn w:val="BodytextChar0"/>
    <w:rsid w:val="00BE40E6"/>
    <w:rPr>
      <w:rFonts w:ascii="Arial" w:hAnsi="Arial" w:cs="Arial"/>
      <w:shd w:val="clear" w:color="auto" w:fill="FFFFFF" w:themeFill="background1"/>
      <w:lang w:val="en-US"/>
    </w:rPr>
  </w:style>
  <w:style w:type="character" w:customStyle="1" w:styleId="EndNoteBibliographyTitleChar11">
    <w:name w:val="EndNote Bibliography Title Char11"/>
    <w:basedOn w:val="BodytextChar0"/>
    <w:rsid w:val="00BE40E6"/>
    <w:rPr>
      <w:rFonts w:ascii="Arial" w:hAnsi="Arial" w:cs="Arial"/>
      <w:shd w:val="clear" w:color="auto" w:fill="FFFFFF" w:themeFill="background1"/>
      <w:lang w:val="en-US"/>
    </w:rPr>
  </w:style>
  <w:style w:type="character" w:customStyle="1" w:styleId="EndNoteBibliographyTitleChar12">
    <w:name w:val="EndNote Bibliography Title Char12"/>
    <w:basedOn w:val="BodytextChar0"/>
    <w:rsid w:val="00BE40E6"/>
    <w:rPr>
      <w:rFonts w:ascii="Arial" w:hAnsi="Arial" w:cs="Arial"/>
      <w:shd w:val="clear" w:color="auto" w:fill="FFFFFF" w:themeFill="background1"/>
      <w:lang w:val="en-US"/>
    </w:rPr>
  </w:style>
  <w:style w:type="character" w:customStyle="1" w:styleId="EndNoteBibliographyTitleChar13">
    <w:name w:val="EndNote Bibliography Title Char13"/>
    <w:basedOn w:val="BodytextChar0"/>
    <w:rsid w:val="00BE40E6"/>
    <w:rPr>
      <w:rFonts w:ascii="Arial" w:hAnsi="Arial" w:cs="Arial"/>
      <w:shd w:val="clear" w:color="auto" w:fill="FFFFFF" w:themeFill="background1"/>
      <w:lang w:val="en-US"/>
    </w:rPr>
  </w:style>
  <w:style w:type="table" w:styleId="TableSimple1">
    <w:name w:val="Table Simple 1"/>
    <w:basedOn w:val="TableNormal"/>
    <w:semiHidden/>
    <w:unhideWhenUsed/>
    <w:locked/>
    <w:rsid w:val="00BE40E6"/>
    <w:pPr>
      <w:spacing w:line="360" w:lineRule="auto"/>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BE40E6"/>
    <w:pPr>
      <w:spacing w:line="36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semiHidden/>
    <w:unhideWhenUsed/>
    <w:locked/>
    <w:rsid w:val="00BE40E6"/>
    <w:pPr>
      <w:spacing w:line="360" w:lineRule="auto"/>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BE40E6"/>
    <w:pPr>
      <w:spacing w:line="36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BE40E6"/>
    <w:pPr>
      <w:spacing w:line="360" w:lineRule="auto"/>
    </w:p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BE40E6"/>
    <w:pPr>
      <w:spacing w:line="36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BE40E6"/>
    <w:pPr>
      <w:spacing w:line="36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BE40E6"/>
    <w:pPr>
      <w:spacing w:line="36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BE40E6"/>
    <w:pPr>
      <w:spacing w:line="36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BE40E6"/>
    <w:pPr>
      <w:spacing w:line="36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BE40E6"/>
    <w:pPr>
      <w:spacing w:line="36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BE40E6"/>
    <w:pPr>
      <w:spacing w:line="36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BE40E6"/>
    <w:pPr>
      <w:spacing w:line="36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unhideWhenUsed/>
    <w:locked/>
    <w:rsid w:val="00BE40E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locked/>
    <w:rsid w:val="00BE40E6"/>
    <w:pPr>
      <w:spacing w:line="360" w:lineRule="auto"/>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unhideWhenUsed/>
    <w:locked/>
    <w:rsid w:val="00BE40E6"/>
    <w:pPr>
      <w:spacing w:line="36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BE40E6"/>
    <w:pPr>
      <w:spacing w:line="360" w:lineRule="auto"/>
    </w:p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BE40E6"/>
    <w:pPr>
      <w:spacing w:line="36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BE40E6"/>
    <w:pPr>
      <w:spacing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BE40E6"/>
    <w:pPr>
      <w:spacing w:line="36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BE40E6"/>
    <w:pPr>
      <w:spacing w:line="36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BE40E6"/>
    <w:pPr>
      <w:spacing w:line="360" w:lineRule="auto"/>
    </w:p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BE40E6"/>
    <w:pPr>
      <w:spacing w:line="36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BE40E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BE40E6"/>
    <w:pPr>
      <w:spacing w:line="36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BE40E6"/>
    <w:pPr>
      <w:spacing w:line="36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BE40E6"/>
    <w:pPr>
      <w:spacing w:line="36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locked/>
    <w:rsid w:val="00BE40E6"/>
    <w:pPr>
      <w:spacing w:line="36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BE40E6"/>
    <w:pPr>
      <w:spacing w:line="36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BE40E6"/>
    <w:pPr>
      <w:spacing w:line="36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locked/>
    <w:rsid w:val="00BE40E6"/>
    <w:pPr>
      <w:spacing w:line="36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BE40E6"/>
    <w:pPr>
      <w:spacing w:line="36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locked/>
    <w:rsid w:val="00BE40E6"/>
    <w:pPr>
      <w:spacing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BE40E6"/>
    <w:pPr>
      <w:spacing w:line="36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BE40E6"/>
    <w:pPr>
      <w:spacing w:line="36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locked/>
    <w:rsid w:val="00BE40E6"/>
    <w:pPr>
      <w:spacing w:line="36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BE40E6"/>
    <w:pPr>
      <w:spacing w:line="36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BE40E6"/>
    <w:pPr>
      <w:spacing w:line="36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locked/>
    <w:rsid w:val="00BE40E6"/>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6">
    <w:name w:val="Colorful Grid Accent 6"/>
    <w:basedOn w:val="TableNormal"/>
    <w:uiPriority w:val="73"/>
    <w:unhideWhenUsed/>
    <w:locked/>
    <w:rsid w:val="00BE40E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cKTableStyle">
    <w:name w:val="McKTableStyle"/>
    <w:basedOn w:val="TableNormal"/>
    <w:uiPriority w:val="99"/>
    <w:rsid w:val="00BE40E6"/>
    <w:pPr>
      <w:spacing w:before="120" w:after="60"/>
      <w:ind w:right="289"/>
    </w:pPr>
    <w:rPr>
      <w:rFonts w:eastAsiaTheme="minorHAnsi" w:cstheme="minorBidi"/>
      <w:sz w:val="26"/>
      <w:szCs w:val="22"/>
      <w:lang w:val="en-US" w:eastAsia="en-US"/>
    </w:rPr>
    <w:tbl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b/>
        <w:i w:val="0"/>
        <w:caps w:val="0"/>
        <w:smallCaps w:val="0"/>
        <w:strike w:val="0"/>
        <w:dstrike w:val="0"/>
        <w:vanish w:val="0"/>
        <w:webHidden w:val="0"/>
        <w:color w:val="auto"/>
        <w:sz w:val="26"/>
        <w:szCs w:val="26"/>
        <w:u w:val="none"/>
        <w:effect w:val="none"/>
        <w:specVanish w:val="0"/>
      </w:rPr>
      <w:tblPr/>
      <w:tcPr>
        <w:tcBorders>
          <w:top w:val="nil"/>
          <w:left w:val="nil"/>
          <w:bottom w:val="nil"/>
          <w:right w:val="nil"/>
          <w:insideH w:val="nil"/>
          <w:insideV w:val="nil"/>
          <w:tl2br w:val="nil"/>
          <w:tr2bl w:val="nil"/>
        </w:tcBorders>
        <w:vAlign w:val="bottom"/>
      </w:tcPr>
    </w:tblStylePr>
  </w:style>
  <w:style w:type="table" w:customStyle="1" w:styleId="ListTable3-Accent31">
    <w:name w:val="List Table 3 - Accent 31"/>
    <w:basedOn w:val="TableNormal"/>
    <w:uiPriority w:val="48"/>
    <w:rsid w:val="00BE40E6"/>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1Light1">
    <w:name w:val="Grid Table 1 Light1"/>
    <w:basedOn w:val="TableNormal"/>
    <w:uiPriority w:val="46"/>
    <w:rsid w:val="00BE40E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BE40E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E40E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40">
    <w:name w:val="Table Grid4"/>
    <w:basedOn w:val="TableNormal"/>
    <w:uiPriority w:val="59"/>
    <w:rsid w:val="00BE40E6"/>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E4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PSstriped">
    <w:name w:val="Table NPS striped"/>
    <w:basedOn w:val="TableNormal"/>
    <w:rsid w:val="00BE40E6"/>
    <w:pPr>
      <w:spacing w:line="264" w:lineRule="auto"/>
    </w:pPr>
    <w:rPr>
      <w:rFonts w:ascii="Arial Narrow" w:hAnsi="Arial Narrow"/>
    </w:rPr>
    <w:tblPr>
      <w:tblStyleRowBandSize w:val="1"/>
      <w:tblStyleColBandSize w:val="1"/>
      <w:tblCellMar>
        <w:top w:w="40" w:type="dxa"/>
        <w:left w:w="100" w:type="dxa"/>
        <w:bottom w:w="28" w:type="dxa"/>
        <w:right w:w="100" w:type="dxa"/>
      </w:tblCellMar>
    </w:tblPr>
    <w:tblStylePr w:type="firstRow">
      <w:pPr>
        <w:jc w:val="left"/>
      </w:pPr>
      <w:rPr>
        <w:rFonts w:ascii="@BatangChe" w:eastAsia="@BatangChe" w:hAnsi="@BatangChe" w:hint="eastAsia"/>
        <w:b/>
        <w:sz w:val="20"/>
        <w:szCs w:val="20"/>
      </w:rPr>
      <w:tblPr/>
      <w:tcPr>
        <w:tcBorders>
          <w:top w:val="nil"/>
          <w:left w:val="nil"/>
          <w:bottom w:val="single" w:sz="4" w:space="0" w:color="4B306A"/>
          <w:right w:val="nil"/>
          <w:insideH w:val="nil"/>
          <w:insideV w:val="nil"/>
          <w:tl2br w:val="nil"/>
          <w:tr2bl w:val="nil"/>
        </w:tcBorders>
        <w:vAlign w:val="bottom"/>
      </w:tcPr>
    </w:tblStylePr>
    <w:tblStylePr w:type="band2Horz">
      <w:tblPr/>
      <w:tcPr>
        <w:shd w:val="clear" w:color="auto" w:fill="E0E0E0"/>
      </w:tcPr>
    </w:tblStylePr>
  </w:style>
  <w:style w:type="table" w:customStyle="1" w:styleId="TableNPSstandard">
    <w:name w:val="Table NPS standard"/>
    <w:basedOn w:val="TableNormal"/>
    <w:rsid w:val="00BE40E6"/>
    <w:pPr>
      <w:spacing w:before="60" w:line="264" w:lineRule="auto"/>
    </w:pPr>
    <w:rPr>
      <w:rFonts w:ascii="Arial Narrow" w:hAnsi="Arial Narrow"/>
    </w:rPr>
    <w:tblPr>
      <w:tblStyleRowBandSize w:val="1"/>
      <w:tblStyleColBandSize w:val="1"/>
      <w:tblBorders>
        <w:bottom w:val="single" w:sz="12" w:space="0" w:color="401E6C"/>
        <w:insideH w:val="single" w:sz="4" w:space="0" w:color="C0C0C0"/>
        <w:insideV w:val="single" w:sz="8" w:space="0" w:color="FFFFFF"/>
      </w:tblBorders>
      <w:tblCellMar>
        <w:top w:w="28" w:type="dxa"/>
        <w:bottom w:w="28" w:type="dxa"/>
      </w:tblCellMar>
    </w:tblPr>
    <w:tblStylePr w:type="firstRow">
      <w:pPr>
        <w:jc w:val="left"/>
      </w:pPr>
      <w:rPr>
        <w:b/>
        <w:sz w:val="20"/>
        <w:szCs w:val="20"/>
      </w:rPr>
      <w:tbl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single" w:sz="12" w:space="0" w:color="401E6C"/>
          <w:left w:val="nil"/>
          <w:bottom w:val="single" w:sz="12" w:space="0" w:color="401E6C"/>
          <w:right w:val="nil"/>
          <w:insideH w:val="nil"/>
          <w:insideV w:val="single" w:sz="8" w:space="0" w:color="FFFFFF"/>
          <w:tl2br w:val="nil"/>
          <w:tr2bl w:val="nil"/>
        </w:tcBorders>
      </w:tcPr>
    </w:tblStylePr>
    <w:tblStylePr w:type="firstCol">
      <w:rPr>
        <w:b/>
      </w:rPr>
    </w:tblStylePr>
    <w:tblStylePr w:type="lastCol">
      <w:rPr>
        <w:b/>
      </w:rPr>
    </w:tblStylePr>
    <w:tblStylePr w:type="band2Vert">
      <w:tblPr/>
      <w:tcPr>
        <w:tcBorders>
          <w:top w:val="nil"/>
          <w:left w:val="nil"/>
          <w:bottom w:val="single" w:sz="12" w:space="0" w:color="401E6C"/>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TableNPSinvisible">
    <w:name w:val="Table NPS invisible"/>
    <w:basedOn w:val="TableNormal"/>
    <w:rsid w:val="00BE40E6"/>
    <w:pPr>
      <w:spacing w:before="120" w:line="2760" w:lineRule="auto"/>
    </w:pPr>
    <w:rPr>
      <w:rFonts w:ascii="Arial" w:hAnsi="Arial"/>
      <w:sz w:val="19"/>
    </w:rPr>
    <w:tblPr/>
  </w:style>
  <w:style w:type="table" w:customStyle="1" w:styleId="Surveytabletruefalse">
    <w:name w:val="Survey table true/false"/>
    <w:basedOn w:val="TableNormal"/>
    <w:rsid w:val="00BE40E6"/>
    <w:pPr>
      <w:spacing w:after="120" w:line="280" w:lineRule="exact"/>
    </w:pPr>
    <w:rPr>
      <w:rFonts w:ascii="Arial Narrow" w:hAnsi="Arial Narrow"/>
    </w:rPr>
    <w:tblPr/>
    <w:tblStylePr w:type="firstRow">
      <w:pPr>
        <w:wordWrap/>
        <w:spacing w:beforeLines="0" w:before="100" w:beforeAutospacing="1"/>
      </w:pPr>
      <w:rPr>
        <w:rFonts w:ascii="@BatangChe" w:eastAsia="@BatangChe" w:hAnsi="@BatangChe" w:hint="eastAsia"/>
        <w:b/>
        <w:sz w:val="20"/>
        <w:szCs w:val="20"/>
      </w:rPr>
      <w:tblPr/>
      <w:tcPr>
        <w:tcBorders>
          <w:top w:val="nil"/>
          <w:left w:val="nil"/>
          <w:bottom w:val="single" w:sz="4" w:space="0" w:color="C0C0C0"/>
          <w:right w:val="nil"/>
          <w:insideH w:val="nil"/>
          <w:insideV w:val="nil"/>
          <w:tl2br w:val="nil"/>
          <w:tr2bl w:val="nil"/>
        </w:tcBorders>
      </w:tcPr>
    </w:tblStylePr>
    <w:tblStylePr w:type="lastRow">
      <w:tblPr/>
      <w:tcPr>
        <w:tcBorders>
          <w:top w:val="nil"/>
          <w:left w:val="nil"/>
          <w:bottom w:val="single" w:sz="4" w:space="0" w:color="C0C0C0"/>
          <w:right w:val="nil"/>
          <w:insideH w:val="nil"/>
          <w:insideV w:val="nil"/>
          <w:tl2br w:val="nil"/>
          <w:tr2bl w:val="nil"/>
        </w:tcBorders>
      </w:tcPr>
    </w:tblStylePr>
    <w:tblStylePr w:type="firstCol">
      <w:pPr>
        <w:jc w:val="left"/>
      </w:pPr>
    </w:tblStylePr>
  </w:style>
  <w:style w:type="table" w:customStyle="1" w:styleId="Tablehidden">
    <w:name w:val="Table hidden"/>
    <w:basedOn w:val="TableNormal"/>
    <w:semiHidden/>
    <w:rsid w:val="00BE40E6"/>
    <w:pPr>
      <w:spacing w:line="360" w:lineRule="auto"/>
    </w:pPr>
    <w:rPr>
      <w:vanish/>
      <w:sz w:val="22"/>
    </w:rPr>
    <w:tblPr/>
    <w:tblStylePr w:type="firstCol">
      <w:rPr>
        <w:rFonts w:ascii="Times New Roman" w:hAnsi="Times New Roman" w:cs="Times New Roman" w:hint="default"/>
        <w:b/>
      </w:rPr>
    </w:tblStylePr>
  </w:style>
  <w:style w:type="table" w:customStyle="1" w:styleId="Emphasissubtle">
    <w:name w:val="Emphasis subtle"/>
    <w:basedOn w:val="TableNormal"/>
    <w:rsid w:val="00BE40E6"/>
    <w:pPr>
      <w:spacing w:line="360" w:lineRule="auto"/>
    </w:pPr>
    <w:tblPr>
      <w:tblBorders>
        <w:top w:val="single" w:sz="4" w:space="0" w:color="CCCCCC"/>
        <w:left w:val="single" w:sz="4" w:space="0" w:color="CCCCCC"/>
        <w:bottom w:val="single" w:sz="4" w:space="0" w:color="CCCCCC"/>
        <w:right w:val="single" w:sz="4" w:space="0" w:color="CCCCCC"/>
      </w:tblBorders>
      <w:tblCellMar>
        <w:top w:w="30" w:type="dxa"/>
        <w:left w:w="120" w:type="dxa"/>
        <w:bottom w:w="30" w:type="dxa"/>
        <w:right w:w="120" w:type="dxa"/>
      </w:tblCellMar>
    </w:tblPr>
  </w:style>
  <w:style w:type="table" w:customStyle="1" w:styleId="Emphasisinline">
    <w:name w:val="Emphasis inline"/>
    <w:basedOn w:val="TableNormal"/>
    <w:uiPriority w:val="99"/>
    <w:qFormat/>
    <w:rsid w:val="00BE40E6"/>
    <w:rPr>
      <w:color w:val="4B306A"/>
    </w:rPr>
    <w:tblPr>
      <w:tblBorders>
        <w:top w:val="single" w:sz="8" w:space="0" w:color="401E6C"/>
        <w:bottom w:val="single" w:sz="8" w:space="0" w:color="401E6C"/>
      </w:tblBorders>
    </w:tblPr>
  </w:style>
  <w:style w:type="table" w:customStyle="1" w:styleId="Titlepagefooter">
    <w:name w:val="Title page footer"/>
    <w:basedOn w:val="TableNormal"/>
    <w:uiPriority w:val="99"/>
    <w:qFormat/>
    <w:rsid w:val="00BE40E6"/>
    <w:pPr>
      <w:spacing w:before="120"/>
    </w:pPr>
    <w:rPr>
      <w:rFonts w:ascii="Arial" w:hAnsi="Arial"/>
      <w:sz w:val="14"/>
    </w:rPr>
    <w:tblPr>
      <w:tblBorders>
        <w:top w:val="single" w:sz="24" w:space="0" w:color="401E6C"/>
      </w:tblBorders>
      <w:tblCellMar>
        <w:top w:w="28" w:type="dxa"/>
        <w:bottom w:w="28" w:type="dxa"/>
      </w:tblCellMar>
    </w:tblPr>
  </w:style>
  <w:style w:type="table" w:customStyle="1" w:styleId="Boxpurple">
    <w:name w:val="Box purple"/>
    <w:basedOn w:val="TableNormal"/>
    <w:uiPriority w:val="99"/>
    <w:qFormat/>
    <w:rsid w:val="00BE40E6"/>
    <w:tblPr>
      <w:tblBorders>
        <w:top w:val="single" w:sz="18" w:space="0" w:color="401E6C"/>
        <w:left w:val="single" w:sz="18" w:space="0" w:color="401E6C"/>
        <w:bottom w:val="single" w:sz="18" w:space="0" w:color="401E6C"/>
        <w:right w:val="single" w:sz="18" w:space="0" w:color="401E6C"/>
      </w:tblBorders>
    </w:tblPr>
  </w:style>
  <w:style w:type="table" w:customStyle="1" w:styleId="Boxorange">
    <w:name w:val="Box orange"/>
    <w:basedOn w:val="Boxpurple"/>
    <w:uiPriority w:val="99"/>
    <w:qFormat/>
    <w:rsid w:val="00BE40E6"/>
    <w:tblPr>
      <w:tblBorders>
        <w:top w:val="single" w:sz="18" w:space="0" w:color="F47B28"/>
        <w:left w:val="single" w:sz="18" w:space="0" w:color="F47B28"/>
        <w:bottom w:val="single" w:sz="18" w:space="0" w:color="F47B28"/>
        <w:right w:val="single" w:sz="18" w:space="0" w:color="F47B28"/>
      </w:tblBorders>
    </w:tblPr>
  </w:style>
  <w:style w:type="table" w:customStyle="1" w:styleId="LightShading1">
    <w:name w:val="Light Shading1"/>
    <w:basedOn w:val="TableNormal"/>
    <w:uiPriority w:val="60"/>
    <w:rsid w:val="00BE40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Boxgreen">
    <w:name w:val="Box green"/>
    <w:basedOn w:val="Boxorange"/>
    <w:uiPriority w:val="99"/>
    <w:qFormat/>
    <w:rsid w:val="00BE40E6"/>
    <w:tblPr>
      <w:tblBorders>
        <w:top w:val="single" w:sz="18" w:space="0" w:color="81BD41"/>
        <w:left w:val="single" w:sz="18" w:space="0" w:color="81BD41"/>
        <w:bottom w:val="single" w:sz="18" w:space="0" w:color="81BD41"/>
        <w:right w:val="single" w:sz="18" w:space="0" w:color="81BD41"/>
      </w:tblBorders>
    </w:tblPr>
  </w:style>
  <w:style w:type="paragraph" w:customStyle="1" w:styleId="31subtitle">
    <w:name w:val="31 subtitle"/>
    <w:basedOn w:val="DocumentTitle"/>
    <w:next w:val="Normal"/>
    <w:rsid w:val="00BE40E6"/>
  </w:style>
  <w:style w:type="paragraph" w:customStyle="1" w:styleId="Tablecheckbox">
    <w:name w:val="Table check box"/>
    <w:basedOn w:val="Surveycheckbox"/>
    <w:uiPriority w:val="54"/>
    <w:rsid w:val="00BE40E6"/>
    <w:pPr>
      <w:numPr>
        <w:numId w:val="62"/>
      </w:numPr>
      <w:spacing w:before="40" w:after="40" w:line="240" w:lineRule="auto"/>
      <w:ind w:left="170" w:hanging="170"/>
    </w:pPr>
  </w:style>
  <w:style w:type="paragraph" w:customStyle="1" w:styleId="Tablecheckboxchecked">
    <w:name w:val="Table check box checked"/>
    <w:basedOn w:val="Tablecheckbox"/>
    <w:uiPriority w:val="55"/>
    <w:rsid w:val="00BE40E6"/>
    <w:pPr>
      <w:numPr>
        <w:numId w:val="63"/>
      </w:numPr>
      <w:ind w:left="170" w:hanging="170"/>
    </w:pPr>
  </w:style>
  <w:style w:type="numbering" w:customStyle="1" w:styleId="Style22">
    <w:name w:val="Style22"/>
    <w:uiPriority w:val="99"/>
    <w:rsid w:val="00BE40E6"/>
    <w:pPr>
      <w:numPr>
        <w:numId w:val="32"/>
      </w:numPr>
    </w:pPr>
  </w:style>
  <w:style w:type="numbering" w:customStyle="1" w:styleId="Tabletextcheckbox">
    <w:name w:val="Table text check box"/>
    <w:rsid w:val="00BE40E6"/>
    <w:pPr>
      <w:numPr>
        <w:numId w:val="66"/>
      </w:numPr>
    </w:pPr>
  </w:style>
  <w:style w:type="numbering" w:styleId="111111">
    <w:name w:val="Outline List 2"/>
    <w:basedOn w:val="NoList"/>
    <w:semiHidden/>
    <w:unhideWhenUsed/>
    <w:locked/>
    <w:rsid w:val="00BE40E6"/>
    <w:pPr>
      <w:numPr>
        <w:numId w:val="67"/>
      </w:numPr>
    </w:pPr>
  </w:style>
  <w:style w:type="numbering" w:customStyle="1" w:styleId="Style21">
    <w:name w:val="Style21"/>
    <w:uiPriority w:val="99"/>
    <w:rsid w:val="00BE40E6"/>
    <w:pPr>
      <w:numPr>
        <w:numId w:val="68"/>
      </w:numPr>
    </w:pPr>
  </w:style>
  <w:style w:type="numbering" w:styleId="1ai">
    <w:name w:val="Outline List 1"/>
    <w:basedOn w:val="NoList"/>
    <w:semiHidden/>
    <w:unhideWhenUsed/>
    <w:locked/>
    <w:rsid w:val="00BE40E6"/>
    <w:pPr>
      <w:numPr>
        <w:numId w:val="69"/>
      </w:numPr>
    </w:pPr>
  </w:style>
  <w:style w:type="numbering" w:customStyle="1" w:styleId="Tabletextcheckboxchecked">
    <w:name w:val="Table text check box checked"/>
    <w:rsid w:val="00BE40E6"/>
    <w:pPr>
      <w:numPr>
        <w:numId w:val="70"/>
      </w:numPr>
    </w:pPr>
  </w:style>
  <w:style w:type="numbering" w:customStyle="1" w:styleId="Heading1numberedlist">
    <w:name w:val="Heading 1 numbered list"/>
    <w:uiPriority w:val="99"/>
    <w:rsid w:val="00BE40E6"/>
    <w:pPr>
      <w:numPr>
        <w:numId w:val="71"/>
      </w:numPr>
    </w:pPr>
  </w:style>
  <w:style w:type="numbering" w:customStyle="1" w:styleId="Tabletextheadinglist">
    <w:name w:val="Table text heading list"/>
    <w:rsid w:val="00BE40E6"/>
    <w:pPr>
      <w:numPr>
        <w:numId w:val="72"/>
      </w:numPr>
    </w:pPr>
  </w:style>
  <w:style w:type="numbering" w:customStyle="1" w:styleId="Style41">
    <w:name w:val="Style41"/>
    <w:uiPriority w:val="99"/>
    <w:rsid w:val="00BE40E6"/>
    <w:pPr>
      <w:numPr>
        <w:numId w:val="73"/>
      </w:numPr>
    </w:pPr>
  </w:style>
  <w:style w:type="numbering" w:styleId="ArticleSection">
    <w:name w:val="Outline List 3"/>
    <w:basedOn w:val="NoList"/>
    <w:semiHidden/>
    <w:unhideWhenUsed/>
    <w:locked/>
    <w:rsid w:val="00BE40E6"/>
    <w:pPr>
      <w:numPr>
        <w:numId w:val="74"/>
      </w:numPr>
    </w:pPr>
  </w:style>
  <w:style w:type="character" w:styleId="Emphasis">
    <w:name w:val="Emphasis"/>
    <w:basedOn w:val="DefaultParagraphFont"/>
    <w:uiPriority w:val="20"/>
    <w:qFormat/>
    <w:locked/>
    <w:rsid w:val="00360531"/>
    <w:rPr>
      <w:i/>
      <w:iCs/>
    </w:rPr>
  </w:style>
  <w:style w:type="character" w:styleId="Strong">
    <w:name w:val="Strong"/>
    <w:basedOn w:val="DefaultParagraphFont"/>
    <w:uiPriority w:val="22"/>
    <w:qFormat/>
    <w:locked/>
    <w:rsid w:val="00360531"/>
    <w:rPr>
      <w:b/>
      <w:bCs/>
    </w:rPr>
  </w:style>
  <w:style w:type="character" w:styleId="PageNumber">
    <w:name w:val="page number"/>
    <w:basedOn w:val="DefaultParagraphFont"/>
    <w:uiPriority w:val="99"/>
    <w:locked/>
    <w:rsid w:val="00360531"/>
  </w:style>
  <w:style w:type="character" w:styleId="HTMLAcronym">
    <w:name w:val="HTML Acronym"/>
    <w:basedOn w:val="DefaultParagraphFont"/>
    <w:uiPriority w:val="99"/>
    <w:unhideWhenUsed/>
    <w:locked/>
    <w:rsid w:val="00360531"/>
  </w:style>
  <w:style w:type="character" w:styleId="HTMLCite">
    <w:name w:val="HTML Cite"/>
    <w:basedOn w:val="DefaultParagraphFont"/>
    <w:uiPriority w:val="99"/>
    <w:unhideWhenUsed/>
    <w:locked/>
    <w:rsid w:val="00360531"/>
    <w:rPr>
      <w:i/>
      <w:iCs/>
    </w:rPr>
  </w:style>
  <w:style w:type="character" w:styleId="HTMLDefinition">
    <w:name w:val="HTML Definition"/>
    <w:basedOn w:val="DefaultParagraphFont"/>
    <w:uiPriority w:val="99"/>
    <w:unhideWhenUsed/>
    <w:locked/>
    <w:rsid w:val="00360531"/>
    <w:rPr>
      <w:i/>
      <w:iCs/>
    </w:rPr>
  </w:style>
  <w:style w:type="character" w:styleId="HTMLVariable">
    <w:name w:val="HTML Variable"/>
    <w:basedOn w:val="DefaultParagraphFont"/>
    <w:uiPriority w:val="99"/>
    <w:unhideWhenUsed/>
    <w:locked/>
    <w:rsid w:val="00360531"/>
    <w:rPr>
      <w:i/>
      <w:iCs/>
    </w:rPr>
  </w:style>
  <w:style w:type="numbering" w:customStyle="1" w:styleId="Style4">
    <w:name w:val="Style4"/>
    <w:uiPriority w:val="99"/>
    <w:rsid w:val="00360531"/>
  </w:style>
  <w:style w:type="character" w:customStyle="1" w:styleId="st1">
    <w:name w:val="st1"/>
    <w:basedOn w:val="DefaultParagraphFont"/>
    <w:rsid w:val="00535DD0"/>
  </w:style>
  <w:style w:type="character" w:customStyle="1" w:styleId="cit">
    <w:name w:val="cit"/>
    <w:basedOn w:val="DefaultParagraphFont"/>
    <w:rsid w:val="00BE364B"/>
  </w:style>
  <w:style w:type="character" w:customStyle="1" w:styleId="fm-vol-iss-date">
    <w:name w:val="fm-vol-iss-date"/>
    <w:basedOn w:val="DefaultParagraphFont"/>
    <w:rsid w:val="00BE364B"/>
  </w:style>
  <w:style w:type="character" w:customStyle="1" w:styleId="doi1">
    <w:name w:val="doi1"/>
    <w:basedOn w:val="DefaultParagraphFont"/>
    <w:rsid w:val="00BE364B"/>
  </w:style>
  <w:style w:type="character" w:customStyle="1" w:styleId="fm-citation-ids-label">
    <w:name w:val="fm-citation-ids-label"/>
    <w:basedOn w:val="DefaultParagraphFont"/>
    <w:rsid w:val="00BE364B"/>
  </w:style>
  <w:style w:type="character" w:customStyle="1" w:styleId="highlight1">
    <w:name w:val="highlight1"/>
    <w:basedOn w:val="DefaultParagraphFont"/>
    <w:rsid w:val="00F54B11"/>
    <w:rPr>
      <w:color w:val="000000"/>
      <w:shd w:val="clear" w:color="auto" w:fill="FF6600"/>
    </w:rPr>
  </w:style>
  <w:style w:type="paragraph" w:customStyle="1" w:styleId="Pa0">
    <w:name w:val="Pa0"/>
    <w:basedOn w:val="Default"/>
    <w:next w:val="Default"/>
    <w:uiPriority w:val="99"/>
    <w:rsid w:val="007F530A"/>
    <w:pPr>
      <w:spacing w:line="241" w:lineRule="atLeast"/>
    </w:pPr>
    <w:rPr>
      <w:rFonts w:ascii="HelveticaNeueLT Std" w:hAnsi="HelveticaNeueLT Std" w:cs="Times New Roman"/>
      <w:color w:val="auto"/>
    </w:rPr>
  </w:style>
  <w:style w:type="character" w:customStyle="1" w:styleId="A10">
    <w:name w:val="A10"/>
    <w:uiPriority w:val="99"/>
    <w:rsid w:val="007F530A"/>
    <w:rPr>
      <w:rFonts w:cs="HelveticaNeueLT Std"/>
      <w:b/>
      <w:bCs/>
      <w:color w:val="000000"/>
      <w:sz w:val="17"/>
      <w:szCs w:val="17"/>
    </w:rPr>
  </w:style>
  <w:style w:type="table" w:styleId="GridTable2-Accent1">
    <w:name w:val="Grid Table 2 Accent 1"/>
    <w:basedOn w:val="TableNormal"/>
    <w:uiPriority w:val="47"/>
    <w:rsid w:val="005E25E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5E25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5E25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BoxNormal">
    <w:name w:val="Box Normal"/>
    <w:basedOn w:val="Normal"/>
    <w:qFormat/>
    <w:rsid w:val="00B0749B"/>
    <w:pPr>
      <w:spacing w:before="0" w:after="180" w:line="240" w:lineRule="auto"/>
      <w:ind w:left="57" w:right="57"/>
    </w:pPr>
    <w:rPr>
      <w:rFonts w:eastAsiaTheme="minorHAnsi" w:cs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965">
      <w:bodyDiv w:val="1"/>
      <w:marLeft w:val="0"/>
      <w:marRight w:val="0"/>
      <w:marTop w:val="0"/>
      <w:marBottom w:val="0"/>
      <w:divBdr>
        <w:top w:val="none" w:sz="0" w:space="0" w:color="auto"/>
        <w:left w:val="none" w:sz="0" w:space="0" w:color="auto"/>
        <w:bottom w:val="none" w:sz="0" w:space="0" w:color="auto"/>
        <w:right w:val="none" w:sz="0" w:space="0" w:color="auto"/>
      </w:divBdr>
    </w:div>
    <w:div w:id="739328">
      <w:bodyDiv w:val="1"/>
      <w:marLeft w:val="0"/>
      <w:marRight w:val="0"/>
      <w:marTop w:val="0"/>
      <w:marBottom w:val="0"/>
      <w:divBdr>
        <w:top w:val="none" w:sz="0" w:space="0" w:color="auto"/>
        <w:left w:val="none" w:sz="0" w:space="0" w:color="auto"/>
        <w:bottom w:val="none" w:sz="0" w:space="0" w:color="auto"/>
        <w:right w:val="none" w:sz="0" w:space="0" w:color="auto"/>
      </w:divBdr>
    </w:div>
    <w:div w:id="813907">
      <w:bodyDiv w:val="1"/>
      <w:marLeft w:val="0"/>
      <w:marRight w:val="0"/>
      <w:marTop w:val="0"/>
      <w:marBottom w:val="0"/>
      <w:divBdr>
        <w:top w:val="none" w:sz="0" w:space="0" w:color="auto"/>
        <w:left w:val="none" w:sz="0" w:space="0" w:color="auto"/>
        <w:bottom w:val="none" w:sz="0" w:space="0" w:color="auto"/>
        <w:right w:val="none" w:sz="0" w:space="0" w:color="auto"/>
      </w:divBdr>
    </w:div>
    <w:div w:id="817493">
      <w:bodyDiv w:val="1"/>
      <w:marLeft w:val="0"/>
      <w:marRight w:val="0"/>
      <w:marTop w:val="0"/>
      <w:marBottom w:val="0"/>
      <w:divBdr>
        <w:top w:val="none" w:sz="0" w:space="0" w:color="auto"/>
        <w:left w:val="none" w:sz="0" w:space="0" w:color="auto"/>
        <w:bottom w:val="none" w:sz="0" w:space="0" w:color="auto"/>
        <w:right w:val="none" w:sz="0" w:space="0" w:color="auto"/>
      </w:divBdr>
    </w:div>
    <w:div w:id="1587422">
      <w:bodyDiv w:val="1"/>
      <w:marLeft w:val="0"/>
      <w:marRight w:val="0"/>
      <w:marTop w:val="0"/>
      <w:marBottom w:val="0"/>
      <w:divBdr>
        <w:top w:val="none" w:sz="0" w:space="0" w:color="auto"/>
        <w:left w:val="none" w:sz="0" w:space="0" w:color="auto"/>
        <w:bottom w:val="none" w:sz="0" w:space="0" w:color="auto"/>
        <w:right w:val="none" w:sz="0" w:space="0" w:color="auto"/>
      </w:divBdr>
    </w:div>
    <w:div w:id="2054382">
      <w:bodyDiv w:val="1"/>
      <w:marLeft w:val="0"/>
      <w:marRight w:val="0"/>
      <w:marTop w:val="0"/>
      <w:marBottom w:val="0"/>
      <w:divBdr>
        <w:top w:val="none" w:sz="0" w:space="0" w:color="auto"/>
        <w:left w:val="none" w:sz="0" w:space="0" w:color="auto"/>
        <w:bottom w:val="none" w:sz="0" w:space="0" w:color="auto"/>
        <w:right w:val="none" w:sz="0" w:space="0" w:color="auto"/>
      </w:divBdr>
    </w:div>
    <w:div w:id="2247720">
      <w:bodyDiv w:val="1"/>
      <w:marLeft w:val="0"/>
      <w:marRight w:val="0"/>
      <w:marTop w:val="0"/>
      <w:marBottom w:val="0"/>
      <w:divBdr>
        <w:top w:val="none" w:sz="0" w:space="0" w:color="auto"/>
        <w:left w:val="none" w:sz="0" w:space="0" w:color="auto"/>
        <w:bottom w:val="none" w:sz="0" w:space="0" w:color="auto"/>
        <w:right w:val="none" w:sz="0" w:space="0" w:color="auto"/>
      </w:divBdr>
    </w:div>
    <w:div w:id="3829457">
      <w:bodyDiv w:val="1"/>
      <w:marLeft w:val="0"/>
      <w:marRight w:val="0"/>
      <w:marTop w:val="0"/>
      <w:marBottom w:val="0"/>
      <w:divBdr>
        <w:top w:val="none" w:sz="0" w:space="0" w:color="auto"/>
        <w:left w:val="none" w:sz="0" w:space="0" w:color="auto"/>
        <w:bottom w:val="none" w:sz="0" w:space="0" w:color="auto"/>
        <w:right w:val="none" w:sz="0" w:space="0" w:color="auto"/>
      </w:divBdr>
    </w:div>
    <w:div w:id="4091380">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4671824">
      <w:bodyDiv w:val="1"/>
      <w:marLeft w:val="0"/>
      <w:marRight w:val="0"/>
      <w:marTop w:val="0"/>
      <w:marBottom w:val="0"/>
      <w:divBdr>
        <w:top w:val="none" w:sz="0" w:space="0" w:color="auto"/>
        <w:left w:val="none" w:sz="0" w:space="0" w:color="auto"/>
        <w:bottom w:val="none" w:sz="0" w:space="0" w:color="auto"/>
        <w:right w:val="none" w:sz="0" w:space="0" w:color="auto"/>
      </w:divBdr>
    </w:div>
    <w:div w:id="7027955">
      <w:bodyDiv w:val="1"/>
      <w:marLeft w:val="0"/>
      <w:marRight w:val="0"/>
      <w:marTop w:val="0"/>
      <w:marBottom w:val="0"/>
      <w:divBdr>
        <w:top w:val="none" w:sz="0" w:space="0" w:color="auto"/>
        <w:left w:val="none" w:sz="0" w:space="0" w:color="auto"/>
        <w:bottom w:val="none" w:sz="0" w:space="0" w:color="auto"/>
        <w:right w:val="none" w:sz="0" w:space="0" w:color="auto"/>
      </w:divBdr>
    </w:div>
    <w:div w:id="7608569">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9257666">
      <w:bodyDiv w:val="1"/>
      <w:marLeft w:val="0"/>
      <w:marRight w:val="0"/>
      <w:marTop w:val="0"/>
      <w:marBottom w:val="0"/>
      <w:divBdr>
        <w:top w:val="none" w:sz="0" w:space="0" w:color="auto"/>
        <w:left w:val="none" w:sz="0" w:space="0" w:color="auto"/>
        <w:bottom w:val="none" w:sz="0" w:space="0" w:color="auto"/>
        <w:right w:val="none" w:sz="0" w:space="0" w:color="auto"/>
      </w:divBdr>
    </w:div>
    <w:div w:id="10298994">
      <w:bodyDiv w:val="1"/>
      <w:marLeft w:val="0"/>
      <w:marRight w:val="0"/>
      <w:marTop w:val="0"/>
      <w:marBottom w:val="0"/>
      <w:divBdr>
        <w:top w:val="none" w:sz="0" w:space="0" w:color="auto"/>
        <w:left w:val="none" w:sz="0" w:space="0" w:color="auto"/>
        <w:bottom w:val="none" w:sz="0" w:space="0" w:color="auto"/>
        <w:right w:val="none" w:sz="0" w:space="0" w:color="auto"/>
      </w:divBdr>
    </w:div>
    <w:div w:id="11418354">
      <w:bodyDiv w:val="1"/>
      <w:marLeft w:val="0"/>
      <w:marRight w:val="0"/>
      <w:marTop w:val="0"/>
      <w:marBottom w:val="0"/>
      <w:divBdr>
        <w:top w:val="none" w:sz="0" w:space="0" w:color="auto"/>
        <w:left w:val="none" w:sz="0" w:space="0" w:color="auto"/>
        <w:bottom w:val="none" w:sz="0" w:space="0" w:color="auto"/>
        <w:right w:val="none" w:sz="0" w:space="0" w:color="auto"/>
      </w:divBdr>
    </w:div>
    <w:div w:id="11534989">
      <w:bodyDiv w:val="1"/>
      <w:marLeft w:val="0"/>
      <w:marRight w:val="0"/>
      <w:marTop w:val="0"/>
      <w:marBottom w:val="0"/>
      <w:divBdr>
        <w:top w:val="none" w:sz="0" w:space="0" w:color="auto"/>
        <w:left w:val="none" w:sz="0" w:space="0" w:color="auto"/>
        <w:bottom w:val="none" w:sz="0" w:space="0" w:color="auto"/>
        <w:right w:val="none" w:sz="0" w:space="0" w:color="auto"/>
      </w:divBdr>
    </w:div>
    <w:div w:id="12927740">
      <w:bodyDiv w:val="1"/>
      <w:marLeft w:val="0"/>
      <w:marRight w:val="0"/>
      <w:marTop w:val="0"/>
      <w:marBottom w:val="0"/>
      <w:divBdr>
        <w:top w:val="none" w:sz="0" w:space="0" w:color="auto"/>
        <w:left w:val="none" w:sz="0" w:space="0" w:color="auto"/>
        <w:bottom w:val="none" w:sz="0" w:space="0" w:color="auto"/>
        <w:right w:val="none" w:sz="0" w:space="0" w:color="auto"/>
      </w:divBdr>
    </w:div>
    <w:div w:id="15160474">
      <w:bodyDiv w:val="1"/>
      <w:marLeft w:val="0"/>
      <w:marRight w:val="0"/>
      <w:marTop w:val="0"/>
      <w:marBottom w:val="0"/>
      <w:divBdr>
        <w:top w:val="none" w:sz="0" w:space="0" w:color="auto"/>
        <w:left w:val="none" w:sz="0" w:space="0" w:color="auto"/>
        <w:bottom w:val="none" w:sz="0" w:space="0" w:color="auto"/>
        <w:right w:val="none" w:sz="0" w:space="0" w:color="auto"/>
      </w:divBdr>
    </w:div>
    <w:div w:id="15235298">
      <w:bodyDiv w:val="1"/>
      <w:marLeft w:val="0"/>
      <w:marRight w:val="0"/>
      <w:marTop w:val="0"/>
      <w:marBottom w:val="0"/>
      <w:divBdr>
        <w:top w:val="none" w:sz="0" w:space="0" w:color="auto"/>
        <w:left w:val="none" w:sz="0" w:space="0" w:color="auto"/>
        <w:bottom w:val="none" w:sz="0" w:space="0" w:color="auto"/>
        <w:right w:val="none" w:sz="0" w:space="0" w:color="auto"/>
      </w:divBdr>
    </w:div>
    <w:div w:id="16591635">
      <w:bodyDiv w:val="1"/>
      <w:marLeft w:val="0"/>
      <w:marRight w:val="0"/>
      <w:marTop w:val="0"/>
      <w:marBottom w:val="0"/>
      <w:divBdr>
        <w:top w:val="none" w:sz="0" w:space="0" w:color="auto"/>
        <w:left w:val="none" w:sz="0" w:space="0" w:color="auto"/>
        <w:bottom w:val="none" w:sz="0" w:space="0" w:color="auto"/>
        <w:right w:val="none" w:sz="0" w:space="0" w:color="auto"/>
      </w:divBdr>
    </w:div>
    <w:div w:id="17246665">
      <w:bodyDiv w:val="1"/>
      <w:marLeft w:val="0"/>
      <w:marRight w:val="0"/>
      <w:marTop w:val="0"/>
      <w:marBottom w:val="0"/>
      <w:divBdr>
        <w:top w:val="none" w:sz="0" w:space="0" w:color="auto"/>
        <w:left w:val="none" w:sz="0" w:space="0" w:color="auto"/>
        <w:bottom w:val="none" w:sz="0" w:space="0" w:color="auto"/>
        <w:right w:val="none" w:sz="0" w:space="0" w:color="auto"/>
      </w:divBdr>
    </w:div>
    <w:div w:id="19090769">
      <w:bodyDiv w:val="1"/>
      <w:marLeft w:val="0"/>
      <w:marRight w:val="0"/>
      <w:marTop w:val="0"/>
      <w:marBottom w:val="0"/>
      <w:divBdr>
        <w:top w:val="none" w:sz="0" w:space="0" w:color="auto"/>
        <w:left w:val="none" w:sz="0" w:space="0" w:color="auto"/>
        <w:bottom w:val="none" w:sz="0" w:space="0" w:color="auto"/>
        <w:right w:val="none" w:sz="0" w:space="0" w:color="auto"/>
      </w:divBdr>
    </w:div>
    <w:div w:id="19937847">
      <w:bodyDiv w:val="1"/>
      <w:marLeft w:val="0"/>
      <w:marRight w:val="0"/>
      <w:marTop w:val="0"/>
      <w:marBottom w:val="0"/>
      <w:divBdr>
        <w:top w:val="none" w:sz="0" w:space="0" w:color="auto"/>
        <w:left w:val="none" w:sz="0" w:space="0" w:color="auto"/>
        <w:bottom w:val="none" w:sz="0" w:space="0" w:color="auto"/>
        <w:right w:val="none" w:sz="0" w:space="0" w:color="auto"/>
      </w:divBdr>
    </w:div>
    <w:div w:id="20132528">
      <w:bodyDiv w:val="1"/>
      <w:marLeft w:val="0"/>
      <w:marRight w:val="0"/>
      <w:marTop w:val="0"/>
      <w:marBottom w:val="0"/>
      <w:divBdr>
        <w:top w:val="none" w:sz="0" w:space="0" w:color="auto"/>
        <w:left w:val="none" w:sz="0" w:space="0" w:color="auto"/>
        <w:bottom w:val="none" w:sz="0" w:space="0" w:color="auto"/>
        <w:right w:val="none" w:sz="0" w:space="0" w:color="auto"/>
      </w:divBdr>
    </w:div>
    <w:div w:id="20205675">
      <w:bodyDiv w:val="1"/>
      <w:marLeft w:val="0"/>
      <w:marRight w:val="0"/>
      <w:marTop w:val="0"/>
      <w:marBottom w:val="0"/>
      <w:divBdr>
        <w:top w:val="none" w:sz="0" w:space="0" w:color="auto"/>
        <w:left w:val="none" w:sz="0" w:space="0" w:color="auto"/>
        <w:bottom w:val="none" w:sz="0" w:space="0" w:color="auto"/>
        <w:right w:val="none" w:sz="0" w:space="0" w:color="auto"/>
      </w:divBdr>
    </w:div>
    <w:div w:id="21367578">
      <w:bodyDiv w:val="1"/>
      <w:marLeft w:val="0"/>
      <w:marRight w:val="0"/>
      <w:marTop w:val="0"/>
      <w:marBottom w:val="0"/>
      <w:divBdr>
        <w:top w:val="none" w:sz="0" w:space="0" w:color="auto"/>
        <w:left w:val="none" w:sz="0" w:space="0" w:color="auto"/>
        <w:bottom w:val="none" w:sz="0" w:space="0" w:color="auto"/>
        <w:right w:val="none" w:sz="0" w:space="0" w:color="auto"/>
      </w:divBdr>
    </w:div>
    <w:div w:id="22024034">
      <w:bodyDiv w:val="1"/>
      <w:marLeft w:val="0"/>
      <w:marRight w:val="0"/>
      <w:marTop w:val="0"/>
      <w:marBottom w:val="0"/>
      <w:divBdr>
        <w:top w:val="none" w:sz="0" w:space="0" w:color="auto"/>
        <w:left w:val="none" w:sz="0" w:space="0" w:color="auto"/>
        <w:bottom w:val="none" w:sz="0" w:space="0" w:color="auto"/>
        <w:right w:val="none" w:sz="0" w:space="0" w:color="auto"/>
      </w:divBdr>
    </w:div>
    <w:div w:id="22751992">
      <w:bodyDiv w:val="1"/>
      <w:marLeft w:val="0"/>
      <w:marRight w:val="0"/>
      <w:marTop w:val="0"/>
      <w:marBottom w:val="0"/>
      <w:divBdr>
        <w:top w:val="none" w:sz="0" w:space="0" w:color="auto"/>
        <w:left w:val="none" w:sz="0" w:space="0" w:color="auto"/>
        <w:bottom w:val="none" w:sz="0" w:space="0" w:color="auto"/>
        <w:right w:val="none" w:sz="0" w:space="0" w:color="auto"/>
      </w:divBdr>
    </w:div>
    <w:div w:id="23138300">
      <w:bodyDiv w:val="1"/>
      <w:marLeft w:val="0"/>
      <w:marRight w:val="0"/>
      <w:marTop w:val="0"/>
      <w:marBottom w:val="0"/>
      <w:divBdr>
        <w:top w:val="none" w:sz="0" w:space="0" w:color="auto"/>
        <w:left w:val="none" w:sz="0" w:space="0" w:color="auto"/>
        <w:bottom w:val="none" w:sz="0" w:space="0" w:color="auto"/>
        <w:right w:val="none" w:sz="0" w:space="0" w:color="auto"/>
      </w:divBdr>
    </w:div>
    <w:div w:id="23404337">
      <w:bodyDiv w:val="1"/>
      <w:marLeft w:val="0"/>
      <w:marRight w:val="0"/>
      <w:marTop w:val="0"/>
      <w:marBottom w:val="0"/>
      <w:divBdr>
        <w:top w:val="none" w:sz="0" w:space="0" w:color="auto"/>
        <w:left w:val="none" w:sz="0" w:space="0" w:color="auto"/>
        <w:bottom w:val="none" w:sz="0" w:space="0" w:color="auto"/>
        <w:right w:val="none" w:sz="0" w:space="0" w:color="auto"/>
      </w:divBdr>
    </w:div>
    <w:div w:id="23485602">
      <w:bodyDiv w:val="1"/>
      <w:marLeft w:val="0"/>
      <w:marRight w:val="0"/>
      <w:marTop w:val="0"/>
      <w:marBottom w:val="0"/>
      <w:divBdr>
        <w:top w:val="none" w:sz="0" w:space="0" w:color="auto"/>
        <w:left w:val="none" w:sz="0" w:space="0" w:color="auto"/>
        <w:bottom w:val="none" w:sz="0" w:space="0" w:color="auto"/>
        <w:right w:val="none" w:sz="0" w:space="0" w:color="auto"/>
      </w:divBdr>
    </w:div>
    <w:div w:id="25983821">
      <w:bodyDiv w:val="1"/>
      <w:marLeft w:val="0"/>
      <w:marRight w:val="0"/>
      <w:marTop w:val="0"/>
      <w:marBottom w:val="0"/>
      <w:divBdr>
        <w:top w:val="none" w:sz="0" w:space="0" w:color="auto"/>
        <w:left w:val="none" w:sz="0" w:space="0" w:color="auto"/>
        <w:bottom w:val="none" w:sz="0" w:space="0" w:color="auto"/>
        <w:right w:val="none" w:sz="0" w:space="0" w:color="auto"/>
      </w:divBdr>
    </w:div>
    <w:div w:id="27217741">
      <w:bodyDiv w:val="1"/>
      <w:marLeft w:val="0"/>
      <w:marRight w:val="0"/>
      <w:marTop w:val="0"/>
      <w:marBottom w:val="0"/>
      <w:divBdr>
        <w:top w:val="none" w:sz="0" w:space="0" w:color="auto"/>
        <w:left w:val="none" w:sz="0" w:space="0" w:color="auto"/>
        <w:bottom w:val="none" w:sz="0" w:space="0" w:color="auto"/>
        <w:right w:val="none" w:sz="0" w:space="0" w:color="auto"/>
      </w:divBdr>
    </w:div>
    <w:div w:id="29958533">
      <w:bodyDiv w:val="1"/>
      <w:marLeft w:val="0"/>
      <w:marRight w:val="0"/>
      <w:marTop w:val="0"/>
      <w:marBottom w:val="0"/>
      <w:divBdr>
        <w:top w:val="none" w:sz="0" w:space="0" w:color="auto"/>
        <w:left w:val="none" w:sz="0" w:space="0" w:color="auto"/>
        <w:bottom w:val="none" w:sz="0" w:space="0" w:color="auto"/>
        <w:right w:val="none" w:sz="0" w:space="0" w:color="auto"/>
      </w:divBdr>
    </w:div>
    <w:div w:id="30344563">
      <w:bodyDiv w:val="1"/>
      <w:marLeft w:val="0"/>
      <w:marRight w:val="0"/>
      <w:marTop w:val="0"/>
      <w:marBottom w:val="0"/>
      <w:divBdr>
        <w:top w:val="none" w:sz="0" w:space="0" w:color="auto"/>
        <w:left w:val="none" w:sz="0" w:space="0" w:color="auto"/>
        <w:bottom w:val="none" w:sz="0" w:space="0" w:color="auto"/>
        <w:right w:val="none" w:sz="0" w:space="0" w:color="auto"/>
      </w:divBdr>
    </w:div>
    <w:div w:id="30738363">
      <w:bodyDiv w:val="1"/>
      <w:marLeft w:val="0"/>
      <w:marRight w:val="0"/>
      <w:marTop w:val="0"/>
      <w:marBottom w:val="0"/>
      <w:divBdr>
        <w:top w:val="none" w:sz="0" w:space="0" w:color="auto"/>
        <w:left w:val="none" w:sz="0" w:space="0" w:color="auto"/>
        <w:bottom w:val="none" w:sz="0" w:space="0" w:color="auto"/>
        <w:right w:val="none" w:sz="0" w:space="0" w:color="auto"/>
      </w:divBdr>
    </w:div>
    <w:div w:id="30888746">
      <w:bodyDiv w:val="1"/>
      <w:marLeft w:val="0"/>
      <w:marRight w:val="0"/>
      <w:marTop w:val="0"/>
      <w:marBottom w:val="0"/>
      <w:divBdr>
        <w:top w:val="none" w:sz="0" w:space="0" w:color="auto"/>
        <w:left w:val="none" w:sz="0" w:space="0" w:color="auto"/>
        <w:bottom w:val="none" w:sz="0" w:space="0" w:color="auto"/>
        <w:right w:val="none" w:sz="0" w:space="0" w:color="auto"/>
      </w:divBdr>
    </w:div>
    <w:div w:id="31661328">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121555">
      <w:bodyDiv w:val="1"/>
      <w:marLeft w:val="0"/>
      <w:marRight w:val="0"/>
      <w:marTop w:val="0"/>
      <w:marBottom w:val="0"/>
      <w:divBdr>
        <w:top w:val="none" w:sz="0" w:space="0" w:color="auto"/>
        <w:left w:val="none" w:sz="0" w:space="0" w:color="auto"/>
        <w:bottom w:val="none" w:sz="0" w:space="0" w:color="auto"/>
        <w:right w:val="none" w:sz="0" w:space="0" w:color="auto"/>
      </w:divBdr>
    </w:div>
    <w:div w:id="36518249">
      <w:bodyDiv w:val="1"/>
      <w:marLeft w:val="0"/>
      <w:marRight w:val="0"/>
      <w:marTop w:val="0"/>
      <w:marBottom w:val="0"/>
      <w:divBdr>
        <w:top w:val="none" w:sz="0" w:space="0" w:color="auto"/>
        <w:left w:val="none" w:sz="0" w:space="0" w:color="auto"/>
        <w:bottom w:val="none" w:sz="0" w:space="0" w:color="auto"/>
        <w:right w:val="none" w:sz="0" w:space="0" w:color="auto"/>
      </w:divBdr>
    </w:div>
    <w:div w:id="37164905">
      <w:bodyDiv w:val="1"/>
      <w:marLeft w:val="0"/>
      <w:marRight w:val="0"/>
      <w:marTop w:val="0"/>
      <w:marBottom w:val="0"/>
      <w:divBdr>
        <w:top w:val="none" w:sz="0" w:space="0" w:color="auto"/>
        <w:left w:val="none" w:sz="0" w:space="0" w:color="auto"/>
        <w:bottom w:val="none" w:sz="0" w:space="0" w:color="auto"/>
        <w:right w:val="none" w:sz="0" w:space="0" w:color="auto"/>
      </w:divBdr>
    </w:div>
    <w:div w:id="39090450">
      <w:bodyDiv w:val="1"/>
      <w:marLeft w:val="0"/>
      <w:marRight w:val="0"/>
      <w:marTop w:val="0"/>
      <w:marBottom w:val="0"/>
      <w:divBdr>
        <w:top w:val="none" w:sz="0" w:space="0" w:color="auto"/>
        <w:left w:val="none" w:sz="0" w:space="0" w:color="auto"/>
        <w:bottom w:val="none" w:sz="0" w:space="0" w:color="auto"/>
        <w:right w:val="none" w:sz="0" w:space="0" w:color="auto"/>
      </w:divBdr>
    </w:div>
    <w:div w:id="40521279">
      <w:bodyDiv w:val="1"/>
      <w:marLeft w:val="0"/>
      <w:marRight w:val="0"/>
      <w:marTop w:val="0"/>
      <w:marBottom w:val="0"/>
      <w:divBdr>
        <w:top w:val="none" w:sz="0" w:space="0" w:color="auto"/>
        <w:left w:val="none" w:sz="0" w:space="0" w:color="auto"/>
        <w:bottom w:val="none" w:sz="0" w:space="0" w:color="auto"/>
        <w:right w:val="none" w:sz="0" w:space="0" w:color="auto"/>
      </w:divBdr>
    </w:div>
    <w:div w:id="40524472">
      <w:bodyDiv w:val="1"/>
      <w:marLeft w:val="0"/>
      <w:marRight w:val="0"/>
      <w:marTop w:val="0"/>
      <w:marBottom w:val="0"/>
      <w:divBdr>
        <w:top w:val="none" w:sz="0" w:space="0" w:color="auto"/>
        <w:left w:val="none" w:sz="0" w:space="0" w:color="auto"/>
        <w:bottom w:val="none" w:sz="0" w:space="0" w:color="auto"/>
        <w:right w:val="none" w:sz="0" w:space="0" w:color="auto"/>
      </w:divBdr>
    </w:div>
    <w:div w:id="41831556">
      <w:bodyDiv w:val="1"/>
      <w:marLeft w:val="0"/>
      <w:marRight w:val="0"/>
      <w:marTop w:val="0"/>
      <w:marBottom w:val="0"/>
      <w:divBdr>
        <w:top w:val="none" w:sz="0" w:space="0" w:color="auto"/>
        <w:left w:val="none" w:sz="0" w:space="0" w:color="auto"/>
        <w:bottom w:val="none" w:sz="0" w:space="0" w:color="auto"/>
        <w:right w:val="none" w:sz="0" w:space="0" w:color="auto"/>
      </w:divBdr>
    </w:div>
    <w:div w:id="42993394">
      <w:bodyDiv w:val="1"/>
      <w:marLeft w:val="0"/>
      <w:marRight w:val="0"/>
      <w:marTop w:val="0"/>
      <w:marBottom w:val="0"/>
      <w:divBdr>
        <w:top w:val="none" w:sz="0" w:space="0" w:color="auto"/>
        <w:left w:val="none" w:sz="0" w:space="0" w:color="auto"/>
        <w:bottom w:val="none" w:sz="0" w:space="0" w:color="auto"/>
        <w:right w:val="none" w:sz="0" w:space="0" w:color="auto"/>
      </w:divBdr>
    </w:div>
    <w:div w:id="44374906">
      <w:bodyDiv w:val="1"/>
      <w:marLeft w:val="0"/>
      <w:marRight w:val="0"/>
      <w:marTop w:val="0"/>
      <w:marBottom w:val="0"/>
      <w:divBdr>
        <w:top w:val="none" w:sz="0" w:space="0" w:color="auto"/>
        <w:left w:val="none" w:sz="0" w:space="0" w:color="auto"/>
        <w:bottom w:val="none" w:sz="0" w:space="0" w:color="auto"/>
        <w:right w:val="none" w:sz="0" w:space="0" w:color="auto"/>
      </w:divBdr>
    </w:div>
    <w:div w:id="44523349">
      <w:bodyDiv w:val="1"/>
      <w:marLeft w:val="0"/>
      <w:marRight w:val="0"/>
      <w:marTop w:val="0"/>
      <w:marBottom w:val="0"/>
      <w:divBdr>
        <w:top w:val="none" w:sz="0" w:space="0" w:color="auto"/>
        <w:left w:val="none" w:sz="0" w:space="0" w:color="auto"/>
        <w:bottom w:val="none" w:sz="0" w:space="0" w:color="auto"/>
        <w:right w:val="none" w:sz="0" w:space="0" w:color="auto"/>
      </w:divBdr>
    </w:div>
    <w:div w:id="4726381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7582646">
      <w:bodyDiv w:val="1"/>
      <w:marLeft w:val="0"/>
      <w:marRight w:val="0"/>
      <w:marTop w:val="0"/>
      <w:marBottom w:val="0"/>
      <w:divBdr>
        <w:top w:val="none" w:sz="0" w:space="0" w:color="auto"/>
        <w:left w:val="none" w:sz="0" w:space="0" w:color="auto"/>
        <w:bottom w:val="none" w:sz="0" w:space="0" w:color="auto"/>
        <w:right w:val="none" w:sz="0" w:space="0" w:color="auto"/>
      </w:divBdr>
    </w:div>
    <w:div w:id="48455247">
      <w:bodyDiv w:val="1"/>
      <w:marLeft w:val="0"/>
      <w:marRight w:val="0"/>
      <w:marTop w:val="0"/>
      <w:marBottom w:val="0"/>
      <w:divBdr>
        <w:top w:val="none" w:sz="0" w:space="0" w:color="auto"/>
        <w:left w:val="none" w:sz="0" w:space="0" w:color="auto"/>
        <w:bottom w:val="none" w:sz="0" w:space="0" w:color="auto"/>
        <w:right w:val="none" w:sz="0" w:space="0" w:color="auto"/>
      </w:divBdr>
    </w:div>
    <w:div w:id="49502203">
      <w:bodyDiv w:val="1"/>
      <w:marLeft w:val="0"/>
      <w:marRight w:val="0"/>
      <w:marTop w:val="0"/>
      <w:marBottom w:val="0"/>
      <w:divBdr>
        <w:top w:val="none" w:sz="0" w:space="0" w:color="auto"/>
        <w:left w:val="none" w:sz="0" w:space="0" w:color="auto"/>
        <w:bottom w:val="none" w:sz="0" w:space="0" w:color="auto"/>
        <w:right w:val="none" w:sz="0" w:space="0" w:color="auto"/>
      </w:divBdr>
    </w:div>
    <w:div w:id="49882887">
      <w:bodyDiv w:val="1"/>
      <w:marLeft w:val="0"/>
      <w:marRight w:val="0"/>
      <w:marTop w:val="0"/>
      <w:marBottom w:val="0"/>
      <w:divBdr>
        <w:top w:val="none" w:sz="0" w:space="0" w:color="auto"/>
        <w:left w:val="none" w:sz="0" w:space="0" w:color="auto"/>
        <w:bottom w:val="none" w:sz="0" w:space="0" w:color="auto"/>
        <w:right w:val="none" w:sz="0" w:space="0" w:color="auto"/>
      </w:divBdr>
    </w:div>
    <w:div w:id="50616396">
      <w:bodyDiv w:val="1"/>
      <w:marLeft w:val="0"/>
      <w:marRight w:val="0"/>
      <w:marTop w:val="0"/>
      <w:marBottom w:val="0"/>
      <w:divBdr>
        <w:top w:val="none" w:sz="0" w:space="0" w:color="auto"/>
        <w:left w:val="none" w:sz="0" w:space="0" w:color="auto"/>
        <w:bottom w:val="none" w:sz="0" w:space="0" w:color="auto"/>
        <w:right w:val="none" w:sz="0" w:space="0" w:color="auto"/>
      </w:divBdr>
    </w:div>
    <w:div w:id="53235176">
      <w:bodyDiv w:val="1"/>
      <w:marLeft w:val="0"/>
      <w:marRight w:val="0"/>
      <w:marTop w:val="0"/>
      <w:marBottom w:val="0"/>
      <w:divBdr>
        <w:top w:val="none" w:sz="0" w:space="0" w:color="auto"/>
        <w:left w:val="none" w:sz="0" w:space="0" w:color="auto"/>
        <w:bottom w:val="none" w:sz="0" w:space="0" w:color="auto"/>
        <w:right w:val="none" w:sz="0" w:space="0" w:color="auto"/>
      </w:divBdr>
    </w:div>
    <w:div w:id="54864881">
      <w:bodyDiv w:val="1"/>
      <w:marLeft w:val="0"/>
      <w:marRight w:val="0"/>
      <w:marTop w:val="0"/>
      <w:marBottom w:val="0"/>
      <w:divBdr>
        <w:top w:val="none" w:sz="0" w:space="0" w:color="auto"/>
        <w:left w:val="none" w:sz="0" w:space="0" w:color="auto"/>
        <w:bottom w:val="none" w:sz="0" w:space="0" w:color="auto"/>
        <w:right w:val="none" w:sz="0" w:space="0" w:color="auto"/>
      </w:divBdr>
    </w:div>
    <w:div w:id="57945449">
      <w:bodyDiv w:val="1"/>
      <w:marLeft w:val="0"/>
      <w:marRight w:val="0"/>
      <w:marTop w:val="0"/>
      <w:marBottom w:val="0"/>
      <w:divBdr>
        <w:top w:val="none" w:sz="0" w:space="0" w:color="auto"/>
        <w:left w:val="none" w:sz="0" w:space="0" w:color="auto"/>
        <w:bottom w:val="none" w:sz="0" w:space="0" w:color="auto"/>
        <w:right w:val="none" w:sz="0" w:space="0" w:color="auto"/>
      </w:divBdr>
    </w:div>
    <w:div w:id="59329940">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998072">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533279">
      <w:bodyDiv w:val="1"/>
      <w:marLeft w:val="0"/>
      <w:marRight w:val="0"/>
      <w:marTop w:val="0"/>
      <w:marBottom w:val="0"/>
      <w:divBdr>
        <w:top w:val="none" w:sz="0" w:space="0" w:color="auto"/>
        <w:left w:val="none" w:sz="0" w:space="0" w:color="auto"/>
        <w:bottom w:val="none" w:sz="0" w:space="0" w:color="auto"/>
        <w:right w:val="none" w:sz="0" w:space="0" w:color="auto"/>
      </w:divBdr>
    </w:div>
    <w:div w:id="68693738">
      <w:bodyDiv w:val="1"/>
      <w:marLeft w:val="0"/>
      <w:marRight w:val="0"/>
      <w:marTop w:val="0"/>
      <w:marBottom w:val="0"/>
      <w:divBdr>
        <w:top w:val="none" w:sz="0" w:space="0" w:color="auto"/>
        <w:left w:val="none" w:sz="0" w:space="0" w:color="auto"/>
        <w:bottom w:val="none" w:sz="0" w:space="0" w:color="auto"/>
        <w:right w:val="none" w:sz="0" w:space="0" w:color="auto"/>
      </w:divBdr>
    </w:div>
    <w:div w:id="68964163">
      <w:bodyDiv w:val="1"/>
      <w:marLeft w:val="0"/>
      <w:marRight w:val="0"/>
      <w:marTop w:val="0"/>
      <w:marBottom w:val="0"/>
      <w:divBdr>
        <w:top w:val="none" w:sz="0" w:space="0" w:color="auto"/>
        <w:left w:val="none" w:sz="0" w:space="0" w:color="auto"/>
        <w:bottom w:val="none" w:sz="0" w:space="0" w:color="auto"/>
        <w:right w:val="none" w:sz="0" w:space="0" w:color="auto"/>
      </w:divBdr>
    </w:div>
    <w:div w:id="69623217">
      <w:bodyDiv w:val="1"/>
      <w:marLeft w:val="0"/>
      <w:marRight w:val="0"/>
      <w:marTop w:val="0"/>
      <w:marBottom w:val="0"/>
      <w:divBdr>
        <w:top w:val="none" w:sz="0" w:space="0" w:color="auto"/>
        <w:left w:val="none" w:sz="0" w:space="0" w:color="auto"/>
        <w:bottom w:val="none" w:sz="0" w:space="0" w:color="auto"/>
        <w:right w:val="none" w:sz="0" w:space="0" w:color="auto"/>
      </w:divBdr>
    </w:div>
    <w:div w:id="71196269">
      <w:bodyDiv w:val="1"/>
      <w:marLeft w:val="0"/>
      <w:marRight w:val="0"/>
      <w:marTop w:val="0"/>
      <w:marBottom w:val="0"/>
      <w:divBdr>
        <w:top w:val="none" w:sz="0" w:space="0" w:color="auto"/>
        <w:left w:val="none" w:sz="0" w:space="0" w:color="auto"/>
        <w:bottom w:val="none" w:sz="0" w:space="0" w:color="auto"/>
        <w:right w:val="none" w:sz="0" w:space="0" w:color="auto"/>
      </w:divBdr>
    </w:div>
    <w:div w:id="72898059">
      <w:bodyDiv w:val="1"/>
      <w:marLeft w:val="0"/>
      <w:marRight w:val="0"/>
      <w:marTop w:val="0"/>
      <w:marBottom w:val="0"/>
      <w:divBdr>
        <w:top w:val="none" w:sz="0" w:space="0" w:color="auto"/>
        <w:left w:val="none" w:sz="0" w:space="0" w:color="auto"/>
        <w:bottom w:val="none" w:sz="0" w:space="0" w:color="auto"/>
        <w:right w:val="none" w:sz="0" w:space="0" w:color="auto"/>
      </w:divBdr>
    </w:div>
    <w:div w:id="73208817">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018731">
      <w:bodyDiv w:val="1"/>
      <w:marLeft w:val="0"/>
      <w:marRight w:val="0"/>
      <w:marTop w:val="0"/>
      <w:marBottom w:val="0"/>
      <w:divBdr>
        <w:top w:val="none" w:sz="0" w:space="0" w:color="auto"/>
        <w:left w:val="none" w:sz="0" w:space="0" w:color="auto"/>
        <w:bottom w:val="none" w:sz="0" w:space="0" w:color="auto"/>
        <w:right w:val="none" w:sz="0" w:space="0" w:color="auto"/>
      </w:divBdr>
    </w:div>
    <w:div w:id="75327653">
      <w:bodyDiv w:val="1"/>
      <w:marLeft w:val="0"/>
      <w:marRight w:val="0"/>
      <w:marTop w:val="0"/>
      <w:marBottom w:val="0"/>
      <w:divBdr>
        <w:top w:val="none" w:sz="0" w:space="0" w:color="auto"/>
        <w:left w:val="none" w:sz="0" w:space="0" w:color="auto"/>
        <w:bottom w:val="none" w:sz="0" w:space="0" w:color="auto"/>
        <w:right w:val="none" w:sz="0" w:space="0" w:color="auto"/>
      </w:divBdr>
    </w:div>
    <w:div w:id="75901890">
      <w:bodyDiv w:val="1"/>
      <w:marLeft w:val="0"/>
      <w:marRight w:val="0"/>
      <w:marTop w:val="0"/>
      <w:marBottom w:val="0"/>
      <w:divBdr>
        <w:top w:val="none" w:sz="0" w:space="0" w:color="auto"/>
        <w:left w:val="none" w:sz="0" w:space="0" w:color="auto"/>
        <w:bottom w:val="none" w:sz="0" w:space="0" w:color="auto"/>
        <w:right w:val="none" w:sz="0" w:space="0" w:color="auto"/>
      </w:divBdr>
    </w:div>
    <w:div w:id="80838281">
      <w:bodyDiv w:val="1"/>
      <w:marLeft w:val="0"/>
      <w:marRight w:val="0"/>
      <w:marTop w:val="0"/>
      <w:marBottom w:val="0"/>
      <w:divBdr>
        <w:top w:val="none" w:sz="0" w:space="0" w:color="auto"/>
        <w:left w:val="none" w:sz="0" w:space="0" w:color="auto"/>
        <w:bottom w:val="none" w:sz="0" w:space="0" w:color="auto"/>
        <w:right w:val="none" w:sz="0" w:space="0" w:color="auto"/>
      </w:divBdr>
    </w:div>
    <w:div w:id="81418311">
      <w:bodyDiv w:val="1"/>
      <w:marLeft w:val="0"/>
      <w:marRight w:val="0"/>
      <w:marTop w:val="0"/>
      <w:marBottom w:val="0"/>
      <w:divBdr>
        <w:top w:val="none" w:sz="0" w:space="0" w:color="auto"/>
        <w:left w:val="none" w:sz="0" w:space="0" w:color="auto"/>
        <w:bottom w:val="none" w:sz="0" w:space="0" w:color="auto"/>
        <w:right w:val="none" w:sz="0" w:space="0" w:color="auto"/>
      </w:divBdr>
    </w:div>
    <w:div w:id="84303599">
      <w:bodyDiv w:val="1"/>
      <w:marLeft w:val="0"/>
      <w:marRight w:val="0"/>
      <w:marTop w:val="0"/>
      <w:marBottom w:val="0"/>
      <w:divBdr>
        <w:top w:val="none" w:sz="0" w:space="0" w:color="auto"/>
        <w:left w:val="none" w:sz="0" w:space="0" w:color="auto"/>
        <w:bottom w:val="none" w:sz="0" w:space="0" w:color="auto"/>
        <w:right w:val="none" w:sz="0" w:space="0" w:color="auto"/>
      </w:divBdr>
    </w:div>
    <w:div w:id="86654607">
      <w:bodyDiv w:val="1"/>
      <w:marLeft w:val="0"/>
      <w:marRight w:val="0"/>
      <w:marTop w:val="0"/>
      <w:marBottom w:val="0"/>
      <w:divBdr>
        <w:top w:val="none" w:sz="0" w:space="0" w:color="auto"/>
        <w:left w:val="none" w:sz="0" w:space="0" w:color="auto"/>
        <w:bottom w:val="none" w:sz="0" w:space="0" w:color="auto"/>
        <w:right w:val="none" w:sz="0" w:space="0" w:color="auto"/>
      </w:divBdr>
    </w:div>
    <w:div w:id="87628756">
      <w:bodyDiv w:val="1"/>
      <w:marLeft w:val="0"/>
      <w:marRight w:val="0"/>
      <w:marTop w:val="0"/>
      <w:marBottom w:val="0"/>
      <w:divBdr>
        <w:top w:val="none" w:sz="0" w:space="0" w:color="auto"/>
        <w:left w:val="none" w:sz="0" w:space="0" w:color="auto"/>
        <w:bottom w:val="none" w:sz="0" w:space="0" w:color="auto"/>
        <w:right w:val="none" w:sz="0" w:space="0" w:color="auto"/>
      </w:divBdr>
    </w:div>
    <w:div w:id="87819632">
      <w:bodyDiv w:val="1"/>
      <w:marLeft w:val="0"/>
      <w:marRight w:val="0"/>
      <w:marTop w:val="0"/>
      <w:marBottom w:val="0"/>
      <w:divBdr>
        <w:top w:val="none" w:sz="0" w:space="0" w:color="auto"/>
        <w:left w:val="none" w:sz="0" w:space="0" w:color="auto"/>
        <w:bottom w:val="none" w:sz="0" w:space="0" w:color="auto"/>
        <w:right w:val="none" w:sz="0" w:space="0" w:color="auto"/>
      </w:divBdr>
    </w:div>
    <w:div w:id="91358243">
      <w:bodyDiv w:val="1"/>
      <w:marLeft w:val="0"/>
      <w:marRight w:val="0"/>
      <w:marTop w:val="0"/>
      <w:marBottom w:val="0"/>
      <w:divBdr>
        <w:top w:val="none" w:sz="0" w:space="0" w:color="auto"/>
        <w:left w:val="none" w:sz="0" w:space="0" w:color="auto"/>
        <w:bottom w:val="none" w:sz="0" w:space="0" w:color="auto"/>
        <w:right w:val="none" w:sz="0" w:space="0" w:color="auto"/>
      </w:divBdr>
    </w:div>
    <w:div w:id="91702632">
      <w:bodyDiv w:val="1"/>
      <w:marLeft w:val="0"/>
      <w:marRight w:val="0"/>
      <w:marTop w:val="0"/>
      <w:marBottom w:val="0"/>
      <w:divBdr>
        <w:top w:val="none" w:sz="0" w:space="0" w:color="auto"/>
        <w:left w:val="none" w:sz="0" w:space="0" w:color="auto"/>
        <w:bottom w:val="none" w:sz="0" w:space="0" w:color="auto"/>
        <w:right w:val="none" w:sz="0" w:space="0" w:color="auto"/>
      </w:divBdr>
    </w:div>
    <w:div w:id="9170692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3281268">
      <w:bodyDiv w:val="1"/>
      <w:marLeft w:val="0"/>
      <w:marRight w:val="0"/>
      <w:marTop w:val="0"/>
      <w:marBottom w:val="0"/>
      <w:divBdr>
        <w:top w:val="none" w:sz="0" w:space="0" w:color="auto"/>
        <w:left w:val="none" w:sz="0" w:space="0" w:color="auto"/>
        <w:bottom w:val="none" w:sz="0" w:space="0" w:color="auto"/>
        <w:right w:val="none" w:sz="0" w:space="0" w:color="auto"/>
      </w:divBdr>
    </w:div>
    <w:div w:id="96099279">
      <w:bodyDiv w:val="1"/>
      <w:marLeft w:val="0"/>
      <w:marRight w:val="0"/>
      <w:marTop w:val="0"/>
      <w:marBottom w:val="0"/>
      <w:divBdr>
        <w:top w:val="none" w:sz="0" w:space="0" w:color="auto"/>
        <w:left w:val="none" w:sz="0" w:space="0" w:color="auto"/>
        <w:bottom w:val="none" w:sz="0" w:space="0" w:color="auto"/>
        <w:right w:val="none" w:sz="0" w:space="0" w:color="auto"/>
      </w:divBdr>
    </w:div>
    <w:div w:id="96338063">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873421">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8397378">
      <w:bodyDiv w:val="1"/>
      <w:marLeft w:val="0"/>
      <w:marRight w:val="0"/>
      <w:marTop w:val="0"/>
      <w:marBottom w:val="0"/>
      <w:divBdr>
        <w:top w:val="none" w:sz="0" w:space="0" w:color="auto"/>
        <w:left w:val="none" w:sz="0" w:space="0" w:color="auto"/>
        <w:bottom w:val="none" w:sz="0" w:space="0" w:color="auto"/>
        <w:right w:val="none" w:sz="0" w:space="0" w:color="auto"/>
      </w:divBdr>
    </w:div>
    <w:div w:id="109203036">
      <w:bodyDiv w:val="1"/>
      <w:marLeft w:val="0"/>
      <w:marRight w:val="0"/>
      <w:marTop w:val="0"/>
      <w:marBottom w:val="0"/>
      <w:divBdr>
        <w:top w:val="none" w:sz="0" w:space="0" w:color="auto"/>
        <w:left w:val="none" w:sz="0" w:space="0" w:color="auto"/>
        <w:bottom w:val="none" w:sz="0" w:space="0" w:color="auto"/>
        <w:right w:val="none" w:sz="0" w:space="0" w:color="auto"/>
      </w:divBdr>
    </w:div>
    <w:div w:id="112098715">
      <w:bodyDiv w:val="1"/>
      <w:marLeft w:val="0"/>
      <w:marRight w:val="0"/>
      <w:marTop w:val="0"/>
      <w:marBottom w:val="0"/>
      <w:divBdr>
        <w:top w:val="none" w:sz="0" w:space="0" w:color="auto"/>
        <w:left w:val="none" w:sz="0" w:space="0" w:color="auto"/>
        <w:bottom w:val="none" w:sz="0" w:space="0" w:color="auto"/>
        <w:right w:val="none" w:sz="0" w:space="0" w:color="auto"/>
      </w:divBdr>
    </w:div>
    <w:div w:id="112287415">
      <w:bodyDiv w:val="1"/>
      <w:marLeft w:val="0"/>
      <w:marRight w:val="0"/>
      <w:marTop w:val="0"/>
      <w:marBottom w:val="0"/>
      <w:divBdr>
        <w:top w:val="none" w:sz="0" w:space="0" w:color="auto"/>
        <w:left w:val="none" w:sz="0" w:space="0" w:color="auto"/>
        <w:bottom w:val="none" w:sz="0" w:space="0" w:color="auto"/>
        <w:right w:val="none" w:sz="0" w:space="0" w:color="auto"/>
      </w:divBdr>
    </w:div>
    <w:div w:id="114758692">
      <w:bodyDiv w:val="1"/>
      <w:marLeft w:val="0"/>
      <w:marRight w:val="0"/>
      <w:marTop w:val="0"/>
      <w:marBottom w:val="0"/>
      <w:divBdr>
        <w:top w:val="none" w:sz="0" w:space="0" w:color="auto"/>
        <w:left w:val="none" w:sz="0" w:space="0" w:color="auto"/>
        <w:bottom w:val="none" w:sz="0" w:space="0" w:color="auto"/>
        <w:right w:val="none" w:sz="0" w:space="0" w:color="auto"/>
      </w:divBdr>
    </w:div>
    <w:div w:id="116225003">
      <w:bodyDiv w:val="1"/>
      <w:marLeft w:val="0"/>
      <w:marRight w:val="0"/>
      <w:marTop w:val="0"/>
      <w:marBottom w:val="0"/>
      <w:divBdr>
        <w:top w:val="none" w:sz="0" w:space="0" w:color="auto"/>
        <w:left w:val="none" w:sz="0" w:space="0" w:color="auto"/>
        <w:bottom w:val="none" w:sz="0" w:space="0" w:color="auto"/>
        <w:right w:val="none" w:sz="0" w:space="0" w:color="auto"/>
      </w:divBdr>
    </w:div>
    <w:div w:id="117184447">
      <w:bodyDiv w:val="1"/>
      <w:marLeft w:val="0"/>
      <w:marRight w:val="0"/>
      <w:marTop w:val="0"/>
      <w:marBottom w:val="0"/>
      <w:divBdr>
        <w:top w:val="none" w:sz="0" w:space="0" w:color="auto"/>
        <w:left w:val="none" w:sz="0" w:space="0" w:color="auto"/>
        <w:bottom w:val="none" w:sz="0" w:space="0" w:color="auto"/>
        <w:right w:val="none" w:sz="0" w:space="0" w:color="auto"/>
      </w:divBdr>
    </w:div>
    <w:div w:id="118036109">
      <w:bodyDiv w:val="1"/>
      <w:marLeft w:val="0"/>
      <w:marRight w:val="0"/>
      <w:marTop w:val="0"/>
      <w:marBottom w:val="0"/>
      <w:divBdr>
        <w:top w:val="none" w:sz="0" w:space="0" w:color="auto"/>
        <w:left w:val="none" w:sz="0" w:space="0" w:color="auto"/>
        <w:bottom w:val="none" w:sz="0" w:space="0" w:color="auto"/>
        <w:right w:val="none" w:sz="0" w:space="0" w:color="auto"/>
      </w:divBdr>
    </w:div>
    <w:div w:id="12192175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814193">
      <w:bodyDiv w:val="1"/>
      <w:marLeft w:val="0"/>
      <w:marRight w:val="0"/>
      <w:marTop w:val="0"/>
      <w:marBottom w:val="0"/>
      <w:divBdr>
        <w:top w:val="none" w:sz="0" w:space="0" w:color="auto"/>
        <w:left w:val="none" w:sz="0" w:space="0" w:color="auto"/>
        <w:bottom w:val="none" w:sz="0" w:space="0" w:color="auto"/>
        <w:right w:val="none" w:sz="0" w:space="0" w:color="auto"/>
      </w:divBdr>
    </w:div>
    <w:div w:id="128405876">
      <w:bodyDiv w:val="1"/>
      <w:marLeft w:val="0"/>
      <w:marRight w:val="0"/>
      <w:marTop w:val="0"/>
      <w:marBottom w:val="0"/>
      <w:divBdr>
        <w:top w:val="none" w:sz="0" w:space="0" w:color="auto"/>
        <w:left w:val="none" w:sz="0" w:space="0" w:color="auto"/>
        <w:bottom w:val="none" w:sz="0" w:space="0" w:color="auto"/>
        <w:right w:val="none" w:sz="0" w:space="0" w:color="auto"/>
      </w:divBdr>
    </w:div>
    <w:div w:id="129634441">
      <w:bodyDiv w:val="1"/>
      <w:marLeft w:val="0"/>
      <w:marRight w:val="0"/>
      <w:marTop w:val="0"/>
      <w:marBottom w:val="0"/>
      <w:divBdr>
        <w:top w:val="none" w:sz="0" w:space="0" w:color="auto"/>
        <w:left w:val="none" w:sz="0" w:space="0" w:color="auto"/>
        <w:bottom w:val="none" w:sz="0" w:space="0" w:color="auto"/>
        <w:right w:val="none" w:sz="0" w:space="0" w:color="auto"/>
      </w:divBdr>
    </w:div>
    <w:div w:id="131871618">
      <w:bodyDiv w:val="1"/>
      <w:marLeft w:val="0"/>
      <w:marRight w:val="0"/>
      <w:marTop w:val="0"/>
      <w:marBottom w:val="0"/>
      <w:divBdr>
        <w:top w:val="none" w:sz="0" w:space="0" w:color="auto"/>
        <w:left w:val="none" w:sz="0" w:space="0" w:color="auto"/>
        <w:bottom w:val="none" w:sz="0" w:space="0" w:color="auto"/>
        <w:right w:val="none" w:sz="0" w:space="0" w:color="auto"/>
      </w:divBdr>
    </w:div>
    <w:div w:id="132212201">
      <w:bodyDiv w:val="1"/>
      <w:marLeft w:val="0"/>
      <w:marRight w:val="0"/>
      <w:marTop w:val="0"/>
      <w:marBottom w:val="0"/>
      <w:divBdr>
        <w:top w:val="none" w:sz="0" w:space="0" w:color="auto"/>
        <w:left w:val="none" w:sz="0" w:space="0" w:color="auto"/>
        <w:bottom w:val="none" w:sz="0" w:space="0" w:color="auto"/>
        <w:right w:val="none" w:sz="0" w:space="0" w:color="auto"/>
      </w:divBdr>
    </w:div>
    <w:div w:id="132530665">
      <w:bodyDiv w:val="1"/>
      <w:marLeft w:val="0"/>
      <w:marRight w:val="0"/>
      <w:marTop w:val="0"/>
      <w:marBottom w:val="0"/>
      <w:divBdr>
        <w:top w:val="none" w:sz="0" w:space="0" w:color="auto"/>
        <w:left w:val="none" w:sz="0" w:space="0" w:color="auto"/>
        <w:bottom w:val="none" w:sz="0" w:space="0" w:color="auto"/>
        <w:right w:val="none" w:sz="0" w:space="0" w:color="auto"/>
      </w:divBdr>
    </w:div>
    <w:div w:id="133059323">
      <w:bodyDiv w:val="1"/>
      <w:marLeft w:val="0"/>
      <w:marRight w:val="0"/>
      <w:marTop w:val="0"/>
      <w:marBottom w:val="0"/>
      <w:divBdr>
        <w:top w:val="none" w:sz="0" w:space="0" w:color="auto"/>
        <w:left w:val="none" w:sz="0" w:space="0" w:color="auto"/>
        <w:bottom w:val="none" w:sz="0" w:space="0" w:color="auto"/>
        <w:right w:val="none" w:sz="0" w:space="0" w:color="auto"/>
      </w:divBdr>
    </w:div>
    <w:div w:id="133303114">
      <w:bodyDiv w:val="1"/>
      <w:marLeft w:val="0"/>
      <w:marRight w:val="0"/>
      <w:marTop w:val="0"/>
      <w:marBottom w:val="0"/>
      <w:divBdr>
        <w:top w:val="none" w:sz="0" w:space="0" w:color="auto"/>
        <w:left w:val="none" w:sz="0" w:space="0" w:color="auto"/>
        <w:bottom w:val="none" w:sz="0" w:space="0" w:color="auto"/>
        <w:right w:val="none" w:sz="0" w:space="0" w:color="auto"/>
      </w:divBdr>
    </w:div>
    <w:div w:id="134034298">
      <w:bodyDiv w:val="1"/>
      <w:marLeft w:val="0"/>
      <w:marRight w:val="0"/>
      <w:marTop w:val="0"/>
      <w:marBottom w:val="0"/>
      <w:divBdr>
        <w:top w:val="none" w:sz="0" w:space="0" w:color="auto"/>
        <w:left w:val="none" w:sz="0" w:space="0" w:color="auto"/>
        <w:bottom w:val="none" w:sz="0" w:space="0" w:color="auto"/>
        <w:right w:val="none" w:sz="0" w:space="0" w:color="auto"/>
      </w:divBdr>
    </w:div>
    <w:div w:id="135491598">
      <w:bodyDiv w:val="1"/>
      <w:marLeft w:val="0"/>
      <w:marRight w:val="0"/>
      <w:marTop w:val="0"/>
      <w:marBottom w:val="0"/>
      <w:divBdr>
        <w:top w:val="none" w:sz="0" w:space="0" w:color="auto"/>
        <w:left w:val="none" w:sz="0" w:space="0" w:color="auto"/>
        <w:bottom w:val="none" w:sz="0" w:space="0" w:color="auto"/>
        <w:right w:val="none" w:sz="0" w:space="0" w:color="auto"/>
      </w:divBdr>
    </w:div>
    <w:div w:id="135994231">
      <w:bodyDiv w:val="1"/>
      <w:marLeft w:val="0"/>
      <w:marRight w:val="0"/>
      <w:marTop w:val="0"/>
      <w:marBottom w:val="0"/>
      <w:divBdr>
        <w:top w:val="none" w:sz="0" w:space="0" w:color="auto"/>
        <w:left w:val="none" w:sz="0" w:space="0" w:color="auto"/>
        <w:bottom w:val="none" w:sz="0" w:space="0" w:color="auto"/>
        <w:right w:val="none" w:sz="0" w:space="0" w:color="auto"/>
      </w:divBdr>
    </w:div>
    <w:div w:id="136192299">
      <w:bodyDiv w:val="1"/>
      <w:marLeft w:val="0"/>
      <w:marRight w:val="0"/>
      <w:marTop w:val="0"/>
      <w:marBottom w:val="0"/>
      <w:divBdr>
        <w:top w:val="none" w:sz="0" w:space="0" w:color="auto"/>
        <w:left w:val="none" w:sz="0" w:space="0" w:color="auto"/>
        <w:bottom w:val="none" w:sz="0" w:space="0" w:color="auto"/>
        <w:right w:val="none" w:sz="0" w:space="0" w:color="auto"/>
      </w:divBdr>
    </w:div>
    <w:div w:id="136731990">
      <w:bodyDiv w:val="1"/>
      <w:marLeft w:val="0"/>
      <w:marRight w:val="0"/>
      <w:marTop w:val="0"/>
      <w:marBottom w:val="0"/>
      <w:divBdr>
        <w:top w:val="none" w:sz="0" w:space="0" w:color="auto"/>
        <w:left w:val="none" w:sz="0" w:space="0" w:color="auto"/>
        <w:bottom w:val="none" w:sz="0" w:space="0" w:color="auto"/>
        <w:right w:val="none" w:sz="0" w:space="0" w:color="auto"/>
      </w:divBdr>
    </w:div>
    <w:div w:id="138036432">
      <w:bodyDiv w:val="1"/>
      <w:marLeft w:val="0"/>
      <w:marRight w:val="0"/>
      <w:marTop w:val="0"/>
      <w:marBottom w:val="0"/>
      <w:divBdr>
        <w:top w:val="none" w:sz="0" w:space="0" w:color="auto"/>
        <w:left w:val="none" w:sz="0" w:space="0" w:color="auto"/>
        <w:bottom w:val="none" w:sz="0" w:space="0" w:color="auto"/>
        <w:right w:val="none" w:sz="0" w:space="0" w:color="auto"/>
      </w:divBdr>
    </w:div>
    <w:div w:id="138110275">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39856740">
      <w:bodyDiv w:val="1"/>
      <w:marLeft w:val="0"/>
      <w:marRight w:val="0"/>
      <w:marTop w:val="0"/>
      <w:marBottom w:val="0"/>
      <w:divBdr>
        <w:top w:val="none" w:sz="0" w:space="0" w:color="auto"/>
        <w:left w:val="none" w:sz="0" w:space="0" w:color="auto"/>
        <w:bottom w:val="none" w:sz="0" w:space="0" w:color="auto"/>
        <w:right w:val="none" w:sz="0" w:space="0" w:color="auto"/>
      </w:divBdr>
    </w:div>
    <w:div w:id="140197063">
      <w:bodyDiv w:val="1"/>
      <w:marLeft w:val="0"/>
      <w:marRight w:val="0"/>
      <w:marTop w:val="0"/>
      <w:marBottom w:val="0"/>
      <w:divBdr>
        <w:top w:val="none" w:sz="0" w:space="0" w:color="auto"/>
        <w:left w:val="none" w:sz="0" w:space="0" w:color="auto"/>
        <w:bottom w:val="none" w:sz="0" w:space="0" w:color="auto"/>
        <w:right w:val="none" w:sz="0" w:space="0" w:color="auto"/>
      </w:divBdr>
    </w:div>
    <w:div w:id="140925124">
      <w:bodyDiv w:val="1"/>
      <w:marLeft w:val="0"/>
      <w:marRight w:val="0"/>
      <w:marTop w:val="0"/>
      <w:marBottom w:val="0"/>
      <w:divBdr>
        <w:top w:val="none" w:sz="0" w:space="0" w:color="auto"/>
        <w:left w:val="none" w:sz="0" w:space="0" w:color="auto"/>
        <w:bottom w:val="none" w:sz="0" w:space="0" w:color="auto"/>
        <w:right w:val="none" w:sz="0" w:space="0" w:color="auto"/>
      </w:divBdr>
    </w:div>
    <w:div w:id="140932025">
      <w:bodyDiv w:val="1"/>
      <w:marLeft w:val="0"/>
      <w:marRight w:val="0"/>
      <w:marTop w:val="0"/>
      <w:marBottom w:val="0"/>
      <w:divBdr>
        <w:top w:val="none" w:sz="0" w:space="0" w:color="auto"/>
        <w:left w:val="none" w:sz="0" w:space="0" w:color="auto"/>
        <w:bottom w:val="none" w:sz="0" w:space="0" w:color="auto"/>
        <w:right w:val="none" w:sz="0" w:space="0" w:color="auto"/>
      </w:divBdr>
    </w:div>
    <w:div w:id="141695751">
      <w:bodyDiv w:val="1"/>
      <w:marLeft w:val="0"/>
      <w:marRight w:val="0"/>
      <w:marTop w:val="0"/>
      <w:marBottom w:val="0"/>
      <w:divBdr>
        <w:top w:val="none" w:sz="0" w:space="0" w:color="auto"/>
        <w:left w:val="none" w:sz="0" w:space="0" w:color="auto"/>
        <w:bottom w:val="none" w:sz="0" w:space="0" w:color="auto"/>
        <w:right w:val="none" w:sz="0" w:space="0" w:color="auto"/>
      </w:divBdr>
    </w:div>
    <w:div w:id="142620921">
      <w:bodyDiv w:val="1"/>
      <w:marLeft w:val="0"/>
      <w:marRight w:val="0"/>
      <w:marTop w:val="0"/>
      <w:marBottom w:val="0"/>
      <w:divBdr>
        <w:top w:val="none" w:sz="0" w:space="0" w:color="auto"/>
        <w:left w:val="none" w:sz="0" w:space="0" w:color="auto"/>
        <w:bottom w:val="none" w:sz="0" w:space="0" w:color="auto"/>
        <w:right w:val="none" w:sz="0" w:space="0" w:color="auto"/>
      </w:divBdr>
    </w:div>
    <w:div w:id="142737781">
      <w:bodyDiv w:val="1"/>
      <w:marLeft w:val="0"/>
      <w:marRight w:val="0"/>
      <w:marTop w:val="0"/>
      <w:marBottom w:val="0"/>
      <w:divBdr>
        <w:top w:val="none" w:sz="0" w:space="0" w:color="auto"/>
        <w:left w:val="none" w:sz="0" w:space="0" w:color="auto"/>
        <w:bottom w:val="none" w:sz="0" w:space="0" w:color="auto"/>
        <w:right w:val="none" w:sz="0" w:space="0" w:color="auto"/>
      </w:divBdr>
    </w:div>
    <w:div w:id="145362956">
      <w:bodyDiv w:val="1"/>
      <w:marLeft w:val="0"/>
      <w:marRight w:val="0"/>
      <w:marTop w:val="0"/>
      <w:marBottom w:val="0"/>
      <w:divBdr>
        <w:top w:val="none" w:sz="0" w:space="0" w:color="auto"/>
        <w:left w:val="none" w:sz="0" w:space="0" w:color="auto"/>
        <w:bottom w:val="none" w:sz="0" w:space="0" w:color="auto"/>
        <w:right w:val="none" w:sz="0" w:space="0" w:color="auto"/>
      </w:divBdr>
    </w:div>
    <w:div w:id="145979046">
      <w:bodyDiv w:val="1"/>
      <w:marLeft w:val="0"/>
      <w:marRight w:val="0"/>
      <w:marTop w:val="0"/>
      <w:marBottom w:val="0"/>
      <w:divBdr>
        <w:top w:val="none" w:sz="0" w:space="0" w:color="auto"/>
        <w:left w:val="none" w:sz="0" w:space="0" w:color="auto"/>
        <w:bottom w:val="none" w:sz="0" w:space="0" w:color="auto"/>
        <w:right w:val="none" w:sz="0" w:space="0" w:color="auto"/>
      </w:divBdr>
    </w:div>
    <w:div w:id="146944454">
      <w:bodyDiv w:val="1"/>
      <w:marLeft w:val="0"/>
      <w:marRight w:val="0"/>
      <w:marTop w:val="0"/>
      <w:marBottom w:val="0"/>
      <w:divBdr>
        <w:top w:val="none" w:sz="0" w:space="0" w:color="auto"/>
        <w:left w:val="none" w:sz="0" w:space="0" w:color="auto"/>
        <w:bottom w:val="none" w:sz="0" w:space="0" w:color="auto"/>
        <w:right w:val="none" w:sz="0" w:space="0" w:color="auto"/>
      </w:divBdr>
    </w:div>
    <w:div w:id="148324074">
      <w:bodyDiv w:val="1"/>
      <w:marLeft w:val="0"/>
      <w:marRight w:val="0"/>
      <w:marTop w:val="0"/>
      <w:marBottom w:val="0"/>
      <w:divBdr>
        <w:top w:val="none" w:sz="0" w:space="0" w:color="auto"/>
        <w:left w:val="none" w:sz="0" w:space="0" w:color="auto"/>
        <w:bottom w:val="none" w:sz="0" w:space="0" w:color="auto"/>
        <w:right w:val="none" w:sz="0" w:space="0" w:color="auto"/>
      </w:divBdr>
    </w:div>
    <w:div w:id="149248185">
      <w:bodyDiv w:val="1"/>
      <w:marLeft w:val="0"/>
      <w:marRight w:val="0"/>
      <w:marTop w:val="0"/>
      <w:marBottom w:val="0"/>
      <w:divBdr>
        <w:top w:val="none" w:sz="0" w:space="0" w:color="auto"/>
        <w:left w:val="none" w:sz="0" w:space="0" w:color="auto"/>
        <w:bottom w:val="none" w:sz="0" w:space="0" w:color="auto"/>
        <w:right w:val="none" w:sz="0" w:space="0" w:color="auto"/>
      </w:divBdr>
    </w:div>
    <w:div w:id="150215221">
      <w:bodyDiv w:val="1"/>
      <w:marLeft w:val="0"/>
      <w:marRight w:val="0"/>
      <w:marTop w:val="0"/>
      <w:marBottom w:val="0"/>
      <w:divBdr>
        <w:top w:val="none" w:sz="0" w:space="0" w:color="auto"/>
        <w:left w:val="none" w:sz="0" w:space="0" w:color="auto"/>
        <w:bottom w:val="none" w:sz="0" w:space="0" w:color="auto"/>
        <w:right w:val="none" w:sz="0" w:space="0" w:color="auto"/>
      </w:divBdr>
    </w:div>
    <w:div w:id="151651477">
      <w:bodyDiv w:val="1"/>
      <w:marLeft w:val="0"/>
      <w:marRight w:val="0"/>
      <w:marTop w:val="0"/>
      <w:marBottom w:val="0"/>
      <w:divBdr>
        <w:top w:val="none" w:sz="0" w:space="0" w:color="auto"/>
        <w:left w:val="none" w:sz="0" w:space="0" w:color="auto"/>
        <w:bottom w:val="none" w:sz="0" w:space="0" w:color="auto"/>
        <w:right w:val="none" w:sz="0" w:space="0" w:color="auto"/>
      </w:divBdr>
    </w:div>
    <w:div w:id="151988138">
      <w:bodyDiv w:val="1"/>
      <w:marLeft w:val="0"/>
      <w:marRight w:val="0"/>
      <w:marTop w:val="0"/>
      <w:marBottom w:val="0"/>
      <w:divBdr>
        <w:top w:val="none" w:sz="0" w:space="0" w:color="auto"/>
        <w:left w:val="none" w:sz="0" w:space="0" w:color="auto"/>
        <w:bottom w:val="none" w:sz="0" w:space="0" w:color="auto"/>
        <w:right w:val="none" w:sz="0" w:space="0" w:color="auto"/>
      </w:divBdr>
    </w:div>
    <w:div w:id="153380973">
      <w:bodyDiv w:val="1"/>
      <w:marLeft w:val="0"/>
      <w:marRight w:val="0"/>
      <w:marTop w:val="0"/>
      <w:marBottom w:val="0"/>
      <w:divBdr>
        <w:top w:val="none" w:sz="0" w:space="0" w:color="auto"/>
        <w:left w:val="none" w:sz="0" w:space="0" w:color="auto"/>
        <w:bottom w:val="none" w:sz="0" w:space="0" w:color="auto"/>
        <w:right w:val="none" w:sz="0" w:space="0" w:color="auto"/>
      </w:divBdr>
    </w:div>
    <w:div w:id="154034048">
      <w:bodyDiv w:val="1"/>
      <w:marLeft w:val="0"/>
      <w:marRight w:val="0"/>
      <w:marTop w:val="0"/>
      <w:marBottom w:val="0"/>
      <w:divBdr>
        <w:top w:val="none" w:sz="0" w:space="0" w:color="auto"/>
        <w:left w:val="none" w:sz="0" w:space="0" w:color="auto"/>
        <w:bottom w:val="none" w:sz="0" w:space="0" w:color="auto"/>
        <w:right w:val="none" w:sz="0" w:space="0" w:color="auto"/>
      </w:divBdr>
    </w:div>
    <w:div w:id="154226409">
      <w:bodyDiv w:val="1"/>
      <w:marLeft w:val="0"/>
      <w:marRight w:val="0"/>
      <w:marTop w:val="0"/>
      <w:marBottom w:val="0"/>
      <w:divBdr>
        <w:top w:val="none" w:sz="0" w:space="0" w:color="auto"/>
        <w:left w:val="none" w:sz="0" w:space="0" w:color="auto"/>
        <w:bottom w:val="none" w:sz="0" w:space="0" w:color="auto"/>
        <w:right w:val="none" w:sz="0" w:space="0" w:color="auto"/>
      </w:divBdr>
    </w:div>
    <w:div w:id="155148400">
      <w:bodyDiv w:val="1"/>
      <w:marLeft w:val="0"/>
      <w:marRight w:val="0"/>
      <w:marTop w:val="0"/>
      <w:marBottom w:val="0"/>
      <w:divBdr>
        <w:top w:val="none" w:sz="0" w:space="0" w:color="auto"/>
        <w:left w:val="none" w:sz="0" w:space="0" w:color="auto"/>
        <w:bottom w:val="none" w:sz="0" w:space="0" w:color="auto"/>
        <w:right w:val="none" w:sz="0" w:space="0" w:color="auto"/>
      </w:divBdr>
    </w:div>
    <w:div w:id="156919405">
      <w:bodyDiv w:val="1"/>
      <w:marLeft w:val="0"/>
      <w:marRight w:val="0"/>
      <w:marTop w:val="0"/>
      <w:marBottom w:val="0"/>
      <w:divBdr>
        <w:top w:val="none" w:sz="0" w:space="0" w:color="auto"/>
        <w:left w:val="none" w:sz="0" w:space="0" w:color="auto"/>
        <w:bottom w:val="none" w:sz="0" w:space="0" w:color="auto"/>
        <w:right w:val="none" w:sz="0" w:space="0" w:color="auto"/>
      </w:divBdr>
    </w:div>
    <w:div w:id="157230006">
      <w:bodyDiv w:val="1"/>
      <w:marLeft w:val="0"/>
      <w:marRight w:val="0"/>
      <w:marTop w:val="0"/>
      <w:marBottom w:val="0"/>
      <w:divBdr>
        <w:top w:val="none" w:sz="0" w:space="0" w:color="auto"/>
        <w:left w:val="none" w:sz="0" w:space="0" w:color="auto"/>
        <w:bottom w:val="none" w:sz="0" w:space="0" w:color="auto"/>
        <w:right w:val="none" w:sz="0" w:space="0" w:color="auto"/>
      </w:divBdr>
    </w:div>
    <w:div w:id="157313485">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1508972">
      <w:bodyDiv w:val="1"/>
      <w:marLeft w:val="0"/>
      <w:marRight w:val="0"/>
      <w:marTop w:val="0"/>
      <w:marBottom w:val="0"/>
      <w:divBdr>
        <w:top w:val="none" w:sz="0" w:space="0" w:color="auto"/>
        <w:left w:val="none" w:sz="0" w:space="0" w:color="auto"/>
        <w:bottom w:val="none" w:sz="0" w:space="0" w:color="auto"/>
        <w:right w:val="none" w:sz="0" w:space="0" w:color="auto"/>
      </w:divBdr>
    </w:div>
    <w:div w:id="161821673">
      <w:bodyDiv w:val="1"/>
      <w:marLeft w:val="0"/>
      <w:marRight w:val="0"/>
      <w:marTop w:val="0"/>
      <w:marBottom w:val="0"/>
      <w:divBdr>
        <w:top w:val="none" w:sz="0" w:space="0" w:color="auto"/>
        <w:left w:val="none" w:sz="0" w:space="0" w:color="auto"/>
        <w:bottom w:val="none" w:sz="0" w:space="0" w:color="auto"/>
        <w:right w:val="none" w:sz="0" w:space="0" w:color="auto"/>
      </w:divBdr>
    </w:div>
    <w:div w:id="161897830">
      <w:bodyDiv w:val="1"/>
      <w:marLeft w:val="0"/>
      <w:marRight w:val="0"/>
      <w:marTop w:val="0"/>
      <w:marBottom w:val="0"/>
      <w:divBdr>
        <w:top w:val="none" w:sz="0" w:space="0" w:color="auto"/>
        <w:left w:val="none" w:sz="0" w:space="0" w:color="auto"/>
        <w:bottom w:val="none" w:sz="0" w:space="0" w:color="auto"/>
        <w:right w:val="none" w:sz="0" w:space="0" w:color="auto"/>
      </w:divBdr>
    </w:div>
    <w:div w:id="161940248">
      <w:bodyDiv w:val="1"/>
      <w:marLeft w:val="0"/>
      <w:marRight w:val="0"/>
      <w:marTop w:val="0"/>
      <w:marBottom w:val="0"/>
      <w:divBdr>
        <w:top w:val="none" w:sz="0" w:space="0" w:color="auto"/>
        <w:left w:val="none" w:sz="0" w:space="0" w:color="auto"/>
        <w:bottom w:val="none" w:sz="0" w:space="0" w:color="auto"/>
        <w:right w:val="none" w:sz="0" w:space="0" w:color="auto"/>
      </w:divBdr>
    </w:div>
    <w:div w:id="163977857">
      <w:bodyDiv w:val="1"/>
      <w:marLeft w:val="0"/>
      <w:marRight w:val="0"/>
      <w:marTop w:val="0"/>
      <w:marBottom w:val="0"/>
      <w:divBdr>
        <w:top w:val="none" w:sz="0" w:space="0" w:color="auto"/>
        <w:left w:val="none" w:sz="0" w:space="0" w:color="auto"/>
        <w:bottom w:val="none" w:sz="0" w:space="0" w:color="auto"/>
        <w:right w:val="none" w:sz="0" w:space="0" w:color="auto"/>
      </w:divBdr>
    </w:div>
    <w:div w:id="164130857">
      <w:bodyDiv w:val="1"/>
      <w:marLeft w:val="0"/>
      <w:marRight w:val="0"/>
      <w:marTop w:val="0"/>
      <w:marBottom w:val="0"/>
      <w:divBdr>
        <w:top w:val="none" w:sz="0" w:space="0" w:color="auto"/>
        <w:left w:val="none" w:sz="0" w:space="0" w:color="auto"/>
        <w:bottom w:val="none" w:sz="0" w:space="0" w:color="auto"/>
        <w:right w:val="none" w:sz="0" w:space="0" w:color="auto"/>
      </w:divBdr>
    </w:div>
    <w:div w:id="164325839">
      <w:bodyDiv w:val="1"/>
      <w:marLeft w:val="0"/>
      <w:marRight w:val="0"/>
      <w:marTop w:val="0"/>
      <w:marBottom w:val="0"/>
      <w:divBdr>
        <w:top w:val="none" w:sz="0" w:space="0" w:color="auto"/>
        <w:left w:val="none" w:sz="0" w:space="0" w:color="auto"/>
        <w:bottom w:val="none" w:sz="0" w:space="0" w:color="auto"/>
        <w:right w:val="none" w:sz="0" w:space="0" w:color="auto"/>
      </w:divBdr>
    </w:div>
    <w:div w:id="167251387">
      <w:bodyDiv w:val="1"/>
      <w:marLeft w:val="0"/>
      <w:marRight w:val="0"/>
      <w:marTop w:val="0"/>
      <w:marBottom w:val="0"/>
      <w:divBdr>
        <w:top w:val="none" w:sz="0" w:space="0" w:color="auto"/>
        <w:left w:val="none" w:sz="0" w:space="0" w:color="auto"/>
        <w:bottom w:val="none" w:sz="0" w:space="0" w:color="auto"/>
        <w:right w:val="none" w:sz="0" w:space="0" w:color="auto"/>
      </w:divBdr>
    </w:div>
    <w:div w:id="168179537">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914127">
      <w:bodyDiv w:val="1"/>
      <w:marLeft w:val="0"/>
      <w:marRight w:val="0"/>
      <w:marTop w:val="0"/>
      <w:marBottom w:val="0"/>
      <w:divBdr>
        <w:top w:val="none" w:sz="0" w:space="0" w:color="auto"/>
        <w:left w:val="none" w:sz="0" w:space="0" w:color="auto"/>
        <w:bottom w:val="none" w:sz="0" w:space="0" w:color="auto"/>
        <w:right w:val="none" w:sz="0" w:space="0" w:color="auto"/>
      </w:divBdr>
    </w:div>
    <w:div w:id="169880780">
      <w:bodyDiv w:val="1"/>
      <w:marLeft w:val="0"/>
      <w:marRight w:val="0"/>
      <w:marTop w:val="0"/>
      <w:marBottom w:val="0"/>
      <w:divBdr>
        <w:top w:val="none" w:sz="0" w:space="0" w:color="auto"/>
        <w:left w:val="none" w:sz="0" w:space="0" w:color="auto"/>
        <w:bottom w:val="none" w:sz="0" w:space="0" w:color="auto"/>
        <w:right w:val="none" w:sz="0" w:space="0" w:color="auto"/>
      </w:divBdr>
    </w:div>
    <w:div w:id="171772164">
      <w:bodyDiv w:val="1"/>
      <w:marLeft w:val="0"/>
      <w:marRight w:val="0"/>
      <w:marTop w:val="0"/>
      <w:marBottom w:val="0"/>
      <w:divBdr>
        <w:top w:val="none" w:sz="0" w:space="0" w:color="auto"/>
        <w:left w:val="none" w:sz="0" w:space="0" w:color="auto"/>
        <w:bottom w:val="none" w:sz="0" w:space="0" w:color="auto"/>
        <w:right w:val="none" w:sz="0" w:space="0" w:color="auto"/>
      </w:divBdr>
    </w:div>
    <w:div w:id="172110030">
      <w:bodyDiv w:val="1"/>
      <w:marLeft w:val="0"/>
      <w:marRight w:val="0"/>
      <w:marTop w:val="0"/>
      <w:marBottom w:val="0"/>
      <w:divBdr>
        <w:top w:val="none" w:sz="0" w:space="0" w:color="auto"/>
        <w:left w:val="none" w:sz="0" w:space="0" w:color="auto"/>
        <w:bottom w:val="none" w:sz="0" w:space="0" w:color="auto"/>
        <w:right w:val="none" w:sz="0" w:space="0" w:color="auto"/>
      </w:divBdr>
    </w:div>
    <w:div w:id="174733794">
      <w:bodyDiv w:val="1"/>
      <w:marLeft w:val="0"/>
      <w:marRight w:val="0"/>
      <w:marTop w:val="0"/>
      <w:marBottom w:val="0"/>
      <w:divBdr>
        <w:top w:val="none" w:sz="0" w:space="0" w:color="auto"/>
        <w:left w:val="none" w:sz="0" w:space="0" w:color="auto"/>
        <w:bottom w:val="none" w:sz="0" w:space="0" w:color="auto"/>
        <w:right w:val="none" w:sz="0" w:space="0" w:color="auto"/>
      </w:divBdr>
    </w:div>
    <w:div w:id="176310849">
      <w:bodyDiv w:val="1"/>
      <w:marLeft w:val="0"/>
      <w:marRight w:val="0"/>
      <w:marTop w:val="0"/>
      <w:marBottom w:val="0"/>
      <w:divBdr>
        <w:top w:val="none" w:sz="0" w:space="0" w:color="auto"/>
        <w:left w:val="none" w:sz="0" w:space="0" w:color="auto"/>
        <w:bottom w:val="none" w:sz="0" w:space="0" w:color="auto"/>
        <w:right w:val="none" w:sz="0" w:space="0" w:color="auto"/>
      </w:divBdr>
    </w:div>
    <w:div w:id="177086546">
      <w:bodyDiv w:val="1"/>
      <w:marLeft w:val="0"/>
      <w:marRight w:val="0"/>
      <w:marTop w:val="0"/>
      <w:marBottom w:val="0"/>
      <w:divBdr>
        <w:top w:val="none" w:sz="0" w:space="0" w:color="auto"/>
        <w:left w:val="none" w:sz="0" w:space="0" w:color="auto"/>
        <w:bottom w:val="none" w:sz="0" w:space="0" w:color="auto"/>
        <w:right w:val="none" w:sz="0" w:space="0" w:color="auto"/>
      </w:divBdr>
    </w:div>
    <w:div w:id="179202216">
      <w:bodyDiv w:val="1"/>
      <w:marLeft w:val="0"/>
      <w:marRight w:val="0"/>
      <w:marTop w:val="0"/>
      <w:marBottom w:val="0"/>
      <w:divBdr>
        <w:top w:val="none" w:sz="0" w:space="0" w:color="auto"/>
        <w:left w:val="none" w:sz="0" w:space="0" w:color="auto"/>
        <w:bottom w:val="none" w:sz="0" w:space="0" w:color="auto"/>
        <w:right w:val="none" w:sz="0" w:space="0" w:color="auto"/>
      </w:divBdr>
    </w:div>
    <w:div w:id="179203072">
      <w:bodyDiv w:val="1"/>
      <w:marLeft w:val="0"/>
      <w:marRight w:val="0"/>
      <w:marTop w:val="0"/>
      <w:marBottom w:val="0"/>
      <w:divBdr>
        <w:top w:val="none" w:sz="0" w:space="0" w:color="auto"/>
        <w:left w:val="none" w:sz="0" w:space="0" w:color="auto"/>
        <w:bottom w:val="none" w:sz="0" w:space="0" w:color="auto"/>
        <w:right w:val="none" w:sz="0" w:space="0" w:color="auto"/>
      </w:divBdr>
    </w:div>
    <w:div w:id="182087889">
      <w:bodyDiv w:val="1"/>
      <w:marLeft w:val="0"/>
      <w:marRight w:val="0"/>
      <w:marTop w:val="0"/>
      <w:marBottom w:val="0"/>
      <w:divBdr>
        <w:top w:val="none" w:sz="0" w:space="0" w:color="auto"/>
        <w:left w:val="none" w:sz="0" w:space="0" w:color="auto"/>
        <w:bottom w:val="none" w:sz="0" w:space="0" w:color="auto"/>
        <w:right w:val="none" w:sz="0" w:space="0" w:color="auto"/>
      </w:divBdr>
    </w:div>
    <w:div w:id="182401509">
      <w:bodyDiv w:val="1"/>
      <w:marLeft w:val="0"/>
      <w:marRight w:val="0"/>
      <w:marTop w:val="0"/>
      <w:marBottom w:val="0"/>
      <w:divBdr>
        <w:top w:val="none" w:sz="0" w:space="0" w:color="auto"/>
        <w:left w:val="none" w:sz="0" w:space="0" w:color="auto"/>
        <w:bottom w:val="none" w:sz="0" w:space="0" w:color="auto"/>
        <w:right w:val="none" w:sz="0" w:space="0" w:color="auto"/>
      </w:divBdr>
    </w:div>
    <w:div w:id="182596801">
      <w:bodyDiv w:val="1"/>
      <w:marLeft w:val="0"/>
      <w:marRight w:val="0"/>
      <w:marTop w:val="0"/>
      <w:marBottom w:val="0"/>
      <w:divBdr>
        <w:top w:val="none" w:sz="0" w:space="0" w:color="auto"/>
        <w:left w:val="none" w:sz="0" w:space="0" w:color="auto"/>
        <w:bottom w:val="none" w:sz="0" w:space="0" w:color="auto"/>
        <w:right w:val="none" w:sz="0" w:space="0" w:color="auto"/>
      </w:divBdr>
    </w:div>
    <w:div w:id="183176827">
      <w:bodyDiv w:val="1"/>
      <w:marLeft w:val="0"/>
      <w:marRight w:val="0"/>
      <w:marTop w:val="0"/>
      <w:marBottom w:val="0"/>
      <w:divBdr>
        <w:top w:val="none" w:sz="0" w:space="0" w:color="auto"/>
        <w:left w:val="none" w:sz="0" w:space="0" w:color="auto"/>
        <w:bottom w:val="none" w:sz="0" w:space="0" w:color="auto"/>
        <w:right w:val="none" w:sz="0" w:space="0" w:color="auto"/>
      </w:divBdr>
    </w:div>
    <w:div w:id="184485602">
      <w:bodyDiv w:val="1"/>
      <w:marLeft w:val="0"/>
      <w:marRight w:val="0"/>
      <w:marTop w:val="0"/>
      <w:marBottom w:val="0"/>
      <w:divBdr>
        <w:top w:val="none" w:sz="0" w:space="0" w:color="auto"/>
        <w:left w:val="none" w:sz="0" w:space="0" w:color="auto"/>
        <w:bottom w:val="none" w:sz="0" w:space="0" w:color="auto"/>
        <w:right w:val="none" w:sz="0" w:space="0" w:color="auto"/>
      </w:divBdr>
    </w:div>
    <w:div w:id="185490581">
      <w:bodyDiv w:val="1"/>
      <w:marLeft w:val="0"/>
      <w:marRight w:val="0"/>
      <w:marTop w:val="0"/>
      <w:marBottom w:val="0"/>
      <w:divBdr>
        <w:top w:val="none" w:sz="0" w:space="0" w:color="auto"/>
        <w:left w:val="none" w:sz="0" w:space="0" w:color="auto"/>
        <w:bottom w:val="none" w:sz="0" w:space="0" w:color="auto"/>
        <w:right w:val="none" w:sz="0" w:space="0" w:color="auto"/>
      </w:divBdr>
    </w:div>
    <w:div w:id="185750384">
      <w:bodyDiv w:val="1"/>
      <w:marLeft w:val="0"/>
      <w:marRight w:val="0"/>
      <w:marTop w:val="0"/>
      <w:marBottom w:val="0"/>
      <w:divBdr>
        <w:top w:val="none" w:sz="0" w:space="0" w:color="auto"/>
        <w:left w:val="none" w:sz="0" w:space="0" w:color="auto"/>
        <w:bottom w:val="none" w:sz="0" w:space="0" w:color="auto"/>
        <w:right w:val="none" w:sz="0" w:space="0" w:color="auto"/>
      </w:divBdr>
    </w:div>
    <w:div w:id="186984733">
      <w:bodyDiv w:val="1"/>
      <w:marLeft w:val="0"/>
      <w:marRight w:val="0"/>
      <w:marTop w:val="0"/>
      <w:marBottom w:val="0"/>
      <w:divBdr>
        <w:top w:val="none" w:sz="0" w:space="0" w:color="auto"/>
        <w:left w:val="none" w:sz="0" w:space="0" w:color="auto"/>
        <w:bottom w:val="none" w:sz="0" w:space="0" w:color="auto"/>
        <w:right w:val="none" w:sz="0" w:space="0" w:color="auto"/>
      </w:divBdr>
    </w:div>
    <w:div w:id="192693636">
      <w:bodyDiv w:val="1"/>
      <w:marLeft w:val="0"/>
      <w:marRight w:val="0"/>
      <w:marTop w:val="0"/>
      <w:marBottom w:val="0"/>
      <w:divBdr>
        <w:top w:val="none" w:sz="0" w:space="0" w:color="auto"/>
        <w:left w:val="none" w:sz="0" w:space="0" w:color="auto"/>
        <w:bottom w:val="none" w:sz="0" w:space="0" w:color="auto"/>
        <w:right w:val="none" w:sz="0" w:space="0" w:color="auto"/>
      </w:divBdr>
    </w:div>
    <w:div w:id="192810321">
      <w:bodyDiv w:val="1"/>
      <w:marLeft w:val="0"/>
      <w:marRight w:val="0"/>
      <w:marTop w:val="0"/>
      <w:marBottom w:val="0"/>
      <w:divBdr>
        <w:top w:val="none" w:sz="0" w:space="0" w:color="auto"/>
        <w:left w:val="none" w:sz="0" w:space="0" w:color="auto"/>
        <w:bottom w:val="none" w:sz="0" w:space="0" w:color="auto"/>
        <w:right w:val="none" w:sz="0" w:space="0" w:color="auto"/>
      </w:divBdr>
    </w:div>
    <w:div w:id="193034784">
      <w:bodyDiv w:val="1"/>
      <w:marLeft w:val="0"/>
      <w:marRight w:val="0"/>
      <w:marTop w:val="0"/>
      <w:marBottom w:val="0"/>
      <w:divBdr>
        <w:top w:val="none" w:sz="0" w:space="0" w:color="auto"/>
        <w:left w:val="none" w:sz="0" w:space="0" w:color="auto"/>
        <w:bottom w:val="none" w:sz="0" w:space="0" w:color="auto"/>
        <w:right w:val="none" w:sz="0" w:space="0" w:color="auto"/>
      </w:divBdr>
    </w:div>
    <w:div w:id="193662514">
      <w:bodyDiv w:val="1"/>
      <w:marLeft w:val="0"/>
      <w:marRight w:val="0"/>
      <w:marTop w:val="0"/>
      <w:marBottom w:val="0"/>
      <w:divBdr>
        <w:top w:val="none" w:sz="0" w:space="0" w:color="auto"/>
        <w:left w:val="none" w:sz="0" w:space="0" w:color="auto"/>
        <w:bottom w:val="none" w:sz="0" w:space="0" w:color="auto"/>
        <w:right w:val="none" w:sz="0" w:space="0" w:color="auto"/>
      </w:divBdr>
    </w:div>
    <w:div w:id="194123983">
      <w:bodyDiv w:val="1"/>
      <w:marLeft w:val="0"/>
      <w:marRight w:val="0"/>
      <w:marTop w:val="0"/>
      <w:marBottom w:val="0"/>
      <w:divBdr>
        <w:top w:val="none" w:sz="0" w:space="0" w:color="auto"/>
        <w:left w:val="none" w:sz="0" w:space="0" w:color="auto"/>
        <w:bottom w:val="none" w:sz="0" w:space="0" w:color="auto"/>
        <w:right w:val="none" w:sz="0" w:space="0" w:color="auto"/>
      </w:divBdr>
    </w:div>
    <w:div w:id="194974074">
      <w:bodyDiv w:val="1"/>
      <w:marLeft w:val="0"/>
      <w:marRight w:val="0"/>
      <w:marTop w:val="0"/>
      <w:marBottom w:val="0"/>
      <w:divBdr>
        <w:top w:val="none" w:sz="0" w:space="0" w:color="auto"/>
        <w:left w:val="none" w:sz="0" w:space="0" w:color="auto"/>
        <w:bottom w:val="none" w:sz="0" w:space="0" w:color="auto"/>
        <w:right w:val="none" w:sz="0" w:space="0" w:color="auto"/>
      </w:divBdr>
    </w:div>
    <w:div w:id="194975480">
      <w:bodyDiv w:val="1"/>
      <w:marLeft w:val="0"/>
      <w:marRight w:val="0"/>
      <w:marTop w:val="0"/>
      <w:marBottom w:val="0"/>
      <w:divBdr>
        <w:top w:val="none" w:sz="0" w:space="0" w:color="auto"/>
        <w:left w:val="none" w:sz="0" w:space="0" w:color="auto"/>
        <w:bottom w:val="none" w:sz="0" w:space="0" w:color="auto"/>
        <w:right w:val="none" w:sz="0" w:space="0" w:color="auto"/>
      </w:divBdr>
    </w:div>
    <w:div w:id="197276404">
      <w:bodyDiv w:val="1"/>
      <w:marLeft w:val="0"/>
      <w:marRight w:val="0"/>
      <w:marTop w:val="0"/>
      <w:marBottom w:val="0"/>
      <w:divBdr>
        <w:top w:val="none" w:sz="0" w:space="0" w:color="auto"/>
        <w:left w:val="none" w:sz="0" w:space="0" w:color="auto"/>
        <w:bottom w:val="none" w:sz="0" w:space="0" w:color="auto"/>
        <w:right w:val="none" w:sz="0" w:space="0" w:color="auto"/>
      </w:divBdr>
    </w:div>
    <w:div w:id="197932498">
      <w:bodyDiv w:val="1"/>
      <w:marLeft w:val="0"/>
      <w:marRight w:val="0"/>
      <w:marTop w:val="0"/>
      <w:marBottom w:val="0"/>
      <w:divBdr>
        <w:top w:val="none" w:sz="0" w:space="0" w:color="auto"/>
        <w:left w:val="none" w:sz="0" w:space="0" w:color="auto"/>
        <w:bottom w:val="none" w:sz="0" w:space="0" w:color="auto"/>
        <w:right w:val="none" w:sz="0" w:space="0" w:color="auto"/>
      </w:divBdr>
    </w:div>
    <w:div w:id="198855216">
      <w:bodyDiv w:val="1"/>
      <w:marLeft w:val="0"/>
      <w:marRight w:val="0"/>
      <w:marTop w:val="0"/>
      <w:marBottom w:val="0"/>
      <w:divBdr>
        <w:top w:val="none" w:sz="0" w:space="0" w:color="auto"/>
        <w:left w:val="none" w:sz="0" w:space="0" w:color="auto"/>
        <w:bottom w:val="none" w:sz="0" w:space="0" w:color="auto"/>
        <w:right w:val="none" w:sz="0" w:space="0" w:color="auto"/>
      </w:divBdr>
    </w:div>
    <w:div w:id="200631483">
      <w:bodyDiv w:val="1"/>
      <w:marLeft w:val="0"/>
      <w:marRight w:val="0"/>
      <w:marTop w:val="0"/>
      <w:marBottom w:val="0"/>
      <w:divBdr>
        <w:top w:val="none" w:sz="0" w:space="0" w:color="auto"/>
        <w:left w:val="none" w:sz="0" w:space="0" w:color="auto"/>
        <w:bottom w:val="none" w:sz="0" w:space="0" w:color="auto"/>
        <w:right w:val="none" w:sz="0" w:space="0" w:color="auto"/>
      </w:divBdr>
    </w:div>
    <w:div w:id="200829668">
      <w:bodyDiv w:val="1"/>
      <w:marLeft w:val="0"/>
      <w:marRight w:val="0"/>
      <w:marTop w:val="0"/>
      <w:marBottom w:val="0"/>
      <w:divBdr>
        <w:top w:val="none" w:sz="0" w:space="0" w:color="auto"/>
        <w:left w:val="none" w:sz="0" w:space="0" w:color="auto"/>
        <w:bottom w:val="none" w:sz="0" w:space="0" w:color="auto"/>
        <w:right w:val="none" w:sz="0" w:space="0" w:color="auto"/>
      </w:divBdr>
    </w:div>
    <w:div w:id="202446593">
      <w:bodyDiv w:val="1"/>
      <w:marLeft w:val="0"/>
      <w:marRight w:val="0"/>
      <w:marTop w:val="0"/>
      <w:marBottom w:val="0"/>
      <w:divBdr>
        <w:top w:val="none" w:sz="0" w:space="0" w:color="auto"/>
        <w:left w:val="none" w:sz="0" w:space="0" w:color="auto"/>
        <w:bottom w:val="none" w:sz="0" w:space="0" w:color="auto"/>
        <w:right w:val="none" w:sz="0" w:space="0" w:color="auto"/>
      </w:divBdr>
    </w:div>
    <w:div w:id="203181642">
      <w:bodyDiv w:val="1"/>
      <w:marLeft w:val="0"/>
      <w:marRight w:val="0"/>
      <w:marTop w:val="0"/>
      <w:marBottom w:val="0"/>
      <w:divBdr>
        <w:top w:val="none" w:sz="0" w:space="0" w:color="auto"/>
        <w:left w:val="none" w:sz="0" w:space="0" w:color="auto"/>
        <w:bottom w:val="none" w:sz="0" w:space="0" w:color="auto"/>
        <w:right w:val="none" w:sz="0" w:space="0" w:color="auto"/>
      </w:divBdr>
    </w:div>
    <w:div w:id="203249792">
      <w:bodyDiv w:val="1"/>
      <w:marLeft w:val="0"/>
      <w:marRight w:val="0"/>
      <w:marTop w:val="0"/>
      <w:marBottom w:val="0"/>
      <w:divBdr>
        <w:top w:val="none" w:sz="0" w:space="0" w:color="auto"/>
        <w:left w:val="none" w:sz="0" w:space="0" w:color="auto"/>
        <w:bottom w:val="none" w:sz="0" w:space="0" w:color="auto"/>
        <w:right w:val="none" w:sz="0" w:space="0" w:color="auto"/>
      </w:divBdr>
    </w:div>
    <w:div w:id="205071113">
      <w:bodyDiv w:val="1"/>
      <w:marLeft w:val="0"/>
      <w:marRight w:val="0"/>
      <w:marTop w:val="0"/>
      <w:marBottom w:val="0"/>
      <w:divBdr>
        <w:top w:val="none" w:sz="0" w:space="0" w:color="auto"/>
        <w:left w:val="none" w:sz="0" w:space="0" w:color="auto"/>
        <w:bottom w:val="none" w:sz="0" w:space="0" w:color="auto"/>
        <w:right w:val="none" w:sz="0" w:space="0" w:color="auto"/>
      </w:divBdr>
    </w:div>
    <w:div w:id="206114999">
      <w:bodyDiv w:val="1"/>
      <w:marLeft w:val="0"/>
      <w:marRight w:val="0"/>
      <w:marTop w:val="0"/>
      <w:marBottom w:val="0"/>
      <w:divBdr>
        <w:top w:val="none" w:sz="0" w:space="0" w:color="auto"/>
        <w:left w:val="none" w:sz="0" w:space="0" w:color="auto"/>
        <w:bottom w:val="none" w:sz="0" w:space="0" w:color="auto"/>
        <w:right w:val="none" w:sz="0" w:space="0" w:color="auto"/>
      </w:divBdr>
    </w:div>
    <w:div w:id="20633679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9803993">
      <w:bodyDiv w:val="1"/>
      <w:marLeft w:val="0"/>
      <w:marRight w:val="0"/>
      <w:marTop w:val="0"/>
      <w:marBottom w:val="0"/>
      <w:divBdr>
        <w:top w:val="none" w:sz="0" w:space="0" w:color="auto"/>
        <w:left w:val="none" w:sz="0" w:space="0" w:color="auto"/>
        <w:bottom w:val="none" w:sz="0" w:space="0" w:color="auto"/>
        <w:right w:val="none" w:sz="0" w:space="0" w:color="auto"/>
      </w:divBdr>
    </w:div>
    <w:div w:id="210576013">
      <w:bodyDiv w:val="1"/>
      <w:marLeft w:val="0"/>
      <w:marRight w:val="0"/>
      <w:marTop w:val="0"/>
      <w:marBottom w:val="0"/>
      <w:divBdr>
        <w:top w:val="none" w:sz="0" w:space="0" w:color="auto"/>
        <w:left w:val="none" w:sz="0" w:space="0" w:color="auto"/>
        <w:bottom w:val="none" w:sz="0" w:space="0" w:color="auto"/>
        <w:right w:val="none" w:sz="0" w:space="0" w:color="auto"/>
      </w:divBdr>
    </w:div>
    <w:div w:id="211380518">
      <w:bodyDiv w:val="1"/>
      <w:marLeft w:val="0"/>
      <w:marRight w:val="0"/>
      <w:marTop w:val="0"/>
      <w:marBottom w:val="0"/>
      <w:divBdr>
        <w:top w:val="none" w:sz="0" w:space="0" w:color="auto"/>
        <w:left w:val="none" w:sz="0" w:space="0" w:color="auto"/>
        <w:bottom w:val="none" w:sz="0" w:space="0" w:color="auto"/>
        <w:right w:val="none" w:sz="0" w:space="0" w:color="auto"/>
      </w:divBdr>
    </w:div>
    <w:div w:id="212279615">
      <w:bodyDiv w:val="1"/>
      <w:marLeft w:val="0"/>
      <w:marRight w:val="0"/>
      <w:marTop w:val="0"/>
      <w:marBottom w:val="0"/>
      <w:divBdr>
        <w:top w:val="none" w:sz="0" w:space="0" w:color="auto"/>
        <w:left w:val="none" w:sz="0" w:space="0" w:color="auto"/>
        <w:bottom w:val="none" w:sz="0" w:space="0" w:color="auto"/>
        <w:right w:val="none" w:sz="0" w:space="0" w:color="auto"/>
      </w:divBdr>
    </w:div>
    <w:div w:id="213465434">
      <w:bodyDiv w:val="1"/>
      <w:marLeft w:val="0"/>
      <w:marRight w:val="0"/>
      <w:marTop w:val="0"/>
      <w:marBottom w:val="0"/>
      <w:divBdr>
        <w:top w:val="none" w:sz="0" w:space="0" w:color="auto"/>
        <w:left w:val="none" w:sz="0" w:space="0" w:color="auto"/>
        <w:bottom w:val="none" w:sz="0" w:space="0" w:color="auto"/>
        <w:right w:val="none" w:sz="0" w:space="0" w:color="auto"/>
      </w:divBdr>
    </w:div>
    <w:div w:id="214901252">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706816">
      <w:bodyDiv w:val="1"/>
      <w:marLeft w:val="0"/>
      <w:marRight w:val="0"/>
      <w:marTop w:val="0"/>
      <w:marBottom w:val="0"/>
      <w:divBdr>
        <w:top w:val="none" w:sz="0" w:space="0" w:color="auto"/>
        <w:left w:val="none" w:sz="0" w:space="0" w:color="auto"/>
        <w:bottom w:val="none" w:sz="0" w:space="0" w:color="auto"/>
        <w:right w:val="none" w:sz="0" w:space="0" w:color="auto"/>
      </w:divBdr>
    </w:div>
    <w:div w:id="217671449">
      <w:bodyDiv w:val="1"/>
      <w:marLeft w:val="0"/>
      <w:marRight w:val="0"/>
      <w:marTop w:val="0"/>
      <w:marBottom w:val="0"/>
      <w:divBdr>
        <w:top w:val="none" w:sz="0" w:space="0" w:color="auto"/>
        <w:left w:val="none" w:sz="0" w:space="0" w:color="auto"/>
        <w:bottom w:val="none" w:sz="0" w:space="0" w:color="auto"/>
        <w:right w:val="none" w:sz="0" w:space="0" w:color="auto"/>
      </w:divBdr>
    </w:div>
    <w:div w:id="218366057">
      <w:bodyDiv w:val="1"/>
      <w:marLeft w:val="0"/>
      <w:marRight w:val="0"/>
      <w:marTop w:val="0"/>
      <w:marBottom w:val="0"/>
      <w:divBdr>
        <w:top w:val="none" w:sz="0" w:space="0" w:color="auto"/>
        <w:left w:val="none" w:sz="0" w:space="0" w:color="auto"/>
        <w:bottom w:val="none" w:sz="0" w:space="0" w:color="auto"/>
        <w:right w:val="none" w:sz="0" w:space="0" w:color="auto"/>
      </w:divBdr>
    </w:div>
    <w:div w:id="220292977">
      <w:bodyDiv w:val="1"/>
      <w:marLeft w:val="0"/>
      <w:marRight w:val="0"/>
      <w:marTop w:val="0"/>
      <w:marBottom w:val="0"/>
      <w:divBdr>
        <w:top w:val="none" w:sz="0" w:space="0" w:color="auto"/>
        <w:left w:val="none" w:sz="0" w:space="0" w:color="auto"/>
        <w:bottom w:val="none" w:sz="0" w:space="0" w:color="auto"/>
        <w:right w:val="none" w:sz="0" w:space="0" w:color="auto"/>
      </w:divBdr>
    </w:div>
    <w:div w:id="221714921">
      <w:bodyDiv w:val="1"/>
      <w:marLeft w:val="0"/>
      <w:marRight w:val="0"/>
      <w:marTop w:val="0"/>
      <w:marBottom w:val="0"/>
      <w:divBdr>
        <w:top w:val="none" w:sz="0" w:space="0" w:color="auto"/>
        <w:left w:val="none" w:sz="0" w:space="0" w:color="auto"/>
        <w:bottom w:val="none" w:sz="0" w:space="0" w:color="auto"/>
        <w:right w:val="none" w:sz="0" w:space="0" w:color="auto"/>
      </w:divBdr>
    </w:div>
    <w:div w:id="223689169">
      <w:bodyDiv w:val="1"/>
      <w:marLeft w:val="0"/>
      <w:marRight w:val="0"/>
      <w:marTop w:val="0"/>
      <w:marBottom w:val="0"/>
      <w:divBdr>
        <w:top w:val="none" w:sz="0" w:space="0" w:color="auto"/>
        <w:left w:val="none" w:sz="0" w:space="0" w:color="auto"/>
        <w:bottom w:val="none" w:sz="0" w:space="0" w:color="auto"/>
        <w:right w:val="none" w:sz="0" w:space="0" w:color="auto"/>
      </w:divBdr>
    </w:div>
    <w:div w:id="224292502">
      <w:bodyDiv w:val="1"/>
      <w:marLeft w:val="0"/>
      <w:marRight w:val="0"/>
      <w:marTop w:val="0"/>
      <w:marBottom w:val="0"/>
      <w:divBdr>
        <w:top w:val="none" w:sz="0" w:space="0" w:color="auto"/>
        <w:left w:val="none" w:sz="0" w:space="0" w:color="auto"/>
        <w:bottom w:val="none" w:sz="0" w:space="0" w:color="auto"/>
        <w:right w:val="none" w:sz="0" w:space="0" w:color="auto"/>
      </w:divBdr>
    </w:div>
    <w:div w:id="226839051">
      <w:bodyDiv w:val="1"/>
      <w:marLeft w:val="0"/>
      <w:marRight w:val="0"/>
      <w:marTop w:val="0"/>
      <w:marBottom w:val="0"/>
      <w:divBdr>
        <w:top w:val="none" w:sz="0" w:space="0" w:color="auto"/>
        <w:left w:val="none" w:sz="0" w:space="0" w:color="auto"/>
        <w:bottom w:val="none" w:sz="0" w:space="0" w:color="auto"/>
        <w:right w:val="none" w:sz="0" w:space="0" w:color="auto"/>
      </w:divBdr>
    </w:div>
    <w:div w:id="227612016">
      <w:bodyDiv w:val="1"/>
      <w:marLeft w:val="0"/>
      <w:marRight w:val="0"/>
      <w:marTop w:val="0"/>
      <w:marBottom w:val="0"/>
      <w:divBdr>
        <w:top w:val="none" w:sz="0" w:space="0" w:color="auto"/>
        <w:left w:val="none" w:sz="0" w:space="0" w:color="auto"/>
        <w:bottom w:val="none" w:sz="0" w:space="0" w:color="auto"/>
        <w:right w:val="none" w:sz="0" w:space="0" w:color="auto"/>
      </w:divBdr>
    </w:div>
    <w:div w:id="229001592">
      <w:bodyDiv w:val="1"/>
      <w:marLeft w:val="0"/>
      <w:marRight w:val="0"/>
      <w:marTop w:val="0"/>
      <w:marBottom w:val="0"/>
      <w:divBdr>
        <w:top w:val="none" w:sz="0" w:space="0" w:color="auto"/>
        <w:left w:val="none" w:sz="0" w:space="0" w:color="auto"/>
        <w:bottom w:val="none" w:sz="0" w:space="0" w:color="auto"/>
        <w:right w:val="none" w:sz="0" w:space="0" w:color="auto"/>
      </w:divBdr>
    </w:div>
    <w:div w:id="230584302">
      <w:bodyDiv w:val="1"/>
      <w:marLeft w:val="0"/>
      <w:marRight w:val="0"/>
      <w:marTop w:val="0"/>
      <w:marBottom w:val="0"/>
      <w:divBdr>
        <w:top w:val="none" w:sz="0" w:space="0" w:color="auto"/>
        <w:left w:val="none" w:sz="0" w:space="0" w:color="auto"/>
        <w:bottom w:val="none" w:sz="0" w:space="0" w:color="auto"/>
        <w:right w:val="none" w:sz="0" w:space="0" w:color="auto"/>
      </w:divBdr>
    </w:div>
    <w:div w:id="230628281">
      <w:bodyDiv w:val="1"/>
      <w:marLeft w:val="0"/>
      <w:marRight w:val="0"/>
      <w:marTop w:val="0"/>
      <w:marBottom w:val="0"/>
      <w:divBdr>
        <w:top w:val="none" w:sz="0" w:space="0" w:color="auto"/>
        <w:left w:val="none" w:sz="0" w:space="0" w:color="auto"/>
        <w:bottom w:val="none" w:sz="0" w:space="0" w:color="auto"/>
        <w:right w:val="none" w:sz="0" w:space="0" w:color="auto"/>
      </w:divBdr>
    </w:div>
    <w:div w:id="231281022">
      <w:bodyDiv w:val="1"/>
      <w:marLeft w:val="0"/>
      <w:marRight w:val="0"/>
      <w:marTop w:val="0"/>
      <w:marBottom w:val="0"/>
      <w:divBdr>
        <w:top w:val="none" w:sz="0" w:space="0" w:color="auto"/>
        <w:left w:val="none" w:sz="0" w:space="0" w:color="auto"/>
        <w:bottom w:val="none" w:sz="0" w:space="0" w:color="auto"/>
        <w:right w:val="none" w:sz="0" w:space="0" w:color="auto"/>
      </w:divBdr>
    </w:div>
    <w:div w:id="232393260">
      <w:bodyDiv w:val="1"/>
      <w:marLeft w:val="0"/>
      <w:marRight w:val="0"/>
      <w:marTop w:val="0"/>
      <w:marBottom w:val="0"/>
      <w:divBdr>
        <w:top w:val="none" w:sz="0" w:space="0" w:color="auto"/>
        <w:left w:val="none" w:sz="0" w:space="0" w:color="auto"/>
        <w:bottom w:val="none" w:sz="0" w:space="0" w:color="auto"/>
        <w:right w:val="none" w:sz="0" w:space="0" w:color="auto"/>
      </w:divBdr>
    </w:div>
    <w:div w:id="232856254">
      <w:bodyDiv w:val="1"/>
      <w:marLeft w:val="0"/>
      <w:marRight w:val="0"/>
      <w:marTop w:val="0"/>
      <w:marBottom w:val="0"/>
      <w:divBdr>
        <w:top w:val="none" w:sz="0" w:space="0" w:color="auto"/>
        <w:left w:val="none" w:sz="0" w:space="0" w:color="auto"/>
        <w:bottom w:val="none" w:sz="0" w:space="0" w:color="auto"/>
        <w:right w:val="none" w:sz="0" w:space="0" w:color="auto"/>
      </w:divBdr>
    </w:div>
    <w:div w:id="232857861">
      <w:bodyDiv w:val="1"/>
      <w:marLeft w:val="0"/>
      <w:marRight w:val="0"/>
      <w:marTop w:val="0"/>
      <w:marBottom w:val="0"/>
      <w:divBdr>
        <w:top w:val="none" w:sz="0" w:space="0" w:color="auto"/>
        <w:left w:val="none" w:sz="0" w:space="0" w:color="auto"/>
        <w:bottom w:val="none" w:sz="0" w:space="0" w:color="auto"/>
        <w:right w:val="none" w:sz="0" w:space="0" w:color="auto"/>
      </w:divBdr>
    </w:div>
    <w:div w:id="232935343">
      <w:bodyDiv w:val="1"/>
      <w:marLeft w:val="0"/>
      <w:marRight w:val="0"/>
      <w:marTop w:val="0"/>
      <w:marBottom w:val="0"/>
      <w:divBdr>
        <w:top w:val="none" w:sz="0" w:space="0" w:color="auto"/>
        <w:left w:val="none" w:sz="0" w:space="0" w:color="auto"/>
        <w:bottom w:val="none" w:sz="0" w:space="0" w:color="auto"/>
        <w:right w:val="none" w:sz="0" w:space="0" w:color="auto"/>
      </w:divBdr>
    </w:div>
    <w:div w:id="233899200">
      <w:bodyDiv w:val="1"/>
      <w:marLeft w:val="0"/>
      <w:marRight w:val="0"/>
      <w:marTop w:val="0"/>
      <w:marBottom w:val="0"/>
      <w:divBdr>
        <w:top w:val="none" w:sz="0" w:space="0" w:color="auto"/>
        <w:left w:val="none" w:sz="0" w:space="0" w:color="auto"/>
        <w:bottom w:val="none" w:sz="0" w:space="0" w:color="auto"/>
        <w:right w:val="none" w:sz="0" w:space="0" w:color="auto"/>
      </w:divBdr>
    </w:div>
    <w:div w:id="234895484">
      <w:bodyDiv w:val="1"/>
      <w:marLeft w:val="0"/>
      <w:marRight w:val="0"/>
      <w:marTop w:val="0"/>
      <w:marBottom w:val="0"/>
      <w:divBdr>
        <w:top w:val="none" w:sz="0" w:space="0" w:color="auto"/>
        <w:left w:val="none" w:sz="0" w:space="0" w:color="auto"/>
        <w:bottom w:val="none" w:sz="0" w:space="0" w:color="auto"/>
        <w:right w:val="none" w:sz="0" w:space="0" w:color="auto"/>
      </w:divBdr>
    </w:div>
    <w:div w:id="235017948">
      <w:bodyDiv w:val="1"/>
      <w:marLeft w:val="0"/>
      <w:marRight w:val="0"/>
      <w:marTop w:val="0"/>
      <w:marBottom w:val="0"/>
      <w:divBdr>
        <w:top w:val="none" w:sz="0" w:space="0" w:color="auto"/>
        <w:left w:val="none" w:sz="0" w:space="0" w:color="auto"/>
        <w:bottom w:val="none" w:sz="0" w:space="0" w:color="auto"/>
        <w:right w:val="none" w:sz="0" w:space="0" w:color="auto"/>
      </w:divBdr>
    </w:div>
    <w:div w:id="237791878">
      <w:bodyDiv w:val="1"/>
      <w:marLeft w:val="0"/>
      <w:marRight w:val="0"/>
      <w:marTop w:val="0"/>
      <w:marBottom w:val="0"/>
      <w:divBdr>
        <w:top w:val="none" w:sz="0" w:space="0" w:color="auto"/>
        <w:left w:val="none" w:sz="0" w:space="0" w:color="auto"/>
        <w:bottom w:val="none" w:sz="0" w:space="0" w:color="auto"/>
        <w:right w:val="none" w:sz="0" w:space="0" w:color="auto"/>
      </w:divBdr>
    </w:div>
    <w:div w:id="239101041">
      <w:bodyDiv w:val="1"/>
      <w:marLeft w:val="0"/>
      <w:marRight w:val="0"/>
      <w:marTop w:val="0"/>
      <w:marBottom w:val="0"/>
      <w:divBdr>
        <w:top w:val="none" w:sz="0" w:space="0" w:color="auto"/>
        <w:left w:val="none" w:sz="0" w:space="0" w:color="auto"/>
        <w:bottom w:val="none" w:sz="0" w:space="0" w:color="auto"/>
        <w:right w:val="none" w:sz="0" w:space="0" w:color="auto"/>
      </w:divBdr>
    </w:div>
    <w:div w:id="240910490">
      <w:bodyDiv w:val="1"/>
      <w:marLeft w:val="0"/>
      <w:marRight w:val="0"/>
      <w:marTop w:val="0"/>
      <w:marBottom w:val="0"/>
      <w:divBdr>
        <w:top w:val="none" w:sz="0" w:space="0" w:color="auto"/>
        <w:left w:val="none" w:sz="0" w:space="0" w:color="auto"/>
        <w:bottom w:val="none" w:sz="0" w:space="0" w:color="auto"/>
        <w:right w:val="none" w:sz="0" w:space="0" w:color="auto"/>
      </w:divBdr>
    </w:div>
    <w:div w:id="241184324">
      <w:bodyDiv w:val="1"/>
      <w:marLeft w:val="0"/>
      <w:marRight w:val="0"/>
      <w:marTop w:val="0"/>
      <w:marBottom w:val="0"/>
      <w:divBdr>
        <w:top w:val="none" w:sz="0" w:space="0" w:color="auto"/>
        <w:left w:val="none" w:sz="0" w:space="0" w:color="auto"/>
        <w:bottom w:val="none" w:sz="0" w:space="0" w:color="auto"/>
        <w:right w:val="none" w:sz="0" w:space="0" w:color="auto"/>
      </w:divBdr>
    </w:div>
    <w:div w:id="242419984">
      <w:bodyDiv w:val="1"/>
      <w:marLeft w:val="0"/>
      <w:marRight w:val="0"/>
      <w:marTop w:val="0"/>
      <w:marBottom w:val="0"/>
      <w:divBdr>
        <w:top w:val="none" w:sz="0" w:space="0" w:color="auto"/>
        <w:left w:val="none" w:sz="0" w:space="0" w:color="auto"/>
        <w:bottom w:val="none" w:sz="0" w:space="0" w:color="auto"/>
        <w:right w:val="none" w:sz="0" w:space="0" w:color="auto"/>
      </w:divBdr>
    </w:div>
    <w:div w:id="242885578">
      <w:bodyDiv w:val="1"/>
      <w:marLeft w:val="0"/>
      <w:marRight w:val="0"/>
      <w:marTop w:val="0"/>
      <w:marBottom w:val="0"/>
      <w:divBdr>
        <w:top w:val="none" w:sz="0" w:space="0" w:color="auto"/>
        <w:left w:val="none" w:sz="0" w:space="0" w:color="auto"/>
        <w:bottom w:val="none" w:sz="0" w:space="0" w:color="auto"/>
        <w:right w:val="none" w:sz="0" w:space="0" w:color="auto"/>
      </w:divBdr>
    </w:div>
    <w:div w:id="246422605">
      <w:bodyDiv w:val="1"/>
      <w:marLeft w:val="0"/>
      <w:marRight w:val="0"/>
      <w:marTop w:val="0"/>
      <w:marBottom w:val="0"/>
      <w:divBdr>
        <w:top w:val="none" w:sz="0" w:space="0" w:color="auto"/>
        <w:left w:val="none" w:sz="0" w:space="0" w:color="auto"/>
        <w:bottom w:val="none" w:sz="0" w:space="0" w:color="auto"/>
        <w:right w:val="none" w:sz="0" w:space="0" w:color="auto"/>
      </w:divBdr>
    </w:div>
    <w:div w:id="247077419">
      <w:bodyDiv w:val="1"/>
      <w:marLeft w:val="0"/>
      <w:marRight w:val="0"/>
      <w:marTop w:val="0"/>
      <w:marBottom w:val="0"/>
      <w:divBdr>
        <w:top w:val="none" w:sz="0" w:space="0" w:color="auto"/>
        <w:left w:val="none" w:sz="0" w:space="0" w:color="auto"/>
        <w:bottom w:val="none" w:sz="0" w:space="0" w:color="auto"/>
        <w:right w:val="none" w:sz="0" w:space="0" w:color="auto"/>
      </w:divBdr>
    </w:div>
    <w:div w:id="247811540">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820319">
      <w:bodyDiv w:val="1"/>
      <w:marLeft w:val="0"/>
      <w:marRight w:val="0"/>
      <w:marTop w:val="0"/>
      <w:marBottom w:val="0"/>
      <w:divBdr>
        <w:top w:val="none" w:sz="0" w:space="0" w:color="auto"/>
        <w:left w:val="none" w:sz="0" w:space="0" w:color="auto"/>
        <w:bottom w:val="none" w:sz="0" w:space="0" w:color="auto"/>
        <w:right w:val="none" w:sz="0" w:space="0" w:color="auto"/>
      </w:divBdr>
    </w:div>
    <w:div w:id="253519801">
      <w:bodyDiv w:val="1"/>
      <w:marLeft w:val="0"/>
      <w:marRight w:val="0"/>
      <w:marTop w:val="0"/>
      <w:marBottom w:val="0"/>
      <w:divBdr>
        <w:top w:val="none" w:sz="0" w:space="0" w:color="auto"/>
        <w:left w:val="none" w:sz="0" w:space="0" w:color="auto"/>
        <w:bottom w:val="none" w:sz="0" w:space="0" w:color="auto"/>
        <w:right w:val="none" w:sz="0" w:space="0" w:color="auto"/>
      </w:divBdr>
    </w:div>
    <w:div w:id="255752136">
      <w:bodyDiv w:val="1"/>
      <w:marLeft w:val="0"/>
      <w:marRight w:val="0"/>
      <w:marTop w:val="0"/>
      <w:marBottom w:val="0"/>
      <w:divBdr>
        <w:top w:val="none" w:sz="0" w:space="0" w:color="auto"/>
        <w:left w:val="none" w:sz="0" w:space="0" w:color="auto"/>
        <w:bottom w:val="none" w:sz="0" w:space="0" w:color="auto"/>
        <w:right w:val="none" w:sz="0" w:space="0" w:color="auto"/>
      </w:divBdr>
    </w:div>
    <w:div w:id="256448814">
      <w:bodyDiv w:val="1"/>
      <w:marLeft w:val="0"/>
      <w:marRight w:val="0"/>
      <w:marTop w:val="0"/>
      <w:marBottom w:val="0"/>
      <w:divBdr>
        <w:top w:val="none" w:sz="0" w:space="0" w:color="auto"/>
        <w:left w:val="none" w:sz="0" w:space="0" w:color="auto"/>
        <w:bottom w:val="none" w:sz="0" w:space="0" w:color="auto"/>
        <w:right w:val="none" w:sz="0" w:space="0" w:color="auto"/>
      </w:divBdr>
    </w:div>
    <w:div w:id="259333326">
      <w:bodyDiv w:val="1"/>
      <w:marLeft w:val="0"/>
      <w:marRight w:val="0"/>
      <w:marTop w:val="0"/>
      <w:marBottom w:val="0"/>
      <w:divBdr>
        <w:top w:val="none" w:sz="0" w:space="0" w:color="auto"/>
        <w:left w:val="none" w:sz="0" w:space="0" w:color="auto"/>
        <w:bottom w:val="none" w:sz="0" w:space="0" w:color="auto"/>
        <w:right w:val="none" w:sz="0" w:space="0" w:color="auto"/>
      </w:divBdr>
    </w:div>
    <w:div w:id="260381408">
      <w:bodyDiv w:val="1"/>
      <w:marLeft w:val="0"/>
      <w:marRight w:val="0"/>
      <w:marTop w:val="0"/>
      <w:marBottom w:val="0"/>
      <w:divBdr>
        <w:top w:val="none" w:sz="0" w:space="0" w:color="auto"/>
        <w:left w:val="none" w:sz="0" w:space="0" w:color="auto"/>
        <w:bottom w:val="none" w:sz="0" w:space="0" w:color="auto"/>
        <w:right w:val="none" w:sz="0" w:space="0" w:color="auto"/>
      </w:divBdr>
    </w:div>
    <w:div w:id="260839540">
      <w:bodyDiv w:val="1"/>
      <w:marLeft w:val="0"/>
      <w:marRight w:val="0"/>
      <w:marTop w:val="0"/>
      <w:marBottom w:val="0"/>
      <w:divBdr>
        <w:top w:val="none" w:sz="0" w:space="0" w:color="auto"/>
        <w:left w:val="none" w:sz="0" w:space="0" w:color="auto"/>
        <w:bottom w:val="none" w:sz="0" w:space="0" w:color="auto"/>
        <w:right w:val="none" w:sz="0" w:space="0" w:color="auto"/>
      </w:divBdr>
    </w:div>
    <w:div w:id="261039126">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654294">
      <w:bodyDiv w:val="1"/>
      <w:marLeft w:val="0"/>
      <w:marRight w:val="0"/>
      <w:marTop w:val="0"/>
      <w:marBottom w:val="0"/>
      <w:divBdr>
        <w:top w:val="none" w:sz="0" w:space="0" w:color="auto"/>
        <w:left w:val="none" w:sz="0" w:space="0" w:color="auto"/>
        <w:bottom w:val="none" w:sz="0" w:space="0" w:color="auto"/>
        <w:right w:val="none" w:sz="0" w:space="0" w:color="auto"/>
      </w:divBdr>
    </w:div>
    <w:div w:id="265312847">
      <w:bodyDiv w:val="1"/>
      <w:marLeft w:val="0"/>
      <w:marRight w:val="0"/>
      <w:marTop w:val="0"/>
      <w:marBottom w:val="0"/>
      <w:divBdr>
        <w:top w:val="none" w:sz="0" w:space="0" w:color="auto"/>
        <w:left w:val="none" w:sz="0" w:space="0" w:color="auto"/>
        <w:bottom w:val="none" w:sz="0" w:space="0" w:color="auto"/>
        <w:right w:val="none" w:sz="0" w:space="0" w:color="auto"/>
      </w:divBdr>
    </w:div>
    <w:div w:id="265506801">
      <w:bodyDiv w:val="1"/>
      <w:marLeft w:val="0"/>
      <w:marRight w:val="0"/>
      <w:marTop w:val="0"/>
      <w:marBottom w:val="0"/>
      <w:divBdr>
        <w:top w:val="none" w:sz="0" w:space="0" w:color="auto"/>
        <w:left w:val="none" w:sz="0" w:space="0" w:color="auto"/>
        <w:bottom w:val="none" w:sz="0" w:space="0" w:color="auto"/>
        <w:right w:val="none" w:sz="0" w:space="0" w:color="auto"/>
      </w:divBdr>
    </w:div>
    <w:div w:id="266617207">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1978854">
      <w:bodyDiv w:val="1"/>
      <w:marLeft w:val="0"/>
      <w:marRight w:val="0"/>
      <w:marTop w:val="0"/>
      <w:marBottom w:val="0"/>
      <w:divBdr>
        <w:top w:val="none" w:sz="0" w:space="0" w:color="auto"/>
        <w:left w:val="none" w:sz="0" w:space="0" w:color="auto"/>
        <w:bottom w:val="none" w:sz="0" w:space="0" w:color="auto"/>
        <w:right w:val="none" w:sz="0" w:space="0" w:color="auto"/>
      </w:divBdr>
    </w:div>
    <w:div w:id="272593017">
      <w:bodyDiv w:val="1"/>
      <w:marLeft w:val="0"/>
      <w:marRight w:val="0"/>
      <w:marTop w:val="0"/>
      <w:marBottom w:val="0"/>
      <w:divBdr>
        <w:top w:val="none" w:sz="0" w:space="0" w:color="auto"/>
        <w:left w:val="none" w:sz="0" w:space="0" w:color="auto"/>
        <w:bottom w:val="none" w:sz="0" w:space="0" w:color="auto"/>
        <w:right w:val="none" w:sz="0" w:space="0" w:color="auto"/>
      </w:divBdr>
    </w:div>
    <w:div w:id="275722970">
      <w:bodyDiv w:val="1"/>
      <w:marLeft w:val="0"/>
      <w:marRight w:val="0"/>
      <w:marTop w:val="0"/>
      <w:marBottom w:val="0"/>
      <w:divBdr>
        <w:top w:val="none" w:sz="0" w:space="0" w:color="auto"/>
        <w:left w:val="none" w:sz="0" w:space="0" w:color="auto"/>
        <w:bottom w:val="none" w:sz="0" w:space="0" w:color="auto"/>
        <w:right w:val="none" w:sz="0" w:space="0" w:color="auto"/>
      </w:divBdr>
    </w:div>
    <w:div w:id="275917617">
      <w:bodyDiv w:val="1"/>
      <w:marLeft w:val="0"/>
      <w:marRight w:val="0"/>
      <w:marTop w:val="0"/>
      <w:marBottom w:val="0"/>
      <w:divBdr>
        <w:top w:val="none" w:sz="0" w:space="0" w:color="auto"/>
        <w:left w:val="none" w:sz="0" w:space="0" w:color="auto"/>
        <w:bottom w:val="none" w:sz="0" w:space="0" w:color="auto"/>
        <w:right w:val="none" w:sz="0" w:space="0" w:color="auto"/>
      </w:divBdr>
    </w:div>
    <w:div w:id="276648076">
      <w:bodyDiv w:val="1"/>
      <w:marLeft w:val="0"/>
      <w:marRight w:val="0"/>
      <w:marTop w:val="0"/>
      <w:marBottom w:val="0"/>
      <w:divBdr>
        <w:top w:val="none" w:sz="0" w:space="0" w:color="auto"/>
        <w:left w:val="none" w:sz="0" w:space="0" w:color="auto"/>
        <w:bottom w:val="none" w:sz="0" w:space="0" w:color="auto"/>
        <w:right w:val="none" w:sz="0" w:space="0" w:color="auto"/>
      </w:divBdr>
    </w:div>
    <w:div w:id="278727411">
      <w:bodyDiv w:val="1"/>
      <w:marLeft w:val="0"/>
      <w:marRight w:val="0"/>
      <w:marTop w:val="0"/>
      <w:marBottom w:val="0"/>
      <w:divBdr>
        <w:top w:val="none" w:sz="0" w:space="0" w:color="auto"/>
        <w:left w:val="none" w:sz="0" w:space="0" w:color="auto"/>
        <w:bottom w:val="none" w:sz="0" w:space="0" w:color="auto"/>
        <w:right w:val="none" w:sz="0" w:space="0" w:color="auto"/>
      </w:divBdr>
    </w:div>
    <w:div w:id="280498467">
      <w:bodyDiv w:val="1"/>
      <w:marLeft w:val="0"/>
      <w:marRight w:val="0"/>
      <w:marTop w:val="0"/>
      <w:marBottom w:val="0"/>
      <w:divBdr>
        <w:top w:val="none" w:sz="0" w:space="0" w:color="auto"/>
        <w:left w:val="none" w:sz="0" w:space="0" w:color="auto"/>
        <w:bottom w:val="none" w:sz="0" w:space="0" w:color="auto"/>
        <w:right w:val="none" w:sz="0" w:space="0" w:color="auto"/>
      </w:divBdr>
    </w:div>
    <w:div w:id="281152891">
      <w:bodyDiv w:val="1"/>
      <w:marLeft w:val="0"/>
      <w:marRight w:val="0"/>
      <w:marTop w:val="0"/>
      <w:marBottom w:val="0"/>
      <w:divBdr>
        <w:top w:val="none" w:sz="0" w:space="0" w:color="auto"/>
        <w:left w:val="none" w:sz="0" w:space="0" w:color="auto"/>
        <w:bottom w:val="none" w:sz="0" w:space="0" w:color="auto"/>
        <w:right w:val="none" w:sz="0" w:space="0" w:color="auto"/>
      </w:divBdr>
    </w:div>
    <w:div w:id="281233003">
      <w:bodyDiv w:val="1"/>
      <w:marLeft w:val="0"/>
      <w:marRight w:val="0"/>
      <w:marTop w:val="0"/>
      <w:marBottom w:val="0"/>
      <w:divBdr>
        <w:top w:val="none" w:sz="0" w:space="0" w:color="auto"/>
        <w:left w:val="none" w:sz="0" w:space="0" w:color="auto"/>
        <w:bottom w:val="none" w:sz="0" w:space="0" w:color="auto"/>
        <w:right w:val="none" w:sz="0" w:space="0" w:color="auto"/>
      </w:divBdr>
    </w:div>
    <w:div w:id="281499575">
      <w:bodyDiv w:val="1"/>
      <w:marLeft w:val="0"/>
      <w:marRight w:val="0"/>
      <w:marTop w:val="0"/>
      <w:marBottom w:val="0"/>
      <w:divBdr>
        <w:top w:val="none" w:sz="0" w:space="0" w:color="auto"/>
        <w:left w:val="none" w:sz="0" w:space="0" w:color="auto"/>
        <w:bottom w:val="none" w:sz="0" w:space="0" w:color="auto"/>
        <w:right w:val="none" w:sz="0" w:space="0" w:color="auto"/>
      </w:divBdr>
    </w:div>
    <w:div w:id="282922767">
      <w:bodyDiv w:val="1"/>
      <w:marLeft w:val="0"/>
      <w:marRight w:val="0"/>
      <w:marTop w:val="0"/>
      <w:marBottom w:val="0"/>
      <w:divBdr>
        <w:top w:val="none" w:sz="0" w:space="0" w:color="auto"/>
        <w:left w:val="none" w:sz="0" w:space="0" w:color="auto"/>
        <w:bottom w:val="none" w:sz="0" w:space="0" w:color="auto"/>
        <w:right w:val="none" w:sz="0" w:space="0" w:color="auto"/>
      </w:divBdr>
    </w:div>
    <w:div w:id="283385732">
      <w:bodyDiv w:val="1"/>
      <w:marLeft w:val="0"/>
      <w:marRight w:val="0"/>
      <w:marTop w:val="0"/>
      <w:marBottom w:val="0"/>
      <w:divBdr>
        <w:top w:val="none" w:sz="0" w:space="0" w:color="auto"/>
        <w:left w:val="none" w:sz="0" w:space="0" w:color="auto"/>
        <w:bottom w:val="none" w:sz="0" w:space="0" w:color="auto"/>
        <w:right w:val="none" w:sz="0" w:space="0" w:color="auto"/>
      </w:divBdr>
    </w:div>
    <w:div w:id="284124144">
      <w:bodyDiv w:val="1"/>
      <w:marLeft w:val="0"/>
      <w:marRight w:val="0"/>
      <w:marTop w:val="0"/>
      <w:marBottom w:val="0"/>
      <w:divBdr>
        <w:top w:val="none" w:sz="0" w:space="0" w:color="auto"/>
        <w:left w:val="none" w:sz="0" w:space="0" w:color="auto"/>
        <w:bottom w:val="none" w:sz="0" w:space="0" w:color="auto"/>
        <w:right w:val="none" w:sz="0" w:space="0" w:color="auto"/>
      </w:divBdr>
    </w:div>
    <w:div w:id="284428080">
      <w:bodyDiv w:val="1"/>
      <w:marLeft w:val="0"/>
      <w:marRight w:val="0"/>
      <w:marTop w:val="0"/>
      <w:marBottom w:val="0"/>
      <w:divBdr>
        <w:top w:val="none" w:sz="0" w:space="0" w:color="auto"/>
        <w:left w:val="none" w:sz="0" w:space="0" w:color="auto"/>
        <w:bottom w:val="none" w:sz="0" w:space="0" w:color="auto"/>
        <w:right w:val="none" w:sz="0" w:space="0" w:color="auto"/>
      </w:divBdr>
    </w:div>
    <w:div w:id="284819884">
      <w:bodyDiv w:val="1"/>
      <w:marLeft w:val="0"/>
      <w:marRight w:val="0"/>
      <w:marTop w:val="0"/>
      <w:marBottom w:val="0"/>
      <w:divBdr>
        <w:top w:val="none" w:sz="0" w:space="0" w:color="auto"/>
        <w:left w:val="none" w:sz="0" w:space="0" w:color="auto"/>
        <w:bottom w:val="none" w:sz="0" w:space="0" w:color="auto"/>
        <w:right w:val="none" w:sz="0" w:space="0" w:color="auto"/>
      </w:divBdr>
    </w:div>
    <w:div w:id="288509169">
      <w:bodyDiv w:val="1"/>
      <w:marLeft w:val="0"/>
      <w:marRight w:val="0"/>
      <w:marTop w:val="0"/>
      <w:marBottom w:val="0"/>
      <w:divBdr>
        <w:top w:val="none" w:sz="0" w:space="0" w:color="auto"/>
        <w:left w:val="none" w:sz="0" w:space="0" w:color="auto"/>
        <w:bottom w:val="none" w:sz="0" w:space="0" w:color="auto"/>
        <w:right w:val="none" w:sz="0" w:space="0" w:color="auto"/>
      </w:divBdr>
    </w:div>
    <w:div w:id="290214165">
      <w:bodyDiv w:val="1"/>
      <w:marLeft w:val="0"/>
      <w:marRight w:val="0"/>
      <w:marTop w:val="0"/>
      <w:marBottom w:val="0"/>
      <w:divBdr>
        <w:top w:val="none" w:sz="0" w:space="0" w:color="auto"/>
        <w:left w:val="none" w:sz="0" w:space="0" w:color="auto"/>
        <w:bottom w:val="none" w:sz="0" w:space="0" w:color="auto"/>
        <w:right w:val="none" w:sz="0" w:space="0" w:color="auto"/>
      </w:divBdr>
    </w:div>
    <w:div w:id="290215026">
      <w:bodyDiv w:val="1"/>
      <w:marLeft w:val="0"/>
      <w:marRight w:val="0"/>
      <w:marTop w:val="0"/>
      <w:marBottom w:val="0"/>
      <w:divBdr>
        <w:top w:val="none" w:sz="0" w:space="0" w:color="auto"/>
        <w:left w:val="none" w:sz="0" w:space="0" w:color="auto"/>
        <w:bottom w:val="none" w:sz="0" w:space="0" w:color="auto"/>
        <w:right w:val="none" w:sz="0" w:space="0" w:color="auto"/>
      </w:divBdr>
    </w:div>
    <w:div w:id="290600827">
      <w:bodyDiv w:val="1"/>
      <w:marLeft w:val="0"/>
      <w:marRight w:val="0"/>
      <w:marTop w:val="0"/>
      <w:marBottom w:val="0"/>
      <w:divBdr>
        <w:top w:val="none" w:sz="0" w:space="0" w:color="auto"/>
        <w:left w:val="none" w:sz="0" w:space="0" w:color="auto"/>
        <w:bottom w:val="none" w:sz="0" w:space="0" w:color="auto"/>
        <w:right w:val="none" w:sz="0" w:space="0" w:color="auto"/>
      </w:divBdr>
    </w:div>
    <w:div w:id="290601375">
      <w:bodyDiv w:val="1"/>
      <w:marLeft w:val="0"/>
      <w:marRight w:val="0"/>
      <w:marTop w:val="0"/>
      <w:marBottom w:val="0"/>
      <w:divBdr>
        <w:top w:val="none" w:sz="0" w:space="0" w:color="auto"/>
        <w:left w:val="none" w:sz="0" w:space="0" w:color="auto"/>
        <w:bottom w:val="none" w:sz="0" w:space="0" w:color="auto"/>
        <w:right w:val="none" w:sz="0" w:space="0" w:color="auto"/>
      </w:divBdr>
    </w:div>
    <w:div w:id="291323352">
      <w:bodyDiv w:val="1"/>
      <w:marLeft w:val="0"/>
      <w:marRight w:val="0"/>
      <w:marTop w:val="0"/>
      <w:marBottom w:val="0"/>
      <w:divBdr>
        <w:top w:val="none" w:sz="0" w:space="0" w:color="auto"/>
        <w:left w:val="none" w:sz="0" w:space="0" w:color="auto"/>
        <w:bottom w:val="none" w:sz="0" w:space="0" w:color="auto"/>
        <w:right w:val="none" w:sz="0" w:space="0" w:color="auto"/>
      </w:divBdr>
    </w:div>
    <w:div w:id="291329301">
      <w:bodyDiv w:val="1"/>
      <w:marLeft w:val="0"/>
      <w:marRight w:val="0"/>
      <w:marTop w:val="0"/>
      <w:marBottom w:val="0"/>
      <w:divBdr>
        <w:top w:val="none" w:sz="0" w:space="0" w:color="auto"/>
        <w:left w:val="none" w:sz="0" w:space="0" w:color="auto"/>
        <w:bottom w:val="none" w:sz="0" w:space="0" w:color="auto"/>
        <w:right w:val="none" w:sz="0" w:space="0" w:color="auto"/>
      </w:divBdr>
    </w:div>
    <w:div w:id="295261814">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185063">
      <w:bodyDiv w:val="1"/>
      <w:marLeft w:val="0"/>
      <w:marRight w:val="0"/>
      <w:marTop w:val="0"/>
      <w:marBottom w:val="0"/>
      <w:divBdr>
        <w:top w:val="none" w:sz="0" w:space="0" w:color="auto"/>
        <w:left w:val="none" w:sz="0" w:space="0" w:color="auto"/>
        <w:bottom w:val="none" w:sz="0" w:space="0" w:color="auto"/>
        <w:right w:val="none" w:sz="0" w:space="0" w:color="auto"/>
      </w:divBdr>
    </w:div>
    <w:div w:id="296424322">
      <w:bodyDiv w:val="1"/>
      <w:marLeft w:val="0"/>
      <w:marRight w:val="0"/>
      <w:marTop w:val="0"/>
      <w:marBottom w:val="0"/>
      <w:divBdr>
        <w:top w:val="none" w:sz="0" w:space="0" w:color="auto"/>
        <w:left w:val="none" w:sz="0" w:space="0" w:color="auto"/>
        <w:bottom w:val="none" w:sz="0" w:space="0" w:color="auto"/>
        <w:right w:val="none" w:sz="0" w:space="0" w:color="auto"/>
      </w:divBdr>
    </w:div>
    <w:div w:id="296490480">
      <w:bodyDiv w:val="1"/>
      <w:marLeft w:val="0"/>
      <w:marRight w:val="0"/>
      <w:marTop w:val="0"/>
      <w:marBottom w:val="0"/>
      <w:divBdr>
        <w:top w:val="none" w:sz="0" w:space="0" w:color="auto"/>
        <w:left w:val="none" w:sz="0" w:space="0" w:color="auto"/>
        <w:bottom w:val="none" w:sz="0" w:space="0" w:color="auto"/>
        <w:right w:val="none" w:sz="0" w:space="0" w:color="auto"/>
      </w:divBdr>
    </w:div>
    <w:div w:id="296688345">
      <w:bodyDiv w:val="1"/>
      <w:marLeft w:val="0"/>
      <w:marRight w:val="0"/>
      <w:marTop w:val="0"/>
      <w:marBottom w:val="0"/>
      <w:divBdr>
        <w:top w:val="none" w:sz="0" w:space="0" w:color="auto"/>
        <w:left w:val="none" w:sz="0" w:space="0" w:color="auto"/>
        <w:bottom w:val="none" w:sz="0" w:space="0" w:color="auto"/>
        <w:right w:val="none" w:sz="0" w:space="0" w:color="auto"/>
      </w:divBdr>
    </w:div>
    <w:div w:id="297102810">
      <w:bodyDiv w:val="1"/>
      <w:marLeft w:val="0"/>
      <w:marRight w:val="0"/>
      <w:marTop w:val="0"/>
      <w:marBottom w:val="0"/>
      <w:divBdr>
        <w:top w:val="none" w:sz="0" w:space="0" w:color="auto"/>
        <w:left w:val="none" w:sz="0" w:space="0" w:color="auto"/>
        <w:bottom w:val="none" w:sz="0" w:space="0" w:color="auto"/>
        <w:right w:val="none" w:sz="0" w:space="0" w:color="auto"/>
      </w:divBdr>
    </w:div>
    <w:div w:id="300039840">
      <w:bodyDiv w:val="1"/>
      <w:marLeft w:val="0"/>
      <w:marRight w:val="0"/>
      <w:marTop w:val="0"/>
      <w:marBottom w:val="0"/>
      <w:divBdr>
        <w:top w:val="none" w:sz="0" w:space="0" w:color="auto"/>
        <w:left w:val="none" w:sz="0" w:space="0" w:color="auto"/>
        <w:bottom w:val="none" w:sz="0" w:space="0" w:color="auto"/>
        <w:right w:val="none" w:sz="0" w:space="0" w:color="auto"/>
      </w:divBdr>
    </w:div>
    <w:div w:id="300890748">
      <w:bodyDiv w:val="1"/>
      <w:marLeft w:val="0"/>
      <w:marRight w:val="0"/>
      <w:marTop w:val="0"/>
      <w:marBottom w:val="0"/>
      <w:divBdr>
        <w:top w:val="none" w:sz="0" w:space="0" w:color="auto"/>
        <w:left w:val="none" w:sz="0" w:space="0" w:color="auto"/>
        <w:bottom w:val="none" w:sz="0" w:space="0" w:color="auto"/>
        <w:right w:val="none" w:sz="0" w:space="0" w:color="auto"/>
      </w:divBdr>
    </w:div>
    <w:div w:id="301156366">
      <w:bodyDiv w:val="1"/>
      <w:marLeft w:val="0"/>
      <w:marRight w:val="0"/>
      <w:marTop w:val="0"/>
      <w:marBottom w:val="0"/>
      <w:divBdr>
        <w:top w:val="none" w:sz="0" w:space="0" w:color="auto"/>
        <w:left w:val="none" w:sz="0" w:space="0" w:color="auto"/>
        <w:bottom w:val="none" w:sz="0" w:space="0" w:color="auto"/>
        <w:right w:val="none" w:sz="0" w:space="0" w:color="auto"/>
      </w:divBdr>
    </w:div>
    <w:div w:id="301426478">
      <w:bodyDiv w:val="1"/>
      <w:marLeft w:val="0"/>
      <w:marRight w:val="0"/>
      <w:marTop w:val="0"/>
      <w:marBottom w:val="0"/>
      <w:divBdr>
        <w:top w:val="none" w:sz="0" w:space="0" w:color="auto"/>
        <w:left w:val="none" w:sz="0" w:space="0" w:color="auto"/>
        <w:bottom w:val="none" w:sz="0" w:space="0" w:color="auto"/>
        <w:right w:val="none" w:sz="0" w:space="0" w:color="auto"/>
      </w:divBdr>
    </w:div>
    <w:div w:id="302850254">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4747212">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7057359">
      <w:bodyDiv w:val="1"/>
      <w:marLeft w:val="0"/>
      <w:marRight w:val="0"/>
      <w:marTop w:val="0"/>
      <w:marBottom w:val="0"/>
      <w:divBdr>
        <w:top w:val="none" w:sz="0" w:space="0" w:color="auto"/>
        <w:left w:val="none" w:sz="0" w:space="0" w:color="auto"/>
        <w:bottom w:val="none" w:sz="0" w:space="0" w:color="auto"/>
        <w:right w:val="none" w:sz="0" w:space="0" w:color="auto"/>
      </w:divBdr>
    </w:div>
    <w:div w:id="311452082">
      <w:bodyDiv w:val="1"/>
      <w:marLeft w:val="0"/>
      <w:marRight w:val="0"/>
      <w:marTop w:val="0"/>
      <w:marBottom w:val="0"/>
      <w:divBdr>
        <w:top w:val="none" w:sz="0" w:space="0" w:color="auto"/>
        <w:left w:val="none" w:sz="0" w:space="0" w:color="auto"/>
        <w:bottom w:val="none" w:sz="0" w:space="0" w:color="auto"/>
        <w:right w:val="none" w:sz="0" w:space="0" w:color="auto"/>
      </w:divBdr>
    </w:div>
    <w:div w:id="312024639">
      <w:bodyDiv w:val="1"/>
      <w:marLeft w:val="0"/>
      <w:marRight w:val="0"/>
      <w:marTop w:val="0"/>
      <w:marBottom w:val="0"/>
      <w:divBdr>
        <w:top w:val="none" w:sz="0" w:space="0" w:color="auto"/>
        <w:left w:val="none" w:sz="0" w:space="0" w:color="auto"/>
        <w:bottom w:val="none" w:sz="0" w:space="0" w:color="auto"/>
        <w:right w:val="none" w:sz="0" w:space="0" w:color="auto"/>
      </w:divBdr>
    </w:div>
    <w:div w:id="312375046">
      <w:bodyDiv w:val="1"/>
      <w:marLeft w:val="0"/>
      <w:marRight w:val="0"/>
      <w:marTop w:val="0"/>
      <w:marBottom w:val="0"/>
      <w:divBdr>
        <w:top w:val="none" w:sz="0" w:space="0" w:color="auto"/>
        <w:left w:val="none" w:sz="0" w:space="0" w:color="auto"/>
        <w:bottom w:val="none" w:sz="0" w:space="0" w:color="auto"/>
        <w:right w:val="none" w:sz="0" w:space="0" w:color="auto"/>
      </w:divBdr>
    </w:div>
    <w:div w:id="313341089">
      <w:bodyDiv w:val="1"/>
      <w:marLeft w:val="0"/>
      <w:marRight w:val="0"/>
      <w:marTop w:val="0"/>
      <w:marBottom w:val="0"/>
      <w:divBdr>
        <w:top w:val="none" w:sz="0" w:space="0" w:color="auto"/>
        <w:left w:val="none" w:sz="0" w:space="0" w:color="auto"/>
        <w:bottom w:val="none" w:sz="0" w:space="0" w:color="auto"/>
        <w:right w:val="none" w:sz="0" w:space="0" w:color="auto"/>
      </w:divBdr>
    </w:div>
    <w:div w:id="313804911">
      <w:bodyDiv w:val="1"/>
      <w:marLeft w:val="0"/>
      <w:marRight w:val="0"/>
      <w:marTop w:val="0"/>
      <w:marBottom w:val="0"/>
      <w:divBdr>
        <w:top w:val="none" w:sz="0" w:space="0" w:color="auto"/>
        <w:left w:val="none" w:sz="0" w:space="0" w:color="auto"/>
        <w:bottom w:val="none" w:sz="0" w:space="0" w:color="auto"/>
        <w:right w:val="none" w:sz="0" w:space="0" w:color="auto"/>
      </w:divBdr>
    </w:div>
    <w:div w:id="313990727">
      <w:bodyDiv w:val="1"/>
      <w:marLeft w:val="0"/>
      <w:marRight w:val="0"/>
      <w:marTop w:val="0"/>
      <w:marBottom w:val="0"/>
      <w:divBdr>
        <w:top w:val="none" w:sz="0" w:space="0" w:color="auto"/>
        <w:left w:val="none" w:sz="0" w:space="0" w:color="auto"/>
        <w:bottom w:val="none" w:sz="0" w:space="0" w:color="auto"/>
        <w:right w:val="none" w:sz="0" w:space="0" w:color="auto"/>
      </w:divBdr>
    </w:div>
    <w:div w:id="314604028">
      <w:bodyDiv w:val="1"/>
      <w:marLeft w:val="0"/>
      <w:marRight w:val="0"/>
      <w:marTop w:val="0"/>
      <w:marBottom w:val="0"/>
      <w:divBdr>
        <w:top w:val="none" w:sz="0" w:space="0" w:color="auto"/>
        <w:left w:val="none" w:sz="0" w:space="0" w:color="auto"/>
        <w:bottom w:val="none" w:sz="0" w:space="0" w:color="auto"/>
        <w:right w:val="none" w:sz="0" w:space="0" w:color="auto"/>
      </w:divBdr>
    </w:div>
    <w:div w:id="315304763">
      <w:bodyDiv w:val="1"/>
      <w:marLeft w:val="0"/>
      <w:marRight w:val="0"/>
      <w:marTop w:val="0"/>
      <w:marBottom w:val="0"/>
      <w:divBdr>
        <w:top w:val="none" w:sz="0" w:space="0" w:color="auto"/>
        <w:left w:val="none" w:sz="0" w:space="0" w:color="auto"/>
        <w:bottom w:val="none" w:sz="0" w:space="0" w:color="auto"/>
        <w:right w:val="none" w:sz="0" w:space="0" w:color="auto"/>
      </w:divBdr>
    </w:div>
    <w:div w:id="317853593">
      <w:bodyDiv w:val="1"/>
      <w:marLeft w:val="0"/>
      <w:marRight w:val="0"/>
      <w:marTop w:val="0"/>
      <w:marBottom w:val="0"/>
      <w:divBdr>
        <w:top w:val="none" w:sz="0" w:space="0" w:color="auto"/>
        <w:left w:val="none" w:sz="0" w:space="0" w:color="auto"/>
        <w:bottom w:val="none" w:sz="0" w:space="0" w:color="auto"/>
        <w:right w:val="none" w:sz="0" w:space="0" w:color="auto"/>
      </w:divBdr>
    </w:div>
    <w:div w:id="319388607">
      <w:bodyDiv w:val="1"/>
      <w:marLeft w:val="0"/>
      <w:marRight w:val="0"/>
      <w:marTop w:val="0"/>
      <w:marBottom w:val="0"/>
      <w:divBdr>
        <w:top w:val="none" w:sz="0" w:space="0" w:color="auto"/>
        <w:left w:val="none" w:sz="0" w:space="0" w:color="auto"/>
        <w:bottom w:val="none" w:sz="0" w:space="0" w:color="auto"/>
        <w:right w:val="none" w:sz="0" w:space="0" w:color="auto"/>
      </w:divBdr>
    </w:div>
    <w:div w:id="322785726">
      <w:bodyDiv w:val="1"/>
      <w:marLeft w:val="0"/>
      <w:marRight w:val="0"/>
      <w:marTop w:val="0"/>
      <w:marBottom w:val="0"/>
      <w:divBdr>
        <w:top w:val="none" w:sz="0" w:space="0" w:color="auto"/>
        <w:left w:val="none" w:sz="0" w:space="0" w:color="auto"/>
        <w:bottom w:val="none" w:sz="0" w:space="0" w:color="auto"/>
        <w:right w:val="none" w:sz="0" w:space="0" w:color="auto"/>
      </w:divBdr>
    </w:div>
    <w:div w:id="323048770">
      <w:bodyDiv w:val="1"/>
      <w:marLeft w:val="0"/>
      <w:marRight w:val="0"/>
      <w:marTop w:val="0"/>
      <w:marBottom w:val="0"/>
      <w:divBdr>
        <w:top w:val="none" w:sz="0" w:space="0" w:color="auto"/>
        <w:left w:val="none" w:sz="0" w:space="0" w:color="auto"/>
        <w:bottom w:val="none" w:sz="0" w:space="0" w:color="auto"/>
        <w:right w:val="none" w:sz="0" w:space="0" w:color="auto"/>
      </w:divBdr>
    </w:div>
    <w:div w:id="323164624">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167560">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013197">
      <w:bodyDiv w:val="1"/>
      <w:marLeft w:val="0"/>
      <w:marRight w:val="0"/>
      <w:marTop w:val="0"/>
      <w:marBottom w:val="0"/>
      <w:divBdr>
        <w:top w:val="none" w:sz="0" w:space="0" w:color="auto"/>
        <w:left w:val="none" w:sz="0" w:space="0" w:color="auto"/>
        <w:bottom w:val="none" w:sz="0" w:space="0" w:color="auto"/>
        <w:right w:val="none" w:sz="0" w:space="0" w:color="auto"/>
      </w:divBdr>
    </w:div>
    <w:div w:id="325399126">
      <w:bodyDiv w:val="1"/>
      <w:marLeft w:val="0"/>
      <w:marRight w:val="0"/>
      <w:marTop w:val="0"/>
      <w:marBottom w:val="0"/>
      <w:divBdr>
        <w:top w:val="none" w:sz="0" w:space="0" w:color="auto"/>
        <w:left w:val="none" w:sz="0" w:space="0" w:color="auto"/>
        <w:bottom w:val="none" w:sz="0" w:space="0" w:color="auto"/>
        <w:right w:val="none" w:sz="0" w:space="0" w:color="auto"/>
      </w:divBdr>
    </w:div>
    <w:div w:id="326593702">
      <w:bodyDiv w:val="1"/>
      <w:marLeft w:val="0"/>
      <w:marRight w:val="0"/>
      <w:marTop w:val="0"/>
      <w:marBottom w:val="0"/>
      <w:divBdr>
        <w:top w:val="none" w:sz="0" w:space="0" w:color="auto"/>
        <w:left w:val="none" w:sz="0" w:space="0" w:color="auto"/>
        <w:bottom w:val="none" w:sz="0" w:space="0" w:color="auto"/>
        <w:right w:val="none" w:sz="0" w:space="0" w:color="auto"/>
      </w:divBdr>
    </w:div>
    <w:div w:id="326833498">
      <w:bodyDiv w:val="1"/>
      <w:marLeft w:val="0"/>
      <w:marRight w:val="0"/>
      <w:marTop w:val="0"/>
      <w:marBottom w:val="0"/>
      <w:divBdr>
        <w:top w:val="none" w:sz="0" w:space="0" w:color="auto"/>
        <w:left w:val="none" w:sz="0" w:space="0" w:color="auto"/>
        <w:bottom w:val="none" w:sz="0" w:space="0" w:color="auto"/>
        <w:right w:val="none" w:sz="0" w:space="0" w:color="auto"/>
      </w:divBdr>
    </w:div>
    <w:div w:id="327292370">
      <w:bodyDiv w:val="1"/>
      <w:marLeft w:val="0"/>
      <w:marRight w:val="0"/>
      <w:marTop w:val="0"/>
      <w:marBottom w:val="0"/>
      <w:divBdr>
        <w:top w:val="none" w:sz="0" w:space="0" w:color="auto"/>
        <w:left w:val="none" w:sz="0" w:space="0" w:color="auto"/>
        <w:bottom w:val="none" w:sz="0" w:space="0" w:color="auto"/>
        <w:right w:val="none" w:sz="0" w:space="0" w:color="auto"/>
      </w:divBdr>
    </w:div>
    <w:div w:id="327440337">
      <w:bodyDiv w:val="1"/>
      <w:marLeft w:val="0"/>
      <w:marRight w:val="0"/>
      <w:marTop w:val="0"/>
      <w:marBottom w:val="0"/>
      <w:divBdr>
        <w:top w:val="none" w:sz="0" w:space="0" w:color="auto"/>
        <w:left w:val="none" w:sz="0" w:space="0" w:color="auto"/>
        <w:bottom w:val="none" w:sz="0" w:space="0" w:color="auto"/>
        <w:right w:val="none" w:sz="0" w:space="0" w:color="auto"/>
      </w:divBdr>
    </w:div>
    <w:div w:id="327876656">
      <w:bodyDiv w:val="1"/>
      <w:marLeft w:val="0"/>
      <w:marRight w:val="0"/>
      <w:marTop w:val="0"/>
      <w:marBottom w:val="0"/>
      <w:divBdr>
        <w:top w:val="none" w:sz="0" w:space="0" w:color="auto"/>
        <w:left w:val="none" w:sz="0" w:space="0" w:color="auto"/>
        <w:bottom w:val="none" w:sz="0" w:space="0" w:color="auto"/>
        <w:right w:val="none" w:sz="0" w:space="0" w:color="auto"/>
      </w:divBdr>
    </w:div>
    <w:div w:id="329646432">
      <w:bodyDiv w:val="1"/>
      <w:marLeft w:val="0"/>
      <w:marRight w:val="0"/>
      <w:marTop w:val="0"/>
      <w:marBottom w:val="0"/>
      <w:divBdr>
        <w:top w:val="none" w:sz="0" w:space="0" w:color="auto"/>
        <w:left w:val="none" w:sz="0" w:space="0" w:color="auto"/>
        <w:bottom w:val="none" w:sz="0" w:space="0" w:color="auto"/>
        <w:right w:val="none" w:sz="0" w:space="0" w:color="auto"/>
      </w:divBdr>
    </w:div>
    <w:div w:id="330330794">
      <w:bodyDiv w:val="1"/>
      <w:marLeft w:val="0"/>
      <w:marRight w:val="0"/>
      <w:marTop w:val="0"/>
      <w:marBottom w:val="0"/>
      <w:divBdr>
        <w:top w:val="none" w:sz="0" w:space="0" w:color="auto"/>
        <w:left w:val="none" w:sz="0" w:space="0" w:color="auto"/>
        <w:bottom w:val="none" w:sz="0" w:space="0" w:color="auto"/>
        <w:right w:val="none" w:sz="0" w:space="0" w:color="auto"/>
      </w:divBdr>
    </w:div>
    <w:div w:id="330449364">
      <w:bodyDiv w:val="1"/>
      <w:marLeft w:val="0"/>
      <w:marRight w:val="0"/>
      <w:marTop w:val="0"/>
      <w:marBottom w:val="0"/>
      <w:divBdr>
        <w:top w:val="none" w:sz="0" w:space="0" w:color="auto"/>
        <w:left w:val="none" w:sz="0" w:space="0" w:color="auto"/>
        <w:bottom w:val="none" w:sz="0" w:space="0" w:color="auto"/>
        <w:right w:val="none" w:sz="0" w:space="0" w:color="auto"/>
      </w:divBdr>
    </w:div>
    <w:div w:id="333606749">
      <w:bodyDiv w:val="1"/>
      <w:marLeft w:val="0"/>
      <w:marRight w:val="0"/>
      <w:marTop w:val="0"/>
      <w:marBottom w:val="0"/>
      <w:divBdr>
        <w:top w:val="none" w:sz="0" w:space="0" w:color="auto"/>
        <w:left w:val="none" w:sz="0" w:space="0" w:color="auto"/>
        <w:bottom w:val="none" w:sz="0" w:space="0" w:color="auto"/>
        <w:right w:val="none" w:sz="0" w:space="0" w:color="auto"/>
      </w:divBdr>
    </w:div>
    <w:div w:id="333921797">
      <w:bodyDiv w:val="1"/>
      <w:marLeft w:val="0"/>
      <w:marRight w:val="0"/>
      <w:marTop w:val="0"/>
      <w:marBottom w:val="0"/>
      <w:divBdr>
        <w:top w:val="none" w:sz="0" w:space="0" w:color="auto"/>
        <w:left w:val="none" w:sz="0" w:space="0" w:color="auto"/>
        <w:bottom w:val="none" w:sz="0" w:space="0" w:color="auto"/>
        <w:right w:val="none" w:sz="0" w:space="0" w:color="auto"/>
      </w:divBdr>
    </w:div>
    <w:div w:id="336425615">
      <w:bodyDiv w:val="1"/>
      <w:marLeft w:val="0"/>
      <w:marRight w:val="0"/>
      <w:marTop w:val="0"/>
      <w:marBottom w:val="0"/>
      <w:divBdr>
        <w:top w:val="none" w:sz="0" w:space="0" w:color="auto"/>
        <w:left w:val="none" w:sz="0" w:space="0" w:color="auto"/>
        <w:bottom w:val="none" w:sz="0" w:space="0" w:color="auto"/>
        <w:right w:val="none" w:sz="0" w:space="0" w:color="auto"/>
      </w:divBdr>
    </w:div>
    <w:div w:id="336661379">
      <w:bodyDiv w:val="1"/>
      <w:marLeft w:val="0"/>
      <w:marRight w:val="0"/>
      <w:marTop w:val="0"/>
      <w:marBottom w:val="0"/>
      <w:divBdr>
        <w:top w:val="none" w:sz="0" w:space="0" w:color="auto"/>
        <w:left w:val="none" w:sz="0" w:space="0" w:color="auto"/>
        <w:bottom w:val="none" w:sz="0" w:space="0" w:color="auto"/>
        <w:right w:val="none" w:sz="0" w:space="0" w:color="auto"/>
      </w:divBdr>
    </w:div>
    <w:div w:id="337856900">
      <w:bodyDiv w:val="1"/>
      <w:marLeft w:val="0"/>
      <w:marRight w:val="0"/>
      <w:marTop w:val="0"/>
      <w:marBottom w:val="0"/>
      <w:divBdr>
        <w:top w:val="none" w:sz="0" w:space="0" w:color="auto"/>
        <w:left w:val="none" w:sz="0" w:space="0" w:color="auto"/>
        <w:bottom w:val="none" w:sz="0" w:space="0" w:color="auto"/>
        <w:right w:val="none" w:sz="0" w:space="0" w:color="auto"/>
      </w:divBdr>
    </w:div>
    <w:div w:id="337970743">
      <w:bodyDiv w:val="1"/>
      <w:marLeft w:val="0"/>
      <w:marRight w:val="0"/>
      <w:marTop w:val="0"/>
      <w:marBottom w:val="0"/>
      <w:divBdr>
        <w:top w:val="none" w:sz="0" w:space="0" w:color="auto"/>
        <w:left w:val="none" w:sz="0" w:space="0" w:color="auto"/>
        <w:bottom w:val="none" w:sz="0" w:space="0" w:color="auto"/>
        <w:right w:val="none" w:sz="0" w:space="0" w:color="auto"/>
      </w:divBdr>
    </w:div>
    <w:div w:id="338043277">
      <w:bodyDiv w:val="1"/>
      <w:marLeft w:val="0"/>
      <w:marRight w:val="0"/>
      <w:marTop w:val="0"/>
      <w:marBottom w:val="0"/>
      <w:divBdr>
        <w:top w:val="none" w:sz="0" w:space="0" w:color="auto"/>
        <w:left w:val="none" w:sz="0" w:space="0" w:color="auto"/>
        <w:bottom w:val="none" w:sz="0" w:space="0" w:color="auto"/>
        <w:right w:val="none" w:sz="0" w:space="0" w:color="auto"/>
      </w:divBdr>
    </w:div>
    <w:div w:id="338312433">
      <w:bodyDiv w:val="1"/>
      <w:marLeft w:val="0"/>
      <w:marRight w:val="0"/>
      <w:marTop w:val="0"/>
      <w:marBottom w:val="0"/>
      <w:divBdr>
        <w:top w:val="none" w:sz="0" w:space="0" w:color="auto"/>
        <w:left w:val="none" w:sz="0" w:space="0" w:color="auto"/>
        <w:bottom w:val="none" w:sz="0" w:space="0" w:color="auto"/>
        <w:right w:val="none" w:sz="0" w:space="0" w:color="auto"/>
      </w:divBdr>
    </w:div>
    <w:div w:id="338394156">
      <w:bodyDiv w:val="1"/>
      <w:marLeft w:val="0"/>
      <w:marRight w:val="0"/>
      <w:marTop w:val="0"/>
      <w:marBottom w:val="0"/>
      <w:divBdr>
        <w:top w:val="none" w:sz="0" w:space="0" w:color="auto"/>
        <w:left w:val="none" w:sz="0" w:space="0" w:color="auto"/>
        <w:bottom w:val="none" w:sz="0" w:space="0" w:color="auto"/>
        <w:right w:val="none" w:sz="0" w:space="0" w:color="auto"/>
      </w:divBdr>
    </w:div>
    <w:div w:id="340014329">
      <w:bodyDiv w:val="1"/>
      <w:marLeft w:val="0"/>
      <w:marRight w:val="0"/>
      <w:marTop w:val="0"/>
      <w:marBottom w:val="0"/>
      <w:divBdr>
        <w:top w:val="none" w:sz="0" w:space="0" w:color="auto"/>
        <w:left w:val="none" w:sz="0" w:space="0" w:color="auto"/>
        <w:bottom w:val="none" w:sz="0" w:space="0" w:color="auto"/>
        <w:right w:val="none" w:sz="0" w:space="0" w:color="auto"/>
      </w:divBdr>
    </w:div>
    <w:div w:id="340201854">
      <w:bodyDiv w:val="1"/>
      <w:marLeft w:val="0"/>
      <w:marRight w:val="0"/>
      <w:marTop w:val="0"/>
      <w:marBottom w:val="0"/>
      <w:divBdr>
        <w:top w:val="none" w:sz="0" w:space="0" w:color="auto"/>
        <w:left w:val="none" w:sz="0" w:space="0" w:color="auto"/>
        <w:bottom w:val="none" w:sz="0" w:space="0" w:color="auto"/>
        <w:right w:val="none" w:sz="0" w:space="0" w:color="auto"/>
      </w:divBdr>
    </w:div>
    <w:div w:id="342123771">
      <w:bodyDiv w:val="1"/>
      <w:marLeft w:val="0"/>
      <w:marRight w:val="0"/>
      <w:marTop w:val="0"/>
      <w:marBottom w:val="0"/>
      <w:divBdr>
        <w:top w:val="none" w:sz="0" w:space="0" w:color="auto"/>
        <w:left w:val="none" w:sz="0" w:space="0" w:color="auto"/>
        <w:bottom w:val="none" w:sz="0" w:space="0" w:color="auto"/>
        <w:right w:val="none" w:sz="0" w:space="0" w:color="auto"/>
      </w:divBdr>
    </w:div>
    <w:div w:id="343748686">
      <w:bodyDiv w:val="1"/>
      <w:marLeft w:val="0"/>
      <w:marRight w:val="0"/>
      <w:marTop w:val="0"/>
      <w:marBottom w:val="0"/>
      <w:divBdr>
        <w:top w:val="none" w:sz="0" w:space="0" w:color="auto"/>
        <w:left w:val="none" w:sz="0" w:space="0" w:color="auto"/>
        <w:bottom w:val="none" w:sz="0" w:space="0" w:color="auto"/>
        <w:right w:val="none" w:sz="0" w:space="0" w:color="auto"/>
      </w:divBdr>
    </w:div>
    <w:div w:id="345405277">
      <w:bodyDiv w:val="1"/>
      <w:marLeft w:val="0"/>
      <w:marRight w:val="0"/>
      <w:marTop w:val="0"/>
      <w:marBottom w:val="0"/>
      <w:divBdr>
        <w:top w:val="none" w:sz="0" w:space="0" w:color="auto"/>
        <w:left w:val="none" w:sz="0" w:space="0" w:color="auto"/>
        <w:bottom w:val="none" w:sz="0" w:space="0" w:color="auto"/>
        <w:right w:val="none" w:sz="0" w:space="0" w:color="auto"/>
      </w:divBdr>
    </w:div>
    <w:div w:id="345445507">
      <w:bodyDiv w:val="1"/>
      <w:marLeft w:val="0"/>
      <w:marRight w:val="0"/>
      <w:marTop w:val="0"/>
      <w:marBottom w:val="0"/>
      <w:divBdr>
        <w:top w:val="none" w:sz="0" w:space="0" w:color="auto"/>
        <w:left w:val="none" w:sz="0" w:space="0" w:color="auto"/>
        <w:bottom w:val="none" w:sz="0" w:space="0" w:color="auto"/>
        <w:right w:val="none" w:sz="0" w:space="0" w:color="auto"/>
      </w:divBdr>
    </w:div>
    <w:div w:id="346489208">
      <w:bodyDiv w:val="1"/>
      <w:marLeft w:val="0"/>
      <w:marRight w:val="0"/>
      <w:marTop w:val="0"/>
      <w:marBottom w:val="0"/>
      <w:divBdr>
        <w:top w:val="none" w:sz="0" w:space="0" w:color="auto"/>
        <w:left w:val="none" w:sz="0" w:space="0" w:color="auto"/>
        <w:bottom w:val="none" w:sz="0" w:space="0" w:color="auto"/>
        <w:right w:val="none" w:sz="0" w:space="0" w:color="auto"/>
      </w:divBdr>
    </w:div>
    <w:div w:id="346755355">
      <w:bodyDiv w:val="1"/>
      <w:marLeft w:val="0"/>
      <w:marRight w:val="0"/>
      <w:marTop w:val="0"/>
      <w:marBottom w:val="0"/>
      <w:divBdr>
        <w:top w:val="none" w:sz="0" w:space="0" w:color="auto"/>
        <w:left w:val="none" w:sz="0" w:space="0" w:color="auto"/>
        <w:bottom w:val="none" w:sz="0" w:space="0" w:color="auto"/>
        <w:right w:val="none" w:sz="0" w:space="0" w:color="auto"/>
      </w:divBdr>
    </w:div>
    <w:div w:id="348027534">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217835">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49067545">
      <w:bodyDiv w:val="1"/>
      <w:marLeft w:val="0"/>
      <w:marRight w:val="0"/>
      <w:marTop w:val="0"/>
      <w:marBottom w:val="0"/>
      <w:divBdr>
        <w:top w:val="none" w:sz="0" w:space="0" w:color="auto"/>
        <w:left w:val="none" w:sz="0" w:space="0" w:color="auto"/>
        <w:bottom w:val="none" w:sz="0" w:space="0" w:color="auto"/>
        <w:right w:val="none" w:sz="0" w:space="0" w:color="auto"/>
      </w:divBdr>
    </w:div>
    <w:div w:id="349113610">
      <w:bodyDiv w:val="1"/>
      <w:marLeft w:val="0"/>
      <w:marRight w:val="0"/>
      <w:marTop w:val="0"/>
      <w:marBottom w:val="0"/>
      <w:divBdr>
        <w:top w:val="none" w:sz="0" w:space="0" w:color="auto"/>
        <w:left w:val="none" w:sz="0" w:space="0" w:color="auto"/>
        <w:bottom w:val="none" w:sz="0" w:space="0" w:color="auto"/>
        <w:right w:val="none" w:sz="0" w:space="0" w:color="auto"/>
      </w:divBdr>
    </w:div>
    <w:div w:id="349263603">
      <w:bodyDiv w:val="1"/>
      <w:marLeft w:val="0"/>
      <w:marRight w:val="0"/>
      <w:marTop w:val="0"/>
      <w:marBottom w:val="0"/>
      <w:divBdr>
        <w:top w:val="none" w:sz="0" w:space="0" w:color="auto"/>
        <w:left w:val="none" w:sz="0" w:space="0" w:color="auto"/>
        <w:bottom w:val="none" w:sz="0" w:space="0" w:color="auto"/>
        <w:right w:val="none" w:sz="0" w:space="0" w:color="auto"/>
      </w:divBdr>
    </w:div>
    <w:div w:id="349722629">
      <w:bodyDiv w:val="1"/>
      <w:marLeft w:val="0"/>
      <w:marRight w:val="0"/>
      <w:marTop w:val="0"/>
      <w:marBottom w:val="0"/>
      <w:divBdr>
        <w:top w:val="none" w:sz="0" w:space="0" w:color="auto"/>
        <w:left w:val="none" w:sz="0" w:space="0" w:color="auto"/>
        <w:bottom w:val="none" w:sz="0" w:space="0" w:color="auto"/>
        <w:right w:val="none" w:sz="0" w:space="0" w:color="auto"/>
      </w:divBdr>
    </w:div>
    <w:div w:id="350956071">
      <w:bodyDiv w:val="1"/>
      <w:marLeft w:val="0"/>
      <w:marRight w:val="0"/>
      <w:marTop w:val="0"/>
      <w:marBottom w:val="0"/>
      <w:divBdr>
        <w:top w:val="none" w:sz="0" w:space="0" w:color="auto"/>
        <w:left w:val="none" w:sz="0" w:space="0" w:color="auto"/>
        <w:bottom w:val="none" w:sz="0" w:space="0" w:color="auto"/>
        <w:right w:val="none" w:sz="0" w:space="0" w:color="auto"/>
      </w:divBdr>
    </w:div>
    <w:div w:id="352803687">
      <w:bodyDiv w:val="1"/>
      <w:marLeft w:val="0"/>
      <w:marRight w:val="0"/>
      <w:marTop w:val="0"/>
      <w:marBottom w:val="0"/>
      <w:divBdr>
        <w:top w:val="none" w:sz="0" w:space="0" w:color="auto"/>
        <w:left w:val="none" w:sz="0" w:space="0" w:color="auto"/>
        <w:bottom w:val="none" w:sz="0" w:space="0" w:color="auto"/>
        <w:right w:val="none" w:sz="0" w:space="0" w:color="auto"/>
      </w:divBdr>
    </w:div>
    <w:div w:id="354042262">
      <w:bodyDiv w:val="1"/>
      <w:marLeft w:val="0"/>
      <w:marRight w:val="0"/>
      <w:marTop w:val="0"/>
      <w:marBottom w:val="0"/>
      <w:divBdr>
        <w:top w:val="none" w:sz="0" w:space="0" w:color="auto"/>
        <w:left w:val="none" w:sz="0" w:space="0" w:color="auto"/>
        <w:bottom w:val="none" w:sz="0" w:space="0" w:color="auto"/>
        <w:right w:val="none" w:sz="0" w:space="0" w:color="auto"/>
      </w:divBdr>
    </w:div>
    <w:div w:id="356270187">
      <w:bodyDiv w:val="1"/>
      <w:marLeft w:val="0"/>
      <w:marRight w:val="0"/>
      <w:marTop w:val="0"/>
      <w:marBottom w:val="0"/>
      <w:divBdr>
        <w:top w:val="none" w:sz="0" w:space="0" w:color="auto"/>
        <w:left w:val="none" w:sz="0" w:space="0" w:color="auto"/>
        <w:bottom w:val="none" w:sz="0" w:space="0" w:color="auto"/>
        <w:right w:val="none" w:sz="0" w:space="0" w:color="auto"/>
      </w:divBdr>
    </w:div>
    <w:div w:id="359555514">
      <w:bodyDiv w:val="1"/>
      <w:marLeft w:val="0"/>
      <w:marRight w:val="0"/>
      <w:marTop w:val="0"/>
      <w:marBottom w:val="0"/>
      <w:divBdr>
        <w:top w:val="none" w:sz="0" w:space="0" w:color="auto"/>
        <w:left w:val="none" w:sz="0" w:space="0" w:color="auto"/>
        <w:bottom w:val="none" w:sz="0" w:space="0" w:color="auto"/>
        <w:right w:val="none" w:sz="0" w:space="0" w:color="auto"/>
      </w:divBdr>
    </w:div>
    <w:div w:id="359867090">
      <w:bodyDiv w:val="1"/>
      <w:marLeft w:val="0"/>
      <w:marRight w:val="0"/>
      <w:marTop w:val="0"/>
      <w:marBottom w:val="0"/>
      <w:divBdr>
        <w:top w:val="none" w:sz="0" w:space="0" w:color="auto"/>
        <w:left w:val="none" w:sz="0" w:space="0" w:color="auto"/>
        <w:bottom w:val="none" w:sz="0" w:space="0" w:color="auto"/>
        <w:right w:val="none" w:sz="0" w:space="0" w:color="auto"/>
      </w:divBdr>
    </w:div>
    <w:div w:id="360479898">
      <w:bodyDiv w:val="1"/>
      <w:marLeft w:val="0"/>
      <w:marRight w:val="0"/>
      <w:marTop w:val="0"/>
      <w:marBottom w:val="0"/>
      <w:divBdr>
        <w:top w:val="none" w:sz="0" w:space="0" w:color="auto"/>
        <w:left w:val="none" w:sz="0" w:space="0" w:color="auto"/>
        <w:bottom w:val="none" w:sz="0" w:space="0" w:color="auto"/>
        <w:right w:val="none" w:sz="0" w:space="0" w:color="auto"/>
      </w:divBdr>
    </w:div>
    <w:div w:id="361322844">
      <w:bodyDiv w:val="1"/>
      <w:marLeft w:val="0"/>
      <w:marRight w:val="0"/>
      <w:marTop w:val="0"/>
      <w:marBottom w:val="0"/>
      <w:divBdr>
        <w:top w:val="none" w:sz="0" w:space="0" w:color="auto"/>
        <w:left w:val="none" w:sz="0" w:space="0" w:color="auto"/>
        <w:bottom w:val="none" w:sz="0" w:space="0" w:color="auto"/>
        <w:right w:val="none" w:sz="0" w:space="0" w:color="auto"/>
      </w:divBdr>
    </w:div>
    <w:div w:id="364674768">
      <w:bodyDiv w:val="1"/>
      <w:marLeft w:val="0"/>
      <w:marRight w:val="0"/>
      <w:marTop w:val="0"/>
      <w:marBottom w:val="0"/>
      <w:divBdr>
        <w:top w:val="none" w:sz="0" w:space="0" w:color="auto"/>
        <w:left w:val="none" w:sz="0" w:space="0" w:color="auto"/>
        <w:bottom w:val="none" w:sz="0" w:space="0" w:color="auto"/>
        <w:right w:val="none" w:sz="0" w:space="0" w:color="auto"/>
      </w:divBdr>
    </w:div>
    <w:div w:id="364864225">
      <w:bodyDiv w:val="1"/>
      <w:marLeft w:val="0"/>
      <w:marRight w:val="0"/>
      <w:marTop w:val="0"/>
      <w:marBottom w:val="0"/>
      <w:divBdr>
        <w:top w:val="none" w:sz="0" w:space="0" w:color="auto"/>
        <w:left w:val="none" w:sz="0" w:space="0" w:color="auto"/>
        <w:bottom w:val="none" w:sz="0" w:space="0" w:color="auto"/>
        <w:right w:val="none" w:sz="0" w:space="0" w:color="auto"/>
      </w:divBdr>
    </w:div>
    <w:div w:id="365376035">
      <w:bodyDiv w:val="1"/>
      <w:marLeft w:val="0"/>
      <w:marRight w:val="0"/>
      <w:marTop w:val="0"/>
      <w:marBottom w:val="0"/>
      <w:divBdr>
        <w:top w:val="none" w:sz="0" w:space="0" w:color="auto"/>
        <w:left w:val="none" w:sz="0" w:space="0" w:color="auto"/>
        <w:bottom w:val="none" w:sz="0" w:space="0" w:color="auto"/>
        <w:right w:val="none" w:sz="0" w:space="0" w:color="auto"/>
      </w:divBdr>
    </w:div>
    <w:div w:id="365763060">
      <w:bodyDiv w:val="1"/>
      <w:marLeft w:val="0"/>
      <w:marRight w:val="0"/>
      <w:marTop w:val="0"/>
      <w:marBottom w:val="0"/>
      <w:divBdr>
        <w:top w:val="none" w:sz="0" w:space="0" w:color="auto"/>
        <w:left w:val="none" w:sz="0" w:space="0" w:color="auto"/>
        <w:bottom w:val="none" w:sz="0" w:space="0" w:color="auto"/>
        <w:right w:val="none" w:sz="0" w:space="0" w:color="auto"/>
      </w:divBdr>
    </w:div>
    <w:div w:id="367531975">
      <w:bodyDiv w:val="1"/>
      <w:marLeft w:val="0"/>
      <w:marRight w:val="0"/>
      <w:marTop w:val="0"/>
      <w:marBottom w:val="0"/>
      <w:divBdr>
        <w:top w:val="none" w:sz="0" w:space="0" w:color="auto"/>
        <w:left w:val="none" w:sz="0" w:space="0" w:color="auto"/>
        <w:bottom w:val="none" w:sz="0" w:space="0" w:color="auto"/>
        <w:right w:val="none" w:sz="0" w:space="0" w:color="auto"/>
      </w:divBdr>
    </w:div>
    <w:div w:id="368456370">
      <w:bodyDiv w:val="1"/>
      <w:marLeft w:val="0"/>
      <w:marRight w:val="0"/>
      <w:marTop w:val="0"/>
      <w:marBottom w:val="0"/>
      <w:divBdr>
        <w:top w:val="none" w:sz="0" w:space="0" w:color="auto"/>
        <w:left w:val="none" w:sz="0" w:space="0" w:color="auto"/>
        <w:bottom w:val="none" w:sz="0" w:space="0" w:color="auto"/>
        <w:right w:val="none" w:sz="0" w:space="0" w:color="auto"/>
      </w:divBdr>
    </w:div>
    <w:div w:id="369184658">
      <w:bodyDiv w:val="1"/>
      <w:marLeft w:val="0"/>
      <w:marRight w:val="0"/>
      <w:marTop w:val="0"/>
      <w:marBottom w:val="0"/>
      <w:divBdr>
        <w:top w:val="none" w:sz="0" w:space="0" w:color="auto"/>
        <w:left w:val="none" w:sz="0" w:space="0" w:color="auto"/>
        <w:bottom w:val="none" w:sz="0" w:space="0" w:color="auto"/>
        <w:right w:val="none" w:sz="0" w:space="0" w:color="auto"/>
      </w:divBdr>
    </w:div>
    <w:div w:id="369230935">
      <w:bodyDiv w:val="1"/>
      <w:marLeft w:val="0"/>
      <w:marRight w:val="0"/>
      <w:marTop w:val="0"/>
      <w:marBottom w:val="0"/>
      <w:divBdr>
        <w:top w:val="none" w:sz="0" w:space="0" w:color="auto"/>
        <w:left w:val="none" w:sz="0" w:space="0" w:color="auto"/>
        <w:bottom w:val="none" w:sz="0" w:space="0" w:color="auto"/>
        <w:right w:val="none" w:sz="0" w:space="0" w:color="auto"/>
      </w:divBdr>
    </w:div>
    <w:div w:id="370766185">
      <w:bodyDiv w:val="1"/>
      <w:marLeft w:val="0"/>
      <w:marRight w:val="0"/>
      <w:marTop w:val="0"/>
      <w:marBottom w:val="0"/>
      <w:divBdr>
        <w:top w:val="none" w:sz="0" w:space="0" w:color="auto"/>
        <w:left w:val="none" w:sz="0" w:space="0" w:color="auto"/>
        <w:bottom w:val="none" w:sz="0" w:space="0" w:color="auto"/>
        <w:right w:val="none" w:sz="0" w:space="0" w:color="auto"/>
      </w:divBdr>
    </w:div>
    <w:div w:id="371154757">
      <w:bodyDiv w:val="1"/>
      <w:marLeft w:val="0"/>
      <w:marRight w:val="0"/>
      <w:marTop w:val="0"/>
      <w:marBottom w:val="0"/>
      <w:divBdr>
        <w:top w:val="none" w:sz="0" w:space="0" w:color="auto"/>
        <w:left w:val="none" w:sz="0" w:space="0" w:color="auto"/>
        <w:bottom w:val="none" w:sz="0" w:space="0" w:color="auto"/>
        <w:right w:val="none" w:sz="0" w:space="0" w:color="auto"/>
      </w:divBdr>
    </w:div>
    <w:div w:id="371275773">
      <w:bodyDiv w:val="1"/>
      <w:marLeft w:val="0"/>
      <w:marRight w:val="0"/>
      <w:marTop w:val="0"/>
      <w:marBottom w:val="0"/>
      <w:divBdr>
        <w:top w:val="none" w:sz="0" w:space="0" w:color="auto"/>
        <w:left w:val="none" w:sz="0" w:space="0" w:color="auto"/>
        <w:bottom w:val="none" w:sz="0" w:space="0" w:color="auto"/>
        <w:right w:val="none" w:sz="0" w:space="0" w:color="auto"/>
      </w:divBdr>
    </w:div>
    <w:div w:id="376053997">
      <w:bodyDiv w:val="1"/>
      <w:marLeft w:val="0"/>
      <w:marRight w:val="0"/>
      <w:marTop w:val="0"/>
      <w:marBottom w:val="0"/>
      <w:divBdr>
        <w:top w:val="none" w:sz="0" w:space="0" w:color="auto"/>
        <w:left w:val="none" w:sz="0" w:space="0" w:color="auto"/>
        <w:bottom w:val="none" w:sz="0" w:space="0" w:color="auto"/>
        <w:right w:val="none" w:sz="0" w:space="0" w:color="auto"/>
      </w:divBdr>
    </w:div>
    <w:div w:id="376438943">
      <w:bodyDiv w:val="1"/>
      <w:marLeft w:val="0"/>
      <w:marRight w:val="0"/>
      <w:marTop w:val="0"/>
      <w:marBottom w:val="0"/>
      <w:divBdr>
        <w:top w:val="none" w:sz="0" w:space="0" w:color="auto"/>
        <w:left w:val="none" w:sz="0" w:space="0" w:color="auto"/>
        <w:bottom w:val="none" w:sz="0" w:space="0" w:color="auto"/>
        <w:right w:val="none" w:sz="0" w:space="0" w:color="auto"/>
      </w:divBdr>
    </w:div>
    <w:div w:id="376509420">
      <w:bodyDiv w:val="1"/>
      <w:marLeft w:val="0"/>
      <w:marRight w:val="0"/>
      <w:marTop w:val="0"/>
      <w:marBottom w:val="0"/>
      <w:divBdr>
        <w:top w:val="none" w:sz="0" w:space="0" w:color="auto"/>
        <w:left w:val="none" w:sz="0" w:space="0" w:color="auto"/>
        <w:bottom w:val="none" w:sz="0" w:space="0" w:color="auto"/>
        <w:right w:val="none" w:sz="0" w:space="0" w:color="auto"/>
      </w:divBdr>
    </w:div>
    <w:div w:id="378474541">
      <w:bodyDiv w:val="1"/>
      <w:marLeft w:val="0"/>
      <w:marRight w:val="0"/>
      <w:marTop w:val="0"/>
      <w:marBottom w:val="0"/>
      <w:divBdr>
        <w:top w:val="none" w:sz="0" w:space="0" w:color="auto"/>
        <w:left w:val="none" w:sz="0" w:space="0" w:color="auto"/>
        <w:bottom w:val="none" w:sz="0" w:space="0" w:color="auto"/>
        <w:right w:val="none" w:sz="0" w:space="0" w:color="auto"/>
      </w:divBdr>
    </w:div>
    <w:div w:id="378478652">
      <w:bodyDiv w:val="1"/>
      <w:marLeft w:val="0"/>
      <w:marRight w:val="0"/>
      <w:marTop w:val="0"/>
      <w:marBottom w:val="0"/>
      <w:divBdr>
        <w:top w:val="none" w:sz="0" w:space="0" w:color="auto"/>
        <w:left w:val="none" w:sz="0" w:space="0" w:color="auto"/>
        <w:bottom w:val="none" w:sz="0" w:space="0" w:color="auto"/>
        <w:right w:val="none" w:sz="0" w:space="0" w:color="auto"/>
      </w:divBdr>
    </w:div>
    <w:div w:id="379474187">
      <w:bodyDiv w:val="1"/>
      <w:marLeft w:val="0"/>
      <w:marRight w:val="0"/>
      <w:marTop w:val="0"/>
      <w:marBottom w:val="0"/>
      <w:divBdr>
        <w:top w:val="none" w:sz="0" w:space="0" w:color="auto"/>
        <w:left w:val="none" w:sz="0" w:space="0" w:color="auto"/>
        <w:bottom w:val="none" w:sz="0" w:space="0" w:color="auto"/>
        <w:right w:val="none" w:sz="0" w:space="0" w:color="auto"/>
      </w:divBdr>
    </w:div>
    <w:div w:id="379867632">
      <w:bodyDiv w:val="1"/>
      <w:marLeft w:val="0"/>
      <w:marRight w:val="0"/>
      <w:marTop w:val="0"/>
      <w:marBottom w:val="0"/>
      <w:divBdr>
        <w:top w:val="none" w:sz="0" w:space="0" w:color="auto"/>
        <w:left w:val="none" w:sz="0" w:space="0" w:color="auto"/>
        <w:bottom w:val="none" w:sz="0" w:space="0" w:color="auto"/>
        <w:right w:val="none" w:sz="0" w:space="0" w:color="auto"/>
      </w:divBdr>
    </w:div>
    <w:div w:id="381371410">
      <w:bodyDiv w:val="1"/>
      <w:marLeft w:val="0"/>
      <w:marRight w:val="0"/>
      <w:marTop w:val="0"/>
      <w:marBottom w:val="0"/>
      <w:divBdr>
        <w:top w:val="none" w:sz="0" w:space="0" w:color="auto"/>
        <w:left w:val="none" w:sz="0" w:space="0" w:color="auto"/>
        <w:bottom w:val="none" w:sz="0" w:space="0" w:color="auto"/>
        <w:right w:val="none" w:sz="0" w:space="0" w:color="auto"/>
      </w:divBdr>
    </w:div>
    <w:div w:id="381559482">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2561079">
      <w:bodyDiv w:val="1"/>
      <w:marLeft w:val="0"/>
      <w:marRight w:val="0"/>
      <w:marTop w:val="0"/>
      <w:marBottom w:val="0"/>
      <w:divBdr>
        <w:top w:val="none" w:sz="0" w:space="0" w:color="auto"/>
        <w:left w:val="none" w:sz="0" w:space="0" w:color="auto"/>
        <w:bottom w:val="none" w:sz="0" w:space="0" w:color="auto"/>
        <w:right w:val="none" w:sz="0" w:space="0" w:color="auto"/>
      </w:divBdr>
    </w:div>
    <w:div w:id="385958889">
      <w:bodyDiv w:val="1"/>
      <w:marLeft w:val="0"/>
      <w:marRight w:val="0"/>
      <w:marTop w:val="0"/>
      <w:marBottom w:val="0"/>
      <w:divBdr>
        <w:top w:val="none" w:sz="0" w:space="0" w:color="auto"/>
        <w:left w:val="none" w:sz="0" w:space="0" w:color="auto"/>
        <w:bottom w:val="none" w:sz="0" w:space="0" w:color="auto"/>
        <w:right w:val="none" w:sz="0" w:space="0" w:color="auto"/>
      </w:divBdr>
    </w:div>
    <w:div w:id="386030633">
      <w:bodyDiv w:val="1"/>
      <w:marLeft w:val="0"/>
      <w:marRight w:val="0"/>
      <w:marTop w:val="0"/>
      <w:marBottom w:val="0"/>
      <w:divBdr>
        <w:top w:val="none" w:sz="0" w:space="0" w:color="auto"/>
        <w:left w:val="none" w:sz="0" w:space="0" w:color="auto"/>
        <w:bottom w:val="none" w:sz="0" w:space="0" w:color="auto"/>
        <w:right w:val="none" w:sz="0" w:space="0" w:color="auto"/>
      </w:divBdr>
    </w:div>
    <w:div w:id="386492143">
      <w:bodyDiv w:val="1"/>
      <w:marLeft w:val="0"/>
      <w:marRight w:val="0"/>
      <w:marTop w:val="0"/>
      <w:marBottom w:val="0"/>
      <w:divBdr>
        <w:top w:val="none" w:sz="0" w:space="0" w:color="auto"/>
        <w:left w:val="none" w:sz="0" w:space="0" w:color="auto"/>
        <w:bottom w:val="none" w:sz="0" w:space="0" w:color="auto"/>
        <w:right w:val="none" w:sz="0" w:space="0" w:color="auto"/>
      </w:divBdr>
    </w:div>
    <w:div w:id="387073447">
      <w:bodyDiv w:val="1"/>
      <w:marLeft w:val="0"/>
      <w:marRight w:val="0"/>
      <w:marTop w:val="0"/>
      <w:marBottom w:val="0"/>
      <w:divBdr>
        <w:top w:val="none" w:sz="0" w:space="0" w:color="auto"/>
        <w:left w:val="none" w:sz="0" w:space="0" w:color="auto"/>
        <w:bottom w:val="none" w:sz="0" w:space="0" w:color="auto"/>
        <w:right w:val="none" w:sz="0" w:space="0" w:color="auto"/>
      </w:divBdr>
    </w:div>
    <w:div w:id="387262939">
      <w:bodyDiv w:val="1"/>
      <w:marLeft w:val="0"/>
      <w:marRight w:val="0"/>
      <w:marTop w:val="0"/>
      <w:marBottom w:val="0"/>
      <w:divBdr>
        <w:top w:val="none" w:sz="0" w:space="0" w:color="auto"/>
        <w:left w:val="none" w:sz="0" w:space="0" w:color="auto"/>
        <w:bottom w:val="none" w:sz="0" w:space="0" w:color="auto"/>
        <w:right w:val="none" w:sz="0" w:space="0" w:color="auto"/>
      </w:divBdr>
    </w:div>
    <w:div w:id="387263842">
      <w:bodyDiv w:val="1"/>
      <w:marLeft w:val="0"/>
      <w:marRight w:val="0"/>
      <w:marTop w:val="0"/>
      <w:marBottom w:val="0"/>
      <w:divBdr>
        <w:top w:val="none" w:sz="0" w:space="0" w:color="auto"/>
        <w:left w:val="none" w:sz="0" w:space="0" w:color="auto"/>
        <w:bottom w:val="none" w:sz="0" w:space="0" w:color="auto"/>
        <w:right w:val="none" w:sz="0" w:space="0" w:color="auto"/>
      </w:divBdr>
    </w:div>
    <w:div w:id="390271790">
      <w:bodyDiv w:val="1"/>
      <w:marLeft w:val="0"/>
      <w:marRight w:val="0"/>
      <w:marTop w:val="0"/>
      <w:marBottom w:val="0"/>
      <w:divBdr>
        <w:top w:val="none" w:sz="0" w:space="0" w:color="auto"/>
        <w:left w:val="none" w:sz="0" w:space="0" w:color="auto"/>
        <w:bottom w:val="none" w:sz="0" w:space="0" w:color="auto"/>
        <w:right w:val="none" w:sz="0" w:space="0" w:color="auto"/>
      </w:divBdr>
    </w:div>
    <w:div w:id="390812390">
      <w:bodyDiv w:val="1"/>
      <w:marLeft w:val="0"/>
      <w:marRight w:val="0"/>
      <w:marTop w:val="0"/>
      <w:marBottom w:val="0"/>
      <w:divBdr>
        <w:top w:val="none" w:sz="0" w:space="0" w:color="auto"/>
        <w:left w:val="none" w:sz="0" w:space="0" w:color="auto"/>
        <w:bottom w:val="none" w:sz="0" w:space="0" w:color="auto"/>
        <w:right w:val="none" w:sz="0" w:space="0" w:color="auto"/>
      </w:divBdr>
    </w:div>
    <w:div w:id="391774998">
      <w:bodyDiv w:val="1"/>
      <w:marLeft w:val="0"/>
      <w:marRight w:val="0"/>
      <w:marTop w:val="0"/>
      <w:marBottom w:val="0"/>
      <w:divBdr>
        <w:top w:val="none" w:sz="0" w:space="0" w:color="auto"/>
        <w:left w:val="none" w:sz="0" w:space="0" w:color="auto"/>
        <w:bottom w:val="none" w:sz="0" w:space="0" w:color="auto"/>
        <w:right w:val="none" w:sz="0" w:space="0" w:color="auto"/>
      </w:divBdr>
    </w:div>
    <w:div w:id="392626583">
      <w:bodyDiv w:val="1"/>
      <w:marLeft w:val="0"/>
      <w:marRight w:val="0"/>
      <w:marTop w:val="0"/>
      <w:marBottom w:val="0"/>
      <w:divBdr>
        <w:top w:val="none" w:sz="0" w:space="0" w:color="auto"/>
        <w:left w:val="none" w:sz="0" w:space="0" w:color="auto"/>
        <w:bottom w:val="none" w:sz="0" w:space="0" w:color="auto"/>
        <w:right w:val="none" w:sz="0" w:space="0" w:color="auto"/>
      </w:divBdr>
    </w:div>
    <w:div w:id="392777009">
      <w:bodyDiv w:val="1"/>
      <w:marLeft w:val="0"/>
      <w:marRight w:val="0"/>
      <w:marTop w:val="0"/>
      <w:marBottom w:val="0"/>
      <w:divBdr>
        <w:top w:val="none" w:sz="0" w:space="0" w:color="auto"/>
        <w:left w:val="none" w:sz="0" w:space="0" w:color="auto"/>
        <w:bottom w:val="none" w:sz="0" w:space="0" w:color="auto"/>
        <w:right w:val="none" w:sz="0" w:space="0" w:color="auto"/>
      </w:divBdr>
    </w:div>
    <w:div w:id="392969912">
      <w:bodyDiv w:val="1"/>
      <w:marLeft w:val="0"/>
      <w:marRight w:val="0"/>
      <w:marTop w:val="0"/>
      <w:marBottom w:val="0"/>
      <w:divBdr>
        <w:top w:val="none" w:sz="0" w:space="0" w:color="auto"/>
        <w:left w:val="none" w:sz="0" w:space="0" w:color="auto"/>
        <w:bottom w:val="none" w:sz="0" w:space="0" w:color="auto"/>
        <w:right w:val="none" w:sz="0" w:space="0" w:color="auto"/>
      </w:divBdr>
    </w:div>
    <w:div w:id="393432734">
      <w:bodyDiv w:val="1"/>
      <w:marLeft w:val="0"/>
      <w:marRight w:val="0"/>
      <w:marTop w:val="0"/>
      <w:marBottom w:val="0"/>
      <w:divBdr>
        <w:top w:val="none" w:sz="0" w:space="0" w:color="auto"/>
        <w:left w:val="none" w:sz="0" w:space="0" w:color="auto"/>
        <w:bottom w:val="none" w:sz="0" w:space="0" w:color="auto"/>
        <w:right w:val="none" w:sz="0" w:space="0" w:color="auto"/>
      </w:divBdr>
    </w:div>
    <w:div w:id="396367813">
      <w:bodyDiv w:val="1"/>
      <w:marLeft w:val="0"/>
      <w:marRight w:val="0"/>
      <w:marTop w:val="0"/>
      <w:marBottom w:val="0"/>
      <w:divBdr>
        <w:top w:val="none" w:sz="0" w:space="0" w:color="auto"/>
        <w:left w:val="none" w:sz="0" w:space="0" w:color="auto"/>
        <w:bottom w:val="none" w:sz="0" w:space="0" w:color="auto"/>
        <w:right w:val="none" w:sz="0" w:space="0" w:color="auto"/>
      </w:divBdr>
    </w:div>
    <w:div w:id="397172264">
      <w:bodyDiv w:val="1"/>
      <w:marLeft w:val="0"/>
      <w:marRight w:val="0"/>
      <w:marTop w:val="0"/>
      <w:marBottom w:val="0"/>
      <w:divBdr>
        <w:top w:val="none" w:sz="0" w:space="0" w:color="auto"/>
        <w:left w:val="none" w:sz="0" w:space="0" w:color="auto"/>
        <w:bottom w:val="none" w:sz="0" w:space="0" w:color="auto"/>
        <w:right w:val="none" w:sz="0" w:space="0" w:color="auto"/>
      </w:divBdr>
    </w:div>
    <w:div w:id="398016963">
      <w:bodyDiv w:val="1"/>
      <w:marLeft w:val="0"/>
      <w:marRight w:val="0"/>
      <w:marTop w:val="0"/>
      <w:marBottom w:val="0"/>
      <w:divBdr>
        <w:top w:val="none" w:sz="0" w:space="0" w:color="auto"/>
        <w:left w:val="none" w:sz="0" w:space="0" w:color="auto"/>
        <w:bottom w:val="none" w:sz="0" w:space="0" w:color="auto"/>
        <w:right w:val="none" w:sz="0" w:space="0" w:color="auto"/>
      </w:divBdr>
    </w:div>
    <w:div w:id="400492484">
      <w:bodyDiv w:val="1"/>
      <w:marLeft w:val="0"/>
      <w:marRight w:val="0"/>
      <w:marTop w:val="0"/>
      <w:marBottom w:val="0"/>
      <w:divBdr>
        <w:top w:val="none" w:sz="0" w:space="0" w:color="auto"/>
        <w:left w:val="none" w:sz="0" w:space="0" w:color="auto"/>
        <w:bottom w:val="none" w:sz="0" w:space="0" w:color="auto"/>
        <w:right w:val="none" w:sz="0" w:space="0" w:color="auto"/>
      </w:divBdr>
    </w:div>
    <w:div w:id="401027623">
      <w:bodyDiv w:val="1"/>
      <w:marLeft w:val="0"/>
      <w:marRight w:val="0"/>
      <w:marTop w:val="0"/>
      <w:marBottom w:val="0"/>
      <w:divBdr>
        <w:top w:val="none" w:sz="0" w:space="0" w:color="auto"/>
        <w:left w:val="none" w:sz="0" w:space="0" w:color="auto"/>
        <w:bottom w:val="none" w:sz="0" w:space="0" w:color="auto"/>
        <w:right w:val="none" w:sz="0" w:space="0" w:color="auto"/>
      </w:divBdr>
    </w:div>
    <w:div w:id="401953232">
      <w:bodyDiv w:val="1"/>
      <w:marLeft w:val="0"/>
      <w:marRight w:val="0"/>
      <w:marTop w:val="0"/>
      <w:marBottom w:val="0"/>
      <w:divBdr>
        <w:top w:val="none" w:sz="0" w:space="0" w:color="auto"/>
        <w:left w:val="none" w:sz="0" w:space="0" w:color="auto"/>
        <w:bottom w:val="none" w:sz="0" w:space="0" w:color="auto"/>
        <w:right w:val="none" w:sz="0" w:space="0" w:color="auto"/>
      </w:divBdr>
    </w:div>
    <w:div w:id="402215822">
      <w:bodyDiv w:val="1"/>
      <w:marLeft w:val="0"/>
      <w:marRight w:val="0"/>
      <w:marTop w:val="0"/>
      <w:marBottom w:val="0"/>
      <w:divBdr>
        <w:top w:val="none" w:sz="0" w:space="0" w:color="auto"/>
        <w:left w:val="none" w:sz="0" w:space="0" w:color="auto"/>
        <w:bottom w:val="none" w:sz="0" w:space="0" w:color="auto"/>
        <w:right w:val="none" w:sz="0" w:space="0" w:color="auto"/>
      </w:divBdr>
    </w:div>
    <w:div w:id="402608685">
      <w:bodyDiv w:val="1"/>
      <w:marLeft w:val="0"/>
      <w:marRight w:val="0"/>
      <w:marTop w:val="0"/>
      <w:marBottom w:val="0"/>
      <w:divBdr>
        <w:top w:val="none" w:sz="0" w:space="0" w:color="auto"/>
        <w:left w:val="none" w:sz="0" w:space="0" w:color="auto"/>
        <w:bottom w:val="none" w:sz="0" w:space="0" w:color="auto"/>
        <w:right w:val="none" w:sz="0" w:space="0" w:color="auto"/>
      </w:divBdr>
    </w:div>
    <w:div w:id="403525897">
      <w:bodyDiv w:val="1"/>
      <w:marLeft w:val="0"/>
      <w:marRight w:val="0"/>
      <w:marTop w:val="0"/>
      <w:marBottom w:val="0"/>
      <w:divBdr>
        <w:top w:val="none" w:sz="0" w:space="0" w:color="auto"/>
        <w:left w:val="none" w:sz="0" w:space="0" w:color="auto"/>
        <w:bottom w:val="none" w:sz="0" w:space="0" w:color="auto"/>
        <w:right w:val="none" w:sz="0" w:space="0" w:color="auto"/>
      </w:divBdr>
    </w:div>
    <w:div w:id="404036342">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8314163">
      <w:bodyDiv w:val="1"/>
      <w:marLeft w:val="0"/>
      <w:marRight w:val="0"/>
      <w:marTop w:val="0"/>
      <w:marBottom w:val="0"/>
      <w:divBdr>
        <w:top w:val="none" w:sz="0" w:space="0" w:color="auto"/>
        <w:left w:val="none" w:sz="0" w:space="0" w:color="auto"/>
        <w:bottom w:val="none" w:sz="0" w:space="0" w:color="auto"/>
        <w:right w:val="none" w:sz="0" w:space="0" w:color="auto"/>
      </w:divBdr>
    </w:div>
    <w:div w:id="408617830">
      <w:bodyDiv w:val="1"/>
      <w:marLeft w:val="0"/>
      <w:marRight w:val="0"/>
      <w:marTop w:val="0"/>
      <w:marBottom w:val="0"/>
      <w:divBdr>
        <w:top w:val="none" w:sz="0" w:space="0" w:color="auto"/>
        <w:left w:val="none" w:sz="0" w:space="0" w:color="auto"/>
        <w:bottom w:val="none" w:sz="0" w:space="0" w:color="auto"/>
        <w:right w:val="none" w:sz="0" w:space="0" w:color="auto"/>
      </w:divBdr>
    </w:div>
    <w:div w:id="409278910">
      <w:bodyDiv w:val="1"/>
      <w:marLeft w:val="0"/>
      <w:marRight w:val="0"/>
      <w:marTop w:val="0"/>
      <w:marBottom w:val="0"/>
      <w:divBdr>
        <w:top w:val="none" w:sz="0" w:space="0" w:color="auto"/>
        <w:left w:val="none" w:sz="0" w:space="0" w:color="auto"/>
        <w:bottom w:val="none" w:sz="0" w:space="0" w:color="auto"/>
        <w:right w:val="none" w:sz="0" w:space="0" w:color="auto"/>
      </w:divBdr>
    </w:div>
    <w:div w:id="410734489">
      <w:bodyDiv w:val="1"/>
      <w:marLeft w:val="0"/>
      <w:marRight w:val="0"/>
      <w:marTop w:val="0"/>
      <w:marBottom w:val="0"/>
      <w:divBdr>
        <w:top w:val="none" w:sz="0" w:space="0" w:color="auto"/>
        <w:left w:val="none" w:sz="0" w:space="0" w:color="auto"/>
        <w:bottom w:val="none" w:sz="0" w:space="0" w:color="auto"/>
        <w:right w:val="none" w:sz="0" w:space="0" w:color="auto"/>
      </w:divBdr>
    </w:div>
    <w:div w:id="411437737">
      <w:bodyDiv w:val="1"/>
      <w:marLeft w:val="0"/>
      <w:marRight w:val="0"/>
      <w:marTop w:val="0"/>
      <w:marBottom w:val="0"/>
      <w:divBdr>
        <w:top w:val="none" w:sz="0" w:space="0" w:color="auto"/>
        <w:left w:val="none" w:sz="0" w:space="0" w:color="auto"/>
        <w:bottom w:val="none" w:sz="0" w:space="0" w:color="auto"/>
        <w:right w:val="none" w:sz="0" w:space="0" w:color="auto"/>
      </w:divBdr>
    </w:div>
    <w:div w:id="411976189">
      <w:bodyDiv w:val="1"/>
      <w:marLeft w:val="0"/>
      <w:marRight w:val="0"/>
      <w:marTop w:val="0"/>
      <w:marBottom w:val="0"/>
      <w:divBdr>
        <w:top w:val="none" w:sz="0" w:space="0" w:color="auto"/>
        <w:left w:val="none" w:sz="0" w:space="0" w:color="auto"/>
        <w:bottom w:val="none" w:sz="0" w:space="0" w:color="auto"/>
        <w:right w:val="none" w:sz="0" w:space="0" w:color="auto"/>
      </w:divBdr>
    </w:div>
    <w:div w:id="412242195">
      <w:bodyDiv w:val="1"/>
      <w:marLeft w:val="0"/>
      <w:marRight w:val="0"/>
      <w:marTop w:val="0"/>
      <w:marBottom w:val="0"/>
      <w:divBdr>
        <w:top w:val="none" w:sz="0" w:space="0" w:color="auto"/>
        <w:left w:val="none" w:sz="0" w:space="0" w:color="auto"/>
        <w:bottom w:val="none" w:sz="0" w:space="0" w:color="auto"/>
        <w:right w:val="none" w:sz="0" w:space="0" w:color="auto"/>
      </w:divBdr>
    </w:div>
    <w:div w:id="412823240">
      <w:bodyDiv w:val="1"/>
      <w:marLeft w:val="0"/>
      <w:marRight w:val="0"/>
      <w:marTop w:val="0"/>
      <w:marBottom w:val="0"/>
      <w:divBdr>
        <w:top w:val="none" w:sz="0" w:space="0" w:color="auto"/>
        <w:left w:val="none" w:sz="0" w:space="0" w:color="auto"/>
        <w:bottom w:val="none" w:sz="0" w:space="0" w:color="auto"/>
        <w:right w:val="none" w:sz="0" w:space="0" w:color="auto"/>
      </w:divBdr>
    </w:div>
    <w:div w:id="413360498">
      <w:bodyDiv w:val="1"/>
      <w:marLeft w:val="0"/>
      <w:marRight w:val="0"/>
      <w:marTop w:val="0"/>
      <w:marBottom w:val="0"/>
      <w:divBdr>
        <w:top w:val="none" w:sz="0" w:space="0" w:color="auto"/>
        <w:left w:val="none" w:sz="0" w:space="0" w:color="auto"/>
        <w:bottom w:val="none" w:sz="0" w:space="0" w:color="auto"/>
        <w:right w:val="none" w:sz="0" w:space="0" w:color="auto"/>
      </w:divBdr>
    </w:div>
    <w:div w:id="413554499">
      <w:bodyDiv w:val="1"/>
      <w:marLeft w:val="0"/>
      <w:marRight w:val="0"/>
      <w:marTop w:val="0"/>
      <w:marBottom w:val="0"/>
      <w:divBdr>
        <w:top w:val="none" w:sz="0" w:space="0" w:color="auto"/>
        <w:left w:val="none" w:sz="0" w:space="0" w:color="auto"/>
        <w:bottom w:val="none" w:sz="0" w:space="0" w:color="auto"/>
        <w:right w:val="none" w:sz="0" w:space="0" w:color="auto"/>
      </w:divBdr>
    </w:div>
    <w:div w:id="416366329">
      <w:bodyDiv w:val="1"/>
      <w:marLeft w:val="0"/>
      <w:marRight w:val="0"/>
      <w:marTop w:val="0"/>
      <w:marBottom w:val="0"/>
      <w:divBdr>
        <w:top w:val="none" w:sz="0" w:space="0" w:color="auto"/>
        <w:left w:val="none" w:sz="0" w:space="0" w:color="auto"/>
        <w:bottom w:val="none" w:sz="0" w:space="0" w:color="auto"/>
        <w:right w:val="none" w:sz="0" w:space="0" w:color="auto"/>
      </w:divBdr>
    </w:div>
    <w:div w:id="419104016">
      <w:bodyDiv w:val="1"/>
      <w:marLeft w:val="0"/>
      <w:marRight w:val="0"/>
      <w:marTop w:val="0"/>
      <w:marBottom w:val="0"/>
      <w:divBdr>
        <w:top w:val="none" w:sz="0" w:space="0" w:color="auto"/>
        <w:left w:val="none" w:sz="0" w:space="0" w:color="auto"/>
        <w:bottom w:val="none" w:sz="0" w:space="0" w:color="auto"/>
        <w:right w:val="none" w:sz="0" w:space="0" w:color="auto"/>
      </w:divBdr>
    </w:div>
    <w:div w:id="421728871">
      <w:bodyDiv w:val="1"/>
      <w:marLeft w:val="0"/>
      <w:marRight w:val="0"/>
      <w:marTop w:val="0"/>
      <w:marBottom w:val="0"/>
      <w:divBdr>
        <w:top w:val="none" w:sz="0" w:space="0" w:color="auto"/>
        <w:left w:val="none" w:sz="0" w:space="0" w:color="auto"/>
        <w:bottom w:val="none" w:sz="0" w:space="0" w:color="auto"/>
        <w:right w:val="none" w:sz="0" w:space="0" w:color="auto"/>
      </w:divBdr>
    </w:div>
    <w:div w:id="423187749">
      <w:bodyDiv w:val="1"/>
      <w:marLeft w:val="0"/>
      <w:marRight w:val="0"/>
      <w:marTop w:val="0"/>
      <w:marBottom w:val="0"/>
      <w:divBdr>
        <w:top w:val="none" w:sz="0" w:space="0" w:color="auto"/>
        <w:left w:val="none" w:sz="0" w:space="0" w:color="auto"/>
        <w:bottom w:val="none" w:sz="0" w:space="0" w:color="auto"/>
        <w:right w:val="none" w:sz="0" w:space="0" w:color="auto"/>
      </w:divBdr>
    </w:div>
    <w:div w:id="424037189">
      <w:bodyDiv w:val="1"/>
      <w:marLeft w:val="0"/>
      <w:marRight w:val="0"/>
      <w:marTop w:val="0"/>
      <w:marBottom w:val="0"/>
      <w:divBdr>
        <w:top w:val="none" w:sz="0" w:space="0" w:color="auto"/>
        <w:left w:val="none" w:sz="0" w:space="0" w:color="auto"/>
        <w:bottom w:val="none" w:sz="0" w:space="0" w:color="auto"/>
        <w:right w:val="none" w:sz="0" w:space="0" w:color="auto"/>
      </w:divBdr>
    </w:div>
    <w:div w:id="424888864">
      <w:bodyDiv w:val="1"/>
      <w:marLeft w:val="0"/>
      <w:marRight w:val="0"/>
      <w:marTop w:val="0"/>
      <w:marBottom w:val="0"/>
      <w:divBdr>
        <w:top w:val="none" w:sz="0" w:space="0" w:color="auto"/>
        <w:left w:val="none" w:sz="0" w:space="0" w:color="auto"/>
        <w:bottom w:val="none" w:sz="0" w:space="0" w:color="auto"/>
        <w:right w:val="none" w:sz="0" w:space="0" w:color="auto"/>
      </w:divBdr>
    </w:div>
    <w:div w:id="425154760">
      <w:bodyDiv w:val="1"/>
      <w:marLeft w:val="0"/>
      <w:marRight w:val="0"/>
      <w:marTop w:val="0"/>
      <w:marBottom w:val="0"/>
      <w:divBdr>
        <w:top w:val="none" w:sz="0" w:space="0" w:color="auto"/>
        <w:left w:val="none" w:sz="0" w:space="0" w:color="auto"/>
        <w:bottom w:val="none" w:sz="0" w:space="0" w:color="auto"/>
        <w:right w:val="none" w:sz="0" w:space="0" w:color="auto"/>
      </w:divBdr>
    </w:div>
    <w:div w:id="425158387">
      <w:bodyDiv w:val="1"/>
      <w:marLeft w:val="0"/>
      <w:marRight w:val="0"/>
      <w:marTop w:val="0"/>
      <w:marBottom w:val="0"/>
      <w:divBdr>
        <w:top w:val="none" w:sz="0" w:space="0" w:color="auto"/>
        <w:left w:val="none" w:sz="0" w:space="0" w:color="auto"/>
        <w:bottom w:val="none" w:sz="0" w:space="0" w:color="auto"/>
        <w:right w:val="none" w:sz="0" w:space="0" w:color="auto"/>
      </w:divBdr>
    </w:div>
    <w:div w:id="425658131">
      <w:bodyDiv w:val="1"/>
      <w:marLeft w:val="0"/>
      <w:marRight w:val="0"/>
      <w:marTop w:val="0"/>
      <w:marBottom w:val="0"/>
      <w:divBdr>
        <w:top w:val="none" w:sz="0" w:space="0" w:color="auto"/>
        <w:left w:val="none" w:sz="0" w:space="0" w:color="auto"/>
        <w:bottom w:val="none" w:sz="0" w:space="0" w:color="auto"/>
        <w:right w:val="none" w:sz="0" w:space="0" w:color="auto"/>
      </w:divBdr>
    </w:div>
    <w:div w:id="425804664">
      <w:bodyDiv w:val="1"/>
      <w:marLeft w:val="0"/>
      <w:marRight w:val="0"/>
      <w:marTop w:val="0"/>
      <w:marBottom w:val="0"/>
      <w:divBdr>
        <w:top w:val="none" w:sz="0" w:space="0" w:color="auto"/>
        <w:left w:val="none" w:sz="0" w:space="0" w:color="auto"/>
        <w:bottom w:val="none" w:sz="0" w:space="0" w:color="auto"/>
        <w:right w:val="none" w:sz="0" w:space="0" w:color="auto"/>
      </w:divBdr>
    </w:div>
    <w:div w:id="426267592">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8696816">
      <w:bodyDiv w:val="1"/>
      <w:marLeft w:val="0"/>
      <w:marRight w:val="0"/>
      <w:marTop w:val="0"/>
      <w:marBottom w:val="0"/>
      <w:divBdr>
        <w:top w:val="none" w:sz="0" w:space="0" w:color="auto"/>
        <w:left w:val="none" w:sz="0" w:space="0" w:color="auto"/>
        <w:bottom w:val="none" w:sz="0" w:space="0" w:color="auto"/>
        <w:right w:val="none" w:sz="0" w:space="0" w:color="auto"/>
      </w:divBdr>
    </w:div>
    <w:div w:id="429201774">
      <w:bodyDiv w:val="1"/>
      <w:marLeft w:val="0"/>
      <w:marRight w:val="0"/>
      <w:marTop w:val="0"/>
      <w:marBottom w:val="0"/>
      <w:divBdr>
        <w:top w:val="none" w:sz="0" w:space="0" w:color="auto"/>
        <w:left w:val="none" w:sz="0" w:space="0" w:color="auto"/>
        <w:bottom w:val="none" w:sz="0" w:space="0" w:color="auto"/>
        <w:right w:val="none" w:sz="0" w:space="0" w:color="auto"/>
      </w:divBdr>
    </w:div>
    <w:div w:id="429929890">
      <w:bodyDiv w:val="1"/>
      <w:marLeft w:val="0"/>
      <w:marRight w:val="0"/>
      <w:marTop w:val="0"/>
      <w:marBottom w:val="0"/>
      <w:divBdr>
        <w:top w:val="none" w:sz="0" w:space="0" w:color="auto"/>
        <w:left w:val="none" w:sz="0" w:space="0" w:color="auto"/>
        <w:bottom w:val="none" w:sz="0" w:space="0" w:color="auto"/>
        <w:right w:val="none" w:sz="0" w:space="0" w:color="auto"/>
      </w:divBdr>
    </w:div>
    <w:div w:id="434596487">
      <w:bodyDiv w:val="1"/>
      <w:marLeft w:val="0"/>
      <w:marRight w:val="0"/>
      <w:marTop w:val="0"/>
      <w:marBottom w:val="0"/>
      <w:divBdr>
        <w:top w:val="none" w:sz="0" w:space="0" w:color="auto"/>
        <w:left w:val="none" w:sz="0" w:space="0" w:color="auto"/>
        <w:bottom w:val="none" w:sz="0" w:space="0" w:color="auto"/>
        <w:right w:val="none" w:sz="0" w:space="0" w:color="auto"/>
      </w:divBdr>
    </w:div>
    <w:div w:id="434640978">
      <w:bodyDiv w:val="1"/>
      <w:marLeft w:val="0"/>
      <w:marRight w:val="0"/>
      <w:marTop w:val="0"/>
      <w:marBottom w:val="0"/>
      <w:divBdr>
        <w:top w:val="none" w:sz="0" w:space="0" w:color="auto"/>
        <w:left w:val="none" w:sz="0" w:space="0" w:color="auto"/>
        <w:bottom w:val="none" w:sz="0" w:space="0" w:color="auto"/>
        <w:right w:val="none" w:sz="0" w:space="0" w:color="auto"/>
      </w:divBdr>
    </w:div>
    <w:div w:id="435633718">
      <w:bodyDiv w:val="1"/>
      <w:marLeft w:val="0"/>
      <w:marRight w:val="0"/>
      <w:marTop w:val="0"/>
      <w:marBottom w:val="0"/>
      <w:divBdr>
        <w:top w:val="none" w:sz="0" w:space="0" w:color="auto"/>
        <w:left w:val="none" w:sz="0" w:space="0" w:color="auto"/>
        <w:bottom w:val="none" w:sz="0" w:space="0" w:color="auto"/>
        <w:right w:val="none" w:sz="0" w:space="0" w:color="auto"/>
      </w:divBdr>
    </w:div>
    <w:div w:id="436413968">
      <w:bodyDiv w:val="1"/>
      <w:marLeft w:val="0"/>
      <w:marRight w:val="0"/>
      <w:marTop w:val="0"/>
      <w:marBottom w:val="0"/>
      <w:divBdr>
        <w:top w:val="none" w:sz="0" w:space="0" w:color="auto"/>
        <w:left w:val="none" w:sz="0" w:space="0" w:color="auto"/>
        <w:bottom w:val="none" w:sz="0" w:space="0" w:color="auto"/>
        <w:right w:val="none" w:sz="0" w:space="0" w:color="auto"/>
      </w:divBdr>
    </w:div>
    <w:div w:id="436758258">
      <w:bodyDiv w:val="1"/>
      <w:marLeft w:val="0"/>
      <w:marRight w:val="0"/>
      <w:marTop w:val="0"/>
      <w:marBottom w:val="0"/>
      <w:divBdr>
        <w:top w:val="none" w:sz="0" w:space="0" w:color="auto"/>
        <w:left w:val="none" w:sz="0" w:space="0" w:color="auto"/>
        <w:bottom w:val="none" w:sz="0" w:space="0" w:color="auto"/>
        <w:right w:val="none" w:sz="0" w:space="0" w:color="auto"/>
      </w:divBdr>
    </w:div>
    <w:div w:id="442072434">
      <w:bodyDiv w:val="1"/>
      <w:marLeft w:val="0"/>
      <w:marRight w:val="0"/>
      <w:marTop w:val="0"/>
      <w:marBottom w:val="0"/>
      <w:divBdr>
        <w:top w:val="none" w:sz="0" w:space="0" w:color="auto"/>
        <w:left w:val="none" w:sz="0" w:space="0" w:color="auto"/>
        <w:bottom w:val="none" w:sz="0" w:space="0" w:color="auto"/>
        <w:right w:val="none" w:sz="0" w:space="0" w:color="auto"/>
      </w:divBdr>
    </w:div>
    <w:div w:id="444694492">
      <w:bodyDiv w:val="1"/>
      <w:marLeft w:val="0"/>
      <w:marRight w:val="0"/>
      <w:marTop w:val="0"/>
      <w:marBottom w:val="0"/>
      <w:divBdr>
        <w:top w:val="none" w:sz="0" w:space="0" w:color="auto"/>
        <w:left w:val="none" w:sz="0" w:space="0" w:color="auto"/>
        <w:bottom w:val="none" w:sz="0" w:space="0" w:color="auto"/>
        <w:right w:val="none" w:sz="0" w:space="0" w:color="auto"/>
      </w:divBdr>
    </w:div>
    <w:div w:id="44677451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9057749">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244975">
      <w:bodyDiv w:val="1"/>
      <w:marLeft w:val="0"/>
      <w:marRight w:val="0"/>
      <w:marTop w:val="0"/>
      <w:marBottom w:val="0"/>
      <w:divBdr>
        <w:top w:val="none" w:sz="0" w:space="0" w:color="auto"/>
        <w:left w:val="none" w:sz="0" w:space="0" w:color="auto"/>
        <w:bottom w:val="none" w:sz="0" w:space="0" w:color="auto"/>
        <w:right w:val="none" w:sz="0" w:space="0" w:color="auto"/>
      </w:divBdr>
    </w:div>
    <w:div w:id="451555163">
      <w:bodyDiv w:val="1"/>
      <w:marLeft w:val="0"/>
      <w:marRight w:val="0"/>
      <w:marTop w:val="0"/>
      <w:marBottom w:val="0"/>
      <w:divBdr>
        <w:top w:val="none" w:sz="0" w:space="0" w:color="auto"/>
        <w:left w:val="none" w:sz="0" w:space="0" w:color="auto"/>
        <w:bottom w:val="none" w:sz="0" w:space="0" w:color="auto"/>
        <w:right w:val="none" w:sz="0" w:space="0" w:color="auto"/>
      </w:divBdr>
    </w:div>
    <w:div w:id="454758993">
      <w:bodyDiv w:val="1"/>
      <w:marLeft w:val="0"/>
      <w:marRight w:val="0"/>
      <w:marTop w:val="0"/>
      <w:marBottom w:val="0"/>
      <w:divBdr>
        <w:top w:val="none" w:sz="0" w:space="0" w:color="auto"/>
        <w:left w:val="none" w:sz="0" w:space="0" w:color="auto"/>
        <w:bottom w:val="none" w:sz="0" w:space="0" w:color="auto"/>
        <w:right w:val="none" w:sz="0" w:space="0" w:color="auto"/>
      </w:divBdr>
    </w:div>
    <w:div w:id="455147659">
      <w:bodyDiv w:val="1"/>
      <w:marLeft w:val="0"/>
      <w:marRight w:val="0"/>
      <w:marTop w:val="0"/>
      <w:marBottom w:val="0"/>
      <w:divBdr>
        <w:top w:val="none" w:sz="0" w:space="0" w:color="auto"/>
        <w:left w:val="none" w:sz="0" w:space="0" w:color="auto"/>
        <w:bottom w:val="none" w:sz="0" w:space="0" w:color="auto"/>
        <w:right w:val="none" w:sz="0" w:space="0" w:color="auto"/>
      </w:divBdr>
    </w:div>
    <w:div w:id="455804303">
      <w:bodyDiv w:val="1"/>
      <w:marLeft w:val="0"/>
      <w:marRight w:val="0"/>
      <w:marTop w:val="0"/>
      <w:marBottom w:val="0"/>
      <w:divBdr>
        <w:top w:val="none" w:sz="0" w:space="0" w:color="auto"/>
        <w:left w:val="none" w:sz="0" w:space="0" w:color="auto"/>
        <w:bottom w:val="none" w:sz="0" w:space="0" w:color="auto"/>
        <w:right w:val="none" w:sz="0" w:space="0" w:color="auto"/>
      </w:divBdr>
    </w:div>
    <w:div w:id="456878788">
      <w:bodyDiv w:val="1"/>
      <w:marLeft w:val="0"/>
      <w:marRight w:val="0"/>
      <w:marTop w:val="0"/>
      <w:marBottom w:val="0"/>
      <w:divBdr>
        <w:top w:val="none" w:sz="0" w:space="0" w:color="auto"/>
        <w:left w:val="none" w:sz="0" w:space="0" w:color="auto"/>
        <w:bottom w:val="none" w:sz="0" w:space="0" w:color="auto"/>
        <w:right w:val="none" w:sz="0" w:space="0" w:color="auto"/>
      </w:divBdr>
    </w:div>
    <w:div w:id="457258174">
      <w:bodyDiv w:val="1"/>
      <w:marLeft w:val="0"/>
      <w:marRight w:val="0"/>
      <w:marTop w:val="0"/>
      <w:marBottom w:val="0"/>
      <w:divBdr>
        <w:top w:val="none" w:sz="0" w:space="0" w:color="auto"/>
        <w:left w:val="none" w:sz="0" w:space="0" w:color="auto"/>
        <w:bottom w:val="none" w:sz="0" w:space="0" w:color="auto"/>
        <w:right w:val="none" w:sz="0" w:space="0" w:color="auto"/>
      </w:divBdr>
    </w:div>
    <w:div w:id="457525843">
      <w:bodyDiv w:val="1"/>
      <w:marLeft w:val="0"/>
      <w:marRight w:val="0"/>
      <w:marTop w:val="0"/>
      <w:marBottom w:val="0"/>
      <w:divBdr>
        <w:top w:val="none" w:sz="0" w:space="0" w:color="auto"/>
        <w:left w:val="none" w:sz="0" w:space="0" w:color="auto"/>
        <w:bottom w:val="none" w:sz="0" w:space="0" w:color="auto"/>
        <w:right w:val="none" w:sz="0" w:space="0" w:color="auto"/>
      </w:divBdr>
    </w:div>
    <w:div w:id="457916381">
      <w:bodyDiv w:val="1"/>
      <w:marLeft w:val="0"/>
      <w:marRight w:val="0"/>
      <w:marTop w:val="0"/>
      <w:marBottom w:val="0"/>
      <w:divBdr>
        <w:top w:val="none" w:sz="0" w:space="0" w:color="auto"/>
        <w:left w:val="none" w:sz="0" w:space="0" w:color="auto"/>
        <w:bottom w:val="none" w:sz="0" w:space="0" w:color="auto"/>
        <w:right w:val="none" w:sz="0" w:space="0" w:color="auto"/>
      </w:divBdr>
    </w:div>
    <w:div w:id="459342760">
      <w:bodyDiv w:val="1"/>
      <w:marLeft w:val="0"/>
      <w:marRight w:val="0"/>
      <w:marTop w:val="0"/>
      <w:marBottom w:val="0"/>
      <w:divBdr>
        <w:top w:val="none" w:sz="0" w:space="0" w:color="auto"/>
        <w:left w:val="none" w:sz="0" w:space="0" w:color="auto"/>
        <w:bottom w:val="none" w:sz="0" w:space="0" w:color="auto"/>
        <w:right w:val="none" w:sz="0" w:space="0" w:color="auto"/>
      </w:divBdr>
    </w:div>
    <w:div w:id="461197172">
      <w:bodyDiv w:val="1"/>
      <w:marLeft w:val="0"/>
      <w:marRight w:val="0"/>
      <w:marTop w:val="0"/>
      <w:marBottom w:val="0"/>
      <w:divBdr>
        <w:top w:val="none" w:sz="0" w:space="0" w:color="auto"/>
        <w:left w:val="none" w:sz="0" w:space="0" w:color="auto"/>
        <w:bottom w:val="none" w:sz="0" w:space="0" w:color="auto"/>
        <w:right w:val="none" w:sz="0" w:space="0" w:color="auto"/>
      </w:divBdr>
    </w:div>
    <w:div w:id="462578176">
      <w:bodyDiv w:val="1"/>
      <w:marLeft w:val="0"/>
      <w:marRight w:val="0"/>
      <w:marTop w:val="0"/>
      <w:marBottom w:val="0"/>
      <w:divBdr>
        <w:top w:val="none" w:sz="0" w:space="0" w:color="auto"/>
        <w:left w:val="none" w:sz="0" w:space="0" w:color="auto"/>
        <w:bottom w:val="none" w:sz="0" w:space="0" w:color="auto"/>
        <w:right w:val="none" w:sz="0" w:space="0" w:color="auto"/>
      </w:divBdr>
    </w:div>
    <w:div w:id="46342427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8015197">
      <w:bodyDiv w:val="1"/>
      <w:marLeft w:val="0"/>
      <w:marRight w:val="0"/>
      <w:marTop w:val="0"/>
      <w:marBottom w:val="0"/>
      <w:divBdr>
        <w:top w:val="none" w:sz="0" w:space="0" w:color="auto"/>
        <w:left w:val="none" w:sz="0" w:space="0" w:color="auto"/>
        <w:bottom w:val="none" w:sz="0" w:space="0" w:color="auto"/>
        <w:right w:val="none" w:sz="0" w:space="0" w:color="auto"/>
      </w:divBdr>
    </w:div>
    <w:div w:id="468673939">
      <w:bodyDiv w:val="1"/>
      <w:marLeft w:val="0"/>
      <w:marRight w:val="0"/>
      <w:marTop w:val="0"/>
      <w:marBottom w:val="0"/>
      <w:divBdr>
        <w:top w:val="none" w:sz="0" w:space="0" w:color="auto"/>
        <w:left w:val="none" w:sz="0" w:space="0" w:color="auto"/>
        <w:bottom w:val="none" w:sz="0" w:space="0" w:color="auto"/>
        <w:right w:val="none" w:sz="0" w:space="0" w:color="auto"/>
      </w:divBdr>
    </w:div>
    <w:div w:id="469784342">
      <w:bodyDiv w:val="1"/>
      <w:marLeft w:val="0"/>
      <w:marRight w:val="0"/>
      <w:marTop w:val="0"/>
      <w:marBottom w:val="0"/>
      <w:divBdr>
        <w:top w:val="none" w:sz="0" w:space="0" w:color="auto"/>
        <w:left w:val="none" w:sz="0" w:space="0" w:color="auto"/>
        <w:bottom w:val="none" w:sz="0" w:space="0" w:color="auto"/>
        <w:right w:val="none" w:sz="0" w:space="0" w:color="auto"/>
      </w:divBdr>
    </w:div>
    <w:div w:id="469980160">
      <w:bodyDiv w:val="1"/>
      <w:marLeft w:val="0"/>
      <w:marRight w:val="0"/>
      <w:marTop w:val="0"/>
      <w:marBottom w:val="0"/>
      <w:divBdr>
        <w:top w:val="none" w:sz="0" w:space="0" w:color="auto"/>
        <w:left w:val="none" w:sz="0" w:space="0" w:color="auto"/>
        <w:bottom w:val="none" w:sz="0" w:space="0" w:color="auto"/>
        <w:right w:val="none" w:sz="0" w:space="0" w:color="auto"/>
      </w:divBdr>
    </w:div>
    <w:div w:id="470178114">
      <w:bodyDiv w:val="1"/>
      <w:marLeft w:val="0"/>
      <w:marRight w:val="0"/>
      <w:marTop w:val="0"/>
      <w:marBottom w:val="0"/>
      <w:divBdr>
        <w:top w:val="none" w:sz="0" w:space="0" w:color="auto"/>
        <w:left w:val="none" w:sz="0" w:space="0" w:color="auto"/>
        <w:bottom w:val="none" w:sz="0" w:space="0" w:color="auto"/>
        <w:right w:val="none" w:sz="0" w:space="0" w:color="auto"/>
      </w:divBdr>
    </w:div>
    <w:div w:id="470565363">
      <w:bodyDiv w:val="1"/>
      <w:marLeft w:val="0"/>
      <w:marRight w:val="0"/>
      <w:marTop w:val="0"/>
      <w:marBottom w:val="0"/>
      <w:divBdr>
        <w:top w:val="none" w:sz="0" w:space="0" w:color="auto"/>
        <w:left w:val="none" w:sz="0" w:space="0" w:color="auto"/>
        <w:bottom w:val="none" w:sz="0" w:space="0" w:color="auto"/>
        <w:right w:val="none" w:sz="0" w:space="0" w:color="auto"/>
      </w:divBdr>
    </w:div>
    <w:div w:id="474644101">
      <w:bodyDiv w:val="1"/>
      <w:marLeft w:val="0"/>
      <w:marRight w:val="0"/>
      <w:marTop w:val="0"/>
      <w:marBottom w:val="0"/>
      <w:divBdr>
        <w:top w:val="none" w:sz="0" w:space="0" w:color="auto"/>
        <w:left w:val="none" w:sz="0" w:space="0" w:color="auto"/>
        <w:bottom w:val="none" w:sz="0" w:space="0" w:color="auto"/>
        <w:right w:val="none" w:sz="0" w:space="0" w:color="auto"/>
      </w:divBdr>
    </w:div>
    <w:div w:id="478615530">
      <w:bodyDiv w:val="1"/>
      <w:marLeft w:val="0"/>
      <w:marRight w:val="0"/>
      <w:marTop w:val="0"/>
      <w:marBottom w:val="0"/>
      <w:divBdr>
        <w:top w:val="none" w:sz="0" w:space="0" w:color="auto"/>
        <w:left w:val="none" w:sz="0" w:space="0" w:color="auto"/>
        <w:bottom w:val="none" w:sz="0" w:space="0" w:color="auto"/>
        <w:right w:val="none" w:sz="0" w:space="0" w:color="auto"/>
      </w:divBdr>
    </w:div>
    <w:div w:id="478692231">
      <w:bodyDiv w:val="1"/>
      <w:marLeft w:val="0"/>
      <w:marRight w:val="0"/>
      <w:marTop w:val="0"/>
      <w:marBottom w:val="0"/>
      <w:divBdr>
        <w:top w:val="none" w:sz="0" w:space="0" w:color="auto"/>
        <w:left w:val="none" w:sz="0" w:space="0" w:color="auto"/>
        <w:bottom w:val="none" w:sz="0" w:space="0" w:color="auto"/>
        <w:right w:val="none" w:sz="0" w:space="0" w:color="auto"/>
      </w:divBdr>
    </w:div>
    <w:div w:id="480659319">
      <w:bodyDiv w:val="1"/>
      <w:marLeft w:val="0"/>
      <w:marRight w:val="0"/>
      <w:marTop w:val="0"/>
      <w:marBottom w:val="0"/>
      <w:divBdr>
        <w:top w:val="none" w:sz="0" w:space="0" w:color="auto"/>
        <w:left w:val="none" w:sz="0" w:space="0" w:color="auto"/>
        <w:bottom w:val="none" w:sz="0" w:space="0" w:color="auto"/>
        <w:right w:val="none" w:sz="0" w:space="0" w:color="auto"/>
      </w:divBdr>
    </w:div>
    <w:div w:id="480729387">
      <w:bodyDiv w:val="1"/>
      <w:marLeft w:val="0"/>
      <w:marRight w:val="0"/>
      <w:marTop w:val="0"/>
      <w:marBottom w:val="0"/>
      <w:divBdr>
        <w:top w:val="none" w:sz="0" w:space="0" w:color="auto"/>
        <w:left w:val="none" w:sz="0" w:space="0" w:color="auto"/>
        <w:bottom w:val="none" w:sz="0" w:space="0" w:color="auto"/>
        <w:right w:val="none" w:sz="0" w:space="0" w:color="auto"/>
      </w:divBdr>
    </w:div>
    <w:div w:id="482087689">
      <w:bodyDiv w:val="1"/>
      <w:marLeft w:val="0"/>
      <w:marRight w:val="0"/>
      <w:marTop w:val="0"/>
      <w:marBottom w:val="0"/>
      <w:divBdr>
        <w:top w:val="none" w:sz="0" w:space="0" w:color="auto"/>
        <w:left w:val="none" w:sz="0" w:space="0" w:color="auto"/>
        <w:bottom w:val="none" w:sz="0" w:space="0" w:color="auto"/>
        <w:right w:val="none" w:sz="0" w:space="0" w:color="auto"/>
      </w:divBdr>
    </w:div>
    <w:div w:id="483545683">
      <w:bodyDiv w:val="1"/>
      <w:marLeft w:val="0"/>
      <w:marRight w:val="0"/>
      <w:marTop w:val="0"/>
      <w:marBottom w:val="0"/>
      <w:divBdr>
        <w:top w:val="none" w:sz="0" w:space="0" w:color="auto"/>
        <w:left w:val="none" w:sz="0" w:space="0" w:color="auto"/>
        <w:bottom w:val="none" w:sz="0" w:space="0" w:color="auto"/>
        <w:right w:val="none" w:sz="0" w:space="0" w:color="auto"/>
      </w:divBdr>
    </w:div>
    <w:div w:id="484473063">
      <w:bodyDiv w:val="1"/>
      <w:marLeft w:val="0"/>
      <w:marRight w:val="0"/>
      <w:marTop w:val="0"/>
      <w:marBottom w:val="0"/>
      <w:divBdr>
        <w:top w:val="none" w:sz="0" w:space="0" w:color="auto"/>
        <w:left w:val="none" w:sz="0" w:space="0" w:color="auto"/>
        <w:bottom w:val="none" w:sz="0" w:space="0" w:color="auto"/>
        <w:right w:val="none" w:sz="0" w:space="0" w:color="auto"/>
      </w:divBdr>
    </w:div>
    <w:div w:id="485052687">
      <w:bodyDiv w:val="1"/>
      <w:marLeft w:val="0"/>
      <w:marRight w:val="0"/>
      <w:marTop w:val="0"/>
      <w:marBottom w:val="0"/>
      <w:divBdr>
        <w:top w:val="none" w:sz="0" w:space="0" w:color="auto"/>
        <w:left w:val="none" w:sz="0" w:space="0" w:color="auto"/>
        <w:bottom w:val="none" w:sz="0" w:space="0" w:color="auto"/>
        <w:right w:val="none" w:sz="0" w:space="0" w:color="auto"/>
      </w:divBdr>
    </w:div>
    <w:div w:id="485558448">
      <w:bodyDiv w:val="1"/>
      <w:marLeft w:val="0"/>
      <w:marRight w:val="0"/>
      <w:marTop w:val="0"/>
      <w:marBottom w:val="0"/>
      <w:divBdr>
        <w:top w:val="none" w:sz="0" w:space="0" w:color="auto"/>
        <w:left w:val="none" w:sz="0" w:space="0" w:color="auto"/>
        <w:bottom w:val="none" w:sz="0" w:space="0" w:color="auto"/>
        <w:right w:val="none" w:sz="0" w:space="0" w:color="auto"/>
      </w:divBdr>
    </w:div>
    <w:div w:id="486747884">
      <w:bodyDiv w:val="1"/>
      <w:marLeft w:val="0"/>
      <w:marRight w:val="0"/>
      <w:marTop w:val="0"/>
      <w:marBottom w:val="0"/>
      <w:divBdr>
        <w:top w:val="none" w:sz="0" w:space="0" w:color="auto"/>
        <w:left w:val="none" w:sz="0" w:space="0" w:color="auto"/>
        <w:bottom w:val="none" w:sz="0" w:space="0" w:color="auto"/>
        <w:right w:val="none" w:sz="0" w:space="0" w:color="auto"/>
      </w:divBdr>
    </w:div>
    <w:div w:id="488177825">
      <w:bodyDiv w:val="1"/>
      <w:marLeft w:val="0"/>
      <w:marRight w:val="0"/>
      <w:marTop w:val="0"/>
      <w:marBottom w:val="0"/>
      <w:divBdr>
        <w:top w:val="none" w:sz="0" w:space="0" w:color="auto"/>
        <w:left w:val="none" w:sz="0" w:space="0" w:color="auto"/>
        <w:bottom w:val="none" w:sz="0" w:space="0" w:color="auto"/>
        <w:right w:val="none" w:sz="0" w:space="0" w:color="auto"/>
      </w:divBdr>
    </w:div>
    <w:div w:id="488405196">
      <w:bodyDiv w:val="1"/>
      <w:marLeft w:val="0"/>
      <w:marRight w:val="0"/>
      <w:marTop w:val="0"/>
      <w:marBottom w:val="0"/>
      <w:divBdr>
        <w:top w:val="none" w:sz="0" w:space="0" w:color="auto"/>
        <w:left w:val="none" w:sz="0" w:space="0" w:color="auto"/>
        <w:bottom w:val="none" w:sz="0" w:space="0" w:color="auto"/>
        <w:right w:val="none" w:sz="0" w:space="0" w:color="auto"/>
      </w:divBdr>
    </w:div>
    <w:div w:id="490407919">
      <w:bodyDiv w:val="1"/>
      <w:marLeft w:val="0"/>
      <w:marRight w:val="0"/>
      <w:marTop w:val="0"/>
      <w:marBottom w:val="0"/>
      <w:divBdr>
        <w:top w:val="none" w:sz="0" w:space="0" w:color="auto"/>
        <w:left w:val="none" w:sz="0" w:space="0" w:color="auto"/>
        <w:bottom w:val="none" w:sz="0" w:space="0" w:color="auto"/>
        <w:right w:val="none" w:sz="0" w:space="0" w:color="auto"/>
      </w:divBdr>
    </w:div>
    <w:div w:id="490415461">
      <w:bodyDiv w:val="1"/>
      <w:marLeft w:val="0"/>
      <w:marRight w:val="0"/>
      <w:marTop w:val="0"/>
      <w:marBottom w:val="0"/>
      <w:divBdr>
        <w:top w:val="none" w:sz="0" w:space="0" w:color="auto"/>
        <w:left w:val="none" w:sz="0" w:space="0" w:color="auto"/>
        <w:bottom w:val="none" w:sz="0" w:space="0" w:color="auto"/>
        <w:right w:val="none" w:sz="0" w:space="0" w:color="auto"/>
      </w:divBdr>
    </w:div>
    <w:div w:id="490490232">
      <w:bodyDiv w:val="1"/>
      <w:marLeft w:val="0"/>
      <w:marRight w:val="0"/>
      <w:marTop w:val="0"/>
      <w:marBottom w:val="0"/>
      <w:divBdr>
        <w:top w:val="none" w:sz="0" w:space="0" w:color="auto"/>
        <w:left w:val="none" w:sz="0" w:space="0" w:color="auto"/>
        <w:bottom w:val="none" w:sz="0" w:space="0" w:color="auto"/>
        <w:right w:val="none" w:sz="0" w:space="0" w:color="auto"/>
      </w:divBdr>
    </w:div>
    <w:div w:id="492724744">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084096">
      <w:bodyDiv w:val="1"/>
      <w:marLeft w:val="0"/>
      <w:marRight w:val="0"/>
      <w:marTop w:val="0"/>
      <w:marBottom w:val="0"/>
      <w:divBdr>
        <w:top w:val="none" w:sz="0" w:space="0" w:color="auto"/>
        <w:left w:val="none" w:sz="0" w:space="0" w:color="auto"/>
        <w:bottom w:val="none" w:sz="0" w:space="0" w:color="auto"/>
        <w:right w:val="none" w:sz="0" w:space="0" w:color="auto"/>
      </w:divBdr>
    </w:div>
    <w:div w:id="498544082">
      <w:bodyDiv w:val="1"/>
      <w:marLeft w:val="0"/>
      <w:marRight w:val="0"/>
      <w:marTop w:val="0"/>
      <w:marBottom w:val="0"/>
      <w:divBdr>
        <w:top w:val="none" w:sz="0" w:space="0" w:color="auto"/>
        <w:left w:val="none" w:sz="0" w:space="0" w:color="auto"/>
        <w:bottom w:val="none" w:sz="0" w:space="0" w:color="auto"/>
        <w:right w:val="none" w:sz="0" w:space="0" w:color="auto"/>
      </w:divBdr>
    </w:div>
    <w:div w:id="499278047">
      <w:bodyDiv w:val="1"/>
      <w:marLeft w:val="0"/>
      <w:marRight w:val="0"/>
      <w:marTop w:val="0"/>
      <w:marBottom w:val="0"/>
      <w:divBdr>
        <w:top w:val="none" w:sz="0" w:space="0" w:color="auto"/>
        <w:left w:val="none" w:sz="0" w:space="0" w:color="auto"/>
        <w:bottom w:val="none" w:sz="0" w:space="0" w:color="auto"/>
        <w:right w:val="none" w:sz="0" w:space="0" w:color="auto"/>
      </w:divBdr>
    </w:div>
    <w:div w:id="501942539">
      <w:bodyDiv w:val="1"/>
      <w:marLeft w:val="0"/>
      <w:marRight w:val="0"/>
      <w:marTop w:val="0"/>
      <w:marBottom w:val="0"/>
      <w:divBdr>
        <w:top w:val="none" w:sz="0" w:space="0" w:color="auto"/>
        <w:left w:val="none" w:sz="0" w:space="0" w:color="auto"/>
        <w:bottom w:val="none" w:sz="0" w:space="0" w:color="auto"/>
        <w:right w:val="none" w:sz="0" w:space="0" w:color="auto"/>
      </w:divBdr>
    </w:div>
    <w:div w:id="502863449">
      <w:bodyDiv w:val="1"/>
      <w:marLeft w:val="0"/>
      <w:marRight w:val="0"/>
      <w:marTop w:val="0"/>
      <w:marBottom w:val="0"/>
      <w:divBdr>
        <w:top w:val="none" w:sz="0" w:space="0" w:color="auto"/>
        <w:left w:val="none" w:sz="0" w:space="0" w:color="auto"/>
        <w:bottom w:val="none" w:sz="0" w:space="0" w:color="auto"/>
        <w:right w:val="none" w:sz="0" w:space="0" w:color="auto"/>
      </w:divBdr>
    </w:div>
    <w:div w:id="503130252">
      <w:bodyDiv w:val="1"/>
      <w:marLeft w:val="0"/>
      <w:marRight w:val="0"/>
      <w:marTop w:val="0"/>
      <w:marBottom w:val="0"/>
      <w:divBdr>
        <w:top w:val="none" w:sz="0" w:space="0" w:color="auto"/>
        <w:left w:val="none" w:sz="0" w:space="0" w:color="auto"/>
        <w:bottom w:val="none" w:sz="0" w:space="0" w:color="auto"/>
        <w:right w:val="none" w:sz="0" w:space="0" w:color="auto"/>
      </w:divBdr>
    </w:div>
    <w:div w:id="503277356">
      <w:bodyDiv w:val="1"/>
      <w:marLeft w:val="0"/>
      <w:marRight w:val="0"/>
      <w:marTop w:val="0"/>
      <w:marBottom w:val="0"/>
      <w:divBdr>
        <w:top w:val="none" w:sz="0" w:space="0" w:color="auto"/>
        <w:left w:val="none" w:sz="0" w:space="0" w:color="auto"/>
        <w:bottom w:val="none" w:sz="0" w:space="0" w:color="auto"/>
        <w:right w:val="none" w:sz="0" w:space="0" w:color="auto"/>
      </w:divBdr>
    </w:div>
    <w:div w:id="504249901">
      <w:bodyDiv w:val="1"/>
      <w:marLeft w:val="0"/>
      <w:marRight w:val="0"/>
      <w:marTop w:val="0"/>
      <w:marBottom w:val="0"/>
      <w:divBdr>
        <w:top w:val="none" w:sz="0" w:space="0" w:color="auto"/>
        <w:left w:val="none" w:sz="0" w:space="0" w:color="auto"/>
        <w:bottom w:val="none" w:sz="0" w:space="0" w:color="auto"/>
        <w:right w:val="none" w:sz="0" w:space="0" w:color="auto"/>
      </w:divBdr>
    </w:div>
    <w:div w:id="505092519">
      <w:bodyDiv w:val="1"/>
      <w:marLeft w:val="0"/>
      <w:marRight w:val="0"/>
      <w:marTop w:val="0"/>
      <w:marBottom w:val="0"/>
      <w:divBdr>
        <w:top w:val="none" w:sz="0" w:space="0" w:color="auto"/>
        <w:left w:val="none" w:sz="0" w:space="0" w:color="auto"/>
        <w:bottom w:val="none" w:sz="0" w:space="0" w:color="auto"/>
        <w:right w:val="none" w:sz="0" w:space="0" w:color="auto"/>
      </w:divBdr>
    </w:div>
    <w:div w:id="505747619">
      <w:bodyDiv w:val="1"/>
      <w:marLeft w:val="0"/>
      <w:marRight w:val="0"/>
      <w:marTop w:val="0"/>
      <w:marBottom w:val="0"/>
      <w:divBdr>
        <w:top w:val="none" w:sz="0" w:space="0" w:color="auto"/>
        <w:left w:val="none" w:sz="0" w:space="0" w:color="auto"/>
        <w:bottom w:val="none" w:sz="0" w:space="0" w:color="auto"/>
        <w:right w:val="none" w:sz="0" w:space="0" w:color="auto"/>
      </w:divBdr>
    </w:div>
    <w:div w:id="508714962">
      <w:bodyDiv w:val="1"/>
      <w:marLeft w:val="0"/>
      <w:marRight w:val="0"/>
      <w:marTop w:val="0"/>
      <w:marBottom w:val="0"/>
      <w:divBdr>
        <w:top w:val="none" w:sz="0" w:space="0" w:color="auto"/>
        <w:left w:val="none" w:sz="0" w:space="0" w:color="auto"/>
        <w:bottom w:val="none" w:sz="0" w:space="0" w:color="auto"/>
        <w:right w:val="none" w:sz="0" w:space="0" w:color="auto"/>
      </w:divBdr>
    </w:div>
    <w:div w:id="509180319">
      <w:bodyDiv w:val="1"/>
      <w:marLeft w:val="0"/>
      <w:marRight w:val="0"/>
      <w:marTop w:val="0"/>
      <w:marBottom w:val="0"/>
      <w:divBdr>
        <w:top w:val="none" w:sz="0" w:space="0" w:color="auto"/>
        <w:left w:val="none" w:sz="0" w:space="0" w:color="auto"/>
        <w:bottom w:val="none" w:sz="0" w:space="0" w:color="auto"/>
        <w:right w:val="none" w:sz="0" w:space="0" w:color="auto"/>
      </w:divBdr>
    </w:div>
    <w:div w:id="510798088">
      <w:bodyDiv w:val="1"/>
      <w:marLeft w:val="0"/>
      <w:marRight w:val="0"/>
      <w:marTop w:val="0"/>
      <w:marBottom w:val="0"/>
      <w:divBdr>
        <w:top w:val="none" w:sz="0" w:space="0" w:color="auto"/>
        <w:left w:val="none" w:sz="0" w:space="0" w:color="auto"/>
        <w:bottom w:val="none" w:sz="0" w:space="0" w:color="auto"/>
        <w:right w:val="none" w:sz="0" w:space="0" w:color="auto"/>
      </w:divBdr>
    </w:div>
    <w:div w:id="511455174">
      <w:bodyDiv w:val="1"/>
      <w:marLeft w:val="0"/>
      <w:marRight w:val="0"/>
      <w:marTop w:val="0"/>
      <w:marBottom w:val="0"/>
      <w:divBdr>
        <w:top w:val="none" w:sz="0" w:space="0" w:color="auto"/>
        <w:left w:val="none" w:sz="0" w:space="0" w:color="auto"/>
        <w:bottom w:val="none" w:sz="0" w:space="0" w:color="auto"/>
        <w:right w:val="none" w:sz="0" w:space="0" w:color="auto"/>
      </w:divBdr>
    </w:div>
    <w:div w:id="513152643">
      <w:bodyDiv w:val="1"/>
      <w:marLeft w:val="0"/>
      <w:marRight w:val="0"/>
      <w:marTop w:val="0"/>
      <w:marBottom w:val="0"/>
      <w:divBdr>
        <w:top w:val="none" w:sz="0" w:space="0" w:color="auto"/>
        <w:left w:val="none" w:sz="0" w:space="0" w:color="auto"/>
        <w:bottom w:val="none" w:sz="0" w:space="0" w:color="auto"/>
        <w:right w:val="none" w:sz="0" w:space="0" w:color="auto"/>
      </w:divBdr>
    </w:div>
    <w:div w:id="515728397">
      <w:bodyDiv w:val="1"/>
      <w:marLeft w:val="0"/>
      <w:marRight w:val="0"/>
      <w:marTop w:val="0"/>
      <w:marBottom w:val="0"/>
      <w:divBdr>
        <w:top w:val="none" w:sz="0" w:space="0" w:color="auto"/>
        <w:left w:val="none" w:sz="0" w:space="0" w:color="auto"/>
        <w:bottom w:val="none" w:sz="0" w:space="0" w:color="auto"/>
        <w:right w:val="none" w:sz="0" w:space="0" w:color="auto"/>
      </w:divBdr>
    </w:div>
    <w:div w:id="515925334">
      <w:bodyDiv w:val="1"/>
      <w:marLeft w:val="0"/>
      <w:marRight w:val="0"/>
      <w:marTop w:val="0"/>
      <w:marBottom w:val="0"/>
      <w:divBdr>
        <w:top w:val="none" w:sz="0" w:space="0" w:color="auto"/>
        <w:left w:val="none" w:sz="0" w:space="0" w:color="auto"/>
        <w:bottom w:val="none" w:sz="0" w:space="0" w:color="auto"/>
        <w:right w:val="none" w:sz="0" w:space="0" w:color="auto"/>
      </w:divBdr>
    </w:div>
    <w:div w:id="515929366">
      <w:bodyDiv w:val="1"/>
      <w:marLeft w:val="0"/>
      <w:marRight w:val="0"/>
      <w:marTop w:val="0"/>
      <w:marBottom w:val="0"/>
      <w:divBdr>
        <w:top w:val="none" w:sz="0" w:space="0" w:color="auto"/>
        <w:left w:val="none" w:sz="0" w:space="0" w:color="auto"/>
        <w:bottom w:val="none" w:sz="0" w:space="0" w:color="auto"/>
        <w:right w:val="none" w:sz="0" w:space="0" w:color="auto"/>
      </w:divBdr>
    </w:div>
    <w:div w:id="517697767">
      <w:bodyDiv w:val="1"/>
      <w:marLeft w:val="0"/>
      <w:marRight w:val="0"/>
      <w:marTop w:val="0"/>
      <w:marBottom w:val="0"/>
      <w:divBdr>
        <w:top w:val="none" w:sz="0" w:space="0" w:color="auto"/>
        <w:left w:val="none" w:sz="0" w:space="0" w:color="auto"/>
        <w:bottom w:val="none" w:sz="0" w:space="0" w:color="auto"/>
        <w:right w:val="none" w:sz="0" w:space="0" w:color="auto"/>
      </w:divBdr>
    </w:div>
    <w:div w:id="518280946">
      <w:bodyDiv w:val="1"/>
      <w:marLeft w:val="0"/>
      <w:marRight w:val="0"/>
      <w:marTop w:val="0"/>
      <w:marBottom w:val="0"/>
      <w:divBdr>
        <w:top w:val="none" w:sz="0" w:space="0" w:color="auto"/>
        <w:left w:val="none" w:sz="0" w:space="0" w:color="auto"/>
        <w:bottom w:val="none" w:sz="0" w:space="0" w:color="auto"/>
        <w:right w:val="none" w:sz="0" w:space="0" w:color="auto"/>
      </w:divBdr>
    </w:div>
    <w:div w:id="519011439">
      <w:bodyDiv w:val="1"/>
      <w:marLeft w:val="0"/>
      <w:marRight w:val="0"/>
      <w:marTop w:val="0"/>
      <w:marBottom w:val="0"/>
      <w:divBdr>
        <w:top w:val="none" w:sz="0" w:space="0" w:color="auto"/>
        <w:left w:val="none" w:sz="0" w:space="0" w:color="auto"/>
        <w:bottom w:val="none" w:sz="0" w:space="0" w:color="auto"/>
        <w:right w:val="none" w:sz="0" w:space="0" w:color="auto"/>
      </w:divBdr>
    </w:div>
    <w:div w:id="519394035">
      <w:bodyDiv w:val="1"/>
      <w:marLeft w:val="0"/>
      <w:marRight w:val="0"/>
      <w:marTop w:val="0"/>
      <w:marBottom w:val="0"/>
      <w:divBdr>
        <w:top w:val="none" w:sz="0" w:space="0" w:color="auto"/>
        <w:left w:val="none" w:sz="0" w:space="0" w:color="auto"/>
        <w:bottom w:val="none" w:sz="0" w:space="0" w:color="auto"/>
        <w:right w:val="none" w:sz="0" w:space="0" w:color="auto"/>
      </w:divBdr>
    </w:div>
    <w:div w:id="520701372">
      <w:bodyDiv w:val="1"/>
      <w:marLeft w:val="0"/>
      <w:marRight w:val="0"/>
      <w:marTop w:val="0"/>
      <w:marBottom w:val="0"/>
      <w:divBdr>
        <w:top w:val="none" w:sz="0" w:space="0" w:color="auto"/>
        <w:left w:val="none" w:sz="0" w:space="0" w:color="auto"/>
        <w:bottom w:val="none" w:sz="0" w:space="0" w:color="auto"/>
        <w:right w:val="none" w:sz="0" w:space="0" w:color="auto"/>
      </w:divBdr>
    </w:div>
    <w:div w:id="522596661">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528215">
      <w:bodyDiv w:val="1"/>
      <w:marLeft w:val="0"/>
      <w:marRight w:val="0"/>
      <w:marTop w:val="0"/>
      <w:marBottom w:val="0"/>
      <w:divBdr>
        <w:top w:val="none" w:sz="0" w:space="0" w:color="auto"/>
        <w:left w:val="none" w:sz="0" w:space="0" w:color="auto"/>
        <w:bottom w:val="none" w:sz="0" w:space="0" w:color="auto"/>
        <w:right w:val="none" w:sz="0" w:space="0" w:color="auto"/>
      </w:divBdr>
    </w:div>
    <w:div w:id="528027433">
      <w:bodyDiv w:val="1"/>
      <w:marLeft w:val="0"/>
      <w:marRight w:val="0"/>
      <w:marTop w:val="0"/>
      <w:marBottom w:val="0"/>
      <w:divBdr>
        <w:top w:val="none" w:sz="0" w:space="0" w:color="auto"/>
        <w:left w:val="none" w:sz="0" w:space="0" w:color="auto"/>
        <w:bottom w:val="none" w:sz="0" w:space="0" w:color="auto"/>
        <w:right w:val="none" w:sz="0" w:space="0" w:color="auto"/>
      </w:divBdr>
    </w:div>
    <w:div w:id="528764134">
      <w:bodyDiv w:val="1"/>
      <w:marLeft w:val="0"/>
      <w:marRight w:val="0"/>
      <w:marTop w:val="0"/>
      <w:marBottom w:val="0"/>
      <w:divBdr>
        <w:top w:val="none" w:sz="0" w:space="0" w:color="auto"/>
        <w:left w:val="none" w:sz="0" w:space="0" w:color="auto"/>
        <w:bottom w:val="none" w:sz="0" w:space="0" w:color="auto"/>
        <w:right w:val="none" w:sz="0" w:space="0" w:color="auto"/>
      </w:divBdr>
    </w:div>
    <w:div w:id="529757350">
      <w:bodyDiv w:val="1"/>
      <w:marLeft w:val="0"/>
      <w:marRight w:val="0"/>
      <w:marTop w:val="0"/>
      <w:marBottom w:val="0"/>
      <w:divBdr>
        <w:top w:val="none" w:sz="0" w:space="0" w:color="auto"/>
        <w:left w:val="none" w:sz="0" w:space="0" w:color="auto"/>
        <w:bottom w:val="none" w:sz="0" w:space="0" w:color="auto"/>
        <w:right w:val="none" w:sz="0" w:space="0" w:color="auto"/>
      </w:divBdr>
    </w:div>
    <w:div w:id="531261359">
      <w:bodyDiv w:val="1"/>
      <w:marLeft w:val="0"/>
      <w:marRight w:val="0"/>
      <w:marTop w:val="0"/>
      <w:marBottom w:val="0"/>
      <w:divBdr>
        <w:top w:val="none" w:sz="0" w:space="0" w:color="auto"/>
        <w:left w:val="none" w:sz="0" w:space="0" w:color="auto"/>
        <w:bottom w:val="none" w:sz="0" w:space="0" w:color="auto"/>
        <w:right w:val="none" w:sz="0" w:space="0" w:color="auto"/>
      </w:divBdr>
    </w:div>
    <w:div w:id="531653152">
      <w:bodyDiv w:val="1"/>
      <w:marLeft w:val="0"/>
      <w:marRight w:val="0"/>
      <w:marTop w:val="0"/>
      <w:marBottom w:val="0"/>
      <w:divBdr>
        <w:top w:val="none" w:sz="0" w:space="0" w:color="auto"/>
        <w:left w:val="none" w:sz="0" w:space="0" w:color="auto"/>
        <w:bottom w:val="none" w:sz="0" w:space="0" w:color="auto"/>
        <w:right w:val="none" w:sz="0" w:space="0" w:color="auto"/>
      </w:divBdr>
    </w:div>
    <w:div w:id="532228000">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468137">
      <w:bodyDiv w:val="1"/>
      <w:marLeft w:val="0"/>
      <w:marRight w:val="0"/>
      <w:marTop w:val="0"/>
      <w:marBottom w:val="0"/>
      <w:divBdr>
        <w:top w:val="none" w:sz="0" w:space="0" w:color="auto"/>
        <w:left w:val="none" w:sz="0" w:space="0" w:color="auto"/>
        <w:bottom w:val="none" w:sz="0" w:space="0" w:color="auto"/>
        <w:right w:val="none" w:sz="0" w:space="0" w:color="auto"/>
      </w:divBdr>
    </w:div>
    <w:div w:id="534275304">
      <w:bodyDiv w:val="1"/>
      <w:marLeft w:val="0"/>
      <w:marRight w:val="0"/>
      <w:marTop w:val="0"/>
      <w:marBottom w:val="0"/>
      <w:divBdr>
        <w:top w:val="none" w:sz="0" w:space="0" w:color="auto"/>
        <w:left w:val="none" w:sz="0" w:space="0" w:color="auto"/>
        <w:bottom w:val="none" w:sz="0" w:space="0" w:color="auto"/>
        <w:right w:val="none" w:sz="0" w:space="0" w:color="auto"/>
      </w:divBdr>
    </w:div>
    <w:div w:id="534655200">
      <w:bodyDiv w:val="1"/>
      <w:marLeft w:val="0"/>
      <w:marRight w:val="0"/>
      <w:marTop w:val="0"/>
      <w:marBottom w:val="0"/>
      <w:divBdr>
        <w:top w:val="none" w:sz="0" w:space="0" w:color="auto"/>
        <w:left w:val="none" w:sz="0" w:space="0" w:color="auto"/>
        <w:bottom w:val="none" w:sz="0" w:space="0" w:color="auto"/>
        <w:right w:val="none" w:sz="0" w:space="0" w:color="auto"/>
      </w:divBdr>
    </w:div>
    <w:div w:id="534931586">
      <w:bodyDiv w:val="1"/>
      <w:marLeft w:val="0"/>
      <w:marRight w:val="0"/>
      <w:marTop w:val="0"/>
      <w:marBottom w:val="0"/>
      <w:divBdr>
        <w:top w:val="none" w:sz="0" w:space="0" w:color="auto"/>
        <w:left w:val="none" w:sz="0" w:space="0" w:color="auto"/>
        <w:bottom w:val="none" w:sz="0" w:space="0" w:color="auto"/>
        <w:right w:val="none" w:sz="0" w:space="0" w:color="auto"/>
      </w:divBdr>
    </w:div>
    <w:div w:id="539823636">
      <w:bodyDiv w:val="1"/>
      <w:marLeft w:val="0"/>
      <w:marRight w:val="0"/>
      <w:marTop w:val="0"/>
      <w:marBottom w:val="0"/>
      <w:divBdr>
        <w:top w:val="none" w:sz="0" w:space="0" w:color="auto"/>
        <w:left w:val="none" w:sz="0" w:space="0" w:color="auto"/>
        <w:bottom w:val="none" w:sz="0" w:space="0" w:color="auto"/>
        <w:right w:val="none" w:sz="0" w:space="0" w:color="auto"/>
      </w:divBdr>
    </w:div>
    <w:div w:id="541525787">
      <w:bodyDiv w:val="1"/>
      <w:marLeft w:val="0"/>
      <w:marRight w:val="0"/>
      <w:marTop w:val="0"/>
      <w:marBottom w:val="0"/>
      <w:divBdr>
        <w:top w:val="none" w:sz="0" w:space="0" w:color="auto"/>
        <w:left w:val="none" w:sz="0" w:space="0" w:color="auto"/>
        <w:bottom w:val="none" w:sz="0" w:space="0" w:color="auto"/>
        <w:right w:val="none" w:sz="0" w:space="0" w:color="auto"/>
      </w:divBdr>
    </w:div>
    <w:div w:id="541986316">
      <w:bodyDiv w:val="1"/>
      <w:marLeft w:val="0"/>
      <w:marRight w:val="0"/>
      <w:marTop w:val="0"/>
      <w:marBottom w:val="0"/>
      <w:divBdr>
        <w:top w:val="none" w:sz="0" w:space="0" w:color="auto"/>
        <w:left w:val="none" w:sz="0" w:space="0" w:color="auto"/>
        <w:bottom w:val="none" w:sz="0" w:space="0" w:color="auto"/>
        <w:right w:val="none" w:sz="0" w:space="0" w:color="auto"/>
      </w:divBdr>
    </w:div>
    <w:div w:id="542062938">
      <w:bodyDiv w:val="1"/>
      <w:marLeft w:val="0"/>
      <w:marRight w:val="0"/>
      <w:marTop w:val="0"/>
      <w:marBottom w:val="0"/>
      <w:divBdr>
        <w:top w:val="none" w:sz="0" w:space="0" w:color="auto"/>
        <w:left w:val="none" w:sz="0" w:space="0" w:color="auto"/>
        <w:bottom w:val="none" w:sz="0" w:space="0" w:color="auto"/>
        <w:right w:val="none" w:sz="0" w:space="0" w:color="auto"/>
      </w:divBdr>
    </w:div>
    <w:div w:id="542331631">
      <w:bodyDiv w:val="1"/>
      <w:marLeft w:val="0"/>
      <w:marRight w:val="0"/>
      <w:marTop w:val="0"/>
      <w:marBottom w:val="0"/>
      <w:divBdr>
        <w:top w:val="none" w:sz="0" w:space="0" w:color="auto"/>
        <w:left w:val="none" w:sz="0" w:space="0" w:color="auto"/>
        <w:bottom w:val="none" w:sz="0" w:space="0" w:color="auto"/>
        <w:right w:val="none" w:sz="0" w:space="0" w:color="auto"/>
      </w:divBdr>
    </w:div>
    <w:div w:id="542442744">
      <w:bodyDiv w:val="1"/>
      <w:marLeft w:val="0"/>
      <w:marRight w:val="0"/>
      <w:marTop w:val="0"/>
      <w:marBottom w:val="0"/>
      <w:divBdr>
        <w:top w:val="none" w:sz="0" w:space="0" w:color="auto"/>
        <w:left w:val="none" w:sz="0" w:space="0" w:color="auto"/>
        <w:bottom w:val="none" w:sz="0" w:space="0" w:color="auto"/>
        <w:right w:val="none" w:sz="0" w:space="0" w:color="auto"/>
      </w:divBdr>
    </w:div>
    <w:div w:id="543255633">
      <w:bodyDiv w:val="1"/>
      <w:marLeft w:val="0"/>
      <w:marRight w:val="0"/>
      <w:marTop w:val="0"/>
      <w:marBottom w:val="0"/>
      <w:divBdr>
        <w:top w:val="none" w:sz="0" w:space="0" w:color="auto"/>
        <w:left w:val="none" w:sz="0" w:space="0" w:color="auto"/>
        <w:bottom w:val="none" w:sz="0" w:space="0" w:color="auto"/>
        <w:right w:val="none" w:sz="0" w:space="0" w:color="auto"/>
      </w:divBdr>
    </w:div>
    <w:div w:id="544100104">
      <w:bodyDiv w:val="1"/>
      <w:marLeft w:val="0"/>
      <w:marRight w:val="0"/>
      <w:marTop w:val="0"/>
      <w:marBottom w:val="0"/>
      <w:divBdr>
        <w:top w:val="none" w:sz="0" w:space="0" w:color="auto"/>
        <w:left w:val="none" w:sz="0" w:space="0" w:color="auto"/>
        <w:bottom w:val="none" w:sz="0" w:space="0" w:color="auto"/>
        <w:right w:val="none" w:sz="0" w:space="0" w:color="auto"/>
      </w:divBdr>
    </w:div>
    <w:div w:id="544217785">
      <w:bodyDiv w:val="1"/>
      <w:marLeft w:val="0"/>
      <w:marRight w:val="0"/>
      <w:marTop w:val="0"/>
      <w:marBottom w:val="0"/>
      <w:divBdr>
        <w:top w:val="none" w:sz="0" w:space="0" w:color="auto"/>
        <w:left w:val="none" w:sz="0" w:space="0" w:color="auto"/>
        <w:bottom w:val="none" w:sz="0" w:space="0" w:color="auto"/>
        <w:right w:val="none" w:sz="0" w:space="0" w:color="auto"/>
      </w:divBdr>
    </w:div>
    <w:div w:id="546071825">
      <w:bodyDiv w:val="1"/>
      <w:marLeft w:val="0"/>
      <w:marRight w:val="0"/>
      <w:marTop w:val="0"/>
      <w:marBottom w:val="0"/>
      <w:divBdr>
        <w:top w:val="none" w:sz="0" w:space="0" w:color="auto"/>
        <w:left w:val="none" w:sz="0" w:space="0" w:color="auto"/>
        <w:bottom w:val="none" w:sz="0" w:space="0" w:color="auto"/>
        <w:right w:val="none" w:sz="0" w:space="0" w:color="auto"/>
      </w:divBdr>
    </w:div>
    <w:div w:id="547570839">
      <w:bodyDiv w:val="1"/>
      <w:marLeft w:val="0"/>
      <w:marRight w:val="0"/>
      <w:marTop w:val="0"/>
      <w:marBottom w:val="0"/>
      <w:divBdr>
        <w:top w:val="none" w:sz="0" w:space="0" w:color="auto"/>
        <w:left w:val="none" w:sz="0" w:space="0" w:color="auto"/>
        <w:bottom w:val="none" w:sz="0" w:space="0" w:color="auto"/>
        <w:right w:val="none" w:sz="0" w:space="0" w:color="auto"/>
      </w:divBdr>
    </w:div>
    <w:div w:id="547841174">
      <w:bodyDiv w:val="1"/>
      <w:marLeft w:val="0"/>
      <w:marRight w:val="0"/>
      <w:marTop w:val="0"/>
      <w:marBottom w:val="0"/>
      <w:divBdr>
        <w:top w:val="none" w:sz="0" w:space="0" w:color="auto"/>
        <w:left w:val="none" w:sz="0" w:space="0" w:color="auto"/>
        <w:bottom w:val="none" w:sz="0" w:space="0" w:color="auto"/>
        <w:right w:val="none" w:sz="0" w:space="0" w:color="auto"/>
      </w:divBdr>
    </w:div>
    <w:div w:id="548418980">
      <w:bodyDiv w:val="1"/>
      <w:marLeft w:val="0"/>
      <w:marRight w:val="0"/>
      <w:marTop w:val="0"/>
      <w:marBottom w:val="0"/>
      <w:divBdr>
        <w:top w:val="none" w:sz="0" w:space="0" w:color="auto"/>
        <w:left w:val="none" w:sz="0" w:space="0" w:color="auto"/>
        <w:bottom w:val="none" w:sz="0" w:space="0" w:color="auto"/>
        <w:right w:val="none" w:sz="0" w:space="0" w:color="auto"/>
      </w:divBdr>
    </w:div>
    <w:div w:id="548692947">
      <w:bodyDiv w:val="1"/>
      <w:marLeft w:val="0"/>
      <w:marRight w:val="0"/>
      <w:marTop w:val="0"/>
      <w:marBottom w:val="0"/>
      <w:divBdr>
        <w:top w:val="none" w:sz="0" w:space="0" w:color="auto"/>
        <w:left w:val="none" w:sz="0" w:space="0" w:color="auto"/>
        <w:bottom w:val="none" w:sz="0" w:space="0" w:color="auto"/>
        <w:right w:val="none" w:sz="0" w:space="0" w:color="auto"/>
      </w:divBdr>
    </w:div>
    <w:div w:id="549465528">
      <w:bodyDiv w:val="1"/>
      <w:marLeft w:val="0"/>
      <w:marRight w:val="0"/>
      <w:marTop w:val="0"/>
      <w:marBottom w:val="0"/>
      <w:divBdr>
        <w:top w:val="none" w:sz="0" w:space="0" w:color="auto"/>
        <w:left w:val="none" w:sz="0" w:space="0" w:color="auto"/>
        <w:bottom w:val="none" w:sz="0" w:space="0" w:color="auto"/>
        <w:right w:val="none" w:sz="0" w:space="0" w:color="auto"/>
      </w:divBdr>
    </w:div>
    <w:div w:id="551504113">
      <w:bodyDiv w:val="1"/>
      <w:marLeft w:val="0"/>
      <w:marRight w:val="0"/>
      <w:marTop w:val="0"/>
      <w:marBottom w:val="0"/>
      <w:divBdr>
        <w:top w:val="none" w:sz="0" w:space="0" w:color="auto"/>
        <w:left w:val="none" w:sz="0" w:space="0" w:color="auto"/>
        <w:bottom w:val="none" w:sz="0" w:space="0" w:color="auto"/>
        <w:right w:val="none" w:sz="0" w:space="0" w:color="auto"/>
      </w:divBdr>
    </w:div>
    <w:div w:id="552077696">
      <w:bodyDiv w:val="1"/>
      <w:marLeft w:val="0"/>
      <w:marRight w:val="0"/>
      <w:marTop w:val="0"/>
      <w:marBottom w:val="0"/>
      <w:divBdr>
        <w:top w:val="none" w:sz="0" w:space="0" w:color="auto"/>
        <w:left w:val="none" w:sz="0" w:space="0" w:color="auto"/>
        <w:bottom w:val="none" w:sz="0" w:space="0" w:color="auto"/>
        <w:right w:val="none" w:sz="0" w:space="0" w:color="auto"/>
      </w:divBdr>
    </w:div>
    <w:div w:id="552086022">
      <w:bodyDiv w:val="1"/>
      <w:marLeft w:val="0"/>
      <w:marRight w:val="0"/>
      <w:marTop w:val="0"/>
      <w:marBottom w:val="0"/>
      <w:divBdr>
        <w:top w:val="none" w:sz="0" w:space="0" w:color="auto"/>
        <w:left w:val="none" w:sz="0" w:space="0" w:color="auto"/>
        <w:bottom w:val="none" w:sz="0" w:space="0" w:color="auto"/>
        <w:right w:val="none" w:sz="0" w:space="0" w:color="auto"/>
      </w:divBdr>
    </w:div>
    <w:div w:id="554195896">
      <w:bodyDiv w:val="1"/>
      <w:marLeft w:val="0"/>
      <w:marRight w:val="0"/>
      <w:marTop w:val="0"/>
      <w:marBottom w:val="0"/>
      <w:divBdr>
        <w:top w:val="none" w:sz="0" w:space="0" w:color="auto"/>
        <w:left w:val="none" w:sz="0" w:space="0" w:color="auto"/>
        <w:bottom w:val="none" w:sz="0" w:space="0" w:color="auto"/>
        <w:right w:val="none" w:sz="0" w:space="0" w:color="auto"/>
      </w:divBdr>
    </w:div>
    <w:div w:id="555896588">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7714428">
      <w:bodyDiv w:val="1"/>
      <w:marLeft w:val="0"/>
      <w:marRight w:val="0"/>
      <w:marTop w:val="0"/>
      <w:marBottom w:val="0"/>
      <w:divBdr>
        <w:top w:val="none" w:sz="0" w:space="0" w:color="auto"/>
        <w:left w:val="none" w:sz="0" w:space="0" w:color="auto"/>
        <w:bottom w:val="none" w:sz="0" w:space="0" w:color="auto"/>
        <w:right w:val="none" w:sz="0" w:space="0" w:color="auto"/>
      </w:divBdr>
    </w:div>
    <w:div w:id="558170445">
      <w:bodyDiv w:val="1"/>
      <w:marLeft w:val="0"/>
      <w:marRight w:val="0"/>
      <w:marTop w:val="0"/>
      <w:marBottom w:val="0"/>
      <w:divBdr>
        <w:top w:val="none" w:sz="0" w:space="0" w:color="auto"/>
        <w:left w:val="none" w:sz="0" w:space="0" w:color="auto"/>
        <w:bottom w:val="none" w:sz="0" w:space="0" w:color="auto"/>
        <w:right w:val="none" w:sz="0" w:space="0" w:color="auto"/>
      </w:divBdr>
    </w:div>
    <w:div w:id="561915814">
      <w:bodyDiv w:val="1"/>
      <w:marLeft w:val="0"/>
      <w:marRight w:val="0"/>
      <w:marTop w:val="0"/>
      <w:marBottom w:val="0"/>
      <w:divBdr>
        <w:top w:val="none" w:sz="0" w:space="0" w:color="auto"/>
        <w:left w:val="none" w:sz="0" w:space="0" w:color="auto"/>
        <w:bottom w:val="none" w:sz="0" w:space="0" w:color="auto"/>
        <w:right w:val="none" w:sz="0" w:space="0" w:color="auto"/>
      </w:divBdr>
    </w:div>
    <w:div w:id="562132833">
      <w:bodyDiv w:val="1"/>
      <w:marLeft w:val="0"/>
      <w:marRight w:val="0"/>
      <w:marTop w:val="0"/>
      <w:marBottom w:val="0"/>
      <w:divBdr>
        <w:top w:val="none" w:sz="0" w:space="0" w:color="auto"/>
        <w:left w:val="none" w:sz="0" w:space="0" w:color="auto"/>
        <w:bottom w:val="none" w:sz="0" w:space="0" w:color="auto"/>
        <w:right w:val="none" w:sz="0" w:space="0" w:color="auto"/>
      </w:divBdr>
    </w:div>
    <w:div w:id="562789343">
      <w:bodyDiv w:val="1"/>
      <w:marLeft w:val="0"/>
      <w:marRight w:val="0"/>
      <w:marTop w:val="0"/>
      <w:marBottom w:val="0"/>
      <w:divBdr>
        <w:top w:val="none" w:sz="0" w:space="0" w:color="auto"/>
        <w:left w:val="none" w:sz="0" w:space="0" w:color="auto"/>
        <w:bottom w:val="none" w:sz="0" w:space="0" w:color="auto"/>
        <w:right w:val="none" w:sz="0" w:space="0" w:color="auto"/>
      </w:divBdr>
    </w:div>
    <w:div w:id="563951139">
      <w:bodyDiv w:val="1"/>
      <w:marLeft w:val="0"/>
      <w:marRight w:val="0"/>
      <w:marTop w:val="0"/>
      <w:marBottom w:val="0"/>
      <w:divBdr>
        <w:top w:val="none" w:sz="0" w:space="0" w:color="auto"/>
        <w:left w:val="none" w:sz="0" w:space="0" w:color="auto"/>
        <w:bottom w:val="none" w:sz="0" w:space="0" w:color="auto"/>
        <w:right w:val="none" w:sz="0" w:space="0" w:color="auto"/>
      </w:divBdr>
    </w:div>
    <w:div w:id="564337122">
      <w:bodyDiv w:val="1"/>
      <w:marLeft w:val="0"/>
      <w:marRight w:val="0"/>
      <w:marTop w:val="0"/>
      <w:marBottom w:val="0"/>
      <w:divBdr>
        <w:top w:val="none" w:sz="0" w:space="0" w:color="auto"/>
        <w:left w:val="none" w:sz="0" w:space="0" w:color="auto"/>
        <w:bottom w:val="none" w:sz="0" w:space="0" w:color="auto"/>
        <w:right w:val="none" w:sz="0" w:space="0" w:color="auto"/>
      </w:divBdr>
    </w:div>
    <w:div w:id="564533810">
      <w:bodyDiv w:val="1"/>
      <w:marLeft w:val="0"/>
      <w:marRight w:val="0"/>
      <w:marTop w:val="0"/>
      <w:marBottom w:val="0"/>
      <w:divBdr>
        <w:top w:val="none" w:sz="0" w:space="0" w:color="auto"/>
        <w:left w:val="none" w:sz="0" w:space="0" w:color="auto"/>
        <w:bottom w:val="none" w:sz="0" w:space="0" w:color="auto"/>
        <w:right w:val="none" w:sz="0" w:space="0" w:color="auto"/>
      </w:divBdr>
    </w:div>
    <w:div w:id="565409909">
      <w:bodyDiv w:val="1"/>
      <w:marLeft w:val="0"/>
      <w:marRight w:val="0"/>
      <w:marTop w:val="0"/>
      <w:marBottom w:val="0"/>
      <w:divBdr>
        <w:top w:val="none" w:sz="0" w:space="0" w:color="auto"/>
        <w:left w:val="none" w:sz="0" w:space="0" w:color="auto"/>
        <w:bottom w:val="none" w:sz="0" w:space="0" w:color="auto"/>
        <w:right w:val="none" w:sz="0" w:space="0" w:color="auto"/>
      </w:divBdr>
    </w:div>
    <w:div w:id="565605069">
      <w:bodyDiv w:val="1"/>
      <w:marLeft w:val="0"/>
      <w:marRight w:val="0"/>
      <w:marTop w:val="0"/>
      <w:marBottom w:val="0"/>
      <w:divBdr>
        <w:top w:val="none" w:sz="0" w:space="0" w:color="auto"/>
        <w:left w:val="none" w:sz="0" w:space="0" w:color="auto"/>
        <w:bottom w:val="none" w:sz="0" w:space="0" w:color="auto"/>
        <w:right w:val="none" w:sz="0" w:space="0" w:color="auto"/>
      </w:divBdr>
    </w:div>
    <w:div w:id="566306654">
      <w:bodyDiv w:val="1"/>
      <w:marLeft w:val="0"/>
      <w:marRight w:val="0"/>
      <w:marTop w:val="0"/>
      <w:marBottom w:val="0"/>
      <w:divBdr>
        <w:top w:val="none" w:sz="0" w:space="0" w:color="auto"/>
        <w:left w:val="none" w:sz="0" w:space="0" w:color="auto"/>
        <w:bottom w:val="none" w:sz="0" w:space="0" w:color="auto"/>
        <w:right w:val="none" w:sz="0" w:space="0" w:color="auto"/>
      </w:divBdr>
    </w:div>
    <w:div w:id="566497306">
      <w:bodyDiv w:val="1"/>
      <w:marLeft w:val="0"/>
      <w:marRight w:val="0"/>
      <w:marTop w:val="0"/>
      <w:marBottom w:val="0"/>
      <w:divBdr>
        <w:top w:val="none" w:sz="0" w:space="0" w:color="auto"/>
        <w:left w:val="none" w:sz="0" w:space="0" w:color="auto"/>
        <w:bottom w:val="none" w:sz="0" w:space="0" w:color="auto"/>
        <w:right w:val="none" w:sz="0" w:space="0" w:color="auto"/>
      </w:divBdr>
    </w:div>
    <w:div w:id="567151456">
      <w:bodyDiv w:val="1"/>
      <w:marLeft w:val="0"/>
      <w:marRight w:val="0"/>
      <w:marTop w:val="0"/>
      <w:marBottom w:val="0"/>
      <w:divBdr>
        <w:top w:val="none" w:sz="0" w:space="0" w:color="auto"/>
        <w:left w:val="none" w:sz="0" w:space="0" w:color="auto"/>
        <w:bottom w:val="none" w:sz="0" w:space="0" w:color="auto"/>
        <w:right w:val="none" w:sz="0" w:space="0" w:color="auto"/>
      </w:divBdr>
    </w:div>
    <w:div w:id="568154342">
      <w:bodyDiv w:val="1"/>
      <w:marLeft w:val="0"/>
      <w:marRight w:val="0"/>
      <w:marTop w:val="0"/>
      <w:marBottom w:val="0"/>
      <w:divBdr>
        <w:top w:val="none" w:sz="0" w:space="0" w:color="auto"/>
        <w:left w:val="none" w:sz="0" w:space="0" w:color="auto"/>
        <w:bottom w:val="none" w:sz="0" w:space="0" w:color="auto"/>
        <w:right w:val="none" w:sz="0" w:space="0" w:color="auto"/>
      </w:divBdr>
    </w:div>
    <w:div w:id="568731000">
      <w:bodyDiv w:val="1"/>
      <w:marLeft w:val="0"/>
      <w:marRight w:val="0"/>
      <w:marTop w:val="0"/>
      <w:marBottom w:val="0"/>
      <w:divBdr>
        <w:top w:val="none" w:sz="0" w:space="0" w:color="auto"/>
        <w:left w:val="none" w:sz="0" w:space="0" w:color="auto"/>
        <w:bottom w:val="none" w:sz="0" w:space="0" w:color="auto"/>
        <w:right w:val="none" w:sz="0" w:space="0" w:color="auto"/>
      </w:divBdr>
    </w:div>
    <w:div w:id="569771104">
      <w:bodyDiv w:val="1"/>
      <w:marLeft w:val="0"/>
      <w:marRight w:val="0"/>
      <w:marTop w:val="0"/>
      <w:marBottom w:val="0"/>
      <w:divBdr>
        <w:top w:val="none" w:sz="0" w:space="0" w:color="auto"/>
        <w:left w:val="none" w:sz="0" w:space="0" w:color="auto"/>
        <w:bottom w:val="none" w:sz="0" w:space="0" w:color="auto"/>
        <w:right w:val="none" w:sz="0" w:space="0" w:color="auto"/>
      </w:divBdr>
    </w:div>
    <w:div w:id="570653720">
      <w:bodyDiv w:val="1"/>
      <w:marLeft w:val="0"/>
      <w:marRight w:val="0"/>
      <w:marTop w:val="0"/>
      <w:marBottom w:val="0"/>
      <w:divBdr>
        <w:top w:val="none" w:sz="0" w:space="0" w:color="auto"/>
        <w:left w:val="none" w:sz="0" w:space="0" w:color="auto"/>
        <w:bottom w:val="none" w:sz="0" w:space="0" w:color="auto"/>
        <w:right w:val="none" w:sz="0" w:space="0" w:color="auto"/>
      </w:divBdr>
    </w:div>
    <w:div w:id="571893398">
      <w:bodyDiv w:val="1"/>
      <w:marLeft w:val="0"/>
      <w:marRight w:val="0"/>
      <w:marTop w:val="0"/>
      <w:marBottom w:val="0"/>
      <w:divBdr>
        <w:top w:val="none" w:sz="0" w:space="0" w:color="auto"/>
        <w:left w:val="none" w:sz="0" w:space="0" w:color="auto"/>
        <w:bottom w:val="none" w:sz="0" w:space="0" w:color="auto"/>
        <w:right w:val="none" w:sz="0" w:space="0" w:color="auto"/>
      </w:divBdr>
    </w:div>
    <w:div w:id="572549913">
      <w:bodyDiv w:val="1"/>
      <w:marLeft w:val="0"/>
      <w:marRight w:val="0"/>
      <w:marTop w:val="0"/>
      <w:marBottom w:val="0"/>
      <w:divBdr>
        <w:top w:val="none" w:sz="0" w:space="0" w:color="auto"/>
        <w:left w:val="none" w:sz="0" w:space="0" w:color="auto"/>
        <w:bottom w:val="none" w:sz="0" w:space="0" w:color="auto"/>
        <w:right w:val="none" w:sz="0" w:space="0" w:color="auto"/>
      </w:divBdr>
    </w:div>
    <w:div w:id="575015214">
      <w:bodyDiv w:val="1"/>
      <w:marLeft w:val="0"/>
      <w:marRight w:val="0"/>
      <w:marTop w:val="0"/>
      <w:marBottom w:val="0"/>
      <w:divBdr>
        <w:top w:val="none" w:sz="0" w:space="0" w:color="auto"/>
        <w:left w:val="none" w:sz="0" w:space="0" w:color="auto"/>
        <w:bottom w:val="none" w:sz="0" w:space="0" w:color="auto"/>
        <w:right w:val="none" w:sz="0" w:space="0" w:color="auto"/>
      </w:divBdr>
    </w:div>
    <w:div w:id="575480524">
      <w:bodyDiv w:val="1"/>
      <w:marLeft w:val="0"/>
      <w:marRight w:val="0"/>
      <w:marTop w:val="0"/>
      <w:marBottom w:val="0"/>
      <w:divBdr>
        <w:top w:val="none" w:sz="0" w:space="0" w:color="auto"/>
        <w:left w:val="none" w:sz="0" w:space="0" w:color="auto"/>
        <w:bottom w:val="none" w:sz="0" w:space="0" w:color="auto"/>
        <w:right w:val="none" w:sz="0" w:space="0" w:color="auto"/>
      </w:divBdr>
    </w:div>
    <w:div w:id="576979827">
      <w:bodyDiv w:val="1"/>
      <w:marLeft w:val="0"/>
      <w:marRight w:val="0"/>
      <w:marTop w:val="0"/>
      <w:marBottom w:val="0"/>
      <w:divBdr>
        <w:top w:val="none" w:sz="0" w:space="0" w:color="auto"/>
        <w:left w:val="none" w:sz="0" w:space="0" w:color="auto"/>
        <w:bottom w:val="none" w:sz="0" w:space="0" w:color="auto"/>
        <w:right w:val="none" w:sz="0" w:space="0" w:color="auto"/>
      </w:divBdr>
    </w:div>
    <w:div w:id="576981261">
      <w:bodyDiv w:val="1"/>
      <w:marLeft w:val="0"/>
      <w:marRight w:val="0"/>
      <w:marTop w:val="0"/>
      <w:marBottom w:val="0"/>
      <w:divBdr>
        <w:top w:val="none" w:sz="0" w:space="0" w:color="auto"/>
        <w:left w:val="none" w:sz="0" w:space="0" w:color="auto"/>
        <w:bottom w:val="none" w:sz="0" w:space="0" w:color="auto"/>
        <w:right w:val="none" w:sz="0" w:space="0" w:color="auto"/>
      </w:divBdr>
    </w:div>
    <w:div w:id="579101817">
      <w:bodyDiv w:val="1"/>
      <w:marLeft w:val="0"/>
      <w:marRight w:val="0"/>
      <w:marTop w:val="0"/>
      <w:marBottom w:val="0"/>
      <w:divBdr>
        <w:top w:val="none" w:sz="0" w:space="0" w:color="auto"/>
        <w:left w:val="none" w:sz="0" w:space="0" w:color="auto"/>
        <w:bottom w:val="none" w:sz="0" w:space="0" w:color="auto"/>
        <w:right w:val="none" w:sz="0" w:space="0" w:color="auto"/>
      </w:divBdr>
    </w:div>
    <w:div w:id="580145427">
      <w:bodyDiv w:val="1"/>
      <w:marLeft w:val="0"/>
      <w:marRight w:val="0"/>
      <w:marTop w:val="0"/>
      <w:marBottom w:val="0"/>
      <w:divBdr>
        <w:top w:val="none" w:sz="0" w:space="0" w:color="auto"/>
        <w:left w:val="none" w:sz="0" w:space="0" w:color="auto"/>
        <w:bottom w:val="none" w:sz="0" w:space="0" w:color="auto"/>
        <w:right w:val="none" w:sz="0" w:space="0" w:color="auto"/>
      </w:divBdr>
    </w:div>
    <w:div w:id="580414333">
      <w:bodyDiv w:val="1"/>
      <w:marLeft w:val="0"/>
      <w:marRight w:val="0"/>
      <w:marTop w:val="0"/>
      <w:marBottom w:val="0"/>
      <w:divBdr>
        <w:top w:val="none" w:sz="0" w:space="0" w:color="auto"/>
        <w:left w:val="none" w:sz="0" w:space="0" w:color="auto"/>
        <w:bottom w:val="none" w:sz="0" w:space="0" w:color="auto"/>
        <w:right w:val="none" w:sz="0" w:space="0" w:color="auto"/>
      </w:divBdr>
    </w:div>
    <w:div w:id="580984844">
      <w:bodyDiv w:val="1"/>
      <w:marLeft w:val="0"/>
      <w:marRight w:val="0"/>
      <w:marTop w:val="0"/>
      <w:marBottom w:val="0"/>
      <w:divBdr>
        <w:top w:val="none" w:sz="0" w:space="0" w:color="auto"/>
        <w:left w:val="none" w:sz="0" w:space="0" w:color="auto"/>
        <w:bottom w:val="none" w:sz="0" w:space="0" w:color="auto"/>
        <w:right w:val="none" w:sz="0" w:space="0" w:color="auto"/>
      </w:divBdr>
    </w:div>
    <w:div w:id="581527772">
      <w:bodyDiv w:val="1"/>
      <w:marLeft w:val="0"/>
      <w:marRight w:val="0"/>
      <w:marTop w:val="0"/>
      <w:marBottom w:val="0"/>
      <w:divBdr>
        <w:top w:val="none" w:sz="0" w:space="0" w:color="auto"/>
        <w:left w:val="none" w:sz="0" w:space="0" w:color="auto"/>
        <w:bottom w:val="none" w:sz="0" w:space="0" w:color="auto"/>
        <w:right w:val="none" w:sz="0" w:space="0" w:color="auto"/>
      </w:divBdr>
    </w:div>
    <w:div w:id="583606533">
      <w:bodyDiv w:val="1"/>
      <w:marLeft w:val="0"/>
      <w:marRight w:val="0"/>
      <w:marTop w:val="0"/>
      <w:marBottom w:val="0"/>
      <w:divBdr>
        <w:top w:val="none" w:sz="0" w:space="0" w:color="auto"/>
        <w:left w:val="none" w:sz="0" w:space="0" w:color="auto"/>
        <w:bottom w:val="none" w:sz="0" w:space="0" w:color="auto"/>
        <w:right w:val="none" w:sz="0" w:space="0" w:color="auto"/>
      </w:divBdr>
    </w:div>
    <w:div w:id="583615148">
      <w:bodyDiv w:val="1"/>
      <w:marLeft w:val="0"/>
      <w:marRight w:val="0"/>
      <w:marTop w:val="0"/>
      <w:marBottom w:val="0"/>
      <w:divBdr>
        <w:top w:val="none" w:sz="0" w:space="0" w:color="auto"/>
        <w:left w:val="none" w:sz="0" w:space="0" w:color="auto"/>
        <w:bottom w:val="none" w:sz="0" w:space="0" w:color="auto"/>
        <w:right w:val="none" w:sz="0" w:space="0" w:color="auto"/>
      </w:divBdr>
    </w:div>
    <w:div w:id="58564966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6228327">
      <w:bodyDiv w:val="1"/>
      <w:marLeft w:val="0"/>
      <w:marRight w:val="0"/>
      <w:marTop w:val="0"/>
      <w:marBottom w:val="0"/>
      <w:divBdr>
        <w:top w:val="none" w:sz="0" w:space="0" w:color="auto"/>
        <w:left w:val="none" w:sz="0" w:space="0" w:color="auto"/>
        <w:bottom w:val="none" w:sz="0" w:space="0" w:color="auto"/>
        <w:right w:val="none" w:sz="0" w:space="0" w:color="auto"/>
      </w:divBdr>
    </w:div>
    <w:div w:id="587077537">
      <w:bodyDiv w:val="1"/>
      <w:marLeft w:val="0"/>
      <w:marRight w:val="0"/>
      <w:marTop w:val="0"/>
      <w:marBottom w:val="0"/>
      <w:divBdr>
        <w:top w:val="none" w:sz="0" w:space="0" w:color="auto"/>
        <w:left w:val="none" w:sz="0" w:space="0" w:color="auto"/>
        <w:bottom w:val="none" w:sz="0" w:space="0" w:color="auto"/>
        <w:right w:val="none" w:sz="0" w:space="0" w:color="auto"/>
      </w:divBdr>
    </w:div>
    <w:div w:id="587351976">
      <w:bodyDiv w:val="1"/>
      <w:marLeft w:val="0"/>
      <w:marRight w:val="0"/>
      <w:marTop w:val="0"/>
      <w:marBottom w:val="0"/>
      <w:divBdr>
        <w:top w:val="none" w:sz="0" w:space="0" w:color="auto"/>
        <w:left w:val="none" w:sz="0" w:space="0" w:color="auto"/>
        <w:bottom w:val="none" w:sz="0" w:space="0" w:color="auto"/>
        <w:right w:val="none" w:sz="0" w:space="0" w:color="auto"/>
      </w:divBdr>
    </w:div>
    <w:div w:id="589046640">
      <w:bodyDiv w:val="1"/>
      <w:marLeft w:val="0"/>
      <w:marRight w:val="0"/>
      <w:marTop w:val="0"/>
      <w:marBottom w:val="0"/>
      <w:divBdr>
        <w:top w:val="none" w:sz="0" w:space="0" w:color="auto"/>
        <w:left w:val="none" w:sz="0" w:space="0" w:color="auto"/>
        <w:bottom w:val="none" w:sz="0" w:space="0" w:color="auto"/>
        <w:right w:val="none" w:sz="0" w:space="0" w:color="auto"/>
      </w:divBdr>
    </w:div>
    <w:div w:id="590285756">
      <w:bodyDiv w:val="1"/>
      <w:marLeft w:val="0"/>
      <w:marRight w:val="0"/>
      <w:marTop w:val="0"/>
      <w:marBottom w:val="0"/>
      <w:divBdr>
        <w:top w:val="none" w:sz="0" w:space="0" w:color="auto"/>
        <w:left w:val="none" w:sz="0" w:space="0" w:color="auto"/>
        <w:bottom w:val="none" w:sz="0" w:space="0" w:color="auto"/>
        <w:right w:val="none" w:sz="0" w:space="0" w:color="auto"/>
      </w:divBdr>
    </w:div>
    <w:div w:id="590820479">
      <w:bodyDiv w:val="1"/>
      <w:marLeft w:val="0"/>
      <w:marRight w:val="0"/>
      <w:marTop w:val="0"/>
      <w:marBottom w:val="0"/>
      <w:divBdr>
        <w:top w:val="none" w:sz="0" w:space="0" w:color="auto"/>
        <w:left w:val="none" w:sz="0" w:space="0" w:color="auto"/>
        <w:bottom w:val="none" w:sz="0" w:space="0" w:color="auto"/>
        <w:right w:val="none" w:sz="0" w:space="0" w:color="auto"/>
      </w:divBdr>
    </w:div>
    <w:div w:id="592011949">
      <w:bodyDiv w:val="1"/>
      <w:marLeft w:val="0"/>
      <w:marRight w:val="0"/>
      <w:marTop w:val="0"/>
      <w:marBottom w:val="0"/>
      <w:divBdr>
        <w:top w:val="none" w:sz="0" w:space="0" w:color="auto"/>
        <w:left w:val="none" w:sz="0" w:space="0" w:color="auto"/>
        <w:bottom w:val="none" w:sz="0" w:space="0" w:color="auto"/>
        <w:right w:val="none" w:sz="0" w:space="0" w:color="auto"/>
      </w:divBdr>
    </w:div>
    <w:div w:id="592324769">
      <w:bodyDiv w:val="1"/>
      <w:marLeft w:val="0"/>
      <w:marRight w:val="0"/>
      <w:marTop w:val="0"/>
      <w:marBottom w:val="0"/>
      <w:divBdr>
        <w:top w:val="none" w:sz="0" w:space="0" w:color="auto"/>
        <w:left w:val="none" w:sz="0" w:space="0" w:color="auto"/>
        <w:bottom w:val="none" w:sz="0" w:space="0" w:color="auto"/>
        <w:right w:val="none" w:sz="0" w:space="0" w:color="auto"/>
      </w:divBdr>
    </w:div>
    <w:div w:id="592737163">
      <w:bodyDiv w:val="1"/>
      <w:marLeft w:val="0"/>
      <w:marRight w:val="0"/>
      <w:marTop w:val="0"/>
      <w:marBottom w:val="0"/>
      <w:divBdr>
        <w:top w:val="none" w:sz="0" w:space="0" w:color="auto"/>
        <w:left w:val="none" w:sz="0" w:space="0" w:color="auto"/>
        <w:bottom w:val="none" w:sz="0" w:space="0" w:color="auto"/>
        <w:right w:val="none" w:sz="0" w:space="0" w:color="auto"/>
      </w:divBdr>
    </w:div>
    <w:div w:id="595553319">
      <w:bodyDiv w:val="1"/>
      <w:marLeft w:val="0"/>
      <w:marRight w:val="0"/>
      <w:marTop w:val="0"/>
      <w:marBottom w:val="0"/>
      <w:divBdr>
        <w:top w:val="none" w:sz="0" w:space="0" w:color="auto"/>
        <w:left w:val="none" w:sz="0" w:space="0" w:color="auto"/>
        <w:bottom w:val="none" w:sz="0" w:space="0" w:color="auto"/>
        <w:right w:val="none" w:sz="0" w:space="0" w:color="auto"/>
      </w:divBdr>
    </w:div>
    <w:div w:id="598677973">
      <w:bodyDiv w:val="1"/>
      <w:marLeft w:val="0"/>
      <w:marRight w:val="0"/>
      <w:marTop w:val="0"/>
      <w:marBottom w:val="0"/>
      <w:divBdr>
        <w:top w:val="none" w:sz="0" w:space="0" w:color="auto"/>
        <w:left w:val="none" w:sz="0" w:space="0" w:color="auto"/>
        <w:bottom w:val="none" w:sz="0" w:space="0" w:color="auto"/>
        <w:right w:val="none" w:sz="0" w:space="0" w:color="auto"/>
      </w:divBdr>
    </w:div>
    <w:div w:id="598832390">
      <w:bodyDiv w:val="1"/>
      <w:marLeft w:val="0"/>
      <w:marRight w:val="0"/>
      <w:marTop w:val="0"/>
      <w:marBottom w:val="0"/>
      <w:divBdr>
        <w:top w:val="none" w:sz="0" w:space="0" w:color="auto"/>
        <w:left w:val="none" w:sz="0" w:space="0" w:color="auto"/>
        <w:bottom w:val="none" w:sz="0" w:space="0" w:color="auto"/>
        <w:right w:val="none" w:sz="0" w:space="0" w:color="auto"/>
      </w:divBdr>
    </w:div>
    <w:div w:id="600452718">
      <w:bodyDiv w:val="1"/>
      <w:marLeft w:val="0"/>
      <w:marRight w:val="0"/>
      <w:marTop w:val="0"/>
      <w:marBottom w:val="0"/>
      <w:divBdr>
        <w:top w:val="none" w:sz="0" w:space="0" w:color="auto"/>
        <w:left w:val="none" w:sz="0" w:space="0" w:color="auto"/>
        <w:bottom w:val="none" w:sz="0" w:space="0" w:color="auto"/>
        <w:right w:val="none" w:sz="0" w:space="0" w:color="auto"/>
      </w:divBdr>
    </w:div>
    <w:div w:id="600719283">
      <w:bodyDiv w:val="1"/>
      <w:marLeft w:val="0"/>
      <w:marRight w:val="0"/>
      <w:marTop w:val="0"/>
      <w:marBottom w:val="0"/>
      <w:divBdr>
        <w:top w:val="none" w:sz="0" w:space="0" w:color="auto"/>
        <w:left w:val="none" w:sz="0" w:space="0" w:color="auto"/>
        <w:bottom w:val="none" w:sz="0" w:space="0" w:color="auto"/>
        <w:right w:val="none" w:sz="0" w:space="0" w:color="auto"/>
      </w:divBdr>
    </w:div>
    <w:div w:id="603152016">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4381950">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7010846">
      <w:bodyDiv w:val="1"/>
      <w:marLeft w:val="0"/>
      <w:marRight w:val="0"/>
      <w:marTop w:val="0"/>
      <w:marBottom w:val="0"/>
      <w:divBdr>
        <w:top w:val="none" w:sz="0" w:space="0" w:color="auto"/>
        <w:left w:val="none" w:sz="0" w:space="0" w:color="auto"/>
        <w:bottom w:val="none" w:sz="0" w:space="0" w:color="auto"/>
        <w:right w:val="none" w:sz="0" w:space="0" w:color="auto"/>
      </w:divBdr>
    </w:div>
    <w:div w:id="608314512">
      <w:bodyDiv w:val="1"/>
      <w:marLeft w:val="0"/>
      <w:marRight w:val="0"/>
      <w:marTop w:val="0"/>
      <w:marBottom w:val="0"/>
      <w:divBdr>
        <w:top w:val="none" w:sz="0" w:space="0" w:color="auto"/>
        <w:left w:val="none" w:sz="0" w:space="0" w:color="auto"/>
        <w:bottom w:val="none" w:sz="0" w:space="0" w:color="auto"/>
        <w:right w:val="none" w:sz="0" w:space="0" w:color="auto"/>
      </w:divBdr>
    </w:div>
    <w:div w:id="612051728">
      <w:bodyDiv w:val="1"/>
      <w:marLeft w:val="0"/>
      <w:marRight w:val="0"/>
      <w:marTop w:val="0"/>
      <w:marBottom w:val="0"/>
      <w:divBdr>
        <w:top w:val="none" w:sz="0" w:space="0" w:color="auto"/>
        <w:left w:val="none" w:sz="0" w:space="0" w:color="auto"/>
        <w:bottom w:val="none" w:sz="0" w:space="0" w:color="auto"/>
        <w:right w:val="none" w:sz="0" w:space="0" w:color="auto"/>
      </w:divBdr>
    </w:div>
    <w:div w:id="614674731">
      <w:bodyDiv w:val="1"/>
      <w:marLeft w:val="0"/>
      <w:marRight w:val="0"/>
      <w:marTop w:val="0"/>
      <w:marBottom w:val="0"/>
      <w:divBdr>
        <w:top w:val="none" w:sz="0" w:space="0" w:color="auto"/>
        <w:left w:val="none" w:sz="0" w:space="0" w:color="auto"/>
        <w:bottom w:val="none" w:sz="0" w:space="0" w:color="auto"/>
        <w:right w:val="none" w:sz="0" w:space="0" w:color="auto"/>
      </w:divBdr>
    </w:div>
    <w:div w:id="617685237">
      <w:bodyDiv w:val="1"/>
      <w:marLeft w:val="0"/>
      <w:marRight w:val="0"/>
      <w:marTop w:val="0"/>
      <w:marBottom w:val="0"/>
      <w:divBdr>
        <w:top w:val="none" w:sz="0" w:space="0" w:color="auto"/>
        <w:left w:val="none" w:sz="0" w:space="0" w:color="auto"/>
        <w:bottom w:val="none" w:sz="0" w:space="0" w:color="auto"/>
        <w:right w:val="none" w:sz="0" w:space="0" w:color="auto"/>
      </w:divBdr>
    </w:div>
    <w:div w:id="619577430">
      <w:bodyDiv w:val="1"/>
      <w:marLeft w:val="0"/>
      <w:marRight w:val="0"/>
      <w:marTop w:val="0"/>
      <w:marBottom w:val="0"/>
      <w:divBdr>
        <w:top w:val="none" w:sz="0" w:space="0" w:color="auto"/>
        <w:left w:val="none" w:sz="0" w:space="0" w:color="auto"/>
        <w:bottom w:val="none" w:sz="0" w:space="0" w:color="auto"/>
        <w:right w:val="none" w:sz="0" w:space="0" w:color="auto"/>
      </w:divBdr>
    </w:div>
    <w:div w:id="621424471">
      <w:bodyDiv w:val="1"/>
      <w:marLeft w:val="0"/>
      <w:marRight w:val="0"/>
      <w:marTop w:val="0"/>
      <w:marBottom w:val="0"/>
      <w:divBdr>
        <w:top w:val="none" w:sz="0" w:space="0" w:color="auto"/>
        <w:left w:val="none" w:sz="0" w:space="0" w:color="auto"/>
        <w:bottom w:val="none" w:sz="0" w:space="0" w:color="auto"/>
        <w:right w:val="none" w:sz="0" w:space="0" w:color="auto"/>
      </w:divBdr>
    </w:div>
    <w:div w:id="621691733">
      <w:bodyDiv w:val="1"/>
      <w:marLeft w:val="0"/>
      <w:marRight w:val="0"/>
      <w:marTop w:val="0"/>
      <w:marBottom w:val="0"/>
      <w:divBdr>
        <w:top w:val="none" w:sz="0" w:space="0" w:color="auto"/>
        <w:left w:val="none" w:sz="0" w:space="0" w:color="auto"/>
        <w:bottom w:val="none" w:sz="0" w:space="0" w:color="auto"/>
        <w:right w:val="none" w:sz="0" w:space="0" w:color="auto"/>
      </w:divBdr>
    </w:div>
    <w:div w:id="623000135">
      <w:bodyDiv w:val="1"/>
      <w:marLeft w:val="0"/>
      <w:marRight w:val="0"/>
      <w:marTop w:val="0"/>
      <w:marBottom w:val="0"/>
      <w:divBdr>
        <w:top w:val="none" w:sz="0" w:space="0" w:color="auto"/>
        <w:left w:val="none" w:sz="0" w:space="0" w:color="auto"/>
        <w:bottom w:val="none" w:sz="0" w:space="0" w:color="auto"/>
        <w:right w:val="none" w:sz="0" w:space="0" w:color="auto"/>
      </w:divBdr>
    </w:div>
    <w:div w:id="623267219">
      <w:bodyDiv w:val="1"/>
      <w:marLeft w:val="0"/>
      <w:marRight w:val="0"/>
      <w:marTop w:val="0"/>
      <w:marBottom w:val="0"/>
      <w:divBdr>
        <w:top w:val="none" w:sz="0" w:space="0" w:color="auto"/>
        <w:left w:val="none" w:sz="0" w:space="0" w:color="auto"/>
        <w:bottom w:val="none" w:sz="0" w:space="0" w:color="auto"/>
        <w:right w:val="none" w:sz="0" w:space="0" w:color="auto"/>
      </w:divBdr>
    </w:div>
    <w:div w:id="623317486">
      <w:bodyDiv w:val="1"/>
      <w:marLeft w:val="0"/>
      <w:marRight w:val="0"/>
      <w:marTop w:val="0"/>
      <w:marBottom w:val="0"/>
      <w:divBdr>
        <w:top w:val="none" w:sz="0" w:space="0" w:color="auto"/>
        <w:left w:val="none" w:sz="0" w:space="0" w:color="auto"/>
        <w:bottom w:val="none" w:sz="0" w:space="0" w:color="auto"/>
        <w:right w:val="none" w:sz="0" w:space="0" w:color="auto"/>
      </w:divBdr>
    </w:div>
    <w:div w:id="624701770">
      <w:bodyDiv w:val="1"/>
      <w:marLeft w:val="0"/>
      <w:marRight w:val="0"/>
      <w:marTop w:val="0"/>
      <w:marBottom w:val="0"/>
      <w:divBdr>
        <w:top w:val="none" w:sz="0" w:space="0" w:color="auto"/>
        <w:left w:val="none" w:sz="0" w:space="0" w:color="auto"/>
        <w:bottom w:val="none" w:sz="0" w:space="0" w:color="auto"/>
        <w:right w:val="none" w:sz="0" w:space="0" w:color="auto"/>
      </w:divBdr>
    </w:div>
    <w:div w:id="624849693">
      <w:bodyDiv w:val="1"/>
      <w:marLeft w:val="0"/>
      <w:marRight w:val="0"/>
      <w:marTop w:val="0"/>
      <w:marBottom w:val="0"/>
      <w:divBdr>
        <w:top w:val="none" w:sz="0" w:space="0" w:color="auto"/>
        <w:left w:val="none" w:sz="0" w:space="0" w:color="auto"/>
        <w:bottom w:val="none" w:sz="0" w:space="0" w:color="auto"/>
        <w:right w:val="none" w:sz="0" w:space="0" w:color="auto"/>
      </w:divBdr>
    </w:div>
    <w:div w:id="629437723">
      <w:bodyDiv w:val="1"/>
      <w:marLeft w:val="0"/>
      <w:marRight w:val="0"/>
      <w:marTop w:val="0"/>
      <w:marBottom w:val="0"/>
      <w:divBdr>
        <w:top w:val="none" w:sz="0" w:space="0" w:color="auto"/>
        <w:left w:val="none" w:sz="0" w:space="0" w:color="auto"/>
        <w:bottom w:val="none" w:sz="0" w:space="0" w:color="auto"/>
        <w:right w:val="none" w:sz="0" w:space="0" w:color="auto"/>
      </w:divBdr>
    </w:div>
    <w:div w:id="632901786">
      <w:bodyDiv w:val="1"/>
      <w:marLeft w:val="0"/>
      <w:marRight w:val="0"/>
      <w:marTop w:val="0"/>
      <w:marBottom w:val="0"/>
      <w:divBdr>
        <w:top w:val="none" w:sz="0" w:space="0" w:color="auto"/>
        <w:left w:val="none" w:sz="0" w:space="0" w:color="auto"/>
        <w:bottom w:val="none" w:sz="0" w:space="0" w:color="auto"/>
        <w:right w:val="none" w:sz="0" w:space="0" w:color="auto"/>
      </w:divBdr>
    </w:div>
    <w:div w:id="633488394">
      <w:bodyDiv w:val="1"/>
      <w:marLeft w:val="0"/>
      <w:marRight w:val="0"/>
      <w:marTop w:val="0"/>
      <w:marBottom w:val="0"/>
      <w:divBdr>
        <w:top w:val="none" w:sz="0" w:space="0" w:color="auto"/>
        <w:left w:val="none" w:sz="0" w:space="0" w:color="auto"/>
        <w:bottom w:val="none" w:sz="0" w:space="0" w:color="auto"/>
        <w:right w:val="none" w:sz="0" w:space="0" w:color="auto"/>
      </w:divBdr>
    </w:div>
    <w:div w:id="636565743">
      <w:bodyDiv w:val="1"/>
      <w:marLeft w:val="0"/>
      <w:marRight w:val="0"/>
      <w:marTop w:val="0"/>
      <w:marBottom w:val="0"/>
      <w:divBdr>
        <w:top w:val="none" w:sz="0" w:space="0" w:color="auto"/>
        <w:left w:val="none" w:sz="0" w:space="0" w:color="auto"/>
        <w:bottom w:val="none" w:sz="0" w:space="0" w:color="auto"/>
        <w:right w:val="none" w:sz="0" w:space="0" w:color="auto"/>
      </w:divBdr>
    </w:div>
    <w:div w:id="637804495">
      <w:bodyDiv w:val="1"/>
      <w:marLeft w:val="0"/>
      <w:marRight w:val="0"/>
      <w:marTop w:val="0"/>
      <w:marBottom w:val="0"/>
      <w:divBdr>
        <w:top w:val="none" w:sz="0" w:space="0" w:color="auto"/>
        <w:left w:val="none" w:sz="0" w:space="0" w:color="auto"/>
        <w:bottom w:val="none" w:sz="0" w:space="0" w:color="auto"/>
        <w:right w:val="none" w:sz="0" w:space="0" w:color="auto"/>
      </w:divBdr>
    </w:div>
    <w:div w:id="639119773">
      <w:bodyDiv w:val="1"/>
      <w:marLeft w:val="0"/>
      <w:marRight w:val="0"/>
      <w:marTop w:val="0"/>
      <w:marBottom w:val="0"/>
      <w:divBdr>
        <w:top w:val="none" w:sz="0" w:space="0" w:color="auto"/>
        <w:left w:val="none" w:sz="0" w:space="0" w:color="auto"/>
        <w:bottom w:val="none" w:sz="0" w:space="0" w:color="auto"/>
        <w:right w:val="none" w:sz="0" w:space="0" w:color="auto"/>
      </w:divBdr>
    </w:div>
    <w:div w:id="641429197">
      <w:bodyDiv w:val="1"/>
      <w:marLeft w:val="0"/>
      <w:marRight w:val="0"/>
      <w:marTop w:val="0"/>
      <w:marBottom w:val="0"/>
      <w:divBdr>
        <w:top w:val="none" w:sz="0" w:space="0" w:color="auto"/>
        <w:left w:val="none" w:sz="0" w:space="0" w:color="auto"/>
        <w:bottom w:val="none" w:sz="0" w:space="0" w:color="auto"/>
        <w:right w:val="none" w:sz="0" w:space="0" w:color="auto"/>
      </w:divBdr>
    </w:div>
    <w:div w:id="641615552">
      <w:bodyDiv w:val="1"/>
      <w:marLeft w:val="0"/>
      <w:marRight w:val="0"/>
      <w:marTop w:val="0"/>
      <w:marBottom w:val="0"/>
      <w:divBdr>
        <w:top w:val="none" w:sz="0" w:space="0" w:color="auto"/>
        <w:left w:val="none" w:sz="0" w:space="0" w:color="auto"/>
        <w:bottom w:val="none" w:sz="0" w:space="0" w:color="auto"/>
        <w:right w:val="none" w:sz="0" w:space="0" w:color="auto"/>
      </w:divBdr>
    </w:div>
    <w:div w:id="64392343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5859851">
      <w:bodyDiv w:val="1"/>
      <w:marLeft w:val="0"/>
      <w:marRight w:val="0"/>
      <w:marTop w:val="0"/>
      <w:marBottom w:val="0"/>
      <w:divBdr>
        <w:top w:val="none" w:sz="0" w:space="0" w:color="auto"/>
        <w:left w:val="none" w:sz="0" w:space="0" w:color="auto"/>
        <w:bottom w:val="none" w:sz="0" w:space="0" w:color="auto"/>
        <w:right w:val="none" w:sz="0" w:space="0" w:color="auto"/>
      </w:divBdr>
    </w:div>
    <w:div w:id="646128109">
      <w:bodyDiv w:val="1"/>
      <w:marLeft w:val="0"/>
      <w:marRight w:val="0"/>
      <w:marTop w:val="0"/>
      <w:marBottom w:val="0"/>
      <w:divBdr>
        <w:top w:val="none" w:sz="0" w:space="0" w:color="auto"/>
        <w:left w:val="none" w:sz="0" w:space="0" w:color="auto"/>
        <w:bottom w:val="none" w:sz="0" w:space="0" w:color="auto"/>
        <w:right w:val="none" w:sz="0" w:space="0" w:color="auto"/>
      </w:divBdr>
    </w:div>
    <w:div w:id="647322515">
      <w:bodyDiv w:val="1"/>
      <w:marLeft w:val="0"/>
      <w:marRight w:val="0"/>
      <w:marTop w:val="0"/>
      <w:marBottom w:val="0"/>
      <w:divBdr>
        <w:top w:val="none" w:sz="0" w:space="0" w:color="auto"/>
        <w:left w:val="none" w:sz="0" w:space="0" w:color="auto"/>
        <w:bottom w:val="none" w:sz="0" w:space="0" w:color="auto"/>
        <w:right w:val="none" w:sz="0" w:space="0" w:color="auto"/>
      </w:divBdr>
    </w:div>
    <w:div w:id="649596110">
      <w:bodyDiv w:val="1"/>
      <w:marLeft w:val="0"/>
      <w:marRight w:val="0"/>
      <w:marTop w:val="0"/>
      <w:marBottom w:val="0"/>
      <w:divBdr>
        <w:top w:val="none" w:sz="0" w:space="0" w:color="auto"/>
        <w:left w:val="none" w:sz="0" w:space="0" w:color="auto"/>
        <w:bottom w:val="none" w:sz="0" w:space="0" w:color="auto"/>
        <w:right w:val="none" w:sz="0" w:space="0" w:color="auto"/>
      </w:divBdr>
    </w:div>
    <w:div w:id="650214479">
      <w:bodyDiv w:val="1"/>
      <w:marLeft w:val="0"/>
      <w:marRight w:val="0"/>
      <w:marTop w:val="0"/>
      <w:marBottom w:val="0"/>
      <w:divBdr>
        <w:top w:val="none" w:sz="0" w:space="0" w:color="auto"/>
        <w:left w:val="none" w:sz="0" w:space="0" w:color="auto"/>
        <w:bottom w:val="none" w:sz="0" w:space="0" w:color="auto"/>
        <w:right w:val="none" w:sz="0" w:space="0" w:color="auto"/>
      </w:divBdr>
    </w:div>
    <w:div w:id="652874141">
      <w:bodyDiv w:val="1"/>
      <w:marLeft w:val="0"/>
      <w:marRight w:val="0"/>
      <w:marTop w:val="0"/>
      <w:marBottom w:val="0"/>
      <w:divBdr>
        <w:top w:val="none" w:sz="0" w:space="0" w:color="auto"/>
        <w:left w:val="none" w:sz="0" w:space="0" w:color="auto"/>
        <w:bottom w:val="none" w:sz="0" w:space="0" w:color="auto"/>
        <w:right w:val="none" w:sz="0" w:space="0" w:color="auto"/>
      </w:divBdr>
    </w:div>
    <w:div w:id="653145767">
      <w:bodyDiv w:val="1"/>
      <w:marLeft w:val="0"/>
      <w:marRight w:val="0"/>
      <w:marTop w:val="0"/>
      <w:marBottom w:val="0"/>
      <w:divBdr>
        <w:top w:val="none" w:sz="0" w:space="0" w:color="auto"/>
        <w:left w:val="none" w:sz="0" w:space="0" w:color="auto"/>
        <w:bottom w:val="none" w:sz="0" w:space="0" w:color="auto"/>
        <w:right w:val="none" w:sz="0" w:space="0" w:color="auto"/>
      </w:divBdr>
    </w:div>
    <w:div w:id="655038879">
      <w:bodyDiv w:val="1"/>
      <w:marLeft w:val="0"/>
      <w:marRight w:val="0"/>
      <w:marTop w:val="0"/>
      <w:marBottom w:val="0"/>
      <w:divBdr>
        <w:top w:val="none" w:sz="0" w:space="0" w:color="auto"/>
        <w:left w:val="none" w:sz="0" w:space="0" w:color="auto"/>
        <w:bottom w:val="none" w:sz="0" w:space="0" w:color="auto"/>
        <w:right w:val="none" w:sz="0" w:space="0" w:color="auto"/>
      </w:divBdr>
    </w:div>
    <w:div w:id="655233274">
      <w:bodyDiv w:val="1"/>
      <w:marLeft w:val="0"/>
      <w:marRight w:val="0"/>
      <w:marTop w:val="0"/>
      <w:marBottom w:val="0"/>
      <w:divBdr>
        <w:top w:val="none" w:sz="0" w:space="0" w:color="auto"/>
        <w:left w:val="none" w:sz="0" w:space="0" w:color="auto"/>
        <w:bottom w:val="none" w:sz="0" w:space="0" w:color="auto"/>
        <w:right w:val="none" w:sz="0" w:space="0" w:color="auto"/>
      </w:divBdr>
    </w:div>
    <w:div w:id="655449617">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5840271">
      <w:bodyDiv w:val="1"/>
      <w:marLeft w:val="0"/>
      <w:marRight w:val="0"/>
      <w:marTop w:val="0"/>
      <w:marBottom w:val="0"/>
      <w:divBdr>
        <w:top w:val="none" w:sz="0" w:space="0" w:color="auto"/>
        <w:left w:val="none" w:sz="0" w:space="0" w:color="auto"/>
        <w:bottom w:val="none" w:sz="0" w:space="0" w:color="auto"/>
        <w:right w:val="none" w:sz="0" w:space="0" w:color="auto"/>
      </w:divBdr>
    </w:div>
    <w:div w:id="660231843">
      <w:bodyDiv w:val="1"/>
      <w:marLeft w:val="0"/>
      <w:marRight w:val="0"/>
      <w:marTop w:val="0"/>
      <w:marBottom w:val="0"/>
      <w:divBdr>
        <w:top w:val="none" w:sz="0" w:space="0" w:color="auto"/>
        <w:left w:val="none" w:sz="0" w:space="0" w:color="auto"/>
        <w:bottom w:val="none" w:sz="0" w:space="0" w:color="auto"/>
        <w:right w:val="none" w:sz="0" w:space="0" w:color="auto"/>
      </w:divBdr>
    </w:div>
    <w:div w:id="660305135">
      <w:bodyDiv w:val="1"/>
      <w:marLeft w:val="0"/>
      <w:marRight w:val="0"/>
      <w:marTop w:val="0"/>
      <w:marBottom w:val="0"/>
      <w:divBdr>
        <w:top w:val="none" w:sz="0" w:space="0" w:color="auto"/>
        <w:left w:val="none" w:sz="0" w:space="0" w:color="auto"/>
        <w:bottom w:val="none" w:sz="0" w:space="0" w:color="auto"/>
        <w:right w:val="none" w:sz="0" w:space="0" w:color="auto"/>
      </w:divBdr>
    </w:div>
    <w:div w:id="661350059">
      <w:bodyDiv w:val="1"/>
      <w:marLeft w:val="0"/>
      <w:marRight w:val="0"/>
      <w:marTop w:val="0"/>
      <w:marBottom w:val="0"/>
      <w:divBdr>
        <w:top w:val="none" w:sz="0" w:space="0" w:color="auto"/>
        <w:left w:val="none" w:sz="0" w:space="0" w:color="auto"/>
        <w:bottom w:val="none" w:sz="0" w:space="0" w:color="auto"/>
        <w:right w:val="none" w:sz="0" w:space="0" w:color="auto"/>
      </w:divBdr>
    </w:div>
    <w:div w:id="661546766">
      <w:bodyDiv w:val="1"/>
      <w:marLeft w:val="0"/>
      <w:marRight w:val="0"/>
      <w:marTop w:val="0"/>
      <w:marBottom w:val="0"/>
      <w:divBdr>
        <w:top w:val="none" w:sz="0" w:space="0" w:color="auto"/>
        <w:left w:val="none" w:sz="0" w:space="0" w:color="auto"/>
        <w:bottom w:val="none" w:sz="0" w:space="0" w:color="auto"/>
        <w:right w:val="none" w:sz="0" w:space="0" w:color="auto"/>
      </w:divBdr>
    </w:div>
    <w:div w:id="661735176">
      <w:bodyDiv w:val="1"/>
      <w:marLeft w:val="0"/>
      <w:marRight w:val="0"/>
      <w:marTop w:val="0"/>
      <w:marBottom w:val="0"/>
      <w:divBdr>
        <w:top w:val="none" w:sz="0" w:space="0" w:color="auto"/>
        <w:left w:val="none" w:sz="0" w:space="0" w:color="auto"/>
        <w:bottom w:val="none" w:sz="0" w:space="0" w:color="auto"/>
        <w:right w:val="none" w:sz="0" w:space="0" w:color="auto"/>
      </w:divBdr>
    </w:div>
    <w:div w:id="662005287">
      <w:bodyDiv w:val="1"/>
      <w:marLeft w:val="0"/>
      <w:marRight w:val="0"/>
      <w:marTop w:val="0"/>
      <w:marBottom w:val="0"/>
      <w:divBdr>
        <w:top w:val="none" w:sz="0" w:space="0" w:color="auto"/>
        <w:left w:val="none" w:sz="0" w:space="0" w:color="auto"/>
        <w:bottom w:val="none" w:sz="0" w:space="0" w:color="auto"/>
        <w:right w:val="none" w:sz="0" w:space="0" w:color="auto"/>
      </w:divBdr>
    </w:div>
    <w:div w:id="662512025">
      <w:bodyDiv w:val="1"/>
      <w:marLeft w:val="0"/>
      <w:marRight w:val="0"/>
      <w:marTop w:val="0"/>
      <w:marBottom w:val="0"/>
      <w:divBdr>
        <w:top w:val="none" w:sz="0" w:space="0" w:color="auto"/>
        <w:left w:val="none" w:sz="0" w:space="0" w:color="auto"/>
        <w:bottom w:val="none" w:sz="0" w:space="0" w:color="auto"/>
        <w:right w:val="none" w:sz="0" w:space="0" w:color="auto"/>
      </w:divBdr>
    </w:div>
    <w:div w:id="664868383">
      <w:bodyDiv w:val="1"/>
      <w:marLeft w:val="0"/>
      <w:marRight w:val="0"/>
      <w:marTop w:val="0"/>
      <w:marBottom w:val="0"/>
      <w:divBdr>
        <w:top w:val="none" w:sz="0" w:space="0" w:color="auto"/>
        <w:left w:val="none" w:sz="0" w:space="0" w:color="auto"/>
        <w:bottom w:val="none" w:sz="0" w:space="0" w:color="auto"/>
        <w:right w:val="none" w:sz="0" w:space="0" w:color="auto"/>
      </w:divBdr>
    </w:div>
    <w:div w:id="665671281">
      <w:bodyDiv w:val="1"/>
      <w:marLeft w:val="0"/>
      <w:marRight w:val="0"/>
      <w:marTop w:val="0"/>
      <w:marBottom w:val="0"/>
      <w:divBdr>
        <w:top w:val="none" w:sz="0" w:space="0" w:color="auto"/>
        <w:left w:val="none" w:sz="0" w:space="0" w:color="auto"/>
        <w:bottom w:val="none" w:sz="0" w:space="0" w:color="auto"/>
        <w:right w:val="none" w:sz="0" w:space="0" w:color="auto"/>
      </w:divBdr>
    </w:div>
    <w:div w:id="666641261">
      <w:bodyDiv w:val="1"/>
      <w:marLeft w:val="0"/>
      <w:marRight w:val="0"/>
      <w:marTop w:val="0"/>
      <w:marBottom w:val="0"/>
      <w:divBdr>
        <w:top w:val="none" w:sz="0" w:space="0" w:color="auto"/>
        <w:left w:val="none" w:sz="0" w:space="0" w:color="auto"/>
        <w:bottom w:val="none" w:sz="0" w:space="0" w:color="auto"/>
        <w:right w:val="none" w:sz="0" w:space="0" w:color="auto"/>
      </w:divBdr>
    </w:div>
    <w:div w:id="667632261">
      <w:bodyDiv w:val="1"/>
      <w:marLeft w:val="0"/>
      <w:marRight w:val="0"/>
      <w:marTop w:val="0"/>
      <w:marBottom w:val="0"/>
      <w:divBdr>
        <w:top w:val="none" w:sz="0" w:space="0" w:color="auto"/>
        <w:left w:val="none" w:sz="0" w:space="0" w:color="auto"/>
        <w:bottom w:val="none" w:sz="0" w:space="0" w:color="auto"/>
        <w:right w:val="none" w:sz="0" w:space="0" w:color="auto"/>
      </w:divBdr>
    </w:div>
    <w:div w:id="668486607">
      <w:bodyDiv w:val="1"/>
      <w:marLeft w:val="0"/>
      <w:marRight w:val="0"/>
      <w:marTop w:val="0"/>
      <w:marBottom w:val="0"/>
      <w:divBdr>
        <w:top w:val="none" w:sz="0" w:space="0" w:color="auto"/>
        <w:left w:val="none" w:sz="0" w:space="0" w:color="auto"/>
        <w:bottom w:val="none" w:sz="0" w:space="0" w:color="auto"/>
        <w:right w:val="none" w:sz="0" w:space="0" w:color="auto"/>
      </w:divBdr>
    </w:div>
    <w:div w:id="669216003">
      <w:bodyDiv w:val="1"/>
      <w:marLeft w:val="0"/>
      <w:marRight w:val="0"/>
      <w:marTop w:val="0"/>
      <w:marBottom w:val="0"/>
      <w:divBdr>
        <w:top w:val="none" w:sz="0" w:space="0" w:color="auto"/>
        <w:left w:val="none" w:sz="0" w:space="0" w:color="auto"/>
        <w:bottom w:val="none" w:sz="0" w:space="0" w:color="auto"/>
        <w:right w:val="none" w:sz="0" w:space="0" w:color="auto"/>
      </w:divBdr>
    </w:div>
    <w:div w:id="669482744">
      <w:bodyDiv w:val="1"/>
      <w:marLeft w:val="0"/>
      <w:marRight w:val="0"/>
      <w:marTop w:val="0"/>
      <w:marBottom w:val="0"/>
      <w:divBdr>
        <w:top w:val="none" w:sz="0" w:space="0" w:color="auto"/>
        <w:left w:val="none" w:sz="0" w:space="0" w:color="auto"/>
        <w:bottom w:val="none" w:sz="0" w:space="0" w:color="auto"/>
        <w:right w:val="none" w:sz="0" w:space="0" w:color="auto"/>
      </w:divBdr>
    </w:div>
    <w:div w:id="669909584">
      <w:bodyDiv w:val="1"/>
      <w:marLeft w:val="0"/>
      <w:marRight w:val="0"/>
      <w:marTop w:val="0"/>
      <w:marBottom w:val="0"/>
      <w:divBdr>
        <w:top w:val="none" w:sz="0" w:space="0" w:color="auto"/>
        <w:left w:val="none" w:sz="0" w:space="0" w:color="auto"/>
        <w:bottom w:val="none" w:sz="0" w:space="0" w:color="auto"/>
        <w:right w:val="none" w:sz="0" w:space="0" w:color="auto"/>
      </w:divBdr>
    </w:div>
    <w:div w:id="670303366">
      <w:bodyDiv w:val="1"/>
      <w:marLeft w:val="0"/>
      <w:marRight w:val="0"/>
      <w:marTop w:val="0"/>
      <w:marBottom w:val="0"/>
      <w:divBdr>
        <w:top w:val="none" w:sz="0" w:space="0" w:color="auto"/>
        <w:left w:val="none" w:sz="0" w:space="0" w:color="auto"/>
        <w:bottom w:val="none" w:sz="0" w:space="0" w:color="auto"/>
        <w:right w:val="none" w:sz="0" w:space="0" w:color="auto"/>
      </w:divBdr>
    </w:div>
    <w:div w:id="671221968">
      <w:bodyDiv w:val="1"/>
      <w:marLeft w:val="0"/>
      <w:marRight w:val="0"/>
      <w:marTop w:val="0"/>
      <w:marBottom w:val="0"/>
      <w:divBdr>
        <w:top w:val="none" w:sz="0" w:space="0" w:color="auto"/>
        <w:left w:val="none" w:sz="0" w:space="0" w:color="auto"/>
        <w:bottom w:val="none" w:sz="0" w:space="0" w:color="auto"/>
        <w:right w:val="none" w:sz="0" w:space="0" w:color="auto"/>
      </w:divBdr>
    </w:div>
    <w:div w:id="672296858">
      <w:bodyDiv w:val="1"/>
      <w:marLeft w:val="0"/>
      <w:marRight w:val="0"/>
      <w:marTop w:val="0"/>
      <w:marBottom w:val="0"/>
      <w:divBdr>
        <w:top w:val="none" w:sz="0" w:space="0" w:color="auto"/>
        <w:left w:val="none" w:sz="0" w:space="0" w:color="auto"/>
        <w:bottom w:val="none" w:sz="0" w:space="0" w:color="auto"/>
        <w:right w:val="none" w:sz="0" w:space="0" w:color="auto"/>
      </w:divBdr>
    </w:div>
    <w:div w:id="672534507">
      <w:bodyDiv w:val="1"/>
      <w:marLeft w:val="0"/>
      <w:marRight w:val="0"/>
      <w:marTop w:val="0"/>
      <w:marBottom w:val="0"/>
      <w:divBdr>
        <w:top w:val="none" w:sz="0" w:space="0" w:color="auto"/>
        <w:left w:val="none" w:sz="0" w:space="0" w:color="auto"/>
        <w:bottom w:val="none" w:sz="0" w:space="0" w:color="auto"/>
        <w:right w:val="none" w:sz="0" w:space="0" w:color="auto"/>
      </w:divBdr>
    </w:div>
    <w:div w:id="674497605">
      <w:bodyDiv w:val="1"/>
      <w:marLeft w:val="0"/>
      <w:marRight w:val="0"/>
      <w:marTop w:val="0"/>
      <w:marBottom w:val="0"/>
      <w:divBdr>
        <w:top w:val="none" w:sz="0" w:space="0" w:color="auto"/>
        <w:left w:val="none" w:sz="0" w:space="0" w:color="auto"/>
        <w:bottom w:val="none" w:sz="0" w:space="0" w:color="auto"/>
        <w:right w:val="none" w:sz="0" w:space="0" w:color="auto"/>
      </w:divBdr>
    </w:div>
    <w:div w:id="675957190">
      <w:bodyDiv w:val="1"/>
      <w:marLeft w:val="0"/>
      <w:marRight w:val="0"/>
      <w:marTop w:val="0"/>
      <w:marBottom w:val="0"/>
      <w:divBdr>
        <w:top w:val="none" w:sz="0" w:space="0" w:color="auto"/>
        <w:left w:val="none" w:sz="0" w:space="0" w:color="auto"/>
        <w:bottom w:val="none" w:sz="0" w:space="0" w:color="auto"/>
        <w:right w:val="none" w:sz="0" w:space="0" w:color="auto"/>
      </w:divBdr>
    </w:div>
    <w:div w:id="676080423">
      <w:bodyDiv w:val="1"/>
      <w:marLeft w:val="0"/>
      <w:marRight w:val="0"/>
      <w:marTop w:val="0"/>
      <w:marBottom w:val="0"/>
      <w:divBdr>
        <w:top w:val="none" w:sz="0" w:space="0" w:color="auto"/>
        <w:left w:val="none" w:sz="0" w:space="0" w:color="auto"/>
        <w:bottom w:val="none" w:sz="0" w:space="0" w:color="auto"/>
        <w:right w:val="none" w:sz="0" w:space="0" w:color="auto"/>
      </w:divBdr>
    </w:div>
    <w:div w:id="678123949">
      <w:bodyDiv w:val="1"/>
      <w:marLeft w:val="0"/>
      <w:marRight w:val="0"/>
      <w:marTop w:val="0"/>
      <w:marBottom w:val="0"/>
      <w:divBdr>
        <w:top w:val="none" w:sz="0" w:space="0" w:color="auto"/>
        <w:left w:val="none" w:sz="0" w:space="0" w:color="auto"/>
        <w:bottom w:val="none" w:sz="0" w:space="0" w:color="auto"/>
        <w:right w:val="none" w:sz="0" w:space="0" w:color="auto"/>
      </w:divBdr>
    </w:div>
    <w:div w:id="679309363">
      <w:bodyDiv w:val="1"/>
      <w:marLeft w:val="0"/>
      <w:marRight w:val="0"/>
      <w:marTop w:val="0"/>
      <w:marBottom w:val="0"/>
      <w:divBdr>
        <w:top w:val="none" w:sz="0" w:space="0" w:color="auto"/>
        <w:left w:val="none" w:sz="0" w:space="0" w:color="auto"/>
        <w:bottom w:val="none" w:sz="0" w:space="0" w:color="auto"/>
        <w:right w:val="none" w:sz="0" w:space="0" w:color="auto"/>
      </w:divBdr>
    </w:div>
    <w:div w:id="680165124">
      <w:bodyDiv w:val="1"/>
      <w:marLeft w:val="0"/>
      <w:marRight w:val="0"/>
      <w:marTop w:val="0"/>
      <w:marBottom w:val="0"/>
      <w:divBdr>
        <w:top w:val="none" w:sz="0" w:space="0" w:color="auto"/>
        <w:left w:val="none" w:sz="0" w:space="0" w:color="auto"/>
        <w:bottom w:val="none" w:sz="0" w:space="0" w:color="auto"/>
        <w:right w:val="none" w:sz="0" w:space="0" w:color="auto"/>
      </w:divBdr>
    </w:div>
    <w:div w:id="680668900">
      <w:bodyDiv w:val="1"/>
      <w:marLeft w:val="0"/>
      <w:marRight w:val="0"/>
      <w:marTop w:val="0"/>
      <w:marBottom w:val="0"/>
      <w:divBdr>
        <w:top w:val="none" w:sz="0" w:space="0" w:color="auto"/>
        <w:left w:val="none" w:sz="0" w:space="0" w:color="auto"/>
        <w:bottom w:val="none" w:sz="0" w:space="0" w:color="auto"/>
        <w:right w:val="none" w:sz="0" w:space="0" w:color="auto"/>
      </w:divBdr>
    </w:div>
    <w:div w:id="68073948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4133483">
      <w:bodyDiv w:val="1"/>
      <w:marLeft w:val="0"/>
      <w:marRight w:val="0"/>
      <w:marTop w:val="0"/>
      <w:marBottom w:val="0"/>
      <w:divBdr>
        <w:top w:val="none" w:sz="0" w:space="0" w:color="auto"/>
        <w:left w:val="none" w:sz="0" w:space="0" w:color="auto"/>
        <w:bottom w:val="none" w:sz="0" w:space="0" w:color="auto"/>
        <w:right w:val="none" w:sz="0" w:space="0" w:color="auto"/>
      </w:divBdr>
    </w:div>
    <w:div w:id="684938528">
      <w:bodyDiv w:val="1"/>
      <w:marLeft w:val="0"/>
      <w:marRight w:val="0"/>
      <w:marTop w:val="0"/>
      <w:marBottom w:val="0"/>
      <w:divBdr>
        <w:top w:val="none" w:sz="0" w:space="0" w:color="auto"/>
        <w:left w:val="none" w:sz="0" w:space="0" w:color="auto"/>
        <w:bottom w:val="none" w:sz="0" w:space="0" w:color="auto"/>
        <w:right w:val="none" w:sz="0" w:space="0" w:color="auto"/>
      </w:divBdr>
    </w:div>
    <w:div w:id="684988509">
      <w:bodyDiv w:val="1"/>
      <w:marLeft w:val="0"/>
      <w:marRight w:val="0"/>
      <w:marTop w:val="0"/>
      <w:marBottom w:val="0"/>
      <w:divBdr>
        <w:top w:val="none" w:sz="0" w:space="0" w:color="auto"/>
        <w:left w:val="none" w:sz="0" w:space="0" w:color="auto"/>
        <w:bottom w:val="none" w:sz="0" w:space="0" w:color="auto"/>
        <w:right w:val="none" w:sz="0" w:space="0" w:color="auto"/>
      </w:divBdr>
    </w:div>
    <w:div w:id="686370022">
      <w:bodyDiv w:val="1"/>
      <w:marLeft w:val="0"/>
      <w:marRight w:val="0"/>
      <w:marTop w:val="0"/>
      <w:marBottom w:val="0"/>
      <w:divBdr>
        <w:top w:val="none" w:sz="0" w:space="0" w:color="auto"/>
        <w:left w:val="none" w:sz="0" w:space="0" w:color="auto"/>
        <w:bottom w:val="none" w:sz="0" w:space="0" w:color="auto"/>
        <w:right w:val="none" w:sz="0" w:space="0" w:color="auto"/>
      </w:divBdr>
    </w:div>
    <w:div w:id="687869861">
      <w:bodyDiv w:val="1"/>
      <w:marLeft w:val="0"/>
      <w:marRight w:val="0"/>
      <w:marTop w:val="0"/>
      <w:marBottom w:val="0"/>
      <w:divBdr>
        <w:top w:val="none" w:sz="0" w:space="0" w:color="auto"/>
        <w:left w:val="none" w:sz="0" w:space="0" w:color="auto"/>
        <w:bottom w:val="none" w:sz="0" w:space="0" w:color="auto"/>
        <w:right w:val="none" w:sz="0" w:space="0" w:color="auto"/>
      </w:divBdr>
    </w:div>
    <w:div w:id="689574956">
      <w:bodyDiv w:val="1"/>
      <w:marLeft w:val="0"/>
      <w:marRight w:val="0"/>
      <w:marTop w:val="0"/>
      <w:marBottom w:val="0"/>
      <w:divBdr>
        <w:top w:val="none" w:sz="0" w:space="0" w:color="auto"/>
        <w:left w:val="none" w:sz="0" w:space="0" w:color="auto"/>
        <w:bottom w:val="none" w:sz="0" w:space="0" w:color="auto"/>
        <w:right w:val="none" w:sz="0" w:space="0" w:color="auto"/>
      </w:divBdr>
    </w:div>
    <w:div w:id="691763961">
      <w:bodyDiv w:val="1"/>
      <w:marLeft w:val="0"/>
      <w:marRight w:val="0"/>
      <w:marTop w:val="0"/>
      <w:marBottom w:val="0"/>
      <w:divBdr>
        <w:top w:val="none" w:sz="0" w:space="0" w:color="auto"/>
        <w:left w:val="none" w:sz="0" w:space="0" w:color="auto"/>
        <w:bottom w:val="none" w:sz="0" w:space="0" w:color="auto"/>
        <w:right w:val="none" w:sz="0" w:space="0" w:color="auto"/>
      </w:divBdr>
    </w:div>
    <w:div w:id="692924096">
      <w:bodyDiv w:val="1"/>
      <w:marLeft w:val="0"/>
      <w:marRight w:val="0"/>
      <w:marTop w:val="0"/>
      <w:marBottom w:val="0"/>
      <w:divBdr>
        <w:top w:val="none" w:sz="0" w:space="0" w:color="auto"/>
        <w:left w:val="none" w:sz="0" w:space="0" w:color="auto"/>
        <w:bottom w:val="none" w:sz="0" w:space="0" w:color="auto"/>
        <w:right w:val="none" w:sz="0" w:space="0" w:color="auto"/>
      </w:divBdr>
    </w:div>
    <w:div w:id="693115883">
      <w:bodyDiv w:val="1"/>
      <w:marLeft w:val="0"/>
      <w:marRight w:val="0"/>
      <w:marTop w:val="0"/>
      <w:marBottom w:val="0"/>
      <w:divBdr>
        <w:top w:val="none" w:sz="0" w:space="0" w:color="auto"/>
        <w:left w:val="none" w:sz="0" w:space="0" w:color="auto"/>
        <w:bottom w:val="none" w:sz="0" w:space="0" w:color="auto"/>
        <w:right w:val="none" w:sz="0" w:space="0" w:color="auto"/>
      </w:divBdr>
    </w:div>
    <w:div w:id="693844531">
      <w:bodyDiv w:val="1"/>
      <w:marLeft w:val="0"/>
      <w:marRight w:val="0"/>
      <w:marTop w:val="0"/>
      <w:marBottom w:val="0"/>
      <w:divBdr>
        <w:top w:val="none" w:sz="0" w:space="0" w:color="auto"/>
        <w:left w:val="none" w:sz="0" w:space="0" w:color="auto"/>
        <w:bottom w:val="none" w:sz="0" w:space="0" w:color="auto"/>
        <w:right w:val="none" w:sz="0" w:space="0" w:color="auto"/>
      </w:divBdr>
    </w:div>
    <w:div w:id="695737617">
      <w:bodyDiv w:val="1"/>
      <w:marLeft w:val="0"/>
      <w:marRight w:val="0"/>
      <w:marTop w:val="0"/>
      <w:marBottom w:val="0"/>
      <w:divBdr>
        <w:top w:val="none" w:sz="0" w:space="0" w:color="auto"/>
        <w:left w:val="none" w:sz="0" w:space="0" w:color="auto"/>
        <w:bottom w:val="none" w:sz="0" w:space="0" w:color="auto"/>
        <w:right w:val="none" w:sz="0" w:space="0" w:color="auto"/>
      </w:divBdr>
    </w:div>
    <w:div w:id="696932469">
      <w:bodyDiv w:val="1"/>
      <w:marLeft w:val="0"/>
      <w:marRight w:val="0"/>
      <w:marTop w:val="0"/>
      <w:marBottom w:val="0"/>
      <w:divBdr>
        <w:top w:val="none" w:sz="0" w:space="0" w:color="auto"/>
        <w:left w:val="none" w:sz="0" w:space="0" w:color="auto"/>
        <w:bottom w:val="none" w:sz="0" w:space="0" w:color="auto"/>
        <w:right w:val="none" w:sz="0" w:space="0" w:color="auto"/>
      </w:divBdr>
    </w:div>
    <w:div w:id="698360158">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1369097">
      <w:bodyDiv w:val="1"/>
      <w:marLeft w:val="0"/>
      <w:marRight w:val="0"/>
      <w:marTop w:val="0"/>
      <w:marBottom w:val="0"/>
      <w:divBdr>
        <w:top w:val="none" w:sz="0" w:space="0" w:color="auto"/>
        <w:left w:val="none" w:sz="0" w:space="0" w:color="auto"/>
        <w:bottom w:val="none" w:sz="0" w:space="0" w:color="auto"/>
        <w:right w:val="none" w:sz="0" w:space="0" w:color="auto"/>
      </w:divBdr>
    </w:div>
    <w:div w:id="702556525">
      <w:bodyDiv w:val="1"/>
      <w:marLeft w:val="0"/>
      <w:marRight w:val="0"/>
      <w:marTop w:val="0"/>
      <w:marBottom w:val="0"/>
      <w:divBdr>
        <w:top w:val="none" w:sz="0" w:space="0" w:color="auto"/>
        <w:left w:val="none" w:sz="0" w:space="0" w:color="auto"/>
        <w:bottom w:val="none" w:sz="0" w:space="0" w:color="auto"/>
        <w:right w:val="none" w:sz="0" w:space="0" w:color="auto"/>
      </w:divBdr>
    </w:div>
    <w:div w:id="702633347">
      <w:bodyDiv w:val="1"/>
      <w:marLeft w:val="0"/>
      <w:marRight w:val="0"/>
      <w:marTop w:val="0"/>
      <w:marBottom w:val="0"/>
      <w:divBdr>
        <w:top w:val="none" w:sz="0" w:space="0" w:color="auto"/>
        <w:left w:val="none" w:sz="0" w:space="0" w:color="auto"/>
        <w:bottom w:val="none" w:sz="0" w:space="0" w:color="auto"/>
        <w:right w:val="none" w:sz="0" w:space="0" w:color="auto"/>
      </w:divBdr>
    </w:div>
    <w:div w:id="703287821">
      <w:bodyDiv w:val="1"/>
      <w:marLeft w:val="0"/>
      <w:marRight w:val="0"/>
      <w:marTop w:val="0"/>
      <w:marBottom w:val="0"/>
      <w:divBdr>
        <w:top w:val="none" w:sz="0" w:space="0" w:color="auto"/>
        <w:left w:val="none" w:sz="0" w:space="0" w:color="auto"/>
        <w:bottom w:val="none" w:sz="0" w:space="0" w:color="auto"/>
        <w:right w:val="none" w:sz="0" w:space="0" w:color="auto"/>
      </w:divBdr>
    </w:div>
    <w:div w:id="705525049">
      <w:bodyDiv w:val="1"/>
      <w:marLeft w:val="0"/>
      <w:marRight w:val="0"/>
      <w:marTop w:val="0"/>
      <w:marBottom w:val="0"/>
      <w:divBdr>
        <w:top w:val="none" w:sz="0" w:space="0" w:color="auto"/>
        <w:left w:val="none" w:sz="0" w:space="0" w:color="auto"/>
        <w:bottom w:val="none" w:sz="0" w:space="0" w:color="auto"/>
        <w:right w:val="none" w:sz="0" w:space="0" w:color="auto"/>
      </w:divBdr>
    </w:div>
    <w:div w:id="705570462">
      <w:bodyDiv w:val="1"/>
      <w:marLeft w:val="0"/>
      <w:marRight w:val="0"/>
      <w:marTop w:val="0"/>
      <w:marBottom w:val="0"/>
      <w:divBdr>
        <w:top w:val="none" w:sz="0" w:space="0" w:color="auto"/>
        <w:left w:val="none" w:sz="0" w:space="0" w:color="auto"/>
        <w:bottom w:val="none" w:sz="0" w:space="0" w:color="auto"/>
        <w:right w:val="none" w:sz="0" w:space="0" w:color="auto"/>
      </w:divBdr>
    </w:div>
    <w:div w:id="705645174">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874194">
      <w:bodyDiv w:val="1"/>
      <w:marLeft w:val="0"/>
      <w:marRight w:val="0"/>
      <w:marTop w:val="0"/>
      <w:marBottom w:val="0"/>
      <w:divBdr>
        <w:top w:val="none" w:sz="0" w:space="0" w:color="auto"/>
        <w:left w:val="none" w:sz="0" w:space="0" w:color="auto"/>
        <w:bottom w:val="none" w:sz="0" w:space="0" w:color="auto"/>
        <w:right w:val="none" w:sz="0" w:space="0" w:color="auto"/>
      </w:divBdr>
    </w:div>
    <w:div w:id="710114372">
      <w:bodyDiv w:val="1"/>
      <w:marLeft w:val="0"/>
      <w:marRight w:val="0"/>
      <w:marTop w:val="0"/>
      <w:marBottom w:val="0"/>
      <w:divBdr>
        <w:top w:val="none" w:sz="0" w:space="0" w:color="auto"/>
        <w:left w:val="none" w:sz="0" w:space="0" w:color="auto"/>
        <w:bottom w:val="none" w:sz="0" w:space="0" w:color="auto"/>
        <w:right w:val="none" w:sz="0" w:space="0" w:color="auto"/>
      </w:divBdr>
    </w:div>
    <w:div w:id="710227546">
      <w:bodyDiv w:val="1"/>
      <w:marLeft w:val="0"/>
      <w:marRight w:val="0"/>
      <w:marTop w:val="0"/>
      <w:marBottom w:val="0"/>
      <w:divBdr>
        <w:top w:val="none" w:sz="0" w:space="0" w:color="auto"/>
        <w:left w:val="none" w:sz="0" w:space="0" w:color="auto"/>
        <w:bottom w:val="none" w:sz="0" w:space="0" w:color="auto"/>
        <w:right w:val="none" w:sz="0" w:space="0" w:color="auto"/>
      </w:divBdr>
    </w:div>
    <w:div w:id="714548534">
      <w:bodyDiv w:val="1"/>
      <w:marLeft w:val="0"/>
      <w:marRight w:val="0"/>
      <w:marTop w:val="0"/>
      <w:marBottom w:val="0"/>
      <w:divBdr>
        <w:top w:val="none" w:sz="0" w:space="0" w:color="auto"/>
        <w:left w:val="none" w:sz="0" w:space="0" w:color="auto"/>
        <w:bottom w:val="none" w:sz="0" w:space="0" w:color="auto"/>
        <w:right w:val="none" w:sz="0" w:space="0" w:color="auto"/>
      </w:divBdr>
    </w:div>
    <w:div w:id="714698625">
      <w:bodyDiv w:val="1"/>
      <w:marLeft w:val="0"/>
      <w:marRight w:val="0"/>
      <w:marTop w:val="0"/>
      <w:marBottom w:val="0"/>
      <w:divBdr>
        <w:top w:val="none" w:sz="0" w:space="0" w:color="auto"/>
        <w:left w:val="none" w:sz="0" w:space="0" w:color="auto"/>
        <w:bottom w:val="none" w:sz="0" w:space="0" w:color="auto"/>
        <w:right w:val="none" w:sz="0" w:space="0" w:color="auto"/>
      </w:divBdr>
    </w:div>
    <w:div w:id="715279058">
      <w:bodyDiv w:val="1"/>
      <w:marLeft w:val="0"/>
      <w:marRight w:val="0"/>
      <w:marTop w:val="0"/>
      <w:marBottom w:val="0"/>
      <w:divBdr>
        <w:top w:val="none" w:sz="0" w:space="0" w:color="auto"/>
        <w:left w:val="none" w:sz="0" w:space="0" w:color="auto"/>
        <w:bottom w:val="none" w:sz="0" w:space="0" w:color="auto"/>
        <w:right w:val="none" w:sz="0" w:space="0" w:color="auto"/>
      </w:divBdr>
    </w:div>
    <w:div w:id="718363970">
      <w:bodyDiv w:val="1"/>
      <w:marLeft w:val="0"/>
      <w:marRight w:val="0"/>
      <w:marTop w:val="0"/>
      <w:marBottom w:val="0"/>
      <w:divBdr>
        <w:top w:val="none" w:sz="0" w:space="0" w:color="auto"/>
        <w:left w:val="none" w:sz="0" w:space="0" w:color="auto"/>
        <w:bottom w:val="none" w:sz="0" w:space="0" w:color="auto"/>
        <w:right w:val="none" w:sz="0" w:space="0" w:color="auto"/>
      </w:divBdr>
    </w:div>
    <w:div w:id="718483153">
      <w:bodyDiv w:val="1"/>
      <w:marLeft w:val="0"/>
      <w:marRight w:val="0"/>
      <w:marTop w:val="0"/>
      <w:marBottom w:val="0"/>
      <w:divBdr>
        <w:top w:val="none" w:sz="0" w:space="0" w:color="auto"/>
        <w:left w:val="none" w:sz="0" w:space="0" w:color="auto"/>
        <w:bottom w:val="none" w:sz="0" w:space="0" w:color="auto"/>
        <w:right w:val="none" w:sz="0" w:space="0" w:color="auto"/>
      </w:divBdr>
    </w:div>
    <w:div w:id="719010965">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056823">
      <w:bodyDiv w:val="1"/>
      <w:marLeft w:val="0"/>
      <w:marRight w:val="0"/>
      <w:marTop w:val="0"/>
      <w:marBottom w:val="0"/>
      <w:divBdr>
        <w:top w:val="none" w:sz="0" w:space="0" w:color="auto"/>
        <w:left w:val="none" w:sz="0" w:space="0" w:color="auto"/>
        <w:bottom w:val="none" w:sz="0" w:space="0" w:color="auto"/>
        <w:right w:val="none" w:sz="0" w:space="0" w:color="auto"/>
      </w:divBdr>
    </w:div>
    <w:div w:id="721321444">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5373865">
      <w:bodyDiv w:val="1"/>
      <w:marLeft w:val="0"/>
      <w:marRight w:val="0"/>
      <w:marTop w:val="0"/>
      <w:marBottom w:val="0"/>
      <w:divBdr>
        <w:top w:val="none" w:sz="0" w:space="0" w:color="auto"/>
        <w:left w:val="none" w:sz="0" w:space="0" w:color="auto"/>
        <w:bottom w:val="none" w:sz="0" w:space="0" w:color="auto"/>
        <w:right w:val="none" w:sz="0" w:space="0" w:color="auto"/>
      </w:divBdr>
    </w:div>
    <w:div w:id="728262803">
      <w:bodyDiv w:val="1"/>
      <w:marLeft w:val="0"/>
      <w:marRight w:val="0"/>
      <w:marTop w:val="0"/>
      <w:marBottom w:val="0"/>
      <w:divBdr>
        <w:top w:val="none" w:sz="0" w:space="0" w:color="auto"/>
        <w:left w:val="none" w:sz="0" w:space="0" w:color="auto"/>
        <w:bottom w:val="none" w:sz="0" w:space="0" w:color="auto"/>
        <w:right w:val="none" w:sz="0" w:space="0" w:color="auto"/>
      </w:divBdr>
    </w:div>
    <w:div w:id="728651225">
      <w:bodyDiv w:val="1"/>
      <w:marLeft w:val="0"/>
      <w:marRight w:val="0"/>
      <w:marTop w:val="0"/>
      <w:marBottom w:val="0"/>
      <w:divBdr>
        <w:top w:val="none" w:sz="0" w:space="0" w:color="auto"/>
        <w:left w:val="none" w:sz="0" w:space="0" w:color="auto"/>
        <w:bottom w:val="none" w:sz="0" w:space="0" w:color="auto"/>
        <w:right w:val="none" w:sz="0" w:space="0" w:color="auto"/>
      </w:divBdr>
    </w:div>
    <w:div w:id="729305761">
      <w:bodyDiv w:val="1"/>
      <w:marLeft w:val="0"/>
      <w:marRight w:val="0"/>
      <w:marTop w:val="0"/>
      <w:marBottom w:val="0"/>
      <w:divBdr>
        <w:top w:val="none" w:sz="0" w:space="0" w:color="auto"/>
        <w:left w:val="none" w:sz="0" w:space="0" w:color="auto"/>
        <w:bottom w:val="none" w:sz="0" w:space="0" w:color="auto"/>
        <w:right w:val="none" w:sz="0" w:space="0" w:color="auto"/>
      </w:divBdr>
    </w:div>
    <w:div w:id="730231604">
      <w:bodyDiv w:val="1"/>
      <w:marLeft w:val="0"/>
      <w:marRight w:val="0"/>
      <w:marTop w:val="0"/>
      <w:marBottom w:val="0"/>
      <w:divBdr>
        <w:top w:val="none" w:sz="0" w:space="0" w:color="auto"/>
        <w:left w:val="none" w:sz="0" w:space="0" w:color="auto"/>
        <w:bottom w:val="none" w:sz="0" w:space="0" w:color="auto"/>
        <w:right w:val="none" w:sz="0" w:space="0" w:color="auto"/>
      </w:divBdr>
    </w:div>
    <w:div w:id="730731828">
      <w:bodyDiv w:val="1"/>
      <w:marLeft w:val="0"/>
      <w:marRight w:val="0"/>
      <w:marTop w:val="0"/>
      <w:marBottom w:val="0"/>
      <w:divBdr>
        <w:top w:val="none" w:sz="0" w:space="0" w:color="auto"/>
        <w:left w:val="none" w:sz="0" w:space="0" w:color="auto"/>
        <w:bottom w:val="none" w:sz="0" w:space="0" w:color="auto"/>
        <w:right w:val="none" w:sz="0" w:space="0" w:color="auto"/>
      </w:divBdr>
    </w:div>
    <w:div w:id="731125016">
      <w:bodyDiv w:val="1"/>
      <w:marLeft w:val="0"/>
      <w:marRight w:val="0"/>
      <w:marTop w:val="0"/>
      <w:marBottom w:val="0"/>
      <w:divBdr>
        <w:top w:val="none" w:sz="0" w:space="0" w:color="auto"/>
        <w:left w:val="none" w:sz="0" w:space="0" w:color="auto"/>
        <w:bottom w:val="none" w:sz="0" w:space="0" w:color="auto"/>
        <w:right w:val="none" w:sz="0" w:space="0" w:color="auto"/>
      </w:divBdr>
    </w:div>
    <w:div w:id="733701749">
      <w:bodyDiv w:val="1"/>
      <w:marLeft w:val="0"/>
      <w:marRight w:val="0"/>
      <w:marTop w:val="0"/>
      <w:marBottom w:val="0"/>
      <w:divBdr>
        <w:top w:val="none" w:sz="0" w:space="0" w:color="auto"/>
        <w:left w:val="none" w:sz="0" w:space="0" w:color="auto"/>
        <w:bottom w:val="none" w:sz="0" w:space="0" w:color="auto"/>
        <w:right w:val="none" w:sz="0" w:space="0" w:color="auto"/>
      </w:divBdr>
    </w:div>
    <w:div w:id="734203581">
      <w:bodyDiv w:val="1"/>
      <w:marLeft w:val="0"/>
      <w:marRight w:val="0"/>
      <w:marTop w:val="0"/>
      <w:marBottom w:val="0"/>
      <w:divBdr>
        <w:top w:val="none" w:sz="0" w:space="0" w:color="auto"/>
        <w:left w:val="none" w:sz="0" w:space="0" w:color="auto"/>
        <w:bottom w:val="none" w:sz="0" w:space="0" w:color="auto"/>
        <w:right w:val="none" w:sz="0" w:space="0" w:color="auto"/>
      </w:divBdr>
    </w:div>
    <w:div w:id="734400592">
      <w:bodyDiv w:val="1"/>
      <w:marLeft w:val="0"/>
      <w:marRight w:val="0"/>
      <w:marTop w:val="0"/>
      <w:marBottom w:val="0"/>
      <w:divBdr>
        <w:top w:val="none" w:sz="0" w:space="0" w:color="auto"/>
        <w:left w:val="none" w:sz="0" w:space="0" w:color="auto"/>
        <w:bottom w:val="none" w:sz="0" w:space="0" w:color="auto"/>
        <w:right w:val="none" w:sz="0" w:space="0" w:color="auto"/>
      </w:divBdr>
    </w:div>
    <w:div w:id="734934587">
      <w:bodyDiv w:val="1"/>
      <w:marLeft w:val="0"/>
      <w:marRight w:val="0"/>
      <w:marTop w:val="0"/>
      <w:marBottom w:val="0"/>
      <w:divBdr>
        <w:top w:val="none" w:sz="0" w:space="0" w:color="auto"/>
        <w:left w:val="none" w:sz="0" w:space="0" w:color="auto"/>
        <w:bottom w:val="none" w:sz="0" w:space="0" w:color="auto"/>
        <w:right w:val="none" w:sz="0" w:space="0" w:color="auto"/>
      </w:divBdr>
    </w:div>
    <w:div w:id="735056336">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5668382">
      <w:bodyDiv w:val="1"/>
      <w:marLeft w:val="0"/>
      <w:marRight w:val="0"/>
      <w:marTop w:val="0"/>
      <w:marBottom w:val="0"/>
      <w:divBdr>
        <w:top w:val="none" w:sz="0" w:space="0" w:color="auto"/>
        <w:left w:val="none" w:sz="0" w:space="0" w:color="auto"/>
        <w:bottom w:val="none" w:sz="0" w:space="0" w:color="auto"/>
        <w:right w:val="none" w:sz="0" w:space="0" w:color="auto"/>
      </w:divBdr>
    </w:div>
    <w:div w:id="736781569">
      <w:bodyDiv w:val="1"/>
      <w:marLeft w:val="0"/>
      <w:marRight w:val="0"/>
      <w:marTop w:val="0"/>
      <w:marBottom w:val="0"/>
      <w:divBdr>
        <w:top w:val="none" w:sz="0" w:space="0" w:color="auto"/>
        <w:left w:val="none" w:sz="0" w:space="0" w:color="auto"/>
        <w:bottom w:val="none" w:sz="0" w:space="0" w:color="auto"/>
        <w:right w:val="none" w:sz="0" w:space="0" w:color="auto"/>
      </w:divBdr>
    </w:div>
    <w:div w:id="738526736">
      <w:bodyDiv w:val="1"/>
      <w:marLeft w:val="0"/>
      <w:marRight w:val="0"/>
      <w:marTop w:val="0"/>
      <w:marBottom w:val="0"/>
      <w:divBdr>
        <w:top w:val="none" w:sz="0" w:space="0" w:color="auto"/>
        <w:left w:val="none" w:sz="0" w:space="0" w:color="auto"/>
        <w:bottom w:val="none" w:sz="0" w:space="0" w:color="auto"/>
        <w:right w:val="none" w:sz="0" w:space="0" w:color="auto"/>
      </w:divBdr>
    </w:div>
    <w:div w:id="738867976">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1290068">
      <w:bodyDiv w:val="1"/>
      <w:marLeft w:val="0"/>
      <w:marRight w:val="0"/>
      <w:marTop w:val="0"/>
      <w:marBottom w:val="0"/>
      <w:divBdr>
        <w:top w:val="none" w:sz="0" w:space="0" w:color="auto"/>
        <w:left w:val="none" w:sz="0" w:space="0" w:color="auto"/>
        <w:bottom w:val="none" w:sz="0" w:space="0" w:color="auto"/>
        <w:right w:val="none" w:sz="0" w:space="0" w:color="auto"/>
      </w:divBdr>
    </w:div>
    <w:div w:id="741753302">
      <w:bodyDiv w:val="1"/>
      <w:marLeft w:val="0"/>
      <w:marRight w:val="0"/>
      <w:marTop w:val="0"/>
      <w:marBottom w:val="0"/>
      <w:divBdr>
        <w:top w:val="none" w:sz="0" w:space="0" w:color="auto"/>
        <w:left w:val="none" w:sz="0" w:space="0" w:color="auto"/>
        <w:bottom w:val="none" w:sz="0" w:space="0" w:color="auto"/>
        <w:right w:val="none" w:sz="0" w:space="0" w:color="auto"/>
      </w:divBdr>
    </w:div>
    <w:div w:id="742218319">
      <w:bodyDiv w:val="1"/>
      <w:marLeft w:val="0"/>
      <w:marRight w:val="0"/>
      <w:marTop w:val="0"/>
      <w:marBottom w:val="0"/>
      <w:divBdr>
        <w:top w:val="none" w:sz="0" w:space="0" w:color="auto"/>
        <w:left w:val="none" w:sz="0" w:space="0" w:color="auto"/>
        <w:bottom w:val="none" w:sz="0" w:space="0" w:color="auto"/>
        <w:right w:val="none" w:sz="0" w:space="0" w:color="auto"/>
      </w:divBdr>
    </w:div>
    <w:div w:id="742483562">
      <w:bodyDiv w:val="1"/>
      <w:marLeft w:val="0"/>
      <w:marRight w:val="0"/>
      <w:marTop w:val="0"/>
      <w:marBottom w:val="0"/>
      <w:divBdr>
        <w:top w:val="none" w:sz="0" w:space="0" w:color="auto"/>
        <w:left w:val="none" w:sz="0" w:space="0" w:color="auto"/>
        <w:bottom w:val="none" w:sz="0" w:space="0" w:color="auto"/>
        <w:right w:val="none" w:sz="0" w:space="0" w:color="auto"/>
      </w:divBdr>
    </w:div>
    <w:div w:id="744185044">
      <w:bodyDiv w:val="1"/>
      <w:marLeft w:val="0"/>
      <w:marRight w:val="0"/>
      <w:marTop w:val="0"/>
      <w:marBottom w:val="0"/>
      <w:divBdr>
        <w:top w:val="none" w:sz="0" w:space="0" w:color="auto"/>
        <w:left w:val="none" w:sz="0" w:space="0" w:color="auto"/>
        <w:bottom w:val="none" w:sz="0" w:space="0" w:color="auto"/>
        <w:right w:val="none" w:sz="0" w:space="0" w:color="auto"/>
      </w:divBdr>
    </w:div>
    <w:div w:id="744642677">
      <w:bodyDiv w:val="1"/>
      <w:marLeft w:val="0"/>
      <w:marRight w:val="0"/>
      <w:marTop w:val="0"/>
      <w:marBottom w:val="0"/>
      <w:divBdr>
        <w:top w:val="none" w:sz="0" w:space="0" w:color="auto"/>
        <w:left w:val="none" w:sz="0" w:space="0" w:color="auto"/>
        <w:bottom w:val="none" w:sz="0" w:space="0" w:color="auto"/>
        <w:right w:val="none" w:sz="0" w:space="0" w:color="auto"/>
      </w:divBdr>
    </w:div>
    <w:div w:id="745959946">
      <w:bodyDiv w:val="1"/>
      <w:marLeft w:val="0"/>
      <w:marRight w:val="0"/>
      <w:marTop w:val="0"/>
      <w:marBottom w:val="0"/>
      <w:divBdr>
        <w:top w:val="none" w:sz="0" w:space="0" w:color="auto"/>
        <w:left w:val="none" w:sz="0" w:space="0" w:color="auto"/>
        <w:bottom w:val="none" w:sz="0" w:space="0" w:color="auto"/>
        <w:right w:val="none" w:sz="0" w:space="0" w:color="auto"/>
      </w:divBdr>
    </w:div>
    <w:div w:id="746730518">
      <w:bodyDiv w:val="1"/>
      <w:marLeft w:val="0"/>
      <w:marRight w:val="0"/>
      <w:marTop w:val="0"/>
      <w:marBottom w:val="0"/>
      <w:divBdr>
        <w:top w:val="none" w:sz="0" w:space="0" w:color="auto"/>
        <w:left w:val="none" w:sz="0" w:space="0" w:color="auto"/>
        <w:bottom w:val="none" w:sz="0" w:space="0" w:color="auto"/>
        <w:right w:val="none" w:sz="0" w:space="0" w:color="auto"/>
      </w:divBdr>
    </w:div>
    <w:div w:id="748234086">
      <w:bodyDiv w:val="1"/>
      <w:marLeft w:val="0"/>
      <w:marRight w:val="0"/>
      <w:marTop w:val="0"/>
      <w:marBottom w:val="0"/>
      <w:divBdr>
        <w:top w:val="none" w:sz="0" w:space="0" w:color="auto"/>
        <w:left w:val="none" w:sz="0" w:space="0" w:color="auto"/>
        <w:bottom w:val="none" w:sz="0" w:space="0" w:color="auto"/>
        <w:right w:val="none" w:sz="0" w:space="0" w:color="auto"/>
      </w:divBdr>
    </w:div>
    <w:div w:id="749077855">
      <w:bodyDiv w:val="1"/>
      <w:marLeft w:val="0"/>
      <w:marRight w:val="0"/>
      <w:marTop w:val="0"/>
      <w:marBottom w:val="0"/>
      <w:divBdr>
        <w:top w:val="none" w:sz="0" w:space="0" w:color="auto"/>
        <w:left w:val="none" w:sz="0" w:space="0" w:color="auto"/>
        <w:bottom w:val="none" w:sz="0" w:space="0" w:color="auto"/>
        <w:right w:val="none" w:sz="0" w:space="0" w:color="auto"/>
      </w:divBdr>
    </w:div>
    <w:div w:id="749739542">
      <w:bodyDiv w:val="1"/>
      <w:marLeft w:val="0"/>
      <w:marRight w:val="0"/>
      <w:marTop w:val="0"/>
      <w:marBottom w:val="0"/>
      <w:divBdr>
        <w:top w:val="none" w:sz="0" w:space="0" w:color="auto"/>
        <w:left w:val="none" w:sz="0" w:space="0" w:color="auto"/>
        <w:bottom w:val="none" w:sz="0" w:space="0" w:color="auto"/>
        <w:right w:val="none" w:sz="0" w:space="0" w:color="auto"/>
      </w:divBdr>
    </w:div>
    <w:div w:id="754477806">
      <w:bodyDiv w:val="1"/>
      <w:marLeft w:val="0"/>
      <w:marRight w:val="0"/>
      <w:marTop w:val="0"/>
      <w:marBottom w:val="0"/>
      <w:divBdr>
        <w:top w:val="none" w:sz="0" w:space="0" w:color="auto"/>
        <w:left w:val="none" w:sz="0" w:space="0" w:color="auto"/>
        <w:bottom w:val="none" w:sz="0" w:space="0" w:color="auto"/>
        <w:right w:val="none" w:sz="0" w:space="0" w:color="auto"/>
      </w:divBdr>
    </w:div>
    <w:div w:id="755907519">
      <w:bodyDiv w:val="1"/>
      <w:marLeft w:val="0"/>
      <w:marRight w:val="0"/>
      <w:marTop w:val="0"/>
      <w:marBottom w:val="0"/>
      <w:divBdr>
        <w:top w:val="none" w:sz="0" w:space="0" w:color="auto"/>
        <w:left w:val="none" w:sz="0" w:space="0" w:color="auto"/>
        <w:bottom w:val="none" w:sz="0" w:space="0" w:color="auto"/>
        <w:right w:val="none" w:sz="0" w:space="0" w:color="auto"/>
      </w:divBdr>
    </w:div>
    <w:div w:id="756438920">
      <w:bodyDiv w:val="1"/>
      <w:marLeft w:val="0"/>
      <w:marRight w:val="0"/>
      <w:marTop w:val="0"/>
      <w:marBottom w:val="0"/>
      <w:divBdr>
        <w:top w:val="none" w:sz="0" w:space="0" w:color="auto"/>
        <w:left w:val="none" w:sz="0" w:space="0" w:color="auto"/>
        <w:bottom w:val="none" w:sz="0" w:space="0" w:color="auto"/>
        <w:right w:val="none" w:sz="0" w:space="0" w:color="auto"/>
      </w:divBdr>
    </w:div>
    <w:div w:id="757560365">
      <w:bodyDiv w:val="1"/>
      <w:marLeft w:val="0"/>
      <w:marRight w:val="0"/>
      <w:marTop w:val="0"/>
      <w:marBottom w:val="0"/>
      <w:divBdr>
        <w:top w:val="none" w:sz="0" w:space="0" w:color="auto"/>
        <w:left w:val="none" w:sz="0" w:space="0" w:color="auto"/>
        <w:bottom w:val="none" w:sz="0" w:space="0" w:color="auto"/>
        <w:right w:val="none" w:sz="0" w:space="0" w:color="auto"/>
      </w:divBdr>
    </w:div>
    <w:div w:id="758329357">
      <w:bodyDiv w:val="1"/>
      <w:marLeft w:val="0"/>
      <w:marRight w:val="0"/>
      <w:marTop w:val="0"/>
      <w:marBottom w:val="0"/>
      <w:divBdr>
        <w:top w:val="none" w:sz="0" w:space="0" w:color="auto"/>
        <w:left w:val="none" w:sz="0" w:space="0" w:color="auto"/>
        <w:bottom w:val="none" w:sz="0" w:space="0" w:color="auto"/>
        <w:right w:val="none" w:sz="0" w:space="0" w:color="auto"/>
      </w:divBdr>
    </w:div>
    <w:div w:id="759760987">
      <w:bodyDiv w:val="1"/>
      <w:marLeft w:val="0"/>
      <w:marRight w:val="0"/>
      <w:marTop w:val="0"/>
      <w:marBottom w:val="0"/>
      <w:divBdr>
        <w:top w:val="none" w:sz="0" w:space="0" w:color="auto"/>
        <w:left w:val="none" w:sz="0" w:space="0" w:color="auto"/>
        <w:bottom w:val="none" w:sz="0" w:space="0" w:color="auto"/>
        <w:right w:val="none" w:sz="0" w:space="0" w:color="auto"/>
      </w:divBdr>
    </w:div>
    <w:div w:id="761141980">
      <w:bodyDiv w:val="1"/>
      <w:marLeft w:val="0"/>
      <w:marRight w:val="0"/>
      <w:marTop w:val="0"/>
      <w:marBottom w:val="0"/>
      <w:divBdr>
        <w:top w:val="none" w:sz="0" w:space="0" w:color="auto"/>
        <w:left w:val="none" w:sz="0" w:space="0" w:color="auto"/>
        <w:bottom w:val="none" w:sz="0" w:space="0" w:color="auto"/>
        <w:right w:val="none" w:sz="0" w:space="0" w:color="auto"/>
      </w:divBdr>
    </w:div>
    <w:div w:id="762145638">
      <w:bodyDiv w:val="1"/>
      <w:marLeft w:val="0"/>
      <w:marRight w:val="0"/>
      <w:marTop w:val="0"/>
      <w:marBottom w:val="0"/>
      <w:divBdr>
        <w:top w:val="none" w:sz="0" w:space="0" w:color="auto"/>
        <w:left w:val="none" w:sz="0" w:space="0" w:color="auto"/>
        <w:bottom w:val="none" w:sz="0" w:space="0" w:color="auto"/>
        <w:right w:val="none" w:sz="0" w:space="0" w:color="auto"/>
      </w:divBdr>
    </w:div>
    <w:div w:id="768745418">
      <w:bodyDiv w:val="1"/>
      <w:marLeft w:val="0"/>
      <w:marRight w:val="0"/>
      <w:marTop w:val="0"/>
      <w:marBottom w:val="0"/>
      <w:divBdr>
        <w:top w:val="none" w:sz="0" w:space="0" w:color="auto"/>
        <w:left w:val="none" w:sz="0" w:space="0" w:color="auto"/>
        <w:bottom w:val="none" w:sz="0" w:space="0" w:color="auto"/>
        <w:right w:val="none" w:sz="0" w:space="0" w:color="auto"/>
      </w:divBdr>
    </w:div>
    <w:div w:id="769816050">
      <w:bodyDiv w:val="1"/>
      <w:marLeft w:val="0"/>
      <w:marRight w:val="0"/>
      <w:marTop w:val="0"/>
      <w:marBottom w:val="0"/>
      <w:divBdr>
        <w:top w:val="none" w:sz="0" w:space="0" w:color="auto"/>
        <w:left w:val="none" w:sz="0" w:space="0" w:color="auto"/>
        <w:bottom w:val="none" w:sz="0" w:space="0" w:color="auto"/>
        <w:right w:val="none" w:sz="0" w:space="0" w:color="auto"/>
      </w:divBdr>
    </w:div>
    <w:div w:id="770319853">
      <w:bodyDiv w:val="1"/>
      <w:marLeft w:val="0"/>
      <w:marRight w:val="0"/>
      <w:marTop w:val="0"/>
      <w:marBottom w:val="0"/>
      <w:divBdr>
        <w:top w:val="none" w:sz="0" w:space="0" w:color="auto"/>
        <w:left w:val="none" w:sz="0" w:space="0" w:color="auto"/>
        <w:bottom w:val="none" w:sz="0" w:space="0" w:color="auto"/>
        <w:right w:val="none" w:sz="0" w:space="0" w:color="auto"/>
      </w:divBdr>
    </w:div>
    <w:div w:id="773087511">
      <w:bodyDiv w:val="1"/>
      <w:marLeft w:val="0"/>
      <w:marRight w:val="0"/>
      <w:marTop w:val="0"/>
      <w:marBottom w:val="0"/>
      <w:divBdr>
        <w:top w:val="none" w:sz="0" w:space="0" w:color="auto"/>
        <w:left w:val="none" w:sz="0" w:space="0" w:color="auto"/>
        <w:bottom w:val="none" w:sz="0" w:space="0" w:color="auto"/>
        <w:right w:val="none" w:sz="0" w:space="0" w:color="auto"/>
      </w:divBdr>
    </w:div>
    <w:div w:id="773211109">
      <w:bodyDiv w:val="1"/>
      <w:marLeft w:val="0"/>
      <w:marRight w:val="0"/>
      <w:marTop w:val="0"/>
      <w:marBottom w:val="0"/>
      <w:divBdr>
        <w:top w:val="none" w:sz="0" w:space="0" w:color="auto"/>
        <w:left w:val="none" w:sz="0" w:space="0" w:color="auto"/>
        <w:bottom w:val="none" w:sz="0" w:space="0" w:color="auto"/>
        <w:right w:val="none" w:sz="0" w:space="0" w:color="auto"/>
      </w:divBdr>
    </w:div>
    <w:div w:id="773328098">
      <w:bodyDiv w:val="1"/>
      <w:marLeft w:val="0"/>
      <w:marRight w:val="0"/>
      <w:marTop w:val="0"/>
      <w:marBottom w:val="0"/>
      <w:divBdr>
        <w:top w:val="none" w:sz="0" w:space="0" w:color="auto"/>
        <w:left w:val="none" w:sz="0" w:space="0" w:color="auto"/>
        <w:bottom w:val="none" w:sz="0" w:space="0" w:color="auto"/>
        <w:right w:val="none" w:sz="0" w:space="0" w:color="auto"/>
      </w:divBdr>
    </w:div>
    <w:div w:id="778525905">
      <w:bodyDiv w:val="1"/>
      <w:marLeft w:val="0"/>
      <w:marRight w:val="0"/>
      <w:marTop w:val="0"/>
      <w:marBottom w:val="0"/>
      <w:divBdr>
        <w:top w:val="none" w:sz="0" w:space="0" w:color="auto"/>
        <w:left w:val="none" w:sz="0" w:space="0" w:color="auto"/>
        <w:bottom w:val="none" w:sz="0" w:space="0" w:color="auto"/>
        <w:right w:val="none" w:sz="0" w:space="0" w:color="auto"/>
      </w:divBdr>
    </w:div>
    <w:div w:id="781266179">
      <w:bodyDiv w:val="1"/>
      <w:marLeft w:val="0"/>
      <w:marRight w:val="0"/>
      <w:marTop w:val="0"/>
      <w:marBottom w:val="0"/>
      <w:divBdr>
        <w:top w:val="none" w:sz="0" w:space="0" w:color="auto"/>
        <w:left w:val="none" w:sz="0" w:space="0" w:color="auto"/>
        <w:bottom w:val="none" w:sz="0" w:space="0" w:color="auto"/>
        <w:right w:val="none" w:sz="0" w:space="0" w:color="auto"/>
      </w:divBdr>
    </w:div>
    <w:div w:id="781336708">
      <w:bodyDiv w:val="1"/>
      <w:marLeft w:val="0"/>
      <w:marRight w:val="0"/>
      <w:marTop w:val="0"/>
      <w:marBottom w:val="0"/>
      <w:divBdr>
        <w:top w:val="none" w:sz="0" w:space="0" w:color="auto"/>
        <w:left w:val="none" w:sz="0" w:space="0" w:color="auto"/>
        <w:bottom w:val="none" w:sz="0" w:space="0" w:color="auto"/>
        <w:right w:val="none" w:sz="0" w:space="0" w:color="auto"/>
      </w:divBdr>
    </w:div>
    <w:div w:id="783307508">
      <w:bodyDiv w:val="1"/>
      <w:marLeft w:val="0"/>
      <w:marRight w:val="0"/>
      <w:marTop w:val="0"/>
      <w:marBottom w:val="0"/>
      <w:divBdr>
        <w:top w:val="none" w:sz="0" w:space="0" w:color="auto"/>
        <w:left w:val="none" w:sz="0" w:space="0" w:color="auto"/>
        <w:bottom w:val="none" w:sz="0" w:space="0" w:color="auto"/>
        <w:right w:val="none" w:sz="0" w:space="0" w:color="auto"/>
      </w:divBdr>
    </w:div>
    <w:div w:id="783383978">
      <w:bodyDiv w:val="1"/>
      <w:marLeft w:val="0"/>
      <w:marRight w:val="0"/>
      <w:marTop w:val="0"/>
      <w:marBottom w:val="0"/>
      <w:divBdr>
        <w:top w:val="none" w:sz="0" w:space="0" w:color="auto"/>
        <w:left w:val="none" w:sz="0" w:space="0" w:color="auto"/>
        <w:bottom w:val="none" w:sz="0" w:space="0" w:color="auto"/>
        <w:right w:val="none" w:sz="0" w:space="0" w:color="auto"/>
      </w:divBdr>
    </w:div>
    <w:div w:id="785582805">
      <w:bodyDiv w:val="1"/>
      <w:marLeft w:val="0"/>
      <w:marRight w:val="0"/>
      <w:marTop w:val="0"/>
      <w:marBottom w:val="0"/>
      <w:divBdr>
        <w:top w:val="none" w:sz="0" w:space="0" w:color="auto"/>
        <w:left w:val="none" w:sz="0" w:space="0" w:color="auto"/>
        <w:bottom w:val="none" w:sz="0" w:space="0" w:color="auto"/>
        <w:right w:val="none" w:sz="0" w:space="0" w:color="auto"/>
      </w:divBdr>
    </w:div>
    <w:div w:id="788548235">
      <w:bodyDiv w:val="1"/>
      <w:marLeft w:val="0"/>
      <w:marRight w:val="0"/>
      <w:marTop w:val="0"/>
      <w:marBottom w:val="0"/>
      <w:divBdr>
        <w:top w:val="none" w:sz="0" w:space="0" w:color="auto"/>
        <w:left w:val="none" w:sz="0" w:space="0" w:color="auto"/>
        <w:bottom w:val="none" w:sz="0" w:space="0" w:color="auto"/>
        <w:right w:val="none" w:sz="0" w:space="0" w:color="auto"/>
      </w:divBdr>
    </w:div>
    <w:div w:id="790443516">
      <w:bodyDiv w:val="1"/>
      <w:marLeft w:val="0"/>
      <w:marRight w:val="0"/>
      <w:marTop w:val="0"/>
      <w:marBottom w:val="0"/>
      <w:divBdr>
        <w:top w:val="none" w:sz="0" w:space="0" w:color="auto"/>
        <w:left w:val="none" w:sz="0" w:space="0" w:color="auto"/>
        <w:bottom w:val="none" w:sz="0" w:space="0" w:color="auto"/>
        <w:right w:val="none" w:sz="0" w:space="0" w:color="auto"/>
      </w:divBdr>
    </w:div>
    <w:div w:id="796029698">
      <w:bodyDiv w:val="1"/>
      <w:marLeft w:val="0"/>
      <w:marRight w:val="0"/>
      <w:marTop w:val="0"/>
      <w:marBottom w:val="0"/>
      <w:divBdr>
        <w:top w:val="none" w:sz="0" w:space="0" w:color="auto"/>
        <w:left w:val="none" w:sz="0" w:space="0" w:color="auto"/>
        <w:bottom w:val="none" w:sz="0" w:space="0" w:color="auto"/>
        <w:right w:val="none" w:sz="0" w:space="0" w:color="auto"/>
      </w:divBdr>
    </w:div>
    <w:div w:id="796919822">
      <w:bodyDiv w:val="1"/>
      <w:marLeft w:val="0"/>
      <w:marRight w:val="0"/>
      <w:marTop w:val="0"/>
      <w:marBottom w:val="0"/>
      <w:divBdr>
        <w:top w:val="none" w:sz="0" w:space="0" w:color="auto"/>
        <w:left w:val="none" w:sz="0" w:space="0" w:color="auto"/>
        <w:bottom w:val="none" w:sz="0" w:space="0" w:color="auto"/>
        <w:right w:val="none" w:sz="0" w:space="0" w:color="auto"/>
      </w:divBdr>
    </w:div>
    <w:div w:id="797644866">
      <w:bodyDiv w:val="1"/>
      <w:marLeft w:val="0"/>
      <w:marRight w:val="0"/>
      <w:marTop w:val="0"/>
      <w:marBottom w:val="0"/>
      <w:divBdr>
        <w:top w:val="none" w:sz="0" w:space="0" w:color="auto"/>
        <w:left w:val="none" w:sz="0" w:space="0" w:color="auto"/>
        <w:bottom w:val="none" w:sz="0" w:space="0" w:color="auto"/>
        <w:right w:val="none" w:sz="0" w:space="0" w:color="auto"/>
      </w:divBdr>
    </w:div>
    <w:div w:id="797917739">
      <w:bodyDiv w:val="1"/>
      <w:marLeft w:val="0"/>
      <w:marRight w:val="0"/>
      <w:marTop w:val="0"/>
      <w:marBottom w:val="0"/>
      <w:divBdr>
        <w:top w:val="none" w:sz="0" w:space="0" w:color="auto"/>
        <w:left w:val="none" w:sz="0" w:space="0" w:color="auto"/>
        <w:bottom w:val="none" w:sz="0" w:space="0" w:color="auto"/>
        <w:right w:val="none" w:sz="0" w:space="0" w:color="auto"/>
      </w:divBdr>
    </w:div>
    <w:div w:id="797918512">
      <w:bodyDiv w:val="1"/>
      <w:marLeft w:val="0"/>
      <w:marRight w:val="0"/>
      <w:marTop w:val="0"/>
      <w:marBottom w:val="0"/>
      <w:divBdr>
        <w:top w:val="none" w:sz="0" w:space="0" w:color="auto"/>
        <w:left w:val="none" w:sz="0" w:space="0" w:color="auto"/>
        <w:bottom w:val="none" w:sz="0" w:space="0" w:color="auto"/>
        <w:right w:val="none" w:sz="0" w:space="0" w:color="auto"/>
      </w:divBdr>
    </w:div>
    <w:div w:id="798180501">
      <w:bodyDiv w:val="1"/>
      <w:marLeft w:val="0"/>
      <w:marRight w:val="0"/>
      <w:marTop w:val="0"/>
      <w:marBottom w:val="0"/>
      <w:divBdr>
        <w:top w:val="none" w:sz="0" w:space="0" w:color="auto"/>
        <w:left w:val="none" w:sz="0" w:space="0" w:color="auto"/>
        <w:bottom w:val="none" w:sz="0" w:space="0" w:color="auto"/>
        <w:right w:val="none" w:sz="0" w:space="0" w:color="auto"/>
      </w:divBdr>
    </w:div>
    <w:div w:id="800656955">
      <w:bodyDiv w:val="1"/>
      <w:marLeft w:val="0"/>
      <w:marRight w:val="0"/>
      <w:marTop w:val="0"/>
      <w:marBottom w:val="0"/>
      <w:divBdr>
        <w:top w:val="none" w:sz="0" w:space="0" w:color="auto"/>
        <w:left w:val="none" w:sz="0" w:space="0" w:color="auto"/>
        <w:bottom w:val="none" w:sz="0" w:space="0" w:color="auto"/>
        <w:right w:val="none" w:sz="0" w:space="0" w:color="auto"/>
      </w:divBdr>
    </w:div>
    <w:div w:id="802579911">
      <w:bodyDiv w:val="1"/>
      <w:marLeft w:val="0"/>
      <w:marRight w:val="0"/>
      <w:marTop w:val="0"/>
      <w:marBottom w:val="0"/>
      <w:divBdr>
        <w:top w:val="none" w:sz="0" w:space="0" w:color="auto"/>
        <w:left w:val="none" w:sz="0" w:space="0" w:color="auto"/>
        <w:bottom w:val="none" w:sz="0" w:space="0" w:color="auto"/>
        <w:right w:val="none" w:sz="0" w:space="0" w:color="auto"/>
      </w:divBdr>
    </w:div>
    <w:div w:id="804782726">
      <w:bodyDiv w:val="1"/>
      <w:marLeft w:val="0"/>
      <w:marRight w:val="0"/>
      <w:marTop w:val="0"/>
      <w:marBottom w:val="0"/>
      <w:divBdr>
        <w:top w:val="none" w:sz="0" w:space="0" w:color="auto"/>
        <w:left w:val="none" w:sz="0" w:space="0" w:color="auto"/>
        <w:bottom w:val="none" w:sz="0" w:space="0" w:color="auto"/>
        <w:right w:val="none" w:sz="0" w:space="0" w:color="auto"/>
      </w:divBdr>
    </w:div>
    <w:div w:id="805466576">
      <w:bodyDiv w:val="1"/>
      <w:marLeft w:val="0"/>
      <w:marRight w:val="0"/>
      <w:marTop w:val="0"/>
      <w:marBottom w:val="0"/>
      <w:divBdr>
        <w:top w:val="none" w:sz="0" w:space="0" w:color="auto"/>
        <w:left w:val="none" w:sz="0" w:space="0" w:color="auto"/>
        <w:bottom w:val="none" w:sz="0" w:space="0" w:color="auto"/>
        <w:right w:val="none" w:sz="0" w:space="0" w:color="auto"/>
      </w:divBdr>
    </w:div>
    <w:div w:id="806625990">
      <w:bodyDiv w:val="1"/>
      <w:marLeft w:val="0"/>
      <w:marRight w:val="0"/>
      <w:marTop w:val="0"/>
      <w:marBottom w:val="0"/>
      <w:divBdr>
        <w:top w:val="none" w:sz="0" w:space="0" w:color="auto"/>
        <w:left w:val="none" w:sz="0" w:space="0" w:color="auto"/>
        <w:bottom w:val="none" w:sz="0" w:space="0" w:color="auto"/>
        <w:right w:val="none" w:sz="0" w:space="0" w:color="auto"/>
      </w:divBdr>
    </w:div>
    <w:div w:id="806821179">
      <w:bodyDiv w:val="1"/>
      <w:marLeft w:val="0"/>
      <w:marRight w:val="0"/>
      <w:marTop w:val="0"/>
      <w:marBottom w:val="0"/>
      <w:divBdr>
        <w:top w:val="none" w:sz="0" w:space="0" w:color="auto"/>
        <w:left w:val="none" w:sz="0" w:space="0" w:color="auto"/>
        <w:bottom w:val="none" w:sz="0" w:space="0" w:color="auto"/>
        <w:right w:val="none" w:sz="0" w:space="0" w:color="auto"/>
      </w:divBdr>
    </w:div>
    <w:div w:id="810366238">
      <w:bodyDiv w:val="1"/>
      <w:marLeft w:val="0"/>
      <w:marRight w:val="0"/>
      <w:marTop w:val="0"/>
      <w:marBottom w:val="0"/>
      <w:divBdr>
        <w:top w:val="none" w:sz="0" w:space="0" w:color="auto"/>
        <w:left w:val="none" w:sz="0" w:space="0" w:color="auto"/>
        <w:bottom w:val="none" w:sz="0" w:space="0" w:color="auto"/>
        <w:right w:val="none" w:sz="0" w:space="0" w:color="auto"/>
      </w:divBdr>
    </w:div>
    <w:div w:id="810632029">
      <w:bodyDiv w:val="1"/>
      <w:marLeft w:val="0"/>
      <w:marRight w:val="0"/>
      <w:marTop w:val="0"/>
      <w:marBottom w:val="0"/>
      <w:divBdr>
        <w:top w:val="none" w:sz="0" w:space="0" w:color="auto"/>
        <w:left w:val="none" w:sz="0" w:space="0" w:color="auto"/>
        <w:bottom w:val="none" w:sz="0" w:space="0" w:color="auto"/>
        <w:right w:val="none" w:sz="0" w:space="0" w:color="auto"/>
      </w:divBdr>
    </w:div>
    <w:div w:id="810748517">
      <w:bodyDiv w:val="1"/>
      <w:marLeft w:val="0"/>
      <w:marRight w:val="0"/>
      <w:marTop w:val="0"/>
      <w:marBottom w:val="0"/>
      <w:divBdr>
        <w:top w:val="none" w:sz="0" w:space="0" w:color="auto"/>
        <w:left w:val="none" w:sz="0" w:space="0" w:color="auto"/>
        <w:bottom w:val="none" w:sz="0" w:space="0" w:color="auto"/>
        <w:right w:val="none" w:sz="0" w:space="0" w:color="auto"/>
      </w:divBdr>
    </w:div>
    <w:div w:id="81114312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255404">
      <w:bodyDiv w:val="1"/>
      <w:marLeft w:val="0"/>
      <w:marRight w:val="0"/>
      <w:marTop w:val="0"/>
      <w:marBottom w:val="0"/>
      <w:divBdr>
        <w:top w:val="none" w:sz="0" w:space="0" w:color="auto"/>
        <w:left w:val="none" w:sz="0" w:space="0" w:color="auto"/>
        <w:bottom w:val="none" w:sz="0" w:space="0" w:color="auto"/>
        <w:right w:val="none" w:sz="0" w:space="0" w:color="auto"/>
      </w:divBdr>
    </w:div>
    <w:div w:id="813762331">
      <w:bodyDiv w:val="1"/>
      <w:marLeft w:val="0"/>
      <w:marRight w:val="0"/>
      <w:marTop w:val="0"/>
      <w:marBottom w:val="0"/>
      <w:divBdr>
        <w:top w:val="none" w:sz="0" w:space="0" w:color="auto"/>
        <w:left w:val="none" w:sz="0" w:space="0" w:color="auto"/>
        <w:bottom w:val="none" w:sz="0" w:space="0" w:color="auto"/>
        <w:right w:val="none" w:sz="0" w:space="0" w:color="auto"/>
      </w:divBdr>
    </w:div>
    <w:div w:id="814760156">
      <w:bodyDiv w:val="1"/>
      <w:marLeft w:val="0"/>
      <w:marRight w:val="0"/>
      <w:marTop w:val="0"/>
      <w:marBottom w:val="0"/>
      <w:divBdr>
        <w:top w:val="none" w:sz="0" w:space="0" w:color="auto"/>
        <w:left w:val="none" w:sz="0" w:space="0" w:color="auto"/>
        <w:bottom w:val="none" w:sz="0" w:space="0" w:color="auto"/>
        <w:right w:val="none" w:sz="0" w:space="0" w:color="auto"/>
      </w:divBdr>
    </w:div>
    <w:div w:id="815950555">
      <w:bodyDiv w:val="1"/>
      <w:marLeft w:val="0"/>
      <w:marRight w:val="0"/>
      <w:marTop w:val="0"/>
      <w:marBottom w:val="0"/>
      <w:divBdr>
        <w:top w:val="none" w:sz="0" w:space="0" w:color="auto"/>
        <w:left w:val="none" w:sz="0" w:space="0" w:color="auto"/>
        <w:bottom w:val="none" w:sz="0" w:space="0" w:color="auto"/>
        <w:right w:val="none" w:sz="0" w:space="0" w:color="auto"/>
      </w:divBdr>
    </w:div>
    <w:div w:id="816998167">
      <w:bodyDiv w:val="1"/>
      <w:marLeft w:val="0"/>
      <w:marRight w:val="0"/>
      <w:marTop w:val="0"/>
      <w:marBottom w:val="0"/>
      <w:divBdr>
        <w:top w:val="none" w:sz="0" w:space="0" w:color="auto"/>
        <w:left w:val="none" w:sz="0" w:space="0" w:color="auto"/>
        <w:bottom w:val="none" w:sz="0" w:space="0" w:color="auto"/>
        <w:right w:val="none" w:sz="0" w:space="0" w:color="auto"/>
      </w:divBdr>
    </w:div>
    <w:div w:id="817724829">
      <w:bodyDiv w:val="1"/>
      <w:marLeft w:val="0"/>
      <w:marRight w:val="0"/>
      <w:marTop w:val="0"/>
      <w:marBottom w:val="0"/>
      <w:divBdr>
        <w:top w:val="none" w:sz="0" w:space="0" w:color="auto"/>
        <w:left w:val="none" w:sz="0" w:space="0" w:color="auto"/>
        <w:bottom w:val="none" w:sz="0" w:space="0" w:color="auto"/>
        <w:right w:val="none" w:sz="0" w:space="0" w:color="auto"/>
      </w:divBdr>
    </w:div>
    <w:div w:id="818031836">
      <w:bodyDiv w:val="1"/>
      <w:marLeft w:val="0"/>
      <w:marRight w:val="0"/>
      <w:marTop w:val="0"/>
      <w:marBottom w:val="0"/>
      <w:divBdr>
        <w:top w:val="none" w:sz="0" w:space="0" w:color="auto"/>
        <w:left w:val="none" w:sz="0" w:space="0" w:color="auto"/>
        <w:bottom w:val="none" w:sz="0" w:space="0" w:color="auto"/>
        <w:right w:val="none" w:sz="0" w:space="0" w:color="auto"/>
      </w:divBdr>
    </w:div>
    <w:div w:id="818813214">
      <w:bodyDiv w:val="1"/>
      <w:marLeft w:val="0"/>
      <w:marRight w:val="0"/>
      <w:marTop w:val="0"/>
      <w:marBottom w:val="0"/>
      <w:divBdr>
        <w:top w:val="none" w:sz="0" w:space="0" w:color="auto"/>
        <w:left w:val="none" w:sz="0" w:space="0" w:color="auto"/>
        <w:bottom w:val="none" w:sz="0" w:space="0" w:color="auto"/>
        <w:right w:val="none" w:sz="0" w:space="0" w:color="auto"/>
      </w:divBdr>
    </w:div>
    <w:div w:id="820315947">
      <w:bodyDiv w:val="1"/>
      <w:marLeft w:val="0"/>
      <w:marRight w:val="0"/>
      <w:marTop w:val="0"/>
      <w:marBottom w:val="0"/>
      <w:divBdr>
        <w:top w:val="none" w:sz="0" w:space="0" w:color="auto"/>
        <w:left w:val="none" w:sz="0" w:space="0" w:color="auto"/>
        <w:bottom w:val="none" w:sz="0" w:space="0" w:color="auto"/>
        <w:right w:val="none" w:sz="0" w:space="0" w:color="auto"/>
      </w:divBdr>
    </w:div>
    <w:div w:id="820541471">
      <w:bodyDiv w:val="1"/>
      <w:marLeft w:val="0"/>
      <w:marRight w:val="0"/>
      <w:marTop w:val="0"/>
      <w:marBottom w:val="0"/>
      <w:divBdr>
        <w:top w:val="none" w:sz="0" w:space="0" w:color="auto"/>
        <w:left w:val="none" w:sz="0" w:space="0" w:color="auto"/>
        <w:bottom w:val="none" w:sz="0" w:space="0" w:color="auto"/>
        <w:right w:val="none" w:sz="0" w:space="0" w:color="auto"/>
      </w:divBdr>
    </w:div>
    <w:div w:id="822353055">
      <w:bodyDiv w:val="1"/>
      <w:marLeft w:val="0"/>
      <w:marRight w:val="0"/>
      <w:marTop w:val="0"/>
      <w:marBottom w:val="0"/>
      <w:divBdr>
        <w:top w:val="none" w:sz="0" w:space="0" w:color="auto"/>
        <w:left w:val="none" w:sz="0" w:space="0" w:color="auto"/>
        <w:bottom w:val="none" w:sz="0" w:space="0" w:color="auto"/>
        <w:right w:val="none" w:sz="0" w:space="0" w:color="auto"/>
      </w:divBdr>
    </w:div>
    <w:div w:id="822476895">
      <w:bodyDiv w:val="1"/>
      <w:marLeft w:val="0"/>
      <w:marRight w:val="0"/>
      <w:marTop w:val="0"/>
      <w:marBottom w:val="0"/>
      <w:divBdr>
        <w:top w:val="none" w:sz="0" w:space="0" w:color="auto"/>
        <w:left w:val="none" w:sz="0" w:space="0" w:color="auto"/>
        <w:bottom w:val="none" w:sz="0" w:space="0" w:color="auto"/>
        <w:right w:val="none" w:sz="0" w:space="0" w:color="auto"/>
      </w:divBdr>
    </w:div>
    <w:div w:id="823007013">
      <w:bodyDiv w:val="1"/>
      <w:marLeft w:val="0"/>
      <w:marRight w:val="0"/>
      <w:marTop w:val="0"/>
      <w:marBottom w:val="0"/>
      <w:divBdr>
        <w:top w:val="none" w:sz="0" w:space="0" w:color="auto"/>
        <w:left w:val="none" w:sz="0" w:space="0" w:color="auto"/>
        <w:bottom w:val="none" w:sz="0" w:space="0" w:color="auto"/>
        <w:right w:val="none" w:sz="0" w:space="0" w:color="auto"/>
      </w:divBdr>
    </w:div>
    <w:div w:id="825508452">
      <w:bodyDiv w:val="1"/>
      <w:marLeft w:val="0"/>
      <w:marRight w:val="0"/>
      <w:marTop w:val="0"/>
      <w:marBottom w:val="0"/>
      <w:divBdr>
        <w:top w:val="none" w:sz="0" w:space="0" w:color="auto"/>
        <w:left w:val="none" w:sz="0" w:space="0" w:color="auto"/>
        <w:bottom w:val="none" w:sz="0" w:space="0" w:color="auto"/>
        <w:right w:val="none" w:sz="0" w:space="0" w:color="auto"/>
      </w:divBdr>
    </w:div>
    <w:div w:id="826045651">
      <w:bodyDiv w:val="1"/>
      <w:marLeft w:val="0"/>
      <w:marRight w:val="0"/>
      <w:marTop w:val="0"/>
      <w:marBottom w:val="0"/>
      <w:divBdr>
        <w:top w:val="none" w:sz="0" w:space="0" w:color="auto"/>
        <w:left w:val="none" w:sz="0" w:space="0" w:color="auto"/>
        <w:bottom w:val="none" w:sz="0" w:space="0" w:color="auto"/>
        <w:right w:val="none" w:sz="0" w:space="0" w:color="auto"/>
      </w:divBdr>
    </w:div>
    <w:div w:id="826168263">
      <w:bodyDiv w:val="1"/>
      <w:marLeft w:val="0"/>
      <w:marRight w:val="0"/>
      <w:marTop w:val="0"/>
      <w:marBottom w:val="0"/>
      <w:divBdr>
        <w:top w:val="none" w:sz="0" w:space="0" w:color="auto"/>
        <w:left w:val="none" w:sz="0" w:space="0" w:color="auto"/>
        <w:bottom w:val="none" w:sz="0" w:space="0" w:color="auto"/>
        <w:right w:val="none" w:sz="0" w:space="0" w:color="auto"/>
      </w:divBdr>
    </w:div>
    <w:div w:id="831062372">
      <w:bodyDiv w:val="1"/>
      <w:marLeft w:val="0"/>
      <w:marRight w:val="0"/>
      <w:marTop w:val="0"/>
      <w:marBottom w:val="0"/>
      <w:divBdr>
        <w:top w:val="none" w:sz="0" w:space="0" w:color="auto"/>
        <w:left w:val="none" w:sz="0" w:space="0" w:color="auto"/>
        <w:bottom w:val="none" w:sz="0" w:space="0" w:color="auto"/>
        <w:right w:val="none" w:sz="0" w:space="0" w:color="auto"/>
      </w:divBdr>
    </w:div>
    <w:div w:id="831681497">
      <w:bodyDiv w:val="1"/>
      <w:marLeft w:val="0"/>
      <w:marRight w:val="0"/>
      <w:marTop w:val="0"/>
      <w:marBottom w:val="0"/>
      <w:divBdr>
        <w:top w:val="none" w:sz="0" w:space="0" w:color="auto"/>
        <w:left w:val="none" w:sz="0" w:space="0" w:color="auto"/>
        <w:bottom w:val="none" w:sz="0" w:space="0" w:color="auto"/>
        <w:right w:val="none" w:sz="0" w:space="0" w:color="auto"/>
      </w:divBdr>
    </w:div>
    <w:div w:id="832649363">
      <w:bodyDiv w:val="1"/>
      <w:marLeft w:val="0"/>
      <w:marRight w:val="0"/>
      <w:marTop w:val="0"/>
      <w:marBottom w:val="0"/>
      <w:divBdr>
        <w:top w:val="none" w:sz="0" w:space="0" w:color="auto"/>
        <w:left w:val="none" w:sz="0" w:space="0" w:color="auto"/>
        <w:bottom w:val="none" w:sz="0" w:space="0" w:color="auto"/>
        <w:right w:val="none" w:sz="0" w:space="0" w:color="auto"/>
      </w:divBdr>
    </w:div>
    <w:div w:id="834492816">
      <w:bodyDiv w:val="1"/>
      <w:marLeft w:val="0"/>
      <w:marRight w:val="0"/>
      <w:marTop w:val="0"/>
      <w:marBottom w:val="0"/>
      <w:divBdr>
        <w:top w:val="none" w:sz="0" w:space="0" w:color="auto"/>
        <w:left w:val="none" w:sz="0" w:space="0" w:color="auto"/>
        <w:bottom w:val="none" w:sz="0" w:space="0" w:color="auto"/>
        <w:right w:val="none" w:sz="0" w:space="0" w:color="auto"/>
      </w:divBdr>
    </w:div>
    <w:div w:id="835345523">
      <w:bodyDiv w:val="1"/>
      <w:marLeft w:val="0"/>
      <w:marRight w:val="0"/>
      <w:marTop w:val="0"/>
      <w:marBottom w:val="0"/>
      <w:divBdr>
        <w:top w:val="none" w:sz="0" w:space="0" w:color="auto"/>
        <w:left w:val="none" w:sz="0" w:space="0" w:color="auto"/>
        <w:bottom w:val="none" w:sz="0" w:space="0" w:color="auto"/>
        <w:right w:val="none" w:sz="0" w:space="0" w:color="auto"/>
      </w:divBdr>
    </w:div>
    <w:div w:id="836074611">
      <w:bodyDiv w:val="1"/>
      <w:marLeft w:val="0"/>
      <w:marRight w:val="0"/>
      <w:marTop w:val="0"/>
      <w:marBottom w:val="0"/>
      <w:divBdr>
        <w:top w:val="none" w:sz="0" w:space="0" w:color="auto"/>
        <w:left w:val="none" w:sz="0" w:space="0" w:color="auto"/>
        <w:bottom w:val="none" w:sz="0" w:space="0" w:color="auto"/>
        <w:right w:val="none" w:sz="0" w:space="0" w:color="auto"/>
      </w:divBdr>
    </w:div>
    <w:div w:id="836261583">
      <w:bodyDiv w:val="1"/>
      <w:marLeft w:val="0"/>
      <w:marRight w:val="0"/>
      <w:marTop w:val="0"/>
      <w:marBottom w:val="0"/>
      <w:divBdr>
        <w:top w:val="none" w:sz="0" w:space="0" w:color="auto"/>
        <w:left w:val="none" w:sz="0" w:space="0" w:color="auto"/>
        <w:bottom w:val="none" w:sz="0" w:space="0" w:color="auto"/>
        <w:right w:val="none" w:sz="0" w:space="0" w:color="auto"/>
      </w:divBdr>
    </w:div>
    <w:div w:id="836262481">
      <w:bodyDiv w:val="1"/>
      <w:marLeft w:val="0"/>
      <w:marRight w:val="0"/>
      <w:marTop w:val="0"/>
      <w:marBottom w:val="0"/>
      <w:divBdr>
        <w:top w:val="none" w:sz="0" w:space="0" w:color="auto"/>
        <w:left w:val="none" w:sz="0" w:space="0" w:color="auto"/>
        <w:bottom w:val="none" w:sz="0" w:space="0" w:color="auto"/>
        <w:right w:val="none" w:sz="0" w:space="0" w:color="auto"/>
      </w:divBdr>
    </w:div>
    <w:div w:id="838470666">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548570">
      <w:bodyDiv w:val="1"/>
      <w:marLeft w:val="0"/>
      <w:marRight w:val="0"/>
      <w:marTop w:val="0"/>
      <w:marBottom w:val="0"/>
      <w:divBdr>
        <w:top w:val="none" w:sz="0" w:space="0" w:color="auto"/>
        <w:left w:val="none" w:sz="0" w:space="0" w:color="auto"/>
        <w:bottom w:val="none" w:sz="0" w:space="0" w:color="auto"/>
        <w:right w:val="none" w:sz="0" w:space="0" w:color="auto"/>
      </w:divBdr>
    </w:div>
    <w:div w:id="843974076">
      <w:bodyDiv w:val="1"/>
      <w:marLeft w:val="0"/>
      <w:marRight w:val="0"/>
      <w:marTop w:val="0"/>
      <w:marBottom w:val="0"/>
      <w:divBdr>
        <w:top w:val="none" w:sz="0" w:space="0" w:color="auto"/>
        <w:left w:val="none" w:sz="0" w:space="0" w:color="auto"/>
        <w:bottom w:val="none" w:sz="0" w:space="0" w:color="auto"/>
        <w:right w:val="none" w:sz="0" w:space="0" w:color="auto"/>
      </w:divBdr>
    </w:div>
    <w:div w:id="844906891">
      <w:bodyDiv w:val="1"/>
      <w:marLeft w:val="0"/>
      <w:marRight w:val="0"/>
      <w:marTop w:val="0"/>
      <w:marBottom w:val="0"/>
      <w:divBdr>
        <w:top w:val="none" w:sz="0" w:space="0" w:color="auto"/>
        <w:left w:val="none" w:sz="0" w:space="0" w:color="auto"/>
        <w:bottom w:val="none" w:sz="0" w:space="0" w:color="auto"/>
        <w:right w:val="none" w:sz="0" w:space="0" w:color="auto"/>
      </w:divBdr>
    </w:div>
    <w:div w:id="846797922">
      <w:bodyDiv w:val="1"/>
      <w:marLeft w:val="0"/>
      <w:marRight w:val="0"/>
      <w:marTop w:val="0"/>
      <w:marBottom w:val="0"/>
      <w:divBdr>
        <w:top w:val="none" w:sz="0" w:space="0" w:color="auto"/>
        <w:left w:val="none" w:sz="0" w:space="0" w:color="auto"/>
        <w:bottom w:val="none" w:sz="0" w:space="0" w:color="auto"/>
        <w:right w:val="none" w:sz="0" w:space="0" w:color="auto"/>
      </w:divBdr>
    </w:div>
    <w:div w:id="847669670">
      <w:bodyDiv w:val="1"/>
      <w:marLeft w:val="0"/>
      <w:marRight w:val="0"/>
      <w:marTop w:val="0"/>
      <w:marBottom w:val="0"/>
      <w:divBdr>
        <w:top w:val="none" w:sz="0" w:space="0" w:color="auto"/>
        <w:left w:val="none" w:sz="0" w:space="0" w:color="auto"/>
        <w:bottom w:val="none" w:sz="0" w:space="0" w:color="auto"/>
        <w:right w:val="none" w:sz="0" w:space="0" w:color="auto"/>
      </w:divBdr>
    </w:div>
    <w:div w:id="848064655">
      <w:bodyDiv w:val="1"/>
      <w:marLeft w:val="0"/>
      <w:marRight w:val="0"/>
      <w:marTop w:val="0"/>
      <w:marBottom w:val="0"/>
      <w:divBdr>
        <w:top w:val="none" w:sz="0" w:space="0" w:color="auto"/>
        <w:left w:val="none" w:sz="0" w:space="0" w:color="auto"/>
        <w:bottom w:val="none" w:sz="0" w:space="0" w:color="auto"/>
        <w:right w:val="none" w:sz="0" w:space="0" w:color="auto"/>
      </w:divBdr>
    </w:div>
    <w:div w:id="848182319">
      <w:bodyDiv w:val="1"/>
      <w:marLeft w:val="0"/>
      <w:marRight w:val="0"/>
      <w:marTop w:val="0"/>
      <w:marBottom w:val="0"/>
      <w:divBdr>
        <w:top w:val="none" w:sz="0" w:space="0" w:color="auto"/>
        <w:left w:val="none" w:sz="0" w:space="0" w:color="auto"/>
        <w:bottom w:val="none" w:sz="0" w:space="0" w:color="auto"/>
        <w:right w:val="none" w:sz="0" w:space="0" w:color="auto"/>
      </w:divBdr>
    </w:div>
    <w:div w:id="852836289">
      <w:bodyDiv w:val="1"/>
      <w:marLeft w:val="0"/>
      <w:marRight w:val="0"/>
      <w:marTop w:val="0"/>
      <w:marBottom w:val="0"/>
      <w:divBdr>
        <w:top w:val="none" w:sz="0" w:space="0" w:color="auto"/>
        <w:left w:val="none" w:sz="0" w:space="0" w:color="auto"/>
        <w:bottom w:val="none" w:sz="0" w:space="0" w:color="auto"/>
        <w:right w:val="none" w:sz="0" w:space="0" w:color="auto"/>
      </w:divBdr>
    </w:div>
    <w:div w:id="853691127">
      <w:bodyDiv w:val="1"/>
      <w:marLeft w:val="0"/>
      <w:marRight w:val="0"/>
      <w:marTop w:val="0"/>
      <w:marBottom w:val="0"/>
      <w:divBdr>
        <w:top w:val="none" w:sz="0" w:space="0" w:color="auto"/>
        <w:left w:val="none" w:sz="0" w:space="0" w:color="auto"/>
        <w:bottom w:val="none" w:sz="0" w:space="0" w:color="auto"/>
        <w:right w:val="none" w:sz="0" w:space="0" w:color="auto"/>
      </w:divBdr>
    </w:div>
    <w:div w:id="854273340">
      <w:bodyDiv w:val="1"/>
      <w:marLeft w:val="0"/>
      <w:marRight w:val="0"/>
      <w:marTop w:val="0"/>
      <w:marBottom w:val="0"/>
      <w:divBdr>
        <w:top w:val="none" w:sz="0" w:space="0" w:color="auto"/>
        <w:left w:val="none" w:sz="0" w:space="0" w:color="auto"/>
        <w:bottom w:val="none" w:sz="0" w:space="0" w:color="auto"/>
        <w:right w:val="none" w:sz="0" w:space="0" w:color="auto"/>
      </w:divBdr>
    </w:div>
    <w:div w:id="854997868">
      <w:bodyDiv w:val="1"/>
      <w:marLeft w:val="0"/>
      <w:marRight w:val="0"/>
      <w:marTop w:val="0"/>
      <w:marBottom w:val="0"/>
      <w:divBdr>
        <w:top w:val="none" w:sz="0" w:space="0" w:color="auto"/>
        <w:left w:val="none" w:sz="0" w:space="0" w:color="auto"/>
        <w:bottom w:val="none" w:sz="0" w:space="0" w:color="auto"/>
        <w:right w:val="none" w:sz="0" w:space="0" w:color="auto"/>
      </w:divBdr>
    </w:div>
    <w:div w:id="855655527">
      <w:bodyDiv w:val="1"/>
      <w:marLeft w:val="0"/>
      <w:marRight w:val="0"/>
      <w:marTop w:val="0"/>
      <w:marBottom w:val="0"/>
      <w:divBdr>
        <w:top w:val="none" w:sz="0" w:space="0" w:color="auto"/>
        <w:left w:val="none" w:sz="0" w:space="0" w:color="auto"/>
        <w:bottom w:val="none" w:sz="0" w:space="0" w:color="auto"/>
        <w:right w:val="none" w:sz="0" w:space="0" w:color="auto"/>
      </w:divBdr>
    </w:div>
    <w:div w:id="857428582">
      <w:bodyDiv w:val="1"/>
      <w:marLeft w:val="0"/>
      <w:marRight w:val="0"/>
      <w:marTop w:val="0"/>
      <w:marBottom w:val="0"/>
      <w:divBdr>
        <w:top w:val="none" w:sz="0" w:space="0" w:color="auto"/>
        <w:left w:val="none" w:sz="0" w:space="0" w:color="auto"/>
        <w:bottom w:val="none" w:sz="0" w:space="0" w:color="auto"/>
        <w:right w:val="none" w:sz="0" w:space="0" w:color="auto"/>
      </w:divBdr>
    </w:div>
    <w:div w:id="859199066">
      <w:bodyDiv w:val="1"/>
      <w:marLeft w:val="0"/>
      <w:marRight w:val="0"/>
      <w:marTop w:val="0"/>
      <w:marBottom w:val="0"/>
      <w:divBdr>
        <w:top w:val="none" w:sz="0" w:space="0" w:color="auto"/>
        <w:left w:val="none" w:sz="0" w:space="0" w:color="auto"/>
        <w:bottom w:val="none" w:sz="0" w:space="0" w:color="auto"/>
        <w:right w:val="none" w:sz="0" w:space="0" w:color="auto"/>
      </w:divBdr>
    </w:div>
    <w:div w:id="859470700">
      <w:bodyDiv w:val="1"/>
      <w:marLeft w:val="0"/>
      <w:marRight w:val="0"/>
      <w:marTop w:val="0"/>
      <w:marBottom w:val="0"/>
      <w:divBdr>
        <w:top w:val="none" w:sz="0" w:space="0" w:color="auto"/>
        <w:left w:val="none" w:sz="0" w:space="0" w:color="auto"/>
        <w:bottom w:val="none" w:sz="0" w:space="0" w:color="auto"/>
        <w:right w:val="none" w:sz="0" w:space="0" w:color="auto"/>
      </w:divBdr>
    </w:div>
    <w:div w:id="859509444">
      <w:bodyDiv w:val="1"/>
      <w:marLeft w:val="0"/>
      <w:marRight w:val="0"/>
      <w:marTop w:val="0"/>
      <w:marBottom w:val="0"/>
      <w:divBdr>
        <w:top w:val="none" w:sz="0" w:space="0" w:color="auto"/>
        <w:left w:val="none" w:sz="0" w:space="0" w:color="auto"/>
        <w:bottom w:val="none" w:sz="0" w:space="0" w:color="auto"/>
        <w:right w:val="none" w:sz="0" w:space="0" w:color="auto"/>
      </w:divBdr>
    </w:div>
    <w:div w:id="866522714">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0530622">
      <w:bodyDiv w:val="1"/>
      <w:marLeft w:val="0"/>
      <w:marRight w:val="0"/>
      <w:marTop w:val="0"/>
      <w:marBottom w:val="0"/>
      <w:divBdr>
        <w:top w:val="none" w:sz="0" w:space="0" w:color="auto"/>
        <w:left w:val="none" w:sz="0" w:space="0" w:color="auto"/>
        <w:bottom w:val="none" w:sz="0" w:space="0" w:color="auto"/>
        <w:right w:val="none" w:sz="0" w:space="0" w:color="auto"/>
      </w:divBdr>
    </w:div>
    <w:div w:id="875193619">
      <w:bodyDiv w:val="1"/>
      <w:marLeft w:val="0"/>
      <w:marRight w:val="0"/>
      <w:marTop w:val="0"/>
      <w:marBottom w:val="0"/>
      <w:divBdr>
        <w:top w:val="none" w:sz="0" w:space="0" w:color="auto"/>
        <w:left w:val="none" w:sz="0" w:space="0" w:color="auto"/>
        <w:bottom w:val="none" w:sz="0" w:space="0" w:color="auto"/>
        <w:right w:val="none" w:sz="0" w:space="0" w:color="auto"/>
      </w:divBdr>
    </w:div>
    <w:div w:id="876621063">
      <w:bodyDiv w:val="1"/>
      <w:marLeft w:val="0"/>
      <w:marRight w:val="0"/>
      <w:marTop w:val="0"/>
      <w:marBottom w:val="0"/>
      <w:divBdr>
        <w:top w:val="none" w:sz="0" w:space="0" w:color="auto"/>
        <w:left w:val="none" w:sz="0" w:space="0" w:color="auto"/>
        <w:bottom w:val="none" w:sz="0" w:space="0" w:color="auto"/>
        <w:right w:val="none" w:sz="0" w:space="0" w:color="auto"/>
      </w:divBdr>
    </w:div>
    <w:div w:id="879246271">
      <w:bodyDiv w:val="1"/>
      <w:marLeft w:val="0"/>
      <w:marRight w:val="0"/>
      <w:marTop w:val="0"/>
      <w:marBottom w:val="0"/>
      <w:divBdr>
        <w:top w:val="none" w:sz="0" w:space="0" w:color="auto"/>
        <w:left w:val="none" w:sz="0" w:space="0" w:color="auto"/>
        <w:bottom w:val="none" w:sz="0" w:space="0" w:color="auto"/>
        <w:right w:val="none" w:sz="0" w:space="0" w:color="auto"/>
      </w:divBdr>
    </w:div>
    <w:div w:id="879367801">
      <w:bodyDiv w:val="1"/>
      <w:marLeft w:val="0"/>
      <w:marRight w:val="0"/>
      <w:marTop w:val="0"/>
      <w:marBottom w:val="0"/>
      <w:divBdr>
        <w:top w:val="none" w:sz="0" w:space="0" w:color="auto"/>
        <w:left w:val="none" w:sz="0" w:space="0" w:color="auto"/>
        <w:bottom w:val="none" w:sz="0" w:space="0" w:color="auto"/>
        <w:right w:val="none" w:sz="0" w:space="0" w:color="auto"/>
      </w:divBdr>
    </w:div>
    <w:div w:id="879635415">
      <w:bodyDiv w:val="1"/>
      <w:marLeft w:val="0"/>
      <w:marRight w:val="0"/>
      <w:marTop w:val="0"/>
      <w:marBottom w:val="0"/>
      <w:divBdr>
        <w:top w:val="none" w:sz="0" w:space="0" w:color="auto"/>
        <w:left w:val="none" w:sz="0" w:space="0" w:color="auto"/>
        <w:bottom w:val="none" w:sz="0" w:space="0" w:color="auto"/>
        <w:right w:val="none" w:sz="0" w:space="0" w:color="auto"/>
      </w:divBdr>
    </w:div>
    <w:div w:id="881553255">
      <w:bodyDiv w:val="1"/>
      <w:marLeft w:val="0"/>
      <w:marRight w:val="0"/>
      <w:marTop w:val="0"/>
      <w:marBottom w:val="0"/>
      <w:divBdr>
        <w:top w:val="none" w:sz="0" w:space="0" w:color="auto"/>
        <w:left w:val="none" w:sz="0" w:space="0" w:color="auto"/>
        <w:bottom w:val="none" w:sz="0" w:space="0" w:color="auto"/>
        <w:right w:val="none" w:sz="0" w:space="0" w:color="auto"/>
      </w:divBdr>
    </w:div>
    <w:div w:id="882058728">
      <w:bodyDiv w:val="1"/>
      <w:marLeft w:val="0"/>
      <w:marRight w:val="0"/>
      <w:marTop w:val="0"/>
      <w:marBottom w:val="0"/>
      <w:divBdr>
        <w:top w:val="none" w:sz="0" w:space="0" w:color="auto"/>
        <w:left w:val="none" w:sz="0" w:space="0" w:color="auto"/>
        <w:bottom w:val="none" w:sz="0" w:space="0" w:color="auto"/>
        <w:right w:val="none" w:sz="0" w:space="0" w:color="auto"/>
      </w:divBdr>
    </w:div>
    <w:div w:id="887491016">
      <w:bodyDiv w:val="1"/>
      <w:marLeft w:val="0"/>
      <w:marRight w:val="0"/>
      <w:marTop w:val="0"/>
      <w:marBottom w:val="0"/>
      <w:divBdr>
        <w:top w:val="none" w:sz="0" w:space="0" w:color="auto"/>
        <w:left w:val="none" w:sz="0" w:space="0" w:color="auto"/>
        <w:bottom w:val="none" w:sz="0" w:space="0" w:color="auto"/>
        <w:right w:val="none" w:sz="0" w:space="0" w:color="auto"/>
      </w:divBdr>
    </w:div>
    <w:div w:id="888228340">
      <w:bodyDiv w:val="1"/>
      <w:marLeft w:val="0"/>
      <w:marRight w:val="0"/>
      <w:marTop w:val="0"/>
      <w:marBottom w:val="0"/>
      <w:divBdr>
        <w:top w:val="none" w:sz="0" w:space="0" w:color="auto"/>
        <w:left w:val="none" w:sz="0" w:space="0" w:color="auto"/>
        <w:bottom w:val="none" w:sz="0" w:space="0" w:color="auto"/>
        <w:right w:val="none" w:sz="0" w:space="0" w:color="auto"/>
      </w:divBdr>
    </w:div>
    <w:div w:id="888615854">
      <w:bodyDiv w:val="1"/>
      <w:marLeft w:val="0"/>
      <w:marRight w:val="0"/>
      <w:marTop w:val="0"/>
      <w:marBottom w:val="0"/>
      <w:divBdr>
        <w:top w:val="none" w:sz="0" w:space="0" w:color="auto"/>
        <w:left w:val="none" w:sz="0" w:space="0" w:color="auto"/>
        <w:bottom w:val="none" w:sz="0" w:space="0" w:color="auto"/>
        <w:right w:val="none" w:sz="0" w:space="0" w:color="auto"/>
      </w:divBdr>
    </w:div>
    <w:div w:id="888763848">
      <w:bodyDiv w:val="1"/>
      <w:marLeft w:val="0"/>
      <w:marRight w:val="0"/>
      <w:marTop w:val="0"/>
      <w:marBottom w:val="0"/>
      <w:divBdr>
        <w:top w:val="none" w:sz="0" w:space="0" w:color="auto"/>
        <w:left w:val="none" w:sz="0" w:space="0" w:color="auto"/>
        <w:bottom w:val="none" w:sz="0" w:space="0" w:color="auto"/>
        <w:right w:val="none" w:sz="0" w:space="0" w:color="auto"/>
      </w:divBdr>
    </w:div>
    <w:div w:id="889421377">
      <w:bodyDiv w:val="1"/>
      <w:marLeft w:val="0"/>
      <w:marRight w:val="0"/>
      <w:marTop w:val="0"/>
      <w:marBottom w:val="0"/>
      <w:divBdr>
        <w:top w:val="none" w:sz="0" w:space="0" w:color="auto"/>
        <w:left w:val="none" w:sz="0" w:space="0" w:color="auto"/>
        <w:bottom w:val="none" w:sz="0" w:space="0" w:color="auto"/>
        <w:right w:val="none" w:sz="0" w:space="0" w:color="auto"/>
      </w:divBdr>
    </w:div>
    <w:div w:id="889993696">
      <w:bodyDiv w:val="1"/>
      <w:marLeft w:val="0"/>
      <w:marRight w:val="0"/>
      <w:marTop w:val="0"/>
      <w:marBottom w:val="0"/>
      <w:divBdr>
        <w:top w:val="none" w:sz="0" w:space="0" w:color="auto"/>
        <w:left w:val="none" w:sz="0" w:space="0" w:color="auto"/>
        <w:bottom w:val="none" w:sz="0" w:space="0" w:color="auto"/>
        <w:right w:val="none" w:sz="0" w:space="0" w:color="auto"/>
      </w:divBdr>
    </w:div>
    <w:div w:id="890922269">
      <w:bodyDiv w:val="1"/>
      <w:marLeft w:val="0"/>
      <w:marRight w:val="0"/>
      <w:marTop w:val="0"/>
      <w:marBottom w:val="0"/>
      <w:divBdr>
        <w:top w:val="none" w:sz="0" w:space="0" w:color="auto"/>
        <w:left w:val="none" w:sz="0" w:space="0" w:color="auto"/>
        <w:bottom w:val="none" w:sz="0" w:space="0" w:color="auto"/>
        <w:right w:val="none" w:sz="0" w:space="0" w:color="auto"/>
      </w:divBdr>
    </w:div>
    <w:div w:id="891699125">
      <w:bodyDiv w:val="1"/>
      <w:marLeft w:val="0"/>
      <w:marRight w:val="0"/>
      <w:marTop w:val="0"/>
      <w:marBottom w:val="0"/>
      <w:divBdr>
        <w:top w:val="none" w:sz="0" w:space="0" w:color="auto"/>
        <w:left w:val="none" w:sz="0" w:space="0" w:color="auto"/>
        <w:bottom w:val="none" w:sz="0" w:space="0" w:color="auto"/>
        <w:right w:val="none" w:sz="0" w:space="0" w:color="auto"/>
      </w:divBdr>
    </w:div>
    <w:div w:id="892421351">
      <w:bodyDiv w:val="1"/>
      <w:marLeft w:val="0"/>
      <w:marRight w:val="0"/>
      <w:marTop w:val="0"/>
      <w:marBottom w:val="0"/>
      <w:divBdr>
        <w:top w:val="none" w:sz="0" w:space="0" w:color="auto"/>
        <w:left w:val="none" w:sz="0" w:space="0" w:color="auto"/>
        <w:bottom w:val="none" w:sz="0" w:space="0" w:color="auto"/>
        <w:right w:val="none" w:sz="0" w:space="0" w:color="auto"/>
      </w:divBdr>
    </w:div>
    <w:div w:id="892619898">
      <w:bodyDiv w:val="1"/>
      <w:marLeft w:val="0"/>
      <w:marRight w:val="0"/>
      <w:marTop w:val="0"/>
      <w:marBottom w:val="0"/>
      <w:divBdr>
        <w:top w:val="none" w:sz="0" w:space="0" w:color="auto"/>
        <w:left w:val="none" w:sz="0" w:space="0" w:color="auto"/>
        <w:bottom w:val="none" w:sz="0" w:space="0" w:color="auto"/>
        <w:right w:val="none" w:sz="0" w:space="0" w:color="auto"/>
      </w:divBdr>
    </w:div>
    <w:div w:id="893780087">
      <w:bodyDiv w:val="1"/>
      <w:marLeft w:val="0"/>
      <w:marRight w:val="0"/>
      <w:marTop w:val="0"/>
      <w:marBottom w:val="0"/>
      <w:divBdr>
        <w:top w:val="none" w:sz="0" w:space="0" w:color="auto"/>
        <w:left w:val="none" w:sz="0" w:space="0" w:color="auto"/>
        <w:bottom w:val="none" w:sz="0" w:space="0" w:color="auto"/>
        <w:right w:val="none" w:sz="0" w:space="0" w:color="auto"/>
      </w:divBdr>
    </w:div>
    <w:div w:id="893927191">
      <w:bodyDiv w:val="1"/>
      <w:marLeft w:val="0"/>
      <w:marRight w:val="0"/>
      <w:marTop w:val="0"/>
      <w:marBottom w:val="0"/>
      <w:divBdr>
        <w:top w:val="none" w:sz="0" w:space="0" w:color="auto"/>
        <w:left w:val="none" w:sz="0" w:space="0" w:color="auto"/>
        <w:bottom w:val="none" w:sz="0" w:space="0" w:color="auto"/>
        <w:right w:val="none" w:sz="0" w:space="0" w:color="auto"/>
      </w:divBdr>
    </w:div>
    <w:div w:id="896017121">
      <w:bodyDiv w:val="1"/>
      <w:marLeft w:val="0"/>
      <w:marRight w:val="0"/>
      <w:marTop w:val="0"/>
      <w:marBottom w:val="0"/>
      <w:divBdr>
        <w:top w:val="none" w:sz="0" w:space="0" w:color="auto"/>
        <w:left w:val="none" w:sz="0" w:space="0" w:color="auto"/>
        <w:bottom w:val="none" w:sz="0" w:space="0" w:color="auto"/>
        <w:right w:val="none" w:sz="0" w:space="0" w:color="auto"/>
      </w:divBdr>
    </w:div>
    <w:div w:id="897325629">
      <w:bodyDiv w:val="1"/>
      <w:marLeft w:val="0"/>
      <w:marRight w:val="0"/>
      <w:marTop w:val="0"/>
      <w:marBottom w:val="0"/>
      <w:divBdr>
        <w:top w:val="none" w:sz="0" w:space="0" w:color="auto"/>
        <w:left w:val="none" w:sz="0" w:space="0" w:color="auto"/>
        <w:bottom w:val="none" w:sz="0" w:space="0" w:color="auto"/>
        <w:right w:val="none" w:sz="0" w:space="0" w:color="auto"/>
      </w:divBdr>
    </w:div>
    <w:div w:id="899242928">
      <w:bodyDiv w:val="1"/>
      <w:marLeft w:val="0"/>
      <w:marRight w:val="0"/>
      <w:marTop w:val="0"/>
      <w:marBottom w:val="0"/>
      <w:divBdr>
        <w:top w:val="none" w:sz="0" w:space="0" w:color="auto"/>
        <w:left w:val="none" w:sz="0" w:space="0" w:color="auto"/>
        <w:bottom w:val="none" w:sz="0" w:space="0" w:color="auto"/>
        <w:right w:val="none" w:sz="0" w:space="0" w:color="auto"/>
      </w:divBdr>
    </w:div>
    <w:div w:id="899286823">
      <w:bodyDiv w:val="1"/>
      <w:marLeft w:val="0"/>
      <w:marRight w:val="0"/>
      <w:marTop w:val="0"/>
      <w:marBottom w:val="0"/>
      <w:divBdr>
        <w:top w:val="none" w:sz="0" w:space="0" w:color="auto"/>
        <w:left w:val="none" w:sz="0" w:space="0" w:color="auto"/>
        <w:bottom w:val="none" w:sz="0" w:space="0" w:color="auto"/>
        <w:right w:val="none" w:sz="0" w:space="0" w:color="auto"/>
      </w:divBdr>
    </w:div>
    <w:div w:id="899291188">
      <w:bodyDiv w:val="1"/>
      <w:marLeft w:val="0"/>
      <w:marRight w:val="0"/>
      <w:marTop w:val="0"/>
      <w:marBottom w:val="0"/>
      <w:divBdr>
        <w:top w:val="none" w:sz="0" w:space="0" w:color="auto"/>
        <w:left w:val="none" w:sz="0" w:space="0" w:color="auto"/>
        <w:bottom w:val="none" w:sz="0" w:space="0" w:color="auto"/>
        <w:right w:val="none" w:sz="0" w:space="0" w:color="auto"/>
      </w:divBdr>
    </w:div>
    <w:div w:id="900361777">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064014">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6181863">
      <w:bodyDiv w:val="1"/>
      <w:marLeft w:val="0"/>
      <w:marRight w:val="0"/>
      <w:marTop w:val="0"/>
      <w:marBottom w:val="0"/>
      <w:divBdr>
        <w:top w:val="none" w:sz="0" w:space="0" w:color="auto"/>
        <w:left w:val="none" w:sz="0" w:space="0" w:color="auto"/>
        <w:bottom w:val="none" w:sz="0" w:space="0" w:color="auto"/>
        <w:right w:val="none" w:sz="0" w:space="0" w:color="auto"/>
      </w:divBdr>
    </w:div>
    <w:div w:id="906496797">
      <w:bodyDiv w:val="1"/>
      <w:marLeft w:val="0"/>
      <w:marRight w:val="0"/>
      <w:marTop w:val="0"/>
      <w:marBottom w:val="0"/>
      <w:divBdr>
        <w:top w:val="none" w:sz="0" w:space="0" w:color="auto"/>
        <w:left w:val="none" w:sz="0" w:space="0" w:color="auto"/>
        <w:bottom w:val="none" w:sz="0" w:space="0" w:color="auto"/>
        <w:right w:val="none" w:sz="0" w:space="0" w:color="auto"/>
      </w:divBdr>
    </w:div>
    <w:div w:id="907350087">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8468310">
      <w:bodyDiv w:val="1"/>
      <w:marLeft w:val="0"/>
      <w:marRight w:val="0"/>
      <w:marTop w:val="0"/>
      <w:marBottom w:val="0"/>
      <w:divBdr>
        <w:top w:val="none" w:sz="0" w:space="0" w:color="auto"/>
        <w:left w:val="none" w:sz="0" w:space="0" w:color="auto"/>
        <w:bottom w:val="none" w:sz="0" w:space="0" w:color="auto"/>
        <w:right w:val="none" w:sz="0" w:space="0" w:color="auto"/>
      </w:divBdr>
    </w:div>
    <w:div w:id="910118984">
      <w:bodyDiv w:val="1"/>
      <w:marLeft w:val="0"/>
      <w:marRight w:val="0"/>
      <w:marTop w:val="0"/>
      <w:marBottom w:val="0"/>
      <w:divBdr>
        <w:top w:val="none" w:sz="0" w:space="0" w:color="auto"/>
        <w:left w:val="none" w:sz="0" w:space="0" w:color="auto"/>
        <w:bottom w:val="none" w:sz="0" w:space="0" w:color="auto"/>
        <w:right w:val="none" w:sz="0" w:space="0" w:color="auto"/>
      </w:divBdr>
    </w:div>
    <w:div w:id="911626069">
      <w:bodyDiv w:val="1"/>
      <w:marLeft w:val="0"/>
      <w:marRight w:val="0"/>
      <w:marTop w:val="0"/>
      <w:marBottom w:val="0"/>
      <w:divBdr>
        <w:top w:val="none" w:sz="0" w:space="0" w:color="auto"/>
        <w:left w:val="none" w:sz="0" w:space="0" w:color="auto"/>
        <w:bottom w:val="none" w:sz="0" w:space="0" w:color="auto"/>
        <w:right w:val="none" w:sz="0" w:space="0" w:color="auto"/>
      </w:divBdr>
    </w:div>
    <w:div w:id="913666784">
      <w:bodyDiv w:val="1"/>
      <w:marLeft w:val="0"/>
      <w:marRight w:val="0"/>
      <w:marTop w:val="0"/>
      <w:marBottom w:val="0"/>
      <w:divBdr>
        <w:top w:val="none" w:sz="0" w:space="0" w:color="auto"/>
        <w:left w:val="none" w:sz="0" w:space="0" w:color="auto"/>
        <w:bottom w:val="none" w:sz="0" w:space="0" w:color="auto"/>
        <w:right w:val="none" w:sz="0" w:space="0" w:color="auto"/>
      </w:divBdr>
    </w:div>
    <w:div w:id="914122840">
      <w:bodyDiv w:val="1"/>
      <w:marLeft w:val="0"/>
      <w:marRight w:val="0"/>
      <w:marTop w:val="0"/>
      <w:marBottom w:val="0"/>
      <w:divBdr>
        <w:top w:val="none" w:sz="0" w:space="0" w:color="auto"/>
        <w:left w:val="none" w:sz="0" w:space="0" w:color="auto"/>
        <w:bottom w:val="none" w:sz="0" w:space="0" w:color="auto"/>
        <w:right w:val="none" w:sz="0" w:space="0" w:color="auto"/>
      </w:divBdr>
    </w:div>
    <w:div w:id="914170099">
      <w:bodyDiv w:val="1"/>
      <w:marLeft w:val="0"/>
      <w:marRight w:val="0"/>
      <w:marTop w:val="0"/>
      <w:marBottom w:val="0"/>
      <w:divBdr>
        <w:top w:val="none" w:sz="0" w:space="0" w:color="auto"/>
        <w:left w:val="none" w:sz="0" w:space="0" w:color="auto"/>
        <w:bottom w:val="none" w:sz="0" w:space="0" w:color="auto"/>
        <w:right w:val="none" w:sz="0" w:space="0" w:color="auto"/>
      </w:divBdr>
    </w:div>
    <w:div w:id="914314615">
      <w:bodyDiv w:val="1"/>
      <w:marLeft w:val="0"/>
      <w:marRight w:val="0"/>
      <w:marTop w:val="0"/>
      <w:marBottom w:val="0"/>
      <w:divBdr>
        <w:top w:val="none" w:sz="0" w:space="0" w:color="auto"/>
        <w:left w:val="none" w:sz="0" w:space="0" w:color="auto"/>
        <w:bottom w:val="none" w:sz="0" w:space="0" w:color="auto"/>
        <w:right w:val="none" w:sz="0" w:space="0" w:color="auto"/>
      </w:divBdr>
    </w:div>
    <w:div w:id="914437304">
      <w:bodyDiv w:val="1"/>
      <w:marLeft w:val="0"/>
      <w:marRight w:val="0"/>
      <w:marTop w:val="0"/>
      <w:marBottom w:val="0"/>
      <w:divBdr>
        <w:top w:val="none" w:sz="0" w:space="0" w:color="auto"/>
        <w:left w:val="none" w:sz="0" w:space="0" w:color="auto"/>
        <w:bottom w:val="none" w:sz="0" w:space="0" w:color="auto"/>
        <w:right w:val="none" w:sz="0" w:space="0" w:color="auto"/>
      </w:divBdr>
    </w:div>
    <w:div w:id="914708177">
      <w:bodyDiv w:val="1"/>
      <w:marLeft w:val="0"/>
      <w:marRight w:val="0"/>
      <w:marTop w:val="0"/>
      <w:marBottom w:val="0"/>
      <w:divBdr>
        <w:top w:val="none" w:sz="0" w:space="0" w:color="auto"/>
        <w:left w:val="none" w:sz="0" w:space="0" w:color="auto"/>
        <w:bottom w:val="none" w:sz="0" w:space="0" w:color="auto"/>
        <w:right w:val="none" w:sz="0" w:space="0" w:color="auto"/>
      </w:divBdr>
    </w:div>
    <w:div w:id="915237712">
      <w:bodyDiv w:val="1"/>
      <w:marLeft w:val="0"/>
      <w:marRight w:val="0"/>
      <w:marTop w:val="0"/>
      <w:marBottom w:val="0"/>
      <w:divBdr>
        <w:top w:val="none" w:sz="0" w:space="0" w:color="auto"/>
        <w:left w:val="none" w:sz="0" w:space="0" w:color="auto"/>
        <w:bottom w:val="none" w:sz="0" w:space="0" w:color="auto"/>
        <w:right w:val="none" w:sz="0" w:space="0" w:color="auto"/>
      </w:divBdr>
    </w:div>
    <w:div w:id="915747353">
      <w:bodyDiv w:val="1"/>
      <w:marLeft w:val="0"/>
      <w:marRight w:val="0"/>
      <w:marTop w:val="0"/>
      <w:marBottom w:val="0"/>
      <w:divBdr>
        <w:top w:val="none" w:sz="0" w:space="0" w:color="auto"/>
        <w:left w:val="none" w:sz="0" w:space="0" w:color="auto"/>
        <w:bottom w:val="none" w:sz="0" w:space="0" w:color="auto"/>
        <w:right w:val="none" w:sz="0" w:space="0" w:color="auto"/>
      </w:divBdr>
    </w:div>
    <w:div w:id="917859516">
      <w:bodyDiv w:val="1"/>
      <w:marLeft w:val="0"/>
      <w:marRight w:val="0"/>
      <w:marTop w:val="0"/>
      <w:marBottom w:val="0"/>
      <w:divBdr>
        <w:top w:val="none" w:sz="0" w:space="0" w:color="auto"/>
        <w:left w:val="none" w:sz="0" w:space="0" w:color="auto"/>
        <w:bottom w:val="none" w:sz="0" w:space="0" w:color="auto"/>
        <w:right w:val="none" w:sz="0" w:space="0" w:color="auto"/>
      </w:divBdr>
    </w:div>
    <w:div w:id="918827941">
      <w:bodyDiv w:val="1"/>
      <w:marLeft w:val="0"/>
      <w:marRight w:val="0"/>
      <w:marTop w:val="0"/>
      <w:marBottom w:val="0"/>
      <w:divBdr>
        <w:top w:val="none" w:sz="0" w:space="0" w:color="auto"/>
        <w:left w:val="none" w:sz="0" w:space="0" w:color="auto"/>
        <w:bottom w:val="none" w:sz="0" w:space="0" w:color="auto"/>
        <w:right w:val="none" w:sz="0" w:space="0" w:color="auto"/>
      </w:divBdr>
    </w:div>
    <w:div w:id="923144301">
      <w:bodyDiv w:val="1"/>
      <w:marLeft w:val="0"/>
      <w:marRight w:val="0"/>
      <w:marTop w:val="0"/>
      <w:marBottom w:val="0"/>
      <w:divBdr>
        <w:top w:val="none" w:sz="0" w:space="0" w:color="auto"/>
        <w:left w:val="none" w:sz="0" w:space="0" w:color="auto"/>
        <w:bottom w:val="none" w:sz="0" w:space="0" w:color="auto"/>
        <w:right w:val="none" w:sz="0" w:space="0" w:color="auto"/>
      </w:divBdr>
    </w:div>
    <w:div w:id="924919551">
      <w:bodyDiv w:val="1"/>
      <w:marLeft w:val="0"/>
      <w:marRight w:val="0"/>
      <w:marTop w:val="0"/>
      <w:marBottom w:val="0"/>
      <w:divBdr>
        <w:top w:val="none" w:sz="0" w:space="0" w:color="auto"/>
        <w:left w:val="none" w:sz="0" w:space="0" w:color="auto"/>
        <w:bottom w:val="none" w:sz="0" w:space="0" w:color="auto"/>
        <w:right w:val="none" w:sz="0" w:space="0" w:color="auto"/>
      </w:divBdr>
    </w:div>
    <w:div w:id="925457891">
      <w:bodyDiv w:val="1"/>
      <w:marLeft w:val="0"/>
      <w:marRight w:val="0"/>
      <w:marTop w:val="0"/>
      <w:marBottom w:val="0"/>
      <w:divBdr>
        <w:top w:val="none" w:sz="0" w:space="0" w:color="auto"/>
        <w:left w:val="none" w:sz="0" w:space="0" w:color="auto"/>
        <w:bottom w:val="none" w:sz="0" w:space="0" w:color="auto"/>
        <w:right w:val="none" w:sz="0" w:space="0" w:color="auto"/>
      </w:divBdr>
    </w:div>
    <w:div w:id="926233942">
      <w:bodyDiv w:val="1"/>
      <w:marLeft w:val="0"/>
      <w:marRight w:val="0"/>
      <w:marTop w:val="0"/>
      <w:marBottom w:val="0"/>
      <w:divBdr>
        <w:top w:val="none" w:sz="0" w:space="0" w:color="auto"/>
        <w:left w:val="none" w:sz="0" w:space="0" w:color="auto"/>
        <w:bottom w:val="none" w:sz="0" w:space="0" w:color="auto"/>
        <w:right w:val="none" w:sz="0" w:space="0" w:color="auto"/>
      </w:divBdr>
    </w:div>
    <w:div w:id="926883246">
      <w:bodyDiv w:val="1"/>
      <w:marLeft w:val="0"/>
      <w:marRight w:val="0"/>
      <w:marTop w:val="0"/>
      <w:marBottom w:val="0"/>
      <w:divBdr>
        <w:top w:val="none" w:sz="0" w:space="0" w:color="auto"/>
        <w:left w:val="none" w:sz="0" w:space="0" w:color="auto"/>
        <w:bottom w:val="none" w:sz="0" w:space="0" w:color="auto"/>
        <w:right w:val="none" w:sz="0" w:space="0" w:color="auto"/>
      </w:divBdr>
    </w:div>
    <w:div w:id="928583721">
      <w:bodyDiv w:val="1"/>
      <w:marLeft w:val="0"/>
      <w:marRight w:val="0"/>
      <w:marTop w:val="0"/>
      <w:marBottom w:val="0"/>
      <w:divBdr>
        <w:top w:val="none" w:sz="0" w:space="0" w:color="auto"/>
        <w:left w:val="none" w:sz="0" w:space="0" w:color="auto"/>
        <w:bottom w:val="none" w:sz="0" w:space="0" w:color="auto"/>
        <w:right w:val="none" w:sz="0" w:space="0" w:color="auto"/>
      </w:divBdr>
    </w:div>
    <w:div w:id="929388790">
      <w:bodyDiv w:val="1"/>
      <w:marLeft w:val="0"/>
      <w:marRight w:val="0"/>
      <w:marTop w:val="0"/>
      <w:marBottom w:val="0"/>
      <w:divBdr>
        <w:top w:val="none" w:sz="0" w:space="0" w:color="auto"/>
        <w:left w:val="none" w:sz="0" w:space="0" w:color="auto"/>
        <w:bottom w:val="none" w:sz="0" w:space="0" w:color="auto"/>
        <w:right w:val="none" w:sz="0" w:space="0" w:color="auto"/>
      </w:divBdr>
    </w:div>
    <w:div w:id="931931576">
      <w:bodyDiv w:val="1"/>
      <w:marLeft w:val="0"/>
      <w:marRight w:val="0"/>
      <w:marTop w:val="0"/>
      <w:marBottom w:val="0"/>
      <w:divBdr>
        <w:top w:val="none" w:sz="0" w:space="0" w:color="auto"/>
        <w:left w:val="none" w:sz="0" w:space="0" w:color="auto"/>
        <w:bottom w:val="none" w:sz="0" w:space="0" w:color="auto"/>
        <w:right w:val="none" w:sz="0" w:space="0" w:color="auto"/>
      </w:divBdr>
    </w:div>
    <w:div w:id="934939925">
      <w:bodyDiv w:val="1"/>
      <w:marLeft w:val="0"/>
      <w:marRight w:val="0"/>
      <w:marTop w:val="0"/>
      <w:marBottom w:val="0"/>
      <w:divBdr>
        <w:top w:val="none" w:sz="0" w:space="0" w:color="auto"/>
        <w:left w:val="none" w:sz="0" w:space="0" w:color="auto"/>
        <w:bottom w:val="none" w:sz="0" w:space="0" w:color="auto"/>
        <w:right w:val="none" w:sz="0" w:space="0" w:color="auto"/>
      </w:divBdr>
    </w:div>
    <w:div w:id="935289672">
      <w:bodyDiv w:val="1"/>
      <w:marLeft w:val="0"/>
      <w:marRight w:val="0"/>
      <w:marTop w:val="0"/>
      <w:marBottom w:val="0"/>
      <w:divBdr>
        <w:top w:val="none" w:sz="0" w:space="0" w:color="auto"/>
        <w:left w:val="none" w:sz="0" w:space="0" w:color="auto"/>
        <w:bottom w:val="none" w:sz="0" w:space="0" w:color="auto"/>
        <w:right w:val="none" w:sz="0" w:space="0" w:color="auto"/>
      </w:divBdr>
    </w:div>
    <w:div w:id="935674979">
      <w:bodyDiv w:val="1"/>
      <w:marLeft w:val="0"/>
      <w:marRight w:val="0"/>
      <w:marTop w:val="0"/>
      <w:marBottom w:val="0"/>
      <w:divBdr>
        <w:top w:val="none" w:sz="0" w:space="0" w:color="auto"/>
        <w:left w:val="none" w:sz="0" w:space="0" w:color="auto"/>
        <w:bottom w:val="none" w:sz="0" w:space="0" w:color="auto"/>
        <w:right w:val="none" w:sz="0" w:space="0" w:color="auto"/>
      </w:divBdr>
    </w:div>
    <w:div w:id="936712069">
      <w:bodyDiv w:val="1"/>
      <w:marLeft w:val="0"/>
      <w:marRight w:val="0"/>
      <w:marTop w:val="0"/>
      <w:marBottom w:val="0"/>
      <w:divBdr>
        <w:top w:val="none" w:sz="0" w:space="0" w:color="auto"/>
        <w:left w:val="none" w:sz="0" w:space="0" w:color="auto"/>
        <w:bottom w:val="none" w:sz="0" w:space="0" w:color="auto"/>
        <w:right w:val="none" w:sz="0" w:space="0" w:color="auto"/>
      </w:divBdr>
    </w:div>
    <w:div w:id="936984820">
      <w:bodyDiv w:val="1"/>
      <w:marLeft w:val="0"/>
      <w:marRight w:val="0"/>
      <w:marTop w:val="0"/>
      <w:marBottom w:val="0"/>
      <w:divBdr>
        <w:top w:val="none" w:sz="0" w:space="0" w:color="auto"/>
        <w:left w:val="none" w:sz="0" w:space="0" w:color="auto"/>
        <w:bottom w:val="none" w:sz="0" w:space="0" w:color="auto"/>
        <w:right w:val="none" w:sz="0" w:space="0" w:color="auto"/>
      </w:divBdr>
    </w:div>
    <w:div w:id="937373565">
      <w:bodyDiv w:val="1"/>
      <w:marLeft w:val="0"/>
      <w:marRight w:val="0"/>
      <w:marTop w:val="0"/>
      <w:marBottom w:val="0"/>
      <w:divBdr>
        <w:top w:val="none" w:sz="0" w:space="0" w:color="auto"/>
        <w:left w:val="none" w:sz="0" w:space="0" w:color="auto"/>
        <w:bottom w:val="none" w:sz="0" w:space="0" w:color="auto"/>
        <w:right w:val="none" w:sz="0" w:space="0" w:color="auto"/>
      </w:divBdr>
    </w:div>
    <w:div w:id="938148618">
      <w:bodyDiv w:val="1"/>
      <w:marLeft w:val="0"/>
      <w:marRight w:val="0"/>
      <w:marTop w:val="0"/>
      <w:marBottom w:val="0"/>
      <w:divBdr>
        <w:top w:val="none" w:sz="0" w:space="0" w:color="auto"/>
        <w:left w:val="none" w:sz="0" w:space="0" w:color="auto"/>
        <w:bottom w:val="none" w:sz="0" w:space="0" w:color="auto"/>
        <w:right w:val="none" w:sz="0" w:space="0" w:color="auto"/>
      </w:divBdr>
    </w:div>
    <w:div w:id="939721300">
      <w:bodyDiv w:val="1"/>
      <w:marLeft w:val="0"/>
      <w:marRight w:val="0"/>
      <w:marTop w:val="0"/>
      <w:marBottom w:val="0"/>
      <w:divBdr>
        <w:top w:val="none" w:sz="0" w:space="0" w:color="auto"/>
        <w:left w:val="none" w:sz="0" w:space="0" w:color="auto"/>
        <w:bottom w:val="none" w:sz="0" w:space="0" w:color="auto"/>
        <w:right w:val="none" w:sz="0" w:space="0" w:color="auto"/>
      </w:divBdr>
    </w:div>
    <w:div w:id="940188273">
      <w:bodyDiv w:val="1"/>
      <w:marLeft w:val="0"/>
      <w:marRight w:val="0"/>
      <w:marTop w:val="0"/>
      <w:marBottom w:val="0"/>
      <w:divBdr>
        <w:top w:val="none" w:sz="0" w:space="0" w:color="auto"/>
        <w:left w:val="none" w:sz="0" w:space="0" w:color="auto"/>
        <w:bottom w:val="none" w:sz="0" w:space="0" w:color="auto"/>
        <w:right w:val="none" w:sz="0" w:space="0" w:color="auto"/>
      </w:divBdr>
    </w:div>
    <w:div w:id="940528179">
      <w:bodyDiv w:val="1"/>
      <w:marLeft w:val="0"/>
      <w:marRight w:val="0"/>
      <w:marTop w:val="0"/>
      <w:marBottom w:val="0"/>
      <w:divBdr>
        <w:top w:val="none" w:sz="0" w:space="0" w:color="auto"/>
        <w:left w:val="none" w:sz="0" w:space="0" w:color="auto"/>
        <w:bottom w:val="none" w:sz="0" w:space="0" w:color="auto"/>
        <w:right w:val="none" w:sz="0" w:space="0" w:color="auto"/>
      </w:divBdr>
    </w:div>
    <w:div w:id="940797346">
      <w:bodyDiv w:val="1"/>
      <w:marLeft w:val="0"/>
      <w:marRight w:val="0"/>
      <w:marTop w:val="0"/>
      <w:marBottom w:val="0"/>
      <w:divBdr>
        <w:top w:val="none" w:sz="0" w:space="0" w:color="auto"/>
        <w:left w:val="none" w:sz="0" w:space="0" w:color="auto"/>
        <w:bottom w:val="none" w:sz="0" w:space="0" w:color="auto"/>
        <w:right w:val="none" w:sz="0" w:space="0" w:color="auto"/>
      </w:divBdr>
    </w:div>
    <w:div w:id="941957437">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4076083">
      <w:bodyDiv w:val="1"/>
      <w:marLeft w:val="0"/>
      <w:marRight w:val="0"/>
      <w:marTop w:val="0"/>
      <w:marBottom w:val="0"/>
      <w:divBdr>
        <w:top w:val="none" w:sz="0" w:space="0" w:color="auto"/>
        <w:left w:val="none" w:sz="0" w:space="0" w:color="auto"/>
        <w:bottom w:val="none" w:sz="0" w:space="0" w:color="auto"/>
        <w:right w:val="none" w:sz="0" w:space="0" w:color="auto"/>
      </w:divBdr>
    </w:div>
    <w:div w:id="945310342">
      <w:bodyDiv w:val="1"/>
      <w:marLeft w:val="0"/>
      <w:marRight w:val="0"/>
      <w:marTop w:val="0"/>
      <w:marBottom w:val="0"/>
      <w:divBdr>
        <w:top w:val="none" w:sz="0" w:space="0" w:color="auto"/>
        <w:left w:val="none" w:sz="0" w:space="0" w:color="auto"/>
        <w:bottom w:val="none" w:sz="0" w:space="0" w:color="auto"/>
        <w:right w:val="none" w:sz="0" w:space="0" w:color="auto"/>
      </w:divBdr>
    </w:div>
    <w:div w:id="945428467">
      <w:bodyDiv w:val="1"/>
      <w:marLeft w:val="0"/>
      <w:marRight w:val="0"/>
      <w:marTop w:val="0"/>
      <w:marBottom w:val="0"/>
      <w:divBdr>
        <w:top w:val="none" w:sz="0" w:space="0" w:color="auto"/>
        <w:left w:val="none" w:sz="0" w:space="0" w:color="auto"/>
        <w:bottom w:val="none" w:sz="0" w:space="0" w:color="auto"/>
        <w:right w:val="none" w:sz="0" w:space="0" w:color="auto"/>
      </w:divBdr>
    </w:div>
    <w:div w:id="945967184">
      <w:bodyDiv w:val="1"/>
      <w:marLeft w:val="0"/>
      <w:marRight w:val="0"/>
      <w:marTop w:val="0"/>
      <w:marBottom w:val="0"/>
      <w:divBdr>
        <w:top w:val="none" w:sz="0" w:space="0" w:color="auto"/>
        <w:left w:val="none" w:sz="0" w:space="0" w:color="auto"/>
        <w:bottom w:val="none" w:sz="0" w:space="0" w:color="auto"/>
        <w:right w:val="none" w:sz="0" w:space="0" w:color="auto"/>
      </w:divBdr>
    </w:div>
    <w:div w:id="947006531">
      <w:bodyDiv w:val="1"/>
      <w:marLeft w:val="0"/>
      <w:marRight w:val="0"/>
      <w:marTop w:val="0"/>
      <w:marBottom w:val="0"/>
      <w:divBdr>
        <w:top w:val="none" w:sz="0" w:space="0" w:color="auto"/>
        <w:left w:val="none" w:sz="0" w:space="0" w:color="auto"/>
        <w:bottom w:val="none" w:sz="0" w:space="0" w:color="auto"/>
        <w:right w:val="none" w:sz="0" w:space="0" w:color="auto"/>
      </w:divBdr>
    </w:div>
    <w:div w:id="947389314">
      <w:bodyDiv w:val="1"/>
      <w:marLeft w:val="0"/>
      <w:marRight w:val="0"/>
      <w:marTop w:val="0"/>
      <w:marBottom w:val="0"/>
      <w:divBdr>
        <w:top w:val="none" w:sz="0" w:space="0" w:color="auto"/>
        <w:left w:val="none" w:sz="0" w:space="0" w:color="auto"/>
        <w:bottom w:val="none" w:sz="0" w:space="0" w:color="auto"/>
        <w:right w:val="none" w:sz="0" w:space="0" w:color="auto"/>
      </w:divBdr>
    </w:div>
    <w:div w:id="949313545">
      <w:bodyDiv w:val="1"/>
      <w:marLeft w:val="0"/>
      <w:marRight w:val="0"/>
      <w:marTop w:val="0"/>
      <w:marBottom w:val="0"/>
      <w:divBdr>
        <w:top w:val="none" w:sz="0" w:space="0" w:color="auto"/>
        <w:left w:val="none" w:sz="0" w:space="0" w:color="auto"/>
        <w:bottom w:val="none" w:sz="0" w:space="0" w:color="auto"/>
        <w:right w:val="none" w:sz="0" w:space="0" w:color="auto"/>
      </w:divBdr>
    </w:div>
    <w:div w:id="953097807">
      <w:bodyDiv w:val="1"/>
      <w:marLeft w:val="0"/>
      <w:marRight w:val="0"/>
      <w:marTop w:val="0"/>
      <w:marBottom w:val="0"/>
      <w:divBdr>
        <w:top w:val="none" w:sz="0" w:space="0" w:color="auto"/>
        <w:left w:val="none" w:sz="0" w:space="0" w:color="auto"/>
        <w:bottom w:val="none" w:sz="0" w:space="0" w:color="auto"/>
        <w:right w:val="none" w:sz="0" w:space="0" w:color="auto"/>
      </w:divBdr>
    </w:div>
    <w:div w:id="954101519">
      <w:bodyDiv w:val="1"/>
      <w:marLeft w:val="0"/>
      <w:marRight w:val="0"/>
      <w:marTop w:val="0"/>
      <w:marBottom w:val="0"/>
      <w:divBdr>
        <w:top w:val="none" w:sz="0" w:space="0" w:color="auto"/>
        <w:left w:val="none" w:sz="0" w:space="0" w:color="auto"/>
        <w:bottom w:val="none" w:sz="0" w:space="0" w:color="auto"/>
        <w:right w:val="none" w:sz="0" w:space="0" w:color="auto"/>
      </w:divBdr>
    </w:div>
    <w:div w:id="954412211">
      <w:bodyDiv w:val="1"/>
      <w:marLeft w:val="0"/>
      <w:marRight w:val="0"/>
      <w:marTop w:val="0"/>
      <w:marBottom w:val="0"/>
      <w:divBdr>
        <w:top w:val="none" w:sz="0" w:space="0" w:color="auto"/>
        <w:left w:val="none" w:sz="0" w:space="0" w:color="auto"/>
        <w:bottom w:val="none" w:sz="0" w:space="0" w:color="auto"/>
        <w:right w:val="none" w:sz="0" w:space="0" w:color="auto"/>
      </w:divBdr>
    </w:div>
    <w:div w:id="958756446">
      <w:bodyDiv w:val="1"/>
      <w:marLeft w:val="0"/>
      <w:marRight w:val="0"/>
      <w:marTop w:val="0"/>
      <w:marBottom w:val="0"/>
      <w:divBdr>
        <w:top w:val="none" w:sz="0" w:space="0" w:color="auto"/>
        <w:left w:val="none" w:sz="0" w:space="0" w:color="auto"/>
        <w:bottom w:val="none" w:sz="0" w:space="0" w:color="auto"/>
        <w:right w:val="none" w:sz="0" w:space="0" w:color="auto"/>
      </w:divBdr>
    </w:div>
    <w:div w:id="959844260">
      <w:bodyDiv w:val="1"/>
      <w:marLeft w:val="0"/>
      <w:marRight w:val="0"/>
      <w:marTop w:val="0"/>
      <w:marBottom w:val="0"/>
      <w:divBdr>
        <w:top w:val="none" w:sz="0" w:space="0" w:color="auto"/>
        <w:left w:val="none" w:sz="0" w:space="0" w:color="auto"/>
        <w:bottom w:val="none" w:sz="0" w:space="0" w:color="auto"/>
        <w:right w:val="none" w:sz="0" w:space="0" w:color="auto"/>
      </w:divBdr>
    </w:div>
    <w:div w:id="960841414">
      <w:bodyDiv w:val="1"/>
      <w:marLeft w:val="0"/>
      <w:marRight w:val="0"/>
      <w:marTop w:val="0"/>
      <w:marBottom w:val="0"/>
      <w:divBdr>
        <w:top w:val="none" w:sz="0" w:space="0" w:color="auto"/>
        <w:left w:val="none" w:sz="0" w:space="0" w:color="auto"/>
        <w:bottom w:val="none" w:sz="0" w:space="0" w:color="auto"/>
        <w:right w:val="none" w:sz="0" w:space="0" w:color="auto"/>
      </w:divBdr>
    </w:div>
    <w:div w:id="961300625">
      <w:bodyDiv w:val="1"/>
      <w:marLeft w:val="0"/>
      <w:marRight w:val="0"/>
      <w:marTop w:val="0"/>
      <w:marBottom w:val="0"/>
      <w:divBdr>
        <w:top w:val="none" w:sz="0" w:space="0" w:color="auto"/>
        <w:left w:val="none" w:sz="0" w:space="0" w:color="auto"/>
        <w:bottom w:val="none" w:sz="0" w:space="0" w:color="auto"/>
        <w:right w:val="none" w:sz="0" w:space="0" w:color="auto"/>
      </w:divBdr>
    </w:div>
    <w:div w:id="961687471">
      <w:bodyDiv w:val="1"/>
      <w:marLeft w:val="0"/>
      <w:marRight w:val="0"/>
      <w:marTop w:val="0"/>
      <w:marBottom w:val="0"/>
      <w:divBdr>
        <w:top w:val="none" w:sz="0" w:space="0" w:color="auto"/>
        <w:left w:val="none" w:sz="0" w:space="0" w:color="auto"/>
        <w:bottom w:val="none" w:sz="0" w:space="0" w:color="auto"/>
        <w:right w:val="none" w:sz="0" w:space="0" w:color="auto"/>
      </w:divBdr>
    </w:div>
    <w:div w:id="962925142">
      <w:bodyDiv w:val="1"/>
      <w:marLeft w:val="0"/>
      <w:marRight w:val="0"/>
      <w:marTop w:val="0"/>
      <w:marBottom w:val="0"/>
      <w:divBdr>
        <w:top w:val="none" w:sz="0" w:space="0" w:color="auto"/>
        <w:left w:val="none" w:sz="0" w:space="0" w:color="auto"/>
        <w:bottom w:val="none" w:sz="0" w:space="0" w:color="auto"/>
        <w:right w:val="none" w:sz="0" w:space="0" w:color="auto"/>
      </w:divBdr>
    </w:div>
    <w:div w:id="963006062">
      <w:bodyDiv w:val="1"/>
      <w:marLeft w:val="0"/>
      <w:marRight w:val="0"/>
      <w:marTop w:val="0"/>
      <w:marBottom w:val="0"/>
      <w:divBdr>
        <w:top w:val="none" w:sz="0" w:space="0" w:color="auto"/>
        <w:left w:val="none" w:sz="0" w:space="0" w:color="auto"/>
        <w:bottom w:val="none" w:sz="0" w:space="0" w:color="auto"/>
        <w:right w:val="none" w:sz="0" w:space="0" w:color="auto"/>
      </w:divBdr>
    </w:div>
    <w:div w:id="963655172">
      <w:bodyDiv w:val="1"/>
      <w:marLeft w:val="0"/>
      <w:marRight w:val="0"/>
      <w:marTop w:val="0"/>
      <w:marBottom w:val="0"/>
      <w:divBdr>
        <w:top w:val="none" w:sz="0" w:space="0" w:color="auto"/>
        <w:left w:val="none" w:sz="0" w:space="0" w:color="auto"/>
        <w:bottom w:val="none" w:sz="0" w:space="0" w:color="auto"/>
        <w:right w:val="none" w:sz="0" w:space="0" w:color="auto"/>
      </w:divBdr>
    </w:div>
    <w:div w:id="963803445">
      <w:bodyDiv w:val="1"/>
      <w:marLeft w:val="0"/>
      <w:marRight w:val="0"/>
      <w:marTop w:val="0"/>
      <w:marBottom w:val="0"/>
      <w:divBdr>
        <w:top w:val="none" w:sz="0" w:space="0" w:color="auto"/>
        <w:left w:val="none" w:sz="0" w:space="0" w:color="auto"/>
        <w:bottom w:val="none" w:sz="0" w:space="0" w:color="auto"/>
        <w:right w:val="none" w:sz="0" w:space="0" w:color="auto"/>
      </w:divBdr>
    </w:div>
    <w:div w:id="964391019">
      <w:bodyDiv w:val="1"/>
      <w:marLeft w:val="0"/>
      <w:marRight w:val="0"/>
      <w:marTop w:val="0"/>
      <w:marBottom w:val="0"/>
      <w:divBdr>
        <w:top w:val="none" w:sz="0" w:space="0" w:color="auto"/>
        <w:left w:val="none" w:sz="0" w:space="0" w:color="auto"/>
        <w:bottom w:val="none" w:sz="0" w:space="0" w:color="auto"/>
        <w:right w:val="none" w:sz="0" w:space="0" w:color="auto"/>
      </w:divBdr>
    </w:div>
    <w:div w:id="965045955">
      <w:bodyDiv w:val="1"/>
      <w:marLeft w:val="0"/>
      <w:marRight w:val="0"/>
      <w:marTop w:val="0"/>
      <w:marBottom w:val="0"/>
      <w:divBdr>
        <w:top w:val="none" w:sz="0" w:space="0" w:color="auto"/>
        <w:left w:val="none" w:sz="0" w:space="0" w:color="auto"/>
        <w:bottom w:val="none" w:sz="0" w:space="0" w:color="auto"/>
        <w:right w:val="none" w:sz="0" w:space="0" w:color="auto"/>
      </w:divBdr>
    </w:div>
    <w:div w:id="968557691">
      <w:bodyDiv w:val="1"/>
      <w:marLeft w:val="0"/>
      <w:marRight w:val="0"/>
      <w:marTop w:val="0"/>
      <w:marBottom w:val="0"/>
      <w:divBdr>
        <w:top w:val="none" w:sz="0" w:space="0" w:color="auto"/>
        <w:left w:val="none" w:sz="0" w:space="0" w:color="auto"/>
        <w:bottom w:val="none" w:sz="0" w:space="0" w:color="auto"/>
        <w:right w:val="none" w:sz="0" w:space="0" w:color="auto"/>
      </w:divBdr>
    </w:div>
    <w:div w:id="969286482">
      <w:bodyDiv w:val="1"/>
      <w:marLeft w:val="0"/>
      <w:marRight w:val="0"/>
      <w:marTop w:val="0"/>
      <w:marBottom w:val="0"/>
      <w:divBdr>
        <w:top w:val="none" w:sz="0" w:space="0" w:color="auto"/>
        <w:left w:val="none" w:sz="0" w:space="0" w:color="auto"/>
        <w:bottom w:val="none" w:sz="0" w:space="0" w:color="auto"/>
        <w:right w:val="none" w:sz="0" w:space="0" w:color="auto"/>
      </w:divBdr>
    </w:div>
    <w:div w:id="969440275">
      <w:bodyDiv w:val="1"/>
      <w:marLeft w:val="0"/>
      <w:marRight w:val="0"/>
      <w:marTop w:val="0"/>
      <w:marBottom w:val="0"/>
      <w:divBdr>
        <w:top w:val="none" w:sz="0" w:space="0" w:color="auto"/>
        <w:left w:val="none" w:sz="0" w:space="0" w:color="auto"/>
        <w:bottom w:val="none" w:sz="0" w:space="0" w:color="auto"/>
        <w:right w:val="none" w:sz="0" w:space="0" w:color="auto"/>
      </w:divBdr>
    </w:div>
    <w:div w:id="969819314">
      <w:bodyDiv w:val="1"/>
      <w:marLeft w:val="0"/>
      <w:marRight w:val="0"/>
      <w:marTop w:val="0"/>
      <w:marBottom w:val="0"/>
      <w:divBdr>
        <w:top w:val="none" w:sz="0" w:space="0" w:color="auto"/>
        <w:left w:val="none" w:sz="0" w:space="0" w:color="auto"/>
        <w:bottom w:val="none" w:sz="0" w:space="0" w:color="auto"/>
        <w:right w:val="none" w:sz="0" w:space="0" w:color="auto"/>
      </w:divBdr>
    </w:div>
    <w:div w:id="972296819">
      <w:bodyDiv w:val="1"/>
      <w:marLeft w:val="0"/>
      <w:marRight w:val="0"/>
      <w:marTop w:val="0"/>
      <w:marBottom w:val="0"/>
      <w:divBdr>
        <w:top w:val="none" w:sz="0" w:space="0" w:color="auto"/>
        <w:left w:val="none" w:sz="0" w:space="0" w:color="auto"/>
        <w:bottom w:val="none" w:sz="0" w:space="0" w:color="auto"/>
        <w:right w:val="none" w:sz="0" w:space="0" w:color="auto"/>
      </w:divBdr>
    </w:div>
    <w:div w:id="97402301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6495059">
      <w:bodyDiv w:val="1"/>
      <w:marLeft w:val="0"/>
      <w:marRight w:val="0"/>
      <w:marTop w:val="0"/>
      <w:marBottom w:val="0"/>
      <w:divBdr>
        <w:top w:val="none" w:sz="0" w:space="0" w:color="auto"/>
        <w:left w:val="none" w:sz="0" w:space="0" w:color="auto"/>
        <w:bottom w:val="none" w:sz="0" w:space="0" w:color="auto"/>
        <w:right w:val="none" w:sz="0" w:space="0" w:color="auto"/>
      </w:divBdr>
    </w:div>
    <w:div w:id="977609949">
      <w:bodyDiv w:val="1"/>
      <w:marLeft w:val="0"/>
      <w:marRight w:val="0"/>
      <w:marTop w:val="0"/>
      <w:marBottom w:val="0"/>
      <w:divBdr>
        <w:top w:val="none" w:sz="0" w:space="0" w:color="auto"/>
        <w:left w:val="none" w:sz="0" w:space="0" w:color="auto"/>
        <w:bottom w:val="none" w:sz="0" w:space="0" w:color="auto"/>
        <w:right w:val="none" w:sz="0" w:space="0" w:color="auto"/>
      </w:divBdr>
    </w:div>
    <w:div w:id="977610689">
      <w:bodyDiv w:val="1"/>
      <w:marLeft w:val="0"/>
      <w:marRight w:val="0"/>
      <w:marTop w:val="0"/>
      <w:marBottom w:val="0"/>
      <w:divBdr>
        <w:top w:val="none" w:sz="0" w:space="0" w:color="auto"/>
        <w:left w:val="none" w:sz="0" w:space="0" w:color="auto"/>
        <w:bottom w:val="none" w:sz="0" w:space="0" w:color="auto"/>
        <w:right w:val="none" w:sz="0" w:space="0" w:color="auto"/>
      </w:divBdr>
    </w:div>
    <w:div w:id="978071278">
      <w:bodyDiv w:val="1"/>
      <w:marLeft w:val="0"/>
      <w:marRight w:val="0"/>
      <w:marTop w:val="0"/>
      <w:marBottom w:val="0"/>
      <w:divBdr>
        <w:top w:val="none" w:sz="0" w:space="0" w:color="auto"/>
        <w:left w:val="none" w:sz="0" w:space="0" w:color="auto"/>
        <w:bottom w:val="none" w:sz="0" w:space="0" w:color="auto"/>
        <w:right w:val="none" w:sz="0" w:space="0" w:color="auto"/>
      </w:divBdr>
    </w:div>
    <w:div w:id="978268880">
      <w:bodyDiv w:val="1"/>
      <w:marLeft w:val="0"/>
      <w:marRight w:val="0"/>
      <w:marTop w:val="0"/>
      <w:marBottom w:val="0"/>
      <w:divBdr>
        <w:top w:val="none" w:sz="0" w:space="0" w:color="auto"/>
        <w:left w:val="none" w:sz="0" w:space="0" w:color="auto"/>
        <w:bottom w:val="none" w:sz="0" w:space="0" w:color="auto"/>
        <w:right w:val="none" w:sz="0" w:space="0" w:color="auto"/>
      </w:divBdr>
    </w:div>
    <w:div w:id="978533024">
      <w:bodyDiv w:val="1"/>
      <w:marLeft w:val="0"/>
      <w:marRight w:val="0"/>
      <w:marTop w:val="0"/>
      <w:marBottom w:val="0"/>
      <w:divBdr>
        <w:top w:val="none" w:sz="0" w:space="0" w:color="auto"/>
        <w:left w:val="none" w:sz="0" w:space="0" w:color="auto"/>
        <w:bottom w:val="none" w:sz="0" w:space="0" w:color="auto"/>
        <w:right w:val="none" w:sz="0" w:space="0" w:color="auto"/>
      </w:divBdr>
    </w:div>
    <w:div w:id="979846401">
      <w:bodyDiv w:val="1"/>
      <w:marLeft w:val="0"/>
      <w:marRight w:val="0"/>
      <w:marTop w:val="0"/>
      <w:marBottom w:val="0"/>
      <w:divBdr>
        <w:top w:val="none" w:sz="0" w:space="0" w:color="auto"/>
        <w:left w:val="none" w:sz="0" w:space="0" w:color="auto"/>
        <w:bottom w:val="none" w:sz="0" w:space="0" w:color="auto"/>
        <w:right w:val="none" w:sz="0" w:space="0" w:color="auto"/>
      </w:divBdr>
    </w:div>
    <w:div w:id="980768713">
      <w:bodyDiv w:val="1"/>
      <w:marLeft w:val="0"/>
      <w:marRight w:val="0"/>
      <w:marTop w:val="0"/>
      <w:marBottom w:val="0"/>
      <w:divBdr>
        <w:top w:val="none" w:sz="0" w:space="0" w:color="auto"/>
        <w:left w:val="none" w:sz="0" w:space="0" w:color="auto"/>
        <w:bottom w:val="none" w:sz="0" w:space="0" w:color="auto"/>
        <w:right w:val="none" w:sz="0" w:space="0" w:color="auto"/>
      </w:divBdr>
    </w:div>
    <w:div w:id="981887643">
      <w:bodyDiv w:val="1"/>
      <w:marLeft w:val="0"/>
      <w:marRight w:val="0"/>
      <w:marTop w:val="0"/>
      <w:marBottom w:val="0"/>
      <w:divBdr>
        <w:top w:val="none" w:sz="0" w:space="0" w:color="auto"/>
        <w:left w:val="none" w:sz="0" w:space="0" w:color="auto"/>
        <w:bottom w:val="none" w:sz="0" w:space="0" w:color="auto"/>
        <w:right w:val="none" w:sz="0" w:space="0" w:color="auto"/>
      </w:divBdr>
    </w:div>
    <w:div w:id="981928165">
      <w:bodyDiv w:val="1"/>
      <w:marLeft w:val="0"/>
      <w:marRight w:val="0"/>
      <w:marTop w:val="0"/>
      <w:marBottom w:val="0"/>
      <w:divBdr>
        <w:top w:val="none" w:sz="0" w:space="0" w:color="auto"/>
        <w:left w:val="none" w:sz="0" w:space="0" w:color="auto"/>
        <w:bottom w:val="none" w:sz="0" w:space="0" w:color="auto"/>
        <w:right w:val="none" w:sz="0" w:space="0" w:color="auto"/>
      </w:divBdr>
    </w:div>
    <w:div w:id="983199128">
      <w:bodyDiv w:val="1"/>
      <w:marLeft w:val="0"/>
      <w:marRight w:val="0"/>
      <w:marTop w:val="0"/>
      <w:marBottom w:val="0"/>
      <w:divBdr>
        <w:top w:val="none" w:sz="0" w:space="0" w:color="auto"/>
        <w:left w:val="none" w:sz="0" w:space="0" w:color="auto"/>
        <w:bottom w:val="none" w:sz="0" w:space="0" w:color="auto"/>
        <w:right w:val="none" w:sz="0" w:space="0" w:color="auto"/>
      </w:divBdr>
    </w:div>
    <w:div w:id="983464962">
      <w:bodyDiv w:val="1"/>
      <w:marLeft w:val="0"/>
      <w:marRight w:val="0"/>
      <w:marTop w:val="0"/>
      <w:marBottom w:val="0"/>
      <w:divBdr>
        <w:top w:val="none" w:sz="0" w:space="0" w:color="auto"/>
        <w:left w:val="none" w:sz="0" w:space="0" w:color="auto"/>
        <w:bottom w:val="none" w:sz="0" w:space="0" w:color="auto"/>
        <w:right w:val="none" w:sz="0" w:space="0" w:color="auto"/>
      </w:divBdr>
    </w:div>
    <w:div w:id="986396553">
      <w:bodyDiv w:val="1"/>
      <w:marLeft w:val="0"/>
      <w:marRight w:val="0"/>
      <w:marTop w:val="0"/>
      <w:marBottom w:val="0"/>
      <w:divBdr>
        <w:top w:val="none" w:sz="0" w:space="0" w:color="auto"/>
        <w:left w:val="none" w:sz="0" w:space="0" w:color="auto"/>
        <w:bottom w:val="none" w:sz="0" w:space="0" w:color="auto"/>
        <w:right w:val="none" w:sz="0" w:space="0" w:color="auto"/>
      </w:divBdr>
    </w:div>
    <w:div w:id="988898358">
      <w:bodyDiv w:val="1"/>
      <w:marLeft w:val="0"/>
      <w:marRight w:val="0"/>
      <w:marTop w:val="0"/>
      <w:marBottom w:val="0"/>
      <w:divBdr>
        <w:top w:val="none" w:sz="0" w:space="0" w:color="auto"/>
        <w:left w:val="none" w:sz="0" w:space="0" w:color="auto"/>
        <w:bottom w:val="none" w:sz="0" w:space="0" w:color="auto"/>
        <w:right w:val="none" w:sz="0" w:space="0" w:color="auto"/>
      </w:divBdr>
    </w:div>
    <w:div w:id="991637980">
      <w:bodyDiv w:val="1"/>
      <w:marLeft w:val="0"/>
      <w:marRight w:val="0"/>
      <w:marTop w:val="0"/>
      <w:marBottom w:val="0"/>
      <w:divBdr>
        <w:top w:val="none" w:sz="0" w:space="0" w:color="auto"/>
        <w:left w:val="none" w:sz="0" w:space="0" w:color="auto"/>
        <w:bottom w:val="none" w:sz="0" w:space="0" w:color="auto"/>
        <w:right w:val="none" w:sz="0" w:space="0" w:color="auto"/>
      </w:divBdr>
    </w:div>
    <w:div w:id="991833042">
      <w:bodyDiv w:val="1"/>
      <w:marLeft w:val="0"/>
      <w:marRight w:val="0"/>
      <w:marTop w:val="0"/>
      <w:marBottom w:val="0"/>
      <w:divBdr>
        <w:top w:val="none" w:sz="0" w:space="0" w:color="auto"/>
        <w:left w:val="none" w:sz="0" w:space="0" w:color="auto"/>
        <w:bottom w:val="none" w:sz="0" w:space="0" w:color="auto"/>
        <w:right w:val="none" w:sz="0" w:space="0" w:color="auto"/>
      </w:divBdr>
    </w:div>
    <w:div w:id="992097882">
      <w:bodyDiv w:val="1"/>
      <w:marLeft w:val="0"/>
      <w:marRight w:val="0"/>
      <w:marTop w:val="0"/>
      <w:marBottom w:val="0"/>
      <w:divBdr>
        <w:top w:val="none" w:sz="0" w:space="0" w:color="auto"/>
        <w:left w:val="none" w:sz="0" w:space="0" w:color="auto"/>
        <w:bottom w:val="none" w:sz="0" w:space="0" w:color="auto"/>
        <w:right w:val="none" w:sz="0" w:space="0" w:color="auto"/>
      </w:divBdr>
    </w:div>
    <w:div w:id="993263997">
      <w:bodyDiv w:val="1"/>
      <w:marLeft w:val="0"/>
      <w:marRight w:val="0"/>
      <w:marTop w:val="0"/>
      <w:marBottom w:val="0"/>
      <w:divBdr>
        <w:top w:val="none" w:sz="0" w:space="0" w:color="auto"/>
        <w:left w:val="none" w:sz="0" w:space="0" w:color="auto"/>
        <w:bottom w:val="none" w:sz="0" w:space="0" w:color="auto"/>
        <w:right w:val="none" w:sz="0" w:space="0" w:color="auto"/>
      </w:divBdr>
    </w:div>
    <w:div w:id="993410060">
      <w:bodyDiv w:val="1"/>
      <w:marLeft w:val="0"/>
      <w:marRight w:val="0"/>
      <w:marTop w:val="0"/>
      <w:marBottom w:val="0"/>
      <w:divBdr>
        <w:top w:val="none" w:sz="0" w:space="0" w:color="auto"/>
        <w:left w:val="none" w:sz="0" w:space="0" w:color="auto"/>
        <w:bottom w:val="none" w:sz="0" w:space="0" w:color="auto"/>
        <w:right w:val="none" w:sz="0" w:space="0" w:color="auto"/>
      </w:divBdr>
    </w:div>
    <w:div w:id="993988310">
      <w:bodyDiv w:val="1"/>
      <w:marLeft w:val="0"/>
      <w:marRight w:val="0"/>
      <w:marTop w:val="0"/>
      <w:marBottom w:val="0"/>
      <w:divBdr>
        <w:top w:val="none" w:sz="0" w:space="0" w:color="auto"/>
        <w:left w:val="none" w:sz="0" w:space="0" w:color="auto"/>
        <w:bottom w:val="none" w:sz="0" w:space="0" w:color="auto"/>
        <w:right w:val="none" w:sz="0" w:space="0" w:color="auto"/>
      </w:divBdr>
    </w:div>
    <w:div w:id="994799343">
      <w:bodyDiv w:val="1"/>
      <w:marLeft w:val="0"/>
      <w:marRight w:val="0"/>
      <w:marTop w:val="0"/>
      <w:marBottom w:val="0"/>
      <w:divBdr>
        <w:top w:val="none" w:sz="0" w:space="0" w:color="auto"/>
        <w:left w:val="none" w:sz="0" w:space="0" w:color="auto"/>
        <w:bottom w:val="none" w:sz="0" w:space="0" w:color="auto"/>
        <w:right w:val="none" w:sz="0" w:space="0" w:color="auto"/>
      </w:divBdr>
    </w:div>
    <w:div w:id="997994831">
      <w:bodyDiv w:val="1"/>
      <w:marLeft w:val="0"/>
      <w:marRight w:val="0"/>
      <w:marTop w:val="0"/>
      <w:marBottom w:val="0"/>
      <w:divBdr>
        <w:top w:val="none" w:sz="0" w:space="0" w:color="auto"/>
        <w:left w:val="none" w:sz="0" w:space="0" w:color="auto"/>
        <w:bottom w:val="none" w:sz="0" w:space="0" w:color="auto"/>
        <w:right w:val="none" w:sz="0" w:space="0" w:color="auto"/>
      </w:divBdr>
    </w:div>
    <w:div w:id="998583056">
      <w:bodyDiv w:val="1"/>
      <w:marLeft w:val="0"/>
      <w:marRight w:val="0"/>
      <w:marTop w:val="0"/>
      <w:marBottom w:val="0"/>
      <w:divBdr>
        <w:top w:val="none" w:sz="0" w:space="0" w:color="auto"/>
        <w:left w:val="none" w:sz="0" w:space="0" w:color="auto"/>
        <w:bottom w:val="none" w:sz="0" w:space="0" w:color="auto"/>
        <w:right w:val="none" w:sz="0" w:space="0" w:color="auto"/>
      </w:divBdr>
    </w:div>
    <w:div w:id="998847330">
      <w:bodyDiv w:val="1"/>
      <w:marLeft w:val="0"/>
      <w:marRight w:val="0"/>
      <w:marTop w:val="0"/>
      <w:marBottom w:val="0"/>
      <w:divBdr>
        <w:top w:val="none" w:sz="0" w:space="0" w:color="auto"/>
        <w:left w:val="none" w:sz="0" w:space="0" w:color="auto"/>
        <w:bottom w:val="none" w:sz="0" w:space="0" w:color="auto"/>
        <w:right w:val="none" w:sz="0" w:space="0" w:color="auto"/>
      </w:divBdr>
    </w:div>
    <w:div w:id="998995874">
      <w:bodyDiv w:val="1"/>
      <w:marLeft w:val="0"/>
      <w:marRight w:val="0"/>
      <w:marTop w:val="0"/>
      <w:marBottom w:val="0"/>
      <w:divBdr>
        <w:top w:val="none" w:sz="0" w:space="0" w:color="auto"/>
        <w:left w:val="none" w:sz="0" w:space="0" w:color="auto"/>
        <w:bottom w:val="none" w:sz="0" w:space="0" w:color="auto"/>
        <w:right w:val="none" w:sz="0" w:space="0" w:color="auto"/>
      </w:divBdr>
    </w:div>
    <w:div w:id="1000355082">
      <w:bodyDiv w:val="1"/>
      <w:marLeft w:val="0"/>
      <w:marRight w:val="0"/>
      <w:marTop w:val="0"/>
      <w:marBottom w:val="0"/>
      <w:divBdr>
        <w:top w:val="none" w:sz="0" w:space="0" w:color="auto"/>
        <w:left w:val="none" w:sz="0" w:space="0" w:color="auto"/>
        <w:bottom w:val="none" w:sz="0" w:space="0" w:color="auto"/>
        <w:right w:val="none" w:sz="0" w:space="0" w:color="auto"/>
      </w:divBdr>
    </w:div>
    <w:div w:id="1000473150">
      <w:bodyDiv w:val="1"/>
      <w:marLeft w:val="0"/>
      <w:marRight w:val="0"/>
      <w:marTop w:val="0"/>
      <w:marBottom w:val="0"/>
      <w:divBdr>
        <w:top w:val="none" w:sz="0" w:space="0" w:color="auto"/>
        <w:left w:val="none" w:sz="0" w:space="0" w:color="auto"/>
        <w:bottom w:val="none" w:sz="0" w:space="0" w:color="auto"/>
        <w:right w:val="none" w:sz="0" w:space="0" w:color="auto"/>
      </w:divBdr>
    </w:div>
    <w:div w:id="1001277768">
      <w:bodyDiv w:val="1"/>
      <w:marLeft w:val="0"/>
      <w:marRight w:val="0"/>
      <w:marTop w:val="0"/>
      <w:marBottom w:val="0"/>
      <w:divBdr>
        <w:top w:val="none" w:sz="0" w:space="0" w:color="auto"/>
        <w:left w:val="none" w:sz="0" w:space="0" w:color="auto"/>
        <w:bottom w:val="none" w:sz="0" w:space="0" w:color="auto"/>
        <w:right w:val="none" w:sz="0" w:space="0" w:color="auto"/>
      </w:divBdr>
    </w:div>
    <w:div w:id="1001856099">
      <w:bodyDiv w:val="1"/>
      <w:marLeft w:val="0"/>
      <w:marRight w:val="0"/>
      <w:marTop w:val="0"/>
      <w:marBottom w:val="0"/>
      <w:divBdr>
        <w:top w:val="none" w:sz="0" w:space="0" w:color="auto"/>
        <w:left w:val="none" w:sz="0" w:space="0" w:color="auto"/>
        <w:bottom w:val="none" w:sz="0" w:space="0" w:color="auto"/>
        <w:right w:val="none" w:sz="0" w:space="0" w:color="auto"/>
      </w:divBdr>
    </w:div>
    <w:div w:id="1002467368">
      <w:bodyDiv w:val="1"/>
      <w:marLeft w:val="0"/>
      <w:marRight w:val="0"/>
      <w:marTop w:val="0"/>
      <w:marBottom w:val="0"/>
      <w:divBdr>
        <w:top w:val="none" w:sz="0" w:space="0" w:color="auto"/>
        <w:left w:val="none" w:sz="0" w:space="0" w:color="auto"/>
        <w:bottom w:val="none" w:sz="0" w:space="0" w:color="auto"/>
        <w:right w:val="none" w:sz="0" w:space="0" w:color="auto"/>
      </w:divBdr>
    </w:div>
    <w:div w:id="1004547863">
      <w:bodyDiv w:val="1"/>
      <w:marLeft w:val="0"/>
      <w:marRight w:val="0"/>
      <w:marTop w:val="0"/>
      <w:marBottom w:val="0"/>
      <w:divBdr>
        <w:top w:val="none" w:sz="0" w:space="0" w:color="auto"/>
        <w:left w:val="none" w:sz="0" w:space="0" w:color="auto"/>
        <w:bottom w:val="none" w:sz="0" w:space="0" w:color="auto"/>
        <w:right w:val="none" w:sz="0" w:space="0" w:color="auto"/>
      </w:divBdr>
    </w:div>
    <w:div w:id="1005283512">
      <w:bodyDiv w:val="1"/>
      <w:marLeft w:val="0"/>
      <w:marRight w:val="0"/>
      <w:marTop w:val="0"/>
      <w:marBottom w:val="0"/>
      <w:divBdr>
        <w:top w:val="none" w:sz="0" w:space="0" w:color="auto"/>
        <w:left w:val="none" w:sz="0" w:space="0" w:color="auto"/>
        <w:bottom w:val="none" w:sz="0" w:space="0" w:color="auto"/>
        <w:right w:val="none" w:sz="0" w:space="0" w:color="auto"/>
      </w:divBdr>
    </w:div>
    <w:div w:id="1007056213">
      <w:bodyDiv w:val="1"/>
      <w:marLeft w:val="0"/>
      <w:marRight w:val="0"/>
      <w:marTop w:val="0"/>
      <w:marBottom w:val="0"/>
      <w:divBdr>
        <w:top w:val="none" w:sz="0" w:space="0" w:color="auto"/>
        <w:left w:val="none" w:sz="0" w:space="0" w:color="auto"/>
        <w:bottom w:val="none" w:sz="0" w:space="0" w:color="auto"/>
        <w:right w:val="none" w:sz="0" w:space="0" w:color="auto"/>
      </w:divBdr>
    </w:div>
    <w:div w:id="1007177811">
      <w:bodyDiv w:val="1"/>
      <w:marLeft w:val="0"/>
      <w:marRight w:val="0"/>
      <w:marTop w:val="0"/>
      <w:marBottom w:val="0"/>
      <w:divBdr>
        <w:top w:val="none" w:sz="0" w:space="0" w:color="auto"/>
        <w:left w:val="none" w:sz="0" w:space="0" w:color="auto"/>
        <w:bottom w:val="none" w:sz="0" w:space="0" w:color="auto"/>
        <w:right w:val="none" w:sz="0" w:space="0" w:color="auto"/>
      </w:divBdr>
    </w:div>
    <w:div w:id="1009410252">
      <w:bodyDiv w:val="1"/>
      <w:marLeft w:val="0"/>
      <w:marRight w:val="0"/>
      <w:marTop w:val="0"/>
      <w:marBottom w:val="0"/>
      <w:divBdr>
        <w:top w:val="none" w:sz="0" w:space="0" w:color="auto"/>
        <w:left w:val="none" w:sz="0" w:space="0" w:color="auto"/>
        <w:bottom w:val="none" w:sz="0" w:space="0" w:color="auto"/>
        <w:right w:val="none" w:sz="0" w:space="0" w:color="auto"/>
      </w:divBdr>
    </w:div>
    <w:div w:id="1009479374">
      <w:bodyDiv w:val="1"/>
      <w:marLeft w:val="0"/>
      <w:marRight w:val="0"/>
      <w:marTop w:val="0"/>
      <w:marBottom w:val="0"/>
      <w:divBdr>
        <w:top w:val="none" w:sz="0" w:space="0" w:color="auto"/>
        <w:left w:val="none" w:sz="0" w:space="0" w:color="auto"/>
        <w:bottom w:val="none" w:sz="0" w:space="0" w:color="auto"/>
        <w:right w:val="none" w:sz="0" w:space="0" w:color="auto"/>
      </w:divBdr>
    </w:div>
    <w:div w:id="1009992263">
      <w:bodyDiv w:val="1"/>
      <w:marLeft w:val="0"/>
      <w:marRight w:val="0"/>
      <w:marTop w:val="0"/>
      <w:marBottom w:val="0"/>
      <w:divBdr>
        <w:top w:val="none" w:sz="0" w:space="0" w:color="auto"/>
        <w:left w:val="none" w:sz="0" w:space="0" w:color="auto"/>
        <w:bottom w:val="none" w:sz="0" w:space="0" w:color="auto"/>
        <w:right w:val="none" w:sz="0" w:space="0" w:color="auto"/>
      </w:divBdr>
    </w:div>
    <w:div w:id="1010448084">
      <w:bodyDiv w:val="1"/>
      <w:marLeft w:val="0"/>
      <w:marRight w:val="0"/>
      <w:marTop w:val="0"/>
      <w:marBottom w:val="0"/>
      <w:divBdr>
        <w:top w:val="none" w:sz="0" w:space="0" w:color="auto"/>
        <w:left w:val="none" w:sz="0" w:space="0" w:color="auto"/>
        <w:bottom w:val="none" w:sz="0" w:space="0" w:color="auto"/>
        <w:right w:val="none" w:sz="0" w:space="0" w:color="auto"/>
      </w:divBdr>
    </w:div>
    <w:div w:id="1010764002">
      <w:bodyDiv w:val="1"/>
      <w:marLeft w:val="0"/>
      <w:marRight w:val="0"/>
      <w:marTop w:val="0"/>
      <w:marBottom w:val="0"/>
      <w:divBdr>
        <w:top w:val="none" w:sz="0" w:space="0" w:color="auto"/>
        <w:left w:val="none" w:sz="0" w:space="0" w:color="auto"/>
        <w:bottom w:val="none" w:sz="0" w:space="0" w:color="auto"/>
        <w:right w:val="none" w:sz="0" w:space="0" w:color="auto"/>
      </w:divBdr>
    </w:div>
    <w:div w:id="1011763422">
      <w:bodyDiv w:val="1"/>
      <w:marLeft w:val="0"/>
      <w:marRight w:val="0"/>
      <w:marTop w:val="0"/>
      <w:marBottom w:val="0"/>
      <w:divBdr>
        <w:top w:val="none" w:sz="0" w:space="0" w:color="auto"/>
        <w:left w:val="none" w:sz="0" w:space="0" w:color="auto"/>
        <w:bottom w:val="none" w:sz="0" w:space="0" w:color="auto"/>
        <w:right w:val="none" w:sz="0" w:space="0" w:color="auto"/>
      </w:divBdr>
    </w:div>
    <w:div w:id="1012415137">
      <w:bodyDiv w:val="1"/>
      <w:marLeft w:val="0"/>
      <w:marRight w:val="0"/>
      <w:marTop w:val="0"/>
      <w:marBottom w:val="0"/>
      <w:divBdr>
        <w:top w:val="none" w:sz="0" w:space="0" w:color="auto"/>
        <w:left w:val="none" w:sz="0" w:space="0" w:color="auto"/>
        <w:bottom w:val="none" w:sz="0" w:space="0" w:color="auto"/>
        <w:right w:val="none" w:sz="0" w:space="0" w:color="auto"/>
      </w:divBdr>
    </w:div>
    <w:div w:id="1012610804">
      <w:bodyDiv w:val="1"/>
      <w:marLeft w:val="0"/>
      <w:marRight w:val="0"/>
      <w:marTop w:val="0"/>
      <w:marBottom w:val="0"/>
      <w:divBdr>
        <w:top w:val="none" w:sz="0" w:space="0" w:color="auto"/>
        <w:left w:val="none" w:sz="0" w:space="0" w:color="auto"/>
        <w:bottom w:val="none" w:sz="0" w:space="0" w:color="auto"/>
        <w:right w:val="none" w:sz="0" w:space="0" w:color="auto"/>
      </w:divBdr>
    </w:div>
    <w:div w:id="1013916402">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343061">
      <w:bodyDiv w:val="1"/>
      <w:marLeft w:val="0"/>
      <w:marRight w:val="0"/>
      <w:marTop w:val="0"/>
      <w:marBottom w:val="0"/>
      <w:divBdr>
        <w:top w:val="none" w:sz="0" w:space="0" w:color="auto"/>
        <w:left w:val="none" w:sz="0" w:space="0" w:color="auto"/>
        <w:bottom w:val="none" w:sz="0" w:space="0" w:color="auto"/>
        <w:right w:val="none" w:sz="0" w:space="0" w:color="auto"/>
      </w:divBdr>
    </w:div>
    <w:div w:id="1016343104">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274775">
      <w:bodyDiv w:val="1"/>
      <w:marLeft w:val="0"/>
      <w:marRight w:val="0"/>
      <w:marTop w:val="0"/>
      <w:marBottom w:val="0"/>
      <w:divBdr>
        <w:top w:val="none" w:sz="0" w:space="0" w:color="auto"/>
        <w:left w:val="none" w:sz="0" w:space="0" w:color="auto"/>
        <w:bottom w:val="none" w:sz="0" w:space="0" w:color="auto"/>
        <w:right w:val="none" w:sz="0" w:space="0" w:color="auto"/>
      </w:divBdr>
    </w:div>
    <w:div w:id="1021855718">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3676256">
      <w:bodyDiv w:val="1"/>
      <w:marLeft w:val="0"/>
      <w:marRight w:val="0"/>
      <w:marTop w:val="0"/>
      <w:marBottom w:val="0"/>
      <w:divBdr>
        <w:top w:val="none" w:sz="0" w:space="0" w:color="auto"/>
        <w:left w:val="none" w:sz="0" w:space="0" w:color="auto"/>
        <w:bottom w:val="none" w:sz="0" w:space="0" w:color="auto"/>
        <w:right w:val="none" w:sz="0" w:space="0" w:color="auto"/>
      </w:divBdr>
    </w:div>
    <w:div w:id="1024791077">
      <w:bodyDiv w:val="1"/>
      <w:marLeft w:val="0"/>
      <w:marRight w:val="0"/>
      <w:marTop w:val="0"/>
      <w:marBottom w:val="0"/>
      <w:divBdr>
        <w:top w:val="none" w:sz="0" w:space="0" w:color="auto"/>
        <w:left w:val="none" w:sz="0" w:space="0" w:color="auto"/>
        <w:bottom w:val="none" w:sz="0" w:space="0" w:color="auto"/>
        <w:right w:val="none" w:sz="0" w:space="0" w:color="auto"/>
      </w:divBdr>
    </w:div>
    <w:div w:id="1027294813">
      <w:bodyDiv w:val="1"/>
      <w:marLeft w:val="0"/>
      <w:marRight w:val="0"/>
      <w:marTop w:val="0"/>
      <w:marBottom w:val="0"/>
      <w:divBdr>
        <w:top w:val="none" w:sz="0" w:space="0" w:color="auto"/>
        <w:left w:val="none" w:sz="0" w:space="0" w:color="auto"/>
        <w:bottom w:val="none" w:sz="0" w:space="0" w:color="auto"/>
        <w:right w:val="none" w:sz="0" w:space="0" w:color="auto"/>
      </w:divBdr>
    </w:div>
    <w:div w:id="1027489864">
      <w:bodyDiv w:val="1"/>
      <w:marLeft w:val="0"/>
      <w:marRight w:val="0"/>
      <w:marTop w:val="0"/>
      <w:marBottom w:val="0"/>
      <w:divBdr>
        <w:top w:val="none" w:sz="0" w:space="0" w:color="auto"/>
        <w:left w:val="none" w:sz="0" w:space="0" w:color="auto"/>
        <w:bottom w:val="none" w:sz="0" w:space="0" w:color="auto"/>
        <w:right w:val="none" w:sz="0" w:space="0" w:color="auto"/>
      </w:divBdr>
    </w:div>
    <w:div w:id="1028095763">
      <w:bodyDiv w:val="1"/>
      <w:marLeft w:val="0"/>
      <w:marRight w:val="0"/>
      <w:marTop w:val="0"/>
      <w:marBottom w:val="0"/>
      <w:divBdr>
        <w:top w:val="none" w:sz="0" w:space="0" w:color="auto"/>
        <w:left w:val="none" w:sz="0" w:space="0" w:color="auto"/>
        <w:bottom w:val="none" w:sz="0" w:space="0" w:color="auto"/>
        <w:right w:val="none" w:sz="0" w:space="0" w:color="auto"/>
      </w:divBdr>
    </w:div>
    <w:div w:id="1031107778">
      <w:bodyDiv w:val="1"/>
      <w:marLeft w:val="0"/>
      <w:marRight w:val="0"/>
      <w:marTop w:val="0"/>
      <w:marBottom w:val="0"/>
      <w:divBdr>
        <w:top w:val="none" w:sz="0" w:space="0" w:color="auto"/>
        <w:left w:val="none" w:sz="0" w:space="0" w:color="auto"/>
        <w:bottom w:val="none" w:sz="0" w:space="0" w:color="auto"/>
        <w:right w:val="none" w:sz="0" w:space="0" w:color="auto"/>
      </w:divBdr>
    </w:div>
    <w:div w:id="1031494694">
      <w:bodyDiv w:val="1"/>
      <w:marLeft w:val="0"/>
      <w:marRight w:val="0"/>
      <w:marTop w:val="0"/>
      <w:marBottom w:val="0"/>
      <w:divBdr>
        <w:top w:val="none" w:sz="0" w:space="0" w:color="auto"/>
        <w:left w:val="none" w:sz="0" w:space="0" w:color="auto"/>
        <w:bottom w:val="none" w:sz="0" w:space="0" w:color="auto"/>
        <w:right w:val="none" w:sz="0" w:space="0" w:color="auto"/>
      </w:divBdr>
    </w:div>
    <w:div w:id="1032803307">
      <w:bodyDiv w:val="1"/>
      <w:marLeft w:val="0"/>
      <w:marRight w:val="0"/>
      <w:marTop w:val="0"/>
      <w:marBottom w:val="0"/>
      <w:divBdr>
        <w:top w:val="none" w:sz="0" w:space="0" w:color="auto"/>
        <w:left w:val="none" w:sz="0" w:space="0" w:color="auto"/>
        <w:bottom w:val="none" w:sz="0" w:space="0" w:color="auto"/>
        <w:right w:val="none" w:sz="0" w:space="0" w:color="auto"/>
      </w:divBdr>
    </w:div>
    <w:div w:id="1033112020">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380160">
      <w:bodyDiv w:val="1"/>
      <w:marLeft w:val="0"/>
      <w:marRight w:val="0"/>
      <w:marTop w:val="0"/>
      <w:marBottom w:val="0"/>
      <w:divBdr>
        <w:top w:val="none" w:sz="0" w:space="0" w:color="auto"/>
        <w:left w:val="none" w:sz="0" w:space="0" w:color="auto"/>
        <w:bottom w:val="none" w:sz="0" w:space="0" w:color="auto"/>
        <w:right w:val="none" w:sz="0" w:space="0" w:color="auto"/>
      </w:divBdr>
    </w:div>
    <w:div w:id="1035733246">
      <w:bodyDiv w:val="1"/>
      <w:marLeft w:val="0"/>
      <w:marRight w:val="0"/>
      <w:marTop w:val="0"/>
      <w:marBottom w:val="0"/>
      <w:divBdr>
        <w:top w:val="none" w:sz="0" w:space="0" w:color="auto"/>
        <w:left w:val="none" w:sz="0" w:space="0" w:color="auto"/>
        <w:bottom w:val="none" w:sz="0" w:space="0" w:color="auto"/>
        <w:right w:val="none" w:sz="0" w:space="0" w:color="auto"/>
      </w:divBdr>
    </w:div>
    <w:div w:id="1036077579">
      <w:bodyDiv w:val="1"/>
      <w:marLeft w:val="0"/>
      <w:marRight w:val="0"/>
      <w:marTop w:val="0"/>
      <w:marBottom w:val="0"/>
      <w:divBdr>
        <w:top w:val="none" w:sz="0" w:space="0" w:color="auto"/>
        <w:left w:val="none" w:sz="0" w:space="0" w:color="auto"/>
        <w:bottom w:val="none" w:sz="0" w:space="0" w:color="auto"/>
        <w:right w:val="none" w:sz="0" w:space="0" w:color="auto"/>
      </w:divBdr>
    </w:div>
    <w:div w:id="1038090845">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39744644">
      <w:bodyDiv w:val="1"/>
      <w:marLeft w:val="0"/>
      <w:marRight w:val="0"/>
      <w:marTop w:val="0"/>
      <w:marBottom w:val="0"/>
      <w:divBdr>
        <w:top w:val="none" w:sz="0" w:space="0" w:color="auto"/>
        <w:left w:val="none" w:sz="0" w:space="0" w:color="auto"/>
        <w:bottom w:val="none" w:sz="0" w:space="0" w:color="auto"/>
        <w:right w:val="none" w:sz="0" w:space="0" w:color="auto"/>
      </w:divBdr>
    </w:div>
    <w:div w:id="1040937233">
      <w:bodyDiv w:val="1"/>
      <w:marLeft w:val="0"/>
      <w:marRight w:val="0"/>
      <w:marTop w:val="0"/>
      <w:marBottom w:val="0"/>
      <w:divBdr>
        <w:top w:val="none" w:sz="0" w:space="0" w:color="auto"/>
        <w:left w:val="none" w:sz="0" w:space="0" w:color="auto"/>
        <w:bottom w:val="none" w:sz="0" w:space="0" w:color="auto"/>
        <w:right w:val="none" w:sz="0" w:space="0" w:color="auto"/>
      </w:divBdr>
    </w:div>
    <w:div w:id="1041902458">
      <w:bodyDiv w:val="1"/>
      <w:marLeft w:val="0"/>
      <w:marRight w:val="0"/>
      <w:marTop w:val="0"/>
      <w:marBottom w:val="0"/>
      <w:divBdr>
        <w:top w:val="none" w:sz="0" w:space="0" w:color="auto"/>
        <w:left w:val="none" w:sz="0" w:space="0" w:color="auto"/>
        <w:bottom w:val="none" w:sz="0" w:space="0" w:color="auto"/>
        <w:right w:val="none" w:sz="0" w:space="0" w:color="auto"/>
      </w:divBdr>
    </w:div>
    <w:div w:id="1042441400">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489845">
      <w:bodyDiv w:val="1"/>
      <w:marLeft w:val="0"/>
      <w:marRight w:val="0"/>
      <w:marTop w:val="0"/>
      <w:marBottom w:val="0"/>
      <w:divBdr>
        <w:top w:val="none" w:sz="0" w:space="0" w:color="auto"/>
        <w:left w:val="none" w:sz="0" w:space="0" w:color="auto"/>
        <w:bottom w:val="none" w:sz="0" w:space="0" w:color="auto"/>
        <w:right w:val="none" w:sz="0" w:space="0" w:color="auto"/>
      </w:divBdr>
    </w:div>
    <w:div w:id="1047682024">
      <w:bodyDiv w:val="1"/>
      <w:marLeft w:val="0"/>
      <w:marRight w:val="0"/>
      <w:marTop w:val="0"/>
      <w:marBottom w:val="0"/>
      <w:divBdr>
        <w:top w:val="none" w:sz="0" w:space="0" w:color="auto"/>
        <w:left w:val="none" w:sz="0" w:space="0" w:color="auto"/>
        <w:bottom w:val="none" w:sz="0" w:space="0" w:color="auto"/>
        <w:right w:val="none" w:sz="0" w:space="0" w:color="auto"/>
      </w:divBdr>
    </w:div>
    <w:div w:id="1049110405">
      <w:bodyDiv w:val="1"/>
      <w:marLeft w:val="0"/>
      <w:marRight w:val="0"/>
      <w:marTop w:val="0"/>
      <w:marBottom w:val="0"/>
      <w:divBdr>
        <w:top w:val="none" w:sz="0" w:space="0" w:color="auto"/>
        <w:left w:val="none" w:sz="0" w:space="0" w:color="auto"/>
        <w:bottom w:val="none" w:sz="0" w:space="0" w:color="auto"/>
        <w:right w:val="none" w:sz="0" w:space="0" w:color="auto"/>
      </w:divBdr>
    </w:div>
    <w:div w:id="1049181103">
      <w:bodyDiv w:val="1"/>
      <w:marLeft w:val="0"/>
      <w:marRight w:val="0"/>
      <w:marTop w:val="0"/>
      <w:marBottom w:val="0"/>
      <w:divBdr>
        <w:top w:val="none" w:sz="0" w:space="0" w:color="auto"/>
        <w:left w:val="none" w:sz="0" w:space="0" w:color="auto"/>
        <w:bottom w:val="none" w:sz="0" w:space="0" w:color="auto"/>
        <w:right w:val="none" w:sz="0" w:space="0" w:color="auto"/>
      </w:divBdr>
    </w:div>
    <w:div w:id="1053701287">
      <w:bodyDiv w:val="1"/>
      <w:marLeft w:val="0"/>
      <w:marRight w:val="0"/>
      <w:marTop w:val="0"/>
      <w:marBottom w:val="0"/>
      <w:divBdr>
        <w:top w:val="none" w:sz="0" w:space="0" w:color="auto"/>
        <w:left w:val="none" w:sz="0" w:space="0" w:color="auto"/>
        <w:bottom w:val="none" w:sz="0" w:space="0" w:color="auto"/>
        <w:right w:val="none" w:sz="0" w:space="0" w:color="auto"/>
      </w:divBdr>
    </w:div>
    <w:div w:id="1055007800">
      <w:bodyDiv w:val="1"/>
      <w:marLeft w:val="0"/>
      <w:marRight w:val="0"/>
      <w:marTop w:val="0"/>
      <w:marBottom w:val="0"/>
      <w:divBdr>
        <w:top w:val="none" w:sz="0" w:space="0" w:color="auto"/>
        <w:left w:val="none" w:sz="0" w:space="0" w:color="auto"/>
        <w:bottom w:val="none" w:sz="0" w:space="0" w:color="auto"/>
        <w:right w:val="none" w:sz="0" w:space="0" w:color="auto"/>
      </w:divBdr>
    </w:div>
    <w:div w:id="105600908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057681">
      <w:bodyDiv w:val="1"/>
      <w:marLeft w:val="0"/>
      <w:marRight w:val="0"/>
      <w:marTop w:val="0"/>
      <w:marBottom w:val="0"/>
      <w:divBdr>
        <w:top w:val="none" w:sz="0" w:space="0" w:color="auto"/>
        <w:left w:val="none" w:sz="0" w:space="0" w:color="auto"/>
        <w:bottom w:val="none" w:sz="0" w:space="0" w:color="auto"/>
        <w:right w:val="none" w:sz="0" w:space="0" w:color="auto"/>
      </w:divBdr>
    </w:div>
    <w:div w:id="106105217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2874523">
      <w:bodyDiv w:val="1"/>
      <w:marLeft w:val="0"/>
      <w:marRight w:val="0"/>
      <w:marTop w:val="0"/>
      <w:marBottom w:val="0"/>
      <w:divBdr>
        <w:top w:val="none" w:sz="0" w:space="0" w:color="auto"/>
        <w:left w:val="none" w:sz="0" w:space="0" w:color="auto"/>
        <w:bottom w:val="none" w:sz="0" w:space="0" w:color="auto"/>
        <w:right w:val="none" w:sz="0" w:space="0" w:color="auto"/>
      </w:divBdr>
    </w:div>
    <w:div w:id="1062994079">
      <w:bodyDiv w:val="1"/>
      <w:marLeft w:val="0"/>
      <w:marRight w:val="0"/>
      <w:marTop w:val="0"/>
      <w:marBottom w:val="0"/>
      <w:divBdr>
        <w:top w:val="none" w:sz="0" w:space="0" w:color="auto"/>
        <w:left w:val="none" w:sz="0" w:space="0" w:color="auto"/>
        <w:bottom w:val="none" w:sz="0" w:space="0" w:color="auto"/>
        <w:right w:val="none" w:sz="0" w:space="0" w:color="auto"/>
      </w:divBdr>
    </w:div>
    <w:div w:id="1063675059">
      <w:bodyDiv w:val="1"/>
      <w:marLeft w:val="0"/>
      <w:marRight w:val="0"/>
      <w:marTop w:val="0"/>
      <w:marBottom w:val="0"/>
      <w:divBdr>
        <w:top w:val="none" w:sz="0" w:space="0" w:color="auto"/>
        <w:left w:val="none" w:sz="0" w:space="0" w:color="auto"/>
        <w:bottom w:val="none" w:sz="0" w:space="0" w:color="auto"/>
        <w:right w:val="none" w:sz="0" w:space="0" w:color="auto"/>
      </w:divBdr>
    </w:div>
    <w:div w:id="1065029909">
      <w:bodyDiv w:val="1"/>
      <w:marLeft w:val="0"/>
      <w:marRight w:val="0"/>
      <w:marTop w:val="0"/>
      <w:marBottom w:val="0"/>
      <w:divBdr>
        <w:top w:val="none" w:sz="0" w:space="0" w:color="auto"/>
        <w:left w:val="none" w:sz="0" w:space="0" w:color="auto"/>
        <w:bottom w:val="none" w:sz="0" w:space="0" w:color="auto"/>
        <w:right w:val="none" w:sz="0" w:space="0" w:color="auto"/>
      </w:divBdr>
    </w:div>
    <w:div w:id="1066226356">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577402">
      <w:bodyDiv w:val="1"/>
      <w:marLeft w:val="0"/>
      <w:marRight w:val="0"/>
      <w:marTop w:val="0"/>
      <w:marBottom w:val="0"/>
      <w:divBdr>
        <w:top w:val="none" w:sz="0" w:space="0" w:color="auto"/>
        <w:left w:val="none" w:sz="0" w:space="0" w:color="auto"/>
        <w:bottom w:val="none" w:sz="0" w:space="0" w:color="auto"/>
        <w:right w:val="none" w:sz="0" w:space="0" w:color="auto"/>
      </w:divBdr>
    </w:div>
    <w:div w:id="1074281989">
      <w:bodyDiv w:val="1"/>
      <w:marLeft w:val="0"/>
      <w:marRight w:val="0"/>
      <w:marTop w:val="0"/>
      <w:marBottom w:val="0"/>
      <w:divBdr>
        <w:top w:val="none" w:sz="0" w:space="0" w:color="auto"/>
        <w:left w:val="none" w:sz="0" w:space="0" w:color="auto"/>
        <w:bottom w:val="none" w:sz="0" w:space="0" w:color="auto"/>
        <w:right w:val="none" w:sz="0" w:space="0" w:color="auto"/>
      </w:divBdr>
    </w:div>
    <w:div w:id="1075664179">
      <w:bodyDiv w:val="1"/>
      <w:marLeft w:val="0"/>
      <w:marRight w:val="0"/>
      <w:marTop w:val="0"/>
      <w:marBottom w:val="0"/>
      <w:divBdr>
        <w:top w:val="none" w:sz="0" w:space="0" w:color="auto"/>
        <w:left w:val="none" w:sz="0" w:space="0" w:color="auto"/>
        <w:bottom w:val="none" w:sz="0" w:space="0" w:color="auto"/>
        <w:right w:val="none" w:sz="0" w:space="0" w:color="auto"/>
      </w:divBdr>
    </w:div>
    <w:div w:id="1076438652">
      <w:bodyDiv w:val="1"/>
      <w:marLeft w:val="0"/>
      <w:marRight w:val="0"/>
      <w:marTop w:val="0"/>
      <w:marBottom w:val="0"/>
      <w:divBdr>
        <w:top w:val="none" w:sz="0" w:space="0" w:color="auto"/>
        <w:left w:val="none" w:sz="0" w:space="0" w:color="auto"/>
        <w:bottom w:val="none" w:sz="0" w:space="0" w:color="auto"/>
        <w:right w:val="none" w:sz="0" w:space="0" w:color="auto"/>
      </w:divBdr>
    </w:div>
    <w:div w:id="1076853706">
      <w:bodyDiv w:val="1"/>
      <w:marLeft w:val="0"/>
      <w:marRight w:val="0"/>
      <w:marTop w:val="0"/>
      <w:marBottom w:val="0"/>
      <w:divBdr>
        <w:top w:val="none" w:sz="0" w:space="0" w:color="auto"/>
        <w:left w:val="none" w:sz="0" w:space="0" w:color="auto"/>
        <w:bottom w:val="none" w:sz="0" w:space="0" w:color="auto"/>
        <w:right w:val="none" w:sz="0" w:space="0" w:color="auto"/>
      </w:divBdr>
    </w:div>
    <w:div w:id="1078789565">
      <w:bodyDiv w:val="1"/>
      <w:marLeft w:val="0"/>
      <w:marRight w:val="0"/>
      <w:marTop w:val="0"/>
      <w:marBottom w:val="0"/>
      <w:divBdr>
        <w:top w:val="none" w:sz="0" w:space="0" w:color="auto"/>
        <w:left w:val="none" w:sz="0" w:space="0" w:color="auto"/>
        <w:bottom w:val="none" w:sz="0" w:space="0" w:color="auto"/>
        <w:right w:val="none" w:sz="0" w:space="0" w:color="auto"/>
      </w:divBdr>
    </w:div>
    <w:div w:id="1079716664">
      <w:bodyDiv w:val="1"/>
      <w:marLeft w:val="0"/>
      <w:marRight w:val="0"/>
      <w:marTop w:val="0"/>
      <w:marBottom w:val="0"/>
      <w:divBdr>
        <w:top w:val="none" w:sz="0" w:space="0" w:color="auto"/>
        <w:left w:val="none" w:sz="0" w:space="0" w:color="auto"/>
        <w:bottom w:val="none" w:sz="0" w:space="0" w:color="auto"/>
        <w:right w:val="none" w:sz="0" w:space="0" w:color="auto"/>
      </w:divBdr>
    </w:div>
    <w:div w:id="1079791764">
      <w:bodyDiv w:val="1"/>
      <w:marLeft w:val="0"/>
      <w:marRight w:val="0"/>
      <w:marTop w:val="0"/>
      <w:marBottom w:val="0"/>
      <w:divBdr>
        <w:top w:val="none" w:sz="0" w:space="0" w:color="auto"/>
        <w:left w:val="none" w:sz="0" w:space="0" w:color="auto"/>
        <w:bottom w:val="none" w:sz="0" w:space="0" w:color="auto"/>
        <w:right w:val="none" w:sz="0" w:space="0" w:color="auto"/>
      </w:divBdr>
    </w:div>
    <w:div w:id="1079863304">
      <w:bodyDiv w:val="1"/>
      <w:marLeft w:val="0"/>
      <w:marRight w:val="0"/>
      <w:marTop w:val="0"/>
      <w:marBottom w:val="0"/>
      <w:divBdr>
        <w:top w:val="none" w:sz="0" w:space="0" w:color="auto"/>
        <w:left w:val="none" w:sz="0" w:space="0" w:color="auto"/>
        <w:bottom w:val="none" w:sz="0" w:space="0" w:color="auto"/>
        <w:right w:val="none" w:sz="0" w:space="0" w:color="auto"/>
      </w:divBdr>
    </w:div>
    <w:div w:id="1079906394">
      <w:bodyDiv w:val="1"/>
      <w:marLeft w:val="0"/>
      <w:marRight w:val="0"/>
      <w:marTop w:val="0"/>
      <w:marBottom w:val="0"/>
      <w:divBdr>
        <w:top w:val="none" w:sz="0" w:space="0" w:color="auto"/>
        <w:left w:val="none" w:sz="0" w:space="0" w:color="auto"/>
        <w:bottom w:val="none" w:sz="0" w:space="0" w:color="auto"/>
        <w:right w:val="none" w:sz="0" w:space="0" w:color="auto"/>
      </w:divBdr>
    </w:div>
    <w:div w:id="1082026940">
      <w:bodyDiv w:val="1"/>
      <w:marLeft w:val="0"/>
      <w:marRight w:val="0"/>
      <w:marTop w:val="0"/>
      <w:marBottom w:val="0"/>
      <w:divBdr>
        <w:top w:val="none" w:sz="0" w:space="0" w:color="auto"/>
        <w:left w:val="none" w:sz="0" w:space="0" w:color="auto"/>
        <w:bottom w:val="none" w:sz="0" w:space="0" w:color="auto"/>
        <w:right w:val="none" w:sz="0" w:space="0" w:color="auto"/>
      </w:divBdr>
    </w:div>
    <w:div w:id="1082028882">
      <w:bodyDiv w:val="1"/>
      <w:marLeft w:val="0"/>
      <w:marRight w:val="0"/>
      <w:marTop w:val="0"/>
      <w:marBottom w:val="0"/>
      <w:divBdr>
        <w:top w:val="none" w:sz="0" w:space="0" w:color="auto"/>
        <w:left w:val="none" w:sz="0" w:space="0" w:color="auto"/>
        <w:bottom w:val="none" w:sz="0" w:space="0" w:color="auto"/>
        <w:right w:val="none" w:sz="0" w:space="0" w:color="auto"/>
      </w:divBdr>
    </w:div>
    <w:div w:id="1082141471">
      <w:bodyDiv w:val="1"/>
      <w:marLeft w:val="0"/>
      <w:marRight w:val="0"/>
      <w:marTop w:val="0"/>
      <w:marBottom w:val="0"/>
      <w:divBdr>
        <w:top w:val="none" w:sz="0" w:space="0" w:color="auto"/>
        <w:left w:val="none" w:sz="0" w:space="0" w:color="auto"/>
        <w:bottom w:val="none" w:sz="0" w:space="0" w:color="auto"/>
        <w:right w:val="none" w:sz="0" w:space="0" w:color="auto"/>
      </w:divBdr>
    </w:div>
    <w:div w:id="1082142739">
      <w:bodyDiv w:val="1"/>
      <w:marLeft w:val="0"/>
      <w:marRight w:val="0"/>
      <w:marTop w:val="0"/>
      <w:marBottom w:val="0"/>
      <w:divBdr>
        <w:top w:val="none" w:sz="0" w:space="0" w:color="auto"/>
        <w:left w:val="none" w:sz="0" w:space="0" w:color="auto"/>
        <w:bottom w:val="none" w:sz="0" w:space="0" w:color="auto"/>
        <w:right w:val="none" w:sz="0" w:space="0" w:color="auto"/>
      </w:divBdr>
    </w:div>
    <w:div w:id="1082409270">
      <w:bodyDiv w:val="1"/>
      <w:marLeft w:val="0"/>
      <w:marRight w:val="0"/>
      <w:marTop w:val="0"/>
      <w:marBottom w:val="0"/>
      <w:divBdr>
        <w:top w:val="none" w:sz="0" w:space="0" w:color="auto"/>
        <w:left w:val="none" w:sz="0" w:space="0" w:color="auto"/>
        <w:bottom w:val="none" w:sz="0" w:space="0" w:color="auto"/>
        <w:right w:val="none" w:sz="0" w:space="0" w:color="auto"/>
      </w:divBdr>
    </w:div>
    <w:div w:id="1082801074">
      <w:bodyDiv w:val="1"/>
      <w:marLeft w:val="0"/>
      <w:marRight w:val="0"/>
      <w:marTop w:val="0"/>
      <w:marBottom w:val="0"/>
      <w:divBdr>
        <w:top w:val="none" w:sz="0" w:space="0" w:color="auto"/>
        <w:left w:val="none" w:sz="0" w:space="0" w:color="auto"/>
        <w:bottom w:val="none" w:sz="0" w:space="0" w:color="auto"/>
        <w:right w:val="none" w:sz="0" w:space="0" w:color="auto"/>
      </w:divBdr>
    </w:div>
    <w:div w:id="1085027765">
      <w:bodyDiv w:val="1"/>
      <w:marLeft w:val="0"/>
      <w:marRight w:val="0"/>
      <w:marTop w:val="0"/>
      <w:marBottom w:val="0"/>
      <w:divBdr>
        <w:top w:val="none" w:sz="0" w:space="0" w:color="auto"/>
        <w:left w:val="none" w:sz="0" w:space="0" w:color="auto"/>
        <w:bottom w:val="none" w:sz="0" w:space="0" w:color="auto"/>
        <w:right w:val="none" w:sz="0" w:space="0" w:color="auto"/>
      </w:divBdr>
    </w:div>
    <w:div w:id="1085495780">
      <w:bodyDiv w:val="1"/>
      <w:marLeft w:val="0"/>
      <w:marRight w:val="0"/>
      <w:marTop w:val="0"/>
      <w:marBottom w:val="0"/>
      <w:divBdr>
        <w:top w:val="none" w:sz="0" w:space="0" w:color="auto"/>
        <w:left w:val="none" w:sz="0" w:space="0" w:color="auto"/>
        <w:bottom w:val="none" w:sz="0" w:space="0" w:color="auto"/>
        <w:right w:val="none" w:sz="0" w:space="0" w:color="auto"/>
      </w:divBdr>
    </w:div>
    <w:div w:id="1085761551">
      <w:bodyDiv w:val="1"/>
      <w:marLeft w:val="0"/>
      <w:marRight w:val="0"/>
      <w:marTop w:val="0"/>
      <w:marBottom w:val="0"/>
      <w:divBdr>
        <w:top w:val="none" w:sz="0" w:space="0" w:color="auto"/>
        <w:left w:val="none" w:sz="0" w:space="0" w:color="auto"/>
        <w:bottom w:val="none" w:sz="0" w:space="0" w:color="auto"/>
        <w:right w:val="none" w:sz="0" w:space="0" w:color="auto"/>
      </w:divBdr>
    </w:div>
    <w:div w:id="1087654515">
      <w:bodyDiv w:val="1"/>
      <w:marLeft w:val="0"/>
      <w:marRight w:val="0"/>
      <w:marTop w:val="0"/>
      <w:marBottom w:val="0"/>
      <w:divBdr>
        <w:top w:val="none" w:sz="0" w:space="0" w:color="auto"/>
        <w:left w:val="none" w:sz="0" w:space="0" w:color="auto"/>
        <w:bottom w:val="none" w:sz="0" w:space="0" w:color="auto"/>
        <w:right w:val="none" w:sz="0" w:space="0" w:color="auto"/>
      </w:divBdr>
    </w:div>
    <w:div w:id="1092044519">
      <w:bodyDiv w:val="1"/>
      <w:marLeft w:val="0"/>
      <w:marRight w:val="0"/>
      <w:marTop w:val="0"/>
      <w:marBottom w:val="0"/>
      <w:divBdr>
        <w:top w:val="none" w:sz="0" w:space="0" w:color="auto"/>
        <w:left w:val="none" w:sz="0" w:space="0" w:color="auto"/>
        <w:bottom w:val="none" w:sz="0" w:space="0" w:color="auto"/>
        <w:right w:val="none" w:sz="0" w:space="0" w:color="auto"/>
      </w:divBdr>
    </w:div>
    <w:div w:id="1093933015">
      <w:bodyDiv w:val="1"/>
      <w:marLeft w:val="0"/>
      <w:marRight w:val="0"/>
      <w:marTop w:val="0"/>
      <w:marBottom w:val="0"/>
      <w:divBdr>
        <w:top w:val="none" w:sz="0" w:space="0" w:color="auto"/>
        <w:left w:val="none" w:sz="0" w:space="0" w:color="auto"/>
        <w:bottom w:val="none" w:sz="0" w:space="0" w:color="auto"/>
        <w:right w:val="none" w:sz="0" w:space="0" w:color="auto"/>
      </w:divBdr>
    </w:div>
    <w:div w:id="1095396396">
      <w:bodyDiv w:val="1"/>
      <w:marLeft w:val="0"/>
      <w:marRight w:val="0"/>
      <w:marTop w:val="0"/>
      <w:marBottom w:val="0"/>
      <w:divBdr>
        <w:top w:val="none" w:sz="0" w:space="0" w:color="auto"/>
        <w:left w:val="none" w:sz="0" w:space="0" w:color="auto"/>
        <w:bottom w:val="none" w:sz="0" w:space="0" w:color="auto"/>
        <w:right w:val="none" w:sz="0" w:space="0" w:color="auto"/>
      </w:divBdr>
    </w:div>
    <w:div w:id="1098671702">
      <w:bodyDiv w:val="1"/>
      <w:marLeft w:val="0"/>
      <w:marRight w:val="0"/>
      <w:marTop w:val="0"/>
      <w:marBottom w:val="0"/>
      <w:divBdr>
        <w:top w:val="none" w:sz="0" w:space="0" w:color="auto"/>
        <w:left w:val="none" w:sz="0" w:space="0" w:color="auto"/>
        <w:bottom w:val="none" w:sz="0" w:space="0" w:color="auto"/>
        <w:right w:val="none" w:sz="0" w:space="0" w:color="auto"/>
      </w:divBdr>
    </w:div>
    <w:div w:id="1098675209">
      <w:bodyDiv w:val="1"/>
      <w:marLeft w:val="0"/>
      <w:marRight w:val="0"/>
      <w:marTop w:val="0"/>
      <w:marBottom w:val="0"/>
      <w:divBdr>
        <w:top w:val="none" w:sz="0" w:space="0" w:color="auto"/>
        <w:left w:val="none" w:sz="0" w:space="0" w:color="auto"/>
        <w:bottom w:val="none" w:sz="0" w:space="0" w:color="auto"/>
        <w:right w:val="none" w:sz="0" w:space="0" w:color="auto"/>
      </w:divBdr>
    </w:div>
    <w:div w:id="1099791012">
      <w:bodyDiv w:val="1"/>
      <w:marLeft w:val="0"/>
      <w:marRight w:val="0"/>
      <w:marTop w:val="0"/>
      <w:marBottom w:val="0"/>
      <w:divBdr>
        <w:top w:val="none" w:sz="0" w:space="0" w:color="auto"/>
        <w:left w:val="none" w:sz="0" w:space="0" w:color="auto"/>
        <w:bottom w:val="none" w:sz="0" w:space="0" w:color="auto"/>
        <w:right w:val="none" w:sz="0" w:space="0" w:color="auto"/>
      </w:divBdr>
    </w:div>
    <w:div w:id="1100181830">
      <w:bodyDiv w:val="1"/>
      <w:marLeft w:val="0"/>
      <w:marRight w:val="0"/>
      <w:marTop w:val="0"/>
      <w:marBottom w:val="0"/>
      <w:divBdr>
        <w:top w:val="none" w:sz="0" w:space="0" w:color="auto"/>
        <w:left w:val="none" w:sz="0" w:space="0" w:color="auto"/>
        <w:bottom w:val="none" w:sz="0" w:space="0" w:color="auto"/>
        <w:right w:val="none" w:sz="0" w:space="0" w:color="auto"/>
      </w:divBdr>
    </w:div>
    <w:div w:id="1101530526">
      <w:bodyDiv w:val="1"/>
      <w:marLeft w:val="0"/>
      <w:marRight w:val="0"/>
      <w:marTop w:val="0"/>
      <w:marBottom w:val="0"/>
      <w:divBdr>
        <w:top w:val="none" w:sz="0" w:space="0" w:color="auto"/>
        <w:left w:val="none" w:sz="0" w:space="0" w:color="auto"/>
        <w:bottom w:val="none" w:sz="0" w:space="0" w:color="auto"/>
        <w:right w:val="none" w:sz="0" w:space="0" w:color="auto"/>
      </w:divBdr>
    </w:div>
    <w:div w:id="1102263214">
      <w:bodyDiv w:val="1"/>
      <w:marLeft w:val="0"/>
      <w:marRight w:val="0"/>
      <w:marTop w:val="0"/>
      <w:marBottom w:val="0"/>
      <w:divBdr>
        <w:top w:val="none" w:sz="0" w:space="0" w:color="auto"/>
        <w:left w:val="none" w:sz="0" w:space="0" w:color="auto"/>
        <w:bottom w:val="none" w:sz="0" w:space="0" w:color="auto"/>
        <w:right w:val="none" w:sz="0" w:space="0" w:color="auto"/>
      </w:divBdr>
    </w:div>
    <w:div w:id="1105268727">
      <w:bodyDiv w:val="1"/>
      <w:marLeft w:val="0"/>
      <w:marRight w:val="0"/>
      <w:marTop w:val="0"/>
      <w:marBottom w:val="0"/>
      <w:divBdr>
        <w:top w:val="none" w:sz="0" w:space="0" w:color="auto"/>
        <w:left w:val="none" w:sz="0" w:space="0" w:color="auto"/>
        <w:bottom w:val="none" w:sz="0" w:space="0" w:color="auto"/>
        <w:right w:val="none" w:sz="0" w:space="0" w:color="auto"/>
      </w:divBdr>
    </w:div>
    <w:div w:id="1105881364">
      <w:bodyDiv w:val="1"/>
      <w:marLeft w:val="0"/>
      <w:marRight w:val="0"/>
      <w:marTop w:val="0"/>
      <w:marBottom w:val="0"/>
      <w:divBdr>
        <w:top w:val="none" w:sz="0" w:space="0" w:color="auto"/>
        <w:left w:val="none" w:sz="0" w:space="0" w:color="auto"/>
        <w:bottom w:val="none" w:sz="0" w:space="0" w:color="auto"/>
        <w:right w:val="none" w:sz="0" w:space="0" w:color="auto"/>
      </w:divBdr>
    </w:div>
    <w:div w:id="1106123609">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698360">
      <w:bodyDiv w:val="1"/>
      <w:marLeft w:val="0"/>
      <w:marRight w:val="0"/>
      <w:marTop w:val="0"/>
      <w:marBottom w:val="0"/>
      <w:divBdr>
        <w:top w:val="none" w:sz="0" w:space="0" w:color="auto"/>
        <w:left w:val="none" w:sz="0" w:space="0" w:color="auto"/>
        <w:bottom w:val="none" w:sz="0" w:space="0" w:color="auto"/>
        <w:right w:val="none" w:sz="0" w:space="0" w:color="auto"/>
      </w:divBdr>
    </w:div>
    <w:div w:id="1109394850">
      <w:bodyDiv w:val="1"/>
      <w:marLeft w:val="0"/>
      <w:marRight w:val="0"/>
      <w:marTop w:val="0"/>
      <w:marBottom w:val="0"/>
      <w:divBdr>
        <w:top w:val="none" w:sz="0" w:space="0" w:color="auto"/>
        <w:left w:val="none" w:sz="0" w:space="0" w:color="auto"/>
        <w:bottom w:val="none" w:sz="0" w:space="0" w:color="auto"/>
        <w:right w:val="none" w:sz="0" w:space="0" w:color="auto"/>
      </w:divBdr>
    </w:div>
    <w:div w:id="1111163102">
      <w:bodyDiv w:val="1"/>
      <w:marLeft w:val="0"/>
      <w:marRight w:val="0"/>
      <w:marTop w:val="0"/>
      <w:marBottom w:val="0"/>
      <w:divBdr>
        <w:top w:val="none" w:sz="0" w:space="0" w:color="auto"/>
        <w:left w:val="none" w:sz="0" w:space="0" w:color="auto"/>
        <w:bottom w:val="none" w:sz="0" w:space="0" w:color="auto"/>
        <w:right w:val="none" w:sz="0" w:space="0" w:color="auto"/>
      </w:divBdr>
    </w:div>
    <w:div w:id="1113473161">
      <w:bodyDiv w:val="1"/>
      <w:marLeft w:val="0"/>
      <w:marRight w:val="0"/>
      <w:marTop w:val="0"/>
      <w:marBottom w:val="0"/>
      <w:divBdr>
        <w:top w:val="none" w:sz="0" w:space="0" w:color="auto"/>
        <w:left w:val="none" w:sz="0" w:space="0" w:color="auto"/>
        <w:bottom w:val="none" w:sz="0" w:space="0" w:color="auto"/>
        <w:right w:val="none" w:sz="0" w:space="0" w:color="auto"/>
      </w:divBdr>
    </w:div>
    <w:div w:id="1113554106">
      <w:bodyDiv w:val="1"/>
      <w:marLeft w:val="0"/>
      <w:marRight w:val="0"/>
      <w:marTop w:val="0"/>
      <w:marBottom w:val="0"/>
      <w:divBdr>
        <w:top w:val="none" w:sz="0" w:space="0" w:color="auto"/>
        <w:left w:val="none" w:sz="0" w:space="0" w:color="auto"/>
        <w:bottom w:val="none" w:sz="0" w:space="0" w:color="auto"/>
        <w:right w:val="none" w:sz="0" w:space="0" w:color="auto"/>
      </w:divBdr>
    </w:div>
    <w:div w:id="1116290548">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19300661">
      <w:bodyDiv w:val="1"/>
      <w:marLeft w:val="0"/>
      <w:marRight w:val="0"/>
      <w:marTop w:val="0"/>
      <w:marBottom w:val="0"/>
      <w:divBdr>
        <w:top w:val="none" w:sz="0" w:space="0" w:color="auto"/>
        <w:left w:val="none" w:sz="0" w:space="0" w:color="auto"/>
        <w:bottom w:val="none" w:sz="0" w:space="0" w:color="auto"/>
        <w:right w:val="none" w:sz="0" w:space="0" w:color="auto"/>
      </w:divBdr>
    </w:div>
    <w:div w:id="1120025795">
      <w:bodyDiv w:val="1"/>
      <w:marLeft w:val="0"/>
      <w:marRight w:val="0"/>
      <w:marTop w:val="0"/>
      <w:marBottom w:val="0"/>
      <w:divBdr>
        <w:top w:val="none" w:sz="0" w:space="0" w:color="auto"/>
        <w:left w:val="none" w:sz="0" w:space="0" w:color="auto"/>
        <w:bottom w:val="none" w:sz="0" w:space="0" w:color="auto"/>
        <w:right w:val="none" w:sz="0" w:space="0" w:color="auto"/>
      </w:divBdr>
    </w:div>
    <w:div w:id="1121459941">
      <w:bodyDiv w:val="1"/>
      <w:marLeft w:val="0"/>
      <w:marRight w:val="0"/>
      <w:marTop w:val="0"/>
      <w:marBottom w:val="0"/>
      <w:divBdr>
        <w:top w:val="none" w:sz="0" w:space="0" w:color="auto"/>
        <w:left w:val="none" w:sz="0" w:space="0" w:color="auto"/>
        <w:bottom w:val="none" w:sz="0" w:space="0" w:color="auto"/>
        <w:right w:val="none" w:sz="0" w:space="0" w:color="auto"/>
      </w:divBdr>
    </w:div>
    <w:div w:id="1121728865">
      <w:bodyDiv w:val="1"/>
      <w:marLeft w:val="0"/>
      <w:marRight w:val="0"/>
      <w:marTop w:val="0"/>
      <w:marBottom w:val="0"/>
      <w:divBdr>
        <w:top w:val="none" w:sz="0" w:space="0" w:color="auto"/>
        <w:left w:val="none" w:sz="0" w:space="0" w:color="auto"/>
        <w:bottom w:val="none" w:sz="0" w:space="0" w:color="auto"/>
        <w:right w:val="none" w:sz="0" w:space="0" w:color="auto"/>
      </w:divBdr>
    </w:div>
    <w:div w:id="1121731395">
      <w:bodyDiv w:val="1"/>
      <w:marLeft w:val="0"/>
      <w:marRight w:val="0"/>
      <w:marTop w:val="0"/>
      <w:marBottom w:val="0"/>
      <w:divBdr>
        <w:top w:val="none" w:sz="0" w:space="0" w:color="auto"/>
        <w:left w:val="none" w:sz="0" w:space="0" w:color="auto"/>
        <w:bottom w:val="none" w:sz="0" w:space="0" w:color="auto"/>
        <w:right w:val="none" w:sz="0" w:space="0" w:color="auto"/>
      </w:divBdr>
    </w:div>
    <w:div w:id="1121801202">
      <w:bodyDiv w:val="1"/>
      <w:marLeft w:val="0"/>
      <w:marRight w:val="0"/>
      <w:marTop w:val="0"/>
      <w:marBottom w:val="0"/>
      <w:divBdr>
        <w:top w:val="none" w:sz="0" w:space="0" w:color="auto"/>
        <w:left w:val="none" w:sz="0" w:space="0" w:color="auto"/>
        <w:bottom w:val="none" w:sz="0" w:space="0" w:color="auto"/>
        <w:right w:val="none" w:sz="0" w:space="0" w:color="auto"/>
      </w:divBdr>
    </w:div>
    <w:div w:id="1121803616">
      <w:bodyDiv w:val="1"/>
      <w:marLeft w:val="0"/>
      <w:marRight w:val="0"/>
      <w:marTop w:val="0"/>
      <w:marBottom w:val="0"/>
      <w:divBdr>
        <w:top w:val="none" w:sz="0" w:space="0" w:color="auto"/>
        <w:left w:val="none" w:sz="0" w:space="0" w:color="auto"/>
        <w:bottom w:val="none" w:sz="0" w:space="0" w:color="auto"/>
        <w:right w:val="none" w:sz="0" w:space="0" w:color="auto"/>
      </w:divBdr>
    </w:div>
    <w:div w:id="1122458589">
      <w:bodyDiv w:val="1"/>
      <w:marLeft w:val="0"/>
      <w:marRight w:val="0"/>
      <w:marTop w:val="0"/>
      <w:marBottom w:val="0"/>
      <w:divBdr>
        <w:top w:val="none" w:sz="0" w:space="0" w:color="auto"/>
        <w:left w:val="none" w:sz="0" w:space="0" w:color="auto"/>
        <w:bottom w:val="none" w:sz="0" w:space="0" w:color="auto"/>
        <w:right w:val="none" w:sz="0" w:space="0" w:color="auto"/>
      </w:divBdr>
    </w:div>
    <w:div w:id="1123963638">
      <w:bodyDiv w:val="1"/>
      <w:marLeft w:val="0"/>
      <w:marRight w:val="0"/>
      <w:marTop w:val="0"/>
      <w:marBottom w:val="0"/>
      <w:divBdr>
        <w:top w:val="none" w:sz="0" w:space="0" w:color="auto"/>
        <w:left w:val="none" w:sz="0" w:space="0" w:color="auto"/>
        <w:bottom w:val="none" w:sz="0" w:space="0" w:color="auto"/>
        <w:right w:val="none" w:sz="0" w:space="0" w:color="auto"/>
      </w:divBdr>
    </w:div>
    <w:div w:id="1124737602">
      <w:bodyDiv w:val="1"/>
      <w:marLeft w:val="0"/>
      <w:marRight w:val="0"/>
      <w:marTop w:val="0"/>
      <w:marBottom w:val="0"/>
      <w:divBdr>
        <w:top w:val="none" w:sz="0" w:space="0" w:color="auto"/>
        <w:left w:val="none" w:sz="0" w:space="0" w:color="auto"/>
        <w:bottom w:val="none" w:sz="0" w:space="0" w:color="auto"/>
        <w:right w:val="none" w:sz="0" w:space="0" w:color="auto"/>
      </w:divBdr>
    </w:div>
    <w:div w:id="1126393771">
      <w:bodyDiv w:val="1"/>
      <w:marLeft w:val="0"/>
      <w:marRight w:val="0"/>
      <w:marTop w:val="0"/>
      <w:marBottom w:val="0"/>
      <w:divBdr>
        <w:top w:val="none" w:sz="0" w:space="0" w:color="auto"/>
        <w:left w:val="none" w:sz="0" w:space="0" w:color="auto"/>
        <w:bottom w:val="none" w:sz="0" w:space="0" w:color="auto"/>
        <w:right w:val="none" w:sz="0" w:space="0" w:color="auto"/>
      </w:divBdr>
    </w:div>
    <w:div w:id="1126780330">
      <w:bodyDiv w:val="1"/>
      <w:marLeft w:val="0"/>
      <w:marRight w:val="0"/>
      <w:marTop w:val="0"/>
      <w:marBottom w:val="0"/>
      <w:divBdr>
        <w:top w:val="none" w:sz="0" w:space="0" w:color="auto"/>
        <w:left w:val="none" w:sz="0" w:space="0" w:color="auto"/>
        <w:bottom w:val="none" w:sz="0" w:space="0" w:color="auto"/>
        <w:right w:val="none" w:sz="0" w:space="0" w:color="auto"/>
      </w:divBdr>
    </w:div>
    <w:div w:id="1131745526">
      <w:bodyDiv w:val="1"/>
      <w:marLeft w:val="0"/>
      <w:marRight w:val="0"/>
      <w:marTop w:val="0"/>
      <w:marBottom w:val="0"/>
      <w:divBdr>
        <w:top w:val="none" w:sz="0" w:space="0" w:color="auto"/>
        <w:left w:val="none" w:sz="0" w:space="0" w:color="auto"/>
        <w:bottom w:val="none" w:sz="0" w:space="0" w:color="auto"/>
        <w:right w:val="none" w:sz="0" w:space="0" w:color="auto"/>
      </w:divBdr>
    </w:div>
    <w:div w:id="1134257384">
      <w:bodyDiv w:val="1"/>
      <w:marLeft w:val="0"/>
      <w:marRight w:val="0"/>
      <w:marTop w:val="0"/>
      <w:marBottom w:val="0"/>
      <w:divBdr>
        <w:top w:val="none" w:sz="0" w:space="0" w:color="auto"/>
        <w:left w:val="none" w:sz="0" w:space="0" w:color="auto"/>
        <w:bottom w:val="none" w:sz="0" w:space="0" w:color="auto"/>
        <w:right w:val="none" w:sz="0" w:space="0" w:color="auto"/>
      </w:divBdr>
    </w:div>
    <w:div w:id="1134443702">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5413539">
      <w:bodyDiv w:val="1"/>
      <w:marLeft w:val="0"/>
      <w:marRight w:val="0"/>
      <w:marTop w:val="0"/>
      <w:marBottom w:val="0"/>
      <w:divBdr>
        <w:top w:val="none" w:sz="0" w:space="0" w:color="auto"/>
        <w:left w:val="none" w:sz="0" w:space="0" w:color="auto"/>
        <w:bottom w:val="none" w:sz="0" w:space="0" w:color="auto"/>
        <w:right w:val="none" w:sz="0" w:space="0" w:color="auto"/>
      </w:divBdr>
    </w:div>
    <w:div w:id="1135487966">
      <w:bodyDiv w:val="1"/>
      <w:marLeft w:val="0"/>
      <w:marRight w:val="0"/>
      <w:marTop w:val="0"/>
      <w:marBottom w:val="0"/>
      <w:divBdr>
        <w:top w:val="none" w:sz="0" w:space="0" w:color="auto"/>
        <w:left w:val="none" w:sz="0" w:space="0" w:color="auto"/>
        <w:bottom w:val="none" w:sz="0" w:space="0" w:color="auto"/>
        <w:right w:val="none" w:sz="0" w:space="0" w:color="auto"/>
      </w:divBdr>
    </w:div>
    <w:div w:id="1136294596">
      <w:bodyDiv w:val="1"/>
      <w:marLeft w:val="0"/>
      <w:marRight w:val="0"/>
      <w:marTop w:val="0"/>
      <w:marBottom w:val="0"/>
      <w:divBdr>
        <w:top w:val="none" w:sz="0" w:space="0" w:color="auto"/>
        <w:left w:val="none" w:sz="0" w:space="0" w:color="auto"/>
        <w:bottom w:val="none" w:sz="0" w:space="0" w:color="auto"/>
        <w:right w:val="none" w:sz="0" w:space="0" w:color="auto"/>
      </w:divBdr>
    </w:div>
    <w:div w:id="1136869475">
      <w:bodyDiv w:val="1"/>
      <w:marLeft w:val="0"/>
      <w:marRight w:val="0"/>
      <w:marTop w:val="0"/>
      <w:marBottom w:val="0"/>
      <w:divBdr>
        <w:top w:val="none" w:sz="0" w:space="0" w:color="auto"/>
        <w:left w:val="none" w:sz="0" w:space="0" w:color="auto"/>
        <w:bottom w:val="none" w:sz="0" w:space="0" w:color="auto"/>
        <w:right w:val="none" w:sz="0" w:space="0" w:color="auto"/>
      </w:divBdr>
    </w:div>
    <w:div w:id="1137651481">
      <w:bodyDiv w:val="1"/>
      <w:marLeft w:val="0"/>
      <w:marRight w:val="0"/>
      <w:marTop w:val="0"/>
      <w:marBottom w:val="0"/>
      <w:divBdr>
        <w:top w:val="none" w:sz="0" w:space="0" w:color="auto"/>
        <w:left w:val="none" w:sz="0" w:space="0" w:color="auto"/>
        <w:bottom w:val="none" w:sz="0" w:space="0" w:color="auto"/>
        <w:right w:val="none" w:sz="0" w:space="0" w:color="auto"/>
      </w:divBdr>
    </w:div>
    <w:div w:id="1138034164">
      <w:bodyDiv w:val="1"/>
      <w:marLeft w:val="0"/>
      <w:marRight w:val="0"/>
      <w:marTop w:val="0"/>
      <w:marBottom w:val="0"/>
      <w:divBdr>
        <w:top w:val="none" w:sz="0" w:space="0" w:color="auto"/>
        <w:left w:val="none" w:sz="0" w:space="0" w:color="auto"/>
        <w:bottom w:val="none" w:sz="0" w:space="0" w:color="auto"/>
        <w:right w:val="none" w:sz="0" w:space="0" w:color="auto"/>
      </w:divBdr>
    </w:div>
    <w:div w:id="1138063140">
      <w:bodyDiv w:val="1"/>
      <w:marLeft w:val="0"/>
      <w:marRight w:val="0"/>
      <w:marTop w:val="0"/>
      <w:marBottom w:val="0"/>
      <w:divBdr>
        <w:top w:val="none" w:sz="0" w:space="0" w:color="auto"/>
        <w:left w:val="none" w:sz="0" w:space="0" w:color="auto"/>
        <w:bottom w:val="none" w:sz="0" w:space="0" w:color="auto"/>
        <w:right w:val="none" w:sz="0" w:space="0" w:color="auto"/>
      </w:divBdr>
    </w:div>
    <w:div w:id="1142229871">
      <w:bodyDiv w:val="1"/>
      <w:marLeft w:val="0"/>
      <w:marRight w:val="0"/>
      <w:marTop w:val="0"/>
      <w:marBottom w:val="0"/>
      <w:divBdr>
        <w:top w:val="none" w:sz="0" w:space="0" w:color="auto"/>
        <w:left w:val="none" w:sz="0" w:space="0" w:color="auto"/>
        <w:bottom w:val="none" w:sz="0" w:space="0" w:color="auto"/>
        <w:right w:val="none" w:sz="0" w:space="0" w:color="auto"/>
      </w:divBdr>
    </w:div>
    <w:div w:id="1142889221">
      <w:bodyDiv w:val="1"/>
      <w:marLeft w:val="0"/>
      <w:marRight w:val="0"/>
      <w:marTop w:val="0"/>
      <w:marBottom w:val="0"/>
      <w:divBdr>
        <w:top w:val="none" w:sz="0" w:space="0" w:color="auto"/>
        <w:left w:val="none" w:sz="0" w:space="0" w:color="auto"/>
        <w:bottom w:val="none" w:sz="0" w:space="0" w:color="auto"/>
        <w:right w:val="none" w:sz="0" w:space="0" w:color="auto"/>
      </w:divBdr>
    </w:div>
    <w:div w:id="1144809728">
      <w:bodyDiv w:val="1"/>
      <w:marLeft w:val="0"/>
      <w:marRight w:val="0"/>
      <w:marTop w:val="0"/>
      <w:marBottom w:val="0"/>
      <w:divBdr>
        <w:top w:val="none" w:sz="0" w:space="0" w:color="auto"/>
        <w:left w:val="none" w:sz="0" w:space="0" w:color="auto"/>
        <w:bottom w:val="none" w:sz="0" w:space="0" w:color="auto"/>
        <w:right w:val="none" w:sz="0" w:space="0" w:color="auto"/>
      </w:divBdr>
    </w:div>
    <w:div w:id="1145119508">
      <w:bodyDiv w:val="1"/>
      <w:marLeft w:val="0"/>
      <w:marRight w:val="0"/>
      <w:marTop w:val="0"/>
      <w:marBottom w:val="0"/>
      <w:divBdr>
        <w:top w:val="none" w:sz="0" w:space="0" w:color="auto"/>
        <w:left w:val="none" w:sz="0" w:space="0" w:color="auto"/>
        <w:bottom w:val="none" w:sz="0" w:space="0" w:color="auto"/>
        <w:right w:val="none" w:sz="0" w:space="0" w:color="auto"/>
      </w:divBdr>
    </w:div>
    <w:div w:id="1145506052">
      <w:bodyDiv w:val="1"/>
      <w:marLeft w:val="0"/>
      <w:marRight w:val="0"/>
      <w:marTop w:val="0"/>
      <w:marBottom w:val="0"/>
      <w:divBdr>
        <w:top w:val="none" w:sz="0" w:space="0" w:color="auto"/>
        <w:left w:val="none" w:sz="0" w:space="0" w:color="auto"/>
        <w:bottom w:val="none" w:sz="0" w:space="0" w:color="auto"/>
        <w:right w:val="none" w:sz="0" w:space="0" w:color="auto"/>
      </w:divBdr>
    </w:div>
    <w:div w:id="1145663758">
      <w:bodyDiv w:val="1"/>
      <w:marLeft w:val="0"/>
      <w:marRight w:val="0"/>
      <w:marTop w:val="0"/>
      <w:marBottom w:val="0"/>
      <w:divBdr>
        <w:top w:val="none" w:sz="0" w:space="0" w:color="auto"/>
        <w:left w:val="none" w:sz="0" w:space="0" w:color="auto"/>
        <w:bottom w:val="none" w:sz="0" w:space="0" w:color="auto"/>
        <w:right w:val="none" w:sz="0" w:space="0" w:color="auto"/>
      </w:divBdr>
    </w:div>
    <w:div w:id="1145705444">
      <w:bodyDiv w:val="1"/>
      <w:marLeft w:val="0"/>
      <w:marRight w:val="0"/>
      <w:marTop w:val="0"/>
      <w:marBottom w:val="0"/>
      <w:divBdr>
        <w:top w:val="none" w:sz="0" w:space="0" w:color="auto"/>
        <w:left w:val="none" w:sz="0" w:space="0" w:color="auto"/>
        <w:bottom w:val="none" w:sz="0" w:space="0" w:color="auto"/>
        <w:right w:val="none" w:sz="0" w:space="0" w:color="auto"/>
      </w:divBdr>
    </w:div>
    <w:div w:id="1146095327">
      <w:bodyDiv w:val="1"/>
      <w:marLeft w:val="0"/>
      <w:marRight w:val="0"/>
      <w:marTop w:val="0"/>
      <w:marBottom w:val="0"/>
      <w:divBdr>
        <w:top w:val="none" w:sz="0" w:space="0" w:color="auto"/>
        <w:left w:val="none" w:sz="0" w:space="0" w:color="auto"/>
        <w:bottom w:val="none" w:sz="0" w:space="0" w:color="auto"/>
        <w:right w:val="none" w:sz="0" w:space="0" w:color="auto"/>
      </w:divBdr>
    </w:div>
    <w:div w:id="1148782364">
      <w:bodyDiv w:val="1"/>
      <w:marLeft w:val="0"/>
      <w:marRight w:val="0"/>
      <w:marTop w:val="0"/>
      <w:marBottom w:val="0"/>
      <w:divBdr>
        <w:top w:val="none" w:sz="0" w:space="0" w:color="auto"/>
        <w:left w:val="none" w:sz="0" w:space="0" w:color="auto"/>
        <w:bottom w:val="none" w:sz="0" w:space="0" w:color="auto"/>
        <w:right w:val="none" w:sz="0" w:space="0" w:color="auto"/>
      </w:divBdr>
    </w:div>
    <w:div w:id="1149597305">
      <w:bodyDiv w:val="1"/>
      <w:marLeft w:val="0"/>
      <w:marRight w:val="0"/>
      <w:marTop w:val="0"/>
      <w:marBottom w:val="0"/>
      <w:divBdr>
        <w:top w:val="none" w:sz="0" w:space="0" w:color="auto"/>
        <w:left w:val="none" w:sz="0" w:space="0" w:color="auto"/>
        <w:bottom w:val="none" w:sz="0" w:space="0" w:color="auto"/>
        <w:right w:val="none" w:sz="0" w:space="0" w:color="auto"/>
      </w:divBdr>
    </w:div>
    <w:div w:id="1150516343">
      <w:bodyDiv w:val="1"/>
      <w:marLeft w:val="0"/>
      <w:marRight w:val="0"/>
      <w:marTop w:val="0"/>
      <w:marBottom w:val="0"/>
      <w:divBdr>
        <w:top w:val="none" w:sz="0" w:space="0" w:color="auto"/>
        <w:left w:val="none" w:sz="0" w:space="0" w:color="auto"/>
        <w:bottom w:val="none" w:sz="0" w:space="0" w:color="auto"/>
        <w:right w:val="none" w:sz="0" w:space="0" w:color="auto"/>
      </w:divBdr>
    </w:div>
    <w:div w:id="1150945040">
      <w:bodyDiv w:val="1"/>
      <w:marLeft w:val="0"/>
      <w:marRight w:val="0"/>
      <w:marTop w:val="0"/>
      <w:marBottom w:val="0"/>
      <w:divBdr>
        <w:top w:val="none" w:sz="0" w:space="0" w:color="auto"/>
        <w:left w:val="none" w:sz="0" w:space="0" w:color="auto"/>
        <w:bottom w:val="none" w:sz="0" w:space="0" w:color="auto"/>
        <w:right w:val="none" w:sz="0" w:space="0" w:color="auto"/>
      </w:divBdr>
    </w:div>
    <w:div w:id="1155535346">
      <w:bodyDiv w:val="1"/>
      <w:marLeft w:val="0"/>
      <w:marRight w:val="0"/>
      <w:marTop w:val="0"/>
      <w:marBottom w:val="0"/>
      <w:divBdr>
        <w:top w:val="none" w:sz="0" w:space="0" w:color="auto"/>
        <w:left w:val="none" w:sz="0" w:space="0" w:color="auto"/>
        <w:bottom w:val="none" w:sz="0" w:space="0" w:color="auto"/>
        <w:right w:val="none" w:sz="0" w:space="0" w:color="auto"/>
      </w:divBdr>
    </w:div>
    <w:div w:id="1155536985">
      <w:bodyDiv w:val="1"/>
      <w:marLeft w:val="0"/>
      <w:marRight w:val="0"/>
      <w:marTop w:val="0"/>
      <w:marBottom w:val="0"/>
      <w:divBdr>
        <w:top w:val="none" w:sz="0" w:space="0" w:color="auto"/>
        <w:left w:val="none" w:sz="0" w:space="0" w:color="auto"/>
        <w:bottom w:val="none" w:sz="0" w:space="0" w:color="auto"/>
        <w:right w:val="none" w:sz="0" w:space="0" w:color="auto"/>
      </w:divBdr>
    </w:div>
    <w:div w:id="1155730907">
      <w:bodyDiv w:val="1"/>
      <w:marLeft w:val="0"/>
      <w:marRight w:val="0"/>
      <w:marTop w:val="0"/>
      <w:marBottom w:val="0"/>
      <w:divBdr>
        <w:top w:val="none" w:sz="0" w:space="0" w:color="auto"/>
        <w:left w:val="none" w:sz="0" w:space="0" w:color="auto"/>
        <w:bottom w:val="none" w:sz="0" w:space="0" w:color="auto"/>
        <w:right w:val="none" w:sz="0" w:space="0" w:color="auto"/>
      </w:divBdr>
    </w:div>
    <w:div w:id="1156914647">
      <w:bodyDiv w:val="1"/>
      <w:marLeft w:val="0"/>
      <w:marRight w:val="0"/>
      <w:marTop w:val="0"/>
      <w:marBottom w:val="0"/>
      <w:divBdr>
        <w:top w:val="none" w:sz="0" w:space="0" w:color="auto"/>
        <w:left w:val="none" w:sz="0" w:space="0" w:color="auto"/>
        <w:bottom w:val="none" w:sz="0" w:space="0" w:color="auto"/>
        <w:right w:val="none" w:sz="0" w:space="0" w:color="auto"/>
      </w:divBdr>
    </w:div>
    <w:div w:id="1157380158">
      <w:bodyDiv w:val="1"/>
      <w:marLeft w:val="0"/>
      <w:marRight w:val="0"/>
      <w:marTop w:val="0"/>
      <w:marBottom w:val="0"/>
      <w:divBdr>
        <w:top w:val="none" w:sz="0" w:space="0" w:color="auto"/>
        <w:left w:val="none" w:sz="0" w:space="0" w:color="auto"/>
        <w:bottom w:val="none" w:sz="0" w:space="0" w:color="auto"/>
        <w:right w:val="none" w:sz="0" w:space="0" w:color="auto"/>
      </w:divBdr>
    </w:div>
    <w:div w:id="1163282079">
      <w:bodyDiv w:val="1"/>
      <w:marLeft w:val="0"/>
      <w:marRight w:val="0"/>
      <w:marTop w:val="0"/>
      <w:marBottom w:val="0"/>
      <w:divBdr>
        <w:top w:val="none" w:sz="0" w:space="0" w:color="auto"/>
        <w:left w:val="none" w:sz="0" w:space="0" w:color="auto"/>
        <w:bottom w:val="none" w:sz="0" w:space="0" w:color="auto"/>
        <w:right w:val="none" w:sz="0" w:space="0" w:color="auto"/>
      </w:divBdr>
    </w:div>
    <w:div w:id="1164006771">
      <w:bodyDiv w:val="1"/>
      <w:marLeft w:val="0"/>
      <w:marRight w:val="0"/>
      <w:marTop w:val="0"/>
      <w:marBottom w:val="0"/>
      <w:divBdr>
        <w:top w:val="none" w:sz="0" w:space="0" w:color="auto"/>
        <w:left w:val="none" w:sz="0" w:space="0" w:color="auto"/>
        <w:bottom w:val="none" w:sz="0" w:space="0" w:color="auto"/>
        <w:right w:val="none" w:sz="0" w:space="0" w:color="auto"/>
      </w:divBdr>
    </w:div>
    <w:div w:id="1166942343">
      <w:bodyDiv w:val="1"/>
      <w:marLeft w:val="0"/>
      <w:marRight w:val="0"/>
      <w:marTop w:val="0"/>
      <w:marBottom w:val="0"/>
      <w:divBdr>
        <w:top w:val="none" w:sz="0" w:space="0" w:color="auto"/>
        <w:left w:val="none" w:sz="0" w:space="0" w:color="auto"/>
        <w:bottom w:val="none" w:sz="0" w:space="0" w:color="auto"/>
        <w:right w:val="none" w:sz="0" w:space="0" w:color="auto"/>
      </w:divBdr>
    </w:div>
    <w:div w:id="1169516813">
      <w:bodyDiv w:val="1"/>
      <w:marLeft w:val="0"/>
      <w:marRight w:val="0"/>
      <w:marTop w:val="0"/>
      <w:marBottom w:val="0"/>
      <w:divBdr>
        <w:top w:val="none" w:sz="0" w:space="0" w:color="auto"/>
        <w:left w:val="none" w:sz="0" w:space="0" w:color="auto"/>
        <w:bottom w:val="none" w:sz="0" w:space="0" w:color="auto"/>
        <w:right w:val="none" w:sz="0" w:space="0" w:color="auto"/>
      </w:divBdr>
    </w:div>
    <w:div w:id="1169566662">
      <w:bodyDiv w:val="1"/>
      <w:marLeft w:val="0"/>
      <w:marRight w:val="0"/>
      <w:marTop w:val="0"/>
      <w:marBottom w:val="0"/>
      <w:divBdr>
        <w:top w:val="none" w:sz="0" w:space="0" w:color="auto"/>
        <w:left w:val="none" w:sz="0" w:space="0" w:color="auto"/>
        <w:bottom w:val="none" w:sz="0" w:space="0" w:color="auto"/>
        <w:right w:val="none" w:sz="0" w:space="0" w:color="auto"/>
      </w:divBdr>
    </w:div>
    <w:div w:id="1171022477">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2263268">
      <w:bodyDiv w:val="1"/>
      <w:marLeft w:val="0"/>
      <w:marRight w:val="0"/>
      <w:marTop w:val="0"/>
      <w:marBottom w:val="0"/>
      <w:divBdr>
        <w:top w:val="none" w:sz="0" w:space="0" w:color="auto"/>
        <w:left w:val="none" w:sz="0" w:space="0" w:color="auto"/>
        <w:bottom w:val="none" w:sz="0" w:space="0" w:color="auto"/>
        <w:right w:val="none" w:sz="0" w:space="0" w:color="auto"/>
      </w:divBdr>
    </w:div>
    <w:div w:id="1172725268">
      <w:bodyDiv w:val="1"/>
      <w:marLeft w:val="0"/>
      <w:marRight w:val="0"/>
      <w:marTop w:val="0"/>
      <w:marBottom w:val="0"/>
      <w:divBdr>
        <w:top w:val="none" w:sz="0" w:space="0" w:color="auto"/>
        <w:left w:val="none" w:sz="0" w:space="0" w:color="auto"/>
        <w:bottom w:val="none" w:sz="0" w:space="0" w:color="auto"/>
        <w:right w:val="none" w:sz="0" w:space="0" w:color="auto"/>
      </w:divBdr>
    </w:div>
    <w:div w:id="1173640480">
      <w:bodyDiv w:val="1"/>
      <w:marLeft w:val="0"/>
      <w:marRight w:val="0"/>
      <w:marTop w:val="0"/>
      <w:marBottom w:val="0"/>
      <w:divBdr>
        <w:top w:val="none" w:sz="0" w:space="0" w:color="auto"/>
        <w:left w:val="none" w:sz="0" w:space="0" w:color="auto"/>
        <w:bottom w:val="none" w:sz="0" w:space="0" w:color="auto"/>
        <w:right w:val="none" w:sz="0" w:space="0" w:color="auto"/>
      </w:divBdr>
    </w:div>
    <w:div w:id="1175263715">
      <w:bodyDiv w:val="1"/>
      <w:marLeft w:val="0"/>
      <w:marRight w:val="0"/>
      <w:marTop w:val="0"/>
      <w:marBottom w:val="0"/>
      <w:divBdr>
        <w:top w:val="none" w:sz="0" w:space="0" w:color="auto"/>
        <w:left w:val="none" w:sz="0" w:space="0" w:color="auto"/>
        <w:bottom w:val="none" w:sz="0" w:space="0" w:color="auto"/>
        <w:right w:val="none" w:sz="0" w:space="0" w:color="auto"/>
      </w:divBdr>
    </w:div>
    <w:div w:id="1176380816">
      <w:bodyDiv w:val="1"/>
      <w:marLeft w:val="0"/>
      <w:marRight w:val="0"/>
      <w:marTop w:val="0"/>
      <w:marBottom w:val="0"/>
      <w:divBdr>
        <w:top w:val="none" w:sz="0" w:space="0" w:color="auto"/>
        <w:left w:val="none" w:sz="0" w:space="0" w:color="auto"/>
        <w:bottom w:val="none" w:sz="0" w:space="0" w:color="auto"/>
        <w:right w:val="none" w:sz="0" w:space="0" w:color="auto"/>
      </w:divBdr>
    </w:div>
    <w:div w:id="1179154688">
      <w:bodyDiv w:val="1"/>
      <w:marLeft w:val="0"/>
      <w:marRight w:val="0"/>
      <w:marTop w:val="0"/>
      <w:marBottom w:val="0"/>
      <w:divBdr>
        <w:top w:val="none" w:sz="0" w:space="0" w:color="auto"/>
        <w:left w:val="none" w:sz="0" w:space="0" w:color="auto"/>
        <w:bottom w:val="none" w:sz="0" w:space="0" w:color="auto"/>
        <w:right w:val="none" w:sz="0" w:space="0" w:color="auto"/>
      </w:divBdr>
    </w:div>
    <w:div w:id="1179930911">
      <w:bodyDiv w:val="1"/>
      <w:marLeft w:val="0"/>
      <w:marRight w:val="0"/>
      <w:marTop w:val="0"/>
      <w:marBottom w:val="0"/>
      <w:divBdr>
        <w:top w:val="none" w:sz="0" w:space="0" w:color="auto"/>
        <w:left w:val="none" w:sz="0" w:space="0" w:color="auto"/>
        <w:bottom w:val="none" w:sz="0" w:space="0" w:color="auto"/>
        <w:right w:val="none" w:sz="0" w:space="0" w:color="auto"/>
      </w:divBdr>
    </w:div>
    <w:div w:id="1182084869">
      <w:bodyDiv w:val="1"/>
      <w:marLeft w:val="0"/>
      <w:marRight w:val="0"/>
      <w:marTop w:val="0"/>
      <w:marBottom w:val="0"/>
      <w:divBdr>
        <w:top w:val="none" w:sz="0" w:space="0" w:color="auto"/>
        <w:left w:val="none" w:sz="0" w:space="0" w:color="auto"/>
        <w:bottom w:val="none" w:sz="0" w:space="0" w:color="auto"/>
        <w:right w:val="none" w:sz="0" w:space="0" w:color="auto"/>
      </w:divBdr>
    </w:div>
    <w:div w:id="1183056388">
      <w:bodyDiv w:val="1"/>
      <w:marLeft w:val="0"/>
      <w:marRight w:val="0"/>
      <w:marTop w:val="0"/>
      <w:marBottom w:val="0"/>
      <w:divBdr>
        <w:top w:val="none" w:sz="0" w:space="0" w:color="auto"/>
        <w:left w:val="none" w:sz="0" w:space="0" w:color="auto"/>
        <w:bottom w:val="none" w:sz="0" w:space="0" w:color="auto"/>
        <w:right w:val="none" w:sz="0" w:space="0" w:color="auto"/>
      </w:divBdr>
    </w:div>
    <w:div w:id="1183666774">
      <w:bodyDiv w:val="1"/>
      <w:marLeft w:val="0"/>
      <w:marRight w:val="0"/>
      <w:marTop w:val="0"/>
      <w:marBottom w:val="0"/>
      <w:divBdr>
        <w:top w:val="none" w:sz="0" w:space="0" w:color="auto"/>
        <w:left w:val="none" w:sz="0" w:space="0" w:color="auto"/>
        <w:bottom w:val="none" w:sz="0" w:space="0" w:color="auto"/>
        <w:right w:val="none" w:sz="0" w:space="0" w:color="auto"/>
      </w:divBdr>
    </w:div>
    <w:div w:id="1184174858">
      <w:bodyDiv w:val="1"/>
      <w:marLeft w:val="0"/>
      <w:marRight w:val="0"/>
      <w:marTop w:val="0"/>
      <w:marBottom w:val="0"/>
      <w:divBdr>
        <w:top w:val="none" w:sz="0" w:space="0" w:color="auto"/>
        <w:left w:val="none" w:sz="0" w:space="0" w:color="auto"/>
        <w:bottom w:val="none" w:sz="0" w:space="0" w:color="auto"/>
        <w:right w:val="none" w:sz="0" w:space="0" w:color="auto"/>
      </w:divBdr>
    </w:div>
    <w:div w:id="1185167062">
      <w:bodyDiv w:val="1"/>
      <w:marLeft w:val="0"/>
      <w:marRight w:val="0"/>
      <w:marTop w:val="0"/>
      <w:marBottom w:val="0"/>
      <w:divBdr>
        <w:top w:val="none" w:sz="0" w:space="0" w:color="auto"/>
        <w:left w:val="none" w:sz="0" w:space="0" w:color="auto"/>
        <w:bottom w:val="none" w:sz="0" w:space="0" w:color="auto"/>
        <w:right w:val="none" w:sz="0" w:space="0" w:color="auto"/>
      </w:divBdr>
    </w:div>
    <w:div w:id="1186479384">
      <w:bodyDiv w:val="1"/>
      <w:marLeft w:val="0"/>
      <w:marRight w:val="0"/>
      <w:marTop w:val="0"/>
      <w:marBottom w:val="0"/>
      <w:divBdr>
        <w:top w:val="none" w:sz="0" w:space="0" w:color="auto"/>
        <w:left w:val="none" w:sz="0" w:space="0" w:color="auto"/>
        <w:bottom w:val="none" w:sz="0" w:space="0" w:color="auto"/>
        <w:right w:val="none" w:sz="0" w:space="0" w:color="auto"/>
      </w:divBdr>
    </w:div>
    <w:div w:id="1187522284">
      <w:bodyDiv w:val="1"/>
      <w:marLeft w:val="0"/>
      <w:marRight w:val="0"/>
      <w:marTop w:val="0"/>
      <w:marBottom w:val="0"/>
      <w:divBdr>
        <w:top w:val="none" w:sz="0" w:space="0" w:color="auto"/>
        <w:left w:val="none" w:sz="0" w:space="0" w:color="auto"/>
        <w:bottom w:val="none" w:sz="0" w:space="0" w:color="auto"/>
        <w:right w:val="none" w:sz="0" w:space="0" w:color="auto"/>
      </w:divBdr>
    </w:div>
    <w:div w:id="1188564865">
      <w:bodyDiv w:val="1"/>
      <w:marLeft w:val="0"/>
      <w:marRight w:val="0"/>
      <w:marTop w:val="0"/>
      <w:marBottom w:val="0"/>
      <w:divBdr>
        <w:top w:val="none" w:sz="0" w:space="0" w:color="auto"/>
        <w:left w:val="none" w:sz="0" w:space="0" w:color="auto"/>
        <w:bottom w:val="none" w:sz="0" w:space="0" w:color="auto"/>
        <w:right w:val="none" w:sz="0" w:space="0" w:color="auto"/>
      </w:divBdr>
    </w:div>
    <w:div w:id="1191339325">
      <w:bodyDiv w:val="1"/>
      <w:marLeft w:val="0"/>
      <w:marRight w:val="0"/>
      <w:marTop w:val="0"/>
      <w:marBottom w:val="0"/>
      <w:divBdr>
        <w:top w:val="none" w:sz="0" w:space="0" w:color="auto"/>
        <w:left w:val="none" w:sz="0" w:space="0" w:color="auto"/>
        <w:bottom w:val="none" w:sz="0" w:space="0" w:color="auto"/>
        <w:right w:val="none" w:sz="0" w:space="0" w:color="auto"/>
      </w:divBdr>
    </w:div>
    <w:div w:id="1191801833">
      <w:bodyDiv w:val="1"/>
      <w:marLeft w:val="0"/>
      <w:marRight w:val="0"/>
      <w:marTop w:val="0"/>
      <w:marBottom w:val="0"/>
      <w:divBdr>
        <w:top w:val="none" w:sz="0" w:space="0" w:color="auto"/>
        <w:left w:val="none" w:sz="0" w:space="0" w:color="auto"/>
        <w:bottom w:val="none" w:sz="0" w:space="0" w:color="auto"/>
        <w:right w:val="none" w:sz="0" w:space="0" w:color="auto"/>
      </w:divBdr>
    </w:div>
    <w:div w:id="1192038765">
      <w:bodyDiv w:val="1"/>
      <w:marLeft w:val="0"/>
      <w:marRight w:val="0"/>
      <w:marTop w:val="0"/>
      <w:marBottom w:val="0"/>
      <w:divBdr>
        <w:top w:val="none" w:sz="0" w:space="0" w:color="auto"/>
        <w:left w:val="none" w:sz="0" w:space="0" w:color="auto"/>
        <w:bottom w:val="none" w:sz="0" w:space="0" w:color="auto"/>
        <w:right w:val="none" w:sz="0" w:space="0" w:color="auto"/>
      </w:divBdr>
    </w:div>
    <w:div w:id="1192576452">
      <w:bodyDiv w:val="1"/>
      <w:marLeft w:val="0"/>
      <w:marRight w:val="0"/>
      <w:marTop w:val="0"/>
      <w:marBottom w:val="0"/>
      <w:divBdr>
        <w:top w:val="none" w:sz="0" w:space="0" w:color="auto"/>
        <w:left w:val="none" w:sz="0" w:space="0" w:color="auto"/>
        <w:bottom w:val="none" w:sz="0" w:space="0" w:color="auto"/>
        <w:right w:val="none" w:sz="0" w:space="0" w:color="auto"/>
      </w:divBdr>
    </w:div>
    <w:div w:id="1193961862">
      <w:bodyDiv w:val="1"/>
      <w:marLeft w:val="0"/>
      <w:marRight w:val="0"/>
      <w:marTop w:val="0"/>
      <w:marBottom w:val="0"/>
      <w:divBdr>
        <w:top w:val="none" w:sz="0" w:space="0" w:color="auto"/>
        <w:left w:val="none" w:sz="0" w:space="0" w:color="auto"/>
        <w:bottom w:val="none" w:sz="0" w:space="0" w:color="auto"/>
        <w:right w:val="none" w:sz="0" w:space="0" w:color="auto"/>
      </w:divBdr>
    </w:div>
    <w:div w:id="1194076799">
      <w:bodyDiv w:val="1"/>
      <w:marLeft w:val="0"/>
      <w:marRight w:val="0"/>
      <w:marTop w:val="0"/>
      <w:marBottom w:val="0"/>
      <w:divBdr>
        <w:top w:val="none" w:sz="0" w:space="0" w:color="auto"/>
        <w:left w:val="none" w:sz="0" w:space="0" w:color="auto"/>
        <w:bottom w:val="none" w:sz="0" w:space="0" w:color="auto"/>
        <w:right w:val="none" w:sz="0" w:space="0" w:color="auto"/>
      </w:divBdr>
    </w:div>
    <w:div w:id="1194147097">
      <w:bodyDiv w:val="1"/>
      <w:marLeft w:val="0"/>
      <w:marRight w:val="0"/>
      <w:marTop w:val="0"/>
      <w:marBottom w:val="0"/>
      <w:divBdr>
        <w:top w:val="none" w:sz="0" w:space="0" w:color="auto"/>
        <w:left w:val="none" w:sz="0" w:space="0" w:color="auto"/>
        <w:bottom w:val="none" w:sz="0" w:space="0" w:color="auto"/>
        <w:right w:val="none" w:sz="0" w:space="0" w:color="auto"/>
      </w:divBdr>
    </w:div>
    <w:div w:id="1195651908">
      <w:bodyDiv w:val="1"/>
      <w:marLeft w:val="0"/>
      <w:marRight w:val="0"/>
      <w:marTop w:val="0"/>
      <w:marBottom w:val="0"/>
      <w:divBdr>
        <w:top w:val="none" w:sz="0" w:space="0" w:color="auto"/>
        <w:left w:val="none" w:sz="0" w:space="0" w:color="auto"/>
        <w:bottom w:val="none" w:sz="0" w:space="0" w:color="auto"/>
        <w:right w:val="none" w:sz="0" w:space="0" w:color="auto"/>
      </w:divBdr>
    </w:div>
    <w:div w:id="1200896916">
      <w:bodyDiv w:val="1"/>
      <w:marLeft w:val="0"/>
      <w:marRight w:val="0"/>
      <w:marTop w:val="0"/>
      <w:marBottom w:val="0"/>
      <w:divBdr>
        <w:top w:val="none" w:sz="0" w:space="0" w:color="auto"/>
        <w:left w:val="none" w:sz="0" w:space="0" w:color="auto"/>
        <w:bottom w:val="none" w:sz="0" w:space="0" w:color="auto"/>
        <w:right w:val="none" w:sz="0" w:space="0" w:color="auto"/>
      </w:divBdr>
    </w:div>
    <w:div w:id="1201942268">
      <w:bodyDiv w:val="1"/>
      <w:marLeft w:val="0"/>
      <w:marRight w:val="0"/>
      <w:marTop w:val="0"/>
      <w:marBottom w:val="0"/>
      <w:divBdr>
        <w:top w:val="none" w:sz="0" w:space="0" w:color="auto"/>
        <w:left w:val="none" w:sz="0" w:space="0" w:color="auto"/>
        <w:bottom w:val="none" w:sz="0" w:space="0" w:color="auto"/>
        <w:right w:val="none" w:sz="0" w:space="0" w:color="auto"/>
      </w:divBdr>
    </w:div>
    <w:div w:id="1202014765">
      <w:bodyDiv w:val="1"/>
      <w:marLeft w:val="0"/>
      <w:marRight w:val="0"/>
      <w:marTop w:val="0"/>
      <w:marBottom w:val="0"/>
      <w:divBdr>
        <w:top w:val="none" w:sz="0" w:space="0" w:color="auto"/>
        <w:left w:val="none" w:sz="0" w:space="0" w:color="auto"/>
        <w:bottom w:val="none" w:sz="0" w:space="0" w:color="auto"/>
        <w:right w:val="none" w:sz="0" w:space="0" w:color="auto"/>
      </w:divBdr>
    </w:div>
    <w:div w:id="1203053897">
      <w:bodyDiv w:val="1"/>
      <w:marLeft w:val="0"/>
      <w:marRight w:val="0"/>
      <w:marTop w:val="0"/>
      <w:marBottom w:val="0"/>
      <w:divBdr>
        <w:top w:val="none" w:sz="0" w:space="0" w:color="auto"/>
        <w:left w:val="none" w:sz="0" w:space="0" w:color="auto"/>
        <w:bottom w:val="none" w:sz="0" w:space="0" w:color="auto"/>
        <w:right w:val="none" w:sz="0" w:space="0" w:color="auto"/>
      </w:divBdr>
    </w:div>
    <w:div w:id="1204295328">
      <w:bodyDiv w:val="1"/>
      <w:marLeft w:val="0"/>
      <w:marRight w:val="0"/>
      <w:marTop w:val="0"/>
      <w:marBottom w:val="0"/>
      <w:divBdr>
        <w:top w:val="none" w:sz="0" w:space="0" w:color="auto"/>
        <w:left w:val="none" w:sz="0" w:space="0" w:color="auto"/>
        <w:bottom w:val="none" w:sz="0" w:space="0" w:color="auto"/>
        <w:right w:val="none" w:sz="0" w:space="0" w:color="auto"/>
      </w:divBdr>
    </w:div>
    <w:div w:id="120470753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255684">
      <w:bodyDiv w:val="1"/>
      <w:marLeft w:val="0"/>
      <w:marRight w:val="0"/>
      <w:marTop w:val="0"/>
      <w:marBottom w:val="0"/>
      <w:divBdr>
        <w:top w:val="none" w:sz="0" w:space="0" w:color="auto"/>
        <w:left w:val="none" w:sz="0" w:space="0" w:color="auto"/>
        <w:bottom w:val="none" w:sz="0" w:space="0" w:color="auto"/>
        <w:right w:val="none" w:sz="0" w:space="0" w:color="auto"/>
      </w:divBdr>
    </w:div>
    <w:div w:id="1206676267">
      <w:bodyDiv w:val="1"/>
      <w:marLeft w:val="0"/>
      <w:marRight w:val="0"/>
      <w:marTop w:val="0"/>
      <w:marBottom w:val="0"/>
      <w:divBdr>
        <w:top w:val="none" w:sz="0" w:space="0" w:color="auto"/>
        <w:left w:val="none" w:sz="0" w:space="0" w:color="auto"/>
        <w:bottom w:val="none" w:sz="0" w:space="0" w:color="auto"/>
        <w:right w:val="none" w:sz="0" w:space="0" w:color="auto"/>
      </w:divBdr>
    </w:div>
    <w:div w:id="1207371467">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724782">
      <w:bodyDiv w:val="1"/>
      <w:marLeft w:val="0"/>
      <w:marRight w:val="0"/>
      <w:marTop w:val="0"/>
      <w:marBottom w:val="0"/>
      <w:divBdr>
        <w:top w:val="none" w:sz="0" w:space="0" w:color="auto"/>
        <w:left w:val="none" w:sz="0" w:space="0" w:color="auto"/>
        <w:bottom w:val="none" w:sz="0" w:space="0" w:color="auto"/>
        <w:right w:val="none" w:sz="0" w:space="0" w:color="auto"/>
      </w:divBdr>
    </w:div>
    <w:div w:id="1212424358">
      <w:bodyDiv w:val="1"/>
      <w:marLeft w:val="0"/>
      <w:marRight w:val="0"/>
      <w:marTop w:val="0"/>
      <w:marBottom w:val="0"/>
      <w:divBdr>
        <w:top w:val="none" w:sz="0" w:space="0" w:color="auto"/>
        <w:left w:val="none" w:sz="0" w:space="0" w:color="auto"/>
        <w:bottom w:val="none" w:sz="0" w:space="0" w:color="auto"/>
        <w:right w:val="none" w:sz="0" w:space="0" w:color="auto"/>
      </w:divBdr>
    </w:div>
    <w:div w:id="1215312817">
      <w:bodyDiv w:val="1"/>
      <w:marLeft w:val="0"/>
      <w:marRight w:val="0"/>
      <w:marTop w:val="0"/>
      <w:marBottom w:val="0"/>
      <w:divBdr>
        <w:top w:val="none" w:sz="0" w:space="0" w:color="auto"/>
        <w:left w:val="none" w:sz="0" w:space="0" w:color="auto"/>
        <w:bottom w:val="none" w:sz="0" w:space="0" w:color="auto"/>
        <w:right w:val="none" w:sz="0" w:space="0" w:color="auto"/>
      </w:divBdr>
    </w:div>
    <w:div w:id="1215315904">
      <w:bodyDiv w:val="1"/>
      <w:marLeft w:val="0"/>
      <w:marRight w:val="0"/>
      <w:marTop w:val="0"/>
      <w:marBottom w:val="0"/>
      <w:divBdr>
        <w:top w:val="none" w:sz="0" w:space="0" w:color="auto"/>
        <w:left w:val="none" w:sz="0" w:space="0" w:color="auto"/>
        <w:bottom w:val="none" w:sz="0" w:space="0" w:color="auto"/>
        <w:right w:val="none" w:sz="0" w:space="0" w:color="auto"/>
      </w:divBdr>
    </w:div>
    <w:div w:id="1215775940">
      <w:bodyDiv w:val="1"/>
      <w:marLeft w:val="0"/>
      <w:marRight w:val="0"/>
      <w:marTop w:val="0"/>
      <w:marBottom w:val="0"/>
      <w:divBdr>
        <w:top w:val="none" w:sz="0" w:space="0" w:color="auto"/>
        <w:left w:val="none" w:sz="0" w:space="0" w:color="auto"/>
        <w:bottom w:val="none" w:sz="0" w:space="0" w:color="auto"/>
        <w:right w:val="none" w:sz="0" w:space="0" w:color="auto"/>
      </w:divBdr>
    </w:div>
    <w:div w:id="1218012209">
      <w:bodyDiv w:val="1"/>
      <w:marLeft w:val="0"/>
      <w:marRight w:val="0"/>
      <w:marTop w:val="0"/>
      <w:marBottom w:val="0"/>
      <w:divBdr>
        <w:top w:val="none" w:sz="0" w:space="0" w:color="auto"/>
        <w:left w:val="none" w:sz="0" w:space="0" w:color="auto"/>
        <w:bottom w:val="none" w:sz="0" w:space="0" w:color="auto"/>
        <w:right w:val="none" w:sz="0" w:space="0" w:color="auto"/>
      </w:divBdr>
    </w:div>
    <w:div w:id="1218785889">
      <w:bodyDiv w:val="1"/>
      <w:marLeft w:val="0"/>
      <w:marRight w:val="0"/>
      <w:marTop w:val="0"/>
      <w:marBottom w:val="0"/>
      <w:divBdr>
        <w:top w:val="none" w:sz="0" w:space="0" w:color="auto"/>
        <w:left w:val="none" w:sz="0" w:space="0" w:color="auto"/>
        <w:bottom w:val="none" w:sz="0" w:space="0" w:color="auto"/>
        <w:right w:val="none" w:sz="0" w:space="0" w:color="auto"/>
      </w:divBdr>
    </w:div>
    <w:div w:id="1220357392">
      <w:bodyDiv w:val="1"/>
      <w:marLeft w:val="0"/>
      <w:marRight w:val="0"/>
      <w:marTop w:val="0"/>
      <w:marBottom w:val="0"/>
      <w:divBdr>
        <w:top w:val="none" w:sz="0" w:space="0" w:color="auto"/>
        <w:left w:val="none" w:sz="0" w:space="0" w:color="auto"/>
        <w:bottom w:val="none" w:sz="0" w:space="0" w:color="auto"/>
        <w:right w:val="none" w:sz="0" w:space="0" w:color="auto"/>
      </w:divBdr>
    </w:div>
    <w:div w:id="1220744003">
      <w:bodyDiv w:val="1"/>
      <w:marLeft w:val="0"/>
      <w:marRight w:val="0"/>
      <w:marTop w:val="0"/>
      <w:marBottom w:val="0"/>
      <w:divBdr>
        <w:top w:val="none" w:sz="0" w:space="0" w:color="auto"/>
        <w:left w:val="none" w:sz="0" w:space="0" w:color="auto"/>
        <w:bottom w:val="none" w:sz="0" w:space="0" w:color="auto"/>
        <w:right w:val="none" w:sz="0" w:space="0" w:color="auto"/>
      </w:divBdr>
    </w:div>
    <w:div w:id="1220941863">
      <w:bodyDiv w:val="1"/>
      <w:marLeft w:val="0"/>
      <w:marRight w:val="0"/>
      <w:marTop w:val="0"/>
      <w:marBottom w:val="0"/>
      <w:divBdr>
        <w:top w:val="none" w:sz="0" w:space="0" w:color="auto"/>
        <w:left w:val="none" w:sz="0" w:space="0" w:color="auto"/>
        <w:bottom w:val="none" w:sz="0" w:space="0" w:color="auto"/>
        <w:right w:val="none" w:sz="0" w:space="0" w:color="auto"/>
      </w:divBdr>
    </w:div>
    <w:div w:id="1221134072">
      <w:bodyDiv w:val="1"/>
      <w:marLeft w:val="0"/>
      <w:marRight w:val="0"/>
      <w:marTop w:val="0"/>
      <w:marBottom w:val="0"/>
      <w:divBdr>
        <w:top w:val="none" w:sz="0" w:space="0" w:color="auto"/>
        <w:left w:val="none" w:sz="0" w:space="0" w:color="auto"/>
        <w:bottom w:val="none" w:sz="0" w:space="0" w:color="auto"/>
        <w:right w:val="none" w:sz="0" w:space="0" w:color="auto"/>
      </w:divBdr>
    </w:div>
    <w:div w:id="1221745339">
      <w:bodyDiv w:val="1"/>
      <w:marLeft w:val="0"/>
      <w:marRight w:val="0"/>
      <w:marTop w:val="0"/>
      <w:marBottom w:val="0"/>
      <w:divBdr>
        <w:top w:val="none" w:sz="0" w:space="0" w:color="auto"/>
        <w:left w:val="none" w:sz="0" w:space="0" w:color="auto"/>
        <w:bottom w:val="none" w:sz="0" w:space="0" w:color="auto"/>
        <w:right w:val="none" w:sz="0" w:space="0" w:color="auto"/>
      </w:divBdr>
    </w:div>
    <w:div w:id="1223298693">
      <w:bodyDiv w:val="1"/>
      <w:marLeft w:val="0"/>
      <w:marRight w:val="0"/>
      <w:marTop w:val="0"/>
      <w:marBottom w:val="0"/>
      <w:divBdr>
        <w:top w:val="none" w:sz="0" w:space="0" w:color="auto"/>
        <w:left w:val="none" w:sz="0" w:space="0" w:color="auto"/>
        <w:bottom w:val="none" w:sz="0" w:space="0" w:color="auto"/>
        <w:right w:val="none" w:sz="0" w:space="0" w:color="auto"/>
      </w:divBdr>
    </w:div>
    <w:div w:id="1225485472">
      <w:bodyDiv w:val="1"/>
      <w:marLeft w:val="0"/>
      <w:marRight w:val="0"/>
      <w:marTop w:val="0"/>
      <w:marBottom w:val="0"/>
      <w:divBdr>
        <w:top w:val="none" w:sz="0" w:space="0" w:color="auto"/>
        <w:left w:val="none" w:sz="0" w:space="0" w:color="auto"/>
        <w:bottom w:val="none" w:sz="0" w:space="0" w:color="auto"/>
        <w:right w:val="none" w:sz="0" w:space="0" w:color="auto"/>
      </w:divBdr>
    </w:div>
    <w:div w:id="1226187332">
      <w:bodyDiv w:val="1"/>
      <w:marLeft w:val="0"/>
      <w:marRight w:val="0"/>
      <w:marTop w:val="0"/>
      <w:marBottom w:val="0"/>
      <w:divBdr>
        <w:top w:val="none" w:sz="0" w:space="0" w:color="auto"/>
        <w:left w:val="none" w:sz="0" w:space="0" w:color="auto"/>
        <w:bottom w:val="none" w:sz="0" w:space="0" w:color="auto"/>
        <w:right w:val="none" w:sz="0" w:space="0" w:color="auto"/>
      </w:divBdr>
    </w:div>
    <w:div w:id="1226337405">
      <w:bodyDiv w:val="1"/>
      <w:marLeft w:val="0"/>
      <w:marRight w:val="0"/>
      <w:marTop w:val="0"/>
      <w:marBottom w:val="0"/>
      <w:divBdr>
        <w:top w:val="none" w:sz="0" w:space="0" w:color="auto"/>
        <w:left w:val="none" w:sz="0" w:space="0" w:color="auto"/>
        <w:bottom w:val="none" w:sz="0" w:space="0" w:color="auto"/>
        <w:right w:val="none" w:sz="0" w:space="0" w:color="auto"/>
      </w:divBdr>
    </w:div>
    <w:div w:id="1227952671">
      <w:bodyDiv w:val="1"/>
      <w:marLeft w:val="0"/>
      <w:marRight w:val="0"/>
      <w:marTop w:val="0"/>
      <w:marBottom w:val="0"/>
      <w:divBdr>
        <w:top w:val="none" w:sz="0" w:space="0" w:color="auto"/>
        <w:left w:val="none" w:sz="0" w:space="0" w:color="auto"/>
        <w:bottom w:val="none" w:sz="0" w:space="0" w:color="auto"/>
        <w:right w:val="none" w:sz="0" w:space="0" w:color="auto"/>
      </w:divBdr>
    </w:div>
    <w:div w:id="12299943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1841228">
      <w:bodyDiv w:val="1"/>
      <w:marLeft w:val="0"/>
      <w:marRight w:val="0"/>
      <w:marTop w:val="0"/>
      <w:marBottom w:val="0"/>
      <w:divBdr>
        <w:top w:val="none" w:sz="0" w:space="0" w:color="auto"/>
        <w:left w:val="none" w:sz="0" w:space="0" w:color="auto"/>
        <w:bottom w:val="none" w:sz="0" w:space="0" w:color="auto"/>
        <w:right w:val="none" w:sz="0" w:space="0" w:color="auto"/>
      </w:divBdr>
    </w:div>
    <w:div w:id="1232932000">
      <w:bodyDiv w:val="1"/>
      <w:marLeft w:val="0"/>
      <w:marRight w:val="0"/>
      <w:marTop w:val="0"/>
      <w:marBottom w:val="0"/>
      <w:divBdr>
        <w:top w:val="none" w:sz="0" w:space="0" w:color="auto"/>
        <w:left w:val="none" w:sz="0" w:space="0" w:color="auto"/>
        <w:bottom w:val="none" w:sz="0" w:space="0" w:color="auto"/>
        <w:right w:val="none" w:sz="0" w:space="0" w:color="auto"/>
      </w:divBdr>
    </w:div>
    <w:div w:id="1233540876">
      <w:bodyDiv w:val="1"/>
      <w:marLeft w:val="0"/>
      <w:marRight w:val="0"/>
      <w:marTop w:val="0"/>
      <w:marBottom w:val="0"/>
      <w:divBdr>
        <w:top w:val="none" w:sz="0" w:space="0" w:color="auto"/>
        <w:left w:val="none" w:sz="0" w:space="0" w:color="auto"/>
        <w:bottom w:val="none" w:sz="0" w:space="0" w:color="auto"/>
        <w:right w:val="none" w:sz="0" w:space="0" w:color="auto"/>
      </w:divBdr>
    </w:div>
    <w:div w:id="1233585207">
      <w:bodyDiv w:val="1"/>
      <w:marLeft w:val="0"/>
      <w:marRight w:val="0"/>
      <w:marTop w:val="0"/>
      <w:marBottom w:val="0"/>
      <w:divBdr>
        <w:top w:val="none" w:sz="0" w:space="0" w:color="auto"/>
        <w:left w:val="none" w:sz="0" w:space="0" w:color="auto"/>
        <w:bottom w:val="none" w:sz="0" w:space="0" w:color="auto"/>
        <w:right w:val="none" w:sz="0" w:space="0" w:color="auto"/>
      </w:divBdr>
    </w:div>
    <w:div w:id="1235043121">
      <w:bodyDiv w:val="1"/>
      <w:marLeft w:val="0"/>
      <w:marRight w:val="0"/>
      <w:marTop w:val="0"/>
      <w:marBottom w:val="0"/>
      <w:divBdr>
        <w:top w:val="none" w:sz="0" w:space="0" w:color="auto"/>
        <w:left w:val="none" w:sz="0" w:space="0" w:color="auto"/>
        <w:bottom w:val="none" w:sz="0" w:space="0" w:color="auto"/>
        <w:right w:val="none" w:sz="0" w:space="0" w:color="auto"/>
      </w:divBdr>
    </w:div>
    <w:div w:id="1238050003">
      <w:bodyDiv w:val="1"/>
      <w:marLeft w:val="0"/>
      <w:marRight w:val="0"/>
      <w:marTop w:val="0"/>
      <w:marBottom w:val="0"/>
      <w:divBdr>
        <w:top w:val="none" w:sz="0" w:space="0" w:color="auto"/>
        <w:left w:val="none" w:sz="0" w:space="0" w:color="auto"/>
        <w:bottom w:val="none" w:sz="0" w:space="0" w:color="auto"/>
        <w:right w:val="none" w:sz="0" w:space="0" w:color="auto"/>
      </w:divBdr>
    </w:div>
    <w:div w:id="1240822187">
      <w:bodyDiv w:val="1"/>
      <w:marLeft w:val="0"/>
      <w:marRight w:val="0"/>
      <w:marTop w:val="0"/>
      <w:marBottom w:val="0"/>
      <w:divBdr>
        <w:top w:val="none" w:sz="0" w:space="0" w:color="auto"/>
        <w:left w:val="none" w:sz="0" w:space="0" w:color="auto"/>
        <w:bottom w:val="none" w:sz="0" w:space="0" w:color="auto"/>
        <w:right w:val="none" w:sz="0" w:space="0" w:color="auto"/>
      </w:divBdr>
    </w:div>
    <w:div w:id="1243031485">
      <w:bodyDiv w:val="1"/>
      <w:marLeft w:val="0"/>
      <w:marRight w:val="0"/>
      <w:marTop w:val="0"/>
      <w:marBottom w:val="0"/>
      <w:divBdr>
        <w:top w:val="none" w:sz="0" w:space="0" w:color="auto"/>
        <w:left w:val="none" w:sz="0" w:space="0" w:color="auto"/>
        <w:bottom w:val="none" w:sz="0" w:space="0" w:color="auto"/>
        <w:right w:val="none" w:sz="0" w:space="0" w:color="auto"/>
      </w:divBdr>
    </w:div>
    <w:div w:id="124363771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337485">
      <w:bodyDiv w:val="1"/>
      <w:marLeft w:val="0"/>
      <w:marRight w:val="0"/>
      <w:marTop w:val="0"/>
      <w:marBottom w:val="0"/>
      <w:divBdr>
        <w:top w:val="none" w:sz="0" w:space="0" w:color="auto"/>
        <w:left w:val="none" w:sz="0" w:space="0" w:color="auto"/>
        <w:bottom w:val="none" w:sz="0" w:space="0" w:color="auto"/>
        <w:right w:val="none" w:sz="0" w:space="0" w:color="auto"/>
      </w:divBdr>
    </w:div>
    <w:div w:id="1245334168">
      <w:bodyDiv w:val="1"/>
      <w:marLeft w:val="0"/>
      <w:marRight w:val="0"/>
      <w:marTop w:val="0"/>
      <w:marBottom w:val="0"/>
      <w:divBdr>
        <w:top w:val="none" w:sz="0" w:space="0" w:color="auto"/>
        <w:left w:val="none" w:sz="0" w:space="0" w:color="auto"/>
        <w:bottom w:val="none" w:sz="0" w:space="0" w:color="auto"/>
        <w:right w:val="none" w:sz="0" w:space="0" w:color="auto"/>
      </w:divBdr>
    </w:div>
    <w:div w:id="1245603692">
      <w:bodyDiv w:val="1"/>
      <w:marLeft w:val="0"/>
      <w:marRight w:val="0"/>
      <w:marTop w:val="0"/>
      <w:marBottom w:val="0"/>
      <w:divBdr>
        <w:top w:val="none" w:sz="0" w:space="0" w:color="auto"/>
        <w:left w:val="none" w:sz="0" w:space="0" w:color="auto"/>
        <w:bottom w:val="none" w:sz="0" w:space="0" w:color="auto"/>
        <w:right w:val="none" w:sz="0" w:space="0" w:color="auto"/>
      </w:divBdr>
    </w:div>
    <w:div w:id="1247153342">
      <w:bodyDiv w:val="1"/>
      <w:marLeft w:val="0"/>
      <w:marRight w:val="0"/>
      <w:marTop w:val="0"/>
      <w:marBottom w:val="0"/>
      <w:divBdr>
        <w:top w:val="none" w:sz="0" w:space="0" w:color="auto"/>
        <w:left w:val="none" w:sz="0" w:space="0" w:color="auto"/>
        <w:bottom w:val="none" w:sz="0" w:space="0" w:color="auto"/>
        <w:right w:val="none" w:sz="0" w:space="0" w:color="auto"/>
      </w:divBdr>
    </w:div>
    <w:div w:id="1248880352">
      <w:bodyDiv w:val="1"/>
      <w:marLeft w:val="0"/>
      <w:marRight w:val="0"/>
      <w:marTop w:val="0"/>
      <w:marBottom w:val="0"/>
      <w:divBdr>
        <w:top w:val="none" w:sz="0" w:space="0" w:color="auto"/>
        <w:left w:val="none" w:sz="0" w:space="0" w:color="auto"/>
        <w:bottom w:val="none" w:sz="0" w:space="0" w:color="auto"/>
        <w:right w:val="none" w:sz="0" w:space="0" w:color="auto"/>
      </w:divBdr>
    </w:div>
    <w:div w:id="1250311777">
      <w:bodyDiv w:val="1"/>
      <w:marLeft w:val="0"/>
      <w:marRight w:val="0"/>
      <w:marTop w:val="0"/>
      <w:marBottom w:val="0"/>
      <w:divBdr>
        <w:top w:val="none" w:sz="0" w:space="0" w:color="auto"/>
        <w:left w:val="none" w:sz="0" w:space="0" w:color="auto"/>
        <w:bottom w:val="none" w:sz="0" w:space="0" w:color="auto"/>
        <w:right w:val="none" w:sz="0" w:space="0" w:color="auto"/>
      </w:divBdr>
    </w:div>
    <w:div w:id="1251042096">
      <w:bodyDiv w:val="1"/>
      <w:marLeft w:val="0"/>
      <w:marRight w:val="0"/>
      <w:marTop w:val="0"/>
      <w:marBottom w:val="0"/>
      <w:divBdr>
        <w:top w:val="none" w:sz="0" w:space="0" w:color="auto"/>
        <w:left w:val="none" w:sz="0" w:space="0" w:color="auto"/>
        <w:bottom w:val="none" w:sz="0" w:space="0" w:color="auto"/>
        <w:right w:val="none" w:sz="0" w:space="0" w:color="auto"/>
      </w:divBdr>
    </w:div>
    <w:div w:id="1253777544">
      <w:bodyDiv w:val="1"/>
      <w:marLeft w:val="0"/>
      <w:marRight w:val="0"/>
      <w:marTop w:val="0"/>
      <w:marBottom w:val="0"/>
      <w:divBdr>
        <w:top w:val="none" w:sz="0" w:space="0" w:color="auto"/>
        <w:left w:val="none" w:sz="0" w:space="0" w:color="auto"/>
        <w:bottom w:val="none" w:sz="0" w:space="0" w:color="auto"/>
        <w:right w:val="none" w:sz="0" w:space="0" w:color="auto"/>
      </w:divBdr>
    </w:div>
    <w:div w:id="1254972245">
      <w:bodyDiv w:val="1"/>
      <w:marLeft w:val="0"/>
      <w:marRight w:val="0"/>
      <w:marTop w:val="0"/>
      <w:marBottom w:val="0"/>
      <w:divBdr>
        <w:top w:val="none" w:sz="0" w:space="0" w:color="auto"/>
        <w:left w:val="none" w:sz="0" w:space="0" w:color="auto"/>
        <w:bottom w:val="none" w:sz="0" w:space="0" w:color="auto"/>
        <w:right w:val="none" w:sz="0" w:space="0" w:color="auto"/>
      </w:divBdr>
    </w:div>
    <w:div w:id="1255439799">
      <w:bodyDiv w:val="1"/>
      <w:marLeft w:val="0"/>
      <w:marRight w:val="0"/>
      <w:marTop w:val="0"/>
      <w:marBottom w:val="0"/>
      <w:divBdr>
        <w:top w:val="none" w:sz="0" w:space="0" w:color="auto"/>
        <w:left w:val="none" w:sz="0" w:space="0" w:color="auto"/>
        <w:bottom w:val="none" w:sz="0" w:space="0" w:color="auto"/>
        <w:right w:val="none" w:sz="0" w:space="0" w:color="auto"/>
      </w:divBdr>
    </w:div>
    <w:div w:id="1255555725">
      <w:bodyDiv w:val="1"/>
      <w:marLeft w:val="0"/>
      <w:marRight w:val="0"/>
      <w:marTop w:val="0"/>
      <w:marBottom w:val="0"/>
      <w:divBdr>
        <w:top w:val="none" w:sz="0" w:space="0" w:color="auto"/>
        <w:left w:val="none" w:sz="0" w:space="0" w:color="auto"/>
        <w:bottom w:val="none" w:sz="0" w:space="0" w:color="auto"/>
        <w:right w:val="none" w:sz="0" w:space="0" w:color="auto"/>
      </w:divBdr>
    </w:div>
    <w:div w:id="1257054872">
      <w:bodyDiv w:val="1"/>
      <w:marLeft w:val="0"/>
      <w:marRight w:val="0"/>
      <w:marTop w:val="0"/>
      <w:marBottom w:val="0"/>
      <w:divBdr>
        <w:top w:val="none" w:sz="0" w:space="0" w:color="auto"/>
        <w:left w:val="none" w:sz="0" w:space="0" w:color="auto"/>
        <w:bottom w:val="none" w:sz="0" w:space="0" w:color="auto"/>
        <w:right w:val="none" w:sz="0" w:space="0" w:color="auto"/>
      </w:divBdr>
    </w:div>
    <w:div w:id="1263756079">
      <w:bodyDiv w:val="1"/>
      <w:marLeft w:val="0"/>
      <w:marRight w:val="0"/>
      <w:marTop w:val="0"/>
      <w:marBottom w:val="0"/>
      <w:divBdr>
        <w:top w:val="none" w:sz="0" w:space="0" w:color="auto"/>
        <w:left w:val="none" w:sz="0" w:space="0" w:color="auto"/>
        <w:bottom w:val="none" w:sz="0" w:space="0" w:color="auto"/>
        <w:right w:val="none" w:sz="0" w:space="0" w:color="auto"/>
      </w:divBdr>
    </w:div>
    <w:div w:id="1263878635">
      <w:bodyDiv w:val="1"/>
      <w:marLeft w:val="0"/>
      <w:marRight w:val="0"/>
      <w:marTop w:val="0"/>
      <w:marBottom w:val="0"/>
      <w:divBdr>
        <w:top w:val="none" w:sz="0" w:space="0" w:color="auto"/>
        <w:left w:val="none" w:sz="0" w:space="0" w:color="auto"/>
        <w:bottom w:val="none" w:sz="0" w:space="0" w:color="auto"/>
        <w:right w:val="none" w:sz="0" w:space="0" w:color="auto"/>
      </w:divBdr>
    </w:div>
    <w:div w:id="1264609224">
      <w:bodyDiv w:val="1"/>
      <w:marLeft w:val="0"/>
      <w:marRight w:val="0"/>
      <w:marTop w:val="0"/>
      <w:marBottom w:val="0"/>
      <w:divBdr>
        <w:top w:val="none" w:sz="0" w:space="0" w:color="auto"/>
        <w:left w:val="none" w:sz="0" w:space="0" w:color="auto"/>
        <w:bottom w:val="none" w:sz="0" w:space="0" w:color="auto"/>
        <w:right w:val="none" w:sz="0" w:space="0" w:color="auto"/>
      </w:divBdr>
    </w:div>
    <w:div w:id="1264731231">
      <w:bodyDiv w:val="1"/>
      <w:marLeft w:val="0"/>
      <w:marRight w:val="0"/>
      <w:marTop w:val="0"/>
      <w:marBottom w:val="0"/>
      <w:divBdr>
        <w:top w:val="none" w:sz="0" w:space="0" w:color="auto"/>
        <w:left w:val="none" w:sz="0" w:space="0" w:color="auto"/>
        <w:bottom w:val="none" w:sz="0" w:space="0" w:color="auto"/>
        <w:right w:val="none" w:sz="0" w:space="0" w:color="auto"/>
      </w:divBdr>
    </w:div>
    <w:div w:id="1267925759">
      <w:bodyDiv w:val="1"/>
      <w:marLeft w:val="0"/>
      <w:marRight w:val="0"/>
      <w:marTop w:val="0"/>
      <w:marBottom w:val="0"/>
      <w:divBdr>
        <w:top w:val="none" w:sz="0" w:space="0" w:color="auto"/>
        <w:left w:val="none" w:sz="0" w:space="0" w:color="auto"/>
        <w:bottom w:val="none" w:sz="0" w:space="0" w:color="auto"/>
        <w:right w:val="none" w:sz="0" w:space="0" w:color="auto"/>
      </w:divBdr>
    </w:div>
    <w:div w:id="1270964978">
      <w:bodyDiv w:val="1"/>
      <w:marLeft w:val="0"/>
      <w:marRight w:val="0"/>
      <w:marTop w:val="0"/>
      <w:marBottom w:val="0"/>
      <w:divBdr>
        <w:top w:val="none" w:sz="0" w:space="0" w:color="auto"/>
        <w:left w:val="none" w:sz="0" w:space="0" w:color="auto"/>
        <w:bottom w:val="none" w:sz="0" w:space="0" w:color="auto"/>
        <w:right w:val="none" w:sz="0" w:space="0" w:color="auto"/>
      </w:divBdr>
    </w:div>
    <w:div w:id="1271161747">
      <w:bodyDiv w:val="1"/>
      <w:marLeft w:val="0"/>
      <w:marRight w:val="0"/>
      <w:marTop w:val="0"/>
      <w:marBottom w:val="0"/>
      <w:divBdr>
        <w:top w:val="none" w:sz="0" w:space="0" w:color="auto"/>
        <w:left w:val="none" w:sz="0" w:space="0" w:color="auto"/>
        <w:bottom w:val="none" w:sz="0" w:space="0" w:color="auto"/>
        <w:right w:val="none" w:sz="0" w:space="0" w:color="auto"/>
      </w:divBdr>
    </w:div>
    <w:div w:id="1272738625">
      <w:bodyDiv w:val="1"/>
      <w:marLeft w:val="0"/>
      <w:marRight w:val="0"/>
      <w:marTop w:val="0"/>
      <w:marBottom w:val="0"/>
      <w:divBdr>
        <w:top w:val="none" w:sz="0" w:space="0" w:color="auto"/>
        <w:left w:val="none" w:sz="0" w:space="0" w:color="auto"/>
        <w:bottom w:val="none" w:sz="0" w:space="0" w:color="auto"/>
        <w:right w:val="none" w:sz="0" w:space="0" w:color="auto"/>
      </w:divBdr>
    </w:div>
    <w:div w:id="1273056922">
      <w:bodyDiv w:val="1"/>
      <w:marLeft w:val="0"/>
      <w:marRight w:val="0"/>
      <w:marTop w:val="0"/>
      <w:marBottom w:val="0"/>
      <w:divBdr>
        <w:top w:val="none" w:sz="0" w:space="0" w:color="auto"/>
        <w:left w:val="none" w:sz="0" w:space="0" w:color="auto"/>
        <w:bottom w:val="none" w:sz="0" w:space="0" w:color="auto"/>
        <w:right w:val="none" w:sz="0" w:space="0" w:color="auto"/>
      </w:divBdr>
    </w:div>
    <w:div w:id="1273780425">
      <w:bodyDiv w:val="1"/>
      <w:marLeft w:val="0"/>
      <w:marRight w:val="0"/>
      <w:marTop w:val="0"/>
      <w:marBottom w:val="0"/>
      <w:divBdr>
        <w:top w:val="none" w:sz="0" w:space="0" w:color="auto"/>
        <w:left w:val="none" w:sz="0" w:space="0" w:color="auto"/>
        <w:bottom w:val="none" w:sz="0" w:space="0" w:color="auto"/>
        <w:right w:val="none" w:sz="0" w:space="0" w:color="auto"/>
      </w:divBdr>
    </w:div>
    <w:div w:id="1274752686">
      <w:bodyDiv w:val="1"/>
      <w:marLeft w:val="0"/>
      <w:marRight w:val="0"/>
      <w:marTop w:val="0"/>
      <w:marBottom w:val="0"/>
      <w:divBdr>
        <w:top w:val="none" w:sz="0" w:space="0" w:color="auto"/>
        <w:left w:val="none" w:sz="0" w:space="0" w:color="auto"/>
        <w:bottom w:val="none" w:sz="0" w:space="0" w:color="auto"/>
        <w:right w:val="none" w:sz="0" w:space="0" w:color="auto"/>
      </w:divBdr>
    </w:div>
    <w:div w:id="1275550904">
      <w:bodyDiv w:val="1"/>
      <w:marLeft w:val="0"/>
      <w:marRight w:val="0"/>
      <w:marTop w:val="0"/>
      <w:marBottom w:val="0"/>
      <w:divBdr>
        <w:top w:val="none" w:sz="0" w:space="0" w:color="auto"/>
        <w:left w:val="none" w:sz="0" w:space="0" w:color="auto"/>
        <w:bottom w:val="none" w:sz="0" w:space="0" w:color="auto"/>
        <w:right w:val="none" w:sz="0" w:space="0" w:color="auto"/>
      </w:divBdr>
    </w:div>
    <w:div w:id="1278180940">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919858">
      <w:bodyDiv w:val="1"/>
      <w:marLeft w:val="0"/>
      <w:marRight w:val="0"/>
      <w:marTop w:val="0"/>
      <w:marBottom w:val="0"/>
      <w:divBdr>
        <w:top w:val="none" w:sz="0" w:space="0" w:color="auto"/>
        <w:left w:val="none" w:sz="0" w:space="0" w:color="auto"/>
        <w:bottom w:val="none" w:sz="0" w:space="0" w:color="auto"/>
        <w:right w:val="none" w:sz="0" w:space="0" w:color="auto"/>
      </w:divBdr>
    </w:div>
    <w:div w:id="1281303124">
      <w:bodyDiv w:val="1"/>
      <w:marLeft w:val="0"/>
      <w:marRight w:val="0"/>
      <w:marTop w:val="0"/>
      <w:marBottom w:val="0"/>
      <w:divBdr>
        <w:top w:val="none" w:sz="0" w:space="0" w:color="auto"/>
        <w:left w:val="none" w:sz="0" w:space="0" w:color="auto"/>
        <w:bottom w:val="none" w:sz="0" w:space="0" w:color="auto"/>
        <w:right w:val="none" w:sz="0" w:space="0" w:color="auto"/>
      </w:divBdr>
    </w:div>
    <w:div w:id="1281496866">
      <w:bodyDiv w:val="1"/>
      <w:marLeft w:val="0"/>
      <w:marRight w:val="0"/>
      <w:marTop w:val="0"/>
      <w:marBottom w:val="0"/>
      <w:divBdr>
        <w:top w:val="none" w:sz="0" w:space="0" w:color="auto"/>
        <w:left w:val="none" w:sz="0" w:space="0" w:color="auto"/>
        <w:bottom w:val="none" w:sz="0" w:space="0" w:color="auto"/>
        <w:right w:val="none" w:sz="0" w:space="0" w:color="auto"/>
      </w:divBdr>
    </w:div>
    <w:div w:id="1281764350">
      <w:bodyDiv w:val="1"/>
      <w:marLeft w:val="0"/>
      <w:marRight w:val="0"/>
      <w:marTop w:val="0"/>
      <w:marBottom w:val="0"/>
      <w:divBdr>
        <w:top w:val="none" w:sz="0" w:space="0" w:color="auto"/>
        <w:left w:val="none" w:sz="0" w:space="0" w:color="auto"/>
        <w:bottom w:val="none" w:sz="0" w:space="0" w:color="auto"/>
        <w:right w:val="none" w:sz="0" w:space="0" w:color="auto"/>
      </w:divBdr>
    </w:div>
    <w:div w:id="1282614515">
      <w:bodyDiv w:val="1"/>
      <w:marLeft w:val="0"/>
      <w:marRight w:val="0"/>
      <w:marTop w:val="0"/>
      <w:marBottom w:val="0"/>
      <w:divBdr>
        <w:top w:val="none" w:sz="0" w:space="0" w:color="auto"/>
        <w:left w:val="none" w:sz="0" w:space="0" w:color="auto"/>
        <w:bottom w:val="none" w:sz="0" w:space="0" w:color="auto"/>
        <w:right w:val="none" w:sz="0" w:space="0" w:color="auto"/>
      </w:divBdr>
    </w:div>
    <w:div w:id="1282956213">
      <w:bodyDiv w:val="1"/>
      <w:marLeft w:val="0"/>
      <w:marRight w:val="0"/>
      <w:marTop w:val="0"/>
      <w:marBottom w:val="0"/>
      <w:divBdr>
        <w:top w:val="none" w:sz="0" w:space="0" w:color="auto"/>
        <w:left w:val="none" w:sz="0" w:space="0" w:color="auto"/>
        <w:bottom w:val="none" w:sz="0" w:space="0" w:color="auto"/>
        <w:right w:val="none" w:sz="0" w:space="0" w:color="auto"/>
      </w:divBdr>
    </w:div>
    <w:div w:id="1285429111">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619800">
      <w:bodyDiv w:val="1"/>
      <w:marLeft w:val="0"/>
      <w:marRight w:val="0"/>
      <w:marTop w:val="0"/>
      <w:marBottom w:val="0"/>
      <w:divBdr>
        <w:top w:val="none" w:sz="0" w:space="0" w:color="auto"/>
        <w:left w:val="none" w:sz="0" w:space="0" w:color="auto"/>
        <w:bottom w:val="none" w:sz="0" w:space="0" w:color="auto"/>
        <w:right w:val="none" w:sz="0" w:space="0" w:color="auto"/>
      </w:divBdr>
    </w:div>
    <w:div w:id="1287353741">
      <w:bodyDiv w:val="1"/>
      <w:marLeft w:val="0"/>
      <w:marRight w:val="0"/>
      <w:marTop w:val="0"/>
      <w:marBottom w:val="0"/>
      <w:divBdr>
        <w:top w:val="none" w:sz="0" w:space="0" w:color="auto"/>
        <w:left w:val="none" w:sz="0" w:space="0" w:color="auto"/>
        <w:bottom w:val="none" w:sz="0" w:space="0" w:color="auto"/>
        <w:right w:val="none" w:sz="0" w:space="0" w:color="auto"/>
      </w:divBdr>
    </w:div>
    <w:div w:id="1290863664">
      <w:bodyDiv w:val="1"/>
      <w:marLeft w:val="0"/>
      <w:marRight w:val="0"/>
      <w:marTop w:val="0"/>
      <w:marBottom w:val="0"/>
      <w:divBdr>
        <w:top w:val="none" w:sz="0" w:space="0" w:color="auto"/>
        <w:left w:val="none" w:sz="0" w:space="0" w:color="auto"/>
        <w:bottom w:val="none" w:sz="0" w:space="0" w:color="auto"/>
        <w:right w:val="none" w:sz="0" w:space="0" w:color="auto"/>
      </w:divBdr>
    </w:div>
    <w:div w:id="1292441476">
      <w:bodyDiv w:val="1"/>
      <w:marLeft w:val="0"/>
      <w:marRight w:val="0"/>
      <w:marTop w:val="0"/>
      <w:marBottom w:val="0"/>
      <w:divBdr>
        <w:top w:val="none" w:sz="0" w:space="0" w:color="auto"/>
        <w:left w:val="none" w:sz="0" w:space="0" w:color="auto"/>
        <w:bottom w:val="none" w:sz="0" w:space="0" w:color="auto"/>
        <w:right w:val="none" w:sz="0" w:space="0" w:color="auto"/>
      </w:divBdr>
    </w:div>
    <w:div w:id="1292596833">
      <w:bodyDiv w:val="1"/>
      <w:marLeft w:val="0"/>
      <w:marRight w:val="0"/>
      <w:marTop w:val="0"/>
      <w:marBottom w:val="0"/>
      <w:divBdr>
        <w:top w:val="none" w:sz="0" w:space="0" w:color="auto"/>
        <w:left w:val="none" w:sz="0" w:space="0" w:color="auto"/>
        <w:bottom w:val="none" w:sz="0" w:space="0" w:color="auto"/>
        <w:right w:val="none" w:sz="0" w:space="0" w:color="auto"/>
      </w:divBdr>
    </w:div>
    <w:div w:id="1293554784">
      <w:bodyDiv w:val="1"/>
      <w:marLeft w:val="0"/>
      <w:marRight w:val="0"/>
      <w:marTop w:val="0"/>
      <w:marBottom w:val="0"/>
      <w:divBdr>
        <w:top w:val="none" w:sz="0" w:space="0" w:color="auto"/>
        <w:left w:val="none" w:sz="0" w:space="0" w:color="auto"/>
        <w:bottom w:val="none" w:sz="0" w:space="0" w:color="auto"/>
        <w:right w:val="none" w:sz="0" w:space="0" w:color="auto"/>
      </w:divBdr>
    </w:div>
    <w:div w:id="1294408681">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0455246">
      <w:bodyDiv w:val="1"/>
      <w:marLeft w:val="0"/>
      <w:marRight w:val="0"/>
      <w:marTop w:val="0"/>
      <w:marBottom w:val="0"/>
      <w:divBdr>
        <w:top w:val="none" w:sz="0" w:space="0" w:color="auto"/>
        <w:left w:val="none" w:sz="0" w:space="0" w:color="auto"/>
        <w:bottom w:val="none" w:sz="0" w:space="0" w:color="auto"/>
        <w:right w:val="none" w:sz="0" w:space="0" w:color="auto"/>
      </w:divBdr>
    </w:div>
    <w:div w:id="1301495153">
      <w:bodyDiv w:val="1"/>
      <w:marLeft w:val="0"/>
      <w:marRight w:val="0"/>
      <w:marTop w:val="0"/>
      <w:marBottom w:val="0"/>
      <w:divBdr>
        <w:top w:val="none" w:sz="0" w:space="0" w:color="auto"/>
        <w:left w:val="none" w:sz="0" w:space="0" w:color="auto"/>
        <w:bottom w:val="none" w:sz="0" w:space="0" w:color="auto"/>
        <w:right w:val="none" w:sz="0" w:space="0" w:color="auto"/>
      </w:divBdr>
    </w:div>
    <w:div w:id="1302004315">
      <w:bodyDiv w:val="1"/>
      <w:marLeft w:val="0"/>
      <w:marRight w:val="0"/>
      <w:marTop w:val="0"/>
      <w:marBottom w:val="0"/>
      <w:divBdr>
        <w:top w:val="none" w:sz="0" w:space="0" w:color="auto"/>
        <w:left w:val="none" w:sz="0" w:space="0" w:color="auto"/>
        <w:bottom w:val="none" w:sz="0" w:space="0" w:color="auto"/>
        <w:right w:val="none" w:sz="0" w:space="0" w:color="auto"/>
      </w:divBdr>
    </w:div>
    <w:div w:id="1302347215">
      <w:bodyDiv w:val="1"/>
      <w:marLeft w:val="0"/>
      <w:marRight w:val="0"/>
      <w:marTop w:val="0"/>
      <w:marBottom w:val="0"/>
      <w:divBdr>
        <w:top w:val="none" w:sz="0" w:space="0" w:color="auto"/>
        <w:left w:val="none" w:sz="0" w:space="0" w:color="auto"/>
        <w:bottom w:val="none" w:sz="0" w:space="0" w:color="auto"/>
        <w:right w:val="none" w:sz="0" w:space="0" w:color="auto"/>
      </w:divBdr>
    </w:div>
    <w:div w:id="1303315369">
      <w:bodyDiv w:val="1"/>
      <w:marLeft w:val="0"/>
      <w:marRight w:val="0"/>
      <w:marTop w:val="0"/>
      <w:marBottom w:val="0"/>
      <w:divBdr>
        <w:top w:val="none" w:sz="0" w:space="0" w:color="auto"/>
        <w:left w:val="none" w:sz="0" w:space="0" w:color="auto"/>
        <w:bottom w:val="none" w:sz="0" w:space="0" w:color="auto"/>
        <w:right w:val="none" w:sz="0" w:space="0" w:color="auto"/>
      </w:divBdr>
    </w:div>
    <w:div w:id="1303581995">
      <w:bodyDiv w:val="1"/>
      <w:marLeft w:val="0"/>
      <w:marRight w:val="0"/>
      <w:marTop w:val="0"/>
      <w:marBottom w:val="0"/>
      <w:divBdr>
        <w:top w:val="none" w:sz="0" w:space="0" w:color="auto"/>
        <w:left w:val="none" w:sz="0" w:space="0" w:color="auto"/>
        <w:bottom w:val="none" w:sz="0" w:space="0" w:color="auto"/>
        <w:right w:val="none" w:sz="0" w:space="0" w:color="auto"/>
      </w:divBdr>
    </w:div>
    <w:div w:id="1304389821">
      <w:bodyDiv w:val="1"/>
      <w:marLeft w:val="0"/>
      <w:marRight w:val="0"/>
      <w:marTop w:val="0"/>
      <w:marBottom w:val="0"/>
      <w:divBdr>
        <w:top w:val="none" w:sz="0" w:space="0" w:color="auto"/>
        <w:left w:val="none" w:sz="0" w:space="0" w:color="auto"/>
        <w:bottom w:val="none" w:sz="0" w:space="0" w:color="auto"/>
        <w:right w:val="none" w:sz="0" w:space="0" w:color="auto"/>
      </w:divBdr>
    </w:div>
    <w:div w:id="1304773482">
      <w:bodyDiv w:val="1"/>
      <w:marLeft w:val="0"/>
      <w:marRight w:val="0"/>
      <w:marTop w:val="0"/>
      <w:marBottom w:val="0"/>
      <w:divBdr>
        <w:top w:val="none" w:sz="0" w:space="0" w:color="auto"/>
        <w:left w:val="none" w:sz="0" w:space="0" w:color="auto"/>
        <w:bottom w:val="none" w:sz="0" w:space="0" w:color="auto"/>
        <w:right w:val="none" w:sz="0" w:space="0" w:color="auto"/>
      </w:divBdr>
    </w:div>
    <w:div w:id="1305506368">
      <w:bodyDiv w:val="1"/>
      <w:marLeft w:val="0"/>
      <w:marRight w:val="0"/>
      <w:marTop w:val="0"/>
      <w:marBottom w:val="0"/>
      <w:divBdr>
        <w:top w:val="none" w:sz="0" w:space="0" w:color="auto"/>
        <w:left w:val="none" w:sz="0" w:space="0" w:color="auto"/>
        <w:bottom w:val="none" w:sz="0" w:space="0" w:color="auto"/>
        <w:right w:val="none" w:sz="0" w:space="0" w:color="auto"/>
      </w:divBdr>
    </w:div>
    <w:div w:id="1305744734">
      <w:bodyDiv w:val="1"/>
      <w:marLeft w:val="0"/>
      <w:marRight w:val="0"/>
      <w:marTop w:val="0"/>
      <w:marBottom w:val="0"/>
      <w:divBdr>
        <w:top w:val="none" w:sz="0" w:space="0" w:color="auto"/>
        <w:left w:val="none" w:sz="0" w:space="0" w:color="auto"/>
        <w:bottom w:val="none" w:sz="0" w:space="0" w:color="auto"/>
        <w:right w:val="none" w:sz="0" w:space="0" w:color="auto"/>
      </w:divBdr>
    </w:div>
    <w:div w:id="1307585411">
      <w:bodyDiv w:val="1"/>
      <w:marLeft w:val="0"/>
      <w:marRight w:val="0"/>
      <w:marTop w:val="0"/>
      <w:marBottom w:val="0"/>
      <w:divBdr>
        <w:top w:val="none" w:sz="0" w:space="0" w:color="auto"/>
        <w:left w:val="none" w:sz="0" w:space="0" w:color="auto"/>
        <w:bottom w:val="none" w:sz="0" w:space="0" w:color="auto"/>
        <w:right w:val="none" w:sz="0" w:space="0" w:color="auto"/>
      </w:divBdr>
    </w:div>
    <w:div w:id="1307733873">
      <w:bodyDiv w:val="1"/>
      <w:marLeft w:val="0"/>
      <w:marRight w:val="0"/>
      <w:marTop w:val="0"/>
      <w:marBottom w:val="0"/>
      <w:divBdr>
        <w:top w:val="none" w:sz="0" w:space="0" w:color="auto"/>
        <w:left w:val="none" w:sz="0" w:space="0" w:color="auto"/>
        <w:bottom w:val="none" w:sz="0" w:space="0" w:color="auto"/>
        <w:right w:val="none" w:sz="0" w:space="0" w:color="auto"/>
      </w:divBdr>
    </w:div>
    <w:div w:id="1310792724">
      <w:bodyDiv w:val="1"/>
      <w:marLeft w:val="0"/>
      <w:marRight w:val="0"/>
      <w:marTop w:val="0"/>
      <w:marBottom w:val="0"/>
      <w:divBdr>
        <w:top w:val="none" w:sz="0" w:space="0" w:color="auto"/>
        <w:left w:val="none" w:sz="0" w:space="0" w:color="auto"/>
        <w:bottom w:val="none" w:sz="0" w:space="0" w:color="auto"/>
        <w:right w:val="none" w:sz="0" w:space="0" w:color="auto"/>
      </w:divBdr>
    </w:div>
    <w:div w:id="1310862796">
      <w:bodyDiv w:val="1"/>
      <w:marLeft w:val="0"/>
      <w:marRight w:val="0"/>
      <w:marTop w:val="0"/>
      <w:marBottom w:val="0"/>
      <w:divBdr>
        <w:top w:val="none" w:sz="0" w:space="0" w:color="auto"/>
        <w:left w:val="none" w:sz="0" w:space="0" w:color="auto"/>
        <w:bottom w:val="none" w:sz="0" w:space="0" w:color="auto"/>
        <w:right w:val="none" w:sz="0" w:space="0" w:color="auto"/>
      </w:divBdr>
    </w:div>
    <w:div w:id="1311640162">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212678">
      <w:bodyDiv w:val="1"/>
      <w:marLeft w:val="0"/>
      <w:marRight w:val="0"/>
      <w:marTop w:val="0"/>
      <w:marBottom w:val="0"/>
      <w:divBdr>
        <w:top w:val="none" w:sz="0" w:space="0" w:color="auto"/>
        <w:left w:val="none" w:sz="0" w:space="0" w:color="auto"/>
        <w:bottom w:val="none" w:sz="0" w:space="0" w:color="auto"/>
        <w:right w:val="none" w:sz="0" w:space="0" w:color="auto"/>
      </w:divBdr>
    </w:div>
    <w:div w:id="1316452627">
      <w:bodyDiv w:val="1"/>
      <w:marLeft w:val="0"/>
      <w:marRight w:val="0"/>
      <w:marTop w:val="0"/>
      <w:marBottom w:val="0"/>
      <w:divBdr>
        <w:top w:val="none" w:sz="0" w:space="0" w:color="auto"/>
        <w:left w:val="none" w:sz="0" w:space="0" w:color="auto"/>
        <w:bottom w:val="none" w:sz="0" w:space="0" w:color="auto"/>
        <w:right w:val="none" w:sz="0" w:space="0" w:color="auto"/>
      </w:divBdr>
    </w:div>
    <w:div w:id="1317877067">
      <w:bodyDiv w:val="1"/>
      <w:marLeft w:val="0"/>
      <w:marRight w:val="0"/>
      <w:marTop w:val="0"/>
      <w:marBottom w:val="0"/>
      <w:divBdr>
        <w:top w:val="none" w:sz="0" w:space="0" w:color="auto"/>
        <w:left w:val="none" w:sz="0" w:space="0" w:color="auto"/>
        <w:bottom w:val="none" w:sz="0" w:space="0" w:color="auto"/>
        <w:right w:val="none" w:sz="0" w:space="0" w:color="auto"/>
      </w:divBdr>
    </w:div>
    <w:div w:id="1319724304">
      <w:bodyDiv w:val="1"/>
      <w:marLeft w:val="0"/>
      <w:marRight w:val="0"/>
      <w:marTop w:val="0"/>
      <w:marBottom w:val="0"/>
      <w:divBdr>
        <w:top w:val="none" w:sz="0" w:space="0" w:color="auto"/>
        <w:left w:val="none" w:sz="0" w:space="0" w:color="auto"/>
        <w:bottom w:val="none" w:sz="0" w:space="0" w:color="auto"/>
        <w:right w:val="none" w:sz="0" w:space="0" w:color="auto"/>
      </w:divBdr>
    </w:div>
    <w:div w:id="1320690980">
      <w:bodyDiv w:val="1"/>
      <w:marLeft w:val="0"/>
      <w:marRight w:val="0"/>
      <w:marTop w:val="0"/>
      <w:marBottom w:val="0"/>
      <w:divBdr>
        <w:top w:val="none" w:sz="0" w:space="0" w:color="auto"/>
        <w:left w:val="none" w:sz="0" w:space="0" w:color="auto"/>
        <w:bottom w:val="none" w:sz="0" w:space="0" w:color="auto"/>
        <w:right w:val="none" w:sz="0" w:space="0" w:color="auto"/>
      </w:divBdr>
    </w:div>
    <w:div w:id="1322583353">
      <w:bodyDiv w:val="1"/>
      <w:marLeft w:val="0"/>
      <w:marRight w:val="0"/>
      <w:marTop w:val="0"/>
      <w:marBottom w:val="0"/>
      <w:divBdr>
        <w:top w:val="none" w:sz="0" w:space="0" w:color="auto"/>
        <w:left w:val="none" w:sz="0" w:space="0" w:color="auto"/>
        <w:bottom w:val="none" w:sz="0" w:space="0" w:color="auto"/>
        <w:right w:val="none" w:sz="0" w:space="0" w:color="auto"/>
      </w:divBdr>
    </w:div>
    <w:div w:id="1323242285">
      <w:bodyDiv w:val="1"/>
      <w:marLeft w:val="0"/>
      <w:marRight w:val="0"/>
      <w:marTop w:val="0"/>
      <w:marBottom w:val="0"/>
      <w:divBdr>
        <w:top w:val="none" w:sz="0" w:space="0" w:color="auto"/>
        <w:left w:val="none" w:sz="0" w:space="0" w:color="auto"/>
        <w:bottom w:val="none" w:sz="0" w:space="0" w:color="auto"/>
        <w:right w:val="none" w:sz="0" w:space="0" w:color="auto"/>
      </w:divBdr>
    </w:div>
    <w:div w:id="1323969070">
      <w:bodyDiv w:val="1"/>
      <w:marLeft w:val="0"/>
      <w:marRight w:val="0"/>
      <w:marTop w:val="0"/>
      <w:marBottom w:val="0"/>
      <w:divBdr>
        <w:top w:val="none" w:sz="0" w:space="0" w:color="auto"/>
        <w:left w:val="none" w:sz="0" w:space="0" w:color="auto"/>
        <w:bottom w:val="none" w:sz="0" w:space="0" w:color="auto"/>
        <w:right w:val="none" w:sz="0" w:space="0" w:color="auto"/>
      </w:divBdr>
    </w:div>
    <w:div w:id="1324046447">
      <w:bodyDiv w:val="1"/>
      <w:marLeft w:val="0"/>
      <w:marRight w:val="0"/>
      <w:marTop w:val="0"/>
      <w:marBottom w:val="0"/>
      <w:divBdr>
        <w:top w:val="none" w:sz="0" w:space="0" w:color="auto"/>
        <w:left w:val="none" w:sz="0" w:space="0" w:color="auto"/>
        <w:bottom w:val="none" w:sz="0" w:space="0" w:color="auto"/>
        <w:right w:val="none" w:sz="0" w:space="0" w:color="auto"/>
      </w:divBdr>
    </w:div>
    <w:div w:id="1324167875">
      <w:bodyDiv w:val="1"/>
      <w:marLeft w:val="0"/>
      <w:marRight w:val="0"/>
      <w:marTop w:val="0"/>
      <w:marBottom w:val="0"/>
      <w:divBdr>
        <w:top w:val="none" w:sz="0" w:space="0" w:color="auto"/>
        <w:left w:val="none" w:sz="0" w:space="0" w:color="auto"/>
        <w:bottom w:val="none" w:sz="0" w:space="0" w:color="auto"/>
        <w:right w:val="none" w:sz="0" w:space="0" w:color="auto"/>
      </w:divBdr>
    </w:div>
    <w:div w:id="1324620699">
      <w:bodyDiv w:val="1"/>
      <w:marLeft w:val="0"/>
      <w:marRight w:val="0"/>
      <w:marTop w:val="0"/>
      <w:marBottom w:val="0"/>
      <w:divBdr>
        <w:top w:val="none" w:sz="0" w:space="0" w:color="auto"/>
        <w:left w:val="none" w:sz="0" w:space="0" w:color="auto"/>
        <w:bottom w:val="none" w:sz="0" w:space="0" w:color="auto"/>
        <w:right w:val="none" w:sz="0" w:space="0" w:color="auto"/>
      </w:divBdr>
    </w:div>
    <w:div w:id="1325432600">
      <w:bodyDiv w:val="1"/>
      <w:marLeft w:val="0"/>
      <w:marRight w:val="0"/>
      <w:marTop w:val="0"/>
      <w:marBottom w:val="0"/>
      <w:divBdr>
        <w:top w:val="none" w:sz="0" w:space="0" w:color="auto"/>
        <w:left w:val="none" w:sz="0" w:space="0" w:color="auto"/>
        <w:bottom w:val="none" w:sz="0" w:space="0" w:color="auto"/>
        <w:right w:val="none" w:sz="0" w:space="0" w:color="auto"/>
      </w:divBdr>
    </w:div>
    <w:div w:id="1326546259">
      <w:bodyDiv w:val="1"/>
      <w:marLeft w:val="0"/>
      <w:marRight w:val="0"/>
      <w:marTop w:val="0"/>
      <w:marBottom w:val="0"/>
      <w:divBdr>
        <w:top w:val="none" w:sz="0" w:space="0" w:color="auto"/>
        <w:left w:val="none" w:sz="0" w:space="0" w:color="auto"/>
        <w:bottom w:val="none" w:sz="0" w:space="0" w:color="auto"/>
        <w:right w:val="none" w:sz="0" w:space="0" w:color="auto"/>
      </w:divBdr>
    </w:div>
    <w:div w:id="1327628798">
      <w:bodyDiv w:val="1"/>
      <w:marLeft w:val="0"/>
      <w:marRight w:val="0"/>
      <w:marTop w:val="0"/>
      <w:marBottom w:val="0"/>
      <w:divBdr>
        <w:top w:val="none" w:sz="0" w:space="0" w:color="auto"/>
        <w:left w:val="none" w:sz="0" w:space="0" w:color="auto"/>
        <w:bottom w:val="none" w:sz="0" w:space="0" w:color="auto"/>
        <w:right w:val="none" w:sz="0" w:space="0" w:color="auto"/>
      </w:divBdr>
    </w:div>
    <w:div w:id="1329747250">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3293365">
      <w:bodyDiv w:val="1"/>
      <w:marLeft w:val="0"/>
      <w:marRight w:val="0"/>
      <w:marTop w:val="0"/>
      <w:marBottom w:val="0"/>
      <w:divBdr>
        <w:top w:val="none" w:sz="0" w:space="0" w:color="auto"/>
        <w:left w:val="none" w:sz="0" w:space="0" w:color="auto"/>
        <w:bottom w:val="none" w:sz="0" w:space="0" w:color="auto"/>
        <w:right w:val="none" w:sz="0" w:space="0" w:color="auto"/>
      </w:divBdr>
    </w:div>
    <w:div w:id="1333872621">
      <w:bodyDiv w:val="1"/>
      <w:marLeft w:val="0"/>
      <w:marRight w:val="0"/>
      <w:marTop w:val="0"/>
      <w:marBottom w:val="0"/>
      <w:divBdr>
        <w:top w:val="none" w:sz="0" w:space="0" w:color="auto"/>
        <w:left w:val="none" w:sz="0" w:space="0" w:color="auto"/>
        <w:bottom w:val="none" w:sz="0" w:space="0" w:color="auto"/>
        <w:right w:val="none" w:sz="0" w:space="0" w:color="auto"/>
      </w:divBdr>
    </w:div>
    <w:div w:id="1335886068">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617957">
      <w:bodyDiv w:val="1"/>
      <w:marLeft w:val="0"/>
      <w:marRight w:val="0"/>
      <w:marTop w:val="0"/>
      <w:marBottom w:val="0"/>
      <w:divBdr>
        <w:top w:val="none" w:sz="0" w:space="0" w:color="auto"/>
        <w:left w:val="none" w:sz="0" w:space="0" w:color="auto"/>
        <w:bottom w:val="none" w:sz="0" w:space="0" w:color="auto"/>
        <w:right w:val="none" w:sz="0" w:space="0" w:color="auto"/>
      </w:divBdr>
    </w:div>
    <w:div w:id="1337686926">
      <w:bodyDiv w:val="1"/>
      <w:marLeft w:val="0"/>
      <w:marRight w:val="0"/>
      <w:marTop w:val="0"/>
      <w:marBottom w:val="0"/>
      <w:divBdr>
        <w:top w:val="none" w:sz="0" w:space="0" w:color="auto"/>
        <w:left w:val="none" w:sz="0" w:space="0" w:color="auto"/>
        <w:bottom w:val="none" w:sz="0" w:space="0" w:color="auto"/>
        <w:right w:val="none" w:sz="0" w:space="0" w:color="auto"/>
      </w:divBdr>
    </w:div>
    <w:div w:id="1338001605">
      <w:bodyDiv w:val="1"/>
      <w:marLeft w:val="0"/>
      <w:marRight w:val="0"/>
      <w:marTop w:val="0"/>
      <w:marBottom w:val="0"/>
      <w:divBdr>
        <w:top w:val="none" w:sz="0" w:space="0" w:color="auto"/>
        <w:left w:val="none" w:sz="0" w:space="0" w:color="auto"/>
        <w:bottom w:val="none" w:sz="0" w:space="0" w:color="auto"/>
        <w:right w:val="none" w:sz="0" w:space="0" w:color="auto"/>
      </w:divBdr>
    </w:div>
    <w:div w:id="1338074775">
      <w:bodyDiv w:val="1"/>
      <w:marLeft w:val="0"/>
      <w:marRight w:val="0"/>
      <w:marTop w:val="0"/>
      <w:marBottom w:val="0"/>
      <w:divBdr>
        <w:top w:val="none" w:sz="0" w:space="0" w:color="auto"/>
        <w:left w:val="none" w:sz="0" w:space="0" w:color="auto"/>
        <w:bottom w:val="none" w:sz="0" w:space="0" w:color="auto"/>
        <w:right w:val="none" w:sz="0" w:space="0" w:color="auto"/>
      </w:divBdr>
    </w:div>
    <w:div w:id="1338187696">
      <w:bodyDiv w:val="1"/>
      <w:marLeft w:val="0"/>
      <w:marRight w:val="0"/>
      <w:marTop w:val="0"/>
      <w:marBottom w:val="0"/>
      <w:divBdr>
        <w:top w:val="none" w:sz="0" w:space="0" w:color="auto"/>
        <w:left w:val="none" w:sz="0" w:space="0" w:color="auto"/>
        <w:bottom w:val="none" w:sz="0" w:space="0" w:color="auto"/>
        <w:right w:val="none" w:sz="0" w:space="0" w:color="auto"/>
      </w:divBdr>
    </w:div>
    <w:div w:id="1338381021">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1741901">
      <w:bodyDiv w:val="1"/>
      <w:marLeft w:val="0"/>
      <w:marRight w:val="0"/>
      <w:marTop w:val="0"/>
      <w:marBottom w:val="0"/>
      <w:divBdr>
        <w:top w:val="none" w:sz="0" w:space="0" w:color="auto"/>
        <w:left w:val="none" w:sz="0" w:space="0" w:color="auto"/>
        <w:bottom w:val="none" w:sz="0" w:space="0" w:color="auto"/>
        <w:right w:val="none" w:sz="0" w:space="0" w:color="auto"/>
      </w:divBdr>
    </w:div>
    <w:div w:id="1344283725">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7706230">
      <w:bodyDiv w:val="1"/>
      <w:marLeft w:val="0"/>
      <w:marRight w:val="0"/>
      <w:marTop w:val="0"/>
      <w:marBottom w:val="0"/>
      <w:divBdr>
        <w:top w:val="none" w:sz="0" w:space="0" w:color="auto"/>
        <w:left w:val="none" w:sz="0" w:space="0" w:color="auto"/>
        <w:bottom w:val="none" w:sz="0" w:space="0" w:color="auto"/>
        <w:right w:val="none" w:sz="0" w:space="0" w:color="auto"/>
      </w:divBdr>
    </w:div>
    <w:div w:id="1348480576">
      <w:bodyDiv w:val="1"/>
      <w:marLeft w:val="0"/>
      <w:marRight w:val="0"/>
      <w:marTop w:val="0"/>
      <w:marBottom w:val="0"/>
      <w:divBdr>
        <w:top w:val="none" w:sz="0" w:space="0" w:color="auto"/>
        <w:left w:val="none" w:sz="0" w:space="0" w:color="auto"/>
        <w:bottom w:val="none" w:sz="0" w:space="0" w:color="auto"/>
        <w:right w:val="none" w:sz="0" w:space="0" w:color="auto"/>
      </w:divBdr>
    </w:div>
    <w:div w:id="1349526325">
      <w:bodyDiv w:val="1"/>
      <w:marLeft w:val="0"/>
      <w:marRight w:val="0"/>
      <w:marTop w:val="0"/>
      <w:marBottom w:val="0"/>
      <w:divBdr>
        <w:top w:val="none" w:sz="0" w:space="0" w:color="auto"/>
        <w:left w:val="none" w:sz="0" w:space="0" w:color="auto"/>
        <w:bottom w:val="none" w:sz="0" w:space="0" w:color="auto"/>
        <w:right w:val="none" w:sz="0" w:space="0" w:color="auto"/>
      </w:divBdr>
    </w:div>
    <w:div w:id="1351181826">
      <w:bodyDiv w:val="1"/>
      <w:marLeft w:val="0"/>
      <w:marRight w:val="0"/>
      <w:marTop w:val="0"/>
      <w:marBottom w:val="0"/>
      <w:divBdr>
        <w:top w:val="none" w:sz="0" w:space="0" w:color="auto"/>
        <w:left w:val="none" w:sz="0" w:space="0" w:color="auto"/>
        <w:bottom w:val="none" w:sz="0" w:space="0" w:color="auto"/>
        <w:right w:val="none" w:sz="0" w:space="0" w:color="auto"/>
      </w:divBdr>
    </w:div>
    <w:div w:id="1351487498">
      <w:bodyDiv w:val="1"/>
      <w:marLeft w:val="0"/>
      <w:marRight w:val="0"/>
      <w:marTop w:val="0"/>
      <w:marBottom w:val="0"/>
      <w:divBdr>
        <w:top w:val="none" w:sz="0" w:space="0" w:color="auto"/>
        <w:left w:val="none" w:sz="0" w:space="0" w:color="auto"/>
        <w:bottom w:val="none" w:sz="0" w:space="0" w:color="auto"/>
        <w:right w:val="none" w:sz="0" w:space="0" w:color="auto"/>
      </w:divBdr>
    </w:div>
    <w:div w:id="1352801189">
      <w:bodyDiv w:val="1"/>
      <w:marLeft w:val="0"/>
      <w:marRight w:val="0"/>
      <w:marTop w:val="0"/>
      <w:marBottom w:val="0"/>
      <w:divBdr>
        <w:top w:val="none" w:sz="0" w:space="0" w:color="auto"/>
        <w:left w:val="none" w:sz="0" w:space="0" w:color="auto"/>
        <w:bottom w:val="none" w:sz="0" w:space="0" w:color="auto"/>
        <w:right w:val="none" w:sz="0" w:space="0" w:color="auto"/>
      </w:divBdr>
    </w:div>
    <w:div w:id="1354191479">
      <w:bodyDiv w:val="1"/>
      <w:marLeft w:val="0"/>
      <w:marRight w:val="0"/>
      <w:marTop w:val="0"/>
      <w:marBottom w:val="0"/>
      <w:divBdr>
        <w:top w:val="none" w:sz="0" w:space="0" w:color="auto"/>
        <w:left w:val="none" w:sz="0" w:space="0" w:color="auto"/>
        <w:bottom w:val="none" w:sz="0" w:space="0" w:color="auto"/>
        <w:right w:val="none" w:sz="0" w:space="0" w:color="auto"/>
      </w:divBdr>
    </w:div>
    <w:div w:id="1356151920">
      <w:bodyDiv w:val="1"/>
      <w:marLeft w:val="0"/>
      <w:marRight w:val="0"/>
      <w:marTop w:val="0"/>
      <w:marBottom w:val="0"/>
      <w:divBdr>
        <w:top w:val="none" w:sz="0" w:space="0" w:color="auto"/>
        <w:left w:val="none" w:sz="0" w:space="0" w:color="auto"/>
        <w:bottom w:val="none" w:sz="0" w:space="0" w:color="auto"/>
        <w:right w:val="none" w:sz="0" w:space="0" w:color="auto"/>
      </w:divBdr>
    </w:div>
    <w:div w:id="1356270973">
      <w:bodyDiv w:val="1"/>
      <w:marLeft w:val="0"/>
      <w:marRight w:val="0"/>
      <w:marTop w:val="0"/>
      <w:marBottom w:val="0"/>
      <w:divBdr>
        <w:top w:val="none" w:sz="0" w:space="0" w:color="auto"/>
        <w:left w:val="none" w:sz="0" w:space="0" w:color="auto"/>
        <w:bottom w:val="none" w:sz="0" w:space="0" w:color="auto"/>
        <w:right w:val="none" w:sz="0" w:space="0" w:color="auto"/>
      </w:divBdr>
    </w:div>
    <w:div w:id="1357005371">
      <w:bodyDiv w:val="1"/>
      <w:marLeft w:val="0"/>
      <w:marRight w:val="0"/>
      <w:marTop w:val="0"/>
      <w:marBottom w:val="0"/>
      <w:divBdr>
        <w:top w:val="none" w:sz="0" w:space="0" w:color="auto"/>
        <w:left w:val="none" w:sz="0" w:space="0" w:color="auto"/>
        <w:bottom w:val="none" w:sz="0" w:space="0" w:color="auto"/>
        <w:right w:val="none" w:sz="0" w:space="0" w:color="auto"/>
      </w:divBdr>
    </w:div>
    <w:div w:id="1358701700">
      <w:bodyDiv w:val="1"/>
      <w:marLeft w:val="0"/>
      <w:marRight w:val="0"/>
      <w:marTop w:val="0"/>
      <w:marBottom w:val="0"/>
      <w:divBdr>
        <w:top w:val="none" w:sz="0" w:space="0" w:color="auto"/>
        <w:left w:val="none" w:sz="0" w:space="0" w:color="auto"/>
        <w:bottom w:val="none" w:sz="0" w:space="0" w:color="auto"/>
        <w:right w:val="none" w:sz="0" w:space="0" w:color="auto"/>
      </w:divBdr>
    </w:div>
    <w:div w:id="1360349440">
      <w:bodyDiv w:val="1"/>
      <w:marLeft w:val="0"/>
      <w:marRight w:val="0"/>
      <w:marTop w:val="0"/>
      <w:marBottom w:val="0"/>
      <w:divBdr>
        <w:top w:val="none" w:sz="0" w:space="0" w:color="auto"/>
        <w:left w:val="none" w:sz="0" w:space="0" w:color="auto"/>
        <w:bottom w:val="none" w:sz="0" w:space="0" w:color="auto"/>
        <w:right w:val="none" w:sz="0" w:space="0" w:color="auto"/>
      </w:divBdr>
    </w:div>
    <w:div w:id="1361124124">
      <w:bodyDiv w:val="1"/>
      <w:marLeft w:val="0"/>
      <w:marRight w:val="0"/>
      <w:marTop w:val="0"/>
      <w:marBottom w:val="0"/>
      <w:divBdr>
        <w:top w:val="none" w:sz="0" w:space="0" w:color="auto"/>
        <w:left w:val="none" w:sz="0" w:space="0" w:color="auto"/>
        <w:bottom w:val="none" w:sz="0" w:space="0" w:color="auto"/>
        <w:right w:val="none" w:sz="0" w:space="0" w:color="auto"/>
      </w:divBdr>
    </w:div>
    <w:div w:id="1362240986">
      <w:bodyDiv w:val="1"/>
      <w:marLeft w:val="0"/>
      <w:marRight w:val="0"/>
      <w:marTop w:val="0"/>
      <w:marBottom w:val="0"/>
      <w:divBdr>
        <w:top w:val="none" w:sz="0" w:space="0" w:color="auto"/>
        <w:left w:val="none" w:sz="0" w:space="0" w:color="auto"/>
        <w:bottom w:val="none" w:sz="0" w:space="0" w:color="auto"/>
        <w:right w:val="none" w:sz="0" w:space="0" w:color="auto"/>
      </w:divBdr>
    </w:div>
    <w:div w:id="1362365647">
      <w:bodyDiv w:val="1"/>
      <w:marLeft w:val="0"/>
      <w:marRight w:val="0"/>
      <w:marTop w:val="0"/>
      <w:marBottom w:val="0"/>
      <w:divBdr>
        <w:top w:val="none" w:sz="0" w:space="0" w:color="auto"/>
        <w:left w:val="none" w:sz="0" w:space="0" w:color="auto"/>
        <w:bottom w:val="none" w:sz="0" w:space="0" w:color="auto"/>
        <w:right w:val="none" w:sz="0" w:space="0" w:color="auto"/>
      </w:divBdr>
    </w:div>
    <w:div w:id="1364017574">
      <w:bodyDiv w:val="1"/>
      <w:marLeft w:val="0"/>
      <w:marRight w:val="0"/>
      <w:marTop w:val="0"/>
      <w:marBottom w:val="0"/>
      <w:divBdr>
        <w:top w:val="none" w:sz="0" w:space="0" w:color="auto"/>
        <w:left w:val="none" w:sz="0" w:space="0" w:color="auto"/>
        <w:bottom w:val="none" w:sz="0" w:space="0" w:color="auto"/>
        <w:right w:val="none" w:sz="0" w:space="0" w:color="auto"/>
      </w:divBdr>
    </w:div>
    <w:div w:id="136440335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015886">
      <w:bodyDiv w:val="1"/>
      <w:marLeft w:val="0"/>
      <w:marRight w:val="0"/>
      <w:marTop w:val="0"/>
      <w:marBottom w:val="0"/>
      <w:divBdr>
        <w:top w:val="none" w:sz="0" w:space="0" w:color="auto"/>
        <w:left w:val="none" w:sz="0" w:space="0" w:color="auto"/>
        <w:bottom w:val="none" w:sz="0" w:space="0" w:color="auto"/>
        <w:right w:val="none" w:sz="0" w:space="0" w:color="auto"/>
      </w:divBdr>
    </w:div>
    <w:div w:id="1365910308">
      <w:bodyDiv w:val="1"/>
      <w:marLeft w:val="0"/>
      <w:marRight w:val="0"/>
      <w:marTop w:val="0"/>
      <w:marBottom w:val="0"/>
      <w:divBdr>
        <w:top w:val="none" w:sz="0" w:space="0" w:color="auto"/>
        <w:left w:val="none" w:sz="0" w:space="0" w:color="auto"/>
        <w:bottom w:val="none" w:sz="0" w:space="0" w:color="auto"/>
        <w:right w:val="none" w:sz="0" w:space="0" w:color="auto"/>
      </w:divBdr>
    </w:div>
    <w:div w:id="1366054486">
      <w:bodyDiv w:val="1"/>
      <w:marLeft w:val="0"/>
      <w:marRight w:val="0"/>
      <w:marTop w:val="0"/>
      <w:marBottom w:val="0"/>
      <w:divBdr>
        <w:top w:val="none" w:sz="0" w:space="0" w:color="auto"/>
        <w:left w:val="none" w:sz="0" w:space="0" w:color="auto"/>
        <w:bottom w:val="none" w:sz="0" w:space="0" w:color="auto"/>
        <w:right w:val="none" w:sz="0" w:space="0" w:color="auto"/>
      </w:divBdr>
    </w:div>
    <w:div w:id="1369646448">
      <w:bodyDiv w:val="1"/>
      <w:marLeft w:val="0"/>
      <w:marRight w:val="0"/>
      <w:marTop w:val="0"/>
      <w:marBottom w:val="0"/>
      <w:divBdr>
        <w:top w:val="none" w:sz="0" w:space="0" w:color="auto"/>
        <w:left w:val="none" w:sz="0" w:space="0" w:color="auto"/>
        <w:bottom w:val="none" w:sz="0" w:space="0" w:color="auto"/>
        <w:right w:val="none" w:sz="0" w:space="0" w:color="auto"/>
      </w:divBdr>
    </w:div>
    <w:div w:id="1371373207">
      <w:bodyDiv w:val="1"/>
      <w:marLeft w:val="0"/>
      <w:marRight w:val="0"/>
      <w:marTop w:val="0"/>
      <w:marBottom w:val="0"/>
      <w:divBdr>
        <w:top w:val="none" w:sz="0" w:space="0" w:color="auto"/>
        <w:left w:val="none" w:sz="0" w:space="0" w:color="auto"/>
        <w:bottom w:val="none" w:sz="0" w:space="0" w:color="auto"/>
        <w:right w:val="none" w:sz="0" w:space="0" w:color="auto"/>
      </w:divBdr>
    </w:div>
    <w:div w:id="1371764581">
      <w:bodyDiv w:val="1"/>
      <w:marLeft w:val="0"/>
      <w:marRight w:val="0"/>
      <w:marTop w:val="0"/>
      <w:marBottom w:val="0"/>
      <w:divBdr>
        <w:top w:val="none" w:sz="0" w:space="0" w:color="auto"/>
        <w:left w:val="none" w:sz="0" w:space="0" w:color="auto"/>
        <w:bottom w:val="none" w:sz="0" w:space="0" w:color="auto"/>
        <w:right w:val="none" w:sz="0" w:space="0" w:color="auto"/>
      </w:divBdr>
    </w:div>
    <w:div w:id="1371875796">
      <w:bodyDiv w:val="1"/>
      <w:marLeft w:val="0"/>
      <w:marRight w:val="0"/>
      <w:marTop w:val="0"/>
      <w:marBottom w:val="0"/>
      <w:divBdr>
        <w:top w:val="none" w:sz="0" w:space="0" w:color="auto"/>
        <w:left w:val="none" w:sz="0" w:space="0" w:color="auto"/>
        <w:bottom w:val="none" w:sz="0" w:space="0" w:color="auto"/>
        <w:right w:val="none" w:sz="0" w:space="0" w:color="auto"/>
      </w:divBdr>
    </w:div>
    <w:div w:id="1372925542">
      <w:bodyDiv w:val="1"/>
      <w:marLeft w:val="0"/>
      <w:marRight w:val="0"/>
      <w:marTop w:val="0"/>
      <w:marBottom w:val="0"/>
      <w:divBdr>
        <w:top w:val="none" w:sz="0" w:space="0" w:color="auto"/>
        <w:left w:val="none" w:sz="0" w:space="0" w:color="auto"/>
        <w:bottom w:val="none" w:sz="0" w:space="0" w:color="auto"/>
        <w:right w:val="none" w:sz="0" w:space="0" w:color="auto"/>
      </w:divBdr>
    </w:div>
    <w:div w:id="1375698291">
      <w:bodyDiv w:val="1"/>
      <w:marLeft w:val="0"/>
      <w:marRight w:val="0"/>
      <w:marTop w:val="0"/>
      <w:marBottom w:val="0"/>
      <w:divBdr>
        <w:top w:val="none" w:sz="0" w:space="0" w:color="auto"/>
        <w:left w:val="none" w:sz="0" w:space="0" w:color="auto"/>
        <w:bottom w:val="none" w:sz="0" w:space="0" w:color="auto"/>
        <w:right w:val="none" w:sz="0" w:space="0" w:color="auto"/>
      </w:divBdr>
    </w:div>
    <w:div w:id="1376656006">
      <w:bodyDiv w:val="1"/>
      <w:marLeft w:val="0"/>
      <w:marRight w:val="0"/>
      <w:marTop w:val="0"/>
      <w:marBottom w:val="0"/>
      <w:divBdr>
        <w:top w:val="none" w:sz="0" w:space="0" w:color="auto"/>
        <w:left w:val="none" w:sz="0" w:space="0" w:color="auto"/>
        <w:bottom w:val="none" w:sz="0" w:space="0" w:color="auto"/>
        <w:right w:val="none" w:sz="0" w:space="0" w:color="auto"/>
      </w:divBdr>
    </w:div>
    <w:div w:id="1377004491">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9088619">
      <w:bodyDiv w:val="1"/>
      <w:marLeft w:val="0"/>
      <w:marRight w:val="0"/>
      <w:marTop w:val="0"/>
      <w:marBottom w:val="0"/>
      <w:divBdr>
        <w:top w:val="none" w:sz="0" w:space="0" w:color="auto"/>
        <w:left w:val="none" w:sz="0" w:space="0" w:color="auto"/>
        <w:bottom w:val="none" w:sz="0" w:space="0" w:color="auto"/>
        <w:right w:val="none" w:sz="0" w:space="0" w:color="auto"/>
      </w:divBdr>
    </w:div>
    <w:div w:id="1379475308">
      <w:bodyDiv w:val="1"/>
      <w:marLeft w:val="0"/>
      <w:marRight w:val="0"/>
      <w:marTop w:val="0"/>
      <w:marBottom w:val="0"/>
      <w:divBdr>
        <w:top w:val="none" w:sz="0" w:space="0" w:color="auto"/>
        <w:left w:val="none" w:sz="0" w:space="0" w:color="auto"/>
        <w:bottom w:val="none" w:sz="0" w:space="0" w:color="auto"/>
        <w:right w:val="none" w:sz="0" w:space="0" w:color="auto"/>
      </w:divBdr>
    </w:div>
    <w:div w:id="1380668600">
      <w:bodyDiv w:val="1"/>
      <w:marLeft w:val="0"/>
      <w:marRight w:val="0"/>
      <w:marTop w:val="0"/>
      <w:marBottom w:val="0"/>
      <w:divBdr>
        <w:top w:val="none" w:sz="0" w:space="0" w:color="auto"/>
        <w:left w:val="none" w:sz="0" w:space="0" w:color="auto"/>
        <w:bottom w:val="none" w:sz="0" w:space="0" w:color="auto"/>
        <w:right w:val="none" w:sz="0" w:space="0" w:color="auto"/>
      </w:divBdr>
    </w:div>
    <w:div w:id="1380864467">
      <w:bodyDiv w:val="1"/>
      <w:marLeft w:val="0"/>
      <w:marRight w:val="0"/>
      <w:marTop w:val="0"/>
      <w:marBottom w:val="0"/>
      <w:divBdr>
        <w:top w:val="none" w:sz="0" w:space="0" w:color="auto"/>
        <w:left w:val="none" w:sz="0" w:space="0" w:color="auto"/>
        <w:bottom w:val="none" w:sz="0" w:space="0" w:color="auto"/>
        <w:right w:val="none" w:sz="0" w:space="0" w:color="auto"/>
      </w:divBdr>
    </w:div>
    <w:div w:id="1381128602">
      <w:bodyDiv w:val="1"/>
      <w:marLeft w:val="0"/>
      <w:marRight w:val="0"/>
      <w:marTop w:val="0"/>
      <w:marBottom w:val="0"/>
      <w:divBdr>
        <w:top w:val="none" w:sz="0" w:space="0" w:color="auto"/>
        <w:left w:val="none" w:sz="0" w:space="0" w:color="auto"/>
        <w:bottom w:val="none" w:sz="0" w:space="0" w:color="auto"/>
        <w:right w:val="none" w:sz="0" w:space="0" w:color="auto"/>
      </w:divBdr>
    </w:div>
    <w:div w:id="1381242638">
      <w:bodyDiv w:val="1"/>
      <w:marLeft w:val="0"/>
      <w:marRight w:val="0"/>
      <w:marTop w:val="0"/>
      <w:marBottom w:val="0"/>
      <w:divBdr>
        <w:top w:val="none" w:sz="0" w:space="0" w:color="auto"/>
        <w:left w:val="none" w:sz="0" w:space="0" w:color="auto"/>
        <w:bottom w:val="none" w:sz="0" w:space="0" w:color="auto"/>
        <w:right w:val="none" w:sz="0" w:space="0" w:color="auto"/>
      </w:divBdr>
    </w:div>
    <w:div w:id="1381321490">
      <w:bodyDiv w:val="1"/>
      <w:marLeft w:val="0"/>
      <w:marRight w:val="0"/>
      <w:marTop w:val="0"/>
      <w:marBottom w:val="0"/>
      <w:divBdr>
        <w:top w:val="none" w:sz="0" w:space="0" w:color="auto"/>
        <w:left w:val="none" w:sz="0" w:space="0" w:color="auto"/>
        <w:bottom w:val="none" w:sz="0" w:space="0" w:color="auto"/>
        <w:right w:val="none" w:sz="0" w:space="0" w:color="auto"/>
      </w:divBdr>
    </w:div>
    <w:div w:id="1382629313">
      <w:bodyDiv w:val="1"/>
      <w:marLeft w:val="0"/>
      <w:marRight w:val="0"/>
      <w:marTop w:val="0"/>
      <w:marBottom w:val="0"/>
      <w:divBdr>
        <w:top w:val="none" w:sz="0" w:space="0" w:color="auto"/>
        <w:left w:val="none" w:sz="0" w:space="0" w:color="auto"/>
        <w:bottom w:val="none" w:sz="0" w:space="0" w:color="auto"/>
        <w:right w:val="none" w:sz="0" w:space="0" w:color="auto"/>
      </w:divBdr>
    </w:div>
    <w:div w:id="1383165324">
      <w:bodyDiv w:val="1"/>
      <w:marLeft w:val="0"/>
      <w:marRight w:val="0"/>
      <w:marTop w:val="0"/>
      <w:marBottom w:val="0"/>
      <w:divBdr>
        <w:top w:val="none" w:sz="0" w:space="0" w:color="auto"/>
        <w:left w:val="none" w:sz="0" w:space="0" w:color="auto"/>
        <w:bottom w:val="none" w:sz="0" w:space="0" w:color="auto"/>
        <w:right w:val="none" w:sz="0" w:space="0" w:color="auto"/>
      </w:divBdr>
    </w:div>
    <w:div w:id="1383481551">
      <w:bodyDiv w:val="1"/>
      <w:marLeft w:val="0"/>
      <w:marRight w:val="0"/>
      <w:marTop w:val="0"/>
      <w:marBottom w:val="0"/>
      <w:divBdr>
        <w:top w:val="none" w:sz="0" w:space="0" w:color="auto"/>
        <w:left w:val="none" w:sz="0" w:space="0" w:color="auto"/>
        <w:bottom w:val="none" w:sz="0" w:space="0" w:color="auto"/>
        <w:right w:val="none" w:sz="0" w:space="0" w:color="auto"/>
      </w:divBdr>
    </w:div>
    <w:div w:id="1387415248">
      <w:bodyDiv w:val="1"/>
      <w:marLeft w:val="0"/>
      <w:marRight w:val="0"/>
      <w:marTop w:val="0"/>
      <w:marBottom w:val="0"/>
      <w:divBdr>
        <w:top w:val="none" w:sz="0" w:space="0" w:color="auto"/>
        <w:left w:val="none" w:sz="0" w:space="0" w:color="auto"/>
        <w:bottom w:val="none" w:sz="0" w:space="0" w:color="auto"/>
        <w:right w:val="none" w:sz="0" w:space="0" w:color="auto"/>
      </w:divBdr>
    </w:div>
    <w:div w:id="1389035767">
      <w:bodyDiv w:val="1"/>
      <w:marLeft w:val="0"/>
      <w:marRight w:val="0"/>
      <w:marTop w:val="0"/>
      <w:marBottom w:val="0"/>
      <w:divBdr>
        <w:top w:val="none" w:sz="0" w:space="0" w:color="auto"/>
        <w:left w:val="none" w:sz="0" w:space="0" w:color="auto"/>
        <w:bottom w:val="none" w:sz="0" w:space="0" w:color="auto"/>
        <w:right w:val="none" w:sz="0" w:space="0" w:color="auto"/>
      </w:divBdr>
    </w:div>
    <w:div w:id="1390765971">
      <w:bodyDiv w:val="1"/>
      <w:marLeft w:val="0"/>
      <w:marRight w:val="0"/>
      <w:marTop w:val="0"/>
      <w:marBottom w:val="0"/>
      <w:divBdr>
        <w:top w:val="none" w:sz="0" w:space="0" w:color="auto"/>
        <w:left w:val="none" w:sz="0" w:space="0" w:color="auto"/>
        <w:bottom w:val="none" w:sz="0" w:space="0" w:color="auto"/>
        <w:right w:val="none" w:sz="0" w:space="0" w:color="auto"/>
      </w:divBdr>
    </w:div>
    <w:div w:id="139188092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7624627">
      <w:bodyDiv w:val="1"/>
      <w:marLeft w:val="0"/>
      <w:marRight w:val="0"/>
      <w:marTop w:val="0"/>
      <w:marBottom w:val="0"/>
      <w:divBdr>
        <w:top w:val="none" w:sz="0" w:space="0" w:color="auto"/>
        <w:left w:val="none" w:sz="0" w:space="0" w:color="auto"/>
        <w:bottom w:val="none" w:sz="0" w:space="0" w:color="auto"/>
        <w:right w:val="none" w:sz="0" w:space="0" w:color="auto"/>
      </w:divBdr>
    </w:div>
    <w:div w:id="1398477608">
      <w:bodyDiv w:val="1"/>
      <w:marLeft w:val="0"/>
      <w:marRight w:val="0"/>
      <w:marTop w:val="0"/>
      <w:marBottom w:val="0"/>
      <w:divBdr>
        <w:top w:val="none" w:sz="0" w:space="0" w:color="auto"/>
        <w:left w:val="none" w:sz="0" w:space="0" w:color="auto"/>
        <w:bottom w:val="none" w:sz="0" w:space="0" w:color="auto"/>
        <w:right w:val="none" w:sz="0" w:space="0" w:color="auto"/>
      </w:divBdr>
    </w:div>
    <w:div w:id="1399283330">
      <w:bodyDiv w:val="1"/>
      <w:marLeft w:val="0"/>
      <w:marRight w:val="0"/>
      <w:marTop w:val="0"/>
      <w:marBottom w:val="0"/>
      <w:divBdr>
        <w:top w:val="none" w:sz="0" w:space="0" w:color="auto"/>
        <w:left w:val="none" w:sz="0" w:space="0" w:color="auto"/>
        <w:bottom w:val="none" w:sz="0" w:space="0" w:color="auto"/>
        <w:right w:val="none" w:sz="0" w:space="0" w:color="auto"/>
      </w:divBdr>
    </w:div>
    <w:div w:id="1399939158">
      <w:bodyDiv w:val="1"/>
      <w:marLeft w:val="0"/>
      <w:marRight w:val="0"/>
      <w:marTop w:val="0"/>
      <w:marBottom w:val="0"/>
      <w:divBdr>
        <w:top w:val="none" w:sz="0" w:space="0" w:color="auto"/>
        <w:left w:val="none" w:sz="0" w:space="0" w:color="auto"/>
        <w:bottom w:val="none" w:sz="0" w:space="0" w:color="auto"/>
        <w:right w:val="none" w:sz="0" w:space="0" w:color="auto"/>
      </w:divBdr>
    </w:div>
    <w:div w:id="1401516527">
      <w:bodyDiv w:val="1"/>
      <w:marLeft w:val="0"/>
      <w:marRight w:val="0"/>
      <w:marTop w:val="0"/>
      <w:marBottom w:val="0"/>
      <w:divBdr>
        <w:top w:val="none" w:sz="0" w:space="0" w:color="auto"/>
        <w:left w:val="none" w:sz="0" w:space="0" w:color="auto"/>
        <w:bottom w:val="none" w:sz="0" w:space="0" w:color="auto"/>
        <w:right w:val="none" w:sz="0" w:space="0" w:color="auto"/>
      </w:divBdr>
    </w:div>
    <w:div w:id="1402286590">
      <w:bodyDiv w:val="1"/>
      <w:marLeft w:val="0"/>
      <w:marRight w:val="0"/>
      <w:marTop w:val="0"/>
      <w:marBottom w:val="0"/>
      <w:divBdr>
        <w:top w:val="none" w:sz="0" w:space="0" w:color="auto"/>
        <w:left w:val="none" w:sz="0" w:space="0" w:color="auto"/>
        <w:bottom w:val="none" w:sz="0" w:space="0" w:color="auto"/>
        <w:right w:val="none" w:sz="0" w:space="0" w:color="auto"/>
      </w:divBdr>
    </w:div>
    <w:div w:id="1402291485">
      <w:bodyDiv w:val="1"/>
      <w:marLeft w:val="0"/>
      <w:marRight w:val="0"/>
      <w:marTop w:val="0"/>
      <w:marBottom w:val="0"/>
      <w:divBdr>
        <w:top w:val="none" w:sz="0" w:space="0" w:color="auto"/>
        <w:left w:val="none" w:sz="0" w:space="0" w:color="auto"/>
        <w:bottom w:val="none" w:sz="0" w:space="0" w:color="auto"/>
        <w:right w:val="none" w:sz="0" w:space="0" w:color="auto"/>
      </w:divBdr>
    </w:div>
    <w:div w:id="1402562074">
      <w:bodyDiv w:val="1"/>
      <w:marLeft w:val="0"/>
      <w:marRight w:val="0"/>
      <w:marTop w:val="0"/>
      <w:marBottom w:val="0"/>
      <w:divBdr>
        <w:top w:val="none" w:sz="0" w:space="0" w:color="auto"/>
        <w:left w:val="none" w:sz="0" w:space="0" w:color="auto"/>
        <w:bottom w:val="none" w:sz="0" w:space="0" w:color="auto"/>
        <w:right w:val="none" w:sz="0" w:space="0" w:color="auto"/>
      </w:divBdr>
    </w:div>
    <w:div w:id="1406027728">
      <w:bodyDiv w:val="1"/>
      <w:marLeft w:val="0"/>
      <w:marRight w:val="0"/>
      <w:marTop w:val="0"/>
      <w:marBottom w:val="0"/>
      <w:divBdr>
        <w:top w:val="none" w:sz="0" w:space="0" w:color="auto"/>
        <w:left w:val="none" w:sz="0" w:space="0" w:color="auto"/>
        <w:bottom w:val="none" w:sz="0" w:space="0" w:color="auto"/>
        <w:right w:val="none" w:sz="0" w:space="0" w:color="auto"/>
      </w:divBdr>
    </w:div>
    <w:div w:id="1406298838">
      <w:bodyDiv w:val="1"/>
      <w:marLeft w:val="0"/>
      <w:marRight w:val="0"/>
      <w:marTop w:val="0"/>
      <w:marBottom w:val="0"/>
      <w:divBdr>
        <w:top w:val="none" w:sz="0" w:space="0" w:color="auto"/>
        <w:left w:val="none" w:sz="0" w:space="0" w:color="auto"/>
        <w:bottom w:val="none" w:sz="0" w:space="0" w:color="auto"/>
        <w:right w:val="none" w:sz="0" w:space="0" w:color="auto"/>
      </w:divBdr>
    </w:div>
    <w:div w:id="1406879558">
      <w:bodyDiv w:val="1"/>
      <w:marLeft w:val="0"/>
      <w:marRight w:val="0"/>
      <w:marTop w:val="0"/>
      <w:marBottom w:val="0"/>
      <w:divBdr>
        <w:top w:val="none" w:sz="0" w:space="0" w:color="auto"/>
        <w:left w:val="none" w:sz="0" w:space="0" w:color="auto"/>
        <w:bottom w:val="none" w:sz="0" w:space="0" w:color="auto"/>
        <w:right w:val="none" w:sz="0" w:space="0" w:color="auto"/>
      </w:divBdr>
    </w:div>
    <w:div w:id="1407455084">
      <w:bodyDiv w:val="1"/>
      <w:marLeft w:val="0"/>
      <w:marRight w:val="0"/>
      <w:marTop w:val="0"/>
      <w:marBottom w:val="0"/>
      <w:divBdr>
        <w:top w:val="none" w:sz="0" w:space="0" w:color="auto"/>
        <w:left w:val="none" w:sz="0" w:space="0" w:color="auto"/>
        <w:bottom w:val="none" w:sz="0" w:space="0" w:color="auto"/>
        <w:right w:val="none" w:sz="0" w:space="0" w:color="auto"/>
      </w:divBdr>
    </w:div>
    <w:div w:id="1408072788">
      <w:bodyDiv w:val="1"/>
      <w:marLeft w:val="0"/>
      <w:marRight w:val="0"/>
      <w:marTop w:val="0"/>
      <w:marBottom w:val="0"/>
      <w:divBdr>
        <w:top w:val="none" w:sz="0" w:space="0" w:color="auto"/>
        <w:left w:val="none" w:sz="0" w:space="0" w:color="auto"/>
        <w:bottom w:val="none" w:sz="0" w:space="0" w:color="auto"/>
        <w:right w:val="none" w:sz="0" w:space="0" w:color="auto"/>
      </w:divBdr>
    </w:div>
    <w:div w:id="1409229005">
      <w:bodyDiv w:val="1"/>
      <w:marLeft w:val="0"/>
      <w:marRight w:val="0"/>
      <w:marTop w:val="0"/>
      <w:marBottom w:val="0"/>
      <w:divBdr>
        <w:top w:val="none" w:sz="0" w:space="0" w:color="auto"/>
        <w:left w:val="none" w:sz="0" w:space="0" w:color="auto"/>
        <w:bottom w:val="none" w:sz="0" w:space="0" w:color="auto"/>
        <w:right w:val="none" w:sz="0" w:space="0" w:color="auto"/>
      </w:divBdr>
    </w:div>
    <w:div w:id="1409309099">
      <w:bodyDiv w:val="1"/>
      <w:marLeft w:val="0"/>
      <w:marRight w:val="0"/>
      <w:marTop w:val="0"/>
      <w:marBottom w:val="0"/>
      <w:divBdr>
        <w:top w:val="none" w:sz="0" w:space="0" w:color="auto"/>
        <w:left w:val="none" w:sz="0" w:space="0" w:color="auto"/>
        <w:bottom w:val="none" w:sz="0" w:space="0" w:color="auto"/>
        <w:right w:val="none" w:sz="0" w:space="0" w:color="auto"/>
      </w:divBdr>
    </w:div>
    <w:div w:id="1409880456">
      <w:bodyDiv w:val="1"/>
      <w:marLeft w:val="0"/>
      <w:marRight w:val="0"/>
      <w:marTop w:val="0"/>
      <w:marBottom w:val="0"/>
      <w:divBdr>
        <w:top w:val="none" w:sz="0" w:space="0" w:color="auto"/>
        <w:left w:val="none" w:sz="0" w:space="0" w:color="auto"/>
        <w:bottom w:val="none" w:sz="0" w:space="0" w:color="auto"/>
        <w:right w:val="none" w:sz="0" w:space="0" w:color="auto"/>
      </w:divBdr>
    </w:div>
    <w:div w:id="1410537075">
      <w:bodyDiv w:val="1"/>
      <w:marLeft w:val="0"/>
      <w:marRight w:val="0"/>
      <w:marTop w:val="0"/>
      <w:marBottom w:val="0"/>
      <w:divBdr>
        <w:top w:val="none" w:sz="0" w:space="0" w:color="auto"/>
        <w:left w:val="none" w:sz="0" w:space="0" w:color="auto"/>
        <w:bottom w:val="none" w:sz="0" w:space="0" w:color="auto"/>
        <w:right w:val="none" w:sz="0" w:space="0" w:color="auto"/>
      </w:divBdr>
    </w:div>
    <w:div w:id="1413236699">
      <w:bodyDiv w:val="1"/>
      <w:marLeft w:val="0"/>
      <w:marRight w:val="0"/>
      <w:marTop w:val="0"/>
      <w:marBottom w:val="0"/>
      <w:divBdr>
        <w:top w:val="none" w:sz="0" w:space="0" w:color="auto"/>
        <w:left w:val="none" w:sz="0" w:space="0" w:color="auto"/>
        <w:bottom w:val="none" w:sz="0" w:space="0" w:color="auto"/>
        <w:right w:val="none" w:sz="0" w:space="0" w:color="auto"/>
      </w:divBdr>
    </w:div>
    <w:div w:id="1414081210">
      <w:bodyDiv w:val="1"/>
      <w:marLeft w:val="0"/>
      <w:marRight w:val="0"/>
      <w:marTop w:val="0"/>
      <w:marBottom w:val="0"/>
      <w:divBdr>
        <w:top w:val="none" w:sz="0" w:space="0" w:color="auto"/>
        <w:left w:val="none" w:sz="0" w:space="0" w:color="auto"/>
        <w:bottom w:val="none" w:sz="0" w:space="0" w:color="auto"/>
        <w:right w:val="none" w:sz="0" w:space="0" w:color="auto"/>
      </w:divBdr>
    </w:div>
    <w:div w:id="1414206363">
      <w:bodyDiv w:val="1"/>
      <w:marLeft w:val="0"/>
      <w:marRight w:val="0"/>
      <w:marTop w:val="0"/>
      <w:marBottom w:val="0"/>
      <w:divBdr>
        <w:top w:val="none" w:sz="0" w:space="0" w:color="auto"/>
        <w:left w:val="none" w:sz="0" w:space="0" w:color="auto"/>
        <w:bottom w:val="none" w:sz="0" w:space="0" w:color="auto"/>
        <w:right w:val="none" w:sz="0" w:space="0" w:color="auto"/>
      </w:divBdr>
    </w:div>
    <w:div w:id="1416173637">
      <w:bodyDiv w:val="1"/>
      <w:marLeft w:val="0"/>
      <w:marRight w:val="0"/>
      <w:marTop w:val="0"/>
      <w:marBottom w:val="0"/>
      <w:divBdr>
        <w:top w:val="none" w:sz="0" w:space="0" w:color="auto"/>
        <w:left w:val="none" w:sz="0" w:space="0" w:color="auto"/>
        <w:bottom w:val="none" w:sz="0" w:space="0" w:color="auto"/>
        <w:right w:val="none" w:sz="0" w:space="0" w:color="auto"/>
      </w:divBdr>
    </w:div>
    <w:div w:id="1417432612">
      <w:bodyDiv w:val="1"/>
      <w:marLeft w:val="0"/>
      <w:marRight w:val="0"/>
      <w:marTop w:val="0"/>
      <w:marBottom w:val="0"/>
      <w:divBdr>
        <w:top w:val="none" w:sz="0" w:space="0" w:color="auto"/>
        <w:left w:val="none" w:sz="0" w:space="0" w:color="auto"/>
        <w:bottom w:val="none" w:sz="0" w:space="0" w:color="auto"/>
        <w:right w:val="none" w:sz="0" w:space="0" w:color="auto"/>
      </w:divBdr>
    </w:div>
    <w:div w:id="1417701744">
      <w:bodyDiv w:val="1"/>
      <w:marLeft w:val="0"/>
      <w:marRight w:val="0"/>
      <w:marTop w:val="0"/>
      <w:marBottom w:val="0"/>
      <w:divBdr>
        <w:top w:val="none" w:sz="0" w:space="0" w:color="auto"/>
        <w:left w:val="none" w:sz="0" w:space="0" w:color="auto"/>
        <w:bottom w:val="none" w:sz="0" w:space="0" w:color="auto"/>
        <w:right w:val="none" w:sz="0" w:space="0" w:color="auto"/>
      </w:divBdr>
    </w:div>
    <w:div w:id="1419062269">
      <w:bodyDiv w:val="1"/>
      <w:marLeft w:val="0"/>
      <w:marRight w:val="0"/>
      <w:marTop w:val="0"/>
      <w:marBottom w:val="0"/>
      <w:divBdr>
        <w:top w:val="none" w:sz="0" w:space="0" w:color="auto"/>
        <w:left w:val="none" w:sz="0" w:space="0" w:color="auto"/>
        <w:bottom w:val="none" w:sz="0" w:space="0" w:color="auto"/>
        <w:right w:val="none" w:sz="0" w:space="0" w:color="auto"/>
      </w:divBdr>
    </w:div>
    <w:div w:id="1419135725">
      <w:bodyDiv w:val="1"/>
      <w:marLeft w:val="0"/>
      <w:marRight w:val="0"/>
      <w:marTop w:val="0"/>
      <w:marBottom w:val="0"/>
      <w:divBdr>
        <w:top w:val="none" w:sz="0" w:space="0" w:color="auto"/>
        <w:left w:val="none" w:sz="0" w:space="0" w:color="auto"/>
        <w:bottom w:val="none" w:sz="0" w:space="0" w:color="auto"/>
        <w:right w:val="none" w:sz="0" w:space="0" w:color="auto"/>
      </w:divBdr>
    </w:div>
    <w:div w:id="1419207345">
      <w:bodyDiv w:val="1"/>
      <w:marLeft w:val="0"/>
      <w:marRight w:val="0"/>
      <w:marTop w:val="0"/>
      <w:marBottom w:val="0"/>
      <w:divBdr>
        <w:top w:val="none" w:sz="0" w:space="0" w:color="auto"/>
        <w:left w:val="none" w:sz="0" w:space="0" w:color="auto"/>
        <w:bottom w:val="none" w:sz="0" w:space="0" w:color="auto"/>
        <w:right w:val="none" w:sz="0" w:space="0" w:color="auto"/>
      </w:divBdr>
    </w:div>
    <w:div w:id="1421177626">
      <w:bodyDiv w:val="1"/>
      <w:marLeft w:val="0"/>
      <w:marRight w:val="0"/>
      <w:marTop w:val="0"/>
      <w:marBottom w:val="0"/>
      <w:divBdr>
        <w:top w:val="none" w:sz="0" w:space="0" w:color="auto"/>
        <w:left w:val="none" w:sz="0" w:space="0" w:color="auto"/>
        <w:bottom w:val="none" w:sz="0" w:space="0" w:color="auto"/>
        <w:right w:val="none" w:sz="0" w:space="0" w:color="auto"/>
      </w:divBdr>
    </w:div>
    <w:div w:id="1421220822">
      <w:bodyDiv w:val="1"/>
      <w:marLeft w:val="0"/>
      <w:marRight w:val="0"/>
      <w:marTop w:val="0"/>
      <w:marBottom w:val="0"/>
      <w:divBdr>
        <w:top w:val="none" w:sz="0" w:space="0" w:color="auto"/>
        <w:left w:val="none" w:sz="0" w:space="0" w:color="auto"/>
        <w:bottom w:val="none" w:sz="0" w:space="0" w:color="auto"/>
        <w:right w:val="none" w:sz="0" w:space="0" w:color="auto"/>
      </w:divBdr>
    </w:div>
    <w:div w:id="1421947920">
      <w:bodyDiv w:val="1"/>
      <w:marLeft w:val="0"/>
      <w:marRight w:val="0"/>
      <w:marTop w:val="0"/>
      <w:marBottom w:val="0"/>
      <w:divBdr>
        <w:top w:val="none" w:sz="0" w:space="0" w:color="auto"/>
        <w:left w:val="none" w:sz="0" w:space="0" w:color="auto"/>
        <w:bottom w:val="none" w:sz="0" w:space="0" w:color="auto"/>
        <w:right w:val="none" w:sz="0" w:space="0" w:color="auto"/>
      </w:divBdr>
    </w:div>
    <w:div w:id="1423525325">
      <w:bodyDiv w:val="1"/>
      <w:marLeft w:val="0"/>
      <w:marRight w:val="0"/>
      <w:marTop w:val="0"/>
      <w:marBottom w:val="0"/>
      <w:divBdr>
        <w:top w:val="none" w:sz="0" w:space="0" w:color="auto"/>
        <w:left w:val="none" w:sz="0" w:space="0" w:color="auto"/>
        <w:bottom w:val="none" w:sz="0" w:space="0" w:color="auto"/>
        <w:right w:val="none" w:sz="0" w:space="0" w:color="auto"/>
      </w:divBdr>
    </w:div>
    <w:div w:id="1425565996">
      <w:bodyDiv w:val="1"/>
      <w:marLeft w:val="0"/>
      <w:marRight w:val="0"/>
      <w:marTop w:val="0"/>
      <w:marBottom w:val="0"/>
      <w:divBdr>
        <w:top w:val="none" w:sz="0" w:space="0" w:color="auto"/>
        <w:left w:val="none" w:sz="0" w:space="0" w:color="auto"/>
        <w:bottom w:val="none" w:sz="0" w:space="0" w:color="auto"/>
        <w:right w:val="none" w:sz="0" w:space="0" w:color="auto"/>
      </w:divBdr>
    </w:div>
    <w:div w:id="1428771678">
      <w:bodyDiv w:val="1"/>
      <w:marLeft w:val="0"/>
      <w:marRight w:val="0"/>
      <w:marTop w:val="0"/>
      <w:marBottom w:val="0"/>
      <w:divBdr>
        <w:top w:val="none" w:sz="0" w:space="0" w:color="auto"/>
        <w:left w:val="none" w:sz="0" w:space="0" w:color="auto"/>
        <w:bottom w:val="none" w:sz="0" w:space="0" w:color="auto"/>
        <w:right w:val="none" w:sz="0" w:space="0" w:color="auto"/>
      </w:divBdr>
    </w:div>
    <w:div w:id="1430270872">
      <w:bodyDiv w:val="1"/>
      <w:marLeft w:val="0"/>
      <w:marRight w:val="0"/>
      <w:marTop w:val="0"/>
      <w:marBottom w:val="0"/>
      <w:divBdr>
        <w:top w:val="none" w:sz="0" w:space="0" w:color="auto"/>
        <w:left w:val="none" w:sz="0" w:space="0" w:color="auto"/>
        <w:bottom w:val="none" w:sz="0" w:space="0" w:color="auto"/>
        <w:right w:val="none" w:sz="0" w:space="0" w:color="auto"/>
      </w:divBdr>
    </w:div>
    <w:div w:id="1431704151">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4008098">
      <w:bodyDiv w:val="1"/>
      <w:marLeft w:val="0"/>
      <w:marRight w:val="0"/>
      <w:marTop w:val="0"/>
      <w:marBottom w:val="0"/>
      <w:divBdr>
        <w:top w:val="none" w:sz="0" w:space="0" w:color="auto"/>
        <w:left w:val="none" w:sz="0" w:space="0" w:color="auto"/>
        <w:bottom w:val="none" w:sz="0" w:space="0" w:color="auto"/>
        <w:right w:val="none" w:sz="0" w:space="0" w:color="auto"/>
      </w:divBdr>
    </w:div>
    <w:div w:id="1434591078">
      <w:bodyDiv w:val="1"/>
      <w:marLeft w:val="0"/>
      <w:marRight w:val="0"/>
      <w:marTop w:val="0"/>
      <w:marBottom w:val="0"/>
      <w:divBdr>
        <w:top w:val="none" w:sz="0" w:space="0" w:color="auto"/>
        <w:left w:val="none" w:sz="0" w:space="0" w:color="auto"/>
        <w:bottom w:val="none" w:sz="0" w:space="0" w:color="auto"/>
        <w:right w:val="none" w:sz="0" w:space="0" w:color="auto"/>
      </w:divBdr>
    </w:div>
    <w:div w:id="1435200605">
      <w:bodyDiv w:val="1"/>
      <w:marLeft w:val="0"/>
      <w:marRight w:val="0"/>
      <w:marTop w:val="0"/>
      <w:marBottom w:val="0"/>
      <w:divBdr>
        <w:top w:val="none" w:sz="0" w:space="0" w:color="auto"/>
        <w:left w:val="none" w:sz="0" w:space="0" w:color="auto"/>
        <w:bottom w:val="none" w:sz="0" w:space="0" w:color="auto"/>
        <w:right w:val="none" w:sz="0" w:space="0" w:color="auto"/>
      </w:divBdr>
    </w:div>
    <w:div w:id="1436828728">
      <w:bodyDiv w:val="1"/>
      <w:marLeft w:val="0"/>
      <w:marRight w:val="0"/>
      <w:marTop w:val="0"/>
      <w:marBottom w:val="0"/>
      <w:divBdr>
        <w:top w:val="none" w:sz="0" w:space="0" w:color="auto"/>
        <w:left w:val="none" w:sz="0" w:space="0" w:color="auto"/>
        <w:bottom w:val="none" w:sz="0" w:space="0" w:color="auto"/>
        <w:right w:val="none" w:sz="0" w:space="0" w:color="auto"/>
      </w:divBdr>
    </w:div>
    <w:div w:id="1439443133">
      <w:bodyDiv w:val="1"/>
      <w:marLeft w:val="0"/>
      <w:marRight w:val="0"/>
      <w:marTop w:val="0"/>
      <w:marBottom w:val="0"/>
      <w:divBdr>
        <w:top w:val="none" w:sz="0" w:space="0" w:color="auto"/>
        <w:left w:val="none" w:sz="0" w:space="0" w:color="auto"/>
        <w:bottom w:val="none" w:sz="0" w:space="0" w:color="auto"/>
        <w:right w:val="none" w:sz="0" w:space="0" w:color="auto"/>
      </w:divBdr>
    </w:div>
    <w:div w:id="1440369750">
      <w:bodyDiv w:val="1"/>
      <w:marLeft w:val="0"/>
      <w:marRight w:val="0"/>
      <w:marTop w:val="0"/>
      <w:marBottom w:val="0"/>
      <w:divBdr>
        <w:top w:val="none" w:sz="0" w:space="0" w:color="auto"/>
        <w:left w:val="none" w:sz="0" w:space="0" w:color="auto"/>
        <w:bottom w:val="none" w:sz="0" w:space="0" w:color="auto"/>
        <w:right w:val="none" w:sz="0" w:space="0" w:color="auto"/>
      </w:divBdr>
    </w:div>
    <w:div w:id="1441297585">
      <w:bodyDiv w:val="1"/>
      <w:marLeft w:val="0"/>
      <w:marRight w:val="0"/>
      <w:marTop w:val="0"/>
      <w:marBottom w:val="0"/>
      <w:divBdr>
        <w:top w:val="none" w:sz="0" w:space="0" w:color="auto"/>
        <w:left w:val="none" w:sz="0" w:space="0" w:color="auto"/>
        <w:bottom w:val="none" w:sz="0" w:space="0" w:color="auto"/>
        <w:right w:val="none" w:sz="0" w:space="0" w:color="auto"/>
      </w:divBdr>
    </w:div>
    <w:div w:id="1441298176">
      <w:bodyDiv w:val="1"/>
      <w:marLeft w:val="0"/>
      <w:marRight w:val="0"/>
      <w:marTop w:val="0"/>
      <w:marBottom w:val="0"/>
      <w:divBdr>
        <w:top w:val="none" w:sz="0" w:space="0" w:color="auto"/>
        <w:left w:val="none" w:sz="0" w:space="0" w:color="auto"/>
        <w:bottom w:val="none" w:sz="0" w:space="0" w:color="auto"/>
        <w:right w:val="none" w:sz="0" w:space="0" w:color="auto"/>
      </w:divBdr>
    </w:div>
    <w:div w:id="1441952941">
      <w:bodyDiv w:val="1"/>
      <w:marLeft w:val="0"/>
      <w:marRight w:val="0"/>
      <w:marTop w:val="0"/>
      <w:marBottom w:val="0"/>
      <w:divBdr>
        <w:top w:val="none" w:sz="0" w:space="0" w:color="auto"/>
        <w:left w:val="none" w:sz="0" w:space="0" w:color="auto"/>
        <w:bottom w:val="none" w:sz="0" w:space="0" w:color="auto"/>
        <w:right w:val="none" w:sz="0" w:space="0" w:color="auto"/>
      </w:divBdr>
    </w:div>
    <w:div w:id="1442992710">
      <w:bodyDiv w:val="1"/>
      <w:marLeft w:val="0"/>
      <w:marRight w:val="0"/>
      <w:marTop w:val="0"/>
      <w:marBottom w:val="0"/>
      <w:divBdr>
        <w:top w:val="none" w:sz="0" w:space="0" w:color="auto"/>
        <w:left w:val="none" w:sz="0" w:space="0" w:color="auto"/>
        <w:bottom w:val="none" w:sz="0" w:space="0" w:color="auto"/>
        <w:right w:val="none" w:sz="0" w:space="0" w:color="auto"/>
      </w:divBdr>
    </w:div>
    <w:div w:id="1447583666">
      <w:bodyDiv w:val="1"/>
      <w:marLeft w:val="0"/>
      <w:marRight w:val="0"/>
      <w:marTop w:val="0"/>
      <w:marBottom w:val="0"/>
      <w:divBdr>
        <w:top w:val="none" w:sz="0" w:space="0" w:color="auto"/>
        <w:left w:val="none" w:sz="0" w:space="0" w:color="auto"/>
        <w:bottom w:val="none" w:sz="0" w:space="0" w:color="auto"/>
        <w:right w:val="none" w:sz="0" w:space="0" w:color="auto"/>
      </w:divBdr>
    </w:div>
    <w:div w:id="1447850963">
      <w:bodyDiv w:val="1"/>
      <w:marLeft w:val="0"/>
      <w:marRight w:val="0"/>
      <w:marTop w:val="0"/>
      <w:marBottom w:val="0"/>
      <w:divBdr>
        <w:top w:val="none" w:sz="0" w:space="0" w:color="auto"/>
        <w:left w:val="none" w:sz="0" w:space="0" w:color="auto"/>
        <w:bottom w:val="none" w:sz="0" w:space="0" w:color="auto"/>
        <w:right w:val="none" w:sz="0" w:space="0" w:color="auto"/>
      </w:divBdr>
    </w:div>
    <w:div w:id="1448739554">
      <w:bodyDiv w:val="1"/>
      <w:marLeft w:val="0"/>
      <w:marRight w:val="0"/>
      <w:marTop w:val="0"/>
      <w:marBottom w:val="0"/>
      <w:divBdr>
        <w:top w:val="none" w:sz="0" w:space="0" w:color="auto"/>
        <w:left w:val="none" w:sz="0" w:space="0" w:color="auto"/>
        <w:bottom w:val="none" w:sz="0" w:space="0" w:color="auto"/>
        <w:right w:val="none" w:sz="0" w:space="0" w:color="auto"/>
      </w:divBdr>
    </w:div>
    <w:div w:id="1448817998">
      <w:bodyDiv w:val="1"/>
      <w:marLeft w:val="0"/>
      <w:marRight w:val="0"/>
      <w:marTop w:val="0"/>
      <w:marBottom w:val="0"/>
      <w:divBdr>
        <w:top w:val="none" w:sz="0" w:space="0" w:color="auto"/>
        <w:left w:val="none" w:sz="0" w:space="0" w:color="auto"/>
        <w:bottom w:val="none" w:sz="0" w:space="0" w:color="auto"/>
        <w:right w:val="none" w:sz="0" w:space="0" w:color="auto"/>
      </w:divBdr>
    </w:div>
    <w:div w:id="1449010181">
      <w:bodyDiv w:val="1"/>
      <w:marLeft w:val="0"/>
      <w:marRight w:val="0"/>
      <w:marTop w:val="0"/>
      <w:marBottom w:val="0"/>
      <w:divBdr>
        <w:top w:val="none" w:sz="0" w:space="0" w:color="auto"/>
        <w:left w:val="none" w:sz="0" w:space="0" w:color="auto"/>
        <w:bottom w:val="none" w:sz="0" w:space="0" w:color="auto"/>
        <w:right w:val="none" w:sz="0" w:space="0" w:color="auto"/>
      </w:divBdr>
    </w:div>
    <w:div w:id="1449734125">
      <w:bodyDiv w:val="1"/>
      <w:marLeft w:val="0"/>
      <w:marRight w:val="0"/>
      <w:marTop w:val="0"/>
      <w:marBottom w:val="0"/>
      <w:divBdr>
        <w:top w:val="none" w:sz="0" w:space="0" w:color="auto"/>
        <w:left w:val="none" w:sz="0" w:space="0" w:color="auto"/>
        <w:bottom w:val="none" w:sz="0" w:space="0" w:color="auto"/>
        <w:right w:val="none" w:sz="0" w:space="0" w:color="auto"/>
      </w:divBdr>
    </w:div>
    <w:div w:id="1452169059">
      <w:bodyDiv w:val="1"/>
      <w:marLeft w:val="0"/>
      <w:marRight w:val="0"/>
      <w:marTop w:val="0"/>
      <w:marBottom w:val="0"/>
      <w:divBdr>
        <w:top w:val="none" w:sz="0" w:space="0" w:color="auto"/>
        <w:left w:val="none" w:sz="0" w:space="0" w:color="auto"/>
        <w:bottom w:val="none" w:sz="0" w:space="0" w:color="auto"/>
        <w:right w:val="none" w:sz="0" w:space="0" w:color="auto"/>
      </w:divBdr>
    </w:div>
    <w:div w:id="1453592991">
      <w:bodyDiv w:val="1"/>
      <w:marLeft w:val="0"/>
      <w:marRight w:val="0"/>
      <w:marTop w:val="0"/>
      <w:marBottom w:val="0"/>
      <w:divBdr>
        <w:top w:val="none" w:sz="0" w:space="0" w:color="auto"/>
        <w:left w:val="none" w:sz="0" w:space="0" w:color="auto"/>
        <w:bottom w:val="none" w:sz="0" w:space="0" w:color="auto"/>
        <w:right w:val="none" w:sz="0" w:space="0" w:color="auto"/>
      </w:divBdr>
    </w:div>
    <w:div w:id="1454594031">
      <w:bodyDiv w:val="1"/>
      <w:marLeft w:val="0"/>
      <w:marRight w:val="0"/>
      <w:marTop w:val="0"/>
      <w:marBottom w:val="0"/>
      <w:divBdr>
        <w:top w:val="none" w:sz="0" w:space="0" w:color="auto"/>
        <w:left w:val="none" w:sz="0" w:space="0" w:color="auto"/>
        <w:bottom w:val="none" w:sz="0" w:space="0" w:color="auto"/>
        <w:right w:val="none" w:sz="0" w:space="0" w:color="auto"/>
      </w:divBdr>
    </w:div>
    <w:div w:id="1454862628">
      <w:bodyDiv w:val="1"/>
      <w:marLeft w:val="0"/>
      <w:marRight w:val="0"/>
      <w:marTop w:val="0"/>
      <w:marBottom w:val="0"/>
      <w:divBdr>
        <w:top w:val="none" w:sz="0" w:space="0" w:color="auto"/>
        <w:left w:val="none" w:sz="0" w:space="0" w:color="auto"/>
        <w:bottom w:val="none" w:sz="0" w:space="0" w:color="auto"/>
        <w:right w:val="none" w:sz="0" w:space="0" w:color="auto"/>
      </w:divBdr>
    </w:div>
    <w:div w:id="1456605349">
      <w:bodyDiv w:val="1"/>
      <w:marLeft w:val="0"/>
      <w:marRight w:val="0"/>
      <w:marTop w:val="0"/>
      <w:marBottom w:val="0"/>
      <w:divBdr>
        <w:top w:val="none" w:sz="0" w:space="0" w:color="auto"/>
        <w:left w:val="none" w:sz="0" w:space="0" w:color="auto"/>
        <w:bottom w:val="none" w:sz="0" w:space="0" w:color="auto"/>
        <w:right w:val="none" w:sz="0" w:space="0" w:color="auto"/>
      </w:divBdr>
    </w:div>
    <w:div w:id="1457677682">
      <w:bodyDiv w:val="1"/>
      <w:marLeft w:val="0"/>
      <w:marRight w:val="0"/>
      <w:marTop w:val="0"/>
      <w:marBottom w:val="0"/>
      <w:divBdr>
        <w:top w:val="none" w:sz="0" w:space="0" w:color="auto"/>
        <w:left w:val="none" w:sz="0" w:space="0" w:color="auto"/>
        <w:bottom w:val="none" w:sz="0" w:space="0" w:color="auto"/>
        <w:right w:val="none" w:sz="0" w:space="0" w:color="auto"/>
      </w:divBdr>
    </w:div>
    <w:div w:id="1458719129">
      <w:bodyDiv w:val="1"/>
      <w:marLeft w:val="0"/>
      <w:marRight w:val="0"/>
      <w:marTop w:val="0"/>
      <w:marBottom w:val="0"/>
      <w:divBdr>
        <w:top w:val="none" w:sz="0" w:space="0" w:color="auto"/>
        <w:left w:val="none" w:sz="0" w:space="0" w:color="auto"/>
        <w:bottom w:val="none" w:sz="0" w:space="0" w:color="auto"/>
        <w:right w:val="none" w:sz="0" w:space="0" w:color="auto"/>
      </w:divBdr>
    </w:div>
    <w:div w:id="1459715451">
      <w:bodyDiv w:val="1"/>
      <w:marLeft w:val="0"/>
      <w:marRight w:val="0"/>
      <w:marTop w:val="0"/>
      <w:marBottom w:val="0"/>
      <w:divBdr>
        <w:top w:val="none" w:sz="0" w:space="0" w:color="auto"/>
        <w:left w:val="none" w:sz="0" w:space="0" w:color="auto"/>
        <w:bottom w:val="none" w:sz="0" w:space="0" w:color="auto"/>
        <w:right w:val="none" w:sz="0" w:space="0" w:color="auto"/>
      </w:divBdr>
    </w:div>
    <w:div w:id="1460342580">
      <w:bodyDiv w:val="1"/>
      <w:marLeft w:val="0"/>
      <w:marRight w:val="0"/>
      <w:marTop w:val="0"/>
      <w:marBottom w:val="0"/>
      <w:divBdr>
        <w:top w:val="none" w:sz="0" w:space="0" w:color="auto"/>
        <w:left w:val="none" w:sz="0" w:space="0" w:color="auto"/>
        <w:bottom w:val="none" w:sz="0" w:space="0" w:color="auto"/>
        <w:right w:val="none" w:sz="0" w:space="0" w:color="auto"/>
      </w:divBdr>
    </w:div>
    <w:div w:id="1460682474">
      <w:bodyDiv w:val="1"/>
      <w:marLeft w:val="0"/>
      <w:marRight w:val="0"/>
      <w:marTop w:val="0"/>
      <w:marBottom w:val="0"/>
      <w:divBdr>
        <w:top w:val="none" w:sz="0" w:space="0" w:color="auto"/>
        <w:left w:val="none" w:sz="0" w:space="0" w:color="auto"/>
        <w:bottom w:val="none" w:sz="0" w:space="0" w:color="auto"/>
        <w:right w:val="none" w:sz="0" w:space="0" w:color="auto"/>
      </w:divBdr>
    </w:div>
    <w:div w:id="1461070196">
      <w:bodyDiv w:val="1"/>
      <w:marLeft w:val="0"/>
      <w:marRight w:val="0"/>
      <w:marTop w:val="0"/>
      <w:marBottom w:val="0"/>
      <w:divBdr>
        <w:top w:val="none" w:sz="0" w:space="0" w:color="auto"/>
        <w:left w:val="none" w:sz="0" w:space="0" w:color="auto"/>
        <w:bottom w:val="none" w:sz="0" w:space="0" w:color="auto"/>
        <w:right w:val="none" w:sz="0" w:space="0" w:color="auto"/>
      </w:divBdr>
    </w:div>
    <w:div w:id="1461143125">
      <w:bodyDiv w:val="1"/>
      <w:marLeft w:val="0"/>
      <w:marRight w:val="0"/>
      <w:marTop w:val="0"/>
      <w:marBottom w:val="0"/>
      <w:divBdr>
        <w:top w:val="none" w:sz="0" w:space="0" w:color="auto"/>
        <w:left w:val="none" w:sz="0" w:space="0" w:color="auto"/>
        <w:bottom w:val="none" w:sz="0" w:space="0" w:color="auto"/>
        <w:right w:val="none" w:sz="0" w:space="0" w:color="auto"/>
      </w:divBdr>
    </w:div>
    <w:div w:id="1461417626">
      <w:bodyDiv w:val="1"/>
      <w:marLeft w:val="0"/>
      <w:marRight w:val="0"/>
      <w:marTop w:val="0"/>
      <w:marBottom w:val="0"/>
      <w:divBdr>
        <w:top w:val="none" w:sz="0" w:space="0" w:color="auto"/>
        <w:left w:val="none" w:sz="0" w:space="0" w:color="auto"/>
        <w:bottom w:val="none" w:sz="0" w:space="0" w:color="auto"/>
        <w:right w:val="none" w:sz="0" w:space="0" w:color="auto"/>
      </w:divBdr>
    </w:div>
    <w:div w:id="1462453320">
      <w:bodyDiv w:val="1"/>
      <w:marLeft w:val="0"/>
      <w:marRight w:val="0"/>
      <w:marTop w:val="0"/>
      <w:marBottom w:val="0"/>
      <w:divBdr>
        <w:top w:val="none" w:sz="0" w:space="0" w:color="auto"/>
        <w:left w:val="none" w:sz="0" w:space="0" w:color="auto"/>
        <w:bottom w:val="none" w:sz="0" w:space="0" w:color="auto"/>
        <w:right w:val="none" w:sz="0" w:space="0" w:color="auto"/>
      </w:divBdr>
    </w:div>
    <w:div w:id="1463886192">
      <w:bodyDiv w:val="1"/>
      <w:marLeft w:val="0"/>
      <w:marRight w:val="0"/>
      <w:marTop w:val="0"/>
      <w:marBottom w:val="0"/>
      <w:divBdr>
        <w:top w:val="none" w:sz="0" w:space="0" w:color="auto"/>
        <w:left w:val="none" w:sz="0" w:space="0" w:color="auto"/>
        <w:bottom w:val="none" w:sz="0" w:space="0" w:color="auto"/>
        <w:right w:val="none" w:sz="0" w:space="0" w:color="auto"/>
      </w:divBdr>
    </w:div>
    <w:div w:id="1466851113">
      <w:bodyDiv w:val="1"/>
      <w:marLeft w:val="0"/>
      <w:marRight w:val="0"/>
      <w:marTop w:val="0"/>
      <w:marBottom w:val="0"/>
      <w:divBdr>
        <w:top w:val="none" w:sz="0" w:space="0" w:color="auto"/>
        <w:left w:val="none" w:sz="0" w:space="0" w:color="auto"/>
        <w:bottom w:val="none" w:sz="0" w:space="0" w:color="auto"/>
        <w:right w:val="none" w:sz="0" w:space="0" w:color="auto"/>
      </w:divBdr>
    </w:div>
    <w:div w:id="1468813922">
      <w:bodyDiv w:val="1"/>
      <w:marLeft w:val="0"/>
      <w:marRight w:val="0"/>
      <w:marTop w:val="0"/>
      <w:marBottom w:val="0"/>
      <w:divBdr>
        <w:top w:val="none" w:sz="0" w:space="0" w:color="auto"/>
        <w:left w:val="none" w:sz="0" w:space="0" w:color="auto"/>
        <w:bottom w:val="none" w:sz="0" w:space="0" w:color="auto"/>
        <w:right w:val="none" w:sz="0" w:space="0" w:color="auto"/>
      </w:divBdr>
    </w:div>
    <w:div w:id="1469933111">
      <w:bodyDiv w:val="1"/>
      <w:marLeft w:val="0"/>
      <w:marRight w:val="0"/>
      <w:marTop w:val="0"/>
      <w:marBottom w:val="0"/>
      <w:divBdr>
        <w:top w:val="none" w:sz="0" w:space="0" w:color="auto"/>
        <w:left w:val="none" w:sz="0" w:space="0" w:color="auto"/>
        <w:bottom w:val="none" w:sz="0" w:space="0" w:color="auto"/>
        <w:right w:val="none" w:sz="0" w:space="0" w:color="auto"/>
      </w:divBdr>
    </w:div>
    <w:div w:id="1470321189">
      <w:bodyDiv w:val="1"/>
      <w:marLeft w:val="0"/>
      <w:marRight w:val="0"/>
      <w:marTop w:val="0"/>
      <w:marBottom w:val="0"/>
      <w:divBdr>
        <w:top w:val="none" w:sz="0" w:space="0" w:color="auto"/>
        <w:left w:val="none" w:sz="0" w:space="0" w:color="auto"/>
        <w:bottom w:val="none" w:sz="0" w:space="0" w:color="auto"/>
        <w:right w:val="none" w:sz="0" w:space="0" w:color="auto"/>
      </w:divBdr>
    </w:div>
    <w:div w:id="1472403470">
      <w:bodyDiv w:val="1"/>
      <w:marLeft w:val="0"/>
      <w:marRight w:val="0"/>
      <w:marTop w:val="0"/>
      <w:marBottom w:val="0"/>
      <w:divBdr>
        <w:top w:val="none" w:sz="0" w:space="0" w:color="auto"/>
        <w:left w:val="none" w:sz="0" w:space="0" w:color="auto"/>
        <w:bottom w:val="none" w:sz="0" w:space="0" w:color="auto"/>
        <w:right w:val="none" w:sz="0" w:space="0" w:color="auto"/>
      </w:divBdr>
    </w:div>
    <w:div w:id="1473252546">
      <w:bodyDiv w:val="1"/>
      <w:marLeft w:val="0"/>
      <w:marRight w:val="0"/>
      <w:marTop w:val="0"/>
      <w:marBottom w:val="0"/>
      <w:divBdr>
        <w:top w:val="none" w:sz="0" w:space="0" w:color="auto"/>
        <w:left w:val="none" w:sz="0" w:space="0" w:color="auto"/>
        <w:bottom w:val="none" w:sz="0" w:space="0" w:color="auto"/>
        <w:right w:val="none" w:sz="0" w:space="0" w:color="auto"/>
      </w:divBdr>
    </w:div>
    <w:div w:id="1474374818">
      <w:bodyDiv w:val="1"/>
      <w:marLeft w:val="0"/>
      <w:marRight w:val="0"/>
      <w:marTop w:val="0"/>
      <w:marBottom w:val="0"/>
      <w:divBdr>
        <w:top w:val="none" w:sz="0" w:space="0" w:color="auto"/>
        <w:left w:val="none" w:sz="0" w:space="0" w:color="auto"/>
        <w:bottom w:val="none" w:sz="0" w:space="0" w:color="auto"/>
        <w:right w:val="none" w:sz="0" w:space="0" w:color="auto"/>
      </w:divBdr>
    </w:div>
    <w:div w:id="1475415294">
      <w:bodyDiv w:val="1"/>
      <w:marLeft w:val="0"/>
      <w:marRight w:val="0"/>
      <w:marTop w:val="0"/>
      <w:marBottom w:val="0"/>
      <w:divBdr>
        <w:top w:val="none" w:sz="0" w:space="0" w:color="auto"/>
        <w:left w:val="none" w:sz="0" w:space="0" w:color="auto"/>
        <w:bottom w:val="none" w:sz="0" w:space="0" w:color="auto"/>
        <w:right w:val="none" w:sz="0" w:space="0" w:color="auto"/>
      </w:divBdr>
    </w:div>
    <w:div w:id="1478184212">
      <w:bodyDiv w:val="1"/>
      <w:marLeft w:val="0"/>
      <w:marRight w:val="0"/>
      <w:marTop w:val="0"/>
      <w:marBottom w:val="0"/>
      <w:divBdr>
        <w:top w:val="none" w:sz="0" w:space="0" w:color="auto"/>
        <w:left w:val="none" w:sz="0" w:space="0" w:color="auto"/>
        <w:bottom w:val="none" w:sz="0" w:space="0" w:color="auto"/>
        <w:right w:val="none" w:sz="0" w:space="0" w:color="auto"/>
      </w:divBdr>
    </w:div>
    <w:div w:id="1479105692">
      <w:bodyDiv w:val="1"/>
      <w:marLeft w:val="0"/>
      <w:marRight w:val="0"/>
      <w:marTop w:val="0"/>
      <w:marBottom w:val="0"/>
      <w:divBdr>
        <w:top w:val="none" w:sz="0" w:space="0" w:color="auto"/>
        <w:left w:val="none" w:sz="0" w:space="0" w:color="auto"/>
        <w:bottom w:val="none" w:sz="0" w:space="0" w:color="auto"/>
        <w:right w:val="none" w:sz="0" w:space="0" w:color="auto"/>
      </w:divBdr>
    </w:div>
    <w:div w:id="1479376709">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79613905">
      <w:bodyDiv w:val="1"/>
      <w:marLeft w:val="0"/>
      <w:marRight w:val="0"/>
      <w:marTop w:val="0"/>
      <w:marBottom w:val="0"/>
      <w:divBdr>
        <w:top w:val="none" w:sz="0" w:space="0" w:color="auto"/>
        <w:left w:val="none" w:sz="0" w:space="0" w:color="auto"/>
        <w:bottom w:val="none" w:sz="0" w:space="0" w:color="auto"/>
        <w:right w:val="none" w:sz="0" w:space="0" w:color="auto"/>
      </w:divBdr>
    </w:div>
    <w:div w:id="1481078544">
      <w:bodyDiv w:val="1"/>
      <w:marLeft w:val="0"/>
      <w:marRight w:val="0"/>
      <w:marTop w:val="0"/>
      <w:marBottom w:val="0"/>
      <w:divBdr>
        <w:top w:val="none" w:sz="0" w:space="0" w:color="auto"/>
        <w:left w:val="none" w:sz="0" w:space="0" w:color="auto"/>
        <w:bottom w:val="none" w:sz="0" w:space="0" w:color="auto"/>
        <w:right w:val="none" w:sz="0" w:space="0" w:color="auto"/>
      </w:divBdr>
    </w:div>
    <w:div w:id="1483035845">
      <w:bodyDiv w:val="1"/>
      <w:marLeft w:val="0"/>
      <w:marRight w:val="0"/>
      <w:marTop w:val="0"/>
      <w:marBottom w:val="0"/>
      <w:divBdr>
        <w:top w:val="none" w:sz="0" w:space="0" w:color="auto"/>
        <w:left w:val="none" w:sz="0" w:space="0" w:color="auto"/>
        <w:bottom w:val="none" w:sz="0" w:space="0" w:color="auto"/>
        <w:right w:val="none" w:sz="0" w:space="0" w:color="auto"/>
      </w:divBdr>
    </w:div>
    <w:div w:id="1484128936">
      <w:bodyDiv w:val="1"/>
      <w:marLeft w:val="0"/>
      <w:marRight w:val="0"/>
      <w:marTop w:val="0"/>
      <w:marBottom w:val="0"/>
      <w:divBdr>
        <w:top w:val="none" w:sz="0" w:space="0" w:color="auto"/>
        <w:left w:val="none" w:sz="0" w:space="0" w:color="auto"/>
        <w:bottom w:val="none" w:sz="0" w:space="0" w:color="auto"/>
        <w:right w:val="none" w:sz="0" w:space="0" w:color="auto"/>
      </w:divBdr>
    </w:div>
    <w:div w:id="1484815411">
      <w:bodyDiv w:val="1"/>
      <w:marLeft w:val="0"/>
      <w:marRight w:val="0"/>
      <w:marTop w:val="0"/>
      <w:marBottom w:val="0"/>
      <w:divBdr>
        <w:top w:val="none" w:sz="0" w:space="0" w:color="auto"/>
        <w:left w:val="none" w:sz="0" w:space="0" w:color="auto"/>
        <w:bottom w:val="none" w:sz="0" w:space="0" w:color="auto"/>
        <w:right w:val="none" w:sz="0" w:space="0" w:color="auto"/>
      </w:divBdr>
    </w:div>
    <w:div w:id="1487936523">
      <w:bodyDiv w:val="1"/>
      <w:marLeft w:val="0"/>
      <w:marRight w:val="0"/>
      <w:marTop w:val="0"/>
      <w:marBottom w:val="0"/>
      <w:divBdr>
        <w:top w:val="none" w:sz="0" w:space="0" w:color="auto"/>
        <w:left w:val="none" w:sz="0" w:space="0" w:color="auto"/>
        <w:bottom w:val="none" w:sz="0" w:space="0" w:color="auto"/>
        <w:right w:val="none" w:sz="0" w:space="0" w:color="auto"/>
      </w:divBdr>
    </w:div>
    <w:div w:id="1488085829">
      <w:bodyDiv w:val="1"/>
      <w:marLeft w:val="0"/>
      <w:marRight w:val="0"/>
      <w:marTop w:val="0"/>
      <w:marBottom w:val="0"/>
      <w:divBdr>
        <w:top w:val="none" w:sz="0" w:space="0" w:color="auto"/>
        <w:left w:val="none" w:sz="0" w:space="0" w:color="auto"/>
        <w:bottom w:val="none" w:sz="0" w:space="0" w:color="auto"/>
        <w:right w:val="none" w:sz="0" w:space="0" w:color="auto"/>
      </w:divBdr>
    </w:div>
    <w:div w:id="1488285545">
      <w:bodyDiv w:val="1"/>
      <w:marLeft w:val="0"/>
      <w:marRight w:val="0"/>
      <w:marTop w:val="0"/>
      <w:marBottom w:val="0"/>
      <w:divBdr>
        <w:top w:val="none" w:sz="0" w:space="0" w:color="auto"/>
        <w:left w:val="none" w:sz="0" w:space="0" w:color="auto"/>
        <w:bottom w:val="none" w:sz="0" w:space="0" w:color="auto"/>
        <w:right w:val="none" w:sz="0" w:space="0" w:color="auto"/>
      </w:divBdr>
    </w:div>
    <w:div w:id="1490516794">
      <w:bodyDiv w:val="1"/>
      <w:marLeft w:val="0"/>
      <w:marRight w:val="0"/>
      <w:marTop w:val="0"/>
      <w:marBottom w:val="0"/>
      <w:divBdr>
        <w:top w:val="none" w:sz="0" w:space="0" w:color="auto"/>
        <w:left w:val="none" w:sz="0" w:space="0" w:color="auto"/>
        <w:bottom w:val="none" w:sz="0" w:space="0" w:color="auto"/>
        <w:right w:val="none" w:sz="0" w:space="0" w:color="auto"/>
      </w:divBdr>
    </w:div>
    <w:div w:id="1491167308">
      <w:bodyDiv w:val="1"/>
      <w:marLeft w:val="0"/>
      <w:marRight w:val="0"/>
      <w:marTop w:val="0"/>
      <w:marBottom w:val="0"/>
      <w:divBdr>
        <w:top w:val="none" w:sz="0" w:space="0" w:color="auto"/>
        <w:left w:val="none" w:sz="0" w:space="0" w:color="auto"/>
        <w:bottom w:val="none" w:sz="0" w:space="0" w:color="auto"/>
        <w:right w:val="none" w:sz="0" w:space="0" w:color="auto"/>
      </w:divBdr>
    </w:div>
    <w:div w:id="1492331561">
      <w:bodyDiv w:val="1"/>
      <w:marLeft w:val="0"/>
      <w:marRight w:val="0"/>
      <w:marTop w:val="0"/>
      <w:marBottom w:val="0"/>
      <w:divBdr>
        <w:top w:val="none" w:sz="0" w:space="0" w:color="auto"/>
        <w:left w:val="none" w:sz="0" w:space="0" w:color="auto"/>
        <w:bottom w:val="none" w:sz="0" w:space="0" w:color="auto"/>
        <w:right w:val="none" w:sz="0" w:space="0" w:color="auto"/>
      </w:divBdr>
    </w:div>
    <w:div w:id="1493057299">
      <w:bodyDiv w:val="1"/>
      <w:marLeft w:val="0"/>
      <w:marRight w:val="0"/>
      <w:marTop w:val="0"/>
      <w:marBottom w:val="0"/>
      <w:divBdr>
        <w:top w:val="none" w:sz="0" w:space="0" w:color="auto"/>
        <w:left w:val="none" w:sz="0" w:space="0" w:color="auto"/>
        <w:bottom w:val="none" w:sz="0" w:space="0" w:color="auto"/>
        <w:right w:val="none" w:sz="0" w:space="0" w:color="auto"/>
      </w:divBdr>
    </w:div>
    <w:div w:id="1493183341">
      <w:bodyDiv w:val="1"/>
      <w:marLeft w:val="0"/>
      <w:marRight w:val="0"/>
      <w:marTop w:val="0"/>
      <w:marBottom w:val="0"/>
      <w:divBdr>
        <w:top w:val="none" w:sz="0" w:space="0" w:color="auto"/>
        <w:left w:val="none" w:sz="0" w:space="0" w:color="auto"/>
        <w:bottom w:val="none" w:sz="0" w:space="0" w:color="auto"/>
        <w:right w:val="none" w:sz="0" w:space="0" w:color="auto"/>
      </w:divBdr>
    </w:div>
    <w:div w:id="1495608120">
      <w:bodyDiv w:val="1"/>
      <w:marLeft w:val="0"/>
      <w:marRight w:val="0"/>
      <w:marTop w:val="0"/>
      <w:marBottom w:val="0"/>
      <w:divBdr>
        <w:top w:val="none" w:sz="0" w:space="0" w:color="auto"/>
        <w:left w:val="none" w:sz="0" w:space="0" w:color="auto"/>
        <w:bottom w:val="none" w:sz="0" w:space="0" w:color="auto"/>
        <w:right w:val="none" w:sz="0" w:space="0" w:color="auto"/>
      </w:divBdr>
    </w:div>
    <w:div w:id="1495992082">
      <w:bodyDiv w:val="1"/>
      <w:marLeft w:val="0"/>
      <w:marRight w:val="0"/>
      <w:marTop w:val="0"/>
      <w:marBottom w:val="0"/>
      <w:divBdr>
        <w:top w:val="none" w:sz="0" w:space="0" w:color="auto"/>
        <w:left w:val="none" w:sz="0" w:space="0" w:color="auto"/>
        <w:bottom w:val="none" w:sz="0" w:space="0" w:color="auto"/>
        <w:right w:val="none" w:sz="0" w:space="0" w:color="auto"/>
      </w:divBdr>
    </w:div>
    <w:div w:id="1496527534">
      <w:bodyDiv w:val="1"/>
      <w:marLeft w:val="0"/>
      <w:marRight w:val="0"/>
      <w:marTop w:val="0"/>
      <w:marBottom w:val="0"/>
      <w:divBdr>
        <w:top w:val="none" w:sz="0" w:space="0" w:color="auto"/>
        <w:left w:val="none" w:sz="0" w:space="0" w:color="auto"/>
        <w:bottom w:val="none" w:sz="0" w:space="0" w:color="auto"/>
        <w:right w:val="none" w:sz="0" w:space="0" w:color="auto"/>
      </w:divBdr>
    </w:div>
    <w:div w:id="1499727879">
      <w:bodyDiv w:val="1"/>
      <w:marLeft w:val="0"/>
      <w:marRight w:val="0"/>
      <w:marTop w:val="0"/>
      <w:marBottom w:val="0"/>
      <w:divBdr>
        <w:top w:val="none" w:sz="0" w:space="0" w:color="auto"/>
        <w:left w:val="none" w:sz="0" w:space="0" w:color="auto"/>
        <w:bottom w:val="none" w:sz="0" w:space="0" w:color="auto"/>
        <w:right w:val="none" w:sz="0" w:space="0" w:color="auto"/>
      </w:divBdr>
    </w:div>
    <w:div w:id="1500192546">
      <w:bodyDiv w:val="1"/>
      <w:marLeft w:val="0"/>
      <w:marRight w:val="0"/>
      <w:marTop w:val="0"/>
      <w:marBottom w:val="0"/>
      <w:divBdr>
        <w:top w:val="none" w:sz="0" w:space="0" w:color="auto"/>
        <w:left w:val="none" w:sz="0" w:space="0" w:color="auto"/>
        <w:bottom w:val="none" w:sz="0" w:space="0" w:color="auto"/>
        <w:right w:val="none" w:sz="0" w:space="0" w:color="auto"/>
      </w:divBdr>
    </w:div>
    <w:div w:id="1502622820">
      <w:bodyDiv w:val="1"/>
      <w:marLeft w:val="0"/>
      <w:marRight w:val="0"/>
      <w:marTop w:val="0"/>
      <w:marBottom w:val="0"/>
      <w:divBdr>
        <w:top w:val="none" w:sz="0" w:space="0" w:color="auto"/>
        <w:left w:val="none" w:sz="0" w:space="0" w:color="auto"/>
        <w:bottom w:val="none" w:sz="0" w:space="0" w:color="auto"/>
        <w:right w:val="none" w:sz="0" w:space="0" w:color="auto"/>
      </w:divBdr>
    </w:div>
    <w:div w:id="1503162845">
      <w:bodyDiv w:val="1"/>
      <w:marLeft w:val="0"/>
      <w:marRight w:val="0"/>
      <w:marTop w:val="0"/>
      <w:marBottom w:val="0"/>
      <w:divBdr>
        <w:top w:val="none" w:sz="0" w:space="0" w:color="auto"/>
        <w:left w:val="none" w:sz="0" w:space="0" w:color="auto"/>
        <w:bottom w:val="none" w:sz="0" w:space="0" w:color="auto"/>
        <w:right w:val="none" w:sz="0" w:space="0" w:color="auto"/>
      </w:divBdr>
    </w:div>
    <w:div w:id="1506478614">
      <w:bodyDiv w:val="1"/>
      <w:marLeft w:val="0"/>
      <w:marRight w:val="0"/>
      <w:marTop w:val="0"/>
      <w:marBottom w:val="0"/>
      <w:divBdr>
        <w:top w:val="none" w:sz="0" w:space="0" w:color="auto"/>
        <w:left w:val="none" w:sz="0" w:space="0" w:color="auto"/>
        <w:bottom w:val="none" w:sz="0" w:space="0" w:color="auto"/>
        <w:right w:val="none" w:sz="0" w:space="0" w:color="auto"/>
      </w:divBdr>
    </w:div>
    <w:div w:id="1506701986">
      <w:bodyDiv w:val="1"/>
      <w:marLeft w:val="0"/>
      <w:marRight w:val="0"/>
      <w:marTop w:val="0"/>
      <w:marBottom w:val="0"/>
      <w:divBdr>
        <w:top w:val="none" w:sz="0" w:space="0" w:color="auto"/>
        <w:left w:val="none" w:sz="0" w:space="0" w:color="auto"/>
        <w:bottom w:val="none" w:sz="0" w:space="0" w:color="auto"/>
        <w:right w:val="none" w:sz="0" w:space="0" w:color="auto"/>
      </w:divBdr>
    </w:div>
    <w:div w:id="1507285217">
      <w:bodyDiv w:val="1"/>
      <w:marLeft w:val="0"/>
      <w:marRight w:val="0"/>
      <w:marTop w:val="0"/>
      <w:marBottom w:val="0"/>
      <w:divBdr>
        <w:top w:val="none" w:sz="0" w:space="0" w:color="auto"/>
        <w:left w:val="none" w:sz="0" w:space="0" w:color="auto"/>
        <w:bottom w:val="none" w:sz="0" w:space="0" w:color="auto"/>
        <w:right w:val="none" w:sz="0" w:space="0" w:color="auto"/>
      </w:divBdr>
    </w:div>
    <w:div w:id="1511985029">
      <w:bodyDiv w:val="1"/>
      <w:marLeft w:val="0"/>
      <w:marRight w:val="0"/>
      <w:marTop w:val="0"/>
      <w:marBottom w:val="0"/>
      <w:divBdr>
        <w:top w:val="none" w:sz="0" w:space="0" w:color="auto"/>
        <w:left w:val="none" w:sz="0" w:space="0" w:color="auto"/>
        <w:bottom w:val="none" w:sz="0" w:space="0" w:color="auto"/>
        <w:right w:val="none" w:sz="0" w:space="0" w:color="auto"/>
      </w:divBdr>
    </w:div>
    <w:div w:id="1512062365">
      <w:bodyDiv w:val="1"/>
      <w:marLeft w:val="0"/>
      <w:marRight w:val="0"/>
      <w:marTop w:val="0"/>
      <w:marBottom w:val="0"/>
      <w:divBdr>
        <w:top w:val="none" w:sz="0" w:space="0" w:color="auto"/>
        <w:left w:val="none" w:sz="0" w:space="0" w:color="auto"/>
        <w:bottom w:val="none" w:sz="0" w:space="0" w:color="auto"/>
        <w:right w:val="none" w:sz="0" w:space="0" w:color="auto"/>
      </w:divBdr>
    </w:div>
    <w:div w:id="1516383456">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9082599">
      <w:bodyDiv w:val="1"/>
      <w:marLeft w:val="0"/>
      <w:marRight w:val="0"/>
      <w:marTop w:val="0"/>
      <w:marBottom w:val="0"/>
      <w:divBdr>
        <w:top w:val="none" w:sz="0" w:space="0" w:color="auto"/>
        <w:left w:val="none" w:sz="0" w:space="0" w:color="auto"/>
        <w:bottom w:val="none" w:sz="0" w:space="0" w:color="auto"/>
        <w:right w:val="none" w:sz="0" w:space="0" w:color="auto"/>
      </w:divBdr>
    </w:div>
    <w:div w:id="1519805983">
      <w:bodyDiv w:val="1"/>
      <w:marLeft w:val="0"/>
      <w:marRight w:val="0"/>
      <w:marTop w:val="0"/>
      <w:marBottom w:val="0"/>
      <w:divBdr>
        <w:top w:val="none" w:sz="0" w:space="0" w:color="auto"/>
        <w:left w:val="none" w:sz="0" w:space="0" w:color="auto"/>
        <w:bottom w:val="none" w:sz="0" w:space="0" w:color="auto"/>
        <w:right w:val="none" w:sz="0" w:space="0" w:color="auto"/>
      </w:divBdr>
    </w:div>
    <w:div w:id="1519812073">
      <w:bodyDiv w:val="1"/>
      <w:marLeft w:val="0"/>
      <w:marRight w:val="0"/>
      <w:marTop w:val="0"/>
      <w:marBottom w:val="0"/>
      <w:divBdr>
        <w:top w:val="none" w:sz="0" w:space="0" w:color="auto"/>
        <w:left w:val="none" w:sz="0" w:space="0" w:color="auto"/>
        <w:bottom w:val="none" w:sz="0" w:space="0" w:color="auto"/>
        <w:right w:val="none" w:sz="0" w:space="0" w:color="auto"/>
      </w:divBdr>
    </w:div>
    <w:div w:id="1520317308">
      <w:bodyDiv w:val="1"/>
      <w:marLeft w:val="0"/>
      <w:marRight w:val="0"/>
      <w:marTop w:val="0"/>
      <w:marBottom w:val="0"/>
      <w:divBdr>
        <w:top w:val="none" w:sz="0" w:space="0" w:color="auto"/>
        <w:left w:val="none" w:sz="0" w:space="0" w:color="auto"/>
        <w:bottom w:val="none" w:sz="0" w:space="0" w:color="auto"/>
        <w:right w:val="none" w:sz="0" w:space="0" w:color="auto"/>
      </w:divBdr>
    </w:div>
    <w:div w:id="1520658398">
      <w:bodyDiv w:val="1"/>
      <w:marLeft w:val="0"/>
      <w:marRight w:val="0"/>
      <w:marTop w:val="0"/>
      <w:marBottom w:val="0"/>
      <w:divBdr>
        <w:top w:val="none" w:sz="0" w:space="0" w:color="auto"/>
        <w:left w:val="none" w:sz="0" w:space="0" w:color="auto"/>
        <w:bottom w:val="none" w:sz="0" w:space="0" w:color="auto"/>
        <w:right w:val="none" w:sz="0" w:space="0" w:color="auto"/>
      </w:divBdr>
    </w:div>
    <w:div w:id="1520775977">
      <w:bodyDiv w:val="1"/>
      <w:marLeft w:val="0"/>
      <w:marRight w:val="0"/>
      <w:marTop w:val="0"/>
      <w:marBottom w:val="0"/>
      <w:divBdr>
        <w:top w:val="none" w:sz="0" w:space="0" w:color="auto"/>
        <w:left w:val="none" w:sz="0" w:space="0" w:color="auto"/>
        <w:bottom w:val="none" w:sz="0" w:space="0" w:color="auto"/>
        <w:right w:val="none" w:sz="0" w:space="0" w:color="auto"/>
      </w:divBdr>
    </w:div>
    <w:div w:id="1526213188">
      <w:bodyDiv w:val="1"/>
      <w:marLeft w:val="0"/>
      <w:marRight w:val="0"/>
      <w:marTop w:val="0"/>
      <w:marBottom w:val="0"/>
      <w:divBdr>
        <w:top w:val="none" w:sz="0" w:space="0" w:color="auto"/>
        <w:left w:val="none" w:sz="0" w:space="0" w:color="auto"/>
        <w:bottom w:val="none" w:sz="0" w:space="0" w:color="auto"/>
        <w:right w:val="none" w:sz="0" w:space="0" w:color="auto"/>
      </w:divBdr>
    </w:div>
    <w:div w:id="1526359310">
      <w:bodyDiv w:val="1"/>
      <w:marLeft w:val="0"/>
      <w:marRight w:val="0"/>
      <w:marTop w:val="0"/>
      <w:marBottom w:val="0"/>
      <w:divBdr>
        <w:top w:val="none" w:sz="0" w:space="0" w:color="auto"/>
        <w:left w:val="none" w:sz="0" w:space="0" w:color="auto"/>
        <w:bottom w:val="none" w:sz="0" w:space="0" w:color="auto"/>
        <w:right w:val="none" w:sz="0" w:space="0" w:color="auto"/>
      </w:divBdr>
    </w:div>
    <w:div w:id="1527788312">
      <w:bodyDiv w:val="1"/>
      <w:marLeft w:val="0"/>
      <w:marRight w:val="0"/>
      <w:marTop w:val="0"/>
      <w:marBottom w:val="0"/>
      <w:divBdr>
        <w:top w:val="none" w:sz="0" w:space="0" w:color="auto"/>
        <w:left w:val="none" w:sz="0" w:space="0" w:color="auto"/>
        <w:bottom w:val="none" w:sz="0" w:space="0" w:color="auto"/>
        <w:right w:val="none" w:sz="0" w:space="0" w:color="auto"/>
      </w:divBdr>
    </w:div>
    <w:div w:id="1531141084">
      <w:bodyDiv w:val="1"/>
      <w:marLeft w:val="0"/>
      <w:marRight w:val="0"/>
      <w:marTop w:val="0"/>
      <w:marBottom w:val="0"/>
      <w:divBdr>
        <w:top w:val="none" w:sz="0" w:space="0" w:color="auto"/>
        <w:left w:val="none" w:sz="0" w:space="0" w:color="auto"/>
        <w:bottom w:val="none" w:sz="0" w:space="0" w:color="auto"/>
        <w:right w:val="none" w:sz="0" w:space="0" w:color="auto"/>
      </w:divBdr>
    </w:div>
    <w:div w:id="1531337772">
      <w:bodyDiv w:val="1"/>
      <w:marLeft w:val="0"/>
      <w:marRight w:val="0"/>
      <w:marTop w:val="0"/>
      <w:marBottom w:val="0"/>
      <w:divBdr>
        <w:top w:val="none" w:sz="0" w:space="0" w:color="auto"/>
        <w:left w:val="none" w:sz="0" w:space="0" w:color="auto"/>
        <w:bottom w:val="none" w:sz="0" w:space="0" w:color="auto"/>
        <w:right w:val="none" w:sz="0" w:space="0" w:color="auto"/>
      </w:divBdr>
    </w:div>
    <w:div w:id="1532496914">
      <w:bodyDiv w:val="1"/>
      <w:marLeft w:val="0"/>
      <w:marRight w:val="0"/>
      <w:marTop w:val="0"/>
      <w:marBottom w:val="0"/>
      <w:divBdr>
        <w:top w:val="none" w:sz="0" w:space="0" w:color="auto"/>
        <w:left w:val="none" w:sz="0" w:space="0" w:color="auto"/>
        <w:bottom w:val="none" w:sz="0" w:space="0" w:color="auto"/>
        <w:right w:val="none" w:sz="0" w:space="0" w:color="auto"/>
      </w:divBdr>
    </w:div>
    <w:div w:id="1532692248">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3567439">
      <w:bodyDiv w:val="1"/>
      <w:marLeft w:val="0"/>
      <w:marRight w:val="0"/>
      <w:marTop w:val="0"/>
      <w:marBottom w:val="0"/>
      <w:divBdr>
        <w:top w:val="none" w:sz="0" w:space="0" w:color="auto"/>
        <w:left w:val="none" w:sz="0" w:space="0" w:color="auto"/>
        <w:bottom w:val="none" w:sz="0" w:space="0" w:color="auto"/>
        <w:right w:val="none" w:sz="0" w:space="0" w:color="auto"/>
      </w:divBdr>
    </w:div>
    <w:div w:id="1534224942">
      <w:bodyDiv w:val="1"/>
      <w:marLeft w:val="0"/>
      <w:marRight w:val="0"/>
      <w:marTop w:val="0"/>
      <w:marBottom w:val="0"/>
      <w:divBdr>
        <w:top w:val="none" w:sz="0" w:space="0" w:color="auto"/>
        <w:left w:val="none" w:sz="0" w:space="0" w:color="auto"/>
        <w:bottom w:val="none" w:sz="0" w:space="0" w:color="auto"/>
        <w:right w:val="none" w:sz="0" w:space="0" w:color="auto"/>
      </w:divBdr>
    </w:div>
    <w:div w:id="1534423182">
      <w:bodyDiv w:val="1"/>
      <w:marLeft w:val="0"/>
      <w:marRight w:val="0"/>
      <w:marTop w:val="0"/>
      <w:marBottom w:val="0"/>
      <w:divBdr>
        <w:top w:val="none" w:sz="0" w:space="0" w:color="auto"/>
        <w:left w:val="none" w:sz="0" w:space="0" w:color="auto"/>
        <w:bottom w:val="none" w:sz="0" w:space="0" w:color="auto"/>
        <w:right w:val="none" w:sz="0" w:space="0" w:color="auto"/>
      </w:divBdr>
    </w:div>
    <w:div w:id="1534614529">
      <w:bodyDiv w:val="1"/>
      <w:marLeft w:val="0"/>
      <w:marRight w:val="0"/>
      <w:marTop w:val="0"/>
      <w:marBottom w:val="0"/>
      <w:divBdr>
        <w:top w:val="none" w:sz="0" w:space="0" w:color="auto"/>
        <w:left w:val="none" w:sz="0" w:space="0" w:color="auto"/>
        <w:bottom w:val="none" w:sz="0" w:space="0" w:color="auto"/>
        <w:right w:val="none" w:sz="0" w:space="0" w:color="auto"/>
      </w:divBdr>
    </w:div>
    <w:div w:id="1535270392">
      <w:bodyDiv w:val="1"/>
      <w:marLeft w:val="0"/>
      <w:marRight w:val="0"/>
      <w:marTop w:val="0"/>
      <w:marBottom w:val="0"/>
      <w:divBdr>
        <w:top w:val="none" w:sz="0" w:space="0" w:color="auto"/>
        <w:left w:val="none" w:sz="0" w:space="0" w:color="auto"/>
        <w:bottom w:val="none" w:sz="0" w:space="0" w:color="auto"/>
        <w:right w:val="none" w:sz="0" w:space="0" w:color="auto"/>
      </w:divBdr>
    </w:div>
    <w:div w:id="1535315034">
      <w:bodyDiv w:val="1"/>
      <w:marLeft w:val="0"/>
      <w:marRight w:val="0"/>
      <w:marTop w:val="0"/>
      <w:marBottom w:val="0"/>
      <w:divBdr>
        <w:top w:val="none" w:sz="0" w:space="0" w:color="auto"/>
        <w:left w:val="none" w:sz="0" w:space="0" w:color="auto"/>
        <w:bottom w:val="none" w:sz="0" w:space="0" w:color="auto"/>
        <w:right w:val="none" w:sz="0" w:space="0" w:color="auto"/>
      </w:divBdr>
    </w:div>
    <w:div w:id="1535384773">
      <w:bodyDiv w:val="1"/>
      <w:marLeft w:val="0"/>
      <w:marRight w:val="0"/>
      <w:marTop w:val="0"/>
      <w:marBottom w:val="0"/>
      <w:divBdr>
        <w:top w:val="none" w:sz="0" w:space="0" w:color="auto"/>
        <w:left w:val="none" w:sz="0" w:space="0" w:color="auto"/>
        <w:bottom w:val="none" w:sz="0" w:space="0" w:color="auto"/>
        <w:right w:val="none" w:sz="0" w:space="0" w:color="auto"/>
      </w:divBdr>
    </w:div>
    <w:div w:id="1537741730">
      <w:bodyDiv w:val="1"/>
      <w:marLeft w:val="0"/>
      <w:marRight w:val="0"/>
      <w:marTop w:val="0"/>
      <w:marBottom w:val="0"/>
      <w:divBdr>
        <w:top w:val="none" w:sz="0" w:space="0" w:color="auto"/>
        <w:left w:val="none" w:sz="0" w:space="0" w:color="auto"/>
        <w:bottom w:val="none" w:sz="0" w:space="0" w:color="auto"/>
        <w:right w:val="none" w:sz="0" w:space="0" w:color="auto"/>
      </w:divBdr>
    </w:div>
    <w:div w:id="1541282457">
      <w:bodyDiv w:val="1"/>
      <w:marLeft w:val="0"/>
      <w:marRight w:val="0"/>
      <w:marTop w:val="0"/>
      <w:marBottom w:val="0"/>
      <w:divBdr>
        <w:top w:val="none" w:sz="0" w:space="0" w:color="auto"/>
        <w:left w:val="none" w:sz="0" w:space="0" w:color="auto"/>
        <w:bottom w:val="none" w:sz="0" w:space="0" w:color="auto"/>
        <w:right w:val="none" w:sz="0" w:space="0" w:color="auto"/>
      </w:divBdr>
    </w:div>
    <w:div w:id="1542864386">
      <w:bodyDiv w:val="1"/>
      <w:marLeft w:val="0"/>
      <w:marRight w:val="0"/>
      <w:marTop w:val="0"/>
      <w:marBottom w:val="0"/>
      <w:divBdr>
        <w:top w:val="none" w:sz="0" w:space="0" w:color="auto"/>
        <w:left w:val="none" w:sz="0" w:space="0" w:color="auto"/>
        <w:bottom w:val="none" w:sz="0" w:space="0" w:color="auto"/>
        <w:right w:val="none" w:sz="0" w:space="0" w:color="auto"/>
      </w:divBdr>
    </w:div>
    <w:div w:id="1543981432">
      <w:bodyDiv w:val="1"/>
      <w:marLeft w:val="0"/>
      <w:marRight w:val="0"/>
      <w:marTop w:val="0"/>
      <w:marBottom w:val="0"/>
      <w:divBdr>
        <w:top w:val="none" w:sz="0" w:space="0" w:color="auto"/>
        <w:left w:val="none" w:sz="0" w:space="0" w:color="auto"/>
        <w:bottom w:val="none" w:sz="0" w:space="0" w:color="auto"/>
        <w:right w:val="none" w:sz="0" w:space="0" w:color="auto"/>
      </w:divBdr>
    </w:div>
    <w:div w:id="1545672143">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479525">
      <w:bodyDiv w:val="1"/>
      <w:marLeft w:val="0"/>
      <w:marRight w:val="0"/>
      <w:marTop w:val="0"/>
      <w:marBottom w:val="0"/>
      <w:divBdr>
        <w:top w:val="none" w:sz="0" w:space="0" w:color="auto"/>
        <w:left w:val="none" w:sz="0" w:space="0" w:color="auto"/>
        <w:bottom w:val="none" w:sz="0" w:space="0" w:color="auto"/>
        <w:right w:val="none" w:sz="0" w:space="0" w:color="auto"/>
      </w:divBdr>
    </w:div>
    <w:div w:id="1547330697">
      <w:bodyDiv w:val="1"/>
      <w:marLeft w:val="0"/>
      <w:marRight w:val="0"/>
      <w:marTop w:val="0"/>
      <w:marBottom w:val="0"/>
      <w:divBdr>
        <w:top w:val="none" w:sz="0" w:space="0" w:color="auto"/>
        <w:left w:val="none" w:sz="0" w:space="0" w:color="auto"/>
        <w:bottom w:val="none" w:sz="0" w:space="0" w:color="auto"/>
        <w:right w:val="none" w:sz="0" w:space="0" w:color="auto"/>
      </w:divBdr>
    </w:div>
    <w:div w:id="1548681275">
      <w:bodyDiv w:val="1"/>
      <w:marLeft w:val="0"/>
      <w:marRight w:val="0"/>
      <w:marTop w:val="0"/>
      <w:marBottom w:val="0"/>
      <w:divBdr>
        <w:top w:val="none" w:sz="0" w:space="0" w:color="auto"/>
        <w:left w:val="none" w:sz="0" w:space="0" w:color="auto"/>
        <w:bottom w:val="none" w:sz="0" w:space="0" w:color="auto"/>
        <w:right w:val="none" w:sz="0" w:space="0" w:color="auto"/>
      </w:divBdr>
    </w:div>
    <w:div w:id="1551114822">
      <w:bodyDiv w:val="1"/>
      <w:marLeft w:val="0"/>
      <w:marRight w:val="0"/>
      <w:marTop w:val="0"/>
      <w:marBottom w:val="0"/>
      <w:divBdr>
        <w:top w:val="none" w:sz="0" w:space="0" w:color="auto"/>
        <w:left w:val="none" w:sz="0" w:space="0" w:color="auto"/>
        <w:bottom w:val="none" w:sz="0" w:space="0" w:color="auto"/>
        <w:right w:val="none" w:sz="0" w:space="0" w:color="auto"/>
      </w:divBdr>
    </w:div>
    <w:div w:id="1552036845">
      <w:bodyDiv w:val="1"/>
      <w:marLeft w:val="0"/>
      <w:marRight w:val="0"/>
      <w:marTop w:val="0"/>
      <w:marBottom w:val="0"/>
      <w:divBdr>
        <w:top w:val="none" w:sz="0" w:space="0" w:color="auto"/>
        <w:left w:val="none" w:sz="0" w:space="0" w:color="auto"/>
        <w:bottom w:val="none" w:sz="0" w:space="0" w:color="auto"/>
        <w:right w:val="none" w:sz="0" w:space="0" w:color="auto"/>
      </w:divBdr>
    </w:div>
    <w:div w:id="1554389300">
      <w:bodyDiv w:val="1"/>
      <w:marLeft w:val="0"/>
      <w:marRight w:val="0"/>
      <w:marTop w:val="0"/>
      <w:marBottom w:val="0"/>
      <w:divBdr>
        <w:top w:val="none" w:sz="0" w:space="0" w:color="auto"/>
        <w:left w:val="none" w:sz="0" w:space="0" w:color="auto"/>
        <w:bottom w:val="none" w:sz="0" w:space="0" w:color="auto"/>
        <w:right w:val="none" w:sz="0" w:space="0" w:color="auto"/>
      </w:divBdr>
    </w:div>
    <w:div w:id="1555192993">
      <w:bodyDiv w:val="1"/>
      <w:marLeft w:val="0"/>
      <w:marRight w:val="0"/>
      <w:marTop w:val="0"/>
      <w:marBottom w:val="0"/>
      <w:divBdr>
        <w:top w:val="none" w:sz="0" w:space="0" w:color="auto"/>
        <w:left w:val="none" w:sz="0" w:space="0" w:color="auto"/>
        <w:bottom w:val="none" w:sz="0" w:space="0" w:color="auto"/>
        <w:right w:val="none" w:sz="0" w:space="0" w:color="auto"/>
      </w:divBdr>
    </w:div>
    <w:div w:id="1555698616">
      <w:bodyDiv w:val="1"/>
      <w:marLeft w:val="0"/>
      <w:marRight w:val="0"/>
      <w:marTop w:val="0"/>
      <w:marBottom w:val="0"/>
      <w:divBdr>
        <w:top w:val="none" w:sz="0" w:space="0" w:color="auto"/>
        <w:left w:val="none" w:sz="0" w:space="0" w:color="auto"/>
        <w:bottom w:val="none" w:sz="0" w:space="0" w:color="auto"/>
        <w:right w:val="none" w:sz="0" w:space="0" w:color="auto"/>
      </w:divBdr>
    </w:div>
    <w:div w:id="1557007910">
      <w:bodyDiv w:val="1"/>
      <w:marLeft w:val="0"/>
      <w:marRight w:val="0"/>
      <w:marTop w:val="0"/>
      <w:marBottom w:val="0"/>
      <w:divBdr>
        <w:top w:val="none" w:sz="0" w:space="0" w:color="auto"/>
        <w:left w:val="none" w:sz="0" w:space="0" w:color="auto"/>
        <w:bottom w:val="none" w:sz="0" w:space="0" w:color="auto"/>
        <w:right w:val="none" w:sz="0" w:space="0" w:color="auto"/>
      </w:divBdr>
    </w:div>
    <w:div w:id="1558589452">
      <w:bodyDiv w:val="1"/>
      <w:marLeft w:val="0"/>
      <w:marRight w:val="0"/>
      <w:marTop w:val="0"/>
      <w:marBottom w:val="0"/>
      <w:divBdr>
        <w:top w:val="none" w:sz="0" w:space="0" w:color="auto"/>
        <w:left w:val="none" w:sz="0" w:space="0" w:color="auto"/>
        <w:bottom w:val="none" w:sz="0" w:space="0" w:color="auto"/>
        <w:right w:val="none" w:sz="0" w:space="0" w:color="auto"/>
      </w:divBdr>
    </w:div>
    <w:div w:id="1559240828">
      <w:bodyDiv w:val="1"/>
      <w:marLeft w:val="0"/>
      <w:marRight w:val="0"/>
      <w:marTop w:val="0"/>
      <w:marBottom w:val="0"/>
      <w:divBdr>
        <w:top w:val="none" w:sz="0" w:space="0" w:color="auto"/>
        <w:left w:val="none" w:sz="0" w:space="0" w:color="auto"/>
        <w:bottom w:val="none" w:sz="0" w:space="0" w:color="auto"/>
        <w:right w:val="none" w:sz="0" w:space="0" w:color="auto"/>
      </w:divBdr>
    </w:div>
    <w:div w:id="1559706422">
      <w:bodyDiv w:val="1"/>
      <w:marLeft w:val="0"/>
      <w:marRight w:val="0"/>
      <w:marTop w:val="0"/>
      <w:marBottom w:val="0"/>
      <w:divBdr>
        <w:top w:val="none" w:sz="0" w:space="0" w:color="auto"/>
        <w:left w:val="none" w:sz="0" w:space="0" w:color="auto"/>
        <w:bottom w:val="none" w:sz="0" w:space="0" w:color="auto"/>
        <w:right w:val="none" w:sz="0" w:space="0" w:color="auto"/>
      </w:divBdr>
    </w:div>
    <w:div w:id="1559903595">
      <w:bodyDiv w:val="1"/>
      <w:marLeft w:val="0"/>
      <w:marRight w:val="0"/>
      <w:marTop w:val="0"/>
      <w:marBottom w:val="0"/>
      <w:divBdr>
        <w:top w:val="none" w:sz="0" w:space="0" w:color="auto"/>
        <w:left w:val="none" w:sz="0" w:space="0" w:color="auto"/>
        <w:bottom w:val="none" w:sz="0" w:space="0" w:color="auto"/>
        <w:right w:val="none" w:sz="0" w:space="0" w:color="auto"/>
      </w:divBdr>
    </w:div>
    <w:div w:id="1561135707">
      <w:bodyDiv w:val="1"/>
      <w:marLeft w:val="0"/>
      <w:marRight w:val="0"/>
      <w:marTop w:val="0"/>
      <w:marBottom w:val="0"/>
      <w:divBdr>
        <w:top w:val="none" w:sz="0" w:space="0" w:color="auto"/>
        <w:left w:val="none" w:sz="0" w:space="0" w:color="auto"/>
        <w:bottom w:val="none" w:sz="0" w:space="0" w:color="auto"/>
        <w:right w:val="none" w:sz="0" w:space="0" w:color="auto"/>
      </w:divBdr>
    </w:div>
    <w:div w:id="1565801447">
      <w:bodyDiv w:val="1"/>
      <w:marLeft w:val="0"/>
      <w:marRight w:val="0"/>
      <w:marTop w:val="0"/>
      <w:marBottom w:val="0"/>
      <w:divBdr>
        <w:top w:val="none" w:sz="0" w:space="0" w:color="auto"/>
        <w:left w:val="none" w:sz="0" w:space="0" w:color="auto"/>
        <w:bottom w:val="none" w:sz="0" w:space="0" w:color="auto"/>
        <w:right w:val="none" w:sz="0" w:space="0" w:color="auto"/>
      </w:divBdr>
    </w:div>
    <w:div w:id="1565990065">
      <w:bodyDiv w:val="1"/>
      <w:marLeft w:val="0"/>
      <w:marRight w:val="0"/>
      <w:marTop w:val="0"/>
      <w:marBottom w:val="0"/>
      <w:divBdr>
        <w:top w:val="none" w:sz="0" w:space="0" w:color="auto"/>
        <w:left w:val="none" w:sz="0" w:space="0" w:color="auto"/>
        <w:bottom w:val="none" w:sz="0" w:space="0" w:color="auto"/>
        <w:right w:val="none" w:sz="0" w:space="0" w:color="auto"/>
      </w:divBdr>
    </w:div>
    <w:div w:id="1566599166">
      <w:bodyDiv w:val="1"/>
      <w:marLeft w:val="0"/>
      <w:marRight w:val="0"/>
      <w:marTop w:val="0"/>
      <w:marBottom w:val="0"/>
      <w:divBdr>
        <w:top w:val="none" w:sz="0" w:space="0" w:color="auto"/>
        <w:left w:val="none" w:sz="0" w:space="0" w:color="auto"/>
        <w:bottom w:val="none" w:sz="0" w:space="0" w:color="auto"/>
        <w:right w:val="none" w:sz="0" w:space="0" w:color="auto"/>
      </w:divBdr>
    </w:div>
    <w:div w:id="1567837345">
      <w:bodyDiv w:val="1"/>
      <w:marLeft w:val="0"/>
      <w:marRight w:val="0"/>
      <w:marTop w:val="0"/>
      <w:marBottom w:val="0"/>
      <w:divBdr>
        <w:top w:val="none" w:sz="0" w:space="0" w:color="auto"/>
        <w:left w:val="none" w:sz="0" w:space="0" w:color="auto"/>
        <w:bottom w:val="none" w:sz="0" w:space="0" w:color="auto"/>
        <w:right w:val="none" w:sz="0" w:space="0" w:color="auto"/>
      </w:divBdr>
    </w:div>
    <w:div w:id="1568296276">
      <w:bodyDiv w:val="1"/>
      <w:marLeft w:val="0"/>
      <w:marRight w:val="0"/>
      <w:marTop w:val="0"/>
      <w:marBottom w:val="0"/>
      <w:divBdr>
        <w:top w:val="none" w:sz="0" w:space="0" w:color="auto"/>
        <w:left w:val="none" w:sz="0" w:space="0" w:color="auto"/>
        <w:bottom w:val="none" w:sz="0" w:space="0" w:color="auto"/>
        <w:right w:val="none" w:sz="0" w:space="0" w:color="auto"/>
      </w:divBdr>
    </w:div>
    <w:div w:id="1568342609">
      <w:bodyDiv w:val="1"/>
      <w:marLeft w:val="0"/>
      <w:marRight w:val="0"/>
      <w:marTop w:val="0"/>
      <w:marBottom w:val="0"/>
      <w:divBdr>
        <w:top w:val="none" w:sz="0" w:space="0" w:color="auto"/>
        <w:left w:val="none" w:sz="0" w:space="0" w:color="auto"/>
        <w:bottom w:val="none" w:sz="0" w:space="0" w:color="auto"/>
        <w:right w:val="none" w:sz="0" w:space="0" w:color="auto"/>
      </w:divBdr>
    </w:div>
    <w:div w:id="1575360169">
      <w:bodyDiv w:val="1"/>
      <w:marLeft w:val="0"/>
      <w:marRight w:val="0"/>
      <w:marTop w:val="0"/>
      <w:marBottom w:val="0"/>
      <w:divBdr>
        <w:top w:val="none" w:sz="0" w:space="0" w:color="auto"/>
        <w:left w:val="none" w:sz="0" w:space="0" w:color="auto"/>
        <w:bottom w:val="none" w:sz="0" w:space="0" w:color="auto"/>
        <w:right w:val="none" w:sz="0" w:space="0" w:color="auto"/>
      </w:divBdr>
    </w:div>
    <w:div w:id="1575772321">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744347">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129427">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8902414">
      <w:bodyDiv w:val="1"/>
      <w:marLeft w:val="0"/>
      <w:marRight w:val="0"/>
      <w:marTop w:val="0"/>
      <w:marBottom w:val="0"/>
      <w:divBdr>
        <w:top w:val="none" w:sz="0" w:space="0" w:color="auto"/>
        <w:left w:val="none" w:sz="0" w:space="0" w:color="auto"/>
        <w:bottom w:val="none" w:sz="0" w:space="0" w:color="auto"/>
        <w:right w:val="none" w:sz="0" w:space="0" w:color="auto"/>
      </w:divBdr>
    </w:div>
    <w:div w:id="1579828376">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6911221">
      <w:bodyDiv w:val="1"/>
      <w:marLeft w:val="0"/>
      <w:marRight w:val="0"/>
      <w:marTop w:val="0"/>
      <w:marBottom w:val="0"/>
      <w:divBdr>
        <w:top w:val="none" w:sz="0" w:space="0" w:color="auto"/>
        <w:left w:val="none" w:sz="0" w:space="0" w:color="auto"/>
        <w:bottom w:val="none" w:sz="0" w:space="0" w:color="auto"/>
        <w:right w:val="none" w:sz="0" w:space="0" w:color="auto"/>
      </w:divBdr>
    </w:div>
    <w:div w:id="1587419379">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0775535">
      <w:bodyDiv w:val="1"/>
      <w:marLeft w:val="0"/>
      <w:marRight w:val="0"/>
      <w:marTop w:val="0"/>
      <w:marBottom w:val="0"/>
      <w:divBdr>
        <w:top w:val="none" w:sz="0" w:space="0" w:color="auto"/>
        <w:left w:val="none" w:sz="0" w:space="0" w:color="auto"/>
        <w:bottom w:val="none" w:sz="0" w:space="0" w:color="auto"/>
        <w:right w:val="none" w:sz="0" w:space="0" w:color="auto"/>
      </w:divBdr>
    </w:div>
    <w:div w:id="1591428159">
      <w:bodyDiv w:val="1"/>
      <w:marLeft w:val="0"/>
      <w:marRight w:val="0"/>
      <w:marTop w:val="0"/>
      <w:marBottom w:val="0"/>
      <w:divBdr>
        <w:top w:val="none" w:sz="0" w:space="0" w:color="auto"/>
        <w:left w:val="none" w:sz="0" w:space="0" w:color="auto"/>
        <w:bottom w:val="none" w:sz="0" w:space="0" w:color="auto"/>
        <w:right w:val="none" w:sz="0" w:space="0" w:color="auto"/>
      </w:divBdr>
    </w:div>
    <w:div w:id="1591961907">
      <w:bodyDiv w:val="1"/>
      <w:marLeft w:val="0"/>
      <w:marRight w:val="0"/>
      <w:marTop w:val="0"/>
      <w:marBottom w:val="0"/>
      <w:divBdr>
        <w:top w:val="none" w:sz="0" w:space="0" w:color="auto"/>
        <w:left w:val="none" w:sz="0" w:space="0" w:color="auto"/>
        <w:bottom w:val="none" w:sz="0" w:space="0" w:color="auto"/>
        <w:right w:val="none" w:sz="0" w:space="0" w:color="auto"/>
      </w:divBdr>
    </w:div>
    <w:div w:id="1592470637">
      <w:bodyDiv w:val="1"/>
      <w:marLeft w:val="0"/>
      <w:marRight w:val="0"/>
      <w:marTop w:val="0"/>
      <w:marBottom w:val="0"/>
      <w:divBdr>
        <w:top w:val="none" w:sz="0" w:space="0" w:color="auto"/>
        <w:left w:val="none" w:sz="0" w:space="0" w:color="auto"/>
        <w:bottom w:val="none" w:sz="0" w:space="0" w:color="auto"/>
        <w:right w:val="none" w:sz="0" w:space="0" w:color="auto"/>
      </w:divBdr>
    </w:div>
    <w:div w:id="1593322975">
      <w:bodyDiv w:val="1"/>
      <w:marLeft w:val="0"/>
      <w:marRight w:val="0"/>
      <w:marTop w:val="0"/>
      <w:marBottom w:val="0"/>
      <w:divBdr>
        <w:top w:val="none" w:sz="0" w:space="0" w:color="auto"/>
        <w:left w:val="none" w:sz="0" w:space="0" w:color="auto"/>
        <w:bottom w:val="none" w:sz="0" w:space="0" w:color="auto"/>
        <w:right w:val="none" w:sz="0" w:space="0" w:color="auto"/>
      </w:divBdr>
    </w:div>
    <w:div w:id="1594583620">
      <w:bodyDiv w:val="1"/>
      <w:marLeft w:val="0"/>
      <w:marRight w:val="0"/>
      <w:marTop w:val="0"/>
      <w:marBottom w:val="0"/>
      <w:divBdr>
        <w:top w:val="none" w:sz="0" w:space="0" w:color="auto"/>
        <w:left w:val="none" w:sz="0" w:space="0" w:color="auto"/>
        <w:bottom w:val="none" w:sz="0" w:space="0" w:color="auto"/>
        <w:right w:val="none" w:sz="0" w:space="0" w:color="auto"/>
      </w:divBdr>
    </w:div>
    <w:div w:id="1595476059">
      <w:bodyDiv w:val="1"/>
      <w:marLeft w:val="0"/>
      <w:marRight w:val="0"/>
      <w:marTop w:val="0"/>
      <w:marBottom w:val="0"/>
      <w:divBdr>
        <w:top w:val="none" w:sz="0" w:space="0" w:color="auto"/>
        <w:left w:val="none" w:sz="0" w:space="0" w:color="auto"/>
        <w:bottom w:val="none" w:sz="0" w:space="0" w:color="auto"/>
        <w:right w:val="none" w:sz="0" w:space="0" w:color="auto"/>
      </w:divBdr>
    </w:div>
    <w:div w:id="1595825922">
      <w:bodyDiv w:val="1"/>
      <w:marLeft w:val="0"/>
      <w:marRight w:val="0"/>
      <w:marTop w:val="0"/>
      <w:marBottom w:val="0"/>
      <w:divBdr>
        <w:top w:val="none" w:sz="0" w:space="0" w:color="auto"/>
        <w:left w:val="none" w:sz="0" w:space="0" w:color="auto"/>
        <w:bottom w:val="none" w:sz="0" w:space="0" w:color="auto"/>
        <w:right w:val="none" w:sz="0" w:space="0" w:color="auto"/>
      </w:divBdr>
    </w:div>
    <w:div w:id="1596009985">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6479768">
      <w:bodyDiv w:val="1"/>
      <w:marLeft w:val="0"/>
      <w:marRight w:val="0"/>
      <w:marTop w:val="0"/>
      <w:marBottom w:val="0"/>
      <w:divBdr>
        <w:top w:val="none" w:sz="0" w:space="0" w:color="auto"/>
        <w:left w:val="none" w:sz="0" w:space="0" w:color="auto"/>
        <w:bottom w:val="none" w:sz="0" w:space="0" w:color="auto"/>
        <w:right w:val="none" w:sz="0" w:space="0" w:color="auto"/>
      </w:divBdr>
    </w:div>
    <w:div w:id="1597129787">
      <w:bodyDiv w:val="1"/>
      <w:marLeft w:val="0"/>
      <w:marRight w:val="0"/>
      <w:marTop w:val="0"/>
      <w:marBottom w:val="0"/>
      <w:divBdr>
        <w:top w:val="none" w:sz="0" w:space="0" w:color="auto"/>
        <w:left w:val="none" w:sz="0" w:space="0" w:color="auto"/>
        <w:bottom w:val="none" w:sz="0" w:space="0" w:color="auto"/>
        <w:right w:val="none" w:sz="0" w:space="0" w:color="auto"/>
      </w:divBdr>
    </w:div>
    <w:div w:id="1598096138">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1841158">
      <w:bodyDiv w:val="1"/>
      <w:marLeft w:val="0"/>
      <w:marRight w:val="0"/>
      <w:marTop w:val="0"/>
      <w:marBottom w:val="0"/>
      <w:divBdr>
        <w:top w:val="none" w:sz="0" w:space="0" w:color="auto"/>
        <w:left w:val="none" w:sz="0" w:space="0" w:color="auto"/>
        <w:bottom w:val="none" w:sz="0" w:space="0" w:color="auto"/>
        <w:right w:val="none" w:sz="0" w:space="0" w:color="auto"/>
      </w:divBdr>
    </w:div>
    <w:div w:id="1602762700">
      <w:bodyDiv w:val="1"/>
      <w:marLeft w:val="0"/>
      <w:marRight w:val="0"/>
      <w:marTop w:val="0"/>
      <w:marBottom w:val="0"/>
      <w:divBdr>
        <w:top w:val="none" w:sz="0" w:space="0" w:color="auto"/>
        <w:left w:val="none" w:sz="0" w:space="0" w:color="auto"/>
        <w:bottom w:val="none" w:sz="0" w:space="0" w:color="auto"/>
        <w:right w:val="none" w:sz="0" w:space="0" w:color="auto"/>
      </w:divBdr>
    </w:div>
    <w:div w:id="1603957054">
      <w:bodyDiv w:val="1"/>
      <w:marLeft w:val="0"/>
      <w:marRight w:val="0"/>
      <w:marTop w:val="0"/>
      <w:marBottom w:val="0"/>
      <w:divBdr>
        <w:top w:val="none" w:sz="0" w:space="0" w:color="auto"/>
        <w:left w:val="none" w:sz="0" w:space="0" w:color="auto"/>
        <w:bottom w:val="none" w:sz="0" w:space="0" w:color="auto"/>
        <w:right w:val="none" w:sz="0" w:space="0" w:color="auto"/>
      </w:divBdr>
    </w:div>
    <w:div w:id="1604606052">
      <w:bodyDiv w:val="1"/>
      <w:marLeft w:val="0"/>
      <w:marRight w:val="0"/>
      <w:marTop w:val="0"/>
      <w:marBottom w:val="0"/>
      <w:divBdr>
        <w:top w:val="none" w:sz="0" w:space="0" w:color="auto"/>
        <w:left w:val="none" w:sz="0" w:space="0" w:color="auto"/>
        <w:bottom w:val="none" w:sz="0" w:space="0" w:color="auto"/>
        <w:right w:val="none" w:sz="0" w:space="0" w:color="auto"/>
      </w:divBdr>
    </w:div>
    <w:div w:id="1607299995">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7687873">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9777396">
      <w:bodyDiv w:val="1"/>
      <w:marLeft w:val="0"/>
      <w:marRight w:val="0"/>
      <w:marTop w:val="0"/>
      <w:marBottom w:val="0"/>
      <w:divBdr>
        <w:top w:val="none" w:sz="0" w:space="0" w:color="auto"/>
        <w:left w:val="none" w:sz="0" w:space="0" w:color="auto"/>
        <w:bottom w:val="none" w:sz="0" w:space="0" w:color="auto"/>
        <w:right w:val="none" w:sz="0" w:space="0" w:color="auto"/>
      </w:divBdr>
    </w:div>
    <w:div w:id="1612009563">
      <w:bodyDiv w:val="1"/>
      <w:marLeft w:val="0"/>
      <w:marRight w:val="0"/>
      <w:marTop w:val="0"/>
      <w:marBottom w:val="0"/>
      <w:divBdr>
        <w:top w:val="none" w:sz="0" w:space="0" w:color="auto"/>
        <w:left w:val="none" w:sz="0" w:space="0" w:color="auto"/>
        <w:bottom w:val="none" w:sz="0" w:space="0" w:color="auto"/>
        <w:right w:val="none" w:sz="0" w:space="0" w:color="auto"/>
      </w:divBdr>
    </w:div>
    <w:div w:id="1615407887">
      <w:bodyDiv w:val="1"/>
      <w:marLeft w:val="0"/>
      <w:marRight w:val="0"/>
      <w:marTop w:val="0"/>
      <w:marBottom w:val="0"/>
      <w:divBdr>
        <w:top w:val="none" w:sz="0" w:space="0" w:color="auto"/>
        <w:left w:val="none" w:sz="0" w:space="0" w:color="auto"/>
        <w:bottom w:val="none" w:sz="0" w:space="0" w:color="auto"/>
        <w:right w:val="none" w:sz="0" w:space="0" w:color="auto"/>
      </w:divBdr>
    </w:div>
    <w:div w:id="1615554838">
      <w:bodyDiv w:val="1"/>
      <w:marLeft w:val="0"/>
      <w:marRight w:val="0"/>
      <w:marTop w:val="0"/>
      <w:marBottom w:val="0"/>
      <w:divBdr>
        <w:top w:val="none" w:sz="0" w:space="0" w:color="auto"/>
        <w:left w:val="none" w:sz="0" w:space="0" w:color="auto"/>
        <w:bottom w:val="none" w:sz="0" w:space="0" w:color="auto"/>
        <w:right w:val="none" w:sz="0" w:space="0" w:color="auto"/>
      </w:divBdr>
    </w:div>
    <w:div w:id="1619753479">
      <w:bodyDiv w:val="1"/>
      <w:marLeft w:val="0"/>
      <w:marRight w:val="0"/>
      <w:marTop w:val="0"/>
      <w:marBottom w:val="0"/>
      <w:divBdr>
        <w:top w:val="none" w:sz="0" w:space="0" w:color="auto"/>
        <w:left w:val="none" w:sz="0" w:space="0" w:color="auto"/>
        <w:bottom w:val="none" w:sz="0" w:space="0" w:color="auto"/>
        <w:right w:val="none" w:sz="0" w:space="0" w:color="auto"/>
      </w:divBdr>
    </w:div>
    <w:div w:id="1620144333">
      <w:bodyDiv w:val="1"/>
      <w:marLeft w:val="0"/>
      <w:marRight w:val="0"/>
      <w:marTop w:val="0"/>
      <w:marBottom w:val="0"/>
      <w:divBdr>
        <w:top w:val="none" w:sz="0" w:space="0" w:color="auto"/>
        <w:left w:val="none" w:sz="0" w:space="0" w:color="auto"/>
        <w:bottom w:val="none" w:sz="0" w:space="0" w:color="auto"/>
        <w:right w:val="none" w:sz="0" w:space="0" w:color="auto"/>
      </w:divBdr>
    </w:div>
    <w:div w:id="1620910475">
      <w:bodyDiv w:val="1"/>
      <w:marLeft w:val="0"/>
      <w:marRight w:val="0"/>
      <w:marTop w:val="0"/>
      <w:marBottom w:val="0"/>
      <w:divBdr>
        <w:top w:val="none" w:sz="0" w:space="0" w:color="auto"/>
        <w:left w:val="none" w:sz="0" w:space="0" w:color="auto"/>
        <w:bottom w:val="none" w:sz="0" w:space="0" w:color="auto"/>
        <w:right w:val="none" w:sz="0" w:space="0" w:color="auto"/>
      </w:divBdr>
    </w:div>
    <w:div w:id="1622372059">
      <w:bodyDiv w:val="1"/>
      <w:marLeft w:val="0"/>
      <w:marRight w:val="0"/>
      <w:marTop w:val="0"/>
      <w:marBottom w:val="0"/>
      <w:divBdr>
        <w:top w:val="none" w:sz="0" w:space="0" w:color="auto"/>
        <w:left w:val="none" w:sz="0" w:space="0" w:color="auto"/>
        <w:bottom w:val="none" w:sz="0" w:space="0" w:color="auto"/>
        <w:right w:val="none" w:sz="0" w:space="0" w:color="auto"/>
      </w:divBdr>
    </w:div>
    <w:div w:id="1622802627">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2881601">
      <w:bodyDiv w:val="1"/>
      <w:marLeft w:val="0"/>
      <w:marRight w:val="0"/>
      <w:marTop w:val="0"/>
      <w:marBottom w:val="0"/>
      <w:divBdr>
        <w:top w:val="none" w:sz="0" w:space="0" w:color="auto"/>
        <w:left w:val="none" w:sz="0" w:space="0" w:color="auto"/>
        <w:bottom w:val="none" w:sz="0" w:space="0" w:color="auto"/>
        <w:right w:val="none" w:sz="0" w:space="0" w:color="auto"/>
      </w:divBdr>
    </w:div>
    <w:div w:id="1623851528">
      <w:bodyDiv w:val="1"/>
      <w:marLeft w:val="0"/>
      <w:marRight w:val="0"/>
      <w:marTop w:val="0"/>
      <w:marBottom w:val="0"/>
      <w:divBdr>
        <w:top w:val="none" w:sz="0" w:space="0" w:color="auto"/>
        <w:left w:val="none" w:sz="0" w:space="0" w:color="auto"/>
        <w:bottom w:val="none" w:sz="0" w:space="0" w:color="auto"/>
        <w:right w:val="none" w:sz="0" w:space="0" w:color="auto"/>
      </w:divBdr>
    </w:div>
    <w:div w:id="1625228140">
      <w:bodyDiv w:val="1"/>
      <w:marLeft w:val="0"/>
      <w:marRight w:val="0"/>
      <w:marTop w:val="0"/>
      <w:marBottom w:val="0"/>
      <w:divBdr>
        <w:top w:val="none" w:sz="0" w:space="0" w:color="auto"/>
        <w:left w:val="none" w:sz="0" w:space="0" w:color="auto"/>
        <w:bottom w:val="none" w:sz="0" w:space="0" w:color="auto"/>
        <w:right w:val="none" w:sz="0" w:space="0" w:color="auto"/>
      </w:divBdr>
    </w:div>
    <w:div w:id="1626277178">
      <w:bodyDiv w:val="1"/>
      <w:marLeft w:val="0"/>
      <w:marRight w:val="0"/>
      <w:marTop w:val="0"/>
      <w:marBottom w:val="0"/>
      <w:divBdr>
        <w:top w:val="none" w:sz="0" w:space="0" w:color="auto"/>
        <w:left w:val="none" w:sz="0" w:space="0" w:color="auto"/>
        <w:bottom w:val="none" w:sz="0" w:space="0" w:color="auto"/>
        <w:right w:val="none" w:sz="0" w:space="0" w:color="auto"/>
      </w:divBdr>
    </w:div>
    <w:div w:id="1626351212">
      <w:bodyDiv w:val="1"/>
      <w:marLeft w:val="0"/>
      <w:marRight w:val="0"/>
      <w:marTop w:val="0"/>
      <w:marBottom w:val="0"/>
      <w:divBdr>
        <w:top w:val="none" w:sz="0" w:space="0" w:color="auto"/>
        <w:left w:val="none" w:sz="0" w:space="0" w:color="auto"/>
        <w:bottom w:val="none" w:sz="0" w:space="0" w:color="auto"/>
        <w:right w:val="none" w:sz="0" w:space="0" w:color="auto"/>
      </w:divBdr>
    </w:div>
    <w:div w:id="1626496373">
      <w:bodyDiv w:val="1"/>
      <w:marLeft w:val="0"/>
      <w:marRight w:val="0"/>
      <w:marTop w:val="0"/>
      <w:marBottom w:val="0"/>
      <w:divBdr>
        <w:top w:val="none" w:sz="0" w:space="0" w:color="auto"/>
        <w:left w:val="none" w:sz="0" w:space="0" w:color="auto"/>
        <w:bottom w:val="none" w:sz="0" w:space="0" w:color="auto"/>
        <w:right w:val="none" w:sz="0" w:space="0" w:color="auto"/>
      </w:divBdr>
    </w:div>
    <w:div w:id="1629898629">
      <w:bodyDiv w:val="1"/>
      <w:marLeft w:val="0"/>
      <w:marRight w:val="0"/>
      <w:marTop w:val="0"/>
      <w:marBottom w:val="0"/>
      <w:divBdr>
        <w:top w:val="none" w:sz="0" w:space="0" w:color="auto"/>
        <w:left w:val="none" w:sz="0" w:space="0" w:color="auto"/>
        <w:bottom w:val="none" w:sz="0" w:space="0" w:color="auto"/>
        <w:right w:val="none" w:sz="0" w:space="0" w:color="auto"/>
      </w:divBdr>
    </w:div>
    <w:div w:id="1630208657">
      <w:bodyDiv w:val="1"/>
      <w:marLeft w:val="0"/>
      <w:marRight w:val="0"/>
      <w:marTop w:val="0"/>
      <w:marBottom w:val="0"/>
      <w:divBdr>
        <w:top w:val="none" w:sz="0" w:space="0" w:color="auto"/>
        <w:left w:val="none" w:sz="0" w:space="0" w:color="auto"/>
        <w:bottom w:val="none" w:sz="0" w:space="0" w:color="auto"/>
        <w:right w:val="none" w:sz="0" w:space="0" w:color="auto"/>
      </w:divBdr>
    </w:div>
    <w:div w:id="1634821458">
      <w:bodyDiv w:val="1"/>
      <w:marLeft w:val="0"/>
      <w:marRight w:val="0"/>
      <w:marTop w:val="0"/>
      <w:marBottom w:val="0"/>
      <w:divBdr>
        <w:top w:val="none" w:sz="0" w:space="0" w:color="auto"/>
        <w:left w:val="none" w:sz="0" w:space="0" w:color="auto"/>
        <w:bottom w:val="none" w:sz="0" w:space="0" w:color="auto"/>
        <w:right w:val="none" w:sz="0" w:space="0" w:color="auto"/>
      </w:divBdr>
    </w:div>
    <w:div w:id="1634872756">
      <w:bodyDiv w:val="1"/>
      <w:marLeft w:val="0"/>
      <w:marRight w:val="0"/>
      <w:marTop w:val="0"/>
      <w:marBottom w:val="0"/>
      <w:divBdr>
        <w:top w:val="none" w:sz="0" w:space="0" w:color="auto"/>
        <w:left w:val="none" w:sz="0" w:space="0" w:color="auto"/>
        <w:bottom w:val="none" w:sz="0" w:space="0" w:color="auto"/>
        <w:right w:val="none" w:sz="0" w:space="0" w:color="auto"/>
      </w:divBdr>
    </w:div>
    <w:div w:id="1635059569">
      <w:bodyDiv w:val="1"/>
      <w:marLeft w:val="0"/>
      <w:marRight w:val="0"/>
      <w:marTop w:val="0"/>
      <w:marBottom w:val="0"/>
      <w:divBdr>
        <w:top w:val="none" w:sz="0" w:space="0" w:color="auto"/>
        <w:left w:val="none" w:sz="0" w:space="0" w:color="auto"/>
        <w:bottom w:val="none" w:sz="0" w:space="0" w:color="auto"/>
        <w:right w:val="none" w:sz="0" w:space="0" w:color="auto"/>
      </w:divBdr>
    </w:div>
    <w:div w:id="1635139578">
      <w:bodyDiv w:val="1"/>
      <w:marLeft w:val="0"/>
      <w:marRight w:val="0"/>
      <w:marTop w:val="0"/>
      <w:marBottom w:val="0"/>
      <w:divBdr>
        <w:top w:val="none" w:sz="0" w:space="0" w:color="auto"/>
        <w:left w:val="none" w:sz="0" w:space="0" w:color="auto"/>
        <w:bottom w:val="none" w:sz="0" w:space="0" w:color="auto"/>
        <w:right w:val="none" w:sz="0" w:space="0" w:color="auto"/>
      </w:divBdr>
    </w:div>
    <w:div w:id="1635405001">
      <w:bodyDiv w:val="1"/>
      <w:marLeft w:val="0"/>
      <w:marRight w:val="0"/>
      <w:marTop w:val="0"/>
      <w:marBottom w:val="0"/>
      <w:divBdr>
        <w:top w:val="none" w:sz="0" w:space="0" w:color="auto"/>
        <w:left w:val="none" w:sz="0" w:space="0" w:color="auto"/>
        <w:bottom w:val="none" w:sz="0" w:space="0" w:color="auto"/>
        <w:right w:val="none" w:sz="0" w:space="0" w:color="auto"/>
      </w:divBdr>
    </w:div>
    <w:div w:id="1636180378">
      <w:bodyDiv w:val="1"/>
      <w:marLeft w:val="0"/>
      <w:marRight w:val="0"/>
      <w:marTop w:val="0"/>
      <w:marBottom w:val="0"/>
      <w:divBdr>
        <w:top w:val="none" w:sz="0" w:space="0" w:color="auto"/>
        <w:left w:val="none" w:sz="0" w:space="0" w:color="auto"/>
        <w:bottom w:val="none" w:sz="0" w:space="0" w:color="auto"/>
        <w:right w:val="none" w:sz="0" w:space="0" w:color="auto"/>
      </w:divBdr>
    </w:div>
    <w:div w:id="1638608357">
      <w:bodyDiv w:val="1"/>
      <w:marLeft w:val="0"/>
      <w:marRight w:val="0"/>
      <w:marTop w:val="0"/>
      <w:marBottom w:val="0"/>
      <w:divBdr>
        <w:top w:val="none" w:sz="0" w:space="0" w:color="auto"/>
        <w:left w:val="none" w:sz="0" w:space="0" w:color="auto"/>
        <w:bottom w:val="none" w:sz="0" w:space="0" w:color="auto"/>
        <w:right w:val="none" w:sz="0" w:space="0" w:color="auto"/>
      </w:divBdr>
    </w:div>
    <w:div w:id="1640065258">
      <w:bodyDiv w:val="1"/>
      <w:marLeft w:val="0"/>
      <w:marRight w:val="0"/>
      <w:marTop w:val="0"/>
      <w:marBottom w:val="0"/>
      <w:divBdr>
        <w:top w:val="none" w:sz="0" w:space="0" w:color="auto"/>
        <w:left w:val="none" w:sz="0" w:space="0" w:color="auto"/>
        <w:bottom w:val="none" w:sz="0" w:space="0" w:color="auto"/>
        <w:right w:val="none" w:sz="0" w:space="0" w:color="auto"/>
      </w:divBdr>
    </w:div>
    <w:div w:id="1641033565">
      <w:bodyDiv w:val="1"/>
      <w:marLeft w:val="0"/>
      <w:marRight w:val="0"/>
      <w:marTop w:val="0"/>
      <w:marBottom w:val="0"/>
      <w:divBdr>
        <w:top w:val="none" w:sz="0" w:space="0" w:color="auto"/>
        <w:left w:val="none" w:sz="0" w:space="0" w:color="auto"/>
        <w:bottom w:val="none" w:sz="0" w:space="0" w:color="auto"/>
        <w:right w:val="none" w:sz="0" w:space="0" w:color="auto"/>
      </w:divBdr>
    </w:div>
    <w:div w:id="1641421200">
      <w:bodyDiv w:val="1"/>
      <w:marLeft w:val="0"/>
      <w:marRight w:val="0"/>
      <w:marTop w:val="0"/>
      <w:marBottom w:val="0"/>
      <w:divBdr>
        <w:top w:val="none" w:sz="0" w:space="0" w:color="auto"/>
        <w:left w:val="none" w:sz="0" w:space="0" w:color="auto"/>
        <w:bottom w:val="none" w:sz="0" w:space="0" w:color="auto"/>
        <w:right w:val="none" w:sz="0" w:space="0" w:color="auto"/>
      </w:divBdr>
    </w:div>
    <w:div w:id="1641692746">
      <w:bodyDiv w:val="1"/>
      <w:marLeft w:val="0"/>
      <w:marRight w:val="0"/>
      <w:marTop w:val="0"/>
      <w:marBottom w:val="0"/>
      <w:divBdr>
        <w:top w:val="none" w:sz="0" w:space="0" w:color="auto"/>
        <w:left w:val="none" w:sz="0" w:space="0" w:color="auto"/>
        <w:bottom w:val="none" w:sz="0" w:space="0" w:color="auto"/>
        <w:right w:val="none" w:sz="0" w:space="0" w:color="auto"/>
      </w:divBdr>
    </w:div>
    <w:div w:id="1642537079">
      <w:bodyDiv w:val="1"/>
      <w:marLeft w:val="0"/>
      <w:marRight w:val="0"/>
      <w:marTop w:val="0"/>
      <w:marBottom w:val="0"/>
      <w:divBdr>
        <w:top w:val="none" w:sz="0" w:space="0" w:color="auto"/>
        <w:left w:val="none" w:sz="0" w:space="0" w:color="auto"/>
        <w:bottom w:val="none" w:sz="0" w:space="0" w:color="auto"/>
        <w:right w:val="none" w:sz="0" w:space="0" w:color="auto"/>
      </w:divBdr>
    </w:div>
    <w:div w:id="1644197007">
      <w:bodyDiv w:val="1"/>
      <w:marLeft w:val="0"/>
      <w:marRight w:val="0"/>
      <w:marTop w:val="0"/>
      <w:marBottom w:val="0"/>
      <w:divBdr>
        <w:top w:val="none" w:sz="0" w:space="0" w:color="auto"/>
        <w:left w:val="none" w:sz="0" w:space="0" w:color="auto"/>
        <w:bottom w:val="none" w:sz="0" w:space="0" w:color="auto"/>
        <w:right w:val="none" w:sz="0" w:space="0" w:color="auto"/>
      </w:divBdr>
    </w:div>
    <w:div w:id="1644264671">
      <w:bodyDiv w:val="1"/>
      <w:marLeft w:val="0"/>
      <w:marRight w:val="0"/>
      <w:marTop w:val="0"/>
      <w:marBottom w:val="0"/>
      <w:divBdr>
        <w:top w:val="none" w:sz="0" w:space="0" w:color="auto"/>
        <w:left w:val="none" w:sz="0" w:space="0" w:color="auto"/>
        <w:bottom w:val="none" w:sz="0" w:space="0" w:color="auto"/>
        <w:right w:val="none" w:sz="0" w:space="0" w:color="auto"/>
      </w:divBdr>
    </w:div>
    <w:div w:id="1646204071">
      <w:bodyDiv w:val="1"/>
      <w:marLeft w:val="0"/>
      <w:marRight w:val="0"/>
      <w:marTop w:val="0"/>
      <w:marBottom w:val="0"/>
      <w:divBdr>
        <w:top w:val="none" w:sz="0" w:space="0" w:color="auto"/>
        <w:left w:val="none" w:sz="0" w:space="0" w:color="auto"/>
        <w:bottom w:val="none" w:sz="0" w:space="0" w:color="auto"/>
        <w:right w:val="none" w:sz="0" w:space="0" w:color="auto"/>
      </w:divBdr>
    </w:div>
    <w:div w:id="1648322228">
      <w:bodyDiv w:val="1"/>
      <w:marLeft w:val="0"/>
      <w:marRight w:val="0"/>
      <w:marTop w:val="0"/>
      <w:marBottom w:val="0"/>
      <w:divBdr>
        <w:top w:val="none" w:sz="0" w:space="0" w:color="auto"/>
        <w:left w:val="none" w:sz="0" w:space="0" w:color="auto"/>
        <w:bottom w:val="none" w:sz="0" w:space="0" w:color="auto"/>
        <w:right w:val="none" w:sz="0" w:space="0" w:color="auto"/>
      </w:divBdr>
    </w:div>
    <w:div w:id="1649433445">
      <w:bodyDiv w:val="1"/>
      <w:marLeft w:val="0"/>
      <w:marRight w:val="0"/>
      <w:marTop w:val="0"/>
      <w:marBottom w:val="0"/>
      <w:divBdr>
        <w:top w:val="none" w:sz="0" w:space="0" w:color="auto"/>
        <w:left w:val="none" w:sz="0" w:space="0" w:color="auto"/>
        <w:bottom w:val="none" w:sz="0" w:space="0" w:color="auto"/>
        <w:right w:val="none" w:sz="0" w:space="0" w:color="auto"/>
      </w:divBdr>
    </w:div>
    <w:div w:id="1652754457">
      <w:bodyDiv w:val="1"/>
      <w:marLeft w:val="0"/>
      <w:marRight w:val="0"/>
      <w:marTop w:val="0"/>
      <w:marBottom w:val="0"/>
      <w:divBdr>
        <w:top w:val="none" w:sz="0" w:space="0" w:color="auto"/>
        <w:left w:val="none" w:sz="0" w:space="0" w:color="auto"/>
        <w:bottom w:val="none" w:sz="0" w:space="0" w:color="auto"/>
        <w:right w:val="none" w:sz="0" w:space="0" w:color="auto"/>
      </w:divBdr>
    </w:div>
    <w:div w:id="1654260901">
      <w:bodyDiv w:val="1"/>
      <w:marLeft w:val="0"/>
      <w:marRight w:val="0"/>
      <w:marTop w:val="0"/>
      <w:marBottom w:val="0"/>
      <w:divBdr>
        <w:top w:val="none" w:sz="0" w:space="0" w:color="auto"/>
        <w:left w:val="none" w:sz="0" w:space="0" w:color="auto"/>
        <w:bottom w:val="none" w:sz="0" w:space="0" w:color="auto"/>
        <w:right w:val="none" w:sz="0" w:space="0" w:color="auto"/>
      </w:divBdr>
    </w:div>
    <w:div w:id="1656030794">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074038">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3116962">
      <w:bodyDiv w:val="1"/>
      <w:marLeft w:val="0"/>
      <w:marRight w:val="0"/>
      <w:marTop w:val="0"/>
      <w:marBottom w:val="0"/>
      <w:divBdr>
        <w:top w:val="none" w:sz="0" w:space="0" w:color="auto"/>
        <w:left w:val="none" w:sz="0" w:space="0" w:color="auto"/>
        <w:bottom w:val="none" w:sz="0" w:space="0" w:color="auto"/>
        <w:right w:val="none" w:sz="0" w:space="0" w:color="auto"/>
      </w:divBdr>
    </w:div>
    <w:div w:id="1663851099">
      <w:bodyDiv w:val="1"/>
      <w:marLeft w:val="0"/>
      <w:marRight w:val="0"/>
      <w:marTop w:val="0"/>
      <w:marBottom w:val="0"/>
      <w:divBdr>
        <w:top w:val="none" w:sz="0" w:space="0" w:color="auto"/>
        <w:left w:val="none" w:sz="0" w:space="0" w:color="auto"/>
        <w:bottom w:val="none" w:sz="0" w:space="0" w:color="auto"/>
        <w:right w:val="none" w:sz="0" w:space="0" w:color="auto"/>
      </w:divBdr>
    </w:div>
    <w:div w:id="1665863602">
      <w:bodyDiv w:val="1"/>
      <w:marLeft w:val="0"/>
      <w:marRight w:val="0"/>
      <w:marTop w:val="0"/>
      <w:marBottom w:val="0"/>
      <w:divBdr>
        <w:top w:val="none" w:sz="0" w:space="0" w:color="auto"/>
        <w:left w:val="none" w:sz="0" w:space="0" w:color="auto"/>
        <w:bottom w:val="none" w:sz="0" w:space="0" w:color="auto"/>
        <w:right w:val="none" w:sz="0" w:space="0" w:color="auto"/>
      </w:divBdr>
    </w:div>
    <w:div w:id="1667318825">
      <w:bodyDiv w:val="1"/>
      <w:marLeft w:val="0"/>
      <w:marRight w:val="0"/>
      <w:marTop w:val="0"/>
      <w:marBottom w:val="0"/>
      <w:divBdr>
        <w:top w:val="none" w:sz="0" w:space="0" w:color="auto"/>
        <w:left w:val="none" w:sz="0" w:space="0" w:color="auto"/>
        <w:bottom w:val="none" w:sz="0" w:space="0" w:color="auto"/>
        <w:right w:val="none" w:sz="0" w:space="0" w:color="auto"/>
      </w:divBdr>
    </w:div>
    <w:div w:id="1670209284">
      <w:bodyDiv w:val="1"/>
      <w:marLeft w:val="0"/>
      <w:marRight w:val="0"/>
      <w:marTop w:val="0"/>
      <w:marBottom w:val="0"/>
      <w:divBdr>
        <w:top w:val="none" w:sz="0" w:space="0" w:color="auto"/>
        <w:left w:val="none" w:sz="0" w:space="0" w:color="auto"/>
        <w:bottom w:val="none" w:sz="0" w:space="0" w:color="auto"/>
        <w:right w:val="none" w:sz="0" w:space="0" w:color="auto"/>
      </w:divBdr>
    </w:div>
    <w:div w:id="1670938605">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3414448">
      <w:bodyDiv w:val="1"/>
      <w:marLeft w:val="0"/>
      <w:marRight w:val="0"/>
      <w:marTop w:val="0"/>
      <w:marBottom w:val="0"/>
      <w:divBdr>
        <w:top w:val="none" w:sz="0" w:space="0" w:color="auto"/>
        <w:left w:val="none" w:sz="0" w:space="0" w:color="auto"/>
        <w:bottom w:val="none" w:sz="0" w:space="0" w:color="auto"/>
        <w:right w:val="none" w:sz="0" w:space="0" w:color="auto"/>
      </w:divBdr>
    </w:div>
    <w:div w:id="1673600432">
      <w:bodyDiv w:val="1"/>
      <w:marLeft w:val="0"/>
      <w:marRight w:val="0"/>
      <w:marTop w:val="0"/>
      <w:marBottom w:val="0"/>
      <w:divBdr>
        <w:top w:val="none" w:sz="0" w:space="0" w:color="auto"/>
        <w:left w:val="none" w:sz="0" w:space="0" w:color="auto"/>
        <w:bottom w:val="none" w:sz="0" w:space="0" w:color="auto"/>
        <w:right w:val="none" w:sz="0" w:space="0" w:color="auto"/>
      </w:divBdr>
    </w:div>
    <w:div w:id="1673601319">
      <w:bodyDiv w:val="1"/>
      <w:marLeft w:val="0"/>
      <w:marRight w:val="0"/>
      <w:marTop w:val="0"/>
      <w:marBottom w:val="0"/>
      <w:divBdr>
        <w:top w:val="none" w:sz="0" w:space="0" w:color="auto"/>
        <w:left w:val="none" w:sz="0" w:space="0" w:color="auto"/>
        <w:bottom w:val="none" w:sz="0" w:space="0" w:color="auto"/>
        <w:right w:val="none" w:sz="0" w:space="0" w:color="auto"/>
      </w:divBdr>
    </w:div>
    <w:div w:id="1673989611">
      <w:bodyDiv w:val="1"/>
      <w:marLeft w:val="0"/>
      <w:marRight w:val="0"/>
      <w:marTop w:val="0"/>
      <w:marBottom w:val="0"/>
      <w:divBdr>
        <w:top w:val="none" w:sz="0" w:space="0" w:color="auto"/>
        <w:left w:val="none" w:sz="0" w:space="0" w:color="auto"/>
        <w:bottom w:val="none" w:sz="0" w:space="0" w:color="auto"/>
        <w:right w:val="none" w:sz="0" w:space="0" w:color="auto"/>
      </w:divBdr>
    </w:div>
    <w:div w:id="1674144198">
      <w:bodyDiv w:val="1"/>
      <w:marLeft w:val="0"/>
      <w:marRight w:val="0"/>
      <w:marTop w:val="0"/>
      <w:marBottom w:val="0"/>
      <w:divBdr>
        <w:top w:val="none" w:sz="0" w:space="0" w:color="auto"/>
        <w:left w:val="none" w:sz="0" w:space="0" w:color="auto"/>
        <w:bottom w:val="none" w:sz="0" w:space="0" w:color="auto"/>
        <w:right w:val="none" w:sz="0" w:space="0" w:color="auto"/>
      </w:divBdr>
    </w:div>
    <w:div w:id="1675112376">
      <w:bodyDiv w:val="1"/>
      <w:marLeft w:val="0"/>
      <w:marRight w:val="0"/>
      <w:marTop w:val="0"/>
      <w:marBottom w:val="0"/>
      <w:divBdr>
        <w:top w:val="none" w:sz="0" w:space="0" w:color="auto"/>
        <w:left w:val="none" w:sz="0" w:space="0" w:color="auto"/>
        <w:bottom w:val="none" w:sz="0" w:space="0" w:color="auto"/>
        <w:right w:val="none" w:sz="0" w:space="0" w:color="auto"/>
      </w:divBdr>
    </w:div>
    <w:div w:id="1675186030">
      <w:bodyDiv w:val="1"/>
      <w:marLeft w:val="0"/>
      <w:marRight w:val="0"/>
      <w:marTop w:val="0"/>
      <w:marBottom w:val="0"/>
      <w:divBdr>
        <w:top w:val="none" w:sz="0" w:space="0" w:color="auto"/>
        <w:left w:val="none" w:sz="0" w:space="0" w:color="auto"/>
        <w:bottom w:val="none" w:sz="0" w:space="0" w:color="auto"/>
        <w:right w:val="none" w:sz="0" w:space="0" w:color="auto"/>
      </w:divBdr>
    </w:div>
    <w:div w:id="1678573694">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699342">
      <w:bodyDiv w:val="1"/>
      <w:marLeft w:val="0"/>
      <w:marRight w:val="0"/>
      <w:marTop w:val="0"/>
      <w:marBottom w:val="0"/>
      <w:divBdr>
        <w:top w:val="none" w:sz="0" w:space="0" w:color="auto"/>
        <w:left w:val="none" w:sz="0" w:space="0" w:color="auto"/>
        <w:bottom w:val="none" w:sz="0" w:space="0" w:color="auto"/>
        <w:right w:val="none" w:sz="0" w:space="0" w:color="auto"/>
      </w:divBdr>
    </w:div>
    <w:div w:id="1681082779">
      <w:bodyDiv w:val="1"/>
      <w:marLeft w:val="0"/>
      <w:marRight w:val="0"/>
      <w:marTop w:val="0"/>
      <w:marBottom w:val="0"/>
      <w:divBdr>
        <w:top w:val="none" w:sz="0" w:space="0" w:color="auto"/>
        <w:left w:val="none" w:sz="0" w:space="0" w:color="auto"/>
        <w:bottom w:val="none" w:sz="0" w:space="0" w:color="auto"/>
        <w:right w:val="none" w:sz="0" w:space="0" w:color="auto"/>
      </w:divBdr>
    </w:div>
    <w:div w:id="1683820972">
      <w:bodyDiv w:val="1"/>
      <w:marLeft w:val="0"/>
      <w:marRight w:val="0"/>
      <w:marTop w:val="0"/>
      <w:marBottom w:val="0"/>
      <w:divBdr>
        <w:top w:val="none" w:sz="0" w:space="0" w:color="auto"/>
        <w:left w:val="none" w:sz="0" w:space="0" w:color="auto"/>
        <w:bottom w:val="none" w:sz="0" w:space="0" w:color="auto"/>
        <w:right w:val="none" w:sz="0" w:space="0" w:color="auto"/>
      </w:divBdr>
    </w:div>
    <w:div w:id="1685740951">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7825016">
      <w:bodyDiv w:val="1"/>
      <w:marLeft w:val="0"/>
      <w:marRight w:val="0"/>
      <w:marTop w:val="0"/>
      <w:marBottom w:val="0"/>
      <w:divBdr>
        <w:top w:val="none" w:sz="0" w:space="0" w:color="auto"/>
        <w:left w:val="none" w:sz="0" w:space="0" w:color="auto"/>
        <w:bottom w:val="none" w:sz="0" w:space="0" w:color="auto"/>
        <w:right w:val="none" w:sz="0" w:space="0" w:color="auto"/>
      </w:divBdr>
    </w:div>
    <w:div w:id="1689524689">
      <w:bodyDiv w:val="1"/>
      <w:marLeft w:val="0"/>
      <w:marRight w:val="0"/>
      <w:marTop w:val="0"/>
      <w:marBottom w:val="0"/>
      <w:divBdr>
        <w:top w:val="none" w:sz="0" w:space="0" w:color="auto"/>
        <w:left w:val="none" w:sz="0" w:space="0" w:color="auto"/>
        <w:bottom w:val="none" w:sz="0" w:space="0" w:color="auto"/>
        <w:right w:val="none" w:sz="0" w:space="0" w:color="auto"/>
      </w:divBdr>
    </w:div>
    <w:div w:id="1689673313">
      <w:bodyDiv w:val="1"/>
      <w:marLeft w:val="0"/>
      <w:marRight w:val="0"/>
      <w:marTop w:val="0"/>
      <w:marBottom w:val="0"/>
      <w:divBdr>
        <w:top w:val="none" w:sz="0" w:space="0" w:color="auto"/>
        <w:left w:val="none" w:sz="0" w:space="0" w:color="auto"/>
        <w:bottom w:val="none" w:sz="0" w:space="0" w:color="auto"/>
        <w:right w:val="none" w:sz="0" w:space="0" w:color="auto"/>
      </w:divBdr>
    </w:div>
    <w:div w:id="1690133545">
      <w:bodyDiv w:val="1"/>
      <w:marLeft w:val="0"/>
      <w:marRight w:val="0"/>
      <w:marTop w:val="0"/>
      <w:marBottom w:val="0"/>
      <w:divBdr>
        <w:top w:val="none" w:sz="0" w:space="0" w:color="auto"/>
        <w:left w:val="none" w:sz="0" w:space="0" w:color="auto"/>
        <w:bottom w:val="none" w:sz="0" w:space="0" w:color="auto"/>
        <w:right w:val="none" w:sz="0" w:space="0" w:color="auto"/>
      </w:divBdr>
    </w:div>
    <w:div w:id="1692219892">
      <w:bodyDiv w:val="1"/>
      <w:marLeft w:val="0"/>
      <w:marRight w:val="0"/>
      <w:marTop w:val="0"/>
      <w:marBottom w:val="0"/>
      <w:divBdr>
        <w:top w:val="none" w:sz="0" w:space="0" w:color="auto"/>
        <w:left w:val="none" w:sz="0" w:space="0" w:color="auto"/>
        <w:bottom w:val="none" w:sz="0" w:space="0" w:color="auto"/>
        <w:right w:val="none" w:sz="0" w:space="0" w:color="auto"/>
      </w:divBdr>
    </w:div>
    <w:div w:id="1693843781">
      <w:bodyDiv w:val="1"/>
      <w:marLeft w:val="0"/>
      <w:marRight w:val="0"/>
      <w:marTop w:val="0"/>
      <w:marBottom w:val="0"/>
      <w:divBdr>
        <w:top w:val="none" w:sz="0" w:space="0" w:color="auto"/>
        <w:left w:val="none" w:sz="0" w:space="0" w:color="auto"/>
        <w:bottom w:val="none" w:sz="0" w:space="0" w:color="auto"/>
        <w:right w:val="none" w:sz="0" w:space="0" w:color="auto"/>
      </w:divBdr>
    </w:div>
    <w:div w:id="1693873653">
      <w:bodyDiv w:val="1"/>
      <w:marLeft w:val="0"/>
      <w:marRight w:val="0"/>
      <w:marTop w:val="0"/>
      <w:marBottom w:val="0"/>
      <w:divBdr>
        <w:top w:val="none" w:sz="0" w:space="0" w:color="auto"/>
        <w:left w:val="none" w:sz="0" w:space="0" w:color="auto"/>
        <w:bottom w:val="none" w:sz="0" w:space="0" w:color="auto"/>
        <w:right w:val="none" w:sz="0" w:space="0" w:color="auto"/>
      </w:divBdr>
    </w:div>
    <w:div w:id="1694069275">
      <w:bodyDiv w:val="1"/>
      <w:marLeft w:val="0"/>
      <w:marRight w:val="0"/>
      <w:marTop w:val="0"/>
      <w:marBottom w:val="0"/>
      <w:divBdr>
        <w:top w:val="none" w:sz="0" w:space="0" w:color="auto"/>
        <w:left w:val="none" w:sz="0" w:space="0" w:color="auto"/>
        <w:bottom w:val="none" w:sz="0" w:space="0" w:color="auto"/>
        <w:right w:val="none" w:sz="0" w:space="0" w:color="auto"/>
      </w:divBdr>
    </w:div>
    <w:div w:id="1694071982">
      <w:bodyDiv w:val="1"/>
      <w:marLeft w:val="0"/>
      <w:marRight w:val="0"/>
      <w:marTop w:val="0"/>
      <w:marBottom w:val="0"/>
      <w:divBdr>
        <w:top w:val="none" w:sz="0" w:space="0" w:color="auto"/>
        <w:left w:val="none" w:sz="0" w:space="0" w:color="auto"/>
        <w:bottom w:val="none" w:sz="0" w:space="0" w:color="auto"/>
        <w:right w:val="none" w:sz="0" w:space="0" w:color="auto"/>
      </w:divBdr>
    </w:div>
    <w:div w:id="1695962369">
      <w:bodyDiv w:val="1"/>
      <w:marLeft w:val="0"/>
      <w:marRight w:val="0"/>
      <w:marTop w:val="0"/>
      <w:marBottom w:val="0"/>
      <w:divBdr>
        <w:top w:val="none" w:sz="0" w:space="0" w:color="auto"/>
        <w:left w:val="none" w:sz="0" w:space="0" w:color="auto"/>
        <w:bottom w:val="none" w:sz="0" w:space="0" w:color="auto"/>
        <w:right w:val="none" w:sz="0" w:space="0" w:color="auto"/>
      </w:divBdr>
    </w:div>
    <w:div w:id="1698266932">
      <w:bodyDiv w:val="1"/>
      <w:marLeft w:val="0"/>
      <w:marRight w:val="0"/>
      <w:marTop w:val="0"/>
      <w:marBottom w:val="0"/>
      <w:divBdr>
        <w:top w:val="none" w:sz="0" w:space="0" w:color="auto"/>
        <w:left w:val="none" w:sz="0" w:space="0" w:color="auto"/>
        <w:bottom w:val="none" w:sz="0" w:space="0" w:color="auto"/>
        <w:right w:val="none" w:sz="0" w:space="0" w:color="auto"/>
      </w:divBdr>
    </w:div>
    <w:div w:id="1698966231">
      <w:bodyDiv w:val="1"/>
      <w:marLeft w:val="0"/>
      <w:marRight w:val="0"/>
      <w:marTop w:val="0"/>
      <w:marBottom w:val="0"/>
      <w:divBdr>
        <w:top w:val="none" w:sz="0" w:space="0" w:color="auto"/>
        <w:left w:val="none" w:sz="0" w:space="0" w:color="auto"/>
        <w:bottom w:val="none" w:sz="0" w:space="0" w:color="auto"/>
        <w:right w:val="none" w:sz="0" w:space="0" w:color="auto"/>
      </w:divBdr>
    </w:div>
    <w:div w:id="1700617217">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438982">
      <w:bodyDiv w:val="1"/>
      <w:marLeft w:val="0"/>
      <w:marRight w:val="0"/>
      <w:marTop w:val="0"/>
      <w:marBottom w:val="0"/>
      <w:divBdr>
        <w:top w:val="none" w:sz="0" w:space="0" w:color="auto"/>
        <w:left w:val="none" w:sz="0" w:space="0" w:color="auto"/>
        <w:bottom w:val="none" w:sz="0" w:space="0" w:color="auto"/>
        <w:right w:val="none" w:sz="0" w:space="0" w:color="auto"/>
      </w:divBdr>
    </w:div>
    <w:div w:id="1708293535">
      <w:bodyDiv w:val="1"/>
      <w:marLeft w:val="0"/>
      <w:marRight w:val="0"/>
      <w:marTop w:val="0"/>
      <w:marBottom w:val="0"/>
      <w:divBdr>
        <w:top w:val="none" w:sz="0" w:space="0" w:color="auto"/>
        <w:left w:val="none" w:sz="0" w:space="0" w:color="auto"/>
        <w:bottom w:val="none" w:sz="0" w:space="0" w:color="auto"/>
        <w:right w:val="none" w:sz="0" w:space="0" w:color="auto"/>
      </w:divBdr>
    </w:div>
    <w:div w:id="1709989476">
      <w:bodyDiv w:val="1"/>
      <w:marLeft w:val="0"/>
      <w:marRight w:val="0"/>
      <w:marTop w:val="0"/>
      <w:marBottom w:val="0"/>
      <w:divBdr>
        <w:top w:val="none" w:sz="0" w:space="0" w:color="auto"/>
        <w:left w:val="none" w:sz="0" w:space="0" w:color="auto"/>
        <w:bottom w:val="none" w:sz="0" w:space="0" w:color="auto"/>
        <w:right w:val="none" w:sz="0" w:space="0" w:color="auto"/>
      </w:divBdr>
    </w:div>
    <w:div w:id="1711955213">
      <w:bodyDiv w:val="1"/>
      <w:marLeft w:val="0"/>
      <w:marRight w:val="0"/>
      <w:marTop w:val="0"/>
      <w:marBottom w:val="0"/>
      <w:divBdr>
        <w:top w:val="none" w:sz="0" w:space="0" w:color="auto"/>
        <w:left w:val="none" w:sz="0" w:space="0" w:color="auto"/>
        <w:bottom w:val="none" w:sz="0" w:space="0" w:color="auto"/>
        <w:right w:val="none" w:sz="0" w:space="0" w:color="auto"/>
      </w:divBdr>
    </w:div>
    <w:div w:id="1711959456">
      <w:bodyDiv w:val="1"/>
      <w:marLeft w:val="0"/>
      <w:marRight w:val="0"/>
      <w:marTop w:val="0"/>
      <w:marBottom w:val="0"/>
      <w:divBdr>
        <w:top w:val="none" w:sz="0" w:space="0" w:color="auto"/>
        <w:left w:val="none" w:sz="0" w:space="0" w:color="auto"/>
        <w:bottom w:val="none" w:sz="0" w:space="0" w:color="auto"/>
        <w:right w:val="none" w:sz="0" w:space="0" w:color="auto"/>
      </w:divBdr>
    </w:div>
    <w:div w:id="17128000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336770">
      <w:bodyDiv w:val="1"/>
      <w:marLeft w:val="0"/>
      <w:marRight w:val="0"/>
      <w:marTop w:val="0"/>
      <w:marBottom w:val="0"/>
      <w:divBdr>
        <w:top w:val="none" w:sz="0" w:space="0" w:color="auto"/>
        <w:left w:val="none" w:sz="0" w:space="0" w:color="auto"/>
        <w:bottom w:val="none" w:sz="0" w:space="0" w:color="auto"/>
        <w:right w:val="none" w:sz="0" w:space="0" w:color="auto"/>
      </w:divBdr>
    </w:div>
    <w:div w:id="1713456793">
      <w:bodyDiv w:val="1"/>
      <w:marLeft w:val="0"/>
      <w:marRight w:val="0"/>
      <w:marTop w:val="0"/>
      <w:marBottom w:val="0"/>
      <w:divBdr>
        <w:top w:val="none" w:sz="0" w:space="0" w:color="auto"/>
        <w:left w:val="none" w:sz="0" w:space="0" w:color="auto"/>
        <w:bottom w:val="none" w:sz="0" w:space="0" w:color="auto"/>
        <w:right w:val="none" w:sz="0" w:space="0" w:color="auto"/>
      </w:divBdr>
    </w:div>
    <w:div w:id="1713918321">
      <w:bodyDiv w:val="1"/>
      <w:marLeft w:val="0"/>
      <w:marRight w:val="0"/>
      <w:marTop w:val="0"/>
      <w:marBottom w:val="0"/>
      <w:divBdr>
        <w:top w:val="none" w:sz="0" w:space="0" w:color="auto"/>
        <w:left w:val="none" w:sz="0" w:space="0" w:color="auto"/>
        <w:bottom w:val="none" w:sz="0" w:space="0" w:color="auto"/>
        <w:right w:val="none" w:sz="0" w:space="0" w:color="auto"/>
      </w:divBdr>
    </w:div>
    <w:div w:id="1715077163">
      <w:bodyDiv w:val="1"/>
      <w:marLeft w:val="0"/>
      <w:marRight w:val="0"/>
      <w:marTop w:val="0"/>
      <w:marBottom w:val="0"/>
      <w:divBdr>
        <w:top w:val="none" w:sz="0" w:space="0" w:color="auto"/>
        <w:left w:val="none" w:sz="0" w:space="0" w:color="auto"/>
        <w:bottom w:val="none" w:sz="0" w:space="0" w:color="auto"/>
        <w:right w:val="none" w:sz="0" w:space="0" w:color="auto"/>
      </w:divBdr>
    </w:div>
    <w:div w:id="1715234393">
      <w:bodyDiv w:val="1"/>
      <w:marLeft w:val="0"/>
      <w:marRight w:val="0"/>
      <w:marTop w:val="0"/>
      <w:marBottom w:val="0"/>
      <w:divBdr>
        <w:top w:val="none" w:sz="0" w:space="0" w:color="auto"/>
        <w:left w:val="none" w:sz="0" w:space="0" w:color="auto"/>
        <w:bottom w:val="none" w:sz="0" w:space="0" w:color="auto"/>
        <w:right w:val="none" w:sz="0" w:space="0" w:color="auto"/>
      </w:divBdr>
    </w:div>
    <w:div w:id="1716000513">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429769">
      <w:bodyDiv w:val="1"/>
      <w:marLeft w:val="0"/>
      <w:marRight w:val="0"/>
      <w:marTop w:val="0"/>
      <w:marBottom w:val="0"/>
      <w:divBdr>
        <w:top w:val="none" w:sz="0" w:space="0" w:color="auto"/>
        <w:left w:val="none" w:sz="0" w:space="0" w:color="auto"/>
        <w:bottom w:val="none" w:sz="0" w:space="0" w:color="auto"/>
        <w:right w:val="none" w:sz="0" w:space="0" w:color="auto"/>
      </w:divBdr>
    </w:div>
    <w:div w:id="1718577915">
      <w:bodyDiv w:val="1"/>
      <w:marLeft w:val="0"/>
      <w:marRight w:val="0"/>
      <w:marTop w:val="0"/>
      <w:marBottom w:val="0"/>
      <w:divBdr>
        <w:top w:val="none" w:sz="0" w:space="0" w:color="auto"/>
        <w:left w:val="none" w:sz="0" w:space="0" w:color="auto"/>
        <w:bottom w:val="none" w:sz="0" w:space="0" w:color="auto"/>
        <w:right w:val="none" w:sz="0" w:space="0" w:color="auto"/>
      </w:divBdr>
    </w:div>
    <w:div w:id="1718581067">
      <w:bodyDiv w:val="1"/>
      <w:marLeft w:val="0"/>
      <w:marRight w:val="0"/>
      <w:marTop w:val="0"/>
      <w:marBottom w:val="0"/>
      <w:divBdr>
        <w:top w:val="none" w:sz="0" w:space="0" w:color="auto"/>
        <w:left w:val="none" w:sz="0" w:space="0" w:color="auto"/>
        <w:bottom w:val="none" w:sz="0" w:space="0" w:color="auto"/>
        <w:right w:val="none" w:sz="0" w:space="0" w:color="auto"/>
      </w:divBdr>
    </w:div>
    <w:div w:id="1719813123">
      <w:bodyDiv w:val="1"/>
      <w:marLeft w:val="0"/>
      <w:marRight w:val="0"/>
      <w:marTop w:val="0"/>
      <w:marBottom w:val="0"/>
      <w:divBdr>
        <w:top w:val="none" w:sz="0" w:space="0" w:color="auto"/>
        <w:left w:val="none" w:sz="0" w:space="0" w:color="auto"/>
        <w:bottom w:val="none" w:sz="0" w:space="0" w:color="auto"/>
        <w:right w:val="none" w:sz="0" w:space="0" w:color="auto"/>
      </w:divBdr>
    </w:div>
    <w:div w:id="1722634358">
      <w:bodyDiv w:val="1"/>
      <w:marLeft w:val="0"/>
      <w:marRight w:val="0"/>
      <w:marTop w:val="0"/>
      <w:marBottom w:val="0"/>
      <w:divBdr>
        <w:top w:val="none" w:sz="0" w:space="0" w:color="auto"/>
        <w:left w:val="none" w:sz="0" w:space="0" w:color="auto"/>
        <w:bottom w:val="none" w:sz="0" w:space="0" w:color="auto"/>
        <w:right w:val="none" w:sz="0" w:space="0" w:color="auto"/>
      </w:divBdr>
    </w:div>
    <w:div w:id="1722824050">
      <w:bodyDiv w:val="1"/>
      <w:marLeft w:val="0"/>
      <w:marRight w:val="0"/>
      <w:marTop w:val="0"/>
      <w:marBottom w:val="0"/>
      <w:divBdr>
        <w:top w:val="none" w:sz="0" w:space="0" w:color="auto"/>
        <w:left w:val="none" w:sz="0" w:space="0" w:color="auto"/>
        <w:bottom w:val="none" w:sz="0" w:space="0" w:color="auto"/>
        <w:right w:val="none" w:sz="0" w:space="0" w:color="auto"/>
      </w:divBdr>
    </w:div>
    <w:div w:id="1723555600">
      <w:bodyDiv w:val="1"/>
      <w:marLeft w:val="0"/>
      <w:marRight w:val="0"/>
      <w:marTop w:val="0"/>
      <w:marBottom w:val="0"/>
      <w:divBdr>
        <w:top w:val="none" w:sz="0" w:space="0" w:color="auto"/>
        <w:left w:val="none" w:sz="0" w:space="0" w:color="auto"/>
        <w:bottom w:val="none" w:sz="0" w:space="0" w:color="auto"/>
        <w:right w:val="none" w:sz="0" w:space="0" w:color="auto"/>
      </w:divBdr>
    </w:div>
    <w:div w:id="1724450570">
      <w:bodyDiv w:val="1"/>
      <w:marLeft w:val="0"/>
      <w:marRight w:val="0"/>
      <w:marTop w:val="0"/>
      <w:marBottom w:val="0"/>
      <w:divBdr>
        <w:top w:val="none" w:sz="0" w:space="0" w:color="auto"/>
        <w:left w:val="none" w:sz="0" w:space="0" w:color="auto"/>
        <w:bottom w:val="none" w:sz="0" w:space="0" w:color="auto"/>
        <w:right w:val="none" w:sz="0" w:space="0" w:color="auto"/>
      </w:divBdr>
    </w:div>
    <w:div w:id="1726680552">
      <w:bodyDiv w:val="1"/>
      <w:marLeft w:val="0"/>
      <w:marRight w:val="0"/>
      <w:marTop w:val="0"/>
      <w:marBottom w:val="0"/>
      <w:divBdr>
        <w:top w:val="none" w:sz="0" w:space="0" w:color="auto"/>
        <w:left w:val="none" w:sz="0" w:space="0" w:color="auto"/>
        <w:bottom w:val="none" w:sz="0" w:space="0" w:color="auto"/>
        <w:right w:val="none" w:sz="0" w:space="0" w:color="auto"/>
      </w:divBdr>
    </w:div>
    <w:div w:id="1726833255">
      <w:bodyDiv w:val="1"/>
      <w:marLeft w:val="0"/>
      <w:marRight w:val="0"/>
      <w:marTop w:val="0"/>
      <w:marBottom w:val="0"/>
      <w:divBdr>
        <w:top w:val="none" w:sz="0" w:space="0" w:color="auto"/>
        <w:left w:val="none" w:sz="0" w:space="0" w:color="auto"/>
        <w:bottom w:val="none" w:sz="0" w:space="0" w:color="auto"/>
        <w:right w:val="none" w:sz="0" w:space="0" w:color="auto"/>
      </w:divBdr>
    </w:div>
    <w:div w:id="1728258522">
      <w:bodyDiv w:val="1"/>
      <w:marLeft w:val="0"/>
      <w:marRight w:val="0"/>
      <w:marTop w:val="0"/>
      <w:marBottom w:val="0"/>
      <w:divBdr>
        <w:top w:val="none" w:sz="0" w:space="0" w:color="auto"/>
        <w:left w:val="none" w:sz="0" w:space="0" w:color="auto"/>
        <w:bottom w:val="none" w:sz="0" w:space="0" w:color="auto"/>
        <w:right w:val="none" w:sz="0" w:space="0" w:color="auto"/>
      </w:divBdr>
    </w:div>
    <w:div w:id="1731152561">
      <w:bodyDiv w:val="1"/>
      <w:marLeft w:val="0"/>
      <w:marRight w:val="0"/>
      <w:marTop w:val="0"/>
      <w:marBottom w:val="0"/>
      <w:divBdr>
        <w:top w:val="none" w:sz="0" w:space="0" w:color="auto"/>
        <w:left w:val="none" w:sz="0" w:space="0" w:color="auto"/>
        <w:bottom w:val="none" w:sz="0" w:space="0" w:color="auto"/>
        <w:right w:val="none" w:sz="0" w:space="0" w:color="auto"/>
      </w:divBdr>
    </w:div>
    <w:div w:id="1732000282">
      <w:bodyDiv w:val="1"/>
      <w:marLeft w:val="0"/>
      <w:marRight w:val="0"/>
      <w:marTop w:val="0"/>
      <w:marBottom w:val="0"/>
      <w:divBdr>
        <w:top w:val="none" w:sz="0" w:space="0" w:color="auto"/>
        <w:left w:val="none" w:sz="0" w:space="0" w:color="auto"/>
        <w:bottom w:val="none" w:sz="0" w:space="0" w:color="auto"/>
        <w:right w:val="none" w:sz="0" w:space="0" w:color="auto"/>
      </w:divBdr>
    </w:div>
    <w:div w:id="1740205832">
      <w:bodyDiv w:val="1"/>
      <w:marLeft w:val="0"/>
      <w:marRight w:val="0"/>
      <w:marTop w:val="0"/>
      <w:marBottom w:val="0"/>
      <w:divBdr>
        <w:top w:val="none" w:sz="0" w:space="0" w:color="auto"/>
        <w:left w:val="none" w:sz="0" w:space="0" w:color="auto"/>
        <w:bottom w:val="none" w:sz="0" w:space="0" w:color="auto"/>
        <w:right w:val="none" w:sz="0" w:space="0" w:color="auto"/>
      </w:divBdr>
    </w:div>
    <w:div w:id="1740513673">
      <w:bodyDiv w:val="1"/>
      <w:marLeft w:val="0"/>
      <w:marRight w:val="0"/>
      <w:marTop w:val="0"/>
      <w:marBottom w:val="0"/>
      <w:divBdr>
        <w:top w:val="none" w:sz="0" w:space="0" w:color="auto"/>
        <w:left w:val="none" w:sz="0" w:space="0" w:color="auto"/>
        <w:bottom w:val="none" w:sz="0" w:space="0" w:color="auto"/>
        <w:right w:val="none" w:sz="0" w:space="0" w:color="auto"/>
      </w:divBdr>
    </w:div>
    <w:div w:id="1741951035">
      <w:bodyDiv w:val="1"/>
      <w:marLeft w:val="0"/>
      <w:marRight w:val="0"/>
      <w:marTop w:val="0"/>
      <w:marBottom w:val="0"/>
      <w:divBdr>
        <w:top w:val="none" w:sz="0" w:space="0" w:color="auto"/>
        <w:left w:val="none" w:sz="0" w:space="0" w:color="auto"/>
        <w:bottom w:val="none" w:sz="0" w:space="0" w:color="auto"/>
        <w:right w:val="none" w:sz="0" w:space="0" w:color="auto"/>
      </w:divBdr>
    </w:div>
    <w:div w:id="1741974220">
      <w:bodyDiv w:val="1"/>
      <w:marLeft w:val="0"/>
      <w:marRight w:val="0"/>
      <w:marTop w:val="0"/>
      <w:marBottom w:val="0"/>
      <w:divBdr>
        <w:top w:val="none" w:sz="0" w:space="0" w:color="auto"/>
        <w:left w:val="none" w:sz="0" w:space="0" w:color="auto"/>
        <w:bottom w:val="none" w:sz="0" w:space="0" w:color="auto"/>
        <w:right w:val="none" w:sz="0" w:space="0" w:color="auto"/>
      </w:divBdr>
    </w:div>
    <w:div w:id="1743092956">
      <w:bodyDiv w:val="1"/>
      <w:marLeft w:val="0"/>
      <w:marRight w:val="0"/>
      <w:marTop w:val="0"/>
      <w:marBottom w:val="0"/>
      <w:divBdr>
        <w:top w:val="none" w:sz="0" w:space="0" w:color="auto"/>
        <w:left w:val="none" w:sz="0" w:space="0" w:color="auto"/>
        <w:bottom w:val="none" w:sz="0" w:space="0" w:color="auto"/>
        <w:right w:val="none" w:sz="0" w:space="0" w:color="auto"/>
      </w:divBdr>
    </w:div>
    <w:div w:id="1746368084">
      <w:bodyDiv w:val="1"/>
      <w:marLeft w:val="0"/>
      <w:marRight w:val="0"/>
      <w:marTop w:val="0"/>
      <w:marBottom w:val="0"/>
      <w:divBdr>
        <w:top w:val="none" w:sz="0" w:space="0" w:color="auto"/>
        <w:left w:val="none" w:sz="0" w:space="0" w:color="auto"/>
        <w:bottom w:val="none" w:sz="0" w:space="0" w:color="auto"/>
        <w:right w:val="none" w:sz="0" w:space="0" w:color="auto"/>
      </w:divBdr>
    </w:div>
    <w:div w:id="1752308020">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857670">
      <w:bodyDiv w:val="1"/>
      <w:marLeft w:val="0"/>
      <w:marRight w:val="0"/>
      <w:marTop w:val="0"/>
      <w:marBottom w:val="0"/>
      <w:divBdr>
        <w:top w:val="none" w:sz="0" w:space="0" w:color="auto"/>
        <w:left w:val="none" w:sz="0" w:space="0" w:color="auto"/>
        <w:bottom w:val="none" w:sz="0" w:space="0" w:color="auto"/>
        <w:right w:val="none" w:sz="0" w:space="0" w:color="auto"/>
      </w:divBdr>
    </w:div>
    <w:div w:id="1755273774">
      <w:bodyDiv w:val="1"/>
      <w:marLeft w:val="0"/>
      <w:marRight w:val="0"/>
      <w:marTop w:val="0"/>
      <w:marBottom w:val="0"/>
      <w:divBdr>
        <w:top w:val="none" w:sz="0" w:space="0" w:color="auto"/>
        <w:left w:val="none" w:sz="0" w:space="0" w:color="auto"/>
        <w:bottom w:val="none" w:sz="0" w:space="0" w:color="auto"/>
        <w:right w:val="none" w:sz="0" w:space="0" w:color="auto"/>
      </w:divBdr>
    </w:div>
    <w:div w:id="1755976855">
      <w:bodyDiv w:val="1"/>
      <w:marLeft w:val="0"/>
      <w:marRight w:val="0"/>
      <w:marTop w:val="0"/>
      <w:marBottom w:val="0"/>
      <w:divBdr>
        <w:top w:val="none" w:sz="0" w:space="0" w:color="auto"/>
        <w:left w:val="none" w:sz="0" w:space="0" w:color="auto"/>
        <w:bottom w:val="none" w:sz="0" w:space="0" w:color="auto"/>
        <w:right w:val="none" w:sz="0" w:space="0" w:color="auto"/>
      </w:divBdr>
    </w:div>
    <w:div w:id="1757046851">
      <w:bodyDiv w:val="1"/>
      <w:marLeft w:val="0"/>
      <w:marRight w:val="0"/>
      <w:marTop w:val="0"/>
      <w:marBottom w:val="0"/>
      <w:divBdr>
        <w:top w:val="none" w:sz="0" w:space="0" w:color="auto"/>
        <w:left w:val="none" w:sz="0" w:space="0" w:color="auto"/>
        <w:bottom w:val="none" w:sz="0" w:space="0" w:color="auto"/>
        <w:right w:val="none" w:sz="0" w:space="0" w:color="auto"/>
      </w:divBdr>
    </w:div>
    <w:div w:id="1758092495">
      <w:bodyDiv w:val="1"/>
      <w:marLeft w:val="0"/>
      <w:marRight w:val="0"/>
      <w:marTop w:val="0"/>
      <w:marBottom w:val="0"/>
      <w:divBdr>
        <w:top w:val="none" w:sz="0" w:space="0" w:color="auto"/>
        <w:left w:val="none" w:sz="0" w:space="0" w:color="auto"/>
        <w:bottom w:val="none" w:sz="0" w:space="0" w:color="auto"/>
        <w:right w:val="none" w:sz="0" w:space="0" w:color="auto"/>
      </w:divBdr>
    </w:div>
    <w:div w:id="1758405865">
      <w:bodyDiv w:val="1"/>
      <w:marLeft w:val="0"/>
      <w:marRight w:val="0"/>
      <w:marTop w:val="0"/>
      <w:marBottom w:val="0"/>
      <w:divBdr>
        <w:top w:val="none" w:sz="0" w:space="0" w:color="auto"/>
        <w:left w:val="none" w:sz="0" w:space="0" w:color="auto"/>
        <w:bottom w:val="none" w:sz="0" w:space="0" w:color="auto"/>
        <w:right w:val="none" w:sz="0" w:space="0" w:color="auto"/>
      </w:divBdr>
    </w:div>
    <w:div w:id="1759138496">
      <w:bodyDiv w:val="1"/>
      <w:marLeft w:val="0"/>
      <w:marRight w:val="0"/>
      <w:marTop w:val="0"/>
      <w:marBottom w:val="0"/>
      <w:divBdr>
        <w:top w:val="none" w:sz="0" w:space="0" w:color="auto"/>
        <w:left w:val="none" w:sz="0" w:space="0" w:color="auto"/>
        <w:bottom w:val="none" w:sz="0" w:space="0" w:color="auto"/>
        <w:right w:val="none" w:sz="0" w:space="0" w:color="auto"/>
      </w:divBdr>
    </w:div>
    <w:div w:id="1761559083">
      <w:bodyDiv w:val="1"/>
      <w:marLeft w:val="0"/>
      <w:marRight w:val="0"/>
      <w:marTop w:val="0"/>
      <w:marBottom w:val="0"/>
      <w:divBdr>
        <w:top w:val="none" w:sz="0" w:space="0" w:color="auto"/>
        <w:left w:val="none" w:sz="0" w:space="0" w:color="auto"/>
        <w:bottom w:val="none" w:sz="0" w:space="0" w:color="auto"/>
        <w:right w:val="none" w:sz="0" w:space="0" w:color="auto"/>
      </w:divBdr>
    </w:div>
    <w:div w:id="1763064319">
      <w:bodyDiv w:val="1"/>
      <w:marLeft w:val="0"/>
      <w:marRight w:val="0"/>
      <w:marTop w:val="0"/>
      <w:marBottom w:val="0"/>
      <w:divBdr>
        <w:top w:val="none" w:sz="0" w:space="0" w:color="auto"/>
        <w:left w:val="none" w:sz="0" w:space="0" w:color="auto"/>
        <w:bottom w:val="none" w:sz="0" w:space="0" w:color="auto"/>
        <w:right w:val="none" w:sz="0" w:space="0" w:color="auto"/>
      </w:divBdr>
    </w:div>
    <w:div w:id="1763260191">
      <w:bodyDiv w:val="1"/>
      <w:marLeft w:val="0"/>
      <w:marRight w:val="0"/>
      <w:marTop w:val="0"/>
      <w:marBottom w:val="0"/>
      <w:divBdr>
        <w:top w:val="none" w:sz="0" w:space="0" w:color="auto"/>
        <w:left w:val="none" w:sz="0" w:space="0" w:color="auto"/>
        <w:bottom w:val="none" w:sz="0" w:space="0" w:color="auto"/>
        <w:right w:val="none" w:sz="0" w:space="0" w:color="auto"/>
      </w:divBdr>
    </w:div>
    <w:div w:id="1764259821">
      <w:bodyDiv w:val="1"/>
      <w:marLeft w:val="0"/>
      <w:marRight w:val="0"/>
      <w:marTop w:val="0"/>
      <w:marBottom w:val="0"/>
      <w:divBdr>
        <w:top w:val="none" w:sz="0" w:space="0" w:color="auto"/>
        <w:left w:val="none" w:sz="0" w:space="0" w:color="auto"/>
        <w:bottom w:val="none" w:sz="0" w:space="0" w:color="auto"/>
        <w:right w:val="none" w:sz="0" w:space="0" w:color="auto"/>
      </w:divBdr>
    </w:div>
    <w:div w:id="1764645154">
      <w:bodyDiv w:val="1"/>
      <w:marLeft w:val="0"/>
      <w:marRight w:val="0"/>
      <w:marTop w:val="0"/>
      <w:marBottom w:val="0"/>
      <w:divBdr>
        <w:top w:val="none" w:sz="0" w:space="0" w:color="auto"/>
        <w:left w:val="none" w:sz="0" w:space="0" w:color="auto"/>
        <w:bottom w:val="none" w:sz="0" w:space="0" w:color="auto"/>
        <w:right w:val="none" w:sz="0" w:space="0" w:color="auto"/>
      </w:divBdr>
    </w:div>
    <w:div w:id="1765566172">
      <w:bodyDiv w:val="1"/>
      <w:marLeft w:val="0"/>
      <w:marRight w:val="0"/>
      <w:marTop w:val="0"/>
      <w:marBottom w:val="0"/>
      <w:divBdr>
        <w:top w:val="none" w:sz="0" w:space="0" w:color="auto"/>
        <w:left w:val="none" w:sz="0" w:space="0" w:color="auto"/>
        <w:bottom w:val="none" w:sz="0" w:space="0" w:color="auto"/>
        <w:right w:val="none" w:sz="0" w:space="0" w:color="auto"/>
      </w:divBdr>
    </w:div>
    <w:div w:id="1765683523">
      <w:bodyDiv w:val="1"/>
      <w:marLeft w:val="0"/>
      <w:marRight w:val="0"/>
      <w:marTop w:val="0"/>
      <w:marBottom w:val="0"/>
      <w:divBdr>
        <w:top w:val="none" w:sz="0" w:space="0" w:color="auto"/>
        <w:left w:val="none" w:sz="0" w:space="0" w:color="auto"/>
        <w:bottom w:val="none" w:sz="0" w:space="0" w:color="auto"/>
        <w:right w:val="none" w:sz="0" w:space="0" w:color="auto"/>
      </w:divBdr>
    </w:div>
    <w:div w:id="1767463987">
      <w:bodyDiv w:val="1"/>
      <w:marLeft w:val="0"/>
      <w:marRight w:val="0"/>
      <w:marTop w:val="0"/>
      <w:marBottom w:val="0"/>
      <w:divBdr>
        <w:top w:val="none" w:sz="0" w:space="0" w:color="auto"/>
        <w:left w:val="none" w:sz="0" w:space="0" w:color="auto"/>
        <w:bottom w:val="none" w:sz="0" w:space="0" w:color="auto"/>
        <w:right w:val="none" w:sz="0" w:space="0" w:color="auto"/>
      </w:divBdr>
    </w:div>
    <w:div w:id="1769689629">
      <w:bodyDiv w:val="1"/>
      <w:marLeft w:val="0"/>
      <w:marRight w:val="0"/>
      <w:marTop w:val="0"/>
      <w:marBottom w:val="0"/>
      <w:divBdr>
        <w:top w:val="none" w:sz="0" w:space="0" w:color="auto"/>
        <w:left w:val="none" w:sz="0" w:space="0" w:color="auto"/>
        <w:bottom w:val="none" w:sz="0" w:space="0" w:color="auto"/>
        <w:right w:val="none" w:sz="0" w:space="0" w:color="auto"/>
      </w:divBdr>
    </w:div>
    <w:div w:id="1770273331">
      <w:bodyDiv w:val="1"/>
      <w:marLeft w:val="0"/>
      <w:marRight w:val="0"/>
      <w:marTop w:val="0"/>
      <w:marBottom w:val="0"/>
      <w:divBdr>
        <w:top w:val="none" w:sz="0" w:space="0" w:color="auto"/>
        <w:left w:val="none" w:sz="0" w:space="0" w:color="auto"/>
        <w:bottom w:val="none" w:sz="0" w:space="0" w:color="auto"/>
        <w:right w:val="none" w:sz="0" w:space="0" w:color="auto"/>
      </w:divBdr>
    </w:div>
    <w:div w:id="1770542683">
      <w:bodyDiv w:val="1"/>
      <w:marLeft w:val="0"/>
      <w:marRight w:val="0"/>
      <w:marTop w:val="0"/>
      <w:marBottom w:val="0"/>
      <w:divBdr>
        <w:top w:val="none" w:sz="0" w:space="0" w:color="auto"/>
        <w:left w:val="none" w:sz="0" w:space="0" w:color="auto"/>
        <w:bottom w:val="none" w:sz="0" w:space="0" w:color="auto"/>
        <w:right w:val="none" w:sz="0" w:space="0" w:color="auto"/>
      </w:divBdr>
    </w:div>
    <w:div w:id="1771075023">
      <w:bodyDiv w:val="1"/>
      <w:marLeft w:val="0"/>
      <w:marRight w:val="0"/>
      <w:marTop w:val="0"/>
      <w:marBottom w:val="0"/>
      <w:divBdr>
        <w:top w:val="none" w:sz="0" w:space="0" w:color="auto"/>
        <w:left w:val="none" w:sz="0" w:space="0" w:color="auto"/>
        <w:bottom w:val="none" w:sz="0" w:space="0" w:color="auto"/>
        <w:right w:val="none" w:sz="0" w:space="0" w:color="auto"/>
      </w:divBdr>
    </w:div>
    <w:div w:id="1773041030">
      <w:bodyDiv w:val="1"/>
      <w:marLeft w:val="0"/>
      <w:marRight w:val="0"/>
      <w:marTop w:val="0"/>
      <w:marBottom w:val="0"/>
      <w:divBdr>
        <w:top w:val="none" w:sz="0" w:space="0" w:color="auto"/>
        <w:left w:val="none" w:sz="0" w:space="0" w:color="auto"/>
        <w:bottom w:val="none" w:sz="0" w:space="0" w:color="auto"/>
        <w:right w:val="none" w:sz="0" w:space="0" w:color="auto"/>
      </w:divBdr>
    </w:div>
    <w:div w:id="1773815113">
      <w:bodyDiv w:val="1"/>
      <w:marLeft w:val="0"/>
      <w:marRight w:val="0"/>
      <w:marTop w:val="0"/>
      <w:marBottom w:val="0"/>
      <w:divBdr>
        <w:top w:val="none" w:sz="0" w:space="0" w:color="auto"/>
        <w:left w:val="none" w:sz="0" w:space="0" w:color="auto"/>
        <w:bottom w:val="none" w:sz="0" w:space="0" w:color="auto"/>
        <w:right w:val="none" w:sz="0" w:space="0" w:color="auto"/>
      </w:divBdr>
    </w:div>
    <w:div w:id="1774669452">
      <w:bodyDiv w:val="1"/>
      <w:marLeft w:val="0"/>
      <w:marRight w:val="0"/>
      <w:marTop w:val="0"/>
      <w:marBottom w:val="0"/>
      <w:divBdr>
        <w:top w:val="none" w:sz="0" w:space="0" w:color="auto"/>
        <w:left w:val="none" w:sz="0" w:space="0" w:color="auto"/>
        <w:bottom w:val="none" w:sz="0" w:space="0" w:color="auto"/>
        <w:right w:val="none" w:sz="0" w:space="0" w:color="auto"/>
      </w:divBdr>
    </w:div>
    <w:div w:id="1776511583">
      <w:bodyDiv w:val="1"/>
      <w:marLeft w:val="0"/>
      <w:marRight w:val="0"/>
      <w:marTop w:val="0"/>
      <w:marBottom w:val="0"/>
      <w:divBdr>
        <w:top w:val="none" w:sz="0" w:space="0" w:color="auto"/>
        <w:left w:val="none" w:sz="0" w:space="0" w:color="auto"/>
        <w:bottom w:val="none" w:sz="0" w:space="0" w:color="auto"/>
        <w:right w:val="none" w:sz="0" w:space="0" w:color="auto"/>
      </w:divBdr>
    </w:div>
    <w:div w:id="1780637706">
      <w:bodyDiv w:val="1"/>
      <w:marLeft w:val="0"/>
      <w:marRight w:val="0"/>
      <w:marTop w:val="0"/>
      <w:marBottom w:val="0"/>
      <w:divBdr>
        <w:top w:val="none" w:sz="0" w:space="0" w:color="auto"/>
        <w:left w:val="none" w:sz="0" w:space="0" w:color="auto"/>
        <w:bottom w:val="none" w:sz="0" w:space="0" w:color="auto"/>
        <w:right w:val="none" w:sz="0" w:space="0" w:color="auto"/>
      </w:divBdr>
    </w:div>
    <w:div w:id="1782647564">
      <w:bodyDiv w:val="1"/>
      <w:marLeft w:val="0"/>
      <w:marRight w:val="0"/>
      <w:marTop w:val="0"/>
      <w:marBottom w:val="0"/>
      <w:divBdr>
        <w:top w:val="none" w:sz="0" w:space="0" w:color="auto"/>
        <w:left w:val="none" w:sz="0" w:space="0" w:color="auto"/>
        <w:bottom w:val="none" w:sz="0" w:space="0" w:color="auto"/>
        <w:right w:val="none" w:sz="0" w:space="0" w:color="auto"/>
      </w:divBdr>
    </w:div>
    <w:div w:id="1783256265">
      <w:bodyDiv w:val="1"/>
      <w:marLeft w:val="0"/>
      <w:marRight w:val="0"/>
      <w:marTop w:val="0"/>
      <w:marBottom w:val="0"/>
      <w:divBdr>
        <w:top w:val="none" w:sz="0" w:space="0" w:color="auto"/>
        <w:left w:val="none" w:sz="0" w:space="0" w:color="auto"/>
        <w:bottom w:val="none" w:sz="0" w:space="0" w:color="auto"/>
        <w:right w:val="none" w:sz="0" w:space="0" w:color="auto"/>
      </w:divBdr>
    </w:div>
    <w:div w:id="1783843729">
      <w:bodyDiv w:val="1"/>
      <w:marLeft w:val="0"/>
      <w:marRight w:val="0"/>
      <w:marTop w:val="0"/>
      <w:marBottom w:val="0"/>
      <w:divBdr>
        <w:top w:val="none" w:sz="0" w:space="0" w:color="auto"/>
        <w:left w:val="none" w:sz="0" w:space="0" w:color="auto"/>
        <w:bottom w:val="none" w:sz="0" w:space="0" w:color="auto"/>
        <w:right w:val="none" w:sz="0" w:space="0" w:color="auto"/>
      </w:divBdr>
    </w:div>
    <w:div w:id="1786385292">
      <w:bodyDiv w:val="1"/>
      <w:marLeft w:val="0"/>
      <w:marRight w:val="0"/>
      <w:marTop w:val="0"/>
      <w:marBottom w:val="0"/>
      <w:divBdr>
        <w:top w:val="none" w:sz="0" w:space="0" w:color="auto"/>
        <w:left w:val="none" w:sz="0" w:space="0" w:color="auto"/>
        <w:bottom w:val="none" w:sz="0" w:space="0" w:color="auto"/>
        <w:right w:val="none" w:sz="0" w:space="0" w:color="auto"/>
      </w:divBdr>
    </w:div>
    <w:div w:id="1788156120">
      <w:bodyDiv w:val="1"/>
      <w:marLeft w:val="0"/>
      <w:marRight w:val="0"/>
      <w:marTop w:val="0"/>
      <w:marBottom w:val="0"/>
      <w:divBdr>
        <w:top w:val="none" w:sz="0" w:space="0" w:color="auto"/>
        <w:left w:val="none" w:sz="0" w:space="0" w:color="auto"/>
        <w:bottom w:val="none" w:sz="0" w:space="0" w:color="auto"/>
        <w:right w:val="none" w:sz="0" w:space="0" w:color="auto"/>
      </w:divBdr>
    </w:div>
    <w:div w:id="1788156138">
      <w:bodyDiv w:val="1"/>
      <w:marLeft w:val="0"/>
      <w:marRight w:val="0"/>
      <w:marTop w:val="0"/>
      <w:marBottom w:val="0"/>
      <w:divBdr>
        <w:top w:val="none" w:sz="0" w:space="0" w:color="auto"/>
        <w:left w:val="none" w:sz="0" w:space="0" w:color="auto"/>
        <w:bottom w:val="none" w:sz="0" w:space="0" w:color="auto"/>
        <w:right w:val="none" w:sz="0" w:space="0" w:color="auto"/>
      </w:divBdr>
    </w:div>
    <w:div w:id="1789591649">
      <w:bodyDiv w:val="1"/>
      <w:marLeft w:val="0"/>
      <w:marRight w:val="0"/>
      <w:marTop w:val="0"/>
      <w:marBottom w:val="0"/>
      <w:divBdr>
        <w:top w:val="none" w:sz="0" w:space="0" w:color="auto"/>
        <w:left w:val="none" w:sz="0" w:space="0" w:color="auto"/>
        <w:bottom w:val="none" w:sz="0" w:space="0" w:color="auto"/>
        <w:right w:val="none" w:sz="0" w:space="0" w:color="auto"/>
      </w:divBdr>
    </w:div>
    <w:div w:id="1789664852">
      <w:bodyDiv w:val="1"/>
      <w:marLeft w:val="0"/>
      <w:marRight w:val="0"/>
      <w:marTop w:val="0"/>
      <w:marBottom w:val="0"/>
      <w:divBdr>
        <w:top w:val="none" w:sz="0" w:space="0" w:color="auto"/>
        <w:left w:val="none" w:sz="0" w:space="0" w:color="auto"/>
        <w:bottom w:val="none" w:sz="0" w:space="0" w:color="auto"/>
        <w:right w:val="none" w:sz="0" w:space="0" w:color="auto"/>
      </w:divBdr>
    </w:div>
    <w:div w:id="1790511167">
      <w:bodyDiv w:val="1"/>
      <w:marLeft w:val="0"/>
      <w:marRight w:val="0"/>
      <w:marTop w:val="0"/>
      <w:marBottom w:val="0"/>
      <w:divBdr>
        <w:top w:val="none" w:sz="0" w:space="0" w:color="auto"/>
        <w:left w:val="none" w:sz="0" w:space="0" w:color="auto"/>
        <w:bottom w:val="none" w:sz="0" w:space="0" w:color="auto"/>
        <w:right w:val="none" w:sz="0" w:space="0" w:color="auto"/>
      </w:divBdr>
    </w:div>
    <w:div w:id="1791044199">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548796">
      <w:bodyDiv w:val="1"/>
      <w:marLeft w:val="0"/>
      <w:marRight w:val="0"/>
      <w:marTop w:val="0"/>
      <w:marBottom w:val="0"/>
      <w:divBdr>
        <w:top w:val="none" w:sz="0" w:space="0" w:color="auto"/>
        <w:left w:val="none" w:sz="0" w:space="0" w:color="auto"/>
        <w:bottom w:val="none" w:sz="0" w:space="0" w:color="auto"/>
        <w:right w:val="none" w:sz="0" w:space="0" w:color="auto"/>
      </w:divBdr>
    </w:div>
    <w:div w:id="1792742268">
      <w:bodyDiv w:val="1"/>
      <w:marLeft w:val="0"/>
      <w:marRight w:val="0"/>
      <w:marTop w:val="0"/>
      <w:marBottom w:val="0"/>
      <w:divBdr>
        <w:top w:val="none" w:sz="0" w:space="0" w:color="auto"/>
        <w:left w:val="none" w:sz="0" w:space="0" w:color="auto"/>
        <w:bottom w:val="none" w:sz="0" w:space="0" w:color="auto"/>
        <w:right w:val="none" w:sz="0" w:space="0" w:color="auto"/>
      </w:divBdr>
    </w:div>
    <w:div w:id="1792749439">
      <w:bodyDiv w:val="1"/>
      <w:marLeft w:val="0"/>
      <w:marRight w:val="0"/>
      <w:marTop w:val="0"/>
      <w:marBottom w:val="0"/>
      <w:divBdr>
        <w:top w:val="none" w:sz="0" w:space="0" w:color="auto"/>
        <w:left w:val="none" w:sz="0" w:space="0" w:color="auto"/>
        <w:bottom w:val="none" w:sz="0" w:space="0" w:color="auto"/>
        <w:right w:val="none" w:sz="0" w:space="0" w:color="auto"/>
      </w:divBdr>
    </w:div>
    <w:div w:id="1794782827">
      <w:bodyDiv w:val="1"/>
      <w:marLeft w:val="0"/>
      <w:marRight w:val="0"/>
      <w:marTop w:val="0"/>
      <w:marBottom w:val="0"/>
      <w:divBdr>
        <w:top w:val="none" w:sz="0" w:space="0" w:color="auto"/>
        <w:left w:val="none" w:sz="0" w:space="0" w:color="auto"/>
        <w:bottom w:val="none" w:sz="0" w:space="0" w:color="auto"/>
        <w:right w:val="none" w:sz="0" w:space="0" w:color="auto"/>
      </w:divBdr>
    </w:div>
    <w:div w:id="1800953065">
      <w:bodyDiv w:val="1"/>
      <w:marLeft w:val="0"/>
      <w:marRight w:val="0"/>
      <w:marTop w:val="0"/>
      <w:marBottom w:val="0"/>
      <w:divBdr>
        <w:top w:val="none" w:sz="0" w:space="0" w:color="auto"/>
        <w:left w:val="none" w:sz="0" w:space="0" w:color="auto"/>
        <w:bottom w:val="none" w:sz="0" w:space="0" w:color="auto"/>
        <w:right w:val="none" w:sz="0" w:space="0" w:color="auto"/>
      </w:divBdr>
    </w:div>
    <w:div w:id="1801268762">
      <w:bodyDiv w:val="1"/>
      <w:marLeft w:val="0"/>
      <w:marRight w:val="0"/>
      <w:marTop w:val="0"/>
      <w:marBottom w:val="0"/>
      <w:divBdr>
        <w:top w:val="none" w:sz="0" w:space="0" w:color="auto"/>
        <w:left w:val="none" w:sz="0" w:space="0" w:color="auto"/>
        <w:bottom w:val="none" w:sz="0" w:space="0" w:color="auto"/>
        <w:right w:val="none" w:sz="0" w:space="0" w:color="auto"/>
      </w:divBdr>
    </w:div>
    <w:div w:id="1805587553">
      <w:bodyDiv w:val="1"/>
      <w:marLeft w:val="0"/>
      <w:marRight w:val="0"/>
      <w:marTop w:val="0"/>
      <w:marBottom w:val="0"/>
      <w:divBdr>
        <w:top w:val="none" w:sz="0" w:space="0" w:color="auto"/>
        <w:left w:val="none" w:sz="0" w:space="0" w:color="auto"/>
        <w:bottom w:val="none" w:sz="0" w:space="0" w:color="auto"/>
        <w:right w:val="none" w:sz="0" w:space="0" w:color="auto"/>
      </w:divBdr>
    </w:div>
    <w:div w:id="1807626507">
      <w:bodyDiv w:val="1"/>
      <w:marLeft w:val="0"/>
      <w:marRight w:val="0"/>
      <w:marTop w:val="0"/>
      <w:marBottom w:val="0"/>
      <w:divBdr>
        <w:top w:val="none" w:sz="0" w:space="0" w:color="auto"/>
        <w:left w:val="none" w:sz="0" w:space="0" w:color="auto"/>
        <w:bottom w:val="none" w:sz="0" w:space="0" w:color="auto"/>
        <w:right w:val="none" w:sz="0" w:space="0" w:color="auto"/>
      </w:divBdr>
    </w:div>
    <w:div w:id="1807814684">
      <w:bodyDiv w:val="1"/>
      <w:marLeft w:val="0"/>
      <w:marRight w:val="0"/>
      <w:marTop w:val="0"/>
      <w:marBottom w:val="0"/>
      <w:divBdr>
        <w:top w:val="none" w:sz="0" w:space="0" w:color="auto"/>
        <w:left w:val="none" w:sz="0" w:space="0" w:color="auto"/>
        <w:bottom w:val="none" w:sz="0" w:space="0" w:color="auto"/>
        <w:right w:val="none" w:sz="0" w:space="0" w:color="auto"/>
      </w:divBdr>
    </w:div>
    <w:div w:id="1809862714">
      <w:bodyDiv w:val="1"/>
      <w:marLeft w:val="0"/>
      <w:marRight w:val="0"/>
      <w:marTop w:val="0"/>
      <w:marBottom w:val="0"/>
      <w:divBdr>
        <w:top w:val="none" w:sz="0" w:space="0" w:color="auto"/>
        <w:left w:val="none" w:sz="0" w:space="0" w:color="auto"/>
        <w:bottom w:val="none" w:sz="0" w:space="0" w:color="auto"/>
        <w:right w:val="none" w:sz="0" w:space="0" w:color="auto"/>
      </w:divBdr>
    </w:div>
    <w:div w:id="1810391603">
      <w:bodyDiv w:val="1"/>
      <w:marLeft w:val="0"/>
      <w:marRight w:val="0"/>
      <w:marTop w:val="0"/>
      <w:marBottom w:val="0"/>
      <w:divBdr>
        <w:top w:val="none" w:sz="0" w:space="0" w:color="auto"/>
        <w:left w:val="none" w:sz="0" w:space="0" w:color="auto"/>
        <w:bottom w:val="none" w:sz="0" w:space="0" w:color="auto"/>
        <w:right w:val="none" w:sz="0" w:space="0" w:color="auto"/>
      </w:divBdr>
    </w:div>
    <w:div w:id="1811441420">
      <w:bodyDiv w:val="1"/>
      <w:marLeft w:val="0"/>
      <w:marRight w:val="0"/>
      <w:marTop w:val="0"/>
      <w:marBottom w:val="0"/>
      <w:divBdr>
        <w:top w:val="none" w:sz="0" w:space="0" w:color="auto"/>
        <w:left w:val="none" w:sz="0" w:space="0" w:color="auto"/>
        <w:bottom w:val="none" w:sz="0" w:space="0" w:color="auto"/>
        <w:right w:val="none" w:sz="0" w:space="0" w:color="auto"/>
      </w:divBdr>
    </w:div>
    <w:div w:id="1811511096">
      <w:bodyDiv w:val="1"/>
      <w:marLeft w:val="0"/>
      <w:marRight w:val="0"/>
      <w:marTop w:val="0"/>
      <w:marBottom w:val="0"/>
      <w:divBdr>
        <w:top w:val="none" w:sz="0" w:space="0" w:color="auto"/>
        <w:left w:val="none" w:sz="0" w:space="0" w:color="auto"/>
        <w:bottom w:val="none" w:sz="0" w:space="0" w:color="auto"/>
        <w:right w:val="none" w:sz="0" w:space="0" w:color="auto"/>
      </w:divBdr>
    </w:div>
    <w:div w:id="1814714494">
      <w:bodyDiv w:val="1"/>
      <w:marLeft w:val="0"/>
      <w:marRight w:val="0"/>
      <w:marTop w:val="0"/>
      <w:marBottom w:val="0"/>
      <w:divBdr>
        <w:top w:val="none" w:sz="0" w:space="0" w:color="auto"/>
        <w:left w:val="none" w:sz="0" w:space="0" w:color="auto"/>
        <w:bottom w:val="none" w:sz="0" w:space="0" w:color="auto"/>
        <w:right w:val="none" w:sz="0" w:space="0" w:color="auto"/>
      </w:divBdr>
    </w:div>
    <w:div w:id="1814985331">
      <w:bodyDiv w:val="1"/>
      <w:marLeft w:val="0"/>
      <w:marRight w:val="0"/>
      <w:marTop w:val="0"/>
      <w:marBottom w:val="0"/>
      <w:divBdr>
        <w:top w:val="none" w:sz="0" w:space="0" w:color="auto"/>
        <w:left w:val="none" w:sz="0" w:space="0" w:color="auto"/>
        <w:bottom w:val="none" w:sz="0" w:space="0" w:color="auto"/>
        <w:right w:val="none" w:sz="0" w:space="0" w:color="auto"/>
      </w:divBdr>
    </w:div>
    <w:div w:id="1816144851">
      <w:bodyDiv w:val="1"/>
      <w:marLeft w:val="0"/>
      <w:marRight w:val="0"/>
      <w:marTop w:val="0"/>
      <w:marBottom w:val="0"/>
      <w:divBdr>
        <w:top w:val="none" w:sz="0" w:space="0" w:color="auto"/>
        <w:left w:val="none" w:sz="0" w:space="0" w:color="auto"/>
        <w:bottom w:val="none" w:sz="0" w:space="0" w:color="auto"/>
        <w:right w:val="none" w:sz="0" w:space="0" w:color="auto"/>
      </w:divBdr>
    </w:div>
    <w:div w:id="1817257727">
      <w:bodyDiv w:val="1"/>
      <w:marLeft w:val="0"/>
      <w:marRight w:val="0"/>
      <w:marTop w:val="0"/>
      <w:marBottom w:val="0"/>
      <w:divBdr>
        <w:top w:val="none" w:sz="0" w:space="0" w:color="auto"/>
        <w:left w:val="none" w:sz="0" w:space="0" w:color="auto"/>
        <w:bottom w:val="none" w:sz="0" w:space="0" w:color="auto"/>
        <w:right w:val="none" w:sz="0" w:space="0" w:color="auto"/>
      </w:divBdr>
    </w:div>
    <w:div w:id="1817411555">
      <w:bodyDiv w:val="1"/>
      <w:marLeft w:val="0"/>
      <w:marRight w:val="0"/>
      <w:marTop w:val="0"/>
      <w:marBottom w:val="0"/>
      <w:divBdr>
        <w:top w:val="none" w:sz="0" w:space="0" w:color="auto"/>
        <w:left w:val="none" w:sz="0" w:space="0" w:color="auto"/>
        <w:bottom w:val="none" w:sz="0" w:space="0" w:color="auto"/>
        <w:right w:val="none" w:sz="0" w:space="0" w:color="auto"/>
      </w:divBdr>
    </w:div>
    <w:div w:id="1818838826">
      <w:bodyDiv w:val="1"/>
      <w:marLeft w:val="0"/>
      <w:marRight w:val="0"/>
      <w:marTop w:val="0"/>
      <w:marBottom w:val="0"/>
      <w:divBdr>
        <w:top w:val="none" w:sz="0" w:space="0" w:color="auto"/>
        <w:left w:val="none" w:sz="0" w:space="0" w:color="auto"/>
        <w:bottom w:val="none" w:sz="0" w:space="0" w:color="auto"/>
        <w:right w:val="none" w:sz="0" w:space="0" w:color="auto"/>
      </w:divBdr>
    </w:div>
    <w:div w:id="1818917620">
      <w:bodyDiv w:val="1"/>
      <w:marLeft w:val="0"/>
      <w:marRight w:val="0"/>
      <w:marTop w:val="0"/>
      <w:marBottom w:val="0"/>
      <w:divBdr>
        <w:top w:val="none" w:sz="0" w:space="0" w:color="auto"/>
        <w:left w:val="none" w:sz="0" w:space="0" w:color="auto"/>
        <w:bottom w:val="none" w:sz="0" w:space="0" w:color="auto"/>
        <w:right w:val="none" w:sz="0" w:space="0" w:color="auto"/>
      </w:divBdr>
    </w:div>
    <w:div w:id="1820153920">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337082">
      <w:bodyDiv w:val="1"/>
      <w:marLeft w:val="0"/>
      <w:marRight w:val="0"/>
      <w:marTop w:val="0"/>
      <w:marBottom w:val="0"/>
      <w:divBdr>
        <w:top w:val="none" w:sz="0" w:space="0" w:color="auto"/>
        <w:left w:val="none" w:sz="0" w:space="0" w:color="auto"/>
        <w:bottom w:val="none" w:sz="0" w:space="0" w:color="auto"/>
        <w:right w:val="none" w:sz="0" w:space="0" w:color="auto"/>
      </w:divBdr>
    </w:div>
    <w:div w:id="1821926233">
      <w:bodyDiv w:val="1"/>
      <w:marLeft w:val="0"/>
      <w:marRight w:val="0"/>
      <w:marTop w:val="0"/>
      <w:marBottom w:val="0"/>
      <w:divBdr>
        <w:top w:val="none" w:sz="0" w:space="0" w:color="auto"/>
        <w:left w:val="none" w:sz="0" w:space="0" w:color="auto"/>
        <w:bottom w:val="none" w:sz="0" w:space="0" w:color="auto"/>
        <w:right w:val="none" w:sz="0" w:space="0" w:color="auto"/>
      </w:divBdr>
    </w:div>
    <w:div w:id="1822654036">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195837">
      <w:bodyDiv w:val="1"/>
      <w:marLeft w:val="0"/>
      <w:marRight w:val="0"/>
      <w:marTop w:val="0"/>
      <w:marBottom w:val="0"/>
      <w:divBdr>
        <w:top w:val="none" w:sz="0" w:space="0" w:color="auto"/>
        <w:left w:val="none" w:sz="0" w:space="0" w:color="auto"/>
        <w:bottom w:val="none" w:sz="0" w:space="0" w:color="auto"/>
        <w:right w:val="none" w:sz="0" w:space="0" w:color="auto"/>
      </w:divBdr>
    </w:div>
    <w:div w:id="1824739538">
      <w:bodyDiv w:val="1"/>
      <w:marLeft w:val="0"/>
      <w:marRight w:val="0"/>
      <w:marTop w:val="0"/>
      <w:marBottom w:val="0"/>
      <w:divBdr>
        <w:top w:val="none" w:sz="0" w:space="0" w:color="auto"/>
        <w:left w:val="none" w:sz="0" w:space="0" w:color="auto"/>
        <w:bottom w:val="none" w:sz="0" w:space="0" w:color="auto"/>
        <w:right w:val="none" w:sz="0" w:space="0" w:color="auto"/>
      </w:divBdr>
    </w:div>
    <w:div w:id="1826318964">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282480">
      <w:bodyDiv w:val="1"/>
      <w:marLeft w:val="0"/>
      <w:marRight w:val="0"/>
      <w:marTop w:val="0"/>
      <w:marBottom w:val="0"/>
      <w:divBdr>
        <w:top w:val="none" w:sz="0" w:space="0" w:color="auto"/>
        <w:left w:val="none" w:sz="0" w:space="0" w:color="auto"/>
        <w:bottom w:val="none" w:sz="0" w:space="0" w:color="auto"/>
        <w:right w:val="none" w:sz="0" w:space="0" w:color="auto"/>
      </w:divBdr>
    </w:div>
    <w:div w:id="1828476579">
      <w:bodyDiv w:val="1"/>
      <w:marLeft w:val="0"/>
      <w:marRight w:val="0"/>
      <w:marTop w:val="0"/>
      <w:marBottom w:val="0"/>
      <w:divBdr>
        <w:top w:val="none" w:sz="0" w:space="0" w:color="auto"/>
        <w:left w:val="none" w:sz="0" w:space="0" w:color="auto"/>
        <w:bottom w:val="none" w:sz="0" w:space="0" w:color="auto"/>
        <w:right w:val="none" w:sz="0" w:space="0" w:color="auto"/>
      </w:divBdr>
    </w:div>
    <w:div w:id="1830634465">
      <w:bodyDiv w:val="1"/>
      <w:marLeft w:val="0"/>
      <w:marRight w:val="0"/>
      <w:marTop w:val="0"/>
      <w:marBottom w:val="0"/>
      <w:divBdr>
        <w:top w:val="none" w:sz="0" w:space="0" w:color="auto"/>
        <w:left w:val="none" w:sz="0" w:space="0" w:color="auto"/>
        <w:bottom w:val="none" w:sz="0" w:space="0" w:color="auto"/>
        <w:right w:val="none" w:sz="0" w:space="0" w:color="auto"/>
      </w:divBdr>
    </w:div>
    <w:div w:id="1832404936">
      <w:bodyDiv w:val="1"/>
      <w:marLeft w:val="0"/>
      <w:marRight w:val="0"/>
      <w:marTop w:val="0"/>
      <w:marBottom w:val="0"/>
      <w:divBdr>
        <w:top w:val="none" w:sz="0" w:space="0" w:color="auto"/>
        <w:left w:val="none" w:sz="0" w:space="0" w:color="auto"/>
        <w:bottom w:val="none" w:sz="0" w:space="0" w:color="auto"/>
        <w:right w:val="none" w:sz="0" w:space="0" w:color="auto"/>
      </w:divBdr>
    </w:div>
    <w:div w:id="1833372327">
      <w:bodyDiv w:val="1"/>
      <w:marLeft w:val="0"/>
      <w:marRight w:val="0"/>
      <w:marTop w:val="0"/>
      <w:marBottom w:val="0"/>
      <w:divBdr>
        <w:top w:val="none" w:sz="0" w:space="0" w:color="auto"/>
        <w:left w:val="none" w:sz="0" w:space="0" w:color="auto"/>
        <w:bottom w:val="none" w:sz="0" w:space="0" w:color="auto"/>
        <w:right w:val="none" w:sz="0" w:space="0" w:color="auto"/>
      </w:divBdr>
    </w:div>
    <w:div w:id="1833909446">
      <w:bodyDiv w:val="1"/>
      <w:marLeft w:val="0"/>
      <w:marRight w:val="0"/>
      <w:marTop w:val="0"/>
      <w:marBottom w:val="0"/>
      <w:divBdr>
        <w:top w:val="none" w:sz="0" w:space="0" w:color="auto"/>
        <w:left w:val="none" w:sz="0" w:space="0" w:color="auto"/>
        <w:bottom w:val="none" w:sz="0" w:space="0" w:color="auto"/>
        <w:right w:val="none" w:sz="0" w:space="0" w:color="auto"/>
      </w:divBdr>
    </w:div>
    <w:div w:id="1835073871">
      <w:bodyDiv w:val="1"/>
      <w:marLeft w:val="0"/>
      <w:marRight w:val="0"/>
      <w:marTop w:val="0"/>
      <w:marBottom w:val="0"/>
      <w:divBdr>
        <w:top w:val="none" w:sz="0" w:space="0" w:color="auto"/>
        <w:left w:val="none" w:sz="0" w:space="0" w:color="auto"/>
        <w:bottom w:val="none" w:sz="0" w:space="0" w:color="auto"/>
        <w:right w:val="none" w:sz="0" w:space="0" w:color="auto"/>
      </w:divBdr>
    </w:div>
    <w:div w:id="1840466904">
      <w:bodyDiv w:val="1"/>
      <w:marLeft w:val="0"/>
      <w:marRight w:val="0"/>
      <w:marTop w:val="0"/>
      <w:marBottom w:val="0"/>
      <w:divBdr>
        <w:top w:val="none" w:sz="0" w:space="0" w:color="auto"/>
        <w:left w:val="none" w:sz="0" w:space="0" w:color="auto"/>
        <w:bottom w:val="none" w:sz="0" w:space="0" w:color="auto"/>
        <w:right w:val="none" w:sz="0" w:space="0" w:color="auto"/>
      </w:divBdr>
    </w:div>
    <w:div w:id="1841777443">
      <w:bodyDiv w:val="1"/>
      <w:marLeft w:val="0"/>
      <w:marRight w:val="0"/>
      <w:marTop w:val="0"/>
      <w:marBottom w:val="0"/>
      <w:divBdr>
        <w:top w:val="none" w:sz="0" w:space="0" w:color="auto"/>
        <w:left w:val="none" w:sz="0" w:space="0" w:color="auto"/>
        <w:bottom w:val="none" w:sz="0" w:space="0" w:color="auto"/>
        <w:right w:val="none" w:sz="0" w:space="0" w:color="auto"/>
      </w:divBdr>
    </w:div>
    <w:div w:id="1842894756">
      <w:bodyDiv w:val="1"/>
      <w:marLeft w:val="0"/>
      <w:marRight w:val="0"/>
      <w:marTop w:val="0"/>
      <w:marBottom w:val="0"/>
      <w:divBdr>
        <w:top w:val="none" w:sz="0" w:space="0" w:color="auto"/>
        <w:left w:val="none" w:sz="0" w:space="0" w:color="auto"/>
        <w:bottom w:val="none" w:sz="0" w:space="0" w:color="auto"/>
        <w:right w:val="none" w:sz="0" w:space="0" w:color="auto"/>
      </w:divBdr>
      <w:divsChild>
        <w:div w:id="430661271">
          <w:marLeft w:val="0"/>
          <w:marRight w:val="0"/>
          <w:marTop w:val="0"/>
          <w:marBottom w:val="0"/>
          <w:divBdr>
            <w:top w:val="none" w:sz="0" w:space="0" w:color="auto"/>
            <w:left w:val="none" w:sz="0" w:space="0" w:color="auto"/>
            <w:bottom w:val="none" w:sz="0" w:space="0" w:color="auto"/>
            <w:right w:val="none" w:sz="0" w:space="0" w:color="auto"/>
          </w:divBdr>
          <w:divsChild>
            <w:div w:id="933321248">
              <w:marLeft w:val="0"/>
              <w:marRight w:val="0"/>
              <w:marTop w:val="0"/>
              <w:marBottom w:val="0"/>
              <w:divBdr>
                <w:top w:val="none" w:sz="0" w:space="0" w:color="auto"/>
                <w:left w:val="none" w:sz="0" w:space="0" w:color="auto"/>
                <w:bottom w:val="none" w:sz="0" w:space="0" w:color="auto"/>
                <w:right w:val="none" w:sz="0" w:space="0" w:color="auto"/>
              </w:divBdr>
              <w:divsChild>
                <w:div w:id="1833326309">
                  <w:marLeft w:val="0"/>
                  <w:marRight w:val="0"/>
                  <w:marTop w:val="0"/>
                  <w:marBottom w:val="0"/>
                  <w:divBdr>
                    <w:top w:val="none" w:sz="0" w:space="0" w:color="auto"/>
                    <w:left w:val="none" w:sz="0" w:space="0" w:color="auto"/>
                    <w:bottom w:val="none" w:sz="0" w:space="0" w:color="auto"/>
                    <w:right w:val="none" w:sz="0" w:space="0" w:color="auto"/>
                  </w:divBdr>
                  <w:divsChild>
                    <w:div w:id="1595242180">
                      <w:marLeft w:val="0"/>
                      <w:marRight w:val="0"/>
                      <w:marTop w:val="0"/>
                      <w:marBottom w:val="0"/>
                      <w:divBdr>
                        <w:top w:val="none" w:sz="0" w:space="0" w:color="auto"/>
                        <w:left w:val="none" w:sz="0" w:space="0" w:color="auto"/>
                        <w:bottom w:val="none" w:sz="0" w:space="0" w:color="auto"/>
                        <w:right w:val="none" w:sz="0" w:space="0" w:color="auto"/>
                      </w:divBdr>
                      <w:divsChild>
                        <w:div w:id="1284314436">
                          <w:marLeft w:val="0"/>
                          <w:marRight w:val="0"/>
                          <w:marTop w:val="0"/>
                          <w:marBottom w:val="0"/>
                          <w:divBdr>
                            <w:top w:val="none" w:sz="0" w:space="0" w:color="auto"/>
                            <w:left w:val="none" w:sz="0" w:space="0" w:color="auto"/>
                            <w:bottom w:val="none" w:sz="0" w:space="0" w:color="auto"/>
                            <w:right w:val="none" w:sz="0" w:space="0" w:color="auto"/>
                          </w:divBdr>
                          <w:divsChild>
                            <w:div w:id="1737556300">
                              <w:marLeft w:val="0"/>
                              <w:marRight w:val="0"/>
                              <w:marTop w:val="0"/>
                              <w:marBottom w:val="0"/>
                              <w:divBdr>
                                <w:top w:val="none" w:sz="0" w:space="0" w:color="auto"/>
                                <w:left w:val="none" w:sz="0" w:space="0" w:color="auto"/>
                                <w:bottom w:val="none" w:sz="0" w:space="0" w:color="auto"/>
                                <w:right w:val="none" w:sz="0" w:space="0" w:color="auto"/>
                              </w:divBdr>
                              <w:divsChild>
                                <w:div w:id="1130326183">
                                  <w:marLeft w:val="0"/>
                                  <w:marRight w:val="0"/>
                                  <w:marTop w:val="0"/>
                                  <w:marBottom w:val="0"/>
                                  <w:divBdr>
                                    <w:top w:val="none" w:sz="0" w:space="0" w:color="auto"/>
                                    <w:left w:val="none" w:sz="0" w:space="0" w:color="auto"/>
                                    <w:bottom w:val="none" w:sz="0" w:space="0" w:color="auto"/>
                                    <w:right w:val="none" w:sz="0" w:space="0" w:color="auto"/>
                                  </w:divBdr>
                                  <w:divsChild>
                                    <w:div w:id="765077435">
                                      <w:marLeft w:val="0"/>
                                      <w:marRight w:val="0"/>
                                      <w:marTop w:val="0"/>
                                      <w:marBottom w:val="0"/>
                                      <w:divBdr>
                                        <w:top w:val="none" w:sz="0" w:space="0" w:color="auto"/>
                                        <w:left w:val="none" w:sz="0" w:space="0" w:color="auto"/>
                                        <w:bottom w:val="none" w:sz="0" w:space="0" w:color="auto"/>
                                        <w:right w:val="none" w:sz="0" w:space="0" w:color="auto"/>
                                      </w:divBdr>
                                      <w:divsChild>
                                        <w:div w:id="357046295">
                                          <w:marLeft w:val="0"/>
                                          <w:marRight w:val="0"/>
                                          <w:marTop w:val="0"/>
                                          <w:marBottom w:val="0"/>
                                          <w:divBdr>
                                            <w:top w:val="none" w:sz="0" w:space="0" w:color="auto"/>
                                            <w:left w:val="none" w:sz="0" w:space="0" w:color="auto"/>
                                            <w:bottom w:val="none" w:sz="0" w:space="0" w:color="auto"/>
                                            <w:right w:val="none" w:sz="0" w:space="0" w:color="auto"/>
                                          </w:divBdr>
                                          <w:divsChild>
                                            <w:div w:id="1224564873">
                                              <w:marLeft w:val="0"/>
                                              <w:marRight w:val="0"/>
                                              <w:marTop w:val="0"/>
                                              <w:marBottom w:val="0"/>
                                              <w:divBdr>
                                                <w:top w:val="none" w:sz="0" w:space="0" w:color="auto"/>
                                                <w:left w:val="none" w:sz="0" w:space="0" w:color="auto"/>
                                                <w:bottom w:val="none" w:sz="0" w:space="0" w:color="auto"/>
                                                <w:right w:val="none" w:sz="0" w:space="0" w:color="auto"/>
                                              </w:divBdr>
                                              <w:divsChild>
                                                <w:div w:id="241262784">
                                                  <w:marLeft w:val="0"/>
                                                  <w:marRight w:val="0"/>
                                                  <w:marTop w:val="0"/>
                                                  <w:marBottom w:val="0"/>
                                                  <w:divBdr>
                                                    <w:top w:val="none" w:sz="0" w:space="0" w:color="auto"/>
                                                    <w:left w:val="none" w:sz="0" w:space="0" w:color="auto"/>
                                                    <w:bottom w:val="none" w:sz="0" w:space="0" w:color="auto"/>
                                                    <w:right w:val="none" w:sz="0" w:space="0" w:color="auto"/>
                                                  </w:divBdr>
                                                  <w:divsChild>
                                                    <w:div w:id="313728872">
                                                      <w:marLeft w:val="0"/>
                                                      <w:marRight w:val="0"/>
                                                      <w:marTop w:val="0"/>
                                                      <w:marBottom w:val="0"/>
                                                      <w:divBdr>
                                                        <w:top w:val="none" w:sz="0" w:space="0" w:color="auto"/>
                                                        <w:left w:val="none" w:sz="0" w:space="0" w:color="auto"/>
                                                        <w:bottom w:val="none" w:sz="0" w:space="0" w:color="auto"/>
                                                        <w:right w:val="none" w:sz="0" w:space="0" w:color="auto"/>
                                                      </w:divBdr>
                                                      <w:divsChild>
                                                        <w:div w:id="382025863">
                                                          <w:marLeft w:val="0"/>
                                                          <w:marRight w:val="0"/>
                                                          <w:marTop w:val="0"/>
                                                          <w:marBottom w:val="0"/>
                                                          <w:divBdr>
                                                            <w:top w:val="none" w:sz="0" w:space="0" w:color="auto"/>
                                                            <w:left w:val="none" w:sz="0" w:space="0" w:color="auto"/>
                                                            <w:bottom w:val="none" w:sz="0" w:space="0" w:color="auto"/>
                                                            <w:right w:val="none" w:sz="0" w:space="0" w:color="auto"/>
                                                          </w:divBdr>
                                                          <w:divsChild>
                                                            <w:div w:id="516698983">
                                                              <w:marLeft w:val="0"/>
                                                              <w:marRight w:val="0"/>
                                                              <w:marTop w:val="0"/>
                                                              <w:marBottom w:val="0"/>
                                                              <w:divBdr>
                                                                <w:top w:val="none" w:sz="0" w:space="0" w:color="auto"/>
                                                                <w:left w:val="none" w:sz="0" w:space="0" w:color="auto"/>
                                                                <w:bottom w:val="none" w:sz="0" w:space="0" w:color="auto"/>
                                                                <w:right w:val="none" w:sz="0" w:space="0" w:color="auto"/>
                                                              </w:divBdr>
                                                              <w:divsChild>
                                                                <w:div w:id="984629373">
                                                                  <w:marLeft w:val="0"/>
                                                                  <w:marRight w:val="0"/>
                                                                  <w:marTop w:val="0"/>
                                                                  <w:marBottom w:val="0"/>
                                                                  <w:divBdr>
                                                                    <w:top w:val="none" w:sz="0" w:space="0" w:color="auto"/>
                                                                    <w:left w:val="none" w:sz="0" w:space="0" w:color="auto"/>
                                                                    <w:bottom w:val="none" w:sz="0" w:space="0" w:color="auto"/>
                                                                    <w:right w:val="none" w:sz="0" w:space="0" w:color="auto"/>
                                                                  </w:divBdr>
                                                                  <w:divsChild>
                                                                    <w:div w:id="869538854">
                                                                      <w:marLeft w:val="0"/>
                                                                      <w:marRight w:val="0"/>
                                                                      <w:marTop w:val="0"/>
                                                                      <w:marBottom w:val="0"/>
                                                                      <w:divBdr>
                                                                        <w:top w:val="none" w:sz="0" w:space="0" w:color="auto"/>
                                                                        <w:left w:val="none" w:sz="0" w:space="0" w:color="auto"/>
                                                                        <w:bottom w:val="none" w:sz="0" w:space="0" w:color="auto"/>
                                                                        <w:right w:val="none" w:sz="0" w:space="0" w:color="auto"/>
                                                                      </w:divBdr>
                                                                    </w:div>
                                                                    <w:div w:id="21012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8442">
                                                              <w:marLeft w:val="0"/>
                                                              <w:marRight w:val="0"/>
                                                              <w:marTop w:val="0"/>
                                                              <w:marBottom w:val="0"/>
                                                              <w:divBdr>
                                                                <w:top w:val="none" w:sz="0" w:space="0" w:color="auto"/>
                                                                <w:left w:val="none" w:sz="0" w:space="0" w:color="auto"/>
                                                                <w:bottom w:val="none" w:sz="0" w:space="0" w:color="auto"/>
                                                                <w:right w:val="none" w:sz="0" w:space="0" w:color="auto"/>
                                                              </w:divBdr>
                                                              <w:divsChild>
                                                                <w:div w:id="1856067526">
                                                                  <w:marLeft w:val="0"/>
                                                                  <w:marRight w:val="0"/>
                                                                  <w:marTop w:val="0"/>
                                                                  <w:marBottom w:val="0"/>
                                                                  <w:divBdr>
                                                                    <w:top w:val="none" w:sz="0" w:space="0" w:color="auto"/>
                                                                    <w:left w:val="none" w:sz="0" w:space="0" w:color="auto"/>
                                                                    <w:bottom w:val="none" w:sz="0" w:space="0" w:color="auto"/>
                                                                    <w:right w:val="none" w:sz="0" w:space="0" w:color="auto"/>
                                                                  </w:divBdr>
                                                                  <w:divsChild>
                                                                    <w:div w:id="52966913">
                                                                      <w:marLeft w:val="0"/>
                                                                      <w:marRight w:val="0"/>
                                                                      <w:marTop w:val="0"/>
                                                                      <w:marBottom w:val="0"/>
                                                                      <w:divBdr>
                                                                        <w:top w:val="none" w:sz="0" w:space="0" w:color="auto"/>
                                                                        <w:left w:val="none" w:sz="0" w:space="0" w:color="auto"/>
                                                                        <w:bottom w:val="none" w:sz="0" w:space="0" w:color="auto"/>
                                                                        <w:right w:val="none" w:sz="0" w:space="0" w:color="auto"/>
                                                                      </w:divBdr>
                                                                    </w:div>
                                                                    <w:div w:id="7241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42325">
                                                      <w:marLeft w:val="0"/>
                                                      <w:marRight w:val="0"/>
                                                      <w:marTop w:val="0"/>
                                                      <w:marBottom w:val="0"/>
                                                      <w:divBdr>
                                                        <w:top w:val="none" w:sz="0" w:space="0" w:color="auto"/>
                                                        <w:left w:val="none" w:sz="0" w:space="0" w:color="auto"/>
                                                        <w:bottom w:val="none" w:sz="0" w:space="0" w:color="auto"/>
                                                        <w:right w:val="none" w:sz="0" w:space="0" w:color="auto"/>
                                                      </w:divBdr>
                                                      <w:divsChild>
                                                        <w:div w:id="990673866">
                                                          <w:marLeft w:val="0"/>
                                                          <w:marRight w:val="0"/>
                                                          <w:marTop w:val="0"/>
                                                          <w:marBottom w:val="0"/>
                                                          <w:divBdr>
                                                            <w:top w:val="none" w:sz="0" w:space="0" w:color="auto"/>
                                                            <w:left w:val="none" w:sz="0" w:space="0" w:color="auto"/>
                                                            <w:bottom w:val="none" w:sz="0" w:space="0" w:color="auto"/>
                                                            <w:right w:val="none" w:sz="0" w:space="0" w:color="auto"/>
                                                          </w:divBdr>
                                                          <w:divsChild>
                                                            <w:div w:id="1418869722">
                                                              <w:marLeft w:val="0"/>
                                                              <w:marRight w:val="0"/>
                                                              <w:marTop w:val="0"/>
                                                              <w:marBottom w:val="0"/>
                                                              <w:divBdr>
                                                                <w:top w:val="none" w:sz="0" w:space="0" w:color="auto"/>
                                                                <w:left w:val="none" w:sz="0" w:space="0" w:color="auto"/>
                                                                <w:bottom w:val="none" w:sz="0" w:space="0" w:color="auto"/>
                                                                <w:right w:val="none" w:sz="0" w:space="0" w:color="auto"/>
                                                              </w:divBdr>
                                                              <w:divsChild>
                                                                <w:div w:id="792476868">
                                                                  <w:marLeft w:val="0"/>
                                                                  <w:marRight w:val="0"/>
                                                                  <w:marTop w:val="0"/>
                                                                  <w:marBottom w:val="0"/>
                                                                  <w:divBdr>
                                                                    <w:top w:val="none" w:sz="0" w:space="0" w:color="auto"/>
                                                                    <w:left w:val="none" w:sz="0" w:space="0" w:color="auto"/>
                                                                    <w:bottom w:val="none" w:sz="0" w:space="0" w:color="auto"/>
                                                                    <w:right w:val="none" w:sz="0" w:space="0" w:color="auto"/>
                                                                  </w:divBdr>
                                                                  <w:divsChild>
                                                                    <w:div w:id="16108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73395">
                                                      <w:marLeft w:val="0"/>
                                                      <w:marRight w:val="0"/>
                                                      <w:marTop w:val="0"/>
                                                      <w:marBottom w:val="0"/>
                                                      <w:divBdr>
                                                        <w:top w:val="none" w:sz="0" w:space="0" w:color="auto"/>
                                                        <w:left w:val="none" w:sz="0" w:space="0" w:color="auto"/>
                                                        <w:bottom w:val="none" w:sz="0" w:space="0" w:color="auto"/>
                                                        <w:right w:val="none" w:sz="0" w:space="0" w:color="auto"/>
                                                      </w:divBdr>
                                                      <w:divsChild>
                                                        <w:div w:id="11060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960441">
                                      <w:marLeft w:val="0"/>
                                      <w:marRight w:val="0"/>
                                      <w:marTop w:val="0"/>
                                      <w:marBottom w:val="0"/>
                                      <w:divBdr>
                                        <w:top w:val="none" w:sz="0" w:space="0" w:color="auto"/>
                                        <w:left w:val="none" w:sz="0" w:space="0" w:color="auto"/>
                                        <w:bottom w:val="none" w:sz="0" w:space="0" w:color="auto"/>
                                        <w:right w:val="none" w:sz="0" w:space="0" w:color="auto"/>
                                      </w:divBdr>
                                      <w:divsChild>
                                        <w:div w:id="31523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895315">
      <w:bodyDiv w:val="1"/>
      <w:marLeft w:val="0"/>
      <w:marRight w:val="0"/>
      <w:marTop w:val="0"/>
      <w:marBottom w:val="0"/>
      <w:divBdr>
        <w:top w:val="none" w:sz="0" w:space="0" w:color="auto"/>
        <w:left w:val="none" w:sz="0" w:space="0" w:color="auto"/>
        <w:bottom w:val="none" w:sz="0" w:space="0" w:color="auto"/>
        <w:right w:val="none" w:sz="0" w:space="0" w:color="auto"/>
      </w:divBdr>
    </w:div>
    <w:div w:id="1848665113">
      <w:bodyDiv w:val="1"/>
      <w:marLeft w:val="0"/>
      <w:marRight w:val="0"/>
      <w:marTop w:val="0"/>
      <w:marBottom w:val="0"/>
      <w:divBdr>
        <w:top w:val="none" w:sz="0" w:space="0" w:color="auto"/>
        <w:left w:val="none" w:sz="0" w:space="0" w:color="auto"/>
        <w:bottom w:val="none" w:sz="0" w:space="0" w:color="auto"/>
        <w:right w:val="none" w:sz="0" w:space="0" w:color="auto"/>
      </w:divBdr>
    </w:div>
    <w:div w:id="1848858463">
      <w:bodyDiv w:val="1"/>
      <w:marLeft w:val="0"/>
      <w:marRight w:val="0"/>
      <w:marTop w:val="0"/>
      <w:marBottom w:val="0"/>
      <w:divBdr>
        <w:top w:val="none" w:sz="0" w:space="0" w:color="auto"/>
        <w:left w:val="none" w:sz="0" w:space="0" w:color="auto"/>
        <w:bottom w:val="none" w:sz="0" w:space="0" w:color="auto"/>
        <w:right w:val="none" w:sz="0" w:space="0" w:color="auto"/>
      </w:divBdr>
    </w:div>
    <w:div w:id="1849515342">
      <w:bodyDiv w:val="1"/>
      <w:marLeft w:val="0"/>
      <w:marRight w:val="0"/>
      <w:marTop w:val="0"/>
      <w:marBottom w:val="0"/>
      <w:divBdr>
        <w:top w:val="none" w:sz="0" w:space="0" w:color="auto"/>
        <w:left w:val="none" w:sz="0" w:space="0" w:color="auto"/>
        <w:bottom w:val="none" w:sz="0" w:space="0" w:color="auto"/>
        <w:right w:val="none" w:sz="0" w:space="0" w:color="auto"/>
      </w:divBdr>
    </w:div>
    <w:div w:id="1852061438">
      <w:bodyDiv w:val="1"/>
      <w:marLeft w:val="0"/>
      <w:marRight w:val="0"/>
      <w:marTop w:val="0"/>
      <w:marBottom w:val="0"/>
      <w:divBdr>
        <w:top w:val="none" w:sz="0" w:space="0" w:color="auto"/>
        <w:left w:val="none" w:sz="0" w:space="0" w:color="auto"/>
        <w:bottom w:val="none" w:sz="0" w:space="0" w:color="auto"/>
        <w:right w:val="none" w:sz="0" w:space="0" w:color="auto"/>
      </w:divBdr>
    </w:div>
    <w:div w:id="1852253036">
      <w:bodyDiv w:val="1"/>
      <w:marLeft w:val="0"/>
      <w:marRight w:val="0"/>
      <w:marTop w:val="0"/>
      <w:marBottom w:val="0"/>
      <w:divBdr>
        <w:top w:val="none" w:sz="0" w:space="0" w:color="auto"/>
        <w:left w:val="none" w:sz="0" w:space="0" w:color="auto"/>
        <w:bottom w:val="none" w:sz="0" w:space="0" w:color="auto"/>
        <w:right w:val="none" w:sz="0" w:space="0" w:color="auto"/>
      </w:divBdr>
    </w:div>
    <w:div w:id="1857840104">
      <w:bodyDiv w:val="1"/>
      <w:marLeft w:val="0"/>
      <w:marRight w:val="0"/>
      <w:marTop w:val="0"/>
      <w:marBottom w:val="0"/>
      <w:divBdr>
        <w:top w:val="none" w:sz="0" w:space="0" w:color="auto"/>
        <w:left w:val="none" w:sz="0" w:space="0" w:color="auto"/>
        <w:bottom w:val="none" w:sz="0" w:space="0" w:color="auto"/>
        <w:right w:val="none" w:sz="0" w:space="0" w:color="auto"/>
      </w:divBdr>
    </w:div>
    <w:div w:id="1858150944">
      <w:bodyDiv w:val="1"/>
      <w:marLeft w:val="0"/>
      <w:marRight w:val="0"/>
      <w:marTop w:val="0"/>
      <w:marBottom w:val="0"/>
      <w:divBdr>
        <w:top w:val="none" w:sz="0" w:space="0" w:color="auto"/>
        <w:left w:val="none" w:sz="0" w:space="0" w:color="auto"/>
        <w:bottom w:val="none" w:sz="0" w:space="0" w:color="auto"/>
        <w:right w:val="none" w:sz="0" w:space="0" w:color="auto"/>
      </w:divBdr>
    </w:div>
    <w:div w:id="1863738678">
      <w:bodyDiv w:val="1"/>
      <w:marLeft w:val="0"/>
      <w:marRight w:val="0"/>
      <w:marTop w:val="0"/>
      <w:marBottom w:val="0"/>
      <w:divBdr>
        <w:top w:val="none" w:sz="0" w:space="0" w:color="auto"/>
        <w:left w:val="none" w:sz="0" w:space="0" w:color="auto"/>
        <w:bottom w:val="none" w:sz="0" w:space="0" w:color="auto"/>
        <w:right w:val="none" w:sz="0" w:space="0" w:color="auto"/>
      </w:divBdr>
    </w:div>
    <w:div w:id="1863977848">
      <w:bodyDiv w:val="1"/>
      <w:marLeft w:val="0"/>
      <w:marRight w:val="0"/>
      <w:marTop w:val="0"/>
      <w:marBottom w:val="0"/>
      <w:divBdr>
        <w:top w:val="none" w:sz="0" w:space="0" w:color="auto"/>
        <w:left w:val="none" w:sz="0" w:space="0" w:color="auto"/>
        <w:bottom w:val="none" w:sz="0" w:space="0" w:color="auto"/>
        <w:right w:val="none" w:sz="0" w:space="0" w:color="auto"/>
      </w:divBdr>
    </w:div>
    <w:div w:id="1867130520">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3181916">
      <w:bodyDiv w:val="1"/>
      <w:marLeft w:val="0"/>
      <w:marRight w:val="0"/>
      <w:marTop w:val="0"/>
      <w:marBottom w:val="0"/>
      <w:divBdr>
        <w:top w:val="none" w:sz="0" w:space="0" w:color="auto"/>
        <w:left w:val="none" w:sz="0" w:space="0" w:color="auto"/>
        <w:bottom w:val="none" w:sz="0" w:space="0" w:color="auto"/>
        <w:right w:val="none" w:sz="0" w:space="0" w:color="auto"/>
      </w:divBdr>
    </w:div>
    <w:div w:id="1873227669">
      <w:bodyDiv w:val="1"/>
      <w:marLeft w:val="0"/>
      <w:marRight w:val="0"/>
      <w:marTop w:val="0"/>
      <w:marBottom w:val="0"/>
      <w:divBdr>
        <w:top w:val="none" w:sz="0" w:space="0" w:color="auto"/>
        <w:left w:val="none" w:sz="0" w:space="0" w:color="auto"/>
        <w:bottom w:val="none" w:sz="0" w:space="0" w:color="auto"/>
        <w:right w:val="none" w:sz="0" w:space="0" w:color="auto"/>
      </w:divBdr>
    </w:div>
    <w:div w:id="1876691626">
      <w:bodyDiv w:val="1"/>
      <w:marLeft w:val="0"/>
      <w:marRight w:val="0"/>
      <w:marTop w:val="0"/>
      <w:marBottom w:val="0"/>
      <w:divBdr>
        <w:top w:val="none" w:sz="0" w:space="0" w:color="auto"/>
        <w:left w:val="none" w:sz="0" w:space="0" w:color="auto"/>
        <w:bottom w:val="none" w:sz="0" w:space="0" w:color="auto"/>
        <w:right w:val="none" w:sz="0" w:space="0" w:color="auto"/>
      </w:divBdr>
    </w:div>
    <w:div w:id="1876847222">
      <w:bodyDiv w:val="1"/>
      <w:marLeft w:val="0"/>
      <w:marRight w:val="0"/>
      <w:marTop w:val="0"/>
      <w:marBottom w:val="0"/>
      <w:divBdr>
        <w:top w:val="none" w:sz="0" w:space="0" w:color="auto"/>
        <w:left w:val="none" w:sz="0" w:space="0" w:color="auto"/>
        <w:bottom w:val="none" w:sz="0" w:space="0" w:color="auto"/>
        <w:right w:val="none" w:sz="0" w:space="0" w:color="auto"/>
      </w:divBdr>
    </w:div>
    <w:div w:id="1878659345">
      <w:bodyDiv w:val="1"/>
      <w:marLeft w:val="0"/>
      <w:marRight w:val="0"/>
      <w:marTop w:val="0"/>
      <w:marBottom w:val="0"/>
      <w:divBdr>
        <w:top w:val="none" w:sz="0" w:space="0" w:color="auto"/>
        <w:left w:val="none" w:sz="0" w:space="0" w:color="auto"/>
        <w:bottom w:val="none" w:sz="0" w:space="0" w:color="auto"/>
        <w:right w:val="none" w:sz="0" w:space="0" w:color="auto"/>
      </w:divBdr>
    </w:div>
    <w:div w:id="1880623616">
      <w:bodyDiv w:val="1"/>
      <w:marLeft w:val="0"/>
      <w:marRight w:val="0"/>
      <w:marTop w:val="0"/>
      <w:marBottom w:val="0"/>
      <w:divBdr>
        <w:top w:val="none" w:sz="0" w:space="0" w:color="auto"/>
        <w:left w:val="none" w:sz="0" w:space="0" w:color="auto"/>
        <w:bottom w:val="none" w:sz="0" w:space="0" w:color="auto"/>
        <w:right w:val="none" w:sz="0" w:space="0" w:color="auto"/>
      </w:divBdr>
    </w:div>
    <w:div w:id="1883056111">
      <w:bodyDiv w:val="1"/>
      <w:marLeft w:val="0"/>
      <w:marRight w:val="0"/>
      <w:marTop w:val="0"/>
      <w:marBottom w:val="0"/>
      <w:divBdr>
        <w:top w:val="none" w:sz="0" w:space="0" w:color="auto"/>
        <w:left w:val="none" w:sz="0" w:space="0" w:color="auto"/>
        <w:bottom w:val="none" w:sz="0" w:space="0" w:color="auto"/>
        <w:right w:val="none" w:sz="0" w:space="0" w:color="auto"/>
      </w:divBdr>
    </w:div>
    <w:div w:id="1883327753">
      <w:bodyDiv w:val="1"/>
      <w:marLeft w:val="0"/>
      <w:marRight w:val="0"/>
      <w:marTop w:val="0"/>
      <w:marBottom w:val="0"/>
      <w:divBdr>
        <w:top w:val="none" w:sz="0" w:space="0" w:color="auto"/>
        <w:left w:val="none" w:sz="0" w:space="0" w:color="auto"/>
        <w:bottom w:val="none" w:sz="0" w:space="0" w:color="auto"/>
        <w:right w:val="none" w:sz="0" w:space="0" w:color="auto"/>
      </w:divBdr>
    </w:div>
    <w:div w:id="1885435415">
      <w:bodyDiv w:val="1"/>
      <w:marLeft w:val="0"/>
      <w:marRight w:val="0"/>
      <w:marTop w:val="0"/>
      <w:marBottom w:val="0"/>
      <w:divBdr>
        <w:top w:val="none" w:sz="0" w:space="0" w:color="auto"/>
        <w:left w:val="none" w:sz="0" w:space="0" w:color="auto"/>
        <w:bottom w:val="none" w:sz="0" w:space="0" w:color="auto"/>
        <w:right w:val="none" w:sz="0" w:space="0" w:color="auto"/>
      </w:divBdr>
    </w:div>
    <w:div w:id="1886680368">
      <w:bodyDiv w:val="1"/>
      <w:marLeft w:val="0"/>
      <w:marRight w:val="0"/>
      <w:marTop w:val="0"/>
      <w:marBottom w:val="0"/>
      <w:divBdr>
        <w:top w:val="none" w:sz="0" w:space="0" w:color="auto"/>
        <w:left w:val="none" w:sz="0" w:space="0" w:color="auto"/>
        <w:bottom w:val="none" w:sz="0" w:space="0" w:color="auto"/>
        <w:right w:val="none" w:sz="0" w:space="0" w:color="auto"/>
      </w:divBdr>
    </w:div>
    <w:div w:id="1888638844">
      <w:bodyDiv w:val="1"/>
      <w:marLeft w:val="0"/>
      <w:marRight w:val="0"/>
      <w:marTop w:val="0"/>
      <w:marBottom w:val="0"/>
      <w:divBdr>
        <w:top w:val="none" w:sz="0" w:space="0" w:color="auto"/>
        <w:left w:val="none" w:sz="0" w:space="0" w:color="auto"/>
        <w:bottom w:val="none" w:sz="0" w:space="0" w:color="auto"/>
        <w:right w:val="none" w:sz="0" w:space="0" w:color="auto"/>
      </w:divBdr>
    </w:div>
    <w:div w:id="1889680780">
      <w:bodyDiv w:val="1"/>
      <w:marLeft w:val="0"/>
      <w:marRight w:val="0"/>
      <w:marTop w:val="0"/>
      <w:marBottom w:val="0"/>
      <w:divBdr>
        <w:top w:val="none" w:sz="0" w:space="0" w:color="auto"/>
        <w:left w:val="none" w:sz="0" w:space="0" w:color="auto"/>
        <w:bottom w:val="none" w:sz="0" w:space="0" w:color="auto"/>
        <w:right w:val="none" w:sz="0" w:space="0" w:color="auto"/>
      </w:divBdr>
    </w:div>
    <w:div w:id="1890679056">
      <w:bodyDiv w:val="1"/>
      <w:marLeft w:val="0"/>
      <w:marRight w:val="0"/>
      <w:marTop w:val="0"/>
      <w:marBottom w:val="0"/>
      <w:divBdr>
        <w:top w:val="none" w:sz="0" w:space="0" w:color="auto"/>
        <w:left w:val="none" w:sz="0" w:space="0" w:color="auto"/>
        <w:bottom w:val="none" w:sz="0" w:space="0" w:color="auto"/>
        <w:right w:val="none" w:sz="0" w:space="0" w:color="auto"/>
      </w:divBdr>
    </w:div>
    <w:div w:id="1891064791">
      <w:bodyDiv w:val="1"/>
      <w:marLeft w:val="0"/>
      <w:marRight w:val="0"/>
      <w:marTop w:val="0"/>
      <w:marBottom w:val="0"/>
      <w:divBdr>
        <w:top w:val="none" w:sz="0" w:space="0" w:color="auto"/>
        <w:left w:val="none" w:sz="0" w:space="0" w:color="auto"/>
        <w:bottom w:val="none" w:sz="0" w:space="0" w:color="auto"/>
        <w:right w:val="none" w:sz="0" w:space="0" w:color="auto"/>
      </w:divBdr>
    </w:div>
    <w:div w:id="1893614582">
      <w:bodyDiv w:val="1"/>
      <w:marLeft w:val="0"/>
      <w:marRight w:val="0"/>
      <w:marTop w:val="0"/>
      <w:marBottom w:val="0"/>
      <w:divBdr>
        <w:top w:val="none" w:sz="0" w:space="0" w:color="auto"/>
        <w:left w:val="none" w:sz="0" w:space="0" w:color="auto"/>
        <w:bottom w:val="none" w:sz="0" w:space="0" w:color="auto"/>
        <w:right w:val="none" w:sz="0" w:space="0" w:color="auto"/>
      </w:divBdr>
    </w:div>
    <w:div w:id="1893619049">
      <w:bodyDiv w:val="1"/>
      <w:marLeft w:val="0"/>
      <w:marRight w:val="0"/>
      <w:marTop w:val="0"/>
      <w:marBottom w:val="0"/>
      <w:divBdr>
        <w:top w:val="none" w:sz="0" w:space="0" w:color="auto"/>
        <w:left w:val="none" w:sz="0" w:space="0" w:color="auto"/>
        <w:bottom w:val="none" w:sz="0" w:space="0" w:color="auto"/>
        <w:right w:val="none" w:sz="0" w:space="0" w:color="auto"/>
      </w:divBdr>
    </w:div>
    <w:div w:id="1893692716">
      <w:bodyDiv w:val="1"/>
      <w:marLeft w:val="0"/>
      <w:marRight w:val="0"/>
      <w:marTop w:val="0"/>
      <w:marBottom w:val="0"/>
      <w:divBdr>
        <w:top w:val="none" w:sz="0" w:space="0" w:color="auto"/>
        <w:left w:val="none" w:sz="0" w:space="0" w:color="auto"/>
        <w:bottom w:val="none" w:sz="0" w:space="0" w:color="auto"/>
        <w:right w:val="none" w:sz="0" w:space="0" w:color="auto"/>
      </w:divBdr>
    </w:div>
    <w:div w:id="1896424482">
      <w:bodyDiv w:val="1"/>
      <w:marLeft w:val="0"/>
      <w:marRight w:val="0"/>
      <w:marTop w:val="0"/>
      <w:marBottom w:val="0"/>
      <w:divBdr>
        <w:top w:val="none" w:sz="0" w:space="0" w:color="auto"/>
        <w:left w:val="none" w:sz="0" w:space="0" w:color="auto"/>
        <w:bottom w:val="none" w:sz="0" w:space="0" w:color="auto"/>
        <w:right w:val="none" w:sz="0" w:space="0" w:color="auto"/>
      </w:divBdr>
    </w:div>
    <w:div w:id="1896625632">
      <w:bodyDiv w:val="1"/>
      <w:marLeft w:val="0"/>
      <w:marRight w:val="0"/>
      <w:marTop w:val="0"/>
      <w:marBottom w:val="0"/>
      <w:divBdr>
        <w:top w:val="none" w:sz="0" w:space="0" w:color="auto"/>
        <w:left w:val="none" w:sz="0" w:space="0" w:color="auto"/>
        <w:bottom w:val="none" w:sz="0" w:space="0" w:color="auto"/>
        <w:right w:val="none" w:sz="0" w:space="0" w:color="auto"/>
      </w:divBdr>
    </w:div>
    <w:div w:id="1897160616">
      <w:bodyDiv w:val="1"/>
      <w:marLeft w:val="0"/>
      <w:marRight w:val="0"/>
      <w:marTop w:val="0"/>
      <w:marBottom w:val="0"/>
      <w:divBdr>
        <w:top w:val="none" w:sz="0" w:space="0" w:color="auto"/>
        <w:left w:val="none" w:sz="0" w:space="0" w:color="auto"/>
        <w:bottom w:val="none" w:sz="0" w:space="0" w:color="auto"/>
        <w:right w:val="none" w:sz="0" w:space="0" w:color="auto"/>
      </w:divBdr>
    </w:div>
    <w:div w:id="1897282196">
      <w:bodyDiv w:val="1"/>
      <w:marLeft w:val="0"/>
      <w:marRight w:val="0"/>
      <w:marTop w:val="0"/>
      <w:marBottom w:val="0"/>
      <w:divBdr>
        <w:top w:val="none" w:sz="0" w:space="0" w:color="auto"/>
        <w:left w:val="none" w:sz="0" w:space="0" w:color="auto"/>
        <w:bottom w:val="none" w:sz="0" w:space="0" w:color="auto"/>
        <w:right w:val="none" w:sz="0" w:space="0" w:color="auto"/>
      </w:divBdr>
    </w:div>
    <w:div w:id="1897426204">
      <w:bodyDiv w:val="1"/>
      <w:marLeft w:val="0"/>
      <w:marRight w:val="0"/>
      <w:marTop w:val="0"/>
      <w:marBottom w:val="0"/>
      <w:divBdr>
        <w:top w:val="none" w:sz="0" w:space="0" w:color="auto"/>
        <w:left w:val="none" w:sz="0" w:space="0" w:color="auto"/>
        <w:bottom w:val="none" w:sz="0" w:space="0" w:color="auto"/>
        <w:right w:val="none" w:sz="0" w:space="0" w:color="auto"/>
      </w:divBdr>
    </w:div>
    <w:div w:id="1897816466">
      <w:bodyDiv w:val="1"/>
      <w:marLeft w:val="0"/>
      <w:marRight w:val="0"/>
      <w:marTop w:val="0"/>
      <w:marBottom w:val="0"/>
      <w:divBdr>
        <w:top w:val="none" w:sz="0" w:space="0" w:color="auto"/>
        <w:left w:val="none" w:sz="0" w:space="0" w:color="auto"/>
        <w:bottom w:val="none" w:sz="0" w:space="0" w:color="auto"/>
        <w:right w:val="none" w:sz="0" w:space="0" w:color="auto"/>
      </w:divBdr>
    </w:div>
    <w:div w:id="1900941254">
      <w:bodyDiv w:val="1"/>
      <w:marLeft w:val="0"/>
      <w:marRight w:val="0"/>
      <w:marTop w:val="0"/>
      <w:marBottom w:val="0"/>
      <w:divBdr>
        <w:top w:val="none" w:sz="0" w:space="0" w:color="auto"/>
        <w:left w:val="none" w:sz="0" w:space="0" w:color="auto"/>
        <w:bottom w:val="none" w:sz="0" w:space="0" w:color="auto"/>
        <w:right w:val="none" w:sz="0" w:space="0" w:color="auto"/>
      </w:divBdr>
    </w:div>
    <w:div w:id="1906985342">
      <w:bodyDiv w:val="1"/>
      <w:marLeft w:val="0"/>
      <w:marRight w:val="0"/>
      <w:marTop w:val="0"/>
      <w:marBottom w:val="0"/>
      <w:divBdr>
        <w:top w:val="none" w:sz="0" w:space="0" w:color="auto"/>
        <w:left w:val="none" w:sz="0" w:space="0" w:color="auto"/>
        <w:bottom w:val="none" w:sz="0" w:space="0" w:color="auto"/>
        <w:right w:val="none" w:sz="0" w:space="0" w:color="auto"/>
      </w:divBdr>
    </w:div>
    <w:div w:id="1909071377">
      <w:bodyDiv w:val="1"/>
      <w:marLeft w:val="0"/>
      <w:marRight w:val="0"/>
      <w:marTop w:val="0"/>
      <w:marBottom w:val="0"/>
      <w:divBdr>
        <w:top w:val="none" w:sz="0" w:space="0" w:color="auto"/>
        <w:left w:val="none" w:sz="0" w:space="0" w:color="auto"/>
        <w:bottom w:val="none" w:sz="0" w:space="0" w:color="auto"/>
        <w:right w:val="none" w:sz="0" w:space="0" w:color="auto"/>
      </w:divBdr>
    </w:div>
    <w:div w:id="1910184908">
      <w:bodyDiv w:val="1"/>
      <w:marLeft w:val="0"/>
      <w:marRight w:val="0"/>
      <w:marTop w:val="0"/>
      <w:marBottom w:val="0"/>
      <w:divBdr>
        <w:top w:val="none" w:sz="0" w:space="0" w:color="auto"/>
        <w:left w:val="none" w:sz="0" w:space="0" w:color="auto"/>
        <w:bottom w:val="none" w:sz="0" w:space="0" w:color="auto"/>
        <w:right w:val="none" w:sz="0" w:space="0" w:color="auto"/>
      </w:divBdr>
    </w:div>
    <w:div w:id="1912695147">
      <w:bodyDiv w:val="1"/>
      <w:marLeft w:val="0"/>
      <w:marRight w:val="0"/>
      <w:marTop w:val="0"/>
      <w:marBottom w:val="0"/>
      <w:divBdr>
        <w:top w:val="none" w:sz="0" w:space="0" w:color="auto"/>
        <w:left w:val="none" w:sz="0" w:space="0" w:color="auto"/>
        <w:bottom w:val="none" w:sz="0" w:space="0" w:color="auto"/>
        <w:right w:val="none" w:sz="0" w:space="0" w:color="auto"/>
      </w:divBdr>
    </w:div>
    <w:div w:id="191511713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6862749">
      <w:bodyDiv w:val="1"/>
      <w:marLeft w:val="0"/>
      <w:marRight w:val="0"/>
      <w:marTop w:val="0"/>
      <w:marBottom w:val="0"/>
      <w:divBdr>
        <w:top w:val="none" w:sz="0" w:space="0" w:color="auto"/>
        <w:left w:val="none" w:sz="0" w:space="0" w:color="auto"/>
        <w:bottom w:val="none" w:sz="0" w:space="0" w:color="auto"/>
        <w:right w:val="none" w:sz="0" w:space="0" w:color="auto"/>
      </w:divBdr>
    </w:div>
    <w:div w:id="1918050909">
      <w:bodyDiv w:val="1"/>
      <w:marLeft w:val="0"/>
      <w:marRight w:val="0"/>
      <w:marTop w:val="0"/>
      <w:marBottom w:val="0"/>
      <w:divBdr>
        <w:top w:val="none" w:sz="0" w:space="0" w:color="auto"/>
        <w:left w:val="none" w:sz="0" w:space="0" w:color="auto"/>
        <w:bottom w:val="none" w:sz="0" w:space="0" w:color="auto"/>
        <w:right w:val="none" w:sz="0" w:space="0" w:color="auto"/>
      </w:divBdr>
    </w:div>
    <w:div w:id="1921594651">
      <w:bodyDiv w:val="1"/>
      <w:marLeft w:val="0"/>
      <w:marRight w:val="0"/>
      <w:marTop w:val="0"/>
      <w:marBottom w:val="0"/>
      <w:divBdr>
        <w:top w:val="none" w:sz="0" w:space="0" w:color="auto"/>
        <w:left w:val="none" w:sz="0" w:space="0" w:color="auto"/>
        <w:bottom w:val="none" w:sz="0" w:space="0" w:color="auto"/>
        <w:right w:val="none" w:sz="0" w:space="0" w:color="auto"/>
      </w:divBdr>
    </w:div>
    <w:div w:id="1925217549">
      <w:bodyDiv w:val="1"/>
      <w:marLeft w:val="0"/>
      <w:marRight w:val="0"/>
      <w:marTop w:val="0"/>
      <w:marBottom w:val="0"/>
      <w:divBdr>
        <w:top w:val="none" w:sz="0" w:space="0" w:color="auto"/>
        <w:left w:val="none" w:sz="0" w:space="0" w:color="auto"/>
        <w:bottom w:val="none" w:sz="0" w:space="0" w:color="auto"/>
        <w:right w:val="none" w:sz="0" w:space="0" w:color="auto"/>
      </w:divBdr>
    </w:div>
    <w:div w:id="1930115264">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2540010">
      <w:bodyDiv w:val="1"/>
      <w:marLeft w:val="0"/>
      <w:marRight w:val="0"/>
      <w:marTop w:val="0"/>
      <w:marBottom w:val="0"/>
      <w:divBdr>
        <w:top w:val="none" w:sz="0" w:space="0" w:color="auto"/>
        <w:left w:val="none" w:sz="0" w:space="0" w:color="auto"/>
        <w:bottom w:val="none" w:sz="0" w:space="0" w:color="auto"/>
        <w:right w:val="none" w:sz="0" w:space="0" w:color="auto"/>
      </w:divBdr>
    </w:div>
    <w:div w:id="1933316682">
      <w:bodyDiv w:val="1"/>
      <w:marLeft w:val="0"/>
      <w:marRight w:val="0"/>
      <w:marTop w:val="0"/>
      <w:marBottom w:val="0"/>
      <w:divBdr>
        <w:top w:val="none" w:sz="0" w:space="0" w:color="auto"/>
        <w:left w:val="none" w:sz="0" w:space="0" w:color="auto"/>
        <w:bottom w:val="none" w:sz="0" w:space="0" w:color="auto"/>
        <w:right w:val="none" w:sz="0" w:space="0" w:color="auto"/>
      </w:divBdr>
    </w:div>
    <w:div w:id="1933706433">
      <w:bodyDiv w:val="1"/>
      <w:marLeft w:val="0"/>
      <w:marRight w:val="0"/>
      <w:marTop w:val="0"/>
      <w:marBottom w:val="0"/>
      <w:divBdr>
        <w:top w:val="none" w:sz="0" w:space="0" w:color="auto"/>
        <w:left w:val="none" w:sz="0" w:space="0" w:color="auto"/>
        <w:bottom w:val="none" w:sz="0" w:space="0" w:color="auto"/>
        <w:right w:val="none" w:sz="0" w:space="0" w:color="auto"/>
      </w:divBdr>
    </w:div>
    <w:div w:id="1936480172">
      <w:bodyDiv w:val="1"/>
      <w:marLeft w:val="0"/>
      <w:marRight w:val="0"/>
      <w:marTop w:val="0"/>
      <w:marBottom w:val="0"/>
      <w:divBdr>
        <w:top w:val="none" w:sz="0" w:space="0" w:color="auto"/>
        <w:left w:val="none" w:sz="0" w:space="0" w:color="auto"/>
        <w:bottom w:val="none" w:sz="0" w:space="0" w:color="auto"/>
        <w:right w:val="none" w:sz="0" w:space="0" w:color="auto"/>
      </w:divBdr>
    </w:div>
    <w:div w:id="1936597906">
      <w:bodyDiv w:val="1"/>
      <w:marLeft w:val="0"/>
      <w:marRight w:val="0"/>
      <w:marTop w:val="0"/>
      <w:marBottom w:val="0"/>
      <w:divBdr>
        <w:top w:val="none" w:sz="0" w:space="0" w:color="auto"/>
        <w:left w:val="none" w:sz="0" w:space="0" w:color="auto"/>
        <w:bottom w:val="none" w:sz="0" w:space="0" w:color="auto"/>
        <w:right w:val="none" w:sz="0" w:space="0" w:color="auto"/>
      </w:divBdr>
    </w:div>
    <w:div w:id="1938558798">
      <w:bodyDiv w:val="1"/>
      <w:marLeft w:val="0"/>
      <w:marRight w:val="0"/>
      <w:marTop w:val="0"/>
      <w:marBottom w:val="0"/>
      <w:divBdr>
        <w:top w:val="none" w:sz="0" w:space="0" w:color="auto"/>
        <w:left w:val="none" w:sz="0" w:space="0" w:color="auto"/>
        <w:bottom w:val="none" w:sz="0" w:space="0" w:color="auto"/>
        <w:right w:val="none" w:sz="0" w:space="0" w:color="auto"/>
      </w:divBdr>
    </w:div>
    <w:div w:id="1939635609">
      <w:bodyDiv w:val="1"/>
      <w:marLeft w:val="0"/>
      <w:marRight w:val="0"/>
      <w:marTop w:val="0"/>
      <w:marBottom w:val="0"/>
      <w:divBdr>
        <w:top w:val="none" w:sz="0" w:space="0" w:color="auto"/>
        <w:left w:val="none" w:sz="0" w:space="0" w:color="auto"/>
        <w:bottom w:val="none" w:sz="0" w:space="0" w:color="auto"/>
        <w:right w:val="none" w:sz="0" w:space="0" w:color="auto"/>
      </w:divBdr>
    </w:div>
    <w:div w:id="1940136425">
      <w:bodyDiv w:val="1"/>
      <w:marLeft w:val="0"/>
      <w:marRight w:val="0"/>
      <w:marTop w:val="0"/>
      <w:marBottom w:val="0"/>
      <w:divBdr>
        <w:top w:val="none" w:sz="0" w:space="0" w:color="auto"/>
        <w:left w:val="none" w:sz="0" w:space="0" w:color="auto"/>
        <w:bottom w:val="none" w:sz="0" w:space="0" w:color="auto"/>
        <w:right w:val="none" w:sz="0" w:space="0" w:color="auto"/>
      </w:divBdr>
    </w:div>
    <w:div w:id="1944530663">
      <w:bodyDiv w:val="1"/>
      <w:marLeft w:val="0"/>
      <w:marRight w:val="0"/>
      <w:marTop w:val="0"/>
      <w:marBottom w:val="0"/>
      <w:divBdr>
        <w:top w:val="none" w:sz="0" w:space="0" w:color="auto"/>
        <w:left w:val="none" w:sz="0" w:space="0" w:color="auto"/>
        <w:bottom w:val="none" w:sz="0" w:space="0" w:color="auto"/>
        <w:right w:val="none" w:sz="0" w:space="0" w:color="auto"/>
      </w:divBdr>
    </w:div>
    <w:div w:id="1947150738">
      <w:bodyDiv w:val="1"/>
      <w:marLeft w:val="0"/>
      <w:marRight w:val="0"/>
      <w:marTop w:val="0"/>
      <w:marBottom w:val="0"/>
      <w:divBdr>
        <w:top w:val="none" w:sz="0" w:space="0" w:color="auto"/>
        <w:left w:val="none" w:sz="0" w:space="0" w:color="auto"/>
        <w:bottom w:val="none" w:sz="0" w:space="0" w:color="auto"/>
        <w:right w:val="none" w:sz="0" w:space="0" w:color="auto"/>
      </w:divBdr>
    </w:div>
    <w:div w:id="1947736952">
      <w:bodyDiv w:val="1"/>
      <w:marLeft w:val="0"/>
      <w:marRight w:val="0"/>
      <w:marTop w:val="0"/>
      <w:marBottom w:val="0"/>
      <w:divBdr>
        <w:top w:val="none" w:sz="0" w:space="0" w:color="auto"/>
        <w:left w:val="none" w:sz="0" w:space="0" w:color="auto"/>
        <w:bottom w:val="none" w:sz="0" w:space="0" w:color="auto"/>
        <w:right w:val="none" w:sz="0" w:space="0" w:color="auto"/>
      </w:divBdr>
    </w:div>
    <w:div w:id="1948274551">
      <w:bodyDiv w:val="1"/>
      <w:marLeft w:val="0"/>
      <w:marRight w:val="0"/>
      <w:marTop w:val="0"/>
      <w:marBottom w:val="0"/>
      <w:divBdr>
        <w:top w:val="none" w:sz="0" w:space="0" w:color="auto"/>
        <w:left w:val="none" w:sz="0" w:space="0" w:color="auto"/>
        <w:bottom w:val="none" w:sz="0" w:space="0" w:color="auto"/>
        <w:right w:val="none" w:sz="0" w:space="0" w:color="auto"/>
      </w:divBdr>
    </w:div>
    <w:div w:id="1950307184">
      <w:bodyDiv w:val="1"/>
      <w:marLeft w:val="0"/>
      <w:marRight w:val="0"/>
      <w:marTop w:val="0"/>
      <w:marBottom w:val="0"/>
      <w:divBdr>
        <w:top w:val="none" w:sz="0" w:space="0" w:color="auto"/>
        <w:left w:val="none" w:sz="0" w:space="0" w:color="auto"/>
        <w:bottom w:val="none" w:sz="0" w:space="0" w:color="auto"/>
        <w:right w:val="none" w:sz="0" w:space="0" w:color="auto"/>
      </w:divBdr>
    </w:div>
    <w:div w:id="1950818333">
      <w:bodyDiv w:val="1"/>
      <w:marLeft w:val="0"/>
      <w:marRight w:val="0"/>
      <w:marTop w:val="0"/>
      <w:marBottom w:val="0"/>
      <w:divBdr>
        <w:top w:val="none" w:sz="0" w:space="0" w:color="auto"/>
        <w:left w:val="none" w:sz="0" w:space="0" w:color="auto"/>
        <w:bottom w:val="none" w:sz="0" w:space="0" w:color="auto"/>
        <w:right w:val="none" w:sz="0" w:space="0" w:color="auto"/>
      </w:divBdr>
    </w:div>
    <w:div w:id="1954439911">
      <w:bodyDiv w:val="1"/>
      <w:marLeft w:val="0"/>
      <w:marRight w:val="0"/>
      <w:marTop w:val="0"/>
      <w:marBottom w:val="0"/>
      <w:divBdr>
        <w:top w:val="none" w:sz="0" w:space="0" w:color="auto"/>
        <w:left w:val="none" w:sz="0" w:space="0" w:color="auto"/>
        <w:bottom w:val="none" w:sz="0" w:space="0" w:color="auto"/>
        <w:right w:val="none" w:sz="0" w:space="0" w:color="auto"/>
      </w:divBdr>
    </w:div>
    <w:div w:id="1955938825">
      <w:bodyDiv w:val="1"/>
      <w:marLeft w:val="0"/>
      <w:marRight w:val="0"/>
      <w:marTop w:val="0"/>
      <w:marBottom w:val="0"/>
      <w:divBdr>
        <w:top w:val="none" w:sz="0" w:space="0" w:color="auto"/>
        <w:left w:val="none" w:sz="0" w:space="0" w:color="auto"/>
        <w:bottom w:val="none" w:sz="0" w:space="0" w:color="auto"/>
        <w:right w:val="none" w:sz="0" w:space="0" w:color="auto"/>
      </w:divBdr>
    </w:div>
    <w:div w:id="1958023404">
      <w:bodyDiv w:val="1"/>
      <w:marLeft w:val="0"/>
      <w:marRight w:val="0"/>
      <w:marTop w:val="0"/>
      <w:marBottom w:val="0"/>
      <w:divBdr>
        <w:top w:val="none" w:sz="0" w:space="0" w:color="auto"/>
        <w:left w:val="none" w:sz="0" w:space="0" w:color="auto"/>
        <w:bottom w:val="none" w:sz="0" w:space="0" w:color="auto"/>
        <w:right w:val="none" w:sz="0" w:space="0" w:color="auto"/>
      </w:divBdr>
    </w:div>
    <w:div w:id="195802607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3687609">
      <w:bodyDiv w:val="1"/>
      <w:marLeft w:val="0"/>
      <w:marRight w:val="0"/>
      <w:marTop w:val="0"/>
      <w:marBottom w:val="0"/>
      <w:divBdr>
        <w:top w:val="none" w:sz="0" w:space="0" w:color="auto"/>
        <w:left w:val="none" w:sz="0" w:space="0" w:color="auto"/>
        <w:bottom w:val="none" w:sz="0" w:space="0" w:color="auto"/>
        <w:right w:val="none" w:sz="0" w:space="0" w:color="auto"/>
      </w:divBdr>
    </w:div>
    <w:div w:id="1963807809">
      <w:bodyDiv w:val="1"/>
      <w:marLeft w:val="0"/>
      <w:marRight w:val="0"/>
      <w:marTop w:val="0"/>
      <w:marBottom w:val="0"/>
      <w:divBdr>
        <w:top w:val="none" w:sz="0" w:space="0" w:color="auto"/>
        <w:left w:val="none" w:sz="0" w:space="0" w:color="auto"/>
        <w:bottom w:val="none" w:sz="0" w:space="0" w:color="auto"/>
        <w:right w:val="none" w:sz="0" w:space="0" w:color="auto"/>
      </w:divBdr>
    </w:div>
    <w:div w:id="1964729750">
      <w:bodyDiv w:val="1"/>
      <w:marLeft w:val="0"/>
      <w:marRight w:val="0"/>
      <w:marTop w:val="0"/>
      <w:marBottom w:val="0"/>
      <w:divBdr>
        <w:top w:val="none" w:sz="0" w:space="0" w:color="auto"/>
        <w:left w:val="none" w:sz="0" w:space="0" w:color="auto"/>
        <w:bottom w:val="none" w:sz="0" w:space="0" w:color="auto"/>
        <w:right w:val="none" w:sz="0" w:space="0" w:color="auto"/>
      </w:divBdr>
    </w:div>
    <w:div w:id="1965381347">
      <w:bodyDiv w:val="1"/>
      <w:marLeft w:val="0"/>
      <w:marRight w:val="0"/>
      <w:marTop w:val="0"/>
      <w:marBottom w:val="0"/>
      <w:divBdr>
        <w:top w:val="none" w:sz="0" w:space="0" w:color="auto"/>
        <w:left w:val="none" w:sz="0" w:space="0" w:color="auto"/>
        <w:bottom w:val="none" w:sz="0" w:space="0" w:color="auto"/>
        <w:right w:val="none" w:sz="0" w:space="0" w:color="auto"/>
      </w:divBdr>
    </w:div>
    <w:div w:id="1965496259">
      <w:bodyDiv w:val="1"/>
      <w:marLeft w:val="0"/>
      <w:marRight w:val="0"/>
      <w:marTop w:val="0"/>
      <w:marBottom w:val="0"/>
      <w:divBdr>
        <w:top w:val="none" w:sz="0" w:space="0" w:color="auto"/>
        <w:left w:val="none" w:sz="0" w:space="0" w:color="auto"/>
        <w:bottom w:val="none" w:sz="0" w:space="0" w:color="auto"/>
        <w:right w:val="none" w:sz="0" w:space="0" w:color="auto"/>
      </w:divBdr>
    </w:div>
    <w:div w:id="1966886355">
      <w:bodyDiv w:val="1"/>
      <w:marLeft w:val="0"/>
      <w:marRight w:val="0"/>
      <w:marTop w:val="0"/>
      <w:marBottom w:val="0"/>
      <w:divBdr>
        <w:top w:val="none" w:sz="0" w:space="0" w:color="auto"/>
        <w:left w:val="none" w:sz="0" w:space="0" w:color="auto"/>
        <w:bottom w:val="none" w:sz="0" w:space="0" w:color="auto"/>
        <w:right w:val="none" w:sz="0" w:space="0" w:color="auto"/>
      </w:divBdr>
    </w:div>
    <w:div w:id="1968706256">
      <w:bodyDiv w:val="1"/>
      <w:marLeft w:val="0"/>
      <w:marRight w:val="0"/>
      <w:marTop w:val="0"/>
      <w:marBottom w:val="0"/>
      <w:divBdr>
        <w:top w:val="none" w:sz="0" w:space="0" w:color="auto"/>
        <w:left w:val="none" w:sz="0" w:space="0" w:color="auto"/>
        <w:bottom w:val="none" w:sz="0" w:space="0" w:color="auto"/>
        <w:right w:val="none" w:sz="0" w:space="0" w:color="auto"/>
      </w:divBdr>
    </w:div>
    <w:div w:id="1968851544">
      <w:bodyDiv w:val="1"/>
      <w:marLeft w:val="0"/>
      <w:marRight w:val="0"/>
      <w:marTop w:val="0"/>
      <w:marBottom w:val="0"/>
      <w:divBdr>
        <w:top w:val="none" w:sz="0" w:space="0" w:color="auto"/>
        <w:left w:val="none" w:sz="0" w:space="0" w:color="auto"/>
        <w:bottom w:val="none" w:sz="0" w:space="0" w:color="auto"/>
        <w:right w:val="none" w:sz="0" w:space="0" w:color="auto"/>
      </w:divBdr>
    </w:div>
    <w:div w:id="1968856779">
      <w:bodyDiv w:val="1"/>
      <w:marLeft w:val="0"/>
      <w:marRight w:val="0"/>
      <w:marTop w:val="0"/>
      <w:marBottom w:val="0"/>
      <w:divBdr>
        <w:top w:val="none" w:sz="0" w:space="0" w:color="auto"/>
        <w:left w:val="none" w:sz="0" w:space="0" w:color="auto"/>
        <w:bottom w:val="none" w:sz="0" w:space="0" w:color="auto"/>
        <w:right w:val="none" w:sz="0" w:space="0" w:color="auto"/>
      </w:divBdr>
    </w:div>
    <w:div w:id="1970014241">
      <w:bodyDiv w:val="1"/>
      <w:marLeft w:val="0"/>
      <w:marRight w:val="0"/>
      <w:marTop w:val="0"/>
      <w:marBottom w:val="0"/>
      <w:divBdr>
        <w:top w:val="none" w:sz="0" w:space="0" w:color="auto"/>
        <w:left w:val="none" w:sz="0" w:space="0" w:color="auto"/>
        <w:bottom w:val="none" w:sz="0" w:space="0" w:color="auto"/>
        <w:right w:val="none" w:sz="0" w:space="0" w:color="auto"/>
      </w:divBdr>
    </w:div>
    <w:div w:id="1970628959">
      <w:bodyDiv w:val="1"/>
      <w:marLeft w:val="0"/>
      <w:marRight w:val="0"/>
      <w:marTop w:val="0"/>
      <w:marBottom w:val="0"/>
      <w:divBdr>
        <w:top w:val="none" w:sz="0" w:space="0" w:color="auto"/>
        <w:left w:val="none" w:sz="0" w:space="0" w:color="auto"/>
        <w:bottom w:val="none" w:sz="0" w:space="0" w:color="auto"/>
        <w:right w:val="none" w:sz="0" w:space="0" w:color="auto"/>
      </w:divBdr>
    </w:div>
    <w:div w:id="1972589863">
      <w:bodyDiv w:val="1"/>
      <w:marLeft w:val="0"/>
      <w:marRight w:val="0"/>
      <w:marTop w:val="0"/>
      <w:marBottom w:val="0"/>
      <w:divBdr>
        <w:top w:val="none" w:sz="0" w:space="0" w:color="auto"/>
        <w:left w:val="none" w:sz="0" w:space="0" w:color="auto"/>
        <w:bottom w:val="none" w:sz="0" w:space="0" w:color="auto"/>
        <w:right w:val="none" w:sz="0" w:space="0" w:color="auto"/>
      </w:divBdr>
    </w:div>
    <w:div w:id="1972788352">
      <w:bodyDiv w:val="1"/>
      <w:marLeft w:val="0"/>
      <w:marRight w:val="0"/>
      <w:marTop w:val="0"/>
      <w:marBottom w:val="0"/>
      <w:divBdr>
        <w:top w:val="none" w:sz="0" w:space="0" w:color="auto"/>
        <w:left w:val="none" w:sz="0" w:space="0" w:color="auto"/>
        <w:bottom w:val="none" w:sz="0" w:space="0" w:color="auto"/>
        <w:right w:val="none" w:sz="0" w:space="0" w:color="auto"/>
      </w:divBdr>
    </w:div>
    <w:div w:id="1972904041">
      <w:bodyDiv w:val="1"/>
      <w:marLeft w:val="0"/>
      <w:marRight w:val="0"/>
      <w:marTop w:val="0"/>
      <w:marBottom w:val="0"/>
      <w:divBdr>
        <w:top w:val="none" w:sz="0" w:space="0" w:color="auto"/>
        <w:left w:val="none" w:sz="0" w:space="0" w:color="auto"/>
        <w:bottom w:val="none" w:sz="0" w:space="0" w:color="auto"/>
        <w:right w:val="none" w:sz="0" w:space="0" w:color="auto"/>
      </w:divBdr>
    </w:div>
    <w:div w:id="1972977145">
      <w:bodyDiv w:val="1"/>
      <w:marLeft w:val="0"/>
      <w:marRight w:val="0"/>
      <w:marTop w:val="0"/>
      <w:marBottom w:val="0"/>
      <w:divBdr>
        <w:top w:val="none" w:sz="0" w:space="0" w:color="auto"/>
        <w:left w:val="none" w:sz="0" w:space="0" w:color="auto"/>
        <w:bottom w:val="none" w:sz="0" w:space="0" w:color="auto"/>
        <w:right w:val="none" w:sz="0" w:space="0" w:color="auto"/>
      </w:divBdr>
    </w:div>
    <w:div w:id="1976445235">
      <w:bodyDiv w:val="1"/>
      <w:marLeft w:val="0"/>
      <w:marRight w:val="0"/>
      <w:marTop w:val="0"/>
      <w:marBottom w:val="0"/>
      <w:divBdr>
        <w:top w:val="none" w:sz="0" w:space="0" w:color="auto"/>
        <w:left w:val="none" w:sz="0" w:space="0" w:color="auto"/>
        <w:bottom w:val="none" w:sz="0" w:space="0" w:color="auto"/>
        <w:right w:val="none" w:sz="0" w:space="0" w:color="auto"/>
      </w:divBdr>
    </w:div>
    <w:div w:id="1977223254">
      <w:bodyDiv w:val="1"/>
      <w:marLeft w:val="0"/>
      <w:marRight w:val="0"/>
      <w:marTop w:val="0"/>
      <w:marBottom w:val="0"/>
      <w:divBdr>
        <w:top w:val="none" w:sz="0" w:space="0" w:color="auto"/>
        <w:left w:val="none" w:sz="0" w:space="0" w:color="auto"/>
        <w:bottom w:val="none" w:sz="0" w:space="0" w:color="auto"/>
        <w:right w:val="none" w:sz="0" w:space="0" w:color="auto"/>
      </w:divBdr>
    </w:div>
    <w:div w:id="1977368347">
      <w:bodyDiv w:val="1"/>
      <w:marLeft w:val="0"/>
      <w:marRight w:val="0"/>
      <w:marTop w:val="0"/>
      <w:marBottom w:val="0"/>
      <w:divBdr>
        <w:top w:val="none" w:sz="0" w:space="0" w:color="auto"/>
        <w:left w:val="none" w:sz="0" w:space="0" w:color="auto"/>
        <w:bottom w:val="none" w:sz="0" w:space="0" w:color="auto"/>
        <w:right w:val="none" w:sz="0" w:space="0" w:color="auto"/>
      </w:divBdr>
    </w:div>
    <w:div w:id="1978222774">
      <w:bodyDiv w:val="1"/>
      <w:marLeft w:val="0"/>
      <w:marRight w:val="0"/>
      <w:marTop w:val="0"/>
      <w:marBottom w:val="0"/>
      <w:divBdr>
        <w:top w:val="none" w:sz="0" w:space="0" w:color="auto"/>
        <w:left w:val="none" w:sz="0" w:space="0" w:color="auto"/>
        <w:bottom w:val="none" w:sz="0" w:space="0" w:color="auto"/>
        <w:right w:val="none" w:sz="0" w:space="0" w:color="auto"/>
      </w:divBdr>
    </w:div>
    <w:div w:id="1979187909">
      <w:bodyDiv w:val="1"/>
      <w:marLeft w:val="0"/>
      <w:marRight w:val="0"/>
      <w:marTop w:val="0"/>
      <w:marBottom w:val="0"/>
      <w:divBdr>
        <w:top w:val="none" w:sz="0" w:space="0" w:color="auto"/>
        <w:left w:val="none" w:sz="0" w:space="0" w:color="auto"/>
        <w:bottom w:val="none" w:sz="0" w:space="0" w:color="auto"/>
        <w:right w:val="none" w:sz="0" w:space="0" w:color="auto"/>
      </w:divBdr>
    </w:div>
    <w:div w:id="1979874449">
      <w:bodyDiv w:val="1"/>
      <w:marLeft w:val="0"/>
      <w:marRight w:val="0"/>
      <w:marTop w:val="0"/>
      <w:marBottom w:val="0"/>
      <w:divBdr>
        <w:top w:val="none" w:sz="0" w:space="0" w:color="auto"/>
        <w:left w:val="none" w:sz="0" w:space="0" w:color="auto"/>
        <w:bottom w:val="none" w:sz="0" w:space="0" w:color="auto"/>
        <w:right w:val="none" w:sz="0" w:space="0" w:color="auto"/>
      </w:divBdr>
    </w:div>
    <w:div w:id="1980912886">
      <w:bodyDiv w:val="1"/>
      <w:marLeft w:val="0"/>
      <w:marRight w:val="0"/>
      <w:marTop w:val="0"/>
      <w:marBottom w:val="0"/>
      <w:divBdr>
        <w:top w:val="none" w:sz="0" w:space="0" w:color="auto"/>
        <w:left w:val="none" w:sz="0" w:space="0" w:color="auto"/>
        <w:bottom w:val="none" w:sz="0" w:space="0" w:color="auto"/>
        <w:right w:val="none" w:sz="0" w:space="0" w:color="auto"/>
      </w:divBdr>
    </w:div>
    <w:div w:id="1982609797">
      <w:bodyDiv w:val="1"/>
      <w:marLeft w:val="0"/>
      <w:marRight w:val="0"/>
      <w:marTop w:val="0"/>
      <w:marBottom w:val="0"/>
      <w:divBdr>
        <w:top w:val="none" w:sz="0" w:space="0" w:color="auto"/>
        <w:left w:val="none" w:sz="0" w:space="0" w:color="auto"/>
        <w:bottom w:val="none" w:sz="0" w:space="0" w:color="auto"/>
        <w:right w:val="none" w:sz="0" w:space="0" w:color="auto"/>
      </w:divBdr>
    </w:div>
    <w:div w:id="1984038681">
      <w:bodyDiv w:val="1"/>
      <w:marLeft w:val="0"/>
      <w:marRight w:val="0"/>
      <w:marTop w:val="0"/>
      <w:marBottom w:val="0"/>
      <w:divBdr>
        <w:top w:val="none" w:sz="0" w:space="0" w:color="auto"/>
        <w:left w:val="none" w:sz="0" w:space="0" w:color="auto"/>
        <w:bottom w:val="none" w:sz="0" w:space="0" w:color="auto"/>
        <w:right w:val="none" w:sz="0" w:space="0" w:color="auto"/>
      </w:divBdr>
    </w:div>
    <w:div w:id="1984500989">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929438">
      <w:bodyDiv w:val="1"/>
      <w:marLeft w:val="0"/>
      <w:marRight w:val="0"/>
      <w:marTop w:val="0"/>
      <w:marBottom w:val="0"/>
      <w:divBdr>
        <w:top w:val="none" w:sz="0" w:space="0" w:color="auto"/>
        <w:left w:val="none" w:sz="0" w:space="0" w:color="auto"/>
        <w:bottom w:val="none" w:sz="0" w:space="0" w:color="auto"/>
        <w:right w:val="none" w:sz="0" w:space="0" w:color="auto"/>
      </w:divBdr>
    </w:div>
    <w:div w:id="1987854677">
      <w:bodyDiv w:val="1"/>
      <w:marLeft w:val="0"/>
      <w:marRight w:val="0"/>
      <w:marTop w:val="0"/>
      <w:marBottom w:val="0"/>
      <w:divBdr>
        <w:top w:val="none" w:sz="0" w:space="0" w:color="auto"/>
        <w:left w:val="none" w:sz="0" w:space="0" w:color="auto"/>
        <w:bottom w:val="none" w:sz="0" w:space="0" w:color="auto"/>
        <w:right w:val="none" w:sz="0" w:space="0" w:color="auto"/>
      </w:divBdr>
    </w:div>
    <w:div w:id="1988126218">
      <w:bodyDiv w:val="1"/>
      <w:marLeft w:val="0"/>
      <w:marRight w:val="0"/>
      <w:marTop w:val="0"/>
      <w:marBottom w:val="0"/>
      <w:divBdr>
        <w:top w:val="none" w:sz="0" w:space="0" w:color="auto"/>
        <w:left w:val="none" w:sz="0" w:space="0" w:color="auto"/>
        <w:bottom w:val="none" w:sz="0" w:space="0" w:color="auto"/>
        <w:right w:val="none" w:sz="0" w:space="0" w:color="auto"/>
      </w:divBdr>
    </w:div>
    <w:div w:id="1988165847">
      <w:bodyDiv w:val="1"/>
      <w:marLeft w:val="0"/>
      <w:marRight w:val="0"/>
      <w:marTop w:val="0"/>
      <w:marBottom w:val="0"/>
      <w:divBdr>
        <w:top w:val="none" w:sz="0" w:space="0" w:color="auto"/>
        <w:left w:val="none" w:sz="0" w:space="0" w:color="auto"/>
        <w:bottom w:val="none" w:sz="0" w:space="0" w:color="auto"/>
        <w:right w:val="none" w:sz="0" w:space="0" w:color="auto"/>
      </w:divBdr>
    </w:div>
    <w:div w:id="1989935658">
      <w:bodyDiv w:val="1"/>
      <w:marLeft w:val="0"/>
      <w:marRight w:val="0"/>
      <w:marTop w:val="0"/>
      <w:marBottom w:val="0"/>
      <w:divBdr>
        <w:top w:val="none" w:sz="0" w:space="0" w:color="auto"/>
        <w:left w:val="none" w:sz="0" w:space="0" w:color="auto"/>
        <w:bottom w:val="none" w:sz="0" w:space="0" w:color="auto"/>
        <w:right w:val="none" w:sz="0" w:space="0" w:color="auto"/>
      </w:divBdr>
    </w:div>
    <w:div w:id="1992520929">
      <w:bodyDiv w:val="1"/>
      <w:marLeft w:val="0"/>
      <w:marRight w:val="0"/>
      <w:marTop w:val="0"/>
      <w:marBottom w:val="0"/>
      <w:divBdr>
        <w:top w:val="none" w:sz="0" w:space="0" w:color="auto"/>
        <w:left w:val="none" w:sz="0" w:space="0" w:color="auto"/>
        <w:bottom w:val="none" w:sz="0" w:space="0" w:color="auto"/>
        <w:right w:val="none" w:sz="0" w:space="0" w:color="auto"/>
      </w:divBdr>
    </w:div>
    <w:div w:id="1993555344">
      <w:bodyDiv w:val="1"/>
      <w:marLeft w:val="0"/>
      <w:marRight w:val="0"/>
      <w:marTop w:val="0"/>
      <w:marBottom w:val="0"/>
      <w:divBdr>
        <w:top w:val="none" w:sz="0" w:space="0" w:color="auto"/>
        <w:left w:val="none" w:sz="0" w:space="0" w:color="auto"/>
        <w:bottom w:val="none" w:sz="0" w:space="0" w:color="auto"/>
        <w:right w:val="none" w:sz="0" w:space="0" w:color="auto"/>
      </w:divBdr>
    </w:div>
    <w:div w:id="1995185552">
      <w:bodyDiv w:val="1"/>
      <w:marLeft w:val="0"/>
      <w:marRight w:val="0"/>
      <w:marTop w:val="0"/>
      <w:marBottom w:val="0"/>
      <w:divBdr>
        <w:top w:val="none" w:sz="0" w:space="0" w:color="auto"/>
        <w:left w:val="none" w:sz="0" w:space="0" w:color="auto"/>
        <w:bottom w:val="none" w:sz="0" w:space="0" w:color="auto"/>
        <w:right w:val="none" w:sz="0" w:space="0" w:color="auto"/>
      </w:divBdr>
    </w:div>
    <w:div w:id="1996106826">
      <w:bodyDiv w:val="1"/>
      <w:marLeft w:val="0"/>
      <w:marRight w:val="0"/>
      <w:marTop w:val="0"/>
      <w:marBottom w:val="0"/>
      <w:divBdr>
        <w:top w:val="none" w:sz="0" w:space="0" w:color="auto"/>
        <w:left w:val="none" w:sz="0" w:space="0" w:color="auto"/>
        <w:bottom w:val="none" w:sz="0" w:space="0" w:color="auto"/>
        <w:right w:val="none" w:sz="0" w:space="0" w:color="auto"/>
      </w:divBdr>
    </w:div>
    <w:div w:id="1996642106">
      <w:bodyDiv w:val="1"/>
      <w:marLeft w:val="0"/>
      <w:marRight w:val="0"/>
      <w:marTop w:val="0"/>
      <w:marBottom w:val="0"/>
      <w:divBdr>
        <w:top w:val="none" w:sz="0" w:space="0" w:color="auto"/>
        <w:left w:val="none" w:sz="0" w:space="0" w:color="auto"/>
        <w:bottom w:val="none" w:sz="0" w:space="0" w:color="auto"/>
        <w:right w:val="none" w:sz="0" w:space="0" w:color="auto"/>
      </w:divBdr>
    </w:div>
    <w:div w:id="1997680824">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679925">
      <w:bodyDiv w:val="1"/>
      <w:marLeft w:val="0"/>
      <w:marRight w:val="0"/>
      <w:marTop w:val="0"/>
      <w:marBottom w:val="0"/>
      <w:divBdr>
        <w:top w:val="none" w:sz="0" w:space="0" w:color="auto"/>
        <w:left w:val="none" w:sz="0" w:space="0" w:color="auto"/>
        <w:bottom w:val="none" w:sz="0" w:space="0" w:color="auto"/>
        <w:right w:val="none" w:sz="0" w:space="0" w:color="auto"/>
      </w:divBdr>
    </w:div>
    <w:div w:id="1999458798">
      <w:bodyDiv w:val="1"/>
      <w:marLeft w:val="0"/>
      <w:marRight w:val="0"/>
      <w:marTop w:val="0"/>
      <w:marBottom w:val="0"/>
      <w:divBdr>
        <w:top w:val="none" w:sz="0" w:space="0" w:color="auto"/>
        <w:left w:val="none" w:sz="0" w:space="0" w:color="auto"/>
        <w:bottom w:val="none" w:sz="0" w:space="0" w:color="auto"/>
        <w:right w:val="none" w:sz="0" w:space="0" w:color="auto"/>
      </w:divBdr>
    </w:div>
    <w:div w:id="1999842608">
      <w:bodyDiv w:val="1"/>
      <w:marLeft w:val="0"/>
      <w:marRight w:val="0"/>
      <w:marTop w:val="0"/>
      <w:marBottom w:val="0"/>
      <w:divBdr>
        <w:top w:val="none" w:sz="0" w:space="0" w:color="auto"/>
        <w:left w:val="none" w:sz="0" w:space="0" w:color="auto"/>
        <w:bottom w:val="none" w:sz="0" w:space="0" w:color="auto"/>
        <w:right w:val="none" w:sz="0" w:space="0" w:color="auto"/>
      </w:divBdr>
    </w:div>
    <w:div w:id="2000378653">
      <w:bodyDiv w:val="1"/>
      <w:marLeft w:val="0"/>
      <w:marRight w:val="0"/>
      <w:marTop w:val="0"/>
      <w:marBottom w:val="0"/>
      <w:divBdr>
        <w:top w:val="none" w:sz="0" w:space="0" w:color="auto"/>
        <w:left w:val="none" w:sz="0" w:space="0" w:color="auto"/>
        <w:bottom w:val="none" w:sz="0" w:space="0" w:color="auto"/>
        <w:right w:val="none" w:sz="0" w:space="0" w:color="auto"/>
      </w:divBdr>
    </w:div>
    <w:div w:id="2000964230">
      <w:bodyDiv w:val="1"/>
      <w:marLeft w:val="0"/>
      <w:marRight w:val="0"/>
      <w:marTop w:val="0"/>
      <w:marBottom w:val="0"/>
      <w:divBdr>
        <w:top w:val="none" w:sz="0" w:space="0" w:color="auto"/>
        <w:left w:val="none" w:sz="0" w:space="0" w:color="auto"/>
        <w:bottom w:val="none" w:sz="0" w:space="0" w:color="auto"/>
        <w:right w:val="none" w:sz="0" w:space="0" w:color="auto"/>
      </w:divBdr>
    </w:div>
    <w:div w:id="2001154633">
      <w:bodyDiv w:val="1"/>
      <w:marLeft w:val="0"/>
      <w:marRight w:val="0"/>
      <w:marTop w:val="0"/>
      <w:marBottom w:val="0"/>
      <w:divBdr>
        <w:top w:val="none" w:sz="0" w:space="0" w:color="auto"/>
        <w:left w:val="none" w:sz="0" w:space="0" w:color="auto"/>
        <w:bottom w:val="none" w:sz="0" w:space="0" w:color="auto"/>
        <w:right w:val="none" w:sz="0" w:space="0" w:color="auto"/>
      </w:divBdr>
    </w:div>
    <w:div w:id="2002156034">
      <w:bodyDiv w:val="1"/>
      <w:marLeft w:val="0"/>
      <w:marRight w:val="0"/>
      <w:marTop w:val="0"/>
      <w:marBottom w:val="0"/>
      <w:divBdr>
        <w:top w:val="none" w:sz="0" w:space="0" w:color="auto"/>
        <w:left w:val="none" w:sz="0" w:space="0" w:color="auto"/>
        <w:bottom w:val="none" w:sz="0" w:space="0" w:color="auto"/>
        <w:right w:val="none" w:sz="0" w:space="0" w:color="auto"/>
      </w:divBdr>
    </w:div>
    <w:div w:id="2002343505">
      <w:bodyDiv w:val="1"/>
      <w:marLeft w:val="0"/>
      <w:marRight w:val="0"/>
      <w:marTop w:val="0"/>
      <w:marBottom w:val="0"/>
      <w:divBdr>
        <w:top w:val="none" w:sz="0" w:space="0" w:color="auto"/>
        <w:left w:val="none" w:sz="0" w:space="0" w:color="auto"/>
        <w:bottom w:val="none" w:sz="0" w:space="0" w:color="auto"/>
        <w:right w:val="none" w:sz="0" w:space="0" w:color="auto"/>
      </w:divBdr>
    </w:div>
    <w:div w:id="2002852279">
      <w:bodyDiv w:val="1"/>
      <w:marLeft w:val="0"/>
      <w:marRight w:val="0"/>
      <w:marTop w:val="0"/>
      <w:marBottom w:val="0"/>
      <w:divBdr>
        <w:top w:val="none" w:sz="0" w:space="0" w:color="auto"/>
        <w:left w:val="none" w:sz="0" w:space="0" w:color="auto"/>
        <w:bottom w:val="none" w:sz="0" w:space="0" w:color="auto"/>
        <w:right w:val="none" w:sz="0" w:space="0" w:color="auto"/>
      </w:divBdr>
    </w:div>
    <w:div w:id="2003309944">
      <w:bodyDiv w:val="1"/>
      <w:marLeft w:val="0"/>
      <w:marRight w:val="0"/>
      <w:marTop w:val="0"/>
      <w:marBottom w:val="0"/>
      <w:divBdr>
        <w:top w:val="none" w:sz="0" w:space="0" w:color="auto"/>
        <w:left w:val="none" w:sz="0" w:space="0" w:color="auto"/>
        <w:bottom w:val="none" w:sz="0" w:space="0" w:color="auto"/>
        <w:right w:val="none" w:sz="0" w:space="0" w:color="auto"/>
      </w:divBdr>
    </w:div>
    <w:div w:id="2005207929">
      <w:bodyDiv w:val="1"/>
      <w:marLeft w:val="0"/>
      <w:marRight w:val="0"/>
      <w:marTop w:val="0"/>
      <w:marBottom w:val="0"/>
      <w:divBdr>
        <w:top w:val="none" w:sz="0" w:space="0" w:color="auto"/>
        <w:left w:val="none" w:sz="0" w:space="0" w:color="auto"/>
        <w:bottom w:val="none" w:sz="0" w:space="0" w:color="auto"/>
        <w:right w:val="none" w:sz="0" w:space="0" w:color="auto"/>
      </w:divBdr>
    </w:div>
    <w:div w:id="2008248998">
      <w:bodyDiv w:val="1"/>
      <w:marLeft w:val="0"/>
      <w:marRight w:val="0"/>
      <w:marTop w:val="0"/>
      <w:marBottom w:val="0"/>
      <w:divBdr>
        <w:top w:val="none" w:sz="0" w:space="0" w:color="auto"/>
        <w:left w:val="none" w:sz="0" w:space="0" w:color="auto"/>
        <w:bottom w:val="none" w:sz="0" w:space="0" w:color="auto"/>
        <w:right w:val="none" w:sz="0" w:space="0" w:color="auto"/>
      </w:divBdr>
    </w:div>
    <w:div w:id="2011906982">
      <w:bodyDiv w:val="1"/>
      <w:marLeft w:val="0"/>
      <w:marRight w:val="0"/>
      <w:marTop w:val="0"/>
      <w:marBottom w:val="0"/>
      <w:divBdr>
        <w:top w:val="none" w:sz="0" w:space="0" w:color="auto"/>
        <w:left w:val="none" w:sz="0" w:space="0" w:color="auto"/>
        <w:bottom w:val="none" w:sz="0" w:space="0" w:color="auto"/>
        <w:right w:val="none" w:sz="0" w:space="0" w:color="auto"/>
      </w:divBdr>
    </w:div>
    <w:div w:id="2012441691">
      <w:bodyDiv w:val="1"/>
      <w:marLeft w:val="0"/>
      <w:marRight w:val="0"/>
      <w:marTop w:val="0"/>
      <w:marBottom w:val="0"/>
      <w:divBdr>
        <w:top w:val="none" w:sz="0" w:space="0" w:color="auto"/>
        <w:left w:val="none" w:sz="0" w:space="0" w:color="auto"/>
        <w:bottom w:val="none" w:sz="0" w:space="0" w:color="auto"/>
        <w:right w:val="none" w:sz="0" w:space="0" w:color="auto"/>
      </w:divBdr>
    </w:div>
    <w:div w:id="2015103695">
      <w:bodyDiv w:val="1"/>
      <w:marLeft w:val="0"/>
      <w:marRight w:val="0"/>
      <w:marTop w:val="0"/>
      <w:marBottom w:val="0"/>
      <w:divBdr>
        <w:top w:val="none" w:sz="0" w:space="0" w:color="auto"/>
        <w:left w:val="none" w:sz="0" w:space="0" w:color="auto"/>
        <w:bottom w:val="none" w:sz="0" w:space="0" w:color="auto"/>
        <w:right w:val="none" w:sz="0" w:space="0" w:color="auto"/>
      </w:divBdr>
    </w:div>
    <w:div w:id="2016494688">
      <w:bodyDiv w:val="1"/>
      <w:marLeft w:val="0"/>
      <w:marRight w:val="0"/>
      <w:marTop w:val="0"/>
      <w:marBottom w:val="0"/>
      <w:divBdr>
        <w:top w:val="none" w:sz="0" w:space="0" w:color="auto"/>
        <w:left w:val="none" w:sz="0" w:space="0" w:color="auto"/>
        <w:bottom w:val="none" w:sz="0" w:space="0" w:color="auto"/>
        <w:right w:val="none" w:sz="0" w:space="0" w:color="auto"/>
      </w:divBdr>
    </w:div>
    <w:div w:id="2017657310">
      <w:bodyDiv w:val="1"/>
      <w:marLeft w:val="0"/>
      <w:marRight w:val="0"/>
      <w:marTop w:val="0"/>
      <w:marBottom w:val="0"/>
      <w:divBdr>
        <w:top w:val="none" w:sz="0" w:space="0" w:color="auto"/>
        <w:left w:val="none" w:sz="0" w:space="0" w:color="auto"/>
        <w:bottom w:val="none" w:sz="0" w:space="0" w:color="auto"/>
        <w:right w:val="none" w:sz="0" w:space="0" w:color="auto"/>
      </w:divBdr>
    </w:div>
    <w:div w:id="2019655155">
      <w:bodyDiv w:val="1"/>
      <w:marLeft w:val="0"/>
      <w:marRight w:val="0"/>
      <w:marTop w:val="0"/>
      <w:marBottom w:val="0"/>
      <w:divBdr>
        <w:top w:val="none" w:sz="0" w:space="0" w:color="auto"/>
        <w:left w:val="none" w:sz="0" w:space="0" w:color="auto"/>
        <w:bottom w:val="none" w:sz="0" w:space="0" w:color="auto"/>
        <w:right w:val="none" w:sz="0" w:space="0" w:color="auto"/>
      </w:divBdr>
    </w:div>
    <w:div w:id="2020114406">
      <w:bodyDiv w:val="1"/>
      <w:marLeft w:val="0"/>
      <w:marRight w:val="0"/>
      <w:marTop w:val="0"/>
      <w:marBottom w:val="0"/>
      <w:divBdr>
        <w:top w:val="none" w:sz="0" w:space="0" w:color="auto"/>
        <w:left w:val="none" w:sz="0" w:space="0" w:color="auto"/>
        <w:bottom w:val="none" w:sz="0" w:space="0" w:color="auto"/>
        <w:right w:val="none" w:sz="0" w:space="0" w:color="auto"/>
      </w:divBdr>
    </w:div>
    <w:div w:id="2022002723">
      <w:bodyDiv w:val="1"/>
      <w:marLeft w:val="0"/>
      <w:marRight w:val="0"/>
      <w:marTop w:val="0"/>
      <w:marBottom w:val="0"/>
      <w:divBdr>
        <w:top w:val="none" w:sz="0" w:space="0" w:color="auto"/>
        <w:left w:val="none" w:sz="0" w:space="0" w:color="auto"/>
        <w:bottom w:val="none" w:sz="0" w:space="0" w:color="auto"/>
        <w:right w:val="none" w:sz="0" w:space="0" w:color="auto"/>
      </w:divBdr>
    </w:div>
    <w:div w:id="2023042006">
      <w:bodyDiv w:val="1"/>
      <w:marLeft w:val="0"/>
      <w:marRight w:val="0"/>
      <w:marTop w:val="0"/>
      <w:marBottom w:val="0"/>
      <w:divBdr>
        <w:top w:val="none" w:sz="0" w:space="0" w:color="auto"/>
        <w:left w:val="none" w:sz="0" w:space="0" w:color="auto"/>
        <w:bottom w:val="none" w:sz="0" w:space="0" w:color="auto"/>
        <w:right w:val="none" w:sz="0" w:space="0" w:color="auto"/>
      </w:divBdr>
    </w:div>
    <w:div w:id="2023387622">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086228">
      <w:bodyDiv w:val="1"/>
      <w:marLeft w:val="0"/>
      <w:marRight w:val="0"/>
      <w:marTop w:val="0"/>
      <w:marBottom w:val="0"/>
      <w:divBdr>
        <w:top w:val="none" w:sz="0" w:space="0" w:color="auto"/>
        <w:left w:val="none" w:sz="0" w:space="0" w:color="auto"/>
        <w:bottom w:val="none" w:sz="0" w:space="0" w:color="auto"/>
        <w:right w:val="none" w:sz="0" w:space="0" w:color="auto"/>
      </w:divBdr>
    </w:div>
    <w:div w:id="2025084868">
      <w:bodyDiv w:val="1"/>
      <w:marLeft w:val="0"/>
      <w:marRight w:val="0"/>
      <w:marTop w:val="0"/>
      <w:marBottom w:val="0"/>
      <w:divBdr>
        <w:top w:val="none" w:sz="0" w:space="0" w:color="auto"/>
        <w:left w:val="none" w:sz="0" w:space="0" w:color="auto"/>
        <w:bottom w:val="none" w:sz="0" w:space="0" w:color="auto"/>
        <w:right w:val="none" w:sz="0" w:space="0" w:color="auto"/>
      </w:divBdr>
    </w:div>
    <w:div w:id="2027057486">
      <w:bodyDiv w:val="1"/>
      <w:marLeft w:val="0"/>
      <w:marRight w:val="0"/>
      <w:marTop w:val="0"/>
      <w:marBottom w:val="0"/>
      <w:divBdr>
        <w:top w:val="none" w:sz="0" w:space="0" w:color="auto"/>
        <w:left w:val="none" w:sz="0" w:space="0" w:color="auto"/>
        <w:bottom w:val="none" w:sz="0" w:space="0" w:color="auto"/>
        <w:right w:val="none" w:sz="0" w:space="0" w:color="auto"/>
      </w:divBdr>
    </w:div>
    <w:div w:id="2028173807">
      <w:bodyDiv w:val="1"/>
      <w:marLeft w:val="0"/>
      <w:marRight w:val="0"/>
      <w:marTop w:val="0"/>
      <w:marBottom w:val="0"/>
      <w:divBdr>
        <w:top w:val="none" w:sz="0" w:space="0" w:color="auto"/>
        <w:left w:val="none" w:sz="0" w:space="0" w:color="auto"/>
        <w:bottom w:val="none" w:sz="0" w:space="0" w:color="auto"/>
        <w:right w:val="none" w:sz="0" w:space="0" w:color="auto"/>
      </w:divBdr>
    </w:div>
    <w:div w:id="2028480555">
      <w:bodyDiv w:val="1"/>
      <w:marLeft w:val="0"/>
      <w:marRight w:val="0"/>
      <w:marTop w:val="0"/>
      <w:marBottom w:val="0"/>
      <w:divBdr>
        <w:top w:val="none" w:sz="0" w:space="0" w:color="auto"/>
        <w:left w:val="none" w:sz="0" w:space="0" w:color="auto"/>
        <w:bottom w:val="none" w:sz="0" w:space="0" w:color="auto"/>
        <w:right w:val="none" w:sz="0" w:space="0" w:color="auto"/>
      </w:divBdr>
    </w:div>
    <w:div w:id="2029482912">
      <w:bodyDiv w:val="1"/>
      <w:marLeft w:val="0"/>
      <w:marRight w:val="0"/>
      <w:marTop w:val="0"/>
      <w:marBottom w:val="0"/>
      <w:divBdr>
        <w:top w:val="none" w:sz="0" w:space="0" w:color="auto"/>
        <w:left w:val="none" w:sz="0" w:space="0" w:color="auto"/>
        <w:bottom w:val="none" w:sz="0" w:space="0" w:color="auto"/>
        <w:right w:val="none" w:sz="0" w:space="0" w:color="auto"/>
      </w:divBdr>
    </w:div>
    <w:div w:id="2032533991">
      <w:bodyDiv w:val="1"/>
      <w:marLeft w:val="0"/>
      <w:marRight w:val="0"/>
      <w:marTop w:val="0"/>
      <w:marBottom w:val="0"/>
      <w:divBdr>
        <w:top w:val="none" w:sz="0" w:space="0" w:color="auto"/>
        <w:left w:val="none" w:sz="0" w:space="0" w:color="auto"/>
        <w:bottom w:val="none" w:sz="0" w:space="0" w:color="auto"/>
        <w:right w:val="none" w:sz="0" w:space="0" w:color="auto"/>
      </w:divBdr>
    </w:div>
    <w:div w:id="2032955455">
      <w:bodyDiv w:val="1"/>
      <w:marLeft w:val="0"/>
      <w:marRight w:val="0"/>
      <w:marTop w:val="0"/>
      <w:marBottom w:val="0"/>
      <w:divBdr>
        <w:top w:val="none" w:sz="0" w:space="0" w:color="auto"/>
        <w:left w:val="none" w:sz="0" w:space="0" w:color="auto"/>
        <w:bottom w:val="none" w:sz="0" w:space="0" w:color="auto"/>
        <w:right w:val="none" w:sz="0" w:space="0" w:color="auto"/>
      </w:divBdr>
    </w:div>
    <w:div w:id="2034264254">
      <w:bodyDiv w:val="1"/>
      <w:marLeft w:val="0"/>
      <w:marRight w:val="0"/>
      <w:marTop w:val="0"/>
      <w:marBottom w:val="0"/>
      <w:divBdr>
        <w:top w:val="none" w:sz="0" w:space="0" w:color="auto"/>
        <w:left w:val="none" w:sz="0" w:space="0" w:color="auto"/>
        <w:bottom w:val="none" w:sz="0" w:space="0" w:color="auto"/>
        <w:right w:val="none" w:sz="0" w:space="0" w:color="auto"/>
      </w:divBdr>
    </w:div>
    <w:div w:id="2034383964">
      <w:bodyDiv w:val="1"/>
      <w:marLeft w:val="0"/>
      <w:marRight w:val="0"/>
      <w:marTop w:val="0"/>
      <w:marBottom w:val="0"/>
      <w:divBdr>
        <w:top w:val="none" w:sz="0" w:space="0" w:color="auto"/>
        <w:left w:val="none" w:sz="0" w:space="0" w:color="auto"/>
        <w:bottom w:val="none" w:sz="0" w:space="0" w:color="auto"/>
        <w:right w:val="none" w:sz="0" w:space="0" w:color="auto"/>
      </w:divBdr>
    </w:div>
    <w:div w:id="2036344982">
      <w:bodyDiv w:val="1"/>
      <w:marLeft w:val="0"/>
      <w:marRight w:val="0"/>
      <w:marTop w:val="0"/>
      <w:marBottom w:val="0"/>
      <w:divBdr>
        <w:top w:val="none" w:sz="0" w:space="0" w:color="auto"/>
        <w:left w:val="none" w:sz="0" w:space="0" w:color="auto"/>
        <w:bottom w:val="none" w:sz="0" w:space="0" w:color="auto"/>
        <w:right w:val="none" w:sz="0" w:space="0" w:color="auto"/>
      </w:divBdr>
    </w:div>
    <w:div w:id="2036878381">
      <w:bodyDiv w:val="1"/>
      <w:marLeft w:val="0"/>
      <w:marRight w:val="0"/>
      <w:marTop w:val="0"/>
      <w:marBottom w:val="0"/>
      <w:divBdr>
        <w:top w:val="none" w:sz="0" w:space="0" w:color="auto"/>
        <w:left w:val="none" w:sz="0" w:space="0" w:color="auto"/>
        <w:bottom w:val="none" w:sz="0" w:space="0" w:color="auto"/>
        <w:right w:val="none" w:sz="0" w:space="0" w:color="auto"/>
      </w:divBdr>
    </w:div>
    <w:div w:id="2037660837">
      <w:bodyDiv w:val="1"/>
      <w:marLeft w:val="0"/>
      <w:marRight w:val="0"/>
      <w:marTop w:val="0"/>
      <w:marBottom w:val="0"/>
      <w:divBdr>
        <w:top w:val="none" w:sz="0" w:space="0" w:color="auto"/>
        <w:left w:val="none" w:sz="0" w:space="0" w:color="auto"/>
        <w:bottom w:val="none" w:sz="0" w:space="0" w:color="auto"/>
        <w:right w:val="none" w:sz="0" w:space="0" w:color="auto"/>
      </w:divBdr>
    </w:div>
    <w:div w:id="2038651269">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1667764">
      <w:bodyDiv w:val="1"/>
      <w:marLeft w:val="0"/>
      <w:marRight w:val="0"/>
      <w:marTop w:val="0"/>
      <w:marBottom w:val="0"/>
      <w:divBdr>
        <w:top w:val="none" w:sz="0" w:space="0" w:color="auto"/>
        <w:left w:val="none" w:sz="0" w:space="0" w:color="auto"/>
        <w:bottom w:val="none" w:sz="0" w:space="0" w:color="auto"/>
        <w:right w:val="none" w:sz="0" w:space="0" w:color="auto"/>
      </w:divBdr>
    </w:div>
    <w:div w:id="2045712555">
      <w:bodyDiv w:val="1"/>
      <w:marLeft w:val="0"/>
      <w:marRight w:val="0"/>
      <w:marTop w:val="0"/>
      <w:marBottom w:val="0"/>
      <w:divBdr>
        <w:top w:val="none" w:sz="0" w:space="0" w:color="auto"/>
        <w:left w:val="none" w:sz="0" w:space="0" w:color="auto"/>
        <w:bottom w:val="none" w:sz="0" w:space="0" w:color="auto"/>
        <w:right w:val="none" w:sz="0" w:space="0" w:color="auto"/>
      </w:divBdr>
    </w:div>
    <w:div w:id="2047675722">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716612">
      <w:bodyDiv w:val="1"/>
      <w:marLeft w:val="0"/>
      <w:marRight w:val="0"/>
      <w:marTop w:val="0"/>
      <w:marBottom w:val="0"/>
      <w:divBdr>
        <w:top w:val="none" w:sz="0" w:space="0" w:color="auto"/>
        <w:left w:val="none" w:sz="0" w:space="0" w:color="auto"/>
        <w:bottom w:val="none" w:sz="0" w:space="0" w:color="auto"/>
        <w:right w:val="none" w:sz="0" w:space="0" w:color="auto"/>
      </w:divBdr>
    </w:div>
    <w:div w:id="2050761095">
      <w:bodyDiv w:val="1"/>
      <w:marLeft w:val="0"/>
      <w:marRight w:val="0"/>
      <w:marTop w:val="0"/>
      <w:marBottom w:val="0"/>
      <w:divBdr>
        <w:top w:val="none" w:sz="0" w:space="0" w:color="auto"/>
        <w:left w:val="none" w:sz="0" w:space="0" w:color="auto"/>
        <w:bottom w:val="none" w:sz="0" w:space="0" w:color="auto"/>
        <w:right w:val="none" w:sz="0" w:space="0" w:color="auto"/>
      </w:divBdr>
    </w:div>
    <w:div w:id="2052149817">
      <w:bodyDiv w:val="1"/>
      <w:marLeft w:val="0"/>
      <w:marRight w:val="0"/>
      <w:marTop w:val="0"/>
      <w:marBottom w:val="0"/>
      <w:divBdr>
        <w:top w:val="none" w:sz="0" w:space="0" w:color="auto"/>
        <w:left w:val="none" w:sz="0" w:space="0" w:color="auto"/>
        <w:bottom w:val="none" w:sz="0" w:space="0" w:color="auto"/>
        <w:right w:val="none" w:sz="0" w:space="0" w:color="auto"/>
      </w:divBdr>
    </w:div>
    <w:div w:id="2052415494">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5040855">
      <w:bodyDiv w:val="1"/>
      <w:marLeft w:val="0"/>
      <w:marRight w:val="0"/>
      <w:marTop w:val="0"/>
      <w:marBottom w:val="0"/>
      <w:divBdr>
        <w:top w:val="none" w:sz="0" w:space="0" w:color="auto"/>
        <w:left w:val="none" w:sz="0" w:space="0" w:color="auto"/>
        <w:bottom w:val="none" w:sz="0" w:space="0" w:color="auto"/>
        <w:right w:val="none" w:sz="0" w:space="0" w:color="auto"/>
      </w:divBdr>
    </w:div>
    <w:div w:id="2055275467">
      <w:bodyDiv w:val="1"/>
      <w:marLeft w:val="0"/>
      <w:marRight w:val="0"/>
      <w:marTop w:val="0"/>
      <w:marBottom w:val="0"/>
      <w:divBdr>
        <w:top w:val="none" w:sz="0" w:space="0" w:color="auto"/>
        <w:left w:val="none" w:sz="0" w:space="0" w:color="auto"/>
        <w:bottom w:val="none" w:sz="0" w:space="0" w:color="auto"/>
        <w:right w:val="none" w:sz="0" w:space="0" w:color="auto"/>
      </w:divBdr>
    </w:div>
    <w:div w:id="2055426723">
      <w:bodyDiv w:val="1"/>
      <w:marLeft w:val="0"/>
      <w:marRight w:val="0"/>
      <w:marTop w:val="0"/>
      <w:marBottom w:val="0"/>
      <w:divBdr>
        <w:top w:val="none" w:sz="0" w:space="0" w:color="auto"/>
        <w:left w:val="none" w:sz="0" w:space="0" w:color="auto"/>
        <w:bottom w:val="none" w:sz="0" w:space="0" w:color="auto"/>
        <w:right w:val="none" w:sz="0" w:space="0" w:color="auto"/>
      </w:divBdr>
    </w:div>
    <w:div w:id="2055889042">
      <w:bodyDiv w:val="1"/>
      <w:marLeft w:val="0"/>
      <w:marRight w:val="0"/>
      <w:marTop w:val="0"/>
      <w:marBottom w:val="0"/>
      <w:divBdr>
        <w:top w:val="none" w:sz="0" w:space="0" w:color="auto"/>
        <w:left w:val="none" w:sz="0" w:space="0" w:color="auto"/>
        <w:bottom w:val="none" w:sz="0" w:space="0" w:color="auto"/>
        <w:right w:val="none" w:sz="0" w:space="0" w:color="auto"/>
      </w:divBdr>
    </w:div>
    <w:div w:id="2056812211">
      <w:bodyDiv w:val="1"/>
      <w:marLeft w:val="0"/>
      <w:marRight w:val="0"/>
      <w:marTop w:val="0"/>
      <w:marBottom w:val="0"/>
      <w:divBdr>
        <w:top w:val="none" w:sz="0" w:space="0" w:color="auto"/>
        <w:left w:val="none" w:sz="0" w:space="0" w:color="auto"/>
        <w:bottom w:val="none" w:sz="0" w:space="0" w:color="auto"/>
        <w:right w:val="none" w:sz="0" w:space="0" w:color="auto"/>
      </w:divBdr>
    </w:div>
    <w:div w:id="2057195413">
      <w:bodyDiv w:val="1"/>
      <w:marLeft w:val="0"/>
      <w:marRight w:val="0"/>
      <w:marTop w:val="0"/>
      <w:marBottom w:val="0"/>
      <w:divBdr>
        <w:top w:val="none" w:sz="0" w:space="0" w:color="auto"/>
        <w:left w:val="none" w:sz="0" w:space="0" w:color="auto"/>
        <w:bottom w:val="none" w:sz="0" w:space="0" w:color="auto"/>
        <w:right w:val="none" w:sz="0" w:space="0" w:color="auto"/>
      </w:divBdr>
    </w:div>
    <w:div w:id="2057581091">
      <w:bodyDiv w:val="1"/>
      <w:marLeft w:val="0"/>
      <w:marRight w:val="0"/>
      <w:marTop w:val="0"/>
      <w:marBottom w:val="0"/>
      <w:divBdr>
        <w:top w:val="none" w:sz="0" w:space="0" w:color="auto"/>
        <w:left w:val="none" w:sz="0" w:space="0" w:color="auto"/>
        <w:bottom w:val="none" w:sz="0" w:space="0" w:color="auto"/>
        <w:right w:val="none" w:sz="0" w:space="0" w:color="auto"/>
      </w:divBdr>
    </w:div>
    <w:div w:id="2058239119">
      <w:bodyDiv w:val="1"/>
      <w:marLeft w:val="0"/>
      <w:marRight w:val="0"/>
      <w:marTop w:val="0"/>
      <w:marBottom w:val="0"/>
      <w:divBdr>
        <w:top w:val="none" w:sz="0" w:space="0" w:color="auto"/>
        <w:left w:val="none" w:sz="0" w:space="0" w:color="auto"/>
        <w:bottom w:val="none" w:sz="0" w:space="0" w:color="auto"/>
        <w:right w:val="none" w:sz="0" w:space="0" w:color="auto"/>
      </w:divBdr>
    </w:div>
    <w:div w:id="2059234348">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1248598">
      <w:bodyDiv w:val="1"/>
      <w:marLeft w:val="0"/>
      <w:marRight w:val="0"/>
      <w:marTop w:val="0"/>
      <w:marBottom w:val="0"/>
      <w:divBdr>
        <w:top w:val="none" w:sz="0" w:space="0" w:color="auto"/>
        <w:left w:val="none" w:sz="0" w:space="0" w:color="auto"/>
        <w:bottom w:val="none" w:sz="0" w:space="0" w:color="auto"/>
        <w:right w:val="none" w:sz="0" w:space="0" w:color="auto"/>
      </w:divBdr>
    </w:div>
    <w:div w:id="2061512155">
      <w:bodyDiv w:val="1"/>
      <w:marLeft w:val="0"/>
      <w:marRight w:val="0"/>
      <w:marTop w:val="0"/>
      <w:marBottom w:val="0"/>
      <w:divBdr>
        <w:top w:val="none" w:sz="0" w:space="0" w:color="auto"/>
        <w:left w:val="none" w:sz="0" w:space="0" w:color="auto"/>
        <w:bottom w:val="none" w:sz="0" w:space="0" w:color="auto"/>
        <w:right w:val="none" w:sz="0" w:space="0" w:color="auto"/>
      </w:divBdr>
    </w:div>
    <w:div w:id="2062317671">
      <w:bodyDiv w:val="1"/>
      <w:marLeft w:val="0"/>
      <w:marRight w:val="0"/>
      <w:marTop w:val="0"/>
      <w:marBottom w:val="0"/>
      <w:divBdr>
        <w:top w:val="none" w:sz="0" w:space="0" w:color="auto"/>
        <w:left w:val="none" w:sz="0" w:space="0" w:color="auto"/>
        <w:bottom w:val="none" w:sz="0" w:space="0" w:color="auto"/>
        <w:right w:val="none" w:sz="0" w:space="0" w:color="auto"/>
      </w:divBdr>
    </w:div>
    <w:div w:id="2063016791">
      <w:bodyDiv w:val="1"/>
      <w:marLeft w:val="0"/>
      <w:marRight w:val="0"/>
      <w:marTop w:val="0"/>
      <w:marBottom w:val="0"/>
      <w:divBdr>
        <w:top w:val="none" w:sz="0" w:space="0" w:color="auto"/>
        <w:left w:val="none" w:sz="0" w:space="0" w:color="auto"/>
        <w:bottom w:val="none" w:sz="0" w:space="0" w:color="auto"/>
        <w:right w:val="none" w:sz="0" w:space="0" w:color="auto"/>
      </w:divBdr>
    </w:div>
    <w:div w:id="2063208891">
      <w:bodyDiv w:val="1"/>
      <w:marLeft w:val="0"/>
      <w:marRight w:val="0"/>
      <w:marTop w:val="0"/>
      <w:marBottom w:val="0"/>
      <w:divBdr>
        <w:top w:val="none" w:sz="0" w:space="0" w:color="auto"/>
        <w:left w:val="none" w:sz="0" w:space="0" w:color="auto"/>
        <w:bottom w:val="none" w:sz="0" w:space="0" w:color="auto"/>
        <w:right w:val="none" w:sz="0" w:space="0" w:color="auto"/>
      </w:divBdr>
    </w:div>
    <w:div w:id="2063824481">
      <w:bodyDiv w:val="1"/>
      <w:marLeft w:val="0"/>
      <w:marRight w:val="0"/>
      <w:marTop w:val="0"/>
      <w:marBottom w:val="0"/>
      <w:divBdr>
        <w:top w:val="none" w:sz="0" w:space="0" w:color="auto"/>
        <w:left w:val="none" w:sz="0" w:space="0" w:color="auto"/>
        <w:bottom w:val="none" w:sz="0" w:space="0" w:color="auto"/>
        <w:right w:val="none" w:sz="0" w:space="0" w:color="auto"/>
      </w:divBdr>
    </w:div>
    <w:div w:id="2065253864">
      <w:bodyDiv w:val="1"/>
      <w:marLeft w:val="0"/>
      <w:marRight w:val="0"/>
      <w:marTop w:val="0"/>
      <w:marBottom w:val="0"/>
      <w:divBdr>
        <w:top w:val="none" w:sz="0" w:space="0" w:color="auto"/>
        <w:left w:val="none" w:sz="0" w:space="0" w:color="auto"/>
        <w:bottom w:val="none" w:sz="0" w:space="0" w:color="auto"/>
        <w:right w:val="none" w:sz="0" w:space="0" w:color="auto"/>
      </w:divBdr>
    </w:div>
    <w:div w:id="2066639701">
      <w:bodyDiv w:val="1"/>
      <w:marLeft w:val="0"/>
      <w:marRight w:val="0"/>
      <w:marTop w:val="0"/>
      <w:marBottom w:val="0"/>
      <w:divBdr>
        <w:top w:val="none" w:sz="0" w:space="0" w:color="auto"/>
        <w:left w:val="none" w:sz="0" w:space="0" w:color="auto"/>
        <w:bottom w:val="none" w:sz="0" w:space="0" w:color="auto"/>
        <w:right w:val="none" w:sz="0" w:space="0" w:color="auto"/>
      </w:divBdr>
    </w:div>
    <w:div w:id="2069496773">
      <w:bodyDiv w:val="1"/>
      <w:marLeft w:val="0"/>
      <w:marRight w:val="0"/>
      <w:marTop w:val="0"/>
      <w:marBottom w:val="0"/>
      <w:divBdr>
        <w:top w:val="none" w:sz="0" w:space="0" w:color="auto"/>
        <w:left w:val="none" w:sz="0" w:space="0" w:color="auto"/>
        <w:bottom w:val="none" w:sz="0" w:space="0" w:color="auto"/>
        <w:right w:val="none" w:sz="0" w:space="0" w:color="auto"/>
      </w:divBdr>
    </w:div>
    <w:div w:id="2070302958">
      <w:bodyDiv w:val="1"/>
      <w:marLeft w:val="0"/>
      <w:marRight w:val="0"/>
      <w:marTop w:val="0"/>
      <w:marBottom w:val="0"/>
      <w:divBdr>
        <w:top w:val="none" w:sz="0" w:space="0" w:color="auto"/>
        <w:left w:val="none" w:sz="0" w:space="0" w:color="auto"/>
        <w:bottom w:val="none" w:sz="0" w:space="0" w:color="auto"/>
        <w:right w:val="none" w:sz="0" w:space="0" w:color="auto"/>
      </w:divBdr>
    </w:div>
    <w:div w:id="2070615526">
      <w:bodyDiv w:val="1"/>
      <w:marLeft w:val="0"/>
      <w:marRight w:val="0"/>
      <w:marTop w:val="0"/>
      <w:marBottom w:val="0"/>
      <w:divBdr>
        <w:top w:val="none" w:sz="0" w:space="0" w:color="auto"/>
        <w:left w:val="none" w:sz="0" w:space="0" w:color="auto"/>
        <w:bottom w:val="none" w:sz="0" w:space="0" w:color="auto"/>
        <w:right w:val="none" w:sz="0" w:space="0" w:color="auto"/>
      </w:divBdr>
    </w:div>
    <w:div w:id="2071464962">
      <w:bodyDiv w:val="1"/>
      <w:marLeft w:val="0"/>
      <w:marRight w:val="0"/>
      <w:marTop w:val="0"/>
      <w:marBottom w:val="0"/>
      <w:divBdr>
        <w:top w:val="none" w:sz="0" w:space="0" w:color="auto"/>
        <w:left w:val="none" w:sz="0" w:space="0" w:color="auto"/>
        <w:bottom w:val="none" w:sz="0" w:space="0" w:color="auto"/>
        <w:right w:val="none" w:sz="0" w:space="0" w:color="auto"/>
      </w:divBdr>
    </w:div>
    <w:div w:id="2071730994">
      <w:bodyDiv w:val="1"/>
      <w:marLeft w:val="0"/>
      <w:marRight w:val="0"/>
      <w:marTop w:val="0"/>
      <w:marBottom w:val="0"/>
      <w:divBdr>
        <w:top w:val="none" w:sz="0" w:space="0" w:color="auto"/>
        <w:left w:val="none" w:sz="0" w:space="0" w:color="auto"/>
        <w:bottom w:val="none" w:sz="0" w:space="0" w:color="auto"/>
        <w:right w:val="none" w:sz="0" w:space="0" w:color="auto"/>
      </w:divBdr>
    </w:div>
    <w:div w:id="2072460041">
      <w:bodyDiv w:val="1"/>
      <w:marLeft w:val="0"/>
      <w:marRight w:val="0"/>
      <w:marTop w:val="0"/>
      <w:marBottom w:val="0"/>
      <w:divBdr>
        <w:top w:val="none" w:sz="0" w:space="0" w:color="auto"/>
        <w:left w:val="none" w:sz="0" w:space="0" w:color="auto"/>
        <w:bottom w:val="none" w:sz="0" w:space="0" w:color="auto"/>
        <w:right w:val="none" w:sz="0" w:space="0" w:color="auto"/>
      </w:divBdr>
    </w:div>
    <w:div w:id="2073309998">
      <w:bodyDiv w:val="1"/>
      <w:marLeft w:val="0"/>
      <w:marRight w:val="0"/>
      <w:marTop w:val="0"/>
      <w:marBottom w:val="0"/>
      <w:divBdr>
        <w:top w:val="none" w:sz="0" w:space="0" w:color="auto"/>
        <w:left w:val="none" w:sz="0" w:space="0" w:color="auto"/>
        <w:bottom w:val="none" w:sz="0" w:space="0" w:color="auto"/>
        <w:right w:val="none" w:sz="0" w:space="0" w:color="auto"/>
      </w:divBdr>
    </w:div>
    <w:div w:id="2073768221">
      <w:bodyDiv w:val="1"/>
      <w:marLeft w:val="0"/>
      <w:marRight w:val="0"/>
      <w:marTop w:val="0"/>
      <w:marBottom w:val="0"/>
      <w:divBdr>
        <w:top w:val="none" w:sz="0" w:space="0" w:color="auto"/>
        <w:left w:val="none" w:sz="0" w:space="0" w:color="auto"/>
        <w:bottom w:val="none" w:sz="0" w:space="0" w:color="auto"/>
        <w:right w:val="none" w:sz="0" w:space="0" w:color="auto"/>
      </w:divBdr>
    </w:div>
    <w:div w:id="2074305066">
      <w:bodyDiv w:val="1"/>
      <w:marLeft w:val="0"/>
      <w:marRight w:val="0"/>
      <w:marTop w:val="0"/>
      <w:marBottom w:val="0"/>
      <w:divBdr>
        <w:top w:val="none" w:sz="0" w:space="0" w:color="auto"/>
        <w:left w:val="none" w:sz="0" w:space="0" w:color="auto"/>
        <w:bottom w:val="none" w:sz="0" w:space="0" w:color="auto"/>
        <w:right w:val="none" w:sz="0" w:space="0" w:color="auto"/>
      </w:divBdr>
    </w:div>
    <w:div w:id="2075933172">
      <w:bodyDiv w:val="1"/>
      <w:marLeft w:val="0"/>
      <w:marRight w:val="0"/>
      <w:marTop w:val="0"/>
      <w:marBottom w:val="0"/>
      <w:divBdr>
        <w:top w:val="none" w:sz="0" w:space="0" w:color="auto"/>
        <w:left w:val="none" w:sz="0" w:space="0" w:color="auto"/>
        <w:bottom w:val="none" w:sz="0" w:space="0" w:color="auto"/>
        <w:right w:val="none" w:sz="0" w:space="0" w:color="auto"/>
      </w:divBdr>
    </w:div>
    <w:div w:id="2076051177">
      <w:bodyDiv w:val="1"/>
      <w:marLeft w:val="0"/>
      <w:marRight w:val="0"/>
      <w:marTop w:val="0"/>
      <w:marBottom w:val="0"/>
      <w:divBdr>
        <w:top w:val="none" w:sz="0" w:space="0" w:color="auto"/>
        <w:left w:val="none" w:sz="0" w:space="0" w:color="auto"/>
        <w:bottom w:val="none" w:sz="0" w:space="0" w:color="auto"/>
        <w:right w:val="none" w:sz="0" w:space="0" w:color="auto"/>
      </w:divBdr>
    </w:div>
    <w:div w:id="2077196278">
      <w:bodyDiv w:val="1"/>
      <w:marLeft w:val="0"/>
      <w:marRight w:val="0"/>
      <w:marTop w:val="0"/>
      <w:marBottom w:val="0"/>
      <w:divBdr>
        <w:top w:val="none" w:sz="0" w:space="0" w:color="auto"/>
        <w:left w:val="none" w:sz="0" w:space="0" w:color="auto"/>
        <w:bottom w:val="none" w:sz="0" w:space="0" w:color="auto"/>
        <w:right w:val="none" w:sz="0" w:space="0" w:color="auto"/>
      </w:divBdr>
    </w:div>
    <w:div w:id="2077431023">
      <w:bodyDiv w:val="1"/>
      <w:marLeft w:val="0"/>
      <w:marRight w:val="0"/>
      <w:marTop w:val="0"/>
      <w:marBottom w:val="0"/>
      <w:divBdr>
        <w:top w:val="none" w:sz="0" w:space="0" w:color="auto"/>
        <w:left w:val="none" w:sz="0" w:space="0" w:color="auto"/>
        <w:bottom w:val="none" w:sz="0" w:space="0" w:color="auto"/>
        <w:right w:val="none" w:sz="0" w:space="0" w:color="auto"/>
      </w:divBdr>
    </w:div>
    <w:div w:id="2078817813">
      <w:bodyDiv w:val="1"/>
      <w:marLeft w:val="0"/>
      <w:marRight w:val="0"/>
      <w:marTop w:val="0"/>
      <w:marBottom w:val="0"/>
      <w:divBdr>
        <w:top w:val="none" w:sz="0" w:space="0" w:color="auto"/>
        <w:left w:val="none" w:sz="0" w:space="0" w:color="auto"/>
        <w:bottom w:val="none" w:sz="0" w:space="0" w:color="auto"/>
        <w:right w:val="none" w:sz="0" w:space="0" w:color="auto"/>
      </w:divBdr>
    </w:div>
    <w:div w:id="2081128086">
      <w:bodyDiv w:val="1"/>
      <w:marLeft w:val="0"/>
      <w:marRight w:val="0"/>
      <w:marTop w:val="0"/>
      <w:marBottom w:val="0"/>
      <w:divBdr>
        <w:top w:val="none" w:sz="0" w:space="0" w:color="auto"/>
        <w:left w:val="none" w:sz="0" w:space="0" w:color="auto"/>
        <w:bottom w:val="none" w:sz="0" w:space="0" w:color="auto"/>
        <w:right w:val="none" w:sz="0" w:space="0" w:color="auto"/>
      </w:divBdr>
    </w:div>
    <w:div w:id="2082482299">
      <w:bodyDiv w:val="1"/>
      <w:marLeft w:val="0"/>
      <w:marRight w:val="0"/>
      <w:marTop w:val="0"/>
      <w:marBottom w:val="0"/>
      <w:divBdr>
        <w:top w:val="none" w:sz="0" w:space="0" w:color="auto"/>
        <w:left w:val="none" w:sz="0" w:space="0" w:color="auto"/>
        <w:bottom w:val="none" w:sz="0" w:space="0" w:color="auto"/>
        <w:right w:val="none" w:sz="0" w:space="0" w:color="auto"/>
      </w:divBdr>
    </w:div>
    <w:div w:id="2085252059">
      <w:bodyDiv w:val="1"/>
      <w:marLeft w:val="0"/>
      <w:marRight w:val="0"/>
      <w:marTop w:val="0"/>
      <w:marBottom w:val="0"/>
      <w:divBdr>
        <w:top w:val="none" w:sz="0" w:space="0" w:color="auto"/>
        <w:left w:val="none" w:sz="0" w:space="0" w:color="auto"/>
        <w:bottom w:val="none" w:sz="0" w:space="0" w:color="auto"/>
        <w:right w:val="none" w:sz="0" w:space="0" w:color="auto"/>
      </w:divBdr>
    </w:div>
    <w:div w:id="2085837301">
      <w:bodyDiv w:val="1"/>
      <w:marLeft w:val="0"/>
      <w:marRight w:val="0"/>
      <w:marTop w:val="0"/>
      <w:marBottom w:val="0"/>
      <w:divBdr>
        <w:top w:val="none" w:sz="0" w:space="0" w:color="auto"/>
        <w:left w:val="none" w:sz="0" w:space="0" w:color="auto"/>
        <w:bottom w:val="none" w:sz="0" w:space="0" w:color="auto"/>
        <w:right w:val="none" w:sz="0" w:space="0" w:color="auto"/>
      </w:divBdr>
    </w:div>
    <w:div w:id="2086106468">
      <w:bodyDiv w:val="1"/>
      <w:marLeft w:val="0"/>
      <w:marRight w:val="0"/>
      <w:marTop w:val="0"/>
      <w:marBottom w:val="0"/>
      <w:divBdr>
        <w:top w:val="none" w:sz="0" w:space="0" w:color="auto"/>
        <w:left w:val="none" w:sz="0" w:space="0" w:color="auto"/>
        <w:bottom w:val="none" w:sz="0" w:space="0" w:color="auto"/>
        <w:right w:val="none" w:sz="0" w:space="0" w:color="auto"/>
      </w:divBdr>
    </w:div>
    <w:div w:id="2086563055">
      <w:bodyDiv w:val="1"/>
      <w:marLeft w:val="0"/>
      <w:marRight w:val="0"/>
      <w:marTop w:val="0"/>
      <w:marBottom w:val="0"/>
      <w:divBdr>
        <w:top w:val="none" w:sz="0" w:space="0" w:color="auto"/>
        <w:left w:val="none" w:sz="0" w:space="0" w:color="auto"/>
        <w:bottom w:val="none" w:sz="0" w:space="0" w:color="auto"/>
        <w:right w:val="none" w:sz="0" w:space="0" w:color="auto"/>
      </w:divBdr>
    </w:div>
    <w:div w:id="2087266458">
      <w:bodyDiv w:val="1"/>
      <w:marLeft w:val="0"/>
      <w:marRight w:val="0"/>
      <w:marTop w:val="0"/>
      <w:marBottom w:val="0"/>
      <w:divBdr>
        <w:top w:val="none" w:sz="0" w:space="0" w:color="auto"/>
        <w:left w:val="none" w:sz="0" w:space="0" w:color="auto"/>
        <w:bottom w:val="none" w:sz="0" w:space="0" w:color="auto"/>
        <w:right w:val="none" w:sz="0" w:space="0" w:color="auto"/>
      </w:divBdr>
    </w:div>
    <w:div w:id="2088991415">
      <w:bodyDiv w:val="1"/>
      <w:marLeft w:val="0"/>
      <w:marRight w:val="0"/>
      <w:marTop w:val="0"/>
      <w:marBottom w:val="0"/>
      <w:divBdr>
        <w:top w:val="none" w:sz="0" w:space="0" w:color="auto"/>
        <w:left w:val="none" w:sz="0" w:space="0" w:color="auto"/>
        <w:bottom w:val="none" w:sz="0" w:space="0" w:color="auto"/>
        <w:right w:val="none" w:sz="0" w:space="0" w:color="auto"/>
      </w:divBdr>
    </w:div>
    <w:div w:id="2089188521">
      <w:bodyDiv w:val="1"/>
      <w:marLeft w:val="0"/>
      <w:marRight w:val="0"/>
      <w:marTop w:val="0"/>
      <w:marBottom w:val="0"/>
      <w:divBdr>
        <w:top w:val="none" w:sz="0" w:space="0" w:color="auto"/>
        <w:left w:val="none" w:sz="0" w:space="0" w:color="auto"/>
        <w:bottom w:val="none" w:sz="0" w:space="0" w:color="auto"/>
        <w:right w:val="none" w:sz="0" w:space="0" w:color="auto"/>
      </w:divBdr>
    </w:div>
    <w:div w:id="2089421166">
      <w:bodyDiv w:val="1"/>
      <w:marLeft w:val="0"/>
      <w:marRight w:val="0"/>
      <w:marTop w:val="0"/>
      <w:marBottom w:val="0"/>
      <w:divBdr>
        <w:top w:val="none" w:sz="0" w:space="0" w:color="auto"/>
        <w:left w:val="none" w:sz="0" w:space="0" w:color="auto"/>
        <w:bottom w:val="none" w:sz="0" w:space="0" w:color="auto"/>
        <w:right w:val="none" w:sz="0" w:space="0" w:color="auto"/>
      </w:divBdr>
    </w:div>
    <w:div w:id="2090685626">
      <w:bodyDiv w:val="1"/>
      <w:marLeft w:val="0"/>
      <w:marRight w:val="0"/>
      <w:marTop w:val="0"/>
      <w:marBottom w:val="0"/>
      <w:divBdr>
        <w:top w:val="none" w:sz="0" w:space="0" w:color="auto"/>
        <w:left w:val="none" w:sz="0" w:space="0" w:color="auto"/>
        <w:bottom w:val="none" w:sz="0" w:space="0" w:color="auto"/>
        <w:right w:val="none" w:sz="0" w:space="0" w:color="auto"/>
      </w:divBdr>
    </w:div>
    <w:div w:id="2091733583">
      <w:bodyDiv w:val="1"/>
      <w:marLeft w:val="0"/>
      <w:marRight w:val="0"/>
      <w:marTop w:val="0"/>
      <w:marBottom w:val="0"/>
      <w:divBdr>
        <w:top w:val="none" w:sz="0" w:space="0" w:color="auto"/>
        <w:left w:val="none" w:sz="0" w:space="0" w:color="auto"/>
        <w:bottom w:val="none" w:sz="0" w:space="0" w:color="auto"/>
        <w:right w:val="none" w:sz="0" w:space="0" w:color="auto"/>
      </w:divBdr>
    </w:div>
    <w:div w:id="209257779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7746651">
      <w:bodyDiv w:val="1"/>
      <w:marLeft w:val="0"/>
      <w:marRight w:val="0"/>
      <w:marTop w:val="0"/>
      <w:marBottom w:val="0"/>
      <w:divBdr>
        <w:top w:val="none" w:sz="0" w:space="0" w:color="auto"/>
        <w:left w:val="none" w:sz="0" w:space="0" w:color="auto"/>
        <w:bottom w:val="none" w:sz="0" w:space="0" w:color="auto"/>
        <w:right w:val="none" w:sz="0" w:space="0" w:color="auto"/>
      </w:divBdr>
    </w:div>
    <w:div w:id="2098090088">
      <w:bodyDiv w:val="1"/>
      <w:marLeft w:val="0"/>
      <w:marRight w:val="0"/>
      <w:marTop w:val="0"/>
      <w:marBottom w:val="0"/>
      <w:divBdr>
        <w:top w:val="none" w:sz="0" w:space="0" w:color="auto"/>
        <w:left w:val="none" w:sz="0" w:space="0" w:color="auto"/>
        <w:bottom w:val="none" w:sz="0" w:space="0" w:color="auto"/>
        <w:right w:val="none" w:sz="0" w:space="0" w:color="auto"/>
      </w:divBdr>
    </w:div>
    <w:div w:id="2099859998">
      <w:bodyDiv w:val="1"/>
      <w:marLeft w:val="0"/>
      <w:marRight w:val="0"/>
      <w:marTop w:val="0"/>
      <w:marBottom w:val="0"/>
      <w:divBdr>
        <w:top w:val="none" w:sz="0" w:space="0" w:color="auto"/>
        <w:left w:val="none" w:sz="0" w:space="0" w:color="auto"/>
        <w:bottom w:val="none" w:sz="0" w:space="0" w:color="auto"/>
        <w:right w:val="none" w:sz="0" w:space="0" w:color="auto"/>
      </w:divBdr>
    </w:div>
    <w:div w:id="2100059277">
      <w:bodyDiv w:val="1"/>
      <w:marLeft w:val="0"/>
      <w:marRight w:val="0"/>
      <w:marTop w:val="0"/>
      <w:marBottom w:val="0"/>
      <w:divBdr>
        <w:top w:val="none" w:sz="0" w:space="0" w:color="auto"/>
        <w:left w:val="none" w:sz="0" w:space="0" w:color="auto"/>
        <w:bottom w:val="none" w:sz="0" w:space="0" w:color="auto"/>
        <w:right w:val="none" w:sz="0" w:space="0" w:color="auto"/>
      </w:divBdr>
    </w:div>
    <w:div w:id="2100566522">
      <w:bodyDiv w:val="1"/>
      <w:marLeft w:val="0"/>
      <w:marRight w:val="0"/>
      <w:marTop w:val="0"/>
      <w:marBottom w:val="0"/>
      <w:divBdr>
        <w:top w:val="none" w:sz="0" w:space="0" w:color="auto"/>
        <w:left w:val="none" w:sz="0" w:space="0" w:color="auto"/>
        <w:bottom w:val="none" w:sz="0" w:space="0" w:color="auto"/>
        <w:right w:val="none" w:sz="0" w:space="0" w:color="auto"/>
      </w:divBdr>
    </w:div>
    <w:div w:id="2101873654">
      <w:bodyDiv w:val="1"/>
      <w:marLeft w:val="0"/>
      <w:marRight w:val="0"/>
      <w:marTop w:val="0"/>
      <w:marBottom w:val="0"/>
      <w:divBdr>
        <w:top w:val="none" w:sz="0" w:space="0" w:color="auto"/>
        <w:left w:val="none" w:sz="0" w:space="0" w:color="auto"/>
        <w:bottom w:val="none" w:sz="0" w:space="0" w:color="auto"/>
        <w:right w:val="none" w:sz="0" w:space="0" w:color="auto"/>
      </w:divBdr>
    </w:div>
    <w:div w:id="2102334774">
      <w:bodyDiv w:val="1"/>
      <w:marLeft w:val="0"/>
      <w:marRight w:val="0"/>
      <w:marTop w:val="0"/>
      <w:marBottom w:val="0"/>
      <w:divBdr>
        <w:top w:val="none" w:sz="0" w:space="0" w:color="auto"/>
        <w:left w:val="none" w:sz="0" w:space="0" w:color="auto"/>
        <w:bottom w:val="none" w:sz="0" w:space="0" w:color="auto"/>
        <w:right w:val="none" w:sz="0" w:space="0" w:color="auto"/>
      </w:divBdr>
    </w:div>
    <w:div w:id="2104448825">
      <w:bodyDiv w:val="1"/>
      <w:marLeft w:val="0"/>
      <w:marRight w:val="0"/>
      <w:marTop w:val="0"/>
      <w:marBottom w:val="0"/>
      <w:divBdr>
        <w:top w:val="none" w:sz="0" w:space="0" w:color="auto"/>
        <w:left w:val="none" w:sz="0" w:space="0" w:color="auto"/>
        <w:bottom w:val="none" w:sz="0" w:space="0" w:color="auto"/>
        <w:right w:val="none" w:sz="0" w:space="0" w:color="auto"/>
      </w:divBdr>
    </w:div>
    <w:div w:id="2107965935">
      <w:bodyDiv w:val="1"/>
      <w:marLeft w:val="0"/>
      <w:marRight w:val="0"/>
      <w:marTop w:val="0"/>
      <w:marBottom w:val="0"/>
      <w:divBdr>
        <w:top w:val="none" w:sz="0" w:space="0" w:color="auto"/>
        <w:left w:val="none" w:sz="0" w:space="0" w:color="auto"/>
        <w:bottom w:val="none" w:sz="0" w:space="0" w:color="auto"/>
        <w:right w:val="none" w:sz="0" w:space="0" w:color="auto"/>
      </w:divBdr>
    </w:div>
    <w:div w:id="2111197682">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24822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7867205">
      <w:bodyDiv w:val="1"/>
      <w:marLeft w:val="0"/>
      <w:marRight w:val="0"/>
      <w:marTop w:val="0"/>
      <w:marBottom w:val="0"/>
      <w:divBdr>
        <w:top w:val="none" w:sz="0" w:space="0" w:color="auto"/>
        <w:left w:val="none" w:sz="0" w:space="0" w:color="auto"/>
        <w:bottom w:val="none" w:sz="0" w:space="0" w:color="auto"/>
        <w:right w:val="none" w:sz="0" w:space="0" w:color="auto"/>
      </w:divBdr>
    </w:div>
    <w:div w:id="2119254188">
      <w:bodyDiv w:val="1"/>
      <w:marLeft w:val="0"/>
      <w:marRight w:val="0"/>
      <w:marTop w:val="0"/>
      <w:marBottom w:val="0"/>
      <w:divBdr>
        <w:top w:val="none" w:sz="0" w:space="0" w:color="auto"/>
        <w:left w:val="none" w:sz="0" w:space="0" w:color="auto"/>
        <w:bottom w:val="none" w:sz="0" w:space="0" w:color="auto"/>
        <w:right w:val="none" w:sz="0" w:space="0" w:color="auto"/>
      </w:divBdr>
    </w:div>
    <w:div w:id="2119450388">
      <w:bodyDiv w:val="1"/>
      <w:marLeft w:val="0"/>
      <w:marRight w:val="0"/>
      <w:marTop w:val="0"/>
      <w:marBottom w:val="0"/>
      <w:divBdr>
        <w:top w:val="none" w:sz="0" w:space="0" w:color="auto"/>
        <w:left w:val="none" w:sz="0" w:space="0" w:color="auto"/>
        <w:bottom w:val="none" w:sz="0" w:space="0" w:color="auto"/>
        <w:right w:val="none" w:sz="0" w:space="0" w:color="auto"/>
      </w:divBdr>
    </w:div>
    <w:div w:id="2120102779">
      <w:bodyDiv w:val="1"/>
      <w:marLeft w:val="0"/>
      <w:marRight w:val="0"/>
      <w:marTop w:val="0"/>
      <w:marBottom w:val="0"/>
      <w:divBdr>
        <w:top w:val="none" w:sz="0" w:space="0" w:color="auto"/>
        <w:left w:val="none" w:sz="0" w:space="0" w:color="auto"/>
        <w:bottom w:val="none" w:sz="0" w:space="0" w:color="auto"/>
        <w:right w:val="none" w:sz="0" w:space="0" w:color="auto"/>
      </w:divBdr>
    </w:div>
    <w:div w:id="2120441408">
      <w:bodyDiv w:val="1"/>
      <w:marLeft w:val="0"/>
      <w:marRight w:val="0"/>
      <w:marTop w:val="0"/>
      <w:marBottom w:val="0"/>
      <w:divBdr>
        <w:top w:val="none" w:sz="0" w:space="0" w:color="auto"/>
        <w:left w:val="none" w:sz="0" w:space="0" w:color="auto"/>
        <w:bottom w:val="none" w:sz="0" w:space="0" w:color="auto"/>
        <w:right w:val="none" w:sz="0" w:space="0" w:color="auto"/>
      </w:divBdr>
    </w:div>
    <w:div w:id="2121025739">
      <w:bodyDiv w:val="1"/>
      <w:marLeft w:val="0"/>
      <w:marRight w:val="0"/>
      <w:marTop w:val="0"/>
      <w:marBottom w:val="0"/>
      <w:divBdr>
        <w:top w:val="none" w:sz="0" w:space="0" w:color="auto"/>
        <w:left w:val="none" w:sz="0" w:space="0" w:color="auto"/>
        <w:bottom w:val="none" w:sz="0" w:space="0" w:color="auto"/>
        <w:right w:val="none" w:sz="0" w:space="0" w:color="auto"/>
      </w:divBdr>
    </w:div>
    <w:div w:id="2123524848">
      <w:bodyDiv w:val="1"/>
      <w:marLeft w:val="0"/>
      <w:marRight w:val="0"/>
      <w:marTop w:val="0"/>
      <w:marBottom w:val="0"/>
      <w:divBdr>
        <w:top w:val="none" w:sz="0" w:space="0" w:color="auto"/>
        <w:left w:val="none" w:sz="0" w:space="0" w:color="auto"/>
        <w:bottom w:val="none" w:sz="0" w:space="0" w:color="auto"/>
        <w:right w:val="none" w:sz="0" w:space="0" w:color="auto"/>
      </w:divBdr>
    </w:div>
    <w:div w:id="2125416944">
      <w:bodyDiv w:val="1"/>
      <w:marLeft w:val="0"/>
      <w:marRight w:val="0"/>
      <w:marTop w:val="0"/>
      <w:marBottom w:val="0"/>
      <w:divBdr>
        <w:top w:val="none" w:sz="0" w:space="0" w:color="auto"/>
        <w:left w:val="none" w:sz="0" w:space="0" w:color="auto"/>
        <w:bottom w:val="none" w:sz="0" w:space="0" w:color="auto"/>
        <w:right w:val="none" w:sz="0" w:space="0" w:color="auto"/>
      </w:divBdr>
    </w:div>
    <w:div w:id="2126651985">
      <w:bodyDiv w:val="1"/>
      <w:marLeft w:val="0"/>
      <w:marRight w:val="0"/>
      <w:marTop w:val="0"/>
      <w:marBottom w:val="0"/>
      <w:divBdr>
        <w:top w:val="none" w:sz="0" w:space="0" w:color="auto"/>
        <w:left w:val="none" w:sz="0" w:space="0" w:color="auto"/>
        <w:bottom w:val="none" w:sz="0" w:space="0" w:color="auto"/>
        <w:right w:val="none" w:sz="0" w:space="0" w:color="auto"/>
      </w:divBdr>
    </w:div>
    <w:div w:id="2127187430">
      <w:bodyDiv w:val="1"/>
      <w:marLeft w:val="0"/>
      <w:marRight w:val="0"/>
      <w:marTop w:val="0"/>
      <w:marBottom w:val="0"/>
      <w:divBdr>
        <w:top w:val="none" w:sz="0" w:space="0" w:color="auto"/>
        <w:left w:val="none" w:sz="0" w:space="0" w:color="auto"/>
        <w:bottom w:val="none" w:sz="0" w:space="0" w:color="auto"/>
        <w:right w:val="none" w:sz="0" w:space="0" w:color="auto"/>
      </w:divBdr>
    </w:div>
    <w:div w:id="2128311849">
      <w:bodyDiv w:val="1"/>
      <w:marLeft w:val="0"/>
      <w:marRight w:val="0"/>
      <w:marTop w:val="0"/>
      <w:marBottom w:val="0"/>
      <w:divBdr>
        <w:top w:val="none" w:sz="0" w:space="0" w:color="auto"/>
        <w:left w:val="none" w:sz="0" w:space="0" w:color="auto"/>
        <w:bottom w:val="none" w:sz="0" w:space="0" w:color="auto"/>
        <w:right w:val="none" w:sz="0" w:space="0" w:color="auto"/>
      </w:divBdr>
    </w:div>
    <w:div w:id="2129547838">
      <w:bodyDiv w:val="1"/>
      <w:marLeft w:val="0"/>
      <w:marRight w:val="0"/>
      <w:marTop w:val="0"/>
      <w:marBottom w:val="0"/>
      <w:divBdr>
        <w:top w:val="none" w:sz="0" w:space="0" w:color="auto"/>
        <w:left w:val="none" w:sz="0" w:space="0" w:color="auto"/>
        <w:bottom w:val="none" w:sz="0" w:space="0" w:color="auto"/>
        <w:right w:val="none" w:sz="0" w:space="0" w:color="auto"/>
      </w:divBdr>
    </w:div>
    <w:div w:id="2129623927">
      <w:bodyDiv w:val="1"/>
      <w:marLeft w:val="0"/>
      <w:marRight w:val="0"/>
      <w:marTop w:val="0"/>
      <w:marBottom w:val="0"/>
      <w:divBdr>
        <w:top w:val="none" w:sz="0" w:space="0" w:color="auto"/>
        <w:left w:val="none" w:sz="0" w:space="0" w:color="auto"/>
        <w:bottom w:val="none" w:sz="0" w:space="0" w:color="auto"/>
        <w:right w:val="none" w:sz="0" w:space="0" w:color="auto"/>
      </w:divBdr>
    </w:div>
    <w:div w:id="2130271667">
      <w:bodyDiv w:val="1"/>
      <w:marLeft w:val="0"/>
      <w:marRight w:val="0"/>
      <w:marTop w:val="0"/>
      <w:marBottom w:val="0"/>
      <w:divBdr>
        <w:top w:val="none" w:sz="0" w:space="0" w:color="auto"/>
        <w:left w:val="none" w:sz="0" w:space="0" w:color="auto"/>
        <w:bottom w:val="none" w:sz="0" w:space="0" w:color="auto"/>
        <w:right w:val="none" w:sz="0" w:space="0" w:color="auto"/>
      </w:divBdr>
    </w:div>
    <w:div w:id="2130854588">
      <w:bodyDiv w:val="1"/>
      <w:marLeft w:val="0"/>
      <w:marRight w:val="0"/>
      <w:marTop w:val="0"/>
      <w:marBottom w:val="0"/>
      <w:divBdr>
        <w:top w:val="none" w:sz="0" w:space="0" w:color="auto"/>
        <w:left w:val="none" w:sz="0" w:space="0" w:color="auto"/>
        <w:bottom w:val="none" w:sz="0" w:space="0" w:color="auto"/>
        <w:right w:val="none" w:sz="0" w:space="0" w:color="auto"/>
      </w:divBdr>
    </w:div>
    <w:div w:id="2133353247">
      <w:bodyDiv w:val="1"/>
      <w:marLeft w:val="0"/>
      <w:marRight w:val="0"/>
      <w:marTop w:val="0"/>
      <w:marBottom w:val="0"/>
      <w:divBdr>
        <w:top w:val="none" w:sz="0" w:space="0" w:color="auto"/>
        <w:left w:val="none" w:sz="0" w:space="0" w:color="auto"/>
        <w:bottom w:val="none" w:sz="0" w:space="0" w:color="auto"/>
        <w:right w:val="none" w:sz="0" w:space="0" w:color="auto"/>
      </w:divBdr>
    </w:div>
    <w:div w:id="2135172679">
      <w:bodyDiv w:val="1"/>
      <w:marLeft w:val="0"/>
      <w:marRight w:val="0"/>
      <w:marTop w:val="0"/>
      <w:marBottom w:val="0"/>
      <w:divBdr>
        <w:top w:val="none" w:sz="0" w:space="0" w:color="auto"/>
        <w:left w:val="none" w:sz="0" w:space="0" w:color="auto"/>
        <w:bottom w:val="none" w:sz="0" w:space="0" w:color="auto"/>
        <w:right w:val="none" w:sz="0" w:space="0" w:color="auto"/>
      </w:divBdr>
    </w:div>
    <w:div w:id="2135365115">
      <w:bodyDiv w:val="1"/>
      <w:marLeft w:val="0"/>
      <w:marRight w:val="0"/>
      <w:marTop w:val="0"/>
      <w:marBottom w:val="0"/>
      <w:divBdr>
        <w:top w:val="none" w:sz="0" w:space="0" w:color="auto"/>
        <w:left w:val="none" w:sz="0" w:space="0" w:color="auto"/>
        <w:bottom w:val="none" w:sz="0" w:space="0" w:color="auto"/>
        <w:right w:val="none" w:sz="0" w:space="0" w:color="auto"/>
      </w:divBdr>
    </w:div>
    <w:div w:id="2135438715">
      <w:bodyDiv w:val="1"/>
      <w:marLeft w:val="0"/>
      <w:marRight w:val="0"/>
      <w:marTop w:val="0"/>
      <w:marBottom w:val="0"/>
      <w:divBdr>
        <w:top w:val="none" w:sz="0" w:space="0" w:color="auto"/>
        <w:left w:val="none" w:sz="0" w:space="0" w:color="auto"/>
        <w:bottom w:val="none" w:sz="0" w:space="0" w:color="auto"/>
        <w:right w:val="none" w:sz="0" w:space="0" w:color="auto"/>
      </w:divBdr>
    </w:div>
    <w:div w:id="2135978824">
      <w:bodyDiv w:val="1"/>
      <w:marLeft w:val="0"/>
      <w:marRight w:val="0"/>
      <w:marTop w:val="0"/>
      <w:marBottom w:val="0"/>
      <w:divBdr>
        <w:top w:val="none" w:sz="0" w:space="0" w:color="auto"/>
        <w:left w:val="none" w:sz="0" w:space="0" w:color="auto"/>
        <w:bottom w:val="none" w:sz="0" w:space="0" w:color="auto"/>
        <w:right w:val="none" w:sz="0" w:space="0" w:color="auto"/>
      </w:divBdr>
    </w:div>
    <w:div w:id="2136097315">
      <w:bodyDiv w:val="1"/>
      <w:marLeft w:val="0"/>
      <w:marRight w:val="0"/>
      <w:marTop w:val="0"/>
      <w:marBottom w:val="0"/>
      <w:divBdr>
        <w:top w:val="none" w:sz="0" w:space="0" w:color="auto"/>
        <w:left w:val="none" w:sz="0" w:space="0" w:color="auto"/>
        <w:bottom w:val="none" w:sz="0" w:space="0" w:color="auto"/>
        <w:right w:val="none" w:sz="0" w:space="0" w:color="auto"/>
      </w:divBdr>
    </w:div>
    <w:div w:id="2136636862">
      <w:bodyDiv w:val="1"/>
      <w:marLeft w:val="0"/>
      <w:marRight w:val="0"/>
      <w:marTop w:val="0"/>
      <w:marBottom w:val="0"/>
      <w:divBdr>
        <w:top w:val="none" w:sz="0" w:space="0" w:color="auto"/>
        <w:left w:val="none" w:sz="0" w:space="0" w:color="auto"/>
        <w:bottom w:val="none" w:sz="0" w:space="0" w:color="auto"/>
        <w:right w:val="none" w:sz="0" w:space="0" w:color="auto"/>
      </w:divBdr>
    </w:div>
    <w:div w:id="2137408204">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37604629">
      <w:bodyDiv w:val="1"/>
      <w:marLeft w:val="0"/>
      <w:marRight w:val="0"/>
      <w:marTop w:val="0"/>
      <w:marBottom w:val="0"/>
      <w:divBdr>
        <w:top w:val="none" w:sz="0" w:space="0" w:color="auto"/>
        <w:left w:val="none" w:sz="0" w:space="0" w:color="auto"/>
        <w:bottom w:val="none" w:sz="0" w:space="0" w:color="auto"/>
        <w:right w:val="none" w:sz="0" w:space="0" w:color="auto"/>
      </w:divBdr>
    </w:div>
    <w:div w:id="2139882394">
      <w:bodyDiv w:val="1"/>
      <w:marLeft w:val="0"/>
      <w:marRight w:val="0"/>
      <w:marTop w:val="0"/>
      <w:marBottom w:val="0"/>
      <w:divBdr>
        <w:top w:val="none" w:sz="0" w:space="0" w:color="auto"/>
        <w:left w:val="none" w:sz="0" w:space="0" w:color="auto"/>
        <w:bottom w:val="none" w:sz="0" w:space="0" w:color="auto"/>
        <w:right w:val="none" w:sz="0" w:space="0" w:color="auto"/>
      </w:divBdr>
    </w:div>
    <w:div w:id="2140225258">
      <w:bodyDiv w:val="1"/>
      <w:marLeft w:val="0"/>
      <w:marRight w:val="0"/>
      <w:marTop w:val="0"/>
      <w:marBottom w:val="0"/>
      <w:divBdr>
        <w:top w:val="none" w:sz="0" w:space="0" w:color="auto"/>
        <w:left w:val="none" w:sz="0" w:space="0" w:color="auto"/>
        <w:bottom w:val="none" w:sz="0" w:space="0" w:color="auto"/>
        <w:right w:val="none" w:sz="0" w:space="0" w:color="auto"/>
      </w:divBdr>
    </w:div>
    <w:div w:id="2140410452">
      <w:bodyDiv w:val="1"/>
      <w:marLeft w:val="0"/>
      <w:marRight w:val="0"/>
      <w:marTop w:val="0"/>
      <w:marBottom w:val="0"/>
      <w:divBdr>
        <w:top w:val="none" w:sz="0" w:space="0" w:color="auto"/>
        <w:left w:val="none" w:sz="0" w:space="0" w:color="auto"/>
        <w:bottom w:val="none" w:sz="0" w:space="0" w:color="auto"/>
        <w:right w:val="none" w:sz="0" w:space="0" w:color="auto"/>
      </w:divBdr>
    </w:div>
    <w:div w:id="2140830523">
      <w:bodyDiv w:val="1"/>
      <w:marLeft w:val="0"/>
      <w:marRight w:val="0"/>
      <w:marTop w:val="0"/>
      <w:marBottom w:val="0"/>
      <w:divBdr>
        <w:top w:val="none" w:sz="0" w:space="0" w:color="auto"/>
        <w:left w:val="none" w:sz="0" w:space="0" w:color="auto"/>
        <w:bottom w:val="none" w:sz="0" w:space="0" w:color="auto"/>
        <w:right w:val="none" w:sz="0" w:space="0" w:color="auto"/>
      </w:divBdr>
    </w:div>
    <w:div w:id="2141337458">
      <w:bodyDiv w:val="1"/>
      <w:marLeft w:val="0"/>
      <w:marRight w:val="0"/>
      <w:marTop w:val="0"/>
      <w:marBottom w:val="0"/>
      <w:divBdr>
        <w:top w:val="none" w:sz="0" w:space="0" w:color="auto"/>
        <w:left w:val="none" w:sz="0" w:space="0" w:color="auto"/>
        <w:bottom w:val="none" w:sz="0" w:space="0" w:color="auto"/>
        <w:right w:val="none" w:sz="0" w:space="0" w:color="auto"/>
      </w:divBdr>
    </w:div>
    <w:div w:id="214600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prostate.org.au/awareness/for-healthcare-professionals/clinical-practice-guidelines-on-psa-testing/" TargetMode="External"/><Relationship Id="rId26" Type="http://schemas.openxmlformats.org/officeDocument/2006/relationships/footer" Target="footer4.xml"/><Relationship Id="rId39" Type="http://schemas.openxmlformats.org/officeDocument/2006/relationships/hyperlink" Target="http://annals.org/aim/article/1206700/effect-clinical-decision-support-systems-systematic-review" TargetMode="Externa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yperlink" Target="http://onlinelibrary.wiley.com/store/10.1002/14651858.CD010669.pub2/asset/CD010669.pdf?v=1&amp;t=izxj0qfp&amp;s=83612f3f683035d83ce2825f25db0c8b8b598f13" TargetMode="External"/><Relationship Id="rId47" Type="http://schemas.openxmlformats.org/officeDocument/2006/relationships/hyperlink" Target="https://www.ncbi.nlm.nih.gov/pubmed/25263310" TargetMode="External"/><Relationship Id="rId50" Type="http://schemas.openxmlformats.org/officeDocument/2006/relationships/hyperlink" Target="http://journals.sagepub.com/doi/full/10.1177/2374289516633476" TargetMode="External"/><Relationship Id="rId55" Type="http://schemas.openxmlformats.org/officeDocument/2006/relationships/hyperlink" Target="http://epoc.cochrane.org/sites/epoc.cochrane.org/files/public/uploads/2015%20EPOC%20Taxonomy%20FINAL.pdf" TargetMode="External"/><Relationship Id="rId7" Type="http://schemas.openxmlformats.org/officeDocument/2006/relationships/endnotes" Target="endnotes.xml"/><Relationship Id="rId12" Type="http://schemas.openxmlformats.org/officeDocument/2006/relationships/hyperlink" Target="http://imagingpathways.health.wa.gov.au/" TargetMode="External"/><Relationship Id="rId17" Type="http://schemas.openxmlformats.org/officeDocument/2006/relationships/image" Target="media/image7.png"/><Relationship Id="rId25" Type="http://schemas.openxmlformats.org/officeDocument/2006/relationships/hyperlink" Target="mailto:info@nps.org.au" TargetMode="External"/><Relationship Id="rId33" Type="http://schemas.openxmlformats.org/officeDocument/2006/relationships/footer" Target="footer8.xml"/><Relationship Id="rId38" Type="http://schemas.openxmlformats.org/officeDocument/2006/relationships/footer" Target="footer12.xml"/><Relationship Id="rId46" Type="http://schemas.openxmlformats.org/officeDocument/2006/relationships/hyperlink" Target="https://www.ncbi.nlm.nih.gov/pubmed/2573374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footer" Target="footer6.xml"/><Relationship Id="rId41" Type="http://schemas.openxmlformats.org/officeDocument/2006/relationships/hyperlink" Target="http://circoutcomes.ahajournals.org/content/circcvoq/9/1/7.full.pdf" TargetMode="External"/><Relationship Id="rId54" Type="http://schemas.openxmlformats.org/officeDocument/2006/relationships/hyperlink" Target="https://www.ncbi.nlm.nih.gov/pubmed/264365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hyperlink" Target="https://www.ncbi.nlm.nih.gov/pmc/articles/PMC4670500/pdf/13012_2015_Article_356.pdf" TargetMode="External"/><Relationship Id="rId45" Type="http://schemas.openxmlformats.org/officeDocument/2006/relationships/hyperlink" Target="https://www.ncbi.nlm.nih.gov/pmc/articles/PMC4441675/pdf/11606_2015_Article_3226.pdf" TargetMode="External"/><Relationship Id="rId53" Type="http://schemas.openxmlformats.org/officeDocument/2006/relationships/hyperlink" Target="https://www.ncbi.nlm.nih.gov/pmc/articles/PMC4777394/pdf/pone.0150123.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hyperlink" Target="http://onlinelibrary.wiley.com/store/10.1002/jhm.2500/asset/jhm2500.pdf?v=1&amp;t=izszkxch&amp;s=f39be7380993f3977bd2870d587ef310206cce86"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yperlink" Target="https://www.ncbi.nlm.nih.gov/pmc/articles/PMC3078656/pdf/amiajnl-2010-000043.pdf" TargetMode="External"/><Relationship Id="rId52" Type="http://schemas.openxmlformats.org/officeDocument/2006/relationships/hyperlink" Target="http://jama.jamanetwork.com/pdfaccess.ashx?url=/data/journals/jama/934739/joi150149.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footer" Target="footer9.xml"/><Relationship Id="rId43" Type="http://schemas.openxmlformats.org/officeDocument/2006/relationships/hyperlink" Target="http://onlinelibrary.wiley.com/store/10.1002/14651858.CD006094.pub2/asset/CD006094.pdf?v=1&amp;t=izno50iv&amp;s=c0202655b40b7f7676f120b11139afb3531e220a" TargetMode="External"/><Relationship Id="rId48" Type="http://schemas.openxmlformats.org/officeDocument/2006/relationships/hyperlink" Target="https://www.ncbi.nlm.nih.gov/pmc/articles/PMC3174115/pdf/1748-5908-6-88.pdf" TargetMode="External"/><Relationship Id="rId56" Type="http://schemas.openxmlformats.org/officeDocument/2006/relationships/hyperlink" Target="http://www.nejm.org/doi/pdf/10.1056/NEJMp1111662" TargetMode="External"/><Relationship Id="rId8" Type="http://schemas.openxmlformats.org/officeDocument/2006/relationships/header" Target="header1.xml"/><Relationship Id="rId51" Type="http://schemas.openxmlformats.org/officeDocument/2006/relationships/hyperlink" Target="http://onlinelibrary.wiley.com/store/10.1002/14651858.CD007495.pub2/asset/CD007495.pdf?v=1&amp;t=iznopuo3&amp;s=0f1d3dd994ea853775865936d229f0154dd980ba"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Con18</b:Tag>
    <b:SourceType>InternetSite</b:SourceType>
    <b:Guid>{3EC3EC6E-4F94-2947-B6BE-757B71F840A3}</b:Guid>
    <b:Title>Why do I even need this test? A Diagnostic Imaging and Informed Consent Consumer Resource</b:Title>
    <b:Author>
      <b:Author>
        <b:Corporate>Consumer Health Forum</b:Corporate>
      </b:Author>
    </b:Author>
    <b:URL>https://chf.org.au/sites/default/files/diagnostic-imaging-factsheet_web_1.pdf</b:URL>
    <b:YearAccessed>2018</b:YearAccessed>
    <b:RefOrder>3</b:RefOrder>
  </b:Source>
  <b:Source>
    <b:Tag>Roy181</b:Tag>
    <b:SourceType>InternetSite</b:SourceType>
    <b:Guid>{73AE90B9-7835-A743-BDA8-5A51DEC664D5}</b:Guid>
    <b:Author>
      <b:Author>
        <b:Corporate>Royal Australian and New Zealand College of Radiologists</b:Corporate>
      </b:Author>
    </b:Author>
    <b:Title>Inside radiology</b:Title>
    <b:URL>https://www.insideradiology.com.au/</b:URL>
    <b:YearAccessed>2018</b:YearAccessed>
    <b:RefOrder>5</b:RefOrder>
  </b:Source>
  <b:Source>
    <b:Tag>Aus18</b:Tag>
    <b:SourceType>InternetSite</b:SourceType>
    <b:Guid>{A167B8B4-25BF-B94B-B107-4C15B379EE73}</b:Guid>
    <b:Author>
      <b:Author>
        <b:Corporate>Australasian Association of Clinical Biochemists</b:Corporate>
      </b:Author>
    </b:Author>
    <b:Title>Lab Tests Online Australasia</b:Title>
    <b:URL>https://www.labtestsonline.org.au</b:URL>
    <b:YearAccessed>2018</b:YearAccessed>
    <b:RefOrder>6</b:RefOrder>
  </b:Source>
  <b:Source>
    <b:Tag>Roy</b:Tag>
    <b:SourceType>ArticleInAPeriodical</b:SourceType>
    <b:Guid>{02068CEA-1C69-6041-BA65-848B1C8C342B}</b:Guid>
    <b:Author>
      <b:Author>
        <b:Corporate>Royal College of Pathologists of Australasia</b:Corporate>
      </b:Author>
    </b:Author>
    <b:Title>Iron Studies Standardised Reporting Protocol</b:Title>
    <b:Year>2013</b:Year>
    <b:RefOrder>23</b:RefOrder>
  </b:Source>
  <b:Source>
    <b:Tag>ati</b:Tag>
    <b:SourceType>Report</b:SourceType>
    <b:Guid>{B5DA129E-979B-DE41-A665-2B9ECD08F03C}</b:Guid>
    <b:Author>
      <b:Author>
        <b:Corporate>Patient Blood Management Steering Committee, National Blood Authority</b:Corporate>
      </b:Author>
    </b:Author>
    <b:Title>Submission to the MBS Review Taskforce on Blood Related MBS Item Numbers</b:Title>
    <b:Year>2015</b:Year>
    <b:RefOrder>24</b:RefOrder>
  </b:Source>
  <b:Source>
    <b:Tag>Roy1</b:Tag>
    <b:SourceType>Report</b:SourceType>
    <b:Guid>{4956E57C-B1B0-BB4F-9D09-B34FC6C7A86D}</b:Guid>
    <b:Author>
      <b:Author>
        <b:Corporate>Royal Australian College of General Practitioners</b:Corporate>
      </b:Author>
    </b:Author>
    <b:Title>Medical care of older persons in residential aged care facilities - Urinary Tract Infections. 4th ed.</b:Title>
    <b:Year>2006</b:Year>
    <b:RefOrder>30</b:RefOrder>
  </b:Source>
  <b:Source>
    <b:Tag>Aus</b:Tag>
    <b:SourceType>Report</b:SourceType>
    <b:Guid>{F9F9561E-3EBE-4043-8F58-BE02CF3E9FB4}</b:Guid>
    <b:Author>
      <b:Author>
        <b:Corporate>Australian Society for Infectious Diseases</b:Corporate>
      </b:Author>
    </b:Author>
    <b:Title>Tests, treatments and procedures clinicians and consumers should question</b:Title>
    <b:Year>2016</b:Year>
    <b:RefOrder>32</b:RefOrder>
  </b:Source>
  <b:Source>
    <b:Tag>Wes18</b:Tag>
    <b:SourceType>InternetSite</b:SourceType>
    <b:Guid>{6FEFDD85-FCB6-8144-BBA0-0938C3C4DB51}</b:Guid>
    <b:Author>
      <b:Author>
        <b:Corporate>Western Australian Department of Health</b:Corporate>
      </b:Author>
    </b:Author>
    <b:Title>Diagnostic Imaging Pathways</b:Title>
    <b:URL>http://www.imagingpathways.health.wa.gov.au</b:URL>
    <b:YearAccessed>2018</b:YearAccessed>
    <b:RefOrder>4</b:RefOrder>
  </b:Source>
  <b:Source>
    <b:Tag>Dep14</b:Tag>
    <b:SourceType>Report</b:SourceType>
    <b:Guid>{9F7FE516-7F88-E940-BC6B-FD4A6506E4D5}</b:Guid>
    <b:Author>
      <b:Author>
        <b:Corporate>Australian Government Department of Health</b:Corporate>
      </b:Author>
    </b:Author>
    <b:Title>MBS Reviews Folate Testing Report</b:Title>
    <b:Year>2014</b:Year>
    <b:Publisher>Department of Health</b:Publisher>
    <b:City>Canberra</b:City>
    <b:RefOrder>10</b:RefOrder>
  </b:Source>
  <b:Source>
    <b:Tag>Guy</b:Tag>
    <b:SourceType>ArticleInAPeriodical</b:SourceType>
    <b:Guid>{C90DECAC-7497-B043-A194-875682F8B09B}</b:Guid>
    <b:Author>
      <b:Author>
        <b:NameList>
          <b:Person>
            <b:Last>Guyatt GH</b:Last>
            <b:First>Oxman</b:First>
            <b:Middle>AD, Ali M, et al</b:Middle>
          </b:Person>
        </b:NameList>
      </b:Author>
    </b:Author>
    <b:Title>Laboratory diagnosis of iron-deficiency anemia: an overview</b:Title>
    <b:Publisher>Journal of General Internal Medicine</b:Publisher>
    <b:PeriodicalTitle>Journal of General Internal Medicine</b:PeriodicalTitle>
    <b:Year>1992</b:Year>
    <b:Edition>145-153</b:Edition>
    <b:RefOrder>21</b:RefOrder>
  </b:Source>
  <b:Source>
    <b:Tag>Bro</b:Tag>
    <b:SourceType>ArticleInAPeriodical</b:SourceType>
    <b:Guid>{C40DABB9-70B2-1C4D-96A1-337B4B8392EE}</b:Guid>
    <b:Author>
      <b:Author>
        <b:NameList>
          <b:Person>
            <b:Last>Brown RD</b:Last>
            <b:First>Langshaw</b:First>
            <b:Middle>MR, Uhr EJ, et al</b:Middle>
          </b:Person>
        </b:NameList>
      </b:Author>
    </b:Author>
    <b:Title>The impact of mandatory fortification of flour with folic acid on the blood folate levels of an Australian population</b:Title>
    <b:PeriodicalTitle>Medical Journal of Australia</b:PeriodicalTitle>
    <b:Year>2011</b:Year>
    <b:Edition>65-67</b:Edition>
    <b:RefOrder>29</b:RefOrder>
  </b:Source>
  <b:Source>
    <b:Tag>Lin</b:Tag>
    <b:SourceType>ArticleInAPeriodical</b:SourceType>
    <b:Guid>{7B4B90FE-CA52-1543-8F1D-86A6D645B47F}</b:Guid>
    <b:Author>
      <b:Author>
        <b:NameList>
          <b:Person>
            <b:Last>Lin K</b:Last>
            <b:First>Fajardo</b:First>
            <b:Middle>K</b:Middle>
          </b:Person>
        </b:NameList>
      </b:Author>
    </b:Author>
    <b:Title>Screening for Asymptomatic Bacteriuria in Adults: Evidence for the U.S. Preventive Services Task Force Reaffirmation Recommendation Statement</b:Title>
    <b:Year>2008</b:Year>
    <b:PeriodicalTitle>Annals of Internal Medicine</b:PeriodicalTitle>
    <b:Edition>W-20</b:Edition>
    <b:RefOrder>31</b:RefOrder>
  </b:Source>
  <b:Source>
    <b:Tag>NIc</b:Tag>
    <b:SourceType>ArticleInAPeriodical</b:SourceType>
    <b:Guid>{2791597C-6899-0744-A03B-4D3779B4C53C}</b:Guid>
    <b:Author>
      <b:Author>
        <b:NameList>
          <b:Person>
            <b:Last>Nicolle L</b:Last>
            <b:First>Bradley</b:First>
            <b:Middle>S, Colgan R, et al</b:Middle>
          </b:Person>
        </b:NameList>
      </b:Author>
    </b:Author>
    <b:Title>Infectious Diseases Society America Guidelines for the Diagnosis and Treament of Asymptomatic Bacteriuria in Adults</b:Title>
    <b:Publisher>Clinical Infectious Diseases</b:Publisher>
    <b:Year>2005</b:Year>
    <b:PeriodicalTitle>Clinical Infectious Diseases</b:PeriodicalTitle>
    <b:RefOrder>33</b:RefOrder>
  </b:Source>
  <b:Source>
    <b:Tag>AOi</b:Tag>
    <b:SourceType>ArticleInAPeriodical</b:SourceType>
    <b:Guid>{7F6BE381-4B99-B347-996A-B9031E170EC6}</b:Guid>
    <b:Author>
      <b:Author>
        <b:NameList>
          <b:Person>
            <b:Last>Oikonomou KG</b:Last>
            <b:First>Alhaddad</b:First>
            <b:Middle>A</b:Middle>
          </b:Person>
        </b:NameList>
      </b:Author>
    </b:Author>
    <b:Title>The Diagnostic Value of Urinalysis in Hemodialysis Patients with Fever, Sepsis or Suspected Urinary Tract Infection</b:Title>
    <b:PeriodicalTitle>Journal of Clinical and Diagnostic Research</b:PeriodicalTitle>
    <b:Year>2016</b:Year>
    <b:RefOrder>34</b:RefOrder>
  </b:Source>
  <b:Source>
    <b:Tag>Sch17</b:Tag>
    <b:SourceType>ArticleInAPeriodical</b:SourceType>
    <b:Guid>{185E1CEB-D6BE-B44F-BD73-DE9F4202B127}</b:Guid>
    <b:Author>
      <b:Author>
        <b:NameList>
          <b:Person>
            <b:Last>Schwaderer AL</b:Last>
            <b:First>Wolfe</b:First>
            <b:Middle>AJ</b:Middle>
          </b:Person>
        </b:NameList>
      </b:Author>
    </b:Author>
    <b:Title>The association between bacteria and urinary stones</b:Title>
    <b:PeriodicalTitle>Annals of Translational Medicine</b:PeriodicalTitle>
    <b:Year>2017</b:Year>
    <b:RefOrder>37</b:RefOrder>
  </b:Source>
  <b:Source>
    <b:Tag>Sta17</b:Tag>
    <b:SourceType>ArticleInAPeriodical</b:SourceType>
    <b:Guid>{88A6C4CA-36FE-4346-AEAA-68C80B311A1F}</b:Guid>
    <b:Title>Decision aids for people facing health treatment or screening decisions</b:Title>
    <b:Year>2017</b:Year>
    <b:Author>
      <b:Author>
        <b:NameList>
          <b:Person>
            <b:Last>Stacey D</b:Last>
            <b:First>Legare</b:First>
            <b:Middle>F, Lewis K, et al.</b:Middle>
          </b:Person>
        </b:NameList>
      </b:Author>
    </b:Author>
    <b:PeriodicalTitle>Cochrane Database of Systematic Reviews</b:PeriodicalTitle>
    <b:RefOrder>2</b:RefOrder>
  </b:Source>
  <b:Source>
    <b:Tag>Els12</b:Tag>
    <b:SourceType>ArticleInAPeriodical</b:SourceType>
    <b:Guid>{E8EB1BE0-2524-2943-B9E2-FB3C10A02C78}</b:Guid>
    <b:Title>Over 150 potentially low-value health care practices: an Australian study</b:Title>
    <b:Year>2012</b:Year>
    <b:Author>
      <b:Author>
        <b:NameList>
          <b:Person>
            <b:Last>Elshaug A</b:Last>
            <b:First>et</b:First>
            <b:Middle>al.</b:Middle>
          </b:Person>
        </b:NameList>
      </b:Author>
    </b:Author>
    <b:JournalName>The Medical Journal of Australia</b:JournalName>
    <b:Pages>556-560</b:Pages>
    <b:PeriodicalTitle>Med J Aust</b:PeriodicalTitle>
    <b:RefOrder>1</b:RefOrder>
  </b:Source>
  <b:Source>
    <b:Tag>Yam10</b:Tag>
    <b:SourceType>ArticleInAPeriodical</b:SourceType>
    <b:Guid>{289D4502-FC19-594E-BC3A-F219EC28CD6A}</b:Guid>
    <b:Author>
      <b:Author>
        <b:NameList>
          <b:Person>
            <b:Last>Yamamoto A</b:Last>
            <b:First>Takagishi</b:First>
            <b:Middle>K, Osawa T, et al</b:Middle>
          </b:Person>
        </b:NameList>
      </b:Author>
    </b:Author>
    <b:Title>Prevalence and risk factors of a rotator cuff tear in the general population</b:Title>
    <b:Year>2010</b:Year>
    <b:Volume>19</b:Volume>
    <b:Issue>1</b:Issue>
    <b:JournalName>Journal of Shoulder and Elbow Surgery</b:JournalName>
    <b:Pages>116-120</b:Pages>
    <b:PeriodicalTitle>J Shoulder Elbow Surg</b:PeriodicalTitle>
    <b:RefOrder>11</b:RefOrder>
  </b:Source>
  <b:Source>
    <b:Tag>Pey</b:Tag>
    <b:SourceType>ArticleInAPeriodical</b:SourceType>
    <b:Guid>{C87B5D6A-A72D-9742-AC07-38368399A761}</b:Guid>
    <b:Author>
      <b:Author>
        <b:NameList>
          <b:Person>
            <b:Last>Peyrin-Biroulet L</b:Last>
            <b:First>Williet</b:First>
            <b:Middle>N, Cacoub P</b:Middle>
          </b:Person>
        </b:NameList>
      </b:Author>
    </b:Author>
    <b:Title>Guidelines on the diagnosis and treatment of iron deficiency across indications: a systematic review.</b:Title>
    <b:Year>2015</b:Year>
    <b:Volume>102</b:Volume>
    <b:Issue>6</b:Issue>
    <b:PeriodicalTitle>American Journal of Clinical Nutrition</b:PeriodicalTitle>
    <b:Edition>1585-94</b:Edition>
    <b:RefOrder>22</b:RefOrder>
  </b:Source>
  <b:Source>
    <b:Tag>Yac11</b:Tag>
    <b:SourceType>ArticleInAPeriodical</b:SourceType>
    <b:Guid>{C613895C-A0F0-2E45-A201-0C2DCE255480}</b:Guid>
    <b:Author>
      <b:Author>
        <b:NameList>
          <b:Person>
            <b:Last>Yacoub R</b:Last>
            <b:First>Akl</b:First>
            <b:Middle>NK</b:Middle>
          </b:Person>
        </b:NameList>
      </b:Author>
    </b:Author>
    <b:Title>Urinary Tract Infections and Asymptomatic Bacteriuria in Renal Transplant Recipients</b:Title>
    <b:PeriodicalTitle>Journal of Global Infectious Diseases</b:PeriodicalTitle>
    <b:Year>2011</b:Year>
    <b:RefOrder>38</b:RefOrder>
  </b:Source>
  <b:Source>
    <b:Tag>Bol16</b:Tag>
    <b:SourceType>ArticleInAPeriodical</b:SourceType>
    <b:Guid>{EC9E000D-8A81-DC4A-B649-A4B190A2BA2D}</b:Guid>
    <b:Author>
      <b:Author>
        <b:NameList>
          <b:Person>
            <b:Last>Bolland M</b:Last>
            <b:First>Avenell</b:First>
            <b:Middle>A, Grey A</b:Middle>
          </b:Person>
        </b:NameList>
      </b:Author>
    </b:Author>
    <b:Title>Should adults take vitamin D supplements to prevent disease?</b:Title>
    <b:PeriodicalTitle>BMJ</b:PeriodicalTitle>
    <b:Year>2016</b:Year>
    <b:RefOrder>42</b:RefOrder>
  </b:Source>
  <b:Source>
    <b:Tag>Ave14</b:Tag>
    <b:SourceType>ArticleInAPeriodical</b:SourceType>
    <b:Guid>{4BB66E7C-D3A6-AA45-A764-A4209BF6223E}</b:Guid>
    <b:Author>
      <b:Author>
        <b:NameList>
          <b:Person>
            <b:Last>Avenell M</b:Last>
            <b:First>Mak</b:First>
            <b:Middle>J, O'Connell D</b:Middle>
          </b:Person>
        </b:NameList>
      </b:Author>
    </b:Author>
    <b:Title>Vitamin D and vitamin D analogues for preventing fractures in post-menopausal women and older men</b:Title>
    <b:Year>2014</b:Year>
    <b:RefOrder>41</b:RefOrder>
  </b:Source>
  <b:Source>
    <b:Tag>Bje14</b:Tag>
    <b:SourceType>ArticleInAPeriodical</b:SourceType>
    <b:Guid>{20D931BE-FBA2-0148-8E45-B8C1DF954A26}</b:Guid>
    <b:Author>
      <b:Author>
        <b:NameList>
          <b:Person>
            <b:Last>Bjelakovic G</b:Last>
            <b:First>Gluud</b:First>
            <b:Middle>L, Nikolova D, et al</b:Middle>
          </b:Person>
        </b:NameList>
      </b:Author>
    </b:Author>
    <b:Title>Vitamin D supplementation for prevention of mortality in adults</b:Title>
    <b:Year>2014</b:Year>
    <b:RefOrder>44</b:RefOrder>
  </b:Source>
  <b:Source>
    <b:Tag>All16</b:Tag>
    <b:SourceType>ArticleInAPeriodical</b:SourceType>
    <b:Guid>{CD8FF44B-2DB4-8E4A-BD41-C729F6C60FB8}</b:Guid>
    <b:Author>
      <b:Author>
        <b:NameList>
          <b:Person>
            <b:Last>Allan GM</b:Last>
            <b:First>Cranston</b:First>
            <b:Middle>L, Lindblad A, et al</b:Middle>
          </b:Person>
        </b:NameList>
      </b:Author>
    </b:Author>
    <b:Title>Vitamin D: A Narrative Review Examining the Evidence for Ten Beliefs.</b:Title>
    <b:PeriodicalTitle>Journal of General Internal Medicine</b:PeriodicalTitle>
    <b:Year>2016</b:Year>
    <b:Edition>780-91</b:Edition>
    <b:RefOrder>45</b:RefOrder>
  </b:Source>
  <b:Source>
    <b:Tag>GGu</b:Tag>
    <b:SourceType>ArticleInAPeriodical</b:SourceType>
    <b:Guid>{C5DBE228-F774-D944-A8F5-D0D030A17972}</b:Guid>
    <b:Author>
      <b:Author>
        <b:NameList>
          <b:Person>
            <b:Last>Guyatt</b:Last>
            <b:First>G</b:First>
          </b:Person>
        </b:NameList>
      </b:Author>
    </b:Author>
    <b:Title>Transferrin as a predictor of iron deficiency</b:Title>
    <b:PeriodicalTitle>American Journal of Medicine</b:PeriodicalTitle>
    <b:Year>1992</b:Year>
    <b:Edition>453</b:Edition>
    <b:RefOrder>25</b:RefOrder>
  </b:Source>
  <b:Source>
    <b:Tag>AOi1</b:Tag>
    <b:SourceType>ArticleInAPeriodical</b:SourceType>
    <b:Guid>{6AE82779-CB98-AC40-9F5C-C40C9C5574C5}</b:Guid>
    <b:Author>
      <b:Author>
        <b:Corporate>Oikonomou KG, Alhaddad A</b:Corporate>
      </b:Author>
    </b:Author>
    <b:Title>Isolation Rate and Clinical Significance of Uropathogens in Positive Urine Cultures of Hemodialysis Patients</b:Title>
    <b:PeriodicalTitle>Journal of Global Infectious Disease</b:PeriodicalTitle>
    <b:Year>2017</b:Year>
    <b:RefOrder>35</b:RefOrder>
  </b:Source>
  <b:Source>
    <b:Tag>Placeholder1</b:Tag>
    <b:SourceType>ArticleInAPeriodical</b:SourceType>
    <b:Guid>{B9AC4572-9944-334F-BF52-8E5837323BE3}</b:Guid>
    <b:Author>
      <b:Author>
        <b:Corporate>Nicolle LE</b:Corporate>
      </b:Author>
    </b:Author>
    <b:Title>The Paradigm Shift to Non-Treatment of Asymptomatic Bacteriuria</b:Title>
    <b:PeriodicalTitle>Pathogens</b:PeriodicalTitle>
    <b:Year>2016</b:Year>
    <b:RefOrder>36</b:RefOrder>
  </b:Source>
  <b:Source>
    <b:Tag>Nic</b:Tag>
    <b:SourceType>ArticleInAPeriodical</b:SourceType>
    <b:Guid>{0875BA5D-7652-5C48-8FCF-1EC7EDF5B666}</b:Guid>
    <b:Author>
      <b:Author>
        <b:Corporate>Nicolle LE</b:Corporate>
      </b:Author>
    </b:Author>
    <b:Title>Asymptomatic bacteriuria</b:Title>
    <b:PeriodicalTitle>Current Opinion in Infectious Diseases</b:PeriodicalTitle>
    <b:Edition>90-96</b:Edition>
    <b:RefOrder>39</b:RefOrder>
  </b:Source>
  <b:Source>
    <b:Tag>Can16</b:Tag>
    <b:SourceType>Report</b:SourceType>
    <b:Guid>{21E9A4F5-DE98-5D4D-ACD1-3F5E93F94D90}</b:Guid>
    <b:Author>
      <b:Author>
        <b:Corporate>Prostate Cancer Foundation of Australia and Cancer Council Australia</b:Corporate>
      </b:Author>
    </b:Author>
    <b:Year>2016</b:Year>
    <b:Publisher>Cancer Council Australia</b:Publisher>
    <b:Title>Clinical practice guidelines PSA Testing and Early Management of Test-Detected Prostate Cancer</b:Title>
    <b:City>Sydney</b:City>
    <b:RefOrder>46</b:RefOrder>
  </b:Source>
  <b:Source>
    <b:Tag>Bri14</b:Tag>
    <b:SourceType>Report</b:SourceType>
    <b:Guid>{F96AEA9F-3687-2D47-B2BA-84C01C612F0E}</b:Guid>
    <b:Author>
      <b:Author>
        <b:NameList>
          <b:Person>
            <b:Last>Britt H</b:Last>
            <b:First>Miller</b:First>
            <b:Middle>G, Valenti L, et al</b:Middle>
          </b:Person>
        </b:NameList>
      </b:Author>
    </b:Author>
    <b:Title>Evaluation of imaging ordering by general practitioners in Australia 2002-03 to 2011-12</b:Title>
    <b:City>Sydney</b:City>
    <b:Year>2014</b:Year>
    <b:Publisher>Sydney University Press</b:Publisher>
    <b:RefOrder>49</b:RefOrder>
  </b:Source>
  <b:Source>
    <b:Tag>Dia17</b:Tag>
    <b:SourceType>Report</b:SourceType>
    <b:Guid>{37447815-F385-0742-BF1D-379EA6FA924F}</b:Guid>
    <b:Author>
      <b:Author>
        <b:Corporate>MBS Review Taskforce Diagnostic Imaging Clinical Committee</b:Corporate>
      </b:Author>
    </b:Author>
    <b:Title>First report of the Diganostic Imaging Clinical Committee - Low Back Pain</b:Title>
    <b:Year>2017</b:Year>
    <b:RefOrder>50</b:RefOrder>
  </b:Source>
  <b:Source>
    <b:Tag>Cho09</b:Tag>
    <b:SourceType>ArticleInAPeriodical</b:SourceType>
    <b:Guid>{5887E3DE-B733-DF49-A0A9-EBF3D50EE3DC}</b:Guid>
    <b:Title>Imaging strategies for low-back pain; systematic review and meta-analysis</b:Title>
    <b:Year>2009</b:Year>
    <b:Author>
      <b:Author>
        <b:NameList>
          <b:Person>
            <b:Last>Chou R</b:Last>
            <b:First>Fu</b:First>
            <b:Middle>R, Carrino J, et al</b:Middle>
          </b:Person>
        </b:NameList>
      </b:Author>
    </b:Author>
    <b:Volume>373</b:Volume>
    <b:JournalName>The Lancet</b:JournalName>
    <b:Pages>463-472</b:Pages>
    <b:PeriodicalTitle>The Lancet</b:PeriodicalTitle>
    <b:RefOrder>51</b:RefOrder>
  </b:Source>
  <b:Source>
    <b:Tag>Shu12</b:Tag>
    <b:SourceType>ArticleInAPeriodical</b:SourceType>
    <b:Guid>{F25BD72B-6A91-3947-84BE-FBC716CE1D5F}</b:Guid>
    <b:Author>
      <b:Author>
        <b:NameList>
          <b:Person>
            <b:Last>Srinivas SV</b:Last>
            <b:First>Deyo</b:First>
            <b:Middle>RA, Berger ZD</b:Middle>
          </b:Person>
        </b:NameList>
      </b:Author>
    </b:Author>
    <b:Title>Application of 'less is more' to low back pain</b:Title>
    <b:Year>2012</b:Year>
    <b:Volume>172</b:Volume>
    <b:Issue>13</b:Issue>
    <b:JournalName>Arch Intern Med</b:JournalName>
    <b:Month>July</b:Month>
    <b:Pages>1016-20</b:Pages>
    <b:PeriodicalTitle>Arch Intern Med</b:PeriodicalTitle>
    <b:RefOrder>52</b:RefOrder>
  </b:Source>
  <b:Source>
    <b:Tag>Jen15</b:Tag>
    <b:SourceType>ArticleInAPeriodical</b:SourceType>
    <b:Guid>{086889A0-FE23-F348-B506-F747119934DB}</b:Guid>
    <b:Author>
      <b:Author>
        <b:NameList>
          <b:Person>
            <b:Last>Jenkins HJ</b:Last>
            <b:First>Hancock</b:First>
            <b:Middle>MJ, French SD, et al</b:Middle>
          </b:Person>
        </b:NameList>
      </b:Author>
    </b:Author>
    <b:Title>Effectiveness of interventions designed to reduce the use of imaging for low-back pain: a systematic review.</b:Title>
    <b:Year>2015</b:Year>
    <b:Volume>187</b:Volume>
    <b:Issue>6</b:Issue>
    <b:JournalName>Canadian Medical Journal Association</b:JournalName>
    <b:Pages>401-408</b:Pages>
    <b:PeriodicalTitle>CMAJ</b:PeriodicalTitle>
    <b:RefOrder>53</b:RefOrder>
  </b:Source>
  <b:Source>
    <b:Tag>Gui01</b:Tag>
    <b:SourceType>ArticleInAPeriodical</b:SourceType>
    <b:Guid>{BCC56035-7A5C-6948-A026-0472AAA16781}</b:Guid>
    <b:Title>The Ottawa knee rules - a useful clinical decision tool.</b:Title>
    <b:Year>2012</b:Year>
    <b:JournalName>Australian Family Physisan</b:JournalName>
    <b:Author>
      <b:Author>
        <b:NameList>
          <b:Person>
            <b:Last>Yao K</b:Last>
            <b:First>Haque</b:First>
            <b:Middle>T</b:Middle>
          </b:Person>
        </b:NameList>
      </b:Author>
    </b:Author>
    <b:PeriodicalTitle>Aust Fam Physician</b:PeriodicalTitle>
    <b:RefOrder>48</b:RefOrder>
  </b:Source>
  <b:Source>
    <b:Tag>Cen18</b:Tag>
    <b:SourceType>Misc</b:SourceType>
    <b:Guid>{8834D557-6AAE-44D2-ADB4-D26D94933444}</b:Guid>
    <b:Title>Medicare Program; Revisions to Payment Policies Under the Physician Fee Schedule and Other Revisions to Part B for CY 2019; Medicare Shared Savings Program Requirements; Quality Payment Program; and Medicaid Promoting Interoperability Program.</b:Title>
    <b:Year>2018</b:Year>
    <b:Author>
      <b:Author>
        <b:Corporate>Centers for Medicare &amp; Medicaid Services</b:Corporate>
      </b:Author>
    </b:Author>
    <b:PublicationTitle>Available at: https://www.federalregister.gov/documents/2018/07/27/2018-14985/medicare-program-revisions-to-payment-policies-under-the-physician-fee-schedule-and-other-revisions</b:PublicationTitle>
    <b:RefOrder>7</b:RefOrder>
  </b:Source>
  <b:Source>
    <b:Tag>Sta15</b:Tag>
    <b:SourceType>Misc</b:SourceType>
    <b:Guid>{1DAF1B14-0B68-4676-9107-E5854AB5151A}</b:Guid>
    <b:Author>
      <b:Author>
        <b:NameList>
          <b:Person>
            <b:Last>Stammen LA</b:Last>
            <b:First>Stalmeijer</b:First>
            <b:Middle>RE, Paternotte E, et al</b:Middle>
          </b:Person>
        </b:NameList>
      </b:Author>
    </b:Author>
    <b:Title>Training physicians to provide high-value, cost-conscious care: a systematic review</b:Title>
    <b:PublicationTitle>JAMA </b:PublicationTitle>
    <b:Year>2015</b:Year>
    <b:Volume>314</b:Volume>
    <b:StandardNumber>2384–400</b:StandardNumber>
    <b:RefOrder>8</b:RefOrder>
  </b:Source>
  <b:Source>
    <b:Tag>Mor17</b:Tag>
    <b:SourceType>Misc</b:SourceType>
    <b:Guid>{BBF2695F-4FDB-4305-800C-BEF14FCC2A11}</b:Guid>
    <b:Author>
      <b:Author>
        <b:NameList>
          <b:Person>
            <b:Last>Mora A</b:Last>
            <b:First>Krug</b:First>
            <b:Middle>BS, Grigonis AM, et al</b:Middle>
          </b:Person>
        </b:NameList>
      </b:Author>
    </b:Author>
    <b:Title>Optimizing laboratory test utilization in long-term acute care hospitals</b:Title>
    <b:PublicationTitle>Proc (Bayl Univ Med Cent)</b:PublicationTitle>
    <b:Year>2017</b:Year>
    <b:Volume>30</b:Volume>
    <b:Issue>1</b:Issue>
    <b:StandardNumber>26-29</b:StandardNumber>
    <b:RefOrder>9</b:RefOrder>
  </b:Source>
  <b:Source>
    <b:Tag>Roy2</b:Tag>
    <b:SourceType>Misc</b:SourceType>
    <b:Guid>{325D66A5-2845-46AB-A5EC-A26B73102172}</b:Guid>
    <b:Author>
      <b:Author>
        <b:Corporate>Royal College of Pathologists of Australasia</b:Corporate>
      </b:Author>
    </b:Author>
    <b:Title>Position Statement: Vitamin B12 and Folate testing – Use and interpretation</b:Title>
    <b:Year>2015</b:Year>
    <b:RefOrder>13</b:RefOrder>
  </b:Source>
  <b:Source>
    <b:Tag>Aus14</b:Tag>
    <b:SourceType>Misc</b:SourceType>
    <b:Guid>{E293C7F2-3938-41B6-BCB3-F75171A3ECB4}</b:Guid>
    <b:Author>
      <b:Author>
        <b:Corporate>Australian Government, Department of Health</b:Corporate>
      </b:Author>
    </b:Author>
    <b:Title>MBS Reviews Vitamin B12 Testing Report</b:Title>
    <b:Year>2014</b:Year>
    <b:RefOrder>15</b:RefOrder>
  </b:Source>
  <b:Source>
    <b:Tag>Cam15</b:Tag>
    <b:SourceType>ArticleInAPeriodical</b:SourceType>
    <b:Guid>{A8C7504F-D789-4BA4-BD22-06BE3740FDCD}</b:Guid>
    <b:Author>
      <b:Author>
        <b:NameList>
          <b:Person>
            <b:Last>Camaschella</b:Last>
            <b:First>C</b:First>
          </b:Person>
        </b:NameList>
      </b:Author>
    </b:Author>
    <b:Title>Iron-Deficiency Anemia</b:Title>
    <b:PeriodicalTitle>New England Journal of Medicine</b:PeriodicalTitle>
    <b:Year>2015</b:Year>
    <b:Volume>372</b:Volume>
    <b:Edition>1832-43</b:Edition>
    <b:RefOrder>26</b:RefOrder>
  </b:Source>
  <b:Source>
    <b:Tag>Leg90</b:Tag>
    <b:SourceType>Misc</b:SourceType>
    <b:Guid>{F851D68B-B262-4B89-9B8F-F2CA45F79AE3}</b:Guid>
    <b:Author>
      <b:Author>
        <b:NameList>
          <b:Person>
            <b:Last>Leggett BA</b:Last>
            <b:First>Halliday</b:First>
            <b:Middle>JW, Brown NN, et al</b:Middle>
          </b:Person>
        </b:NameList>
      </b:Author>
    </b:Author>
    <b:Title>Prevalence of haemochromatosis amongst asymptomatic Australians</b:Title>
    <b:PublicationTitle>Br J Haematol</b:PublicationTitle>
    <b:Year>1990</b:Year>
    <b:Volume>74</b:Volume>
    <b:Issue>4</b:Issue>
    <b:StandardNumber>525-30</b:StandardNumber>
    <b:RefOrder>27</b:RefOrder>
  </b:Source>
  <b:Source>
    <b:Tag>Aus13</b:Tag>
    <b:SourceType>Misc</b:SourceType>
    <b:Guid>{CB2A3B19-C876-4EC8-8AE5-275A108A630F}</b:Guid>
    <b:Author>
      <b:Author>
        <b:Corporate>Australian Bureau of Statistics</b:Corporate>
      </b:Author>
    </b:Author>
    <b:Title>Australian Health Survey: Biomedical Results for Nutrients, 2011-12  </b:Title>
    <b:Year>2013</b:Year>
    <b:RefOrder>28</b:RefOrder>
  </b:Source>
  <b:Source>
    <b:Tag>Now12</b:Tag>
    <b:SourceType>Misc</b:SourceType>
    <b:Guid>{B60DF8E1-CFAB-40FA-A11D-8AA595A91C68}</b:Guid>
    <b:Author>
      <b:Author>
        <b:NameList>
          <b:Person>
            <b:Last>Nowson CA</b:Last>
            <b:First>McGrath</b:First>
            <b:Middle>JJ, Ebeling PR, et al</b:Middle>
          </b:Person>
        </b:NameList>
      </b:Author>
    </b:Author>
    <b:Title>Vitamin D and health in adults in Australia and New Zealand: a position statement</b:Title>
    <b:PublicationTitle>Med J Aust</b:PublicationTitle>
    <b:Year>2012</b:Year>
    <b:Volume>196</b:Volume>
    <b:Issue>11</b:Issue>
    <b:StandardNumber>686-687</b:StandardNumber>
    <b:RefOrder>40</b:RefOrder>
  </b:Source>
  <b:Source>
    <b:Tag>Nat14</b:Tag>
    <b:SourceType>Misc</b:SourceType>
    <b:Guid>{74B1073A-CA97-40C4-94D5-F3D4598EF2B3}</b:Guid>
    <b:Author>
      <b:Author>
        <b:Corporate>National Institute for Health and Care Excellence (NICE)</b:Corporate>
      </b:Author>
    </b:Author>
    <b:Title>Vitamin D guideline</b:Title>
    <b:Year>2014</b:Year>
    <b:RefOrder>43</b:RefOrder>
  </b:Source>
  <b:Source>
    <b:Tag>Bai16</b:Tag>
    <b:SourceType>Misc</b:SourceType>
    <b:Guid>{51FC7F1D-6AAE-4F9E-AA51-08B3E17B706A}</b:Guid>
    <b:Author>
      <b:Author>
        <b:NameList>
          <b:Person>
            <b:Last>Baird-Gunning J</b:Last>
            <b:First>Bromley</b:First>
            <b:Middle>J</b:Middle>
          </b:Person>
        </b:NameList>
      </b:Author>
    </b:Author>
    <b:Title>Correcting iron deficiency</b:Title>
    <b:PublicationTitle>Aust Prescr</b:PublicationTitle>
    <b:Year>2016</b:Year>
    <b:Volume>39</b:Volume>
    <b:Issue>6</b:Issue>
    <b:StandardNumber>193–199</b:StandardNumber>
    <b:RefOrder>17</b:RefOrder>
  </b:Source>
  <b:Source>
    <b:Tag>Dig18</b:Tag>
    <b:SourceType>Misc</b:SourceType>
    <b:Guid>{07A7471F-8B66-492E-8C45-6DD0587A01BA}</b:Guid>
    <b:Title>Limitations of Serum Ferritin in Diagnosing Iron Deficiency in Inflammatory Conditions</b:Title>
    <b:Year>2018</b:Year>
    <b:StandardNumber>doi: 10.1155/2018/9394060</b:StandardNumber>
    <b:PublicationTitle>Int J Chronic Dis</b:PublicationTitle>
    <b:Volume>2018</b:Volume>
    <b:Author>
      <b:Author>
        <b:NameList>
          <b:Person>
            <b:Last>Dignass</b:Last>
            <b:First>A</b:First>
          </b:Person>
          <b:Person>
            <b:Last>Farrag</b:Last>
            <b:First>K</b:First>
          </b:Person>
          <b:Person>
            <b:Last>Stein</b:Last>
            <b:First>J</b:First>
          </b:Person>
        </b:NameList>
      </b:Author>
    </b:Author>
    <b:RefOrder>18</b:RefOrder>
  </b:Source>
  <b:Source>
    <b:Tag>Aus111</b:Tag>
    <b:SourceType>Misc</b:SourceType>
    <b:Guid>{FBC35A9F-D487-4747-B988-8A18288ABFC6}</b:Guid>
    <b:Author>
      <b:Author>
        <b:Corporate>Australian Government</b:Corporate>
      </b:Author>
    </b:Author>
    <b:Title>Pathology funding agreement between the Australian Government and the Australian Association of Pathology Practices and the Royal College of Pathologists of Australasia and the National Coalition of Public Pathology</b:Title>
    <b:Year>2011</b:Year>
    <b:RefOrder>12</b:RefOrder>
  </b:Source>
  <b:Source>
    <b:Tag>Med141</b:Tag>
    <b:SourceType>Misc</b:SourceType>
    <b:Guid>{74C6A545-5F16-42F5-9F04-DAE697893BD6}</b:Guid>
    <b:Author>
      <b:Author>
        <b:Corporate>Medical Services Advisory Committee</b:Corporate>
      </b:Author>
    </b:Author>
    <b:Title>61st MSAC Meeting 3-4 April 2014: Review of Vitamin B12 Testing</b:Title>
    <b:Year>2014</b:Year>
    <b:RefOrder>14</b:RefOrder>
  </b:Source>
  <b:Source>
    <b:Tag>Pas10</b:Tag>
    <b:SourceType>Misc</b:SourceType>
    <b:Guid>{8FE0061E-8622-4083-919D-D81FF4871EF2}</b:Guid>
    <b:Author>
      <b:Author>
        <b:NameList>
          <b:Person>
            <b:Last>Pasricha S-RS</b:Last>
            <b:First>Flecknoe-Brown</b:First>
            <b:Middle>SC, Allen KJ, et al</b:Middle>
          </b:Person>
        </b:NameList>
      </b:Author>
    </b:Author>
    <b:Title>Diagnosis and management of iron deficiency anaemia: a clinical update</b:Title>
    <b:PublicationTitle>Med J Aust</b:PublicationTitle>
    <b:Year>2010</b:Year>
    <b:Volume>193 </b:Volume>
    <b:Issue>9</b:Issue>
    <b:StandardNumber>525-532</b:StandardNumber>
    <b:RefOrder>16</b:RefOrder>
  </b:Source>
  <b:Source>
    <b:Tag>The13</b:Tag>
    <b:SourceType>Misc</b:SourceType>
    <b:Guid>{658C71BF-1A8D-49BA-8E97-4EDED79BDF51}</b:Guid>
    <b:Author>
      <b:Author>
        <b:Corporate>Royal College of Pathologists of Australasia and Australian Doctor</b:Corporate>
      </b:Author>
    </b:Author>
    <b:Title>Interpreting serum ferritin</b:Title>
    <b:PublicationTitle>Common sense pathology</b:PublicationTitle>
    <b:Year>Oct 2013</b:Year>
    <b:RefOrder>19</b:RefOrder>
  </b:Source>
  <b:Source>
    <b:Tag>Gas</b:Tag>
    <b:SourceType>Report</b:SourceType>
    <b:Guid>{680656A4-FEEB-4BE3-85FB-55114E335EC2}</b:Guid>
    <b:Author>
      <b:Author>
        <b:Corporate>Gastroenterological Society of Australia</b:Corporate>
      </b:Author>
    </b:Author>
    <b:Title>Iron Deficiency: clinical update</b:Title>
    <b:Year>Oct 2015</b:Year>
    <b:RefOrder>20</b:RefOrder>
  </b:Source>
  <b:Source>
    <b:Tag>Sri17</b:Tag>
    <b:SourceType>Misc</b:SourceType>
    <b:Guid>{87929970-73A0-4D4E-9F81-D6E3FC04E5F5}</b:Guid>
    <b:Author>
      <b:Author>
        <b:NameList>
          <b:Person>
            <b:Last>Srirangam V</b:Last>
            <b:First>Rai</b:First>
            <b:Middle>BP, Abroaf A, et al</b:Middle>
          </b:Person>
        </b:NameList>
      </b:Author>
    </b:Author>
    <b:Title>Atypical Small Acinar Proliferation and High Grade Prostatic Intraepithelial Neoplasia: Should We Be Concerned? An Observational Cohort Study with a Minimum Follow-Up of 3 Years</b:Title>
    <b:PublicationTitle>Curr Urol</b:PublicationTitle>
    <b:Year>2017</b:Year>
    <b:Volume>10</b:Volume>
    <b:Issue>4</b:Issue>
    <b:StandardNumber>199-205</b:StandardNumber>
    <b:RefOrder>47</b:RefOrder>
  </b:Source>
</b:Sources>
</file>

<file path=customXml/itemProps1.xml><?xml version="1.0" encoding="utf-8"?>
<ds:datastoreItem xmlns:ds="http://schemas.openxmlformats.org/officeDocument/2006/customXml" ds:itemID="{99FE51B9-1A9B-4F45-828E-7F00A1F7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83640</Words>
  <Characters>484276</Characters>
  <Application>Microsoft Office Word</Application>
  <DocSecurity>0</DocSecurity>
  <Lines>11006</Lines>
  <Paragraphs>4895</Paragraphs>
  <ScaleCrop>false</ScaleCrop>
  <HeadingPairs>
    <vt:vector size="2" baseType="variant">
      <vt:variant>
        <vt:lpstr>Title</vt:lpstr>
      </vt:variant>
      <vt:variant>
        <vt:i4>1</vt:i4>
      </vt:variant>
    </vt:vector>
  </HeadingPairs>
  <TitlesOfParts>
    <vt:vector size="1" baseType="lpstr">
      <vt:lpstr>Medicare Benefits Schedule Review Taskforce - Report from the Diagnostic Medicine Clinical Committee</vt:lpstr>
    </vt:vector>
  </TitlesOfParts>
  <Company/>
  <LinksUpToDate>false</LinksUpToDate>
  <CharactersWithSpaces>563021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 Report from the Diagnostic Medicine Clinical Committee</dc:title>
  <dc:subject>Medicare Benefits Schedule Review Taskforce</dc:subject>
  <dc:creator>Australian Government Department of Health</dc:creator>
  <cp:keywords>Diagnostic Medicine Clinical Committee; Review; Report</cp:keywords>
  <cp:lastModifiedBy>MASCHKE, Elvia</cp:lastModifiedBy>
  <cp:revision>2</cp:revision>
  <cp:lastPrinted>2018-09-26T01:09:00Z</cp:lastPrinted>
  <dcterms:created xsi:type="dcterms:W3CDTF">2020-12-02T05:26:00Z</dcterms:created>
  <dcterms:modified xsi:type="dcterms:W3CDTF">2020-12-02T05:26:00Z</dcterms:modified>
  <cp:category/>
  <cp:contentStatus>Final</cp:contentStatus>
</cp:coreProperties>
</file>