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3433997"/>
    <w:bookmarkStart w:id="1" w:name="_Toc448369494"/>
    <w:bookmarkStart w:id="2" w:name="_Toc427153112"/>
    <w:bookmarkEnd w:id="0"/>
    <w:p w14:paraId="1A2D674A" w14:textId="77777777" w:rsidR="008A49F1" w:rsidRPr="00967B4E" w:rsidRDefault="005C7FB0" w:rsidP="00967B4E">
      <w:r w:rsidRPr="00967B4E">
        <w:rPr>
          <w:noProof/>
        </w:rPr>
        <mc:AlternateContent>
          <mc:Choice Requires="wps">
            <w:drawing>
              <wp:anchor distT="0" distB="0" distL="114300" distR="114300" simplePos="0" relativeHeight="251660288" behindDoc="0" locked="0" layoutInCell="1" allowOverlap="1" wp14:anchorId="2FAB5BF6" wp14:editId="22271220">
                <wp:simplePos x="0" y="0"/>
                <wp:positionH relativeFrom="margin">
                  <wp:align>left</wp:align>
                </wp:positionH>
                <wp:positionV relativeFrom="page">
                  <wp:posOffset>2703195</wp:posOffset>
                </wp:positionV>
                <wp:extent cx="5255895" cy="49053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4905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D9BD" w14:textId="77777777" w:rsidR="0087705D" w:rsidRPr="00967B4E" w:rsidRDefault="0087705D" w:rsidP="00967B4E">
                            <w:pPr>
                              <w:pStyle w:val="CoverH1White"/>
                            </w:pPr>
                            <w:r w:rsidRPr="005C7FB0">
                              <w:t>Medicare Benefits Schedule Review Taskforce</w:t>
                            </w:r>
                          </w:p>
                          <w:p w14:paraId="0D47E3FB" w14:textId="0FD7A115" w:rsidR="0087705D" w:rsidRPr="000D17AB" w:rsidRDefault="0087705D" w:rsidP="00967B4E">
                            <w:pPr>
                              <w:pStyle w:val="CoverH1Green"/>
                            </w:pPr>
                            <w:bookmarkStart w:id="3" w:name="_GoBack"/>
                            <w:r w:rsidRPr="00B62E0F">
                              <w:t xml:space="preserve">Taskforce </w:t>
                            </w:r>
                            <w:r w:rsidRPr="00967B4E">
                              <w:t>Report</w:t>
                            </w:r>
                            <w:r w:rsidRPr="00B62E0F">
                              <w:t xml:space="preserve"> fo</w:t>
                            </w:r>
                            <w:r>
                              <w:t>r Blood Product</w:t>
                            </w:r>
                            <w:r w:rsidRPr="000D17AB">
                              <w:t xml:space="preserve"> </w:t>
                            </w:r>
                            <w:r>
                              <w:t>Items</w:t>
                            </w:r>
                          </w:p>
                          <w:bookmarkEnd w:id="3"/>
                          <w:p w14:paraId="1A01D021" w14:textId="2ABAE187" w:rsidR="0087705D" w:rsidRPr="00967B4E" w:rsidRDefault="0087705D" w:rsidP="00967B4E">
                            <w:pPr>
                              <w:pStyle w:val="Coverdate"/>
                            </w:pPr>
                            <w:r w:rsidRPr="00967B4E">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B5BF6" id="_x0000_t202" coordsize="21600,21600" o:spt="202" path="m,l,21600r21600,l21600,xe">
                <v:stroke joinstyle="miter"/>
                <v:path gradientshapeok="t" o:connecttype="rect"/>
              </v:shapetype>
              <v:shape id="Text Box 11" o:spid="_x0000_s1026" type="#_x0000_t202" style="position:absolute;margin-left:0;margin-top:212.85pt;width:413.85pt;height:38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o9eAIAAFwFAAAOAAAAZHJzL2Uyb0RvYy54bWysVFFPGzEMfp+0/xDlfVzb9QZUXFEHYpqE&#10;AA0mntNcQk9L4ixxe9f9epzctXRsL0x7uXPsz4792c7ZeWcN26gQG3AVHx+NOFNOQt24p4p/f7j6&#10;cMJZROFqYcCpim9V5Ofz9+/OWj9TE1iBqVVgFMTFWesrvkL0s6KIcqWsiEfglSOjhmAF0jE8FXUQ&#10;LUW3ppiMRp+KFkLtA0gVI2kveyOf5/haK4m3WkeFzFSccsP8Dfm7TN9ifiZmT0H4VSOHNMQ/ZGFF&#10;4+jSfahLgYKtQ/NHKNvIABE0HkmwBWjdSJVroGrGo1fV3K+EV7kWIif6PU3x/4WVN5u7wJqaejfm&#10;zAlLPXpQHbLP0DFSET+tjzOC3XsCYkd6wu70kZSp7E4Hm/5UECM7Mb3ds5uiSVKWk7I8OS05k2Sb&#10;no7Kj8dlilO8uPsQ8YsCy5JQ8UDty6yKzXXEHrqDpNscXDXG5BYa95uCYvYalWdg8E6V9BlnCbdG&#10;JS/jvilNHOTEkyJPn7owgW0EzY2QUjnMNee4hE4oTXe/xXHAJ9c+q7c47z3yzeBw72wbByGz9Crt&#10;+scuZd3jieqDupOI3bIbOryEeksNDtCvSPTyqqEmXIuIdyLQTlBPac/xlj7aQFtxGCTOVhB+/U2f&#10;8DSqZOWspR2rePy5FkFxZr46GuLT8XSaljIfpuXxhA7h0LI8tLi1vQBqB80pZZfFhEezE3UA+0jP&#10;wSLdSibhJN1dcdyJF9hvPj0nUi0WGURr6AVeu3svU+hEbxqxh+5RBD/MIdII38BuG8Xs1Tj22OTp&#10;YLFG0E2e1URwz+pAPK1wnvbhuUlvxOE5o14exfkzAAAA//8DAFBLAwQUAAYACAAAACEAzf2LAN4A&#10;AAAJAQAADwAAAGRycy9kb3ducmV2LnhtbEyPwW7CMBBE75X6D9ZW4lZsIighxEFVK66tCrQSNxMv&#10;SdR4HcWGpH/f7ancdjSj2Tf5ZnStuGIfGk8aZlMFAqn0tqFKw2G/fUxBhGjImtYTavjBAJvi/i43&#10;mfUDfeB1FyvBJRQyo6GOscukDGWNzoSp75DYO/vemciyr6TtzcDlrpWJUk/SmYb4Q206fKmx/N5d&#10;nIbPt/Pxa67eq1e36AY/KkluJbWePIzPaxARx/gfhj98RoeCmU7+QjaIVgMPiRrmyWIJgu00WfJx&#10;4txslSYgi1zeLih+AQAA//8DAFBLAQItABQABgAIAAAAIQC2gziS/gAAAOEBAAATAAAAAAAAAAAA&#10;AAAAAAAAAABbQ29udGVudF9UeXBlc10ueG1sUEsBAi0AFAAGAAgAAAAhADj9If/WAAAAlAEAAAsA&#10;AAAAAAAAAAAAAAAALwEAAF9yZWxzLy5yZWxzUEsBAi0AFAAGAAgAAAAhAPiQmj14AgAAXAUAAA4A&#10;AAAAAAAAAAAAAAAALgIAAGRycy9lMm9Eb2MueG1sUEsBAi0AFAAGAAgAAAAhAM39iwDeAAAACQEA&#10;AA8AAAAAAAAAAAAAAAAA0gQAAGRycy9kb3ducmV2LnhtbFBLBQYAAAAABAAEAPMAAADdBQAAAAA=&#10;" filled="f" stroked="f">
                <v:textbox>
                  <w:txbxContent>
                    <w:p w14:paraId="0A62D9BD" w14:textId="77777777" w:rsidR="0087705D" w:rsidRPr="00967B4E" w:rsidRDefault="0087705D" w:rsidP="00967B4E">
                      <w:pPr>
                        <w:pStyle w:val="CoverH1White"/>
                      </w:pPr>
                      <w:r w:rsidRPr="005C7FB0">
                        <w:t>Medicare Benefits Schedule Review Taskforce</w:t>
                      </w:r>
                    </w:p>
                    <w:p w14:paraId="0D47E3FB" w14:textId="0FD7A115" w:rsidR="0087705D" w:rsidRPr="000D17AB" w:rsidRDefault="0087705D" w:rsidP="00967B4E">
                      <w:pPr>
                        <w:pStyle w:val="CoverH1Green"/>
                      </w:pPr>
                      <w:r w:rsidRPr="00B62E0F">
                        <w:t xml:space="preserve">Taskforce </w:t>
                      </w:r>
                      <w:r w:rsidRPr="00967B4E">
                        <w:t>Report</w:t>
                      </w:r>
                      <w:r w:rsidRPr="00B62E0F">
                        <w:t xml:space="preserve"> fo</w:t>
                      </w:r>
                      <w:r>
                        <w:t>r Blood Product</w:t>
                      </w:r>
                      <w:r w:rsidRPr="000D17AB">
                        <w:t xml:space="preserve"> </w:t>
                      </w:r>
                      <w:r>
                        <w:t>Items</w:t>
                      </w:r>
                    </w:p>
                    <w:p w14:paraId="1A01D021" w14:textId="2ABAE187" w:rsidR="0087705D" w:rsidRPr="00967B4E" w:rsidRDefault="0087705D" w:rsidP="00967B4E">
                      <w:pPr>
                        <w:pStyle w:val="Coverdate"/>
                      </w:pPr>
                      <w:r w:rsidRPr="00967B4E">
                        <w:t>2019</w:t>
                      </w:r>
                    </w:p>
                  </w:txbxContent>
                </v:textbox>
                <w10:wrap type="square" anchorx="margin" anchory="page"/>
              </v:shape>
            </w:pict>
          </mc:Fallback>
        </mc:AlternateContent>
      </w:r>
      <w:r w:rsidR="008A49F1" w:rsidRPr="00967B4E">
        <w:br w:type="page"/>
      </w:r>
    </w:p>
    <w:p w14:paraId="6F05E2C7" w14:textId="77777777" w:rsidR="00013B42" w:rsidRDefault="00013B42" w:rsidP="00013B42">
      <w:pPr>
        <w:pStyle w:val="BoxText0"/>
        <w:pBdr>
          <w:top w:val="single" w:sz="12" w:space="4" w:color="984806"/>
          <w:left w:val="single" w:sz="12" w:space="4" w:color="984806"/>
          <w:bottom w:val="single" w:sz="12" w:space="4" w:color="984806"/>
          <w:right w:val="single" w:sz="12" w:space="4" w:color="984806"/>
        </w:pBdr>
        <w:rPr>
          <w:rFonts w:cs="Arial"/>
          <w:b/>
          <w:bCs/>
          <w:color w:val="01653F"/>
          <w:sz w:val="32"/>
          <w:szCs w:val="28"/>
        </w:rPr>
      </w:pPr>
      <w:r w:rsidRPr="003B1222">
        <w:rPr>
          <w:rFonts w:cs="Arial"/>
          <w:b/>
          <w:bCs/>
          <w:color w:val="01653F"/>
          <w:sz w:val="32"/>
          <w:szCs w:val="28"/>
        </w:rPr>
        <w:lastRenderedPageBreak/>
        <w:t>Important note</w:t>
      </w:r>
    </w:p>
    <w:p w14:paraId="575E7EE0" w14:textId="77777777" w:rsidR="00761CF2" w:rsidRDefault="00B62E0F" w:rsidP="00B62E0F">
      <w:pPr>
        <w:pStyle w:val="BoxText0"/>
        <w:pBdr>
          <w:top w:val="single" w:sz="12" w:space="4" w:color="984806"/>
          <w:left w:val="single" w:sz="12" w:space="4" w:color="984806"/>
          <w:bottom w:val="single" w:sz="12" w:space="4" w:color="984806"/>
          <w:right w:val="single" w:sz="12" w:space="4" w:color="984806"/>
        </w:pBdr>
      </w:pPr>
      <w:r>
        <w:t xml:space="preserve">This Report contains the final recommendations from the MBS Review Taskforce following the consultation of the </w:t>
      </w:r>
      <w:r w:rsidR="00761CF2">
        <w:t>Blood Products Working Group</w:t>
      </w:r>
      <w:r>
        <w:t xml:space="preserve"> Report with stakeholders. This report has now been forwarded to the Government for consideration. </w:t>
      </w:r>
    </w:p>
    <w:p w14:paraId="5C413EE4" w14:textId="76A5F2BF" w:rsidR="00B62E0F" w:rsidRDefault="00B62E0F" w:rsidP="00B62E0F">
      <w:pPr>
        <w:pStyle w:val="BoxText0"/>
        <w:pBdr>
          <w:top w:val="single" w:sz="12" w:space="4" w:color="984806"/>
          <w:left w:val="single" w:sz="12" w:space="4" w:color="984806"/>
          <w:bottom w:val="single" w:sz="12" w:space="4" w:color="984806"/>
          <w:right w:val="single" w:sz="12" w:space="4" w:color="984806"/>
        </w:pBdr>
      </w:pPr>
      <w:r>
        <w:t xml:space="preserve">The Taskforce welcomes ongoing feedback on this or any MBS Review report via mbsreviews@health.gov.au. </w:t>
      </w:r>
    </w:p>
    <w:p w14:paraId="68951D27" w14:textId="77777777" w:rsidR="00761CF2" w:rsidRDefault="00761CF2" w:rsidP="00B62E0F">
      <w:pPr>
        <w:pStyle w:val="BoxText0"/>
        <w:pBdr>
          <w:top w:val="single" w:sz="12" w:space="4" w:color="984806"/>
          <w:left w:val="single" w:sz="12" w:space="4" w:color="984806"/>
          <w:bottom w:val="single" w:sz="12" w:space="4" w:color="984806"/>
          <w:right w:val="single" w:sz="12" w:space="4" w:color="984806"/>
        </w:pBdr>
      </w:pPr>
      <w:r>
        <w:t>Confidentiality of comments:</w:t>
      </w:r>
    </w:p>
    <w:p w14:paraId="35EDDD4C" w14:textId="2EEA2B8A" w:rsidR="00B62E0F" w:rsidRDefault="00B62E0F" w:rsidP="00B62E0F">
      <w:pPr>
        <w:pStyle w:val="BoxText0"/>
        <w:pBdr>
          <w:top w:val="single" w:sz="12" w:space="4" w:color="984806"/>
          <w:left w:val="single" w:sz="12" w:space="4" w:color="984806"/>
          <w:bottom w:val="single" w:sz="12" w:space="4" w:color="984806"/>
          <w:right w:val="single" w:sz="12" w:space="4" w:color="984806"/>
        </w:pBdr>
      </w:pPr>
      <w:r>
        <w:t xml:space="preserve">If you would like your feedback to remain confidential, please mark it as such. It is important to be aware that confidential feedback may still be subject to access under freedom of information law. </w:t>
      </w:r>
    </w:p>
    <w:p w14:paraId="0A62B7A7" w14:textId="77777777" w:rsidR="009B4B96" w:rsidRPr="006A6CBD" w:rsidRDefault="009B4B96" w:rsidP="006A6CBD">
      <w:pPr>
        <w:pStyle w:val="Footer"/>
        <w:spacing w:line="276" w:lineRule="auto"/>
        <w:sectPr w:rsidR="009B4B96" w:rsidRPr="006A6CBD" w:rsidSect="00562806">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sidRPr="006A6CBD">
        <w:br w:type="page"/>
      </w:r>
    </w:p>
    <w:p w14:paraId="082C3C7E" w14:textId="4E059E5D" w:rsidR="00C56DF9" w:rsidRPr="006A6CBD" w:rsidRDefault="00C56DF9" w:rsidP="006A6CBD">
      <w:pPr>
        <w:pStyle w:val="TOCHeading"/>
        <w:spacing w:line="276" w:lineRule="auto"/>
      </w:pPr>
      <w:r w:rsidRPr="006A6CBD">
        <w:lastRenderedPageBreak/>
        <w:t xml:space="preserve">Table of </w:t>
      </w:r>
      <w:r w:rsidR="005C2F46" w:rsidRPr="006A6CBD">
        <w:t>c</w:t>
      </w:r>
      <w:r w:rsidRPr="006A6CBD">
        <w:t>ontents</w:t>
      </w:r>
      <w:bookmarkEnd w:id="1"/>
    </w:p>
    <w:p w14:paraId="792A4F0A" w14:textId="39DC7672" w:rsidR="008844A0" w:rsidRDefault="00A0282E">
      <w:pPr>
        <w:pStyle w:val="TOC1"/>
        <w:rPr>
          <w:rFonts w:eastAsiaTheme="minorEastAsia" w:cstheme="minorBidi"/>
          <w:b w:val="0"/>
        </w:rPr>
      </w:pPr>
      <w:r w:rsidRPr="006A6CBD">
        <w:rPr>
          <w:noProof w:val="0"/>
        </w:rPr>
        <w:fldChar w:fldCharType="begin"/>
      </w:r>
      <w:r w:rsidRPr="006A6CBD">
        <w:rPr>
          <w:noProof w:val="0"/>
        </w:rPr>
        <w:instrText xml:space="preserve"> TOC \o "1-3" \h \z \u </w:instrText>
      </w:r>
      <w:r w:rsidRPr="006A6CBD">
        <w:rPr>
          <w:noProof w:val="0"/>
        </w:rPr>
        <w:fldChar w:fldCharType="separate"/>
      </w:r>
      <w:hyperlink w:anchor="_Toc8995593" w:history="1">
        <w:r w:rsidR="008844A0" w:rsidRPr="001356C6">
          <w:rPr>
            <w:rStyle w:val="Hyperlink"/>
          </w:rPr>
          <w:t>1</w:t>
        </w:r>
        <w:r w:rsidR="008844A0">
          <w:rPr>
            <w:rFonts w:eastAsiaTheme="minorEastAsia" w:cstheme="minorBidi"/>
            <w:b w:val="0"/>
          </w:rPr>
          <w:tab/>
        </w:r>
        <w:r w:rsidR="008844A0" w:rsidRPr="001356C6">
          <w:rPr>
            <w:rStyle w:val="Hyperlink"/>
          </w:rPr>
          <w:t>Executive summary</w:t>
        </w:r>
        <w:r w:rsidR="008844A0">
          <w:rPr>
            <w:webHidden/>
          </w:rPr>
          <w:tab/>
        </w:r>
        <w:r w:rsidR="008844A0">
          <w:rPr>
            <w:webHidden/>
          </w:rPr>
          <w:fldChar w:fldCharType="begin"/>
        </w:r>
        <w:r w:rsidR="008844A0">
          <w:rPr>
            <w:webHidden/>
          </w:rPr>
          <w:instrText xml:space="preserve"> PAGEREF _Toc8995593 \h </w:instrText>
        </w:r>
        <w:r w:rsidR="008844A0">
          <w:rPr>
            <w:webHidden/>
          </w:rPr>
        </w:r>
        <w:r w:rsidR="008844A0">
          <w:rPr>
            <w:webHidden/>
          </w:rPr>
          <w:fldChar w:fldCharType="separate"/>
        </w:r>
        <w:r w:rsidR="00013B42">
          <w:rPr>
            <w:webHidden/>
          </w:rPr>
          <w:t>5</w:t>
        </w:r>
        <w:r w:rsidR="008844A0">
          <w:rPr>
            <w:webHidden/>
          </w:rPr>
          <w:fldChar w:fldCharType="end"/>
        </w:r>
      </w:hyperlink>
    </w:p>
    <w:p w14:paraId="67271DC7" w14:textId="769A47D9" w:rsidR="008844A0" w:rsidRDefault="008B5FBB">
      <w:pPr>
        <w:pStyle w:val="TOC2"/>
        <w:tabs>
          <w:tab w:val="left" w:pos="1474"/>
          <w:tab w:val="right" w:leader="dot" w:pos="8302"/>
        </w:tabs>
        <w:rPr>
          <w:rFonts w:eastAsiaTheme="minorEastAsia" w:cstheme="minorBidi"/>
        </w:rPr>
      </w:pPr>
      <w:hyperlink w:anchor="_Toc8995594" w:history="1">
        <w:r w:rsidR="008844A0" w:rsidRPr="001356C6">
          <w:rPr>
            <w:rStyle w:val="Hyperlink"/>
          </w:rPr>
          <w:t>1.1</w:t>
        </w:r>
        <w:r w:rsidR="008844A0">
          <w:rPr>
            <w:rFonts w:eastAsiaTheme="minorEastAsia" w:cstheme="minorBidi"/>
          </w:rPr>
          <w:tab/>
        </w:r>
        <w:r w:rsidR="008844A0" w:rsidRPr="001356C6">
          <w:rPr>
            <w:rStyle w:val="Hyperlink"/>
          </w:rPr>
          <w:t>Key recommendations</w:t>
        </w:r>
        <w:r w:rsidR="008844A0">
          <w:rPr>
            <w:webHidden/>
          </w:rPr>
          <w:tab/>
        </w:r>
        <w:r w:rsidR="008844A0">
          <w:rPr>
            <w:webHidden/>
          </w:rPr>
          <w:fldChar w:fldCharType="begin"/>
        </w:r>
        <w:r w:rsidR="008844A0">
          <w:rPr>
            <w:webHidden/>
          </w:rPr>
          <w:instrText xml:space="preserve"> PAGEREF _Toc8995594 \h </w:instrText>
        </w:r>
        <w:r w:rsidR="008844A0">
          <w:rPr>
            <w:webHidden/>
          </w:rPr>
        </w:r>
        <w:r w:rsidR="008844A0">
          <w:rPr>
            <w:webHidden/>
          </w:rPr>
          <w:fldChar w:fldCharType="separate"/>
        </w:r>
        <w:r w:rsidR="00013B42">
          <w:rPr>
            <w:webHidden/>
          </w:rPr>
          <w:t>5</w:t>
        </w:r>
        <w:r w:rsidR="008844A0">
          <w:rPr>
            <w:webHidden/>
          </w:rPr>
          <w:fldChar w:fldCharType="end"/>
        </w:r>
      </w:hyperlink>
    </w:p>
    <w:p w14:paraId="62AE51E7" w14:textId="3BEAAF1E" w:rsidR="008844A0" w:rsidRDefault="008B5FBB">
      <w:pPr>
        <w:pStyle w:val="TOC2"/>
        <w:tabs>
          <w:tab w:val="left" w:pos="1474"/>
          <w:tab w:val="right" w:leader="dot" w:pos="8302"/>
        </w:tabs>
        <w:rPr>
          <w:rFonts w:eastAsiaTheme="minorEastAsia" w:cstheme="minorBidi"/>
        </w:rPr>
      </w:pPr>
      <w:hyperlink w:anchor="_Toc8995595" w:history="1">
        <w:r w:rsidR="008844A0" w:rsidRPr="001356C6">
          <w:rPr>
            <w:rStyle w:val="Hyperlink"/>
          </w:rPr>
          <w:t>1.2</w:t>
        </w:r>
        <w:r w:rsidR="008844A0">
          <w:rPr>
            <w:rFonts w:eastAsiaTheme="minorEastAsia" w:cstheme="minorBidi"/>
          </w:rPr>
          <w:tab/>
        </w:r>
        <w:r w:rsidR="008844A0" w:rsidRPr="001356C6">
          <w:rPr>
            <w:rStyle w:val="Hyperlink"/>
          </w:rPr>
          <w:t>Consumer impact</w:t>
        </w:r>
        <w:r w:rsidR="008844A0">
          <w:rPr>
            <w:webHidden/>
          </w:rPr>
          <w:tab/>
        </w:r>
        <w:r w:rsidR="008844A0">
          <w:rPr>
            <w:webHidden/>
          </w:rPr>
          <w:fldChar w:fldCharType="begin"/>
        </w:r>
        <w:r w:rsidR="008844A0">
          <w:rPr>
            <w:webHidden/>
          </w:rPr>
          <w:instrText xml:space="preserve"> PAGEREF _Toc8995595 \h </w:instrText>
        </w:r>
        <w:r w:rsidR="008844A0">
          <w:rPr>
            <w:webHidden/>
          </w:rPr>
        </w:r>
        <w:r w:rsidR="008844A0">
          <w:rPr>
            <w:webHidden/>
          </w:rPr>
          <w:fldChar w:fldCharType="separate"/>
        </w:r>
        <w:r w:rsidR="00013B42">
          <w:rPr>
            <w:webHidden/>
          </w:rPr>
          <w:t>6</w:t>
        </w:r>
        <w:r w:rsidR="008844A0">
          <w:rPr>
            <w:webHidden/>
          </w:rPr>
          <w:fldChar w:fldCharType="end"/>
        </w:r>
      </w:hyperlink>
    </w:p>
    <w:p w14:paraId="5488F95D" w14:textId="64A31052" w:rsidR="008844A0" w:rsidRDefault="008B5FBB">
      <w:pPr>
        <w:pStyle w:val="TOC1"/>
        <w:rPr>
          <w:rFonts w:eastAsiaTheme="minorEastAsia" w:cstheme="minorBidi"/>
          <w:b w:val="0"/>
        </w:rPr>
      </w:pPr>
      <w:hyperlink w:anchor="_Toc8995596" w:history="1">
        <w:r w:rsidR="008844A0" w:rsidRPr="001356C6">
          <w:rPr>
            <w:rStyle w:val="Hyperlink"/>
          </w:rPr>
          <w:t>2</w:t>
        </w:r>
        <w:r w:rsidR="008844A0">
          <w:rPr>
            <w:rFonts w:eastAsiaTheme="minorEastAsia" w:cstheme="minorBidi"/>
            <w:b w:val="0"/>
          </w:rPr>
          <w:tab/>
        </w:r>
        <w:r w:rsidR="008844A0" w:rsidRPr="001356C6">
          <w:rPr>
            <w:rStyle w:val="Hyperlink"/>
          </w:rPr>
          <w:t>About the Medicare Benefits Schedule (MBS) Review</w:t>
        </w:r>
        <w:r w:rsidR="008844A0">
          <w:rPr>
            <w:webHidden/>
          </w:rPr>
          <w:tab/>
        </w:r>
        <w:r w:rsidR="008844A0">
          <w:rPr>
            <w:webHidden/>
          </w:rPr>
          <w:fldChar w:fldCharType="begin"/>
        </w:r>
        <w:r w:rsidR="008844A0">
          <w:rPr>
            <w:webHidden/>
          </w:rPr>
          <w:instrText xml:space="preserve"> PAGEREF _Toc8995596 \h </w:instrText>
        </w:r>
        <w:r w:rsidR="008844A0">
          <w:rPr>
            <w:webHidden/>
          </w:rPr>
        </w:r>
        <w:r w:rsidR="008844A0">
          <w:rPr>
            <w:webHidden/>
          </w:rPr>
          <w:fldChar w:fldCharType="separate"/>
        </w:r>
        <w:r w:rsidR="00013B42">
          <w:rPr>
            <w:webHidden/>
          </w:rPr>
          <w:t>7</w:t>
        </w:r>
        <w:r w:rsidR="008844A0">
          <w:rPr>
            <w:webHidden/>
          </w:rPr>
          <w:fldChar w:fldCharType="end"/>
        </w:r>
      </w:hyperlink>
    </w:p>
    <w:p w14:paraId="25D33496" w14:textId="06728C1A" w:rsidR="008844A0" w:rsidRDefault="008B5FBB">
      <w:pPr>
        <w:pStyle w:val="TOC2"/>
        <w:tabs>
          <w:tab w:val="left" w:pos="1474"/>
          <w:tab w:val="right" w:leader="dot" w:pos="8302"/>
        </w:tabs>
        <w:rPr>
          <w:rFonts w:eastAsiaTheme="minorEastAsia" w:cstheme="minorBidi"/>
        </w:rPr>
      </w:pPr>
      <w:hyperlink w:anchor="_Toc8995597" w:history="1">
        <w:r w:rsidR="008844A0" w:rsidRPr="001356C6">
          <w:rPr>
            <w:rStyle w:val="Hyperlink"/>
          </w:rPr>
          <w:t>2.1</w:t>
        </w:r>
        <w:r w:rsidR="008844A0">
          <w:rPr>
            <w:rFonts w:eastAsiaTheme="minorEastAsia" w:cstheme="minorBidi"/>
          </w:rPr>
          <w:tab/>
        </w:r>
        <w:r w:rsidR="008844A0" w:rsidRPr="001356C6">
          <w:rPr>
            <w:rStyle w:val="Hyperlink"/>
          </w:rPr>
          <w:t>What is Medicare?</w:t>
        </w:r>
        <w:r w:rsidR="008844A0">
          <w:rPr>
            <w:webHidden/>
          </w:rPr>
          <w:tab/>
        </w:r>
        <w:r w:rsidR="008844A0">
          <w:rPr>
            <w:webHidden/>
          </w:rPr>
          <w:fldChar w:fldCharType="begin"/>
        </w:r>
        <w:r w:rsidR="008844A0">
          <w:rPr>
            <w:webHidden/>
          </w:rPr>
          <w:instrText xml:space="preserve"> PAGEREF _Toc8995597 \h </w:instrText>
        </w:r>
        <w:r w:rsidR="008844A0">
          <w:rPr>
            <w:webHidden/>
          </w:rPr>
        </w:r>
        <w:r w:rsidR="008844A0">
          <w:rPr>
            <w:webHidden/>
          </w:rPr>
          <w:fldChar w:fldCharType="separate"/>
        </w:r>
        <w:r w:rsidR="00013B42">
          <w:rPr>
            <w:webHidden/>
          </w:rPr>
          <w:t>7</w:t>
        </w:r>
        <w:r w:rsidR="008844A0">
          <w:rPr>
            <w:webHidden/>
          </w:rPr>
          <w:fldChar w:fldCharType="end"/>
        </w:r>
      </w:hyperlink>
    </w:p>
    <w:p w14:paraId="32952321" w14:textId="7CDF6A38" w:rsidR="008844A0" w:rsidRDefault="008B5FBB">
      <w:pPr>
        <w:pStyle w:val="TOC2"/>
        <w:tabs>
          <w:tab w:val="left" w:pos="1474"/>
          <w:tab w:val="right" w:leader="dot" w:pos="8302"/>
        </w:tabs>
        <w:rPr>
          <w:rFonts w:eastAsiaTheme="minorEastAsia" w:cstheme="minorBidi"/>
        </w:rPr>
      </w:pPr>
      <w:hyperlink w:anchor="_Toc8995598" w:history="1">
        <w:r w:rsidR="008844A0" w:rsidRPr="001356C6">
          <w:rPr>
            <w:rStyle w:val="Hyperlink"/>
          </w:rPr>
          <w:t>2.2</w:t>
        </w:r>
        <w:r w:rsidR="008844A0">
          <w:rPr>
            <w:rFonts w:eastAsiaTheme="minorEastAsia" w:cstheme="minorBidi"/>
          </w:rPr>
          <w:tab/>
        </w:r>
        <w:r w:rsidR="008844A0" w:rsidRPr="001356C6">
          <w:rPr>
            <w:rStyle w:val="Hyperlink"/>
          </w:rPr>
          <w:t>What is the MBS?</w:t>
        </w:r>
        <w:r w:rsidR="008844A0">
          <w:rPr>
            <w:webHidden/>
          </w:rPr>
          <w:tab/>
        </w:r>
        <w:r w:rsidR="008844A0">
          <w:rPr>
            <w:webHidden/>
          </w:rPr>
          <w:fldChar w:fldCharType="begin"/>
        </w:r>
        <w:r w:rsidR="008844A0">
          <w:rPr>
            <w:webHidden/>
          </w:rPr>
          <w:instrText xml:space="preserve"> PAGEREF _Toc8995598 \h </w:instrText>
        </w:r>
        <w:r w:rsidR="008844A0">
          <w:rPr>
            <w:webHidden/>
          </w:rPr>
        </w:r>
        <w:r w:rsidR="008844A0">
          <w:rPr>
            <w:webHidden/>
          </w:rPr>
          <w:fldChar w:fldCharType="separate"/>
        </w:r>
        <w:r w:rsidR="00013B42">
          <w:rPr>
            <w:webHidden/>
          </w:rPr>
          <w:t>7</w:t>
        </w:r>
        <w:r w:rsidR="008844A0">
          <w:rPr>
            <w:webHidden/>
          </w:rPr>
          <w:fldChar w:fldCharType="end"/>
        </w:r>
      </w:hyperlink>
    </w:p>
    <w:p w14:paraId="1E716B27" w14:textId="3382028D" w:rsidR="008844A0" w:rsidRDefault="008B5FBB">
      <w:pPr>
        <w:pStyle w:val="TOC2"/>
        <w:tabs>
          <w:tab w:val="left" w:pos="1474"/>
          <w:tab w:val="right" w:leader="dot" w:pos="8302"/>
        </w:tabs>
        <w:rPr>
          <w:rFonts w:eastAsiaTheme="minorEastAsia" w:cstheme="minorBidi"/>
        </w:rPr>
      </w:pPr>
      <w:hyperlink w:anchor="_Toc8995599" w:history="1">
        <w:r w:rsidR="008844A0" w:rsidRPr="001356C6">
          <w:rPr>
            <w:rStyle w:val="Hyperlink"/>
          </w:rPr>
          <w:t>2.3</w:t>
        </w:r>
        <w:r w:rsidR="008844A0">
          <w:rPr>
            <w:rFonts w:eastAsiaTheme="minorEastAsia" w:cstheme="minorBidi"/>
          </w:rPr>
          <w:tab/>
        </w:r>
        <w:r w:rsidR="008844A0" w:rsidRPr="001356C6">
          <w:rPr>
            <w:rStyle w:val="Hyperlink"/>
          </w:rPr>
          <w:t>What is the MBS Review Taskforce?</w:t>
        </w:r>
        <w:r w:rsidR="008844A0">
          <w:rPr>
            <w:webHidden/>
          </w:rPr>
          <w:tab/>
        </w:r>
        <w:r w:rsidR="008844A0">
          <w:rPr>
            <w:webHidden/>
          </w:rPr>
          <w:fldChar w:fldCharType="begin"/>
        </w:r>
        <w:r w:rsidR="008844A0">
          <w:rPr>
            <w:webHidden/>
          </w:rPr>
          <w:instrText xml:space="preserve"> PAGEREF _Toc8995599 \h </w:instrText>
        </w:r>
        <w:r w:rsidR="008844A0">
          <w:rPr>
            <w:webHidden/>
          </w:rPr>
        </w:r>
        <w:r w:rsidR="008844A0">
          <w:rPr>
            <w:webHidden/>
          </w:rPr>
          <w:fldChar w:fldCharType="separate"/>
        </w:r>
        <w:r w:rsidR="00013B42">
          <w:rPr>
            <w:webHidden/>
          </w:rPr>
          <w:t>7</w:t>
        </w:r>
        <w:r w:rsidR="008844A0">
          <w:rPr>
            <w:webHidden/>
          </w:rPr>
          <w:fldChar w:fldCharType="end"/>
        </w:r>
      </w:hyperlink>
    </w:p>
    <w:p w14:paraId="0028798F" w14:textId="6D4DCBF0" w:rsidR="008844A0" w:rsidRDefault="008B5FBB">
      <w:pPr>
        <w:pStyle w:val="TOC2"/>
        <w:tabs>
          <w:tab w:val="left" w:pos="1474"/>
          <w:tab w:val="right" w:leader="dot" w:pos="8302"/>
        </w:tabs>
        <w:rPr>
          <w:rFonts w:eastAsiaTheme="minorEastAsia" w:cstheme="minorBidi"/>
        </w:rPr>
      </w:pPr>
      <w:hyperlink w:anchor="_Toc8995600" w:history="1">
        <w:r w:rsidR="008844A0" w:rsidRPr="001356C6">
          <w:rPr>
            <w:rStyle w:val="Hyperlink"/>
          </w:rPr>
          <w:t>2.4</w:t>
        </w:r>
        <w:r w:rsidR="008844A0">
          <w:rPr>
            <w:rFonts w:eastAsiaTheme="minorEastAsia" w:cstheme="minorBidi"/>
          </w:rPr>
          <w:tab/>
        </w:r>
        <w:r w:rsidR="008844A0" w:rsidRPr="001356C6">
          <w:rPr>
            <w:rStyle w:val="Hyperlink"/>
          </w:rPr>
          <w:t>What are the goals of the Taskforce?</w:t>
        </w:r>
        <w:r w:rsidR="008844A0">
          <w:rPr>
            <w:webHidden/>
          </w:rPr>
          <w:tab/>
        </w:r>
        <w:r w:rsidR="008844A0">
          <w:rPr>
            <w:webHidden/>
          </w:rPr>
          <w:fldChar w:fldCharType="begin"/>
        </w:r>
        <w:r w:rsidR="008844A0">
          <w:rPr>
            <w:webHidden/>
          </w:rPr>
          <w:instrText xml:space="preserve"> PAGEREF _Toc8995600 \h </w:instrText>
        </w:r>
        <w:r w:rsidR="008844A0">
          <w:rPr>
            <w:webHidden/>
          </w:rPr>
        </w:r>
        <w:r w:rsidR="008844A0">
          <w:rPr>
            <w:webHidden/>
          </w:rPr>
          <w:fldChar w:fldCharType="separate"/>
        </w:r>
        <w:r w:rsidR="00013B42">
          <w:rPr>
            <w:webHidden/>
          </w:rPr>
          <w:t>7</w:t>
        </w:r>
        <w:r w:rsidR="008844A0">
          <w:rPr>
            <w:webHidden/>
          </w:rPr>
          <w:fldChar w:fldCharType="end"/>
        </w:r>
      </w:hyperlink>
    </w:p>
    <w:p w14:paraId="2BCC13E1" w14:textId="7407A8BA" w:rsidR="008844A0" w:rsidRDefault="008B5FBB">
      <w:pPr>
        <w:pStyle w:val="TOC2"/>
        <w:tabs>
          <w:tab w:val="left" w:pos="1474"/>
          <w:tab w:val="right" w:leader="dot" w:pos="8302"/>
        </w:tabs>
        <w:rPr>
          <w:rFonts w:eastAsiaTheme="minorEastAsia" w:cstheme="minorBidi"/>
        </w:rPr>
      </w:pPr>
      <w:hyperlink w:anchor="_Toc8995601" w:history="1">
        <w:r w:rsidR="008844A0" w:rsidRPr="001356C6">
          <w:rPr>
            <w:rStyle w:val="Hyperlink"/>
          </w:rPr>
          <w:t>2.5</w:t>
        </w:r>
        <w:r w:rsidR="008844A0">
          <w:rPr>
            <w:rFonts w:eastAsiaTheme="minorEastAsia" w:cstheme="minorBidi"/>
          </w:rPr>
          <w:tab/>
        </w:r>
        <w:r w:rsidR="008844A0" w:rsidRPr="001356C6">
          <w:rPr>
            <w:rStyle w:val="Hyperlink"/>
          </w:rPr>
          <w:t>The Taskforce’s approach</w:t>
        </w:r>
        <w:r w:rsidR="008844A0">
          <w:rPr>
            <w:webHidden/>
          </w:rPr>
          <w:tab/>
        </w:r>
        <w:r w:rsidR="008844A0">
          <w:rPr>
            <w:webHidden/>
          </w:rPr>
          <w:fldChar w:fldCharType="begin"/>
        </w:r>
        <w:r w:rsidR="008844A0">
          <w:rPr>
            <w:webHidden/>
          </w:rPr>
          <w:instrText xml:space="preserve"> PAGEREF _Toc8995601 \h </w:instrText>
        </w:r>
        <w:r w:rsidR="008844A0">
          <w:rPr>
            <w:webHidden/>
          </w:rPr>
        </w:r>
        <w:r w:rsidR="008844A0">
          <w:rPr>
            <w:webHidden/>
          </w:rPr>
          <w:fldChar w:fldCharType="separate"/>
        </w:r>
        <w:r w:rsidR="00013B42">
          <w:rPr>
            <w:webHidden/>
          </w:rPr>
          <w:t>8</w:t>
        </w:r>
        <w:r w:rsidR="008844A0">
          <w:rPr>
            <w:webHidden/>
          </w:rPr>
          <w:fldChar w:fldCharType="end"/>
        </w:r>
      </w:hyperlink>
    </w:p>
    <w:p w14:paraId="4F2369AB" w14:textId="23AF82AD" w:rsidR="008844A0" w:rsidRDefault="008B5FBB">
      <w:pPr>
        <w:pStyle w:val="TOC1"/>
        <w:rPr>
          <w:rFonts w:eastAsiaTheme="minorEastAsia" w:cstheme="minorBidi"/>
          <w:b w:val="0"/>
        </w:rPr>
      </w:pPr>
      <w:hyperlink w:anchor="_Toc8995602" w:history="1">
        <w:r w:rsidR="008844A0" w:rsidRPr="001356C6">
          <w:rPr>
            <w:rStyle w:val="Hyperlink"/>
          </w:rPr>
          <w:t>3</w:t>
        </w:r>
        <w:r w:rsidR="008844A0">
          <w:rPr>
            <w:rFonts w:eastAsiaTheme="minorEastAsia" w:cstheme="minorBidi"/>
            <w:b w:val="0"/>
          </w:rPr>
          <w:tab/>
        </w:r>
        <w:r w:rsidR="008844A0" w:rsidRPr="001356C6">
          <w:rPr>
            <w:rStyle w:val="Hyperlink"/>
          </w:rPr>
          <w:t>About the Pathology Clinical Committee</w:t>
        </w:r>
        <w:r w:rsidR="008844A0">
          <w:rPr>
            <w:webHidden/>
          </w:rPr>
          <w:tab/>
        </w:r>
        <w:r w:rsidR="008844A0">
          <w:rPr>
            <w:webHidden/>
          </w:rPr>
          <w:fldChar w:fldCharType="begin"/>
        </w:r>
        <w:r w:rsidR="008844A0">
          <w:rPr>
            <w:webHidden/>
          </w:rPr>
          <w:instrText xml:space="preserve"> PAGEREF _Toc8995602 \h </w:instrText>
        </w:r>
        <w:r w:rsidR="008844A0">
          <w:rPr>
            <w:webHidden/>
          </w:rPr>
        </w:r>
        <w:r w:rsidR="008844A0">
          <w:rPr>
            <w:webHidden/>
          </w:rPr>
          <w:fldChar w:fldCharType="separate"/>
        </w:r>
        <w:r w:rsidR="00013B42">
          <w:rPr>
            <w:webHidden/>
          </w:rPr>
          <w:t>11</w:t>
        </w:r>
        <w:r w:rsidR="008844A0">
          <w:rPr>
            <w:webHidden/>
          </w:rPr>
          <w:fldChar w:fldCharType="end"/>
        </w:r>
      </w:hyperlink>
    </w:p>
    <w:p w14:paraId="1C999F90" w14:textId="4B65FFC7" w:rsidR="008844A0" w:rsidRDefault="008B5FBB">
      <w:pPr>
        <w:pStyle w:val="TOC2"/>
        <w:tabs>
          <w:tab w:val="left" w:pos="1474"/>
          <w:tab w:val="right" w:leader="dot" w:pos="8302"/>
        </w:tabs>
        <w:rPr>
          <w:rFonts w:eastAsiaTheme="minorEastAsia" w:cstheme="minorBidi"/>
        </w:rPr>
      </w:pPr>
      <w:hyperlink w:anchor="_Toc8995603" w:history="1">
        <w:r w:rsidR="008844A0" w:rsidRPr="001356C6">
          <w:rPr>
            <w:rStyle w:val="Hyperlink"/>
          </w:rPr>
          <w:t>3.1</w:t>
        </w:r>
        <w:r w:rsidR="008844A0">
          <w:rPr>
            <w:rFonts w:eastAsiaTheme="minorEastAsia" w:cstheme="minorBidi"/>
          </w:rPr>
          <w:tab/>
        </w:r>
        <w:r w:rsidR="008844A0" w:rsidRPr="001356C6">
          <w:rPr>
            <w:rStyle w:val="Hyperlink"/>
          </w:rPr>
          <w:t>Membership</w:t>
        </w:r>
        <w:r w:rsidR="008844A0">
          <w:rPr>
            <w:webHidden/>
          </w:rPr>
          <w:tab/>
        </w:r>
        <w:r w:rsidR="008844A0">
          <w:rPr>
            <w:webHidden/>
          </w:rPr>
          <w:fldChar w:fldCharType="begin"/>
        </w:r>
        <w:r w:rsidR="008844A0">
          <w:rPr>
            <w:webHidden/>
          </w:rPr>
          <w:instrText xml:space="preserve"> PAGEREF _Toc8995603 \h </w:instrText>
        </w:r>
        <w:r w:rsidR="008844A0">
          <w:rPr>
            <w:webHidden/>
          </w:rPr>
        </w:r>
        <w:r w:rsidR="008844A0">
          <w:rPr>
            <w:webHidden/>
          </w:rPr>
          <w:fldChar w:fldCharType="separate"/>
        </w:r>
        <w:r w:rsidR="00013B42">
          <w:rPr>
            <w:webHidden/>
          </w:rPr>
          <w:t>11</w:t>
        </w:r>
        <w:r w:rsidR="008844A0">
          <w:rPr>
            <w:webHidden/>
          </w:rPr>
          <w:fldChar w:fldCharType="end"/>
        </w:r>
      </w:hyperlink>
    </w:p>
    <w:p w14:paraId="4C8B1401" w14:textId="1263E6A7" w:rsidR="008844A0" w:rsidRDefault="008B5FBB">
      <w:pPr>
        <w:pStyle w:val="TOC2"/>
        <w:tabs>
          <w:tab w:val="left" w:pos="1474"/>
          <w:tab w:val="right" w:leader="dot" w:pos="8302"/>
        </w:tabs>
        <w:rPr>
          <w:rFonts w:eastAsiaTheme="minorEastAsia" w:cstheme="minorBidi"/>
        </w:rPr>
      </w:pPr>
      <w:hyperlink w:anchor="_Toc8995604" w:history="1">
        <w:r w:rsidR="008844A0" w:rsidRPr="001356C6">
          <w:rPr>
            <w:rStyle w:val="Hyperlink"/>
          </w:rPr>
          <w:t>3.2</w:t>
        </w:r>
        <w:r w:rsidR="008844A0">
          <w:rPr>
            <w:rFonts w:eastAsiaTheme="minorEastAsia" w:cstheme="minorBidi"/>
          </w:rPr>
          <w:tab/>
        </w:r>
        <w:r w:rsidR="008844A0" w:rsidRPr="001356C6">
          <w:rPr>
            <w:rStyle w:val="Hyperlink"/>
          </w:rPr>
          <w:t>About the Blood Products Working Group</w:t>
        </w:r>
        <w:r w:rsidR="008844A0">
          <w:rPr>
            <w:webHidden/>
          </w:rPr>
          <w:tab/>
        </w:r>
        <w:r w:rsidR="008844A0">
          <w:rPr>
            <w:webHidden/>
          </w:rPr>
          <w:fldChar w:fldCharType="begin"/>
        </w:r>
        <w:r w:rsidR="008844A0">
          <w:rPr>
            <w:webHidden/>
          </w:rPr>
          <w:instrText xml:space="preserve"> PAGEREF _Toc8995604 \h </w:instrText>
        </w:r>
        <w:r w:rsidR="008844A0">
          <w:rPr>
            <w:webHidden/>
          </w:rPr>
        </w:r>
        <w:r w:rsidR="008844A0">
          <w:rPr>
            <w:webHidden/>
          </w:rPr>
          <w:fldChar w:fldCharType="separate"/>
        </w:r>
        <w:r w:rsidR="00013B42">
          <w:rPr>
            <w:webHidden/>
          </w:rPr>
          <w:t>12</w:t>
        </w:r>
        <w:r w:rsidR="008844A0">
          <w:rPr>
            <w:webHidden/>
          </w:rPr>
          <w:fldChar w:fldCharType="end"/>
        </w:r>
      </w:hyperlink>
    </w:p>
    <w:p w14:paraId="0E8B4927" w14:textId="5EF38A57" w:rsidR="008844A0" w:rsidRDefault="008B5FBB">
      <w:pPr>
        <w:pStyle w:val="TOC2"/>
        <w:tabs>
          <w:tab w:val="left" w:pos="1474"/>
          <w:tab w:val="right" w:leader="dot" w:pos="8302"/>
        </w:tabs>
        <w:rPr>
          <w:rFonts w:eastAsiaTheme="minorEastAsia" w:cstheme="minorBidi"/>
        </w:rPr>
      </w:pPr>
      <w:hyperlink w:anchor="_Toc8995605" w:history="1">
        <w:r w:rsidR="008844A0" w:rsidRPr="001356C6">
          <w:rPr>
            <w:rStyle w:val="Hyperlink"/>
          </w:rPr>
          <w:t>3.3</w:t>
        </w:r>
        <w:r w:rsidR="008844A0">
          <w:rPr>
            <w:rFonts w:eastAsiaTheme="minorEastAsia" w:cstheme="minorBidi"/>
          </w:rPr>
          <w:tab/>
        </w:r>
        <w:r w:rsidR="008844A0" w:rsidRPr="001356C6">
          <w:rPr>
            <w:rStyle w:val="Hyperlink"/>
          </w:rPr>
          <w:t>Conflicts of interest</w:t>
        </w:r>
        <w:r w:rsidR="008844A0">
          <w:rPr>
            <w:webHidden/>
          </w:rPr>
          <w:tab/>
        </w:r>
        <w:r w:rsidR="008844A0">
          <w:rPr>
            <w:webHidden/>
          </w:rPr>
          <w:fldChar w:fldCharType="begin"/>
        </w:r>
        <w:r w:rsidR="008844A0">
          <w:rPr>
            <w:webHidden/>
          </w:rPr>
          <w:instrText xml:space="preserve"> PAGEREF _Toc8995605 \h </w:instrText>
        </w:r>
        <w:r w:rsidR="008844A0">
          <w:rPr>
            <w:webHidden/>
          </w:rPr>
        </w:r>
        <w:r w:rsidR="008844A0">
          <w:rPr>
            <w:webHidden/>
          </w:rPr>
          <w:fldChar w:fldCharType="separate"/>
        </w:r>
        <w:r w:rsidR="00013B42">
          <w:rPr>
            <w:webHidden/>
          </w:rPr>
          <w:t>12</w:t>
        </w:r>
        <w:r w:rsidR="008844A0">
          <w:rPr>
            <w:webHidden/>
          </w:rPr>
          <w:fldChar w:fldCharType="end"/>
        </w:r>
      </w:hyperlink>
    </w:p>
    <w:p w14:paraId="10820808" w14:textId="1FA3664C" w:rsidR="008844A0" w:rsidRDefault="008B5FBB">
      <w:pPr>
        <w:pStyle w:val="TOC2"/>
        <w:tabs>
          <w:tab w:val="left" w:pos="1474"/>
          <w:tab w:val="right" w:leader="dot" w:pos="8302"/>
        </w:tabs>
        <w:rPr>
          <w:rFonts w:eastAsiaTheme="minorEastAsia" w:cstheme="minorBidi"/>
        </w:rPr>
      </w:pPr>
      <w:hyperlink w:anchor="_Toc8995606" w:history="1">
        <w:r w:rsidR="008844A0" w:rsidRPr="001356C6">
          <w:rPr>
            <w:rStyle w:val="Hyperlink"/>
          </w:rPr>
          <w:t>3.4</w:t>
        </w:r>
        <w:r w:rsidR="008844A0">
          <w:rPr>
            <w:rFonts w:eastAsiaTheme="minorEastAsia" w:cstheme="minorBidi"/>
          </w:rPr>
          <w:tab/>
        </w:r>
        <w:r w:rsidR="008844A0" w:rsidRPr="001356C6">
          <w:rPr>
            <w:rStyle w:val="Hyperlink"/>
          </w:rPr>
          <w:t>Areas of responsibility</w:t>
        </w:r>
        <w:r w:rsidR="008844A0">
          <w:rPr>
            <w:webHidden/>
          </w:rPr>
          <w:tab/>
        </w:r>
        <w:r w:rsidR="008844A0">
          <w:rPr>
            <w:webHidden/>
          </w:rPr>
          <w:fldChar w:fldCharType="begin"/>
        </w:r>
        <w:r w:rsidR="008844A0">
          <w:rPr>
            <w:webHidden/>
          </w:rPr>
          <w:instrText xml:space="preserve"> PAGEREF _Toc8995606 \h </w:instrText>
        </w:r>
        <w:r w:rsidR="008844A0">
          <w:rPr>
            <w:webHidden/>
          </w:rPr>
        </w:r>
        <w:r w:rsidR="008844A0">
          <w:rPr>
            <w:webHidden/>
          </w:rPr>
          <w:fldChar w:fldCharType="separate"/>
        </w:r>
        <w:r w:rsidR="00013B42">
          <w:rPr>
            <w:webHidden/>
          </w:rPr>
          <w:t>13</w:t>
        </w:r>
        <w:r w:rsidR="008844A0">
          <w:rPr>
            <w:webHidden/>
          </w:rPr>
          <w:fldChar w:fldCharType="end"/>
        </w:r>
      </w:hyperlink>
    </w:p>
    <w:p w14:paraId="677ACA7C" w14:textId="1D7404E5" w:rsidR="008844A0" w:rsidRDefault="008B5FBB">
      <w:pPr>
        <w:pStyle w:val="TOC2"/>
        <w:tabs>
          <w:tab w:val="left" w:pos="1474"/>
          <w:tab w:val="right" w:leader="dot" w:pos="8302"/>
        </w:tabs>
        <w:rPr>
          <w:rFonts w:eastAsiaTheme="minorEastAsia" w:cstheme="minorBidi"/>
        </w:rPr>
      </w:pPr>
      <w:hyperlink w:anchor="_Toc8995607" w:history="1">
        <w:r w:rsidR="008844A0" w:rsidRPr="001356C6">
          <w:rPr>
            <w:rStyle w:val="Hyperlink"/>
          </w:rPr>
          <w:t>3.5</w:t>
        </w:r>
        <w:r w:rsidR="008844A0">
          <w:rPr>
            <w:rFonts w:eastAsiaTheme="minorEastAsia" w:cstheme="minorBidi"/>
          </w:rPr>
          <w:tab/>
        </w:r>
        <w:r w:rsidR="008844A0" w:rsidRPr="001356C6">
          <w:rPr>
            <w:rStyle w:val="Hyperlink"/>
          </w:rPr>
          <w:t>Summary of working group’s review approach</w:t>
        </w:r>
        <w:r w:rsidR="008844A0">
          <w:rPr>
            <w:webHidden/>
          </w:rPr>
          <w:tab/>
        </w:r>
        <w:r w:rsidR="008844A0">
          <w:rPr>
            <w:webHidden/>
          </w:rPr>
          <w:fldChar w:fldCharType="begin"/>
        </w:r>
        <w:r w:rsidR="008844A0">
          <w:rPr>
            <w:webHidden/>
          </w:rPr>
          <w:instrText xml:space="preserve"> PAGEREF _Toc8995607 \h </w:instrText>
        </w:r>
        <w:r w:rsidR="008844A0">
          <w:rPr>
            <w:webHidden/>
          </w:rPr>
        </w:r>
        <w:r w:rsidR="008844A0">
          <w:rPr>
            <w:webHidden/>
          </w:rPr>
          <w:fldChar w:fldCharType="separate"/>
        </w:r>
        <w:r w:rsidR="00013B42">
          <w:rPr>
            <w:webHidden/>
          </w:rPr>
          <w:t>13</w:t>
        </w:r>
        <w:r w:rsidR="008844A0">
          <w:rPr>
            <w:webHidden/>
          </w:rPr>
          <w:fldChar w:fldCharType="end"/>
        </w:r>
      </w:hyperlink>
    </w:p>
    <w:p w14:paraId="6CB6DDFF" w14:textId="3A8A5686" w:rsidR="008844A0" w:rsidRDefault="008B5FBB">
      <w:pPr>
        <w:pStyle w:val="TOC1"/>
        <w:rPr>
          <w:rFonts w:eastAsiaTheme="minorEastAsia" w:cstheme="minorBidi"/>
          <w:b w:val="0"/>
        </w:rPr>
      </w:pPr>
      <w:hyperlink w:anchor="_Toc8995608" w:history="1">
        <w:r w:rsidR="008844A0" w:rsidRPr="001356C6">
          <w:rPr>
            <w:rStyle w:val="Hyperlink"/>
          </w:rPr>
          <w:t>4</w:t>
        </w:r>
        <w:r w:rsidR="008844A0">
          <w:rPr>
            <w:rFonts w:eastAsiaTheme="minorEastAsia" w:cstheme="minorBidi"/>
            <w:b w:val="0"/>
          </w:rPr>
          <w:tab/>
        </w:r>
        <w:r w:rsidR="008844A0" w:rsidRPr="001356C6">
          <w:rPr>
            <w:rStyle w:val="Hyperlink"/>
          </w:rPr>
          <w:t>Blood products (Haematology)</w:t>
        </w:r>
        <w:r w:rsidR="008844A0">
          <w:rPr>
            <w:webHidden/>
          </w:rPr>
          <w:tab/>
        </w:r>
        <w:r w:rsidR="008844A0">
          <w:rPr>
            <w:webHidden/>
          </w:rPr>
          <w:fldChar w:fldCharType="begin"/>
        </w:r>
        <w:r w:rsidR="008844A0">
          <w:rPr>
            <w:webHidden/>
          </w:rPr>
          <w:instrText xml:space="preserve"> PAGEREF _Toc8995608 \h </w:instrText>
        </w:r>
        <w:r w:rsidR="008844A0">
          <w:rPr>
            <w:webHidden/>
          </w:rPr>
        </w:r>
        <w:r w:rsidR="008844A0">
          <w:rPr>
            <w:webHidden/>
          </w:rPr>
          <w:fldChar w:fldCharType="separate"/>
        </w:r>
        <w:r w:rsidR="00013B42">
          <w:rPr>
            <w:webHidden/>
          </w:rPr>
          <w:t>14</w:t>
        </w:r>
        <w:r w:rsidR="008844A0">
          <w:rPr>
            <w:webHidden/>
          </w:rPr>
          <w:fldChar w:fldCharType="end"/>
        </w:r>
      </w:hyperlink>
    </w:p>
    <w:p w14:paraId="3E6F6F81" w14:textId="1B6CDD28" w:rsidR="008844A0" w:rsidRDefault="008B5FBB">
      <w:pPr>
        <w:pStyle w:val="TOC2"/>
        <w:tabs>
          <w:tab w:val="left" w:pos="1474"/>
          <w:tab w:val="right" w:leader="dot" w:pos="8302"/>
        </w:tabs>
        <w:rPr>
          <w:rFonts w:eastAsiaTheme="minorEastAsia" w:cstheme="minorBidi"/>
        </w:rPr>
      </w:pPr>
      <w:hyperlink w:anchor="_Toc8995609" w:history="1">
        <w:r w:rsidR="008844A0" w:rsidRPr="001356C6">
          <w:rPr>
            <w:rStyle w:val="Hyperlink"/>
          </w:rPr>
          <w:t>4.1</w:t>
        </w:r>
        <w:r w:rsidR="008844A0">
          <w:rPr>
            <w:rFonts w:eastAsiaTheme="minorEastAsia" w:cstheme="minorBidi"/>
          </w:rPr>
          <w:tab/>
        </w:r>
        <w:r w:rsidR="008844A0" w:rsidRPr="001356C6">
          <w:rPr>
            <w:rStyle w:val="Hyperlink"/>
          </w:rPr>
          <w:t>Collection and transfusion of blood products</w:t>
        </w:r>
        <w:r w:rsidR="008844A0">
          <w:rPr>
            <w:webHidden/>
          </w:rPr>
          <w:tab/>
        </w:r>
        <w:r w:rsidR="008844A0">
          <w:rPr>
            <w:webHidden/>
          </w:rPr>
          <w:fldChar w:fldCharType="begin"/>
        </w:r>
        <w:r w:rsidR="008844A0">
          <w:rPr>
            <w:webHidden/>
          </w:rPr>
          <w:instrText xml:space="preserve"> PAGEREF _Toc8995609 \h </w:instrText>
        </w:r>
        <w:r w:rsidR="008844A0">
          <w:rPr>
            <w:webHidden/>
          </w:rPr>
        </w:r>
        <w:r w:rsidR="008844A0">
          <w:rPr>
            <w:webHidden/>
          </w:rPr>
          <w:fldChar w:fldCharType="separate"/>
        </w:r>
        <w:r w:rsidR="00013B42">
          <w:rPr>
            <w:webHidden/>
          </w:rPr>
          <w:t>14</w:t>
        </w:r>
        <w:r w:rsidR="008844A0">
          <w:rPr>
            <w:webHidden/>
          </w:rPr>
          <w:fldChar w:fldCharType="end"/>
        </w:r>
      </w:hyperlink>
    </w:p>
    <w:p w14:paraId="5415890B" w14:textId="01A43061" w:rsidR="008844A0" w:rsidRDefault="008B5FBB">
      <w:pPr>
        <w:pStyle w:val="TOC3"/>
        <w:tabs>
          <w:tab w:val="left" w:pos="1474"/>
          <w:tab w:val="right" w:leader="dot" w:pos="8302"/>
        </w:tabs>
        <w:rPr>
          <w:rFonts w:eastAsiaTheme="minorEastAsia" w:cstheme="minorBidi"/>
        </w:rPr>
      </w:pPr>
      <w:hyperlink w:anchor="_Toc8995610" w:history="1">
        <w:r w:rsidR="008844A0" w:rsidRPr="001356C6">
          <w:rPr>
            <w:rStyle w:val="Hyperlink"/>
          </w:rPr>
          <w:t>4.1.1</w:t>
        </w:r>
        <w:r w:rsidR="008844A0">
          <w:rPr>
            <w:rFonts w:eastAsiaTheme="minorEastAsia" w:cstheme="minorBidi"/>
          </w:rPr>
          <w:tab/>
        </w:r>
        <w:r w:rsidR="008844A0" w:rsidRPr="001356C6">
          <w:rPr>
            <w:rStyle w:val="Hyperlink"/>
          </w:rPr>
          <w:t>Recommendation 1 – Collection and transfusion of blood products</w:t>
        </w:r>
        <w:r w:rsidR="008844A0">
          <w:rPr>
            <w:webHidden/>
          </w:rPr>
          <w:tab/>
        </w:r>
        <w:r w:rsidR="008844A0">
          <w:rPr>
            <w:webHidden/>
          </w:rPr>
          <w:fldChar w:fldCharType="begin"/>
        </w:r>
        <w:r w:rsidR="008844A0">
          <w:rPr>
            <w:webHidden/>
          </w:rPr>
          <w:instrText xml:space="preserve"> PAGEREF _Toc8995610 \h </w:instrText>
        </w:r>
        <w:r w:rsidR="008844A0">
          <w:rPr>
            <w:webHidden/>
          </w:rPr>
        </w:r>
        <w:r w:rsidR="008844A0">
          <w:rPr>
            <w:webHidden/>
          </w:rPr>
          <w:fldChar w:fldCharType="separate"/>
        </w:r>
        <w:r w:rsidR="00013B42">
          <w:rPr>
            <w:webHidden/>
          </w:rPr>
          <w:t>14</w:t>
        </w:r>
        <w:r w:rsidR="008844A0">
          <w:rPr>
            <w:webHidden/>
          </w:rPr>
          <w:fldChar w:fldCharType="end"/>
        </w:r>
      </w:hyperlink>
    </w:p>
    <w:p w14:paraId="59375B63" w14:textId="4D327DFA" w:rsidR="008844A0" w:rsidRDefault="008B5FBB">
      <w:pPr>
        <w:pStyle w:val="TOC3"/>
        <w:tabs>
          <w:tab w:val="left" w:pos="1474"/>
          <w:tab w:val="right" w:leader="dot" w:pos="8302"/>
        </w:tabs>
        <w:rPr>
          <w:rFonts w:eastAsiaTheme="minorEastAsia" w:cstheme="minorBidi"/>
        </w:rPr>
      </w:pPr>
      <w:hyperlink w:anchor="_Toc8995611" w:history="1">
        <w:r w:rsidR="008844A0" w:rsidRPr="001356C6">
          <w:rPr>
            <w:rStyle w:val="Hyperlink"/>
          </w:rPr>
          <w:t>4.1.2</w:t>
        </w:r>
        <w:r w:rsidR="008844A0">
          <w:rPr>
            <w:rFonts w:eastAsiaTheme="minorEastAsia" w:cstheme="minorBidi"/>
          </w:rPr>
          <w:tab/>
        </w:r>
        <w:r w:rsidR="008844A0" w:rsidRPr="001356C6">
          <w:rPr>
            <w:rStyle w:val="Hyperlink"/>
          </w:rPr>
          <w:t>Rationale for Recommendation 1</w:t>
        </w:r>
        <w:r w:rsidR="008844A0">
          <w:rPr>
            <w:webHidden/>
          </w:rPr>
          <w:tab/>
        </w:r>
        <w:r w:rsidR="008844A0">
          <w:rPr>
            <w:webHidden/>
          </w:rPr>
          <w:fldChar w:fldCharType="begin"/>
        </w:r>
        <w:r w:rsidR="008844A0">
          <w:rPr>
            <w:webHidden/>
          </w:rPr>
          <w:instrText xml:space="preserve"> PAGEREF _Toc8995611 \h </w:instrText>
        </w:r>
        <w:r w:rsidR="008844A0">
          <w:rPr>
            <w:webHidden/>
          </w:rPr>
        </w:r>
        <w:r w:rsidR="008844A0">
          <w:rPr>
            <w:webHidden/>
          </w:rPr>
          <w:fldChar w:fldCharType="separate"/>
        </w:r>
        <w:r w:rsidR="00013B42">
          <w:rPr>
            <w:webHidden/>
          </w:rPr>
          <w:t>15</w:t>
        </w:r>
        <w:r w:rsidR="008844A0">
          <w:rPr>
            <w:webHidden/>
          </w:rPr>
          <w:fldChar w:fldCharType="end"/>
        </w:r>
      </w:hyperlink>
    </w:p>
    <w:p w14:paraId="3BB9D07D" w14:textId="1A7B071F" w:rsidR="008844A0" w:rsidRDefault="008B5FBB">
      <w:pPr>
        <w:pStyle w:val="TOC2"/>
        <w:tabs>
          <w:tab w:val="left" w:pos="1474"/>
          <w:tab w:val="right" w:leader="dot" w:pos="8302"/>
        </w:tabs>
        <w:rPr>
          <w:rFonts w:eastAsiaTheme="minorEastAsia" w:cstheme="minorBidi"/>
        </w:rPr>
      </w:pPr>
      <w:hyperlink w:anchor="_Toc8995612" w:history="1">
        <w:r w:rsidR="008844A0" w:rsidRPr="001356C6">
          <w:rPr>
            <w:rStyle w:val="Hyperlink"/>
          </w:rPr>
          <w:t>4.2</w:t>
        </w:r>
        <w:r w:rsidR="008844A0">
          <w:rPr>
            <w:rFonts w:eastAsiaTheme="minorEastAsia" w:cstheme="minorBidi"/>
          </w:rPr>
          <w:tab/>
        </w:r>
        <w:r w:rsidR="008844A0" w:rsidRPr="001356C6">
          <w:rPr>
            <w:rStyle w:val="Hyperlink"/>
          </w:rPr>
          <w:t>Stem cell transplantation</w:t>
        </w:r>
        <w:r w:rsidR="008844A0">
          <w:rPr>
            <w:webHidden/>
          </w:rPr>
          <w:tab/>
        </w:r>
        <w:r w:rsidR="008844A0">
          <w:rPr>
            <w:webHidden/>
          </w:rPr>
          <w:fldChar w:fldCharType="begin"/>
        </w:r>
        <w:r w:rsidR="008844A0">
          <w:rPr>
            <w:webHidden/>
          </w:rPr>
          <w:instrText xml:space="preserve"> PAGEREF _Toc8995612 \h </w:instrText>
        </w:r>
        <w:r w:rsidR="008844A0">
          <w:rPr>
            <w:webHidden/>
          </w:rPr>
        </w:r>
        <w:r w:rsidR="008844A0">
          <w:rPr>
            <w:webHidden/>
          </w:rPr>
          <w:fldChar w:fldCharType="separate"/>
        </w:r>
        <w:r w:rsidR="00013B42">
          <w:rPr>
            <w:webHidden/>
          </w:rPr>
          <w:t>21</w:t>
        </w:r>
        <w:r w:rsidR="008844A0">
          <w:rPr>
            <w:webHidden/>
          </w:rPr>
          <w:fldChar w:fldCharType="end"/>
        </w:r>
      </w:hyperlink>
    </w:p>
    <w:p w14:paraId="628017FC" w14:textId="5E0CBB84" w:rsidR="008844A0" w:rsidRDefault="008B5FBB">
      <w:pPr>
        <w:pStyle w:val="TOC3"/>
        <w:tabs>
          <w:tab w:val="left" w:pos="1474"/>
          <w:tab w:val="right" w:leader="dot" w:pos="8302"/>
        </w:tabs>
        <w:rPr>
          <w:rFonts w:eastAsiaTheme="minorEastAsia" w:cstheme="minorBidi"/>
        </w:rPr>
      </w:pPr>
      <w:hyperlink w:anchor="_Toc8995613" w:history="1">
        <w:r w:rsidR="008844A0" w:rsidRPr="001356C6">
          <w:rPr>
            <w:rStyle w:val="Hyperlink"/>
          </w:rPr>
          <w:t>4.2.1</w:t>
        </w:r>
        <w:r w:rsidR="008844A0">
          <w:rPr>
            <w:rFonts w:eastAsiaTheme="minorEastAsia" w:cstheme="minorBidi"/>
          </w:rPr>
          <w:tab/>
        </w:r>
        <w:r w:rsidR="008844A0" w:rsidRPr="001356C6">
          <w:rPr>
            <w:rStyle w:val="Hyperlink"/>
          </w:rPr>
          <w:t>Recommendation 2</w:t>
        </w:r>
        <w:r w:rsidR="008844A0">
          <w:rPr>
            <w:webHidden/>
          </w:rPr>
          <w:tab/>
        </w:r>
        <w:r w:rsidR="008844A0">
          <w:rPr>
            <w:webHidden/>
          </w:rPr>
          <w:fldChar w:fldCharType="begin"/>
        </w:r>
        <w:r w:rsidR="008844A0">
          <w:rPr>
            <w:webHidden/>
          </w:rPr>
          <w:instrText xml:space="preserve"> PAGEREF _Toc8995613 \h </w:instrText>
        </w:r>
        <w:r w:rsidR="008844A0">
          <w:rPr>
            <w:webHidden/>
          </w:rPr>
        </w:r>
        <w:r w:rsidR="008844A0">
          <w:rPr>
            <w:webHidden/>
          </w:rPr>
          <w:fldChar w:fldCharType="separate"/>
        </w:r>
        <w:r w:rsidR="00013B42">
          <w:rPr>
            <w:webHidden/>
          </w:rPr>
          <w:t>21</w:t>
        </w:r>
        <w:r w:rsidR="008844A0">
          <w:rPr>
            <w:webHidden/>
          </w:rPr>
          <w:fldChar w:fldCharType="end"/>
        </w:r>
      </w:hyperlink>
    </w:p>
    <w:p w14:paraId="672510CF" w14:textId="1435682D" w:rsidR="008844A0" w:rsidRDefault="008B5FBB">
      <w:pPr>
        <w:pStyle w:val="TOC3"/>
        <w:tabs>
          <w:tab w:val="left" w:pos="1474"/>
          <w:tab w:val="right" w:leader="dot" w:pos="8302"/>
        </w:tabs>
        <w:rPr>
          <w:rFonts w:eastAsiaTheme="minorEastAsia" w:cstheme="minorBidi"/>
        </w:rPr>
      </w:pPr>
      <w:hyperlink w:anchor="_Toc8995614" w:history="1">
        <w:r w:rsidR="008844A0" w:rsidRPr="001356C6">
          <w:rPr>
            <w:rStyle w:val="Hyperlink"/>
          </w:rPr>
          <w:t>4.2.2</w:t>
        </w:r>
        <w:r w:rsidR="008844A0">
          <w:rPr>
            <w:rFonts w:eastAsiaTheme="minorEastAsia" w:cstheme="minorBidi"/>
          </w:rPr>
          <w:tab/>
        </w:r>
        <w:r w:rsidR="008844A0" w:rsidRPr="001356C6">
          <w:rPr>
            <w:rStyle w:val="Hyperlink"/>
          </w:rPr>
          <w:t>Rationale for recommendation 2</w:t>
        </w:r>
        <w:r w:rsidR="008844A0">
          <w:rPr>
            <w:webHidden/>
          </w:rPr>
          <w:tab/>
        </w:r>
        <w:r w:rsidR="008844A0">
          <w:rPr>
            <w:webHidden/>
          </w:rPr>
          <w:fldChar w:fldCharType="begin"/>
        </w:r>
        <w:r w:rsidR="008844A0">
          <w:rPr>
            <w:webHidden/>
          </w:rPr>
          <w:instrText xml:space="preserve"> PAGEREF _Toc8995614 \h </w:instrText>
        </w:r>
        <w:r w:rsidR="008844A0">
          <w:rPr>
            <w:webHidden/>
          </w:rPr>
        </w:r>
        <w:r w:rsidR="008844A0">
          <w:rPr>
            <w:webHidden/>
          </w:rPr>
          <w:fldChar w:fldCharType="separate"/>
        </w:r>
        <w:r w:rsidR="00013B42">
          <w:rPr>
            <w:webHidden/>
          </w:rPr>
          <w:t>22</w:t>
        </w:r>
        <w:r w:rsidR="008844A0">
          <w:rPr>
            <w:webHidden/>
          </w:rPr>
          <w:fldChar w:fldCharType="end"/>
        </w:r>
      </w:hyperlink>
    </w:p>
    <w:p w14:paraId="1402D57B" w14:textId="3803E1F6" w:rsidR="008844A0" w:rsidRDefault="008B5FBB">
      <w:pPr>
        <w:pStyle w:val="TOC1"/>
        <w:rPr>
          <w:rFonts w:eastAsiaTheme="minorEastAsia" w:cstheme="minorBidi"/>
          <w:b w:val="0"/>
        </w:rPr>
      </w:pPr>
      <w:hyperlink w:anchor="_Toc8995615" w:history="1">
        <w:r w:rsidR="008844A0" w:rsidRPr="001356C6">
          <w:rPr>
            <w:rStyle w:val="Hyperlink"/>
          </w:rPr>
          <w:t>5</w:t>
        </w:r>
        <w:r w:rsidR="008844A0">
          <w:rPr>
            <w:rFonts w:eastAsiaTheme="minorEastAsia" w:cstheme="minorBidi"/>
            <w:b w:val="0"/>
          </w:rPr>
          <w:tab/>
        </w:r>
        <w:r w:rsidR="008844A0" w:rsidRPr="001356C6">
          <w:rPr>
            <w:rStyle w:val="Hyperlink"/>
          </w:rPr>
          <w:t>References</w:t>
        </w:r>
        <w:r w:rsidR="008844A0">
          <w:rPr>
            <w:webHidden/>
          </w:rPr>
          <w:tab/>
        </w:r>
        <w:r w:rsidR="008844A0">
          <w:rPr>
            <w:webHidden/>
          </w:rPr>
          <w:fldChar w:fldCharType="begin"/>
        </w:r>
        <w:r w:rsidR="008844A0">
          <w:rPr>
            <w:webHidden/>
          </w:rPr>
          <w:instrText xml:space="preserve"> PAGEREF _Toc8995615 \h </w:instrText>
        </w:r>
        <w:r w:rsidR="008844A0">
          <w:rPr>
            <w:webHidden/>
          </w:rPr>
        </w:r>
        <w:r w:rsidR="008844A0">
          <w:rPr>
            <w:webHidden/>
          </w:rPr>
          <w:fldChar w:fldCharType="separate"/>
        </w:r>
        <w:r w:rsidR="00013B42">
          <w:rPr>
            <w:webHidden/>
          </w:rPr>
          <w:t>23</w:t>
        </w:r>
        <w:r w:rsidR="008844A0">
          <w:rPr>
            <w:webHidden/>
          </w:rPr>
          <w:fldChar w:fldCharType="end"/>
        </w:r>
      </w:hyperlink>
    </w:p>
    <w:p w14:paraId="4BC481F6" w14:textId="159659FF" w:rsidR="008844A0" w:rsidRDefault="008B5FBB">
      <w:pPr>
        <w:pStyle w:val="TOC1"/>
        <w:rPr>
          <w:rFonts w:eastAsiaTheme="minorEastAsia" w:cstheme="minorBidi"/>
          <w:b w:val="0"/>
        </w:rPr>
      </w:pPr>
      <w:hyperlink w:anchor="_Toc8995616" w:history="1">
        <w:r w:rsidR="008844A0" w:rsidRPr="001356C6">
          <w:rPr>
            <w:rStyle w:val="Hyperlink"/>
          </w:rPr>
          <w:t>6</w:t>
        </w:r>
        <w:r w:rsidR="008844A0">
          <w:rPr>
            <w:rFonts w:eastAsiaTheme="minorEastAsia" w:cstheme="minorBidi"/>
            <w:b w:val="0"/>
          </w:rPr>
          <w:tab/>
        </w:r>
        <w:r w:rsidR="008844A0" w:rsidRPr="001356C6">
          <w:rPr>
            <w:rStyle w:val="Hyperlink"/>
          </w:rPr>
          <w:t>Glossary</w:t>
        </w:r>
        <w:r w:rsidR="008844A0">
          <w:rPr>
            <w:webHidden/>
          </w:rPr>
          <w:tab/>
        </w:r>
        <w:r w:rsidR="008844A0">
          <w:rPr>
            <w:webHidden/>
          </w:rPr>
          <w:fldChar w:fldCharType="begin"/>
        </w:r>
        <w:r w:rsidR="008844A0">
          <w:rPr>
            <w:webHidden/>
          </w:rPr>
          <w:instrText xml:space="preserve"> PAGEREF _Toc8995616 \h </w:instrText>
        </w:r>
        <w:r w:rsidR="008844A0">
          <w:rPr>
            <w:webHidden/>
          </w:rPr>
        </w:r>
        <w:r w:rsidR="008844A0">
          <w:rPr>
            <w:webHidden/>
          </w:rPr>
          <w:fldChar w:fldCharType="separate"/>
        </w:r>
        <w:r w:rsidR="00013B42">
          <w:rPr>
            <w:webHidden/>
          </w:rPr>
          <w:t>24</w:t>
        </w:r>
        <w:r w:rsidR="008844A0">
          <w:rPr>
            <w:webHidden/>
          </w:rPr>
          <w:fldChar w:fldCharType="end"/>
        </w:r>
      </w:hyperlink>
    </w:p>
    <w:p w14:paraId="4CBA8FA3" w14:textId="66773CE9" w:rsidR="008844A0" w:rsidRDefault="008B5FBB">
      <w:pPr>
        <w:pStyle w:val="TOC1"/>
        <w:rPr>
          <w:rFonts w:eastAsiaTheme="minorEastAsia" w:cstheme="minorBidi"/>
          <w:b w:val="0"/>
        </w:rPr>
      </w:pPr>
      <w:hyperlink w:anchor="_Toc8995617" w:history="1">
        <w:r w:rsidR="008844A0" w:rsidRPr="001356C6">
          <w:rPr>
            <w:rStyle w:val="Hyperlink"/>
          </w:rPr>
          <w:t>Appendix A—Assigned items - Changes</w:t>
        </w:r>
        <w:r w:rsidR="008844A0">
          <w:rPr>
            <w:webHidden/>
          </w:rPr>
          <w:tab/>
        </w:r>
        <w:r w:rsidR="008844A0">
          <w:rPr>
            <w:webHidden/>
          </w:rPr>
          <w:fldChar w:fldCharType="begin"/>
        </w:r>
        <w:r w:rsidR="008844A0">
          <w:rPr>
            <w:webHidden/>
          </w:rPr>
          <w:instrText xml:space="preserve"> PAGEREF _Toc8995617 \h </w:instrText>
        </w:r>
        <w:r w:rsidR="008844A0">
          <w:rPr>
            <w:webHidden/>
          </w:rPr>
        </w:r>
        <w:r w:rsidR="008844A0">
          <w:rPr>
            <w:webHidden/>
          </w:rPr>
          <w:fldChar w:fldCharType="separate"/>
        </w:r>
        <w:r w:rsidR="00013B42">
          <w:rPr>
            <w:webHidden/>
          </w:rPr>
          <w:t>25</w:t>
        </w:r>
        <w:r w:rsidR="008844A0">
          <w:rPr>
            <w:webHidden/>
          </w:rPr>
          <w:fldChar w:fldCharType="end"/>
        </w:r>
      </w:hyperlink>
    </w:p>
    <w:p w14:paraId="2C252ED1" w14:textId="541698B7" w:rsidR="008844A0" w:rsidRDefault="008B5FBB">
      <w:pPr>
        <w:pStyle w:val="TOC1"/>
        <w:rPr>
          <w:rFonts w:eastAsiaTheme="minorEastAsia" w:cstheme="minorBidi"/>
          <w:b w:val="0"/>
        </w:rPr>
      </w:pPr>
      <w:hyperlink w:anchor="_Toc8995618" w:history="1">
        <w:r w:rsidR="008844A0" w:rsidRPr="001356C6">
          <w:rPr>
            <w:rStyle w:val="Hyperlink"/>
          </w:rPr>
          <w:t>Assigned items - no change</w:t>
        </w:r>
        <w:r w:rsidR="008844A0">
          <w:rPr>
            <w:webHidden/>
          </w:rPr>
          <w:tab/>
        </w:r>
        <w:r w:rsidR="008844A0">
          <w:rPr>
            <w:webHidden/>
          </w:rPr>
          <w:fldChar w:fldCharType="begin"/>
        </w:r>
        <w:r w:rsidR="008844A0">
          <w:rPr>
            <w:webHidden/>
          </w:rPr>
          <w:instrText xml:space="preserve"> PAGEREF _Toc8995618 \h </w:instrText>
        </w:r>
        <w:r w:rsidR="008844A0">
          <w:rPr>
            <w:webHidden/>
          </w:rPr>
        </w:r>
        <w:r w:rsidR="008844A0">
          <w:rPr>
            <w:webHidden/>
          </w:rPr>
          <w:fldChar w:fldCharType="separate"/>
        </w:r>
        <w:r w:rsidR="00013B42">
          <w:rPr>
            <w:webHidden/>
          </w:rPr>
          <w:t>26</w:t>
        </w:r>
        <w:r w:rsidR="008844A0">
          <w:rPr>
            <w:webHidden/>
          </w:rPr>
          <w:fldChar w:fldCharType="end"/>
        </w:r>
      </w:hyperlink>
    </w:p>
    <w:p w14:paraId="2981D029" w14:textId="0F759D11" w:rsidR="008844A0" w:rsidRDefault="008B5FBB">
      <w:pPr>
        <w:pStyle w:val="TOC1"/>
        <w:rPr>
          <w:rFonts w:eastAsiaTheme="minorEastAsia" w:cstheme="minorBidi"/>
          <w:b w:val="0"/>
        </w:rPr>
      </w:pPr>
      <w:hyperlink w:anchor="_Toc8995619" w:history="1">
        <w:r w:rsidR="008844A0" w:rsidRPr="001356C6">
          <w:rPr>
            <w:rStyle w:val="Hyperlink"/>
          </w:rPr>
          <w:t>Appendix B—Summary for consumers</w:t>
        </w:r>
        <w:r w:rsidR="008844A0">
          <w:rPr>
            <w:webHidden/>
          </w:rPr>
          <w:tab/>
        </w:r>
        <w:r w:rsidR="008844A0">
          <w:rPr>
            <w:webHidden/>
          </w:rPr>
          <w:fldChar w:fldCharType="begin"/>
        </w:r>
        <w:r w:rsidR="008844A0">
          <w:rPr>
            <w:webHidden/>
          </w:rPr>
          <w:instrText xml:space="preserve"> PAGEREF _Toc8995619 \h </w:instrText>
        </w:r>
        <w:r w:rsidR="008844A0">
          <w:rPr>
            <w:webHidden/>
          </w:rPr>
        </w:r>
        <w:r w:rsidR="008844A0">
          <w:rPr>
            <w:webHidden/>
          </w:rPr>
          <w:fldChar w:fldCharType="separate"/>
        </w:r>
        <w:r w:rsidR="00013B42">
          <w:rPr>
            <w:webHidden/>
          </w:rPr>
          <w:t>27</w:t>
        </w:r>
        <w:r w:rsidR="008844A0">
          <w:rPr>
            <w:webHidden/>
          </w:rPr>
          <w:fldChar w:fldCharType="end"/>
        </w:r>
      </w:hyperlink>
    </w:p>
    <w:p w14:paraId="4BDB3444" w14:textId="3EE52E34" w:rsidR="00B94F94" w:rsidRPr="006A6CBD" w:rsidRDefault="00A0282E" w:rsidP="006A6CBD">
      <w:pPr>
        <w:pStyle w:val="TableofFigures"/>
        <w:tabs>
          <w:tab w:val="right" w:leader="dot" w:pos="8302"/>
        </w:tabs>
        <w:spacing w:line="276" w:lineRule="auto"/>
        <w:ind w:left="0" w:firstLine="0"/>
      </w:pPr>
      <w:r w:rsidRPr="006A6CBD">
        <w:rPr>
          <w:sz w:val="22"/>
          <w:szCs w:val="22"/>
        </w:rPr>
        <w:fldChar w:fldCharType="end"/>
      </w:r>
      <w:r w:rsidR="00681471" w:rsidRPr="006A6CBD">
        <w:br w:type="page"/>
      </w:r>
      <w:r w:rsidR="0011166D" w:rsidRPr="006A6CBD">
        <w:rPr>
          <w:b/>
          <w:bCs/>
          <w:color w:val="01653F"/>
          <w:sz w:val="32"/>
          <w:szCs w:val="32"/>
        </w:rPr>
        <w:lastRenderedPageBreak/>
        <w:t xml:space="preserve">List of </w:t>
      </w:r>
      <w:r w:rsidR="00875B90" w:rsidRPr="006A6CBD">
        <w:rPr>
          <w:b/>
          <w:bCs/>
          <w:color w:val="01653F"/>
          <w:sz w:val="32"/>
          <w:szCs w:val="32"/>
        </w:rPr>
        <w:t>t</w:t>
      </w:r>
      <w:r w:rsidR="0011166D" w:rsidRPr="006A6CBD">
        <w:rPr>
          <w:b/>
          <w:bCs/>
          <w:color w:val="01653F"/>
          <w:sz w:val="32"/>
          <w:szCs w:val="32"/>
        </w:rPr>
        <w:t>ables</w:t>
      </w:r>
    </w:p>
    <w:p w14:paraId="7EE50A1C" w14:textId="025E15CE" w:rsidR="008844A0" w:rsidRDefault="00240E05">
      <w:pPr>
        <w:pStyle w:val="TableofFigures"/>
        <w:tabs>
          <w:tab w:val="right" w:leader="dot" w:pos="8302"/>
        </w:tabs>
        <w:rPr>
          <w:rFonts w:eastAsiaTheme="minorEastAsia" w:cstheme="minorBidi"/>
          <w:noProof/>
          <w:sz w:val="22"/>
          <w:szCs w:val="22"/>
        </w:rPr>
      </w:pPr>
      <w:r w:rsidRPr="006A6CBD">
        <w:fldChar w:fldCharType="begin"/>
      </w:r>
      <w:r w:rsidR="0011166D" w:rsidRPr="006A6CBD">
        <w:instrText xml:space="preserve"> TOC \h \z \c "Table" </w:instrText>
      </w:r>
      <w:r w:rsidRPr="006A6CBD">
        <w:fldChar w:fldCharType="separate"/>
      </w:r>
      <w:hyperlink w:anchor="_Toc8995620" w:history="1">
        <w:r w:rsidR="008844A0" w:rsidRPr="00E92346">
          <w:rPr>
            <w:rStyle w:val="Hyperlink"/>
            <w:noProof/>
          </w:rPr>
          <w:t>Table 1: Pathology Clinical Committee members</w:t>
        </w:r>
        <w:r w:rsidR="008844A0">
          <w:rPr>
            <w:noProof/>
            <w:webHidden/>
          </w:rPr>
          <w:tab/>
        </w:r>
        <w:r w:rsidR="008844A0">
          <w:rPr>
            <w:noProof/>
            <w:webHidden/>
          </w:rPr>
          <w:fldChar w:fldCharType="begin"/>
        </w:r>
        <w:r w:rsidR="008844A0">
          <w:rPr>
            <w:noProof/>
            <w:webHidden/>
          </w:rPr>
          <w:instrText xml:space="preserve"> PAGEREF _Toc8995620 \h </w:instrText>
        </w:r>
        <w:r w:rsidR="008844A0">
          <w:rPr>
            <w:noProof/>
            <w:webHidden/>
          </w:rPr>
        </w:r>
        <w:r w:rsidR="008844A0">
          <w:rPr>
            <w:noProof/>
            <w:webHidden/>
          </w:rPr>
          <w:fldChar w:fldCharType="separate"/>
        </w:r>
        <w:r w:rsidR="00013B42">
          <w:rPr>
            <w:noProof/>
            <w:webHidden/>
          </w:rPr>
          <w:t>11</w:t>
        </w:r>
        <w:r w:rsidR="008844A0">
          <w:rPr>
            <w:noProof/>
            <w:webHidden/>
          </w:rPr>
          <w:fldChar w:fldCharType="end"/>
        </w:r>
      </w:hyperlink>
    </w:p>
    <w:p w14:paraId="33C1DAF8" w14:textId="6C2F4A4C" w:rsidR="008844A0" w:rsidRDefault="008B5FBB">
      <w:pPr>
        <w:pStyle w:val="TableofFigures"/>
        <w:tabs>
          <w:tab w:val="right" w:leader="dot" w:pos="8302"/>
        </w:tabs>
        <w:rPr>
          <w:rFonts w:eastAsiaTheme="minorEastAsia" w:cstheme="minorBidi"/>
          <w:noProof/>
          <w:sz w:val="22"/>
          <w:szCs w:val="22"/>
        </w:rPr>
      </w:pPr>
      <w:hyperlink w:anchor="_Toc8995621" w:history="1">
        <w:r w:rsidR="008844A0" w:rsidRPr="00E92346">
          <w:rPr>
            <w:rStyle w:val="Hyperlink"/>
            <w:noProof/>
          </w:rPr>
          <w:t>Table 2. Blood Products Working Group Members</w:t>
        </w:r>
        <w:r w:rsidR="008844A0">
          <w:rPr>
            <w:noProof/>
            <w:webHidden/>
          </w:rPr>
          <w:tab/>
        </w:r>
        <w:r w:rsidR="008844A0">
          <w:rPr>
            <w:noProof/>
            <w:webHidden/>
          </w:rPr>
          <w:fldChar w:fldCharType="begin"/>
        </w:r>
        <w:r w:rsidR="008844A0">
          <w:rPr>
            <w:noProof/>
            <w:webHidden/>
          </w:rPr>
          <w:instrText xml:space="preserve"> PAGEREF _Toc8995621 \h </w:instrText>
        </w:r>
        <w:r w:rsidR="008844A0">
          <w:rPr>
            <w:noProof/>
            <w:webHidden/>
          </w:rPr>
        </w:r>
        <w:r w:rsidR="008844A0">
          <w:rPr>
            <w:noProof/>
            <w:webHidden/>
          </w:rPr>
          <w:fldChar w:fldCharType="separate"/>
        </w:r>
        <w:r w:rsidR="00013B42">
          <w:rPr>
            <w:noProof/>
            <w:webHidden/>
          </w:rPr>
          <w:t>12</w:t>
        </w:r>
        <w:r w:rsidR="008844A0">
          <w:rPr>
            <w:noProof/>
            <w:webHidden/>
          </w:rPr>
          <w:fldChar w:fldCharType="end"/>
        </w:r>
      </w:hyperlink>
    </w:p>
    <w:p w14:paraId="2EFA2D3E" w14:textId="2094644C" w:rsidR="008844A0" w:rsidRDefault="008B5FBB">
      <w:pPr>
        <w:pStyle w:val="TableofFigures"/>
        <w:tabs>
          <w:tab w:val="right" w:leader="dot" w:pos="8302"/>
        </w:tabs>
        <w:rPr>
          <w:rFonts w:eastAsiaTheme="minorEastAsia" w:cstheme="minorBidi"/>
          <w:noProof/>
          <w:sz w:val="22"/>
          <w:szCs w:val="22"/>
        </w:rPr>
      </w:pPr>
      <w:hyperlink w:anchor="_Toc8995622" w:history="1">
        <w:r w:rsidR="008844A0" w:rsidRPr="00E92346">
          <w:rPr>
            <w:rStyle w:val="Hyperlink"/>
            <w:noProof/>
          </w:rPr>
          <w:t>Table 3. Item introduction table for transfusion items 13703, 13706 and 13709</w:t>
        </w:r>
        <w:r w:rsidR="008844A0">
          <w:rPr>
            <w:noProof/>
            <w:webHidden/>
          </w:rPr>
          <w:tab/>
        </w:r>
        <w:r w:rsidR="008844A0">
          <w:rPr>
            <w:noProof/>
            <w:webHidden/>
          </w:rPr>
          <w:fldChar w:fldCharType="begin"/>
        </w:r>
        <w:r w:rsidR="008844A0">
          <w:rPr>
            <w:noProof/>
            <w:webHidden/>
          </w:rPr>
          <w:instrText xml:space="preserve"> PAGEREF _Toc8995622 \h </w:instrText>
        </w:r>
        <w:r w:rsidR="008844A0">
          <w:rPr>
            <w:noProof/>
            <w:webHidden/>
          </w:rPr>
        </w:r>
        <w:r w:rsidR="008844A0">
          <w:rPr>
            <w:noProof/>
            <w:webHidden/>
          </w:rPr>
          <w:fldChar w:fldCharType="separate"/>
        </w:r>
        <w:r w:rsidR="00013B42">
          <w:rPr>
            <w:noProof/>
            <w:webHidden/>
          </w:rPr>
          <w:t>14</w:t>
        </w:r>
        <w:r w:rsidR="008844A0">
          <w:rPr>
            <w:noProof/>
            <w:webHidden/>
          </w:rPr>
          <w:fldChar w:fldCharType="end"/>
        </w:r>
      </w:hyperlink>
    </w:p>
    <w:p w14:paraId="4EA6727F" w14:textId="470F1FF4" w:rsidR="008844A0" w:rsidRDefault="008B5FBB">
      <w:pPr>
        <w:pStyle w:val="TableofFigures"/>
        <w:tabs>
          <w:tab w:val="right" w:leader="dot" w:pos="8302"/>
        </w:tabs>
        <w:rPr>
          <w:rFonts w:eastAsiaTheme="minorEastAsia" w:cstheme="minorBidi"/>
          <w:noProof/>
          <w:sz w:val="22"/>
          <w:szCs w:val="22"/>
        </w:rPr>
      </w:pPr>
      <w:hyperlink w:anchor="_Toc8995623" w:history="1">
        <w:r w:rsidR="008844A0" w:rsidRPr="00E92346">
          <w:rPr>
            <w:rStyle w:val="Hyperlink"/>
            <w:noProof/>
          </w:rPr>
          <w:t>Table 4. Item 13706, Services per patient by NSW, VIC, QLD, 2015–2016</w:t>
        </w:r>
        <w:r w:rsidR="008844A0">
          <w:rPr>
            <w:noProof/>
            <w:webHidden/>
          </w:rPr>
          <w:tab/>
        </w:r>
        <w:r w:rsidR="008844A0">
          <w:rPr>
            <w:noProof/>
            <w:webHidden/>
          </w:rPr>
          <w:fldChar w:fldCharType="begin"/>
        </w:r>
        <w:r w:rsidR="008844A0">
          <w:rPr>
            <w:noProof/>
            <w:webHidden/>
          </w:rPr>
          <w:instrText xml:space="preserve"> PAGEREF _Toc8995623 \h </w:instrText>
        </w:r>
        <w:r w:rsidR="008844A0">
          <w:rPr>
            <w:noProof/>
            <w:webHidden/>
          </w:rPr>
        </w:r>
        <w:r w:rsidR="008844A0">
          <w:rPr>
            <w:noProof/>
            <w:webHidden/>
          </w:rPr>
          <w:fldChar w:fldCharType="separate"/>
        </w:r>
        <w:r w:rsidR="00013B42">
          <w:rPr>
            <w:noProof/>
            <w:webHidden/>
          </w:rPr>
          <w:t>19</w:t>
        </w:r>
        <w:r w:rsidR="008844A0">
          <w:rPr>
            <w:noProof/>
            <w:webHidden/>
          </w:rPr>
          <w:fldChar w:fldCharType="end"/>
        </w:r>
      </w:hyperlink>
    </w:p>
    <w:p w14:paraId="62835D35" w14:textId="6860100B" w:rsidR="008844A0" w:rsidRDefault="008B5FBB">
      <w:pPr>
        <w:pStyle w:val="TableofFigures"/>
        <w:tabs>
          <w:tab w:val="right" w:leader="dot" w:pos="8302"/>
        </w:tabs>
        <w:rPr>
          <w:rFonts w:eastAsiaTheme="minorEastAsia" w:cstheme="minorBidi"/>
          <w:noProof/>
          <w:sz w:val="22"/>
          <w:szCs w:val="22"/>
        </w:rPr>
      </w:pPr>
      <w:hyperlink w:anchor="_Toc8995624" w:history="1">
        <w:r w:rsidR="008844A0" w:rsidRPr="00E92346">
          <w:rPr>
            <w:rStyle w:val="Hyperlink"/>
            <w:noProof/>
          </w:rPr>
          <w:t>Table 5. Item 13706, Services by state, 2003–2004 to 2015–2016 (per 100,000 population)</w:t>
        </w:r>
        <w:r w:rsidR="008844A0">
          <w:rPr>
            <w:noProof/>
            <w:webHidden/>
          </w:rPr>
          <w:tab/>
        </w:r>
        <w:r w:rsidR="008844A0">
          <w:rPr>
            <w:noProof/>
            <w:webHidden/>
          </w:rPr>
          <w:fldChar w:fldCharType="begin"/>
        </w:r>
        <w:r w:rsidR="008844A0">
          <w:rPr>
            <w:noProof/>
            <w:webHidden/>
          </w:rPr>
          <w:instrText xml:space="preserve"> PAGEREF _Toc8995624 \h </w:instrText>
        </w:r>
        <w:r w:rsidR="008844A0">
          <w:rPr>
            <w:noProof/>
            <w:webHidden/>
          </w:rPr>
        </w:r>
        <w:r w:rsidR="008844A0">
          <w:rPr>
            <w:noProof/>
            <w:webHidden/>
          </w:rPr>
          <w:fldChar w:fldCharType="separate"/>
        </w:r>
        <w:r w:rsidR="00013B42">
          <w:rPr>
            <w:noProof/>
            <w:webHidden/>
          </w:rPr>
          <w:t>19</w:t>
        </w:r>
        <w:r w:rsidR="008844A0">
          <w:rPr>
            <w:noProof/>
            <w:webHidden/>
          </w:rPr>
          <w:fldChar w:fldCharType="end"/>
        </w:r>
      </w:hyperlink>
    </w:p>
    <w:p w14:paraId="649BA9BF" w14:textId="66FD459A" w:rsidR="008844A0" w:rsidRDefault="008B5FBB">
      <w:pPr>
        <w:pStyle w:val="TableofFigures"/>
        <w:tabs>
          <w:tab w:val="right" w:leader="dot" w:pos="8302"/>
        </w:tabs>
        <w:rPr>
          <w:rFonts w:eastAsiaTheme="minorEastAsia" w:cstheme="minorBidi"/>
          <w:noProof/>
          <w:sz w:val="22"/>
          <w:szCs w:val="22"/>
        </w:rPr>
      </w:pPr>
      <w:hyperlink w:anchor="_Toc8995625" w:history="1">
        <w:r w:rsidR="008844A0" w:rsidRPr="00E92346">
          <w:rPr>
            <w:rStyle w:val="Hyperlink"/>
            <w:noProof/>
          </w:rPr>
          <w:t xml:space="preserve">Table </w:t>
        </w:r>
        <w:r w:rsidR="008844A0" w:rsidRPr="00E92346">
          <w:rPr>
            <w:rStyle w:val="Hyperlink"/>
            <w:i/>
            <w:noProof/>
          </w:rPr>
          <w:t>6</w:t>
        </w:r>
        <w:r w:rsidR="008844A0" w:rsidRPr="00E92346">
          <w:rPr>
            <w:rStyle w:val="Hyperlink"/>
            <w:noProof/>
          </w:rPr>
          <w:t>. Relative use of blood products by state (per 100,000 population) 2015–2016</w:t>
        </w:r>
        <w:r w:rsidR="008844A0">
          <w:rPr>
            <w:noProof/>
            <w:webHidden/>
          </w:rPr>
          <w:tab/>
        </w:r>
        <w:r w:rsidR="008844A0">
          <w:rPr>
            <w:noProof/>
            <w:webHidden/>
          </w:rPr>
          <w:fldChar w:fldCharType="begin"/>
        </w:r>
        <w:r w:rsidR="008844A0">
          <w:rPr>
            <w:noProof/>
            <w:webHidden/>
          </w:rPr>
          <w:instrText xml:space="preserve"> PAGEREF _Toc8995625 \h </w:instrText>
        </w:r>
        <w:r w:rsidR="008844A0">
          <w:rPr>
            <w:noProof/>
            <w:webHidden/>
          </w:rPr>
        </w:r>
        <w:r w:rsidR="008844A0">
          <w:rPr>
            <w:noProof/>
            <w:webHidden/>
          </w:rPr>
          <w:fldChar w:fldCharType="separate"/>
        </w:r>
        <w:r w:rsidR="00013B42">
          <w:rPr>
            <w:noProof/>
            <w:webHidden/>
          </w:rPr>
          <w:t>20</w:t>
        </w:r>
        <w:r w:rsidR="008844A0">
          <w:rPr>
            <w:noProof/>
            <w:webHidden/>
          </w:rPr>
          <w:fldChar w:fldCharType="end"/>
        </w:r>
      </w:hyperlink>
    </w:p>
    <w:p w14:paraId="38EA89AE" w14:textId="5E5F08E4" w:rsidR="006A036B" w:rsidRPr="006A6CBD" w:rsidRDefault="00240E05" w:rsidP="006A6CBD">
      <w:pPr>
        <w:pStyle w:val="TableofFigures"/>
        <w:tabs>
          <w:tab w:val="left" w:pos="1100"/>
          <w:tab w:val="right" w:leader="dot" w:pos="9016"/>
        </w:tabs>
        <w:spacing w:line="276" w:lineRule="auto"/>
        <w:ind w:left="0" w:firstLine="0"/>
      </w:pPr>
      <w:r w:rsidRPr="006A6CBD">
        <w:fldChar w:fldCharType="end"/>
      </w:r>
    </w:p>
    <w:p w14:paraId="16681125" w14:textId="77777777" w:rsidR="008844A0" w:rsidRDefault="008844A0" w:rsidP="006A6CBD">
      <w:pPr>
        <w:spacing w:before="0" w:after="0" w:line="276" w:lineRule="auto"/>
      </w:pPr>
    </w:p>
    <w:p w14:paraId="4E4C6727" w14:textId="5F5F55D8" w:rsidR="006A036B" w:rsidRPr="006A6CBD" w:rsidRDefault="006A036B" w:rsidP="006A6CBD">
      <w:pPr>
        <w:spacing w:before="0" w:after="0" w:line="276" w:lineRule="auto"/>
        <w:rPr>
          <w:sz w:val="20"/>
          <w:szCs w:val="20"/>
        </w:rPr>
      </w:pPr>
    </w:p>
    <w:p w14:paraId="2B7A5CA1" w14:textId="18B0B640" w:rsidR="00681471" w:rsidRPr="006A6CBD" w:rsidRDefault="00681471" w:rsidP="006A6CBD">
      <w:pPr>
        <w:pStyle w:val="TableofFigures"/>
        <w:tabs>
          <w:tab w:val="left" w:pos="1100"/>
          <w:tab w:val="right" w:leader="dot" w:pos="9016"/>
        </w:tabs>
        <w:spacing w:line="276" w:lineRule="auto"/>
        <w:ind w:left="0" w:firstLine="0"/>
        <w:rPr>
          <w:b/>
          <w:bCs/>
          <w:color w:val="01653F"/>
          <w:sz w:val="32"/>
          <w:szCs w:val="32"/>
        </w:rPr>
      </w:pPr>
      <w:r w:rsidRPr="006A6CBD">
        <w:rPr>
          <w:b/>
          <w:bCs/>
          <w:color w:val="01653F"/>
          <w:sz w:val="32"/>
          <w:szCs w:val="32"/>
        </w:rPr>
        <w:t xml:space="preserve">List of </w:t>
      </w:r>
      <w:r w:rsidR="00875B90" w:rsidRPr="006A6CBD">
        <w:rPr>
          <w:b/>
          <w:bCs/>
          <w:color w:val="01653F"/>
          <w:sz w:val="32"/>
          <w:szCs w:val="32"/>
        </w:rPr>
        <w:t>f</w:t>
      </w:r>
      <w:r w:rsidRPr="006A6CBD">
        <w:rPr>
          <w:b/>
          <w:bCs/>
          <w:color w:val="01653F"/>
          <w:sz w:val="32"/>
          <w:szCs w:val="32"/>
        </w:rPr>
        <w:t>igures</w:t>
      </w:r>
    </w:p>
    <w:p w14:paraId="67B06C97" w14:textId="2054B524" w:rsidR="008844A0" w:rsidRDefault="00817015">
      <w:pPr>
        <w:pStyle w:val="TableofFigures"/>
        <w:tabs>
          <w:tab w:val="right" w:leader="dot" w:pos="8302"/>
        </w:tabs>
        <w:rPr>
          <w:rFonts w:eastAsiaTheme="minorEastAsia" w:cstheme="minorBidi"/>
          <w:noProof/>
          <w:sz w:val="22"/>
          <w:szCs w:val="22"/>
        </w:rPr>
      </w:pPr>
      <w:r w:rsidRPr="006A6CBD">
        <w:rPr>
          <w:rFonts w:cs="Arial"/>
          <w:smallCaps/>
        </w:rPr>
        <w:fldChar w:fldCharType="begin"/>
      </w:r>
      <w:r w:rsidRPr="006A6CBD">
        <w:rPr>
          <w:rFonts w:cs="Arial"/>
          <w:smallCaps/>
        </w:rPr>
        <w:instrText xml:space="preserve"> TOC \h \z \t "Figure Caption,1" \c "Figure" </w:instrText>
      </w:r>
      <w:r w:rsidRPr="006A6CBD">
        <w:rPr>
          <w:rFonts w:cs="Arial"/>
          <w:smallCaps/>
        </w:rPr>
        <w:fldChar w:fldCharType="separate"/>
      </w:r>
      <w:hyperlink w:anchor="_Toc8995626" w:history="1">
        <w:r w:rsidR="008844A0" w:rsidRPr="00B07599">
          <w:rPr>
            <w:rStyle w:val="Hyperlink"/>
            <w:noProof/>
          </w:rPr>
          <w:t>Figure 1: Prioritisation matrix</w:t>
        </w:r>
        <w:r w:rsidR="008844A0">
          <w:rPr>
            <w:noProof/>
            <w:webHidden/>
          </w:rPr>
          <w:tab/>
        </w:r>
        <w:r w:rsidR="008844A0">
          <w:rPr>
            <w:noProof/>
            <w:webHidden/>
          </w:rPr>
          <w:fldChar w:fldCharType="begin"/>
        </w:r>
        <w:r w:rsidR="008844A0">
          <w:rPr>
            <w:noProof/>
            <w:webHidden/>
          </w:rPr>
          <w:instrText xml:space="preserve"> PAGEREF _Toc8995626 \h </w:instrText>
        </w:r>
        <w:r w:rsidR="008844A0">
          <w:rPr>
            <w:noProof/>
            <w:webHidden/>
          </w:rPr>
        </w:r>
        <w:r w:rsidR="008844A0">
          <w:rPr>
            <w:noProof/>
            <w:webHidden/>
          </w:rPr>
          <w:fldChar w:fldCharType="separate"/>
        </w:r>
        <w:r w:rsidR="00013B42">
          <w:rPr>
            <w:noProof/>
            <w:webHidden/>
          </w:rPr>
          <w:t>10</w:t>
        </w:r>
        <w:r w:rsidR="008844A0">
          <w:rPr>
            <w:noProof/>
            <w:webHidden/>
          </w:rPr>
          <w:fldChar w:fldCharType="end"/>
        </w:r>
      </w:hyperlink>
    </w:p>
    <w:p w14:paraId="7642CA8C" w14:textId="1B6CFFF6" w:rsidR="008844A0" w:rsidRDefault="008B5FBB">
      <w:pPr>
        <w:pStyle w:val="TableofFigures"/>
        <w:tabs>
          <w:tab w:val="right" w:leader="dot" w:pos="8302"/>
        </w:tabs>
        <w:rPr>
          <w:rFonts w:eastAsiaTheme="minorEastAsia" w:cstheme="minorBidi"/>
          <w:noProof/>
          <w:sz w:val="22"/>
          <w:szCs w:val="22"/>
        </w:rPr>
      </w:pPr>
      <w:hyperlink w:anchor="_Toc8995627" w:history="1">
        <w:r w:rsidR="008844A0" w:rsidRPr="00B07599">
          <w:rPr>
            <w:rStyle w:val="Hyperlink"/>
            <w:noProof/>
          </w:rPr>
          <w:t>Figure 2. Item 13706: Services per capita by state 2014–2015.</w:t>
        </w:r>
        <w:r w:rsidR="008844A0">
          <w:rPr>
            <w:noProof/>
            <w:webHidden/>
          </w:rPr>
          <w:tab/>
        </w:r>
        <w:r w:rsidR="008844A0">
          <w:rPr>
            <w:noProof/>
            <w:webHidden/>
          </w:rPr>
          <w:fldChar w:fldCharType="begin"/>
        </w:r>
        <w:r w:rsidR="008844A0">
          <w:rPr>
            <w:noProof/>
            <w:webHidden/>
          </w:rPr>
          <w:instrText xml:space="preserve"> PAGEREF _Toc8995627 \h </w:instrText>
        </w:r>
        <w:r w:rsidR="008844A0">
          <w:rPr>
            <w:noProof/>
            <w:webHidden/>
          </w:rPr>
        </w:r>
        <w:r w:rsidR="008844A0">
          <w:rPr>
            <w:noProof/>
            <w:webHidden/>
          </w:rPr>
          <w:fldChar w:fldCharType="separate"/>
        </w:r>
        <w:r w:rsidR="00013B42">
          <w:rPr>
            <w:noProof/>
            <w:webHidden/>
          </w:rPr>
          <w:t>16</w:t>
        </w:r>
        <w:r w:rsidR="008844A0">
          <w:rPr>
            <w:noProof/>
            <w:webHidden/>
          </w:rPr>
          <w:fldChar w:fldCharType="end"/>
        </w:r>
      </w:hyperlink>
    </w:p>
    <w:p w14:paraId="7B615A10" w14:textId="1C7393F7" w:rsidR="008844A0" w:rsidRDefault="008B5FBB">
      <w:pPr>
        <w:pStyle w:val="TableofFigures"/>
        <w:tabs>
          <w:tab w:val="right" w:leader="dot" w:pos="8302"/>
        </w:tabs>
        <w:rPr>
          <w:rFonts w:eastAsiaTheme="minorEastAsia" w:cstheme="minorBidi"/>
          <w:noProof/>
          <w:sz w:val="22"/>
          <w:szCs w:val="22"/>
        </w:rPr>
      </w:pPr>
      <w:hyperlink w:anchor="_Toc8995628" w:history="1">
        <w:r w:rsidR="008844A0" w:rsidRPr="00B07599">
          <w:rPr>
            <w:rStyle w:val="Hyperlink"/>
            <w:noProof/>
          </w:rPr>
          <w:t>Figure 3. Item 13706: Services per patient by state per financial year, 2009–2010 to 2015–2016.</w:t>
        </w:r>
        <w:r w:rsidR="008844A0">
          <w:rPr>
            <w:noProof/>
            <w:webHidden/>
          </w:rPr>
          <w:tab/>
        </w:r>
        <w:r w:rsidR="008844A0">
          <w:rPr>
            <w:noProof/>
            <w:webHidden/>
          </w:rPr>
          <w:fldChar w:fldCharType="begin"/>
        </w:r>
        <w:r w:rsidR="008844A0">
          <w:rPr>
            <w:noProof/>
            <w:webHidden/>
          </w:rPr>
          <w:instrText xml:space="preserve"> PAGEREF _Toc8995628 \h </w:instrText>
        </w:r>
        <w:r w:rsidR="008844A0">
          <w:rPr>
            <w:noProof/>
            <w:webHidden/>
          </w:rPr>
        </w:r>
        <w:r w:rsidR="008844A0">
          <w:rPr>
            <w:noProof/>
            <w:webHidden/>
          </w:rPr>
          <w:fldChar w:fldCharType="separate"/>
        </w:r>
        <w:r w:rsidR="00013B42">
          <w:rPr>
            <w:noProof/>
            <w:webHidden/>
          </w:rPr>
          <w:t>17</w:t>
        </w:r>
        <w:r w:rsidR="008844A0">
          <w:rPr>
            <w:noProof/>
            <w:webHidden/>
          </w:rPr>
          <w:fldChar w:fldCharType="end"/>
        </w:r>
      </w:hyperlink>
    </w:p>
    <w:p w14:paraId="60C905BB" w14:textId="390035F9" w:rsidR="008844A0" w:rsidRDefault="008B5FBB">
      <w:pPr>
        <w:pStyle w:val="TableofFigures"/>
        <w:tabs>
          <w:tab w:val="right" w:leader="dot" w:pos="8302"/>
        </w:tabs>
        <w:rPr>
          <w:rFonts w:eastAsiaTheme="minorEastAsia" w:cstheme="minorBidi"/>
          <w:noProof/>
          <w:sz w:val="22"/>
          <w:szCs w:val="22"/>
        </w:rPr>
      </w:pPr>
      <w:hyperlink w:anchor="_Toc8995629" w:history="1">
        <w:r w:rsidR="008844A0" w:rsidRPr="00B07599">
          <w:rPr>
            <w:rStyle w:val="Hyperlink"/>
            <w:noProof/>
          </w:rPr>
          <w:t>Figure 4. Item 13706: Services per patient by financial year per state, 2009–2010 to 2015–2016.</w:t>
        </w:r>
        <w:r w:rsidR="008844A0">
          <w:rPr>
            <w:noProof/>
            <w:webHidden/>
          </w:rPr>
          <w:tab/>
        </w:r>
        <w:r w:rsidR="008844A0">
          <w:rPr>
            <w:noProof/>
            <w:webHidden/>
          </w:rPr>
          <w:fldChar w:fldCharType="begin"/>
        </w:r>
        <w:r w:rsidR="008844A0">
          <w:rPr>
            <w:noProof/>
            <w:webHidden/>
          </w:rPr>
          <w:instrText xml:space="preserve"> PAGEREF _Toc8995629 \h </w:instrText>
        </w:r>
        <w:r w:rsidR="008844A0">
          <w:rPr>
            <w:noProof/>
            <w:webHidden/>
          </w:rPr>
        </w:r>
        <w:r w:rsidR="008844A0">
          <w:rPr>
            <w:noProof/>
            <w:webHidden/>
          </w:rPr>
          <w:fldChar w:fldCharType="separate"/>
        </w:r>
        <w:r w:rsidR="00013B42">
          <w:rPr>
            <w:noProof/>
            <w:webHidden/>
          </w:rPr>
          <w:t>17</w:t>
        </w:r>
        <w:r w:rsidR="008844A0">
          <w:rPr>
            <w:noProof/>
            <w:webHidden/>
          </w:rPr>
          <w:fldChar w:fldCharType="end"/>
        </w:r>
      </w:hyperlink>
    </w:p>
    <w:p w14:paraId="1AEDC2C2" w14:textId="5FE9AA86" w:rsidR="008844A0" w:rsidRDefault="008B5FBB">
      <w:pPr>
        <w:pStyle w:val="TableofFigures"/>
        <w:tabs>
          <w:tab w:val="right" w:leader="dot" w:pos="8302"/>
        </w:tabs>
        <w:rPr>
          <w:rFonts w:eastAsiaTheme="minorEastAsia" w:cstheme="minorBidi"/>
          <w:noProof/>
          <w:sz w:val="22"/>
          <w:szCs w:val="22"/>
        </w:rPr>
      </w:pPr>
      <w:hyperlink w:anchor="_Toc8995630" w:history="1">
        <w:r w:rsidR="008844A0" w:rsidRPr="00B07599">
          <w:rPr>
            <w:rStyle w:val="Hyperlink"/>
            <w:noProof/>
          </w:rPr>
          <w:t>Figure 5. Item 13706: Request by provider type 2014–2015.</w:t>
        </w:r>
        <w:r w:rsidR="008844A0">
          <w:rPr>
            <w:noProof/>
            <w:webHidden/>
          </w:rPr>
          <w:tab/>
        </w:r>
        <w:r w:rsidR="008844A0">
          <w:rPr>
            <w:noProof/>
            <w:webHidden/>
          </w:rPr>
          <w:fldChar w:fldCharType="begin"/>
        </w:r>
        <w:r w:rsidR="008844A0">
          <w:rPr>
            <w:noProof/>
            <w:webHidden/>
          </w:rPr>
          <w:instrText xml:space="preserve"> PAGEREF _Toc8995630 \h </w:instrText>
        </w:r>
        <w:r w:rsidR="008844A0">
          <w:rPr>
            <w:noProof/>
            <w:webHidden/>
          </w:rPr>
        </w:r>
        <w:r w:rsidR="008844A0">
          <w:rPr>
            <w:noProof/>
            <w:webHidden/>
          </w:rPr>
          <w:fldChar w:fldCharType="separate"/>
        </w:r>
        <w:r w:rsidR="00013B42">
          <w:rPr>
            <w:noProof/>
            <w:webHidden/>
          </w:rPr>
          <w:t>18</w:t>
        </w:r>
        <w:r w:rsidR="008844A0">
          <w:rPr>
            <w:noProof/>
            <w:webHidden/>
          </w:rPr>
          <w:fldChar w:fldCharType="end"/>
        </w:r>
      </w:hyperlink>
    </w:p>
    <w:p w14:paraId="2E554E91" w14:textId="030FD136" w:rsidR="008844A0" w:rsidRDefault="008B5FBB">
      <w:pPr>
        <w:pStyle w:val="TableofFigures"/>
        <w:tabs>
          <w:tab w:val="right" w:leader="dot" w:pos="8302"/>
        </w:tabs>
        <w:rPr>
          <w:rFonts w:eastAsiaTheme="minorEastAsia" w:cstheme="minorBidi"/>
          <w:noProof/>
          <w:sz w:val="22"/>
          <w:szCs w:val="22"/>
        </w:rPr>
      </w:pPr>
      <w:hyperlink w:anchor="_Toc8995631" w:history="1">
        <w:r w:rsidR="008844A0" w:rsidRPr="00B07599">
          <w:rPr>
            <w:rStyle w:val="Hyperlink"/>
            <w:noProof/>
          </w:rPr>
          <w:t>Figure 6. Relative use of blood products by state/100,000 population 2015–2016</w:t>
        </w:r>
        <w:r w:rsidR="008844A0">
          <w:rPr>
            <w:noProof/>
            <w:webHidden/>
          </w:rPr>
          <w:tab/>
        </w:r>
        <w:r w:rsidR="008844A0">
          <w:rPr>
            <w:noProof/>
            <w:webHidden/>
          </w:rPr>
          <w:fldChar w:fldCharType="begin"/>
        </w:r>
        <w:r w:rsidR="008844A0">
          <w:rPr>
            <w:noProof/>
            <w:webHidden/>
          </w:rPr>
          <w:instrText xml:space="preserve"> PAGEREF _Toc8995631 \h </w:instrText>
        </w:r>
        <w:r w:rsidR="008844A0">
          <w:rPr>
            <w:noProof/>
            <w:webHidden/>
          </w:rPr>
        </w:r>
        <w:r w:rsidR="008844A0">
          <w:rPr>
            <w:noProof/>
            <w:webHidden/>
          </w:rPr>
          <w:fldChar w:fldCharType="separate"/>
        </w:r>
        <w:r w:rsidR="00013B42">
          <w:rPr>
            <w:noProof/>
            <w:webHidden/>
          </w:rPr>
          <w:t>18</w:t>
        </w:r>
        <w:r w:rsidR="008844A0">
          <w:rPr>
            <w:noProof/>
            <w:webHidden/>
          </w:rPr>
          <w:fldChar w:fldCharType="end"/>
        </w:r>
      </w:hyperlink>
    </w:p>
    <w:p w14:paraId="24A8EB2C" w14:textId="7CE9968A" w:rsidR="00262127" w:rsidRPr="006A6CBD" w:rsidRDefault="00817015" w:rsidP="006A6CBD">
      <w:pPr>
        <w:pStyle w:val="TableofFigures"/>
        <w:tabs>
          <w:tab w:val="right" w:leader="dot" w:pos="9016"/>
        </w:tabs>
        <w:spacing w:line="276" w:lineRule="auto"/>
        <w:rPr>
          <w:rFonts w:cs="Arial"/>
        </w:rPr>
      </w:pPr>
      <w:r w:rsidRPr="006A6CBD">
        <w:rPr>
          <w:rFonts w:cs="Arial"/>
          <w:smallCaps/>
        </w:rPr>
        <w:fldChar w:fldCharType="end"/>
      </w:r>
      <w:r w:rsidR="00262127" w:rsidRPr="006A6CBD">
        <w:rPr>
          <w:rFonts w:cs="Arial"/>
        </w:rPr>
        <w:br w:type="page"/>
      </w:r>
    </w:p>
    <w:p w14:paraId="7F52AF7A" w14:textId="77777777" w:rsidR="00222B98" w:rsidRPr="006A6CBD" w:rsidRDefault="00222B98" w:rsidP="0087705D">
      <w:pPr>
        <w:pStyle w:val="Heading1"/>
      </w:pPr>
      <w:bookmarkStart w:id="4" w:name="_Toc485295711"/>
      <w:bookmarkStart w:id="5" w:name="_Toc505843865"/>
      <w:bookmarkStart w:id="6" w:name="_Toc8995593"/>
      <w:bookmarkStart w:id="7" w:name="_Toc485295724"/>
      <w:bookmarkEnd w:id="2"/>
      <w:r w:rsidRPr="006A6CBD">
        <w:lastRenderedPageBreak/>
        <w:t>Executive summary</w:t>
      </w:r>
      <w:bookmarkEnd w:id="4"/>
      <w:bookmarkEnd w:id="5"/>
      <w:bookmarkEnd w:id="6"/>
    </w:p>
    <w:p w14:paraId="2222D9E0" w14:textId="77777777" w:rsidR="00222B98" w:rsidRPr="006A6CBD" w:rsidRDefault="00222B98" w:rsidP="006A6CBD">
      <w:pPr>
        <w:spacing w:line="276" w:lineRule="auto"/>
        <w:rPr>
          <w:rStyle w:val="IntenseEmphasis"/>
          <w:b w:val="0"/>
          <w:i w:val="0"/>
          <w:color w:val="auto"/>
        </w:rPr>
      </w:pPr>
      <w:r w:rsidRPr="006A6CBD">
        <w:rPr>
          <w:rStyle w:val="IntenseEmphasis"/>
          <w:b w:val="0"/>
          <w:i w:val="0"/>
          <w:color w:val="auto"/>
        </w:rPr>
        <w:t>The Medicare Benefits Schedule (MBS) Review Taskforce (the Taskforce) is undertaking a program</w:t>
      </w:r>
      <w:r w:rsidR="00A85410" w:rsidRPr="006A6CBD">
        <w:rPr>
          <w:rStyle w:val="IntenseEmphasis"/>
          <w:b w:val="0"/>
          <w:i w:val="0"/>
          <w:color w:val="auto"/>
        </w:rPr>
        <w:t>me</w:t>
      </w:r>
      <w:r w:rsidRPr="006A6CBD">
        <w:rPr>
          <w:rStyle w:val="IntenseEmphasis"/>
          <w:b w:val="0"/>
          <w:i w:val="0"/>
          <w:color w:val="auto"/>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2E0D3846" w14:textId="77777777" w:rsidR="00222B98" w:rsidRPr="006A6CBD" w:rsidRDefault="00222B98" w:rsidP="006A6CBD">
      <w:pPr>
        <w:spacing w:line="276" w:lineRule="auto"/>
      </w:pPr>
      <w:r w:rsidRPr="006A6CBD">
        <w:t>The Taskforce is committed to providing recommendations to the Minister for Health (the Minister) that will allow the MBS to deliver on each of these four key goals:</w:t>
      </w:r>
    </w:p>
    <w:p w14:paraId="4C349D5C" w14:textId="77777777" w:rsidR="00222B98" w:rsidRPr="006A6CBD" w:rsidRDefault="00222B98" w:rsidP="006A6CBD">
      <w:pPr>
        <w:pStyle w:val="Bullet-green"/>
        <w:spacing w:line="276" w:lineRule="auto"/>
      </w:pPr>
      <w:r w:rsidRPr="006A6CBD">
        <w:t>Affordable and universal access</w:t>
      </w:r>
      <w:r w:rsidR="00E03C0C" w:rsidRPr="006A6CBD">
        <w:t>.</w:t>
      </w:r>
    </w:p>
    <w:p w14:paraId="1985BAA6" w14:textId="77777777" w:rsidR="00222B98" w:rsidRPr="006A6CBD" w:rsidRDefault="00222B98" w:rsidP="006A6CBD">
      <w:pPr>
        <w:pStyle w:val="Bullet-green"/>
        <w:spacing w:line="276" w:lineRule="auto"/>
      </w:pPr>
      <w:r w:rsidRPr="006A6CBD">
        <w:t>Best</w:t>
      </w:r>
      <w:r w:rsidR="002866B6" w:rsidRPr="006A6CBD">
        <w:t>-</w:t>
      </w:r>
      <w:r w:rsidRPr="006A6CBD">
        <w:t>practice health services</w:t>
      </w:r>
      <w:r w:rsidR="00E03C0C" w:rsidRPr="006A6CBD">
        <w:t>.</w:t>
      </w:r>
    </w:p>
    <w:p w14:paraId="3A563F2F" w14:textId="77777777" w:rsidR="00222B98" w:rsidRPr="006A6CBD" w:rsidRDefault="00222B98" w:rsidP="006A6CBD">
      <w:pPr>
        <w:pStyle w:val="Bullet-green"/>
        <w:spacing w:line="276" w:lineRule="auto"/>
      </w:pPr>
      <w:r w:rsidRPr="006A6CBD">
        <w:t>Value for the individual patient</w:t>
      </w:r>
      <w:r w:rsidR="00E03C0C" w:rsidRPr="006A6CBD">
        <w:t>.</w:t>
      </w:r>
    </w:p>
    <w:p w14:paraId="19C2AF7D" w14:textId="77777777" w:rsidR="00222B98" w:rsidRPr="006A6CBD" w:rsidRDefault="00222B98" w:rsidP="006A6CBD">
      <w:pPr>
        <w:pStyle w:val="Bullet-green"/>
        <w:spacing w:line="276" w:lineRule="auto"/>
      </w:pPr>
      <w:r w:rsidRPr="006A6CBD">
        <w:t>Value for the health system.</w:t>
      </w:r>
    </w:p>
    <w:p w14:paraId="5CD317D7" w14:textId="77777777" w:rsidR="00222B98" w:rsidRPr="006A6CBD" w:rsidRDefault="00222B98" w:rsidP="006A6CBD">
      <w:pPr>
        <w:spacing w:line="276" w:lineRule="auto"/>
      </w:pPr>
      <w:r w:rsidRPr="006A6CBD">
        <w:t>The Taskforce has endorsed a methodology whereby the necessary clinical review of MBS items is undertaken by clinical committees and working groups.</w:t>
      </w:r>
    </w:p>
    <w:p w14:paraId="0EC6E7F7" w14:textId="2DBC016B" w:rsidR="00116BAA" w:rsidRPr="006A6CBD" w:rsidRDefault="00222B98" w:rsidP="0087705D">
      <w:pPr>
        <w:spacing w:line="276" w:lineRule="auto"/>
      </w:pPr>
      <w:r w:rsidRPr="006A6CBD">
        <w:t xml:space="preserve">The recommendations from the clinical committees are released for stakeholder consultation. The clinical committees consider feedback from stakeholders then provide recommendations to the Taskforce in a </w:t>
      </w:r>
      <w:r w:rsidR="00E85CE7" w:rsidRPr="006A6CBD">
        <w:t>r</w:t>
      </w:r>
      <w:r w:rsidRPr="006A6CBD">
        <w:t xml:space="preserve">eview </w:t>
      </w:r>
      <w:r w:rsidR="00E85CE7" w:rsidRPr="006A6CBD">
        <w:t>r</w:t>
      </w:r>
      <w:r w:rsidRPr="006A6CBD">
        <w:t xml:space="preserve">eport. The Taskforce considers the </w:t>
      </w:r>
      <w:r w:rsidR="00CD14E1" w:rsidRPr="006A6CBD">
        <w:t>r</w:t>
      </w:r>
      <w:r w:rsidRPr="006A6CBD">
        <w:t xml:space="preserve">eview </w:t>
      </w:r>
      <w:r w:rsidR="00CD14E1" w:rsidRPr="006A6CBD">
        <w:t>r</w:t>
      </w:r>
      <w:r w:rsidRPr="006A6CBD">
        <w:t xml:space="preserve">eports from clinical committees and stakeholder feedback before making recommendations to the Minister for consideration by Government. </w:t>
      </w:r>
      <w:bookmarkStart w:id="8" w:name="_Toc505843866"/>
    </w:p>
    <w:p w14:paraId="1FEF1982" w14:textId="75CCD35D" w:rsidR="005C4CA9" w:rsidRPr="0087705D" w:rsidRDefault="00655B5E" w:rsidP="0087705D">
      <w:pPr>
        <w:pStyle w:val="Heading2"/>
      </w:pPr>
      <w:bookmarkStart w:id="9" w:name="_Toc8995594"/>
      <w:r w:rsidRPr="006A6CBD">
        <w:t>Key recommendations</w:t>
      </w:r>
      <w:bookmarkEnd w:id="9"/>
    </w:p>
    <w:p w14:paraId="15A5EBB2" w14:textId="59032ECA" w:rsidR="006A6CBD" w:rsidRPr="006A6CBD" w:rsidRDefault="00655B5E" w:rsidP="006A6CBD">
      <w:pPr>
        <w:spacing w:line="276" w:lineRule="auto"/>
        <w:rPr>
          <w:lang w:eastAsia="en-US"/>
        </w:rPr>
      </w:pPr>
      <w:r w:rsidRPr="006A6CBD">
        <w:rPr>
          <w:lang w:eastAsia="en-US"/>
        </w:rPr>
        <w:t xml:space="preserve">The Blood Products Working Group (BPWG) review eight items. Changes were made to </w:t>
      </w:r>
      <w:r w:rsidR="00F227CB">
        <w:rPr>
          <w:lang w:eastAsia="en-US"/>
        </w:rPr>
        <w:t>four</w:t>
      </w:r>
      <w:r w:rsidRPr="006A6CBD">
        <w:rPr>
          <w:lang w:eastAsia="en-US"/>
        </w:rPr>
        <w:t xml:space="preserve"> items </w:t>
      </w:r>
      <w:r w:rsidR="006A6CBD" w:rsidRPr="006A6CBD">
        <w:rPr>
          <w:lang w:eastAsia="en-US"/>
        </w:rPr>
        <w:t xml:space="preserve">relating to: </w:t>
      </w:r>
    </w:p>
    <w:p w14:paraId="6DABC71D" w14:textId="45E564CF" w:rsidR="006A6CBD" w:rsidRPr="006A6CBD" w:rsidRDefault="006A6CBD" w:rsidP="006A6CBD">
      <w:pPr>
        <w:pStyle w:val="ListParagraph"/>
        <w:numPr>
          <w:ilvl w:val="0"/>
          <w:numId w:val="45"/>
        </w:numPr>
        <w:spacing w:line="276" w:lineRule="auto"/>
        <w:rPr>
          <w:lang w:eastAsia="en-US"/>
        </w:rPr>
      </w:pPr>
      <w:r w:rsidRPr="006A6CBD">
        <w:rPr>
          <w:lang w:eastAsia="en-US"/>
        </w:rPr>
        <w:t>Collection and transfusion of blood products items: the rationale for these changes was to address potential misuse of the items.</w:t>
      </w:r>
    </w:p>
    <w:p w14:paraId="25404A8E" w14:textId="076763D9" w:rsidR="006A6CBD" w:rsidRPr="006A6CBD" w:rsidRDefault="006A6CBD" w:rsidP="006A6CBD">
      <w:pPr>
        <w:pStyle w:val="ListParagraph"/>
        <w:numPr>
          <w:ilvl w:val="0"/>
          <w:numId w:val="45"/>
        </w:numPr>
        <w:spacing w:line="276" w:lineRule="auto"/>
        <w:rPr>
          <w:lang w:eastAsia="en-US"/>
        </w:rPr>
      </w:pPr>
      <w:r w:rsidRPr="006A6CBD">
        <w:rPr>
          <w:lang w:eastAsia="en-US"/>
        </w:rPr>
        <w:t>Stem cell transplantation: the rationale for this change was to align the service with international clinical guidelines and contemporary clinical practice.</w:t>
      </w:r>
    </w:p>
    <w:p w14:paraId="00213473" w14:textId="77777777" w:rsidR="006A6CBD" w:rsidRPr="006A6CBD" w:rsidRDefault="006A6CBD" w:rsidP="006A6CBD">
      <w:pPr>
        <w:spacing w:line="276" w:lineRule="auto"/>
        <w:rPr>
          <w:lang w:eastAsia="en-US"/>
        </w:rPr>
      </w:pPr>
      <w:r w:rsidRPr="006A6CBD">
        <w:rPr>
          <w:lang w:eastAsia="en-US"/>
        </w:rPr>
        <w:t>No changes were made to four items which reflect contemporary clinical practice.</w:t>
      </w:r>
    </w:p>
    <w:p w14:paraId="3C9F5B5E" w14:textId="7EB9A027" w:rsidR="00655B5E" w:rsidRPr="006A6CBD" w:rsidRDefault="006A6CBD" w:rsidP="006A6CBD">
      <w:pPr>
        <w:spacing w:line="276" w:lineRule="auto"/>
        <w:rPr>
          <w:szCs w:val="22"/>
        </w:rPr>
      </w:pPr>
      <w:r w:rsidRPr="006A6CBD">
        <w:rPr>
          <w:lang w:eastAsia="en-US"/>
        </w:rPr>
        <w:t>T</w:t>
      </w:r>
      <w:r w:rsidR="00655B5E" w:rsidRPr="006A6CBD">
        <w:rPr>
          <w:lang w:eastAsia="en-US"/>
        </w:rPr>
        <w:t xml:space="preserve">he Review was based on evidence and clinical expertise, in consultation with relevant stakeholders. </w:t>
      </w:r>
      <w:r w:rsidR="00655B5E" w:rsidRPr="006A6CBD">
        <w:t xml:space="preserve">The recommendations (and the accompanying rationales) for all items can be found in Section 4. </w:t>
      </w:r>
    </w:p>
    <w:p w14:paraId="68AA1C9E" w14:textId="57DC61C3" w:rsidR="001A50D5" w:rsidRPr="006A6CBD" w:rsidRDefault="001A50D5" w:rsidP="0087705D">
      <w:pPr>
        <w:pStyle w:val="Heading2"/>
      </w:pPr>
      <w:bookmarkStart w:id="10" w:name="_Toc8995595"/>
      <w:r w:rsidRPr="006A6CBD">
        <w:lastRenderedPageBreak/>
        <w:t>Consumer impact</w:t>
      </w:r>
      <w:bookmarkEnd w:id="10"/>
    </w:p>
    <w:p w14:paraId="6118BBA1" w14:textId="77777777" w:rsidR="001A50D5" w:rsidRPr="006A6CBD" w:rsidRDefault="001A50D5" w:rsidP="006A6CBD">
      <w:pPr>
        <w:spacing w:line="276" w:lineRule="auto"/>
        <w:rPr>
          <w:rFonts w:eastAsiaTheme="minorHAnsi"/>
        </w:rPr>
      </w:pPr>
      <w:r w:rsidRPr="006A6CBD">
        <w:rPr>
          <w:rFonts w:eastAsiaTheme="minorHAnsi"/>
        </w:rPr>
        <w:t xml:space="preserve">The Committee considered the consumer impact of the proposed changes in detail.  All recommendations have been summarised for consumers in </w:t>
      </w:r>
      <w:hyperlink w:anchor="AppendixA" w:history="1">
        <w:r w:rsidRPr="006A6CBD">
          <w:rPr>
            <w:rFonts w:eastAsiaTheme="minorHAnsi"/>
          </w:rPr>
          <w:t xml:space="preserve">Appendix </w:t>
        </w:r>
        <w:r w:rsidRPr="006A6CBD">
          <w:t>A – Summary for consumers</w:t>
        </w:r>
      </w:hyperlink>
      <w:r w:rsidRPr="006A6CBD">
        <w:rPr>
          <w:rFonts w:eastAsiaTheme="minorHAnsi"/>
        </w:rPr>
        <w:t xml:space="preserve">. The summary describes the medical service, the recommendation of the clinical experts and the rationale behind the recommendations. A consumer impact statement is available in </w:t>
      </w:r>
      <w:hyperlink w:anchor="Section6" w:history="1">
        <w:r w:rsidRPr="006A6CBD">
          <w:rPr>
            <w:rFonts w:eastAsiaTheme="minorHAnsi"/>
          </w:rPr>
          <w:t>Section 5</w:t>
        </w:r>
      </w:hyperlink>
      <w:r w:rsidRPr="006A6CBD">
        <w:rPr>
          <w:rFonts w:eastAsiaTheme="minorHAnsi"/>
        </w:rPr>
        <w:t>.</w:t>
      </w:r>
    </w:p>
    <w:p w14:paraId="0CE2EE5A" w14:textId="77777777" w:rsidR="001A50D5" w:rsidRPr="006A6CBD" w:rsidRDefault="001A50D5" w:rsidP="006A6CBD">
      <w:pPr>
        <w:spacing w:line="276" w:lineRule="auto"/>
        <w:rPr>
          <w:rFonts w:eastAsiaTheme="minorHAnsi"/>
        </w:rPr>
      </w:pPr>
      <w:r w:rsidRPr="006A6CBD">
        <w:rPr>
          <w:rFonts w:eastAsiaTheme="minorHAnsi"/>
        </w:rPr>
        <w:t>It is important to find out from consumers if they will be helped or disadvantaged by the recommendations—and how and why. Following targeted consultation, the feedback from consumers will be considered in order to make sure that all the important concerns are addressed. The Taskforce will then provide the recommendations to Government.</w:t>
      </w:r>
    </w:p>
    <w:p w14:paraId="78DEA485" w14:textId="77777777" w:rsidR="001A50D5" w:rsidRPr="006A6CBD" w:rsidRDefault="001A50D5" w:rsidP="006A6CBD">
      <w:pPr>
        <w:spacing w:line="276" w:lineRule="auto"/>
      </w:pPr>
      <w:r w:rsidRPr="006A6CBD">
        <w:t>Both patients and clinicians are expected to benefit from these recommendations because they address concerns regarding patient safety and quality of care, and because they take steps to simplify the MBS and make it easier to use and understand. In addition, the Committee's recommendations promote the provision of higher value medical care, which can reduce unnecessary procedures and related out-of-pocket fees for patients, while supporting improved access to modern procedures and the responsible operation of the healthcare system as a whole.</w:t>
      </w:r>
    </w:p>
    <w:p w14:paraId="105A7A81" w14:textId="77777777" w:rsidR="001A50D5" w:rsidRPr="006A6CBD" w:rsidRDefault="001A50D5" w:rsidP="006A6CBD">
      <w:pPr>
        <w:spacing w:line="276" w:lineRule="auto"/>
      </w:pPr>
      <w:r w:rsidRPr="006A6CBD">
        <w:t>The consumer representative on the Committee identified a number of key questions in relation to the Committee’s recommendations and their impact on consumers and these are discussed in detail in the consumer impact statement in Section 5 of this Report.</w:t>
      </w:r>
    </w:p>
    <w:p w14:paraId="7A1A67D3" w14:textId="77777777" w:rsidR="001A50D5" w:rsidRPr="006A6CBD" w:rsidRDefault="001A50D5" w:rsidP="006A6CBD">
      <w:pPr>
        <w:spacing w:line="276" w:lineRule="auto"/>
        <w:rPr>
          <w:szCs w:val="22"/>
        </w:rPr>
      </w:pPr>
      <w:r w:rsidRPr="006A6CBD">
        <w:t xml:space="preserve">All recommendations have been summarised for consumers in </w:t>
      </w:r>
      <w:hyperlink w:anchor="AppendixA" w:history="1">
        <w:r w:rsidRPr="006A6CBD">
          <w:rPr>
            <w:rStyle w:val="Hyperlink"/>
          </w:rPr>
          <w:t>Appendix A – Summary for Consumers</w:t>
        </w:r>
      </w:hyperlink>
      <w:r w:rsidRPr="006A6CBD">
        <w:t xml:space="preserve">. The summary describes the medical service, the recommendation of the clinical experts and the rationale behind the recommendations. </w:t>
      </w:r>
    </w:p>
    <w:p w14:paraId="633728A3" w14:textId="77777777" w:rsidR="00222B98" w:rsidRPr="006A6CBD" w:rsidRDefault="00222B98" w:rsidP="0087705D">
      <w:pPr>
        <w:pStyle w:val="Heading1"/>
        <w:keepLines/>
        <w:pageBreakBefore/>
        <w:widowControl/>
        <w:ind w:left="431" w:hanging="431"/>
      </w:pPr>
      <w:bookmarkStart w:id="11" w:name="_Toc485295714"/>
      <w:bookmarkStart w:id="12" w:name="_Toc505843868"/>
      <w:bookmarkStart w:id="13" w:name="_Toc8995596"/>
      <w:bookmarkEnd w:id="8"/>
      <w:r w:rsidRPr="006A6CBD">
        <w:lastRenderedPageBreak/>
        <w:t>About the Medicare Benefits Schedule (MBS) Review</w:t>
      </w:r>
      <w:bookmarkEnd w:id="11"/>
      <w:bookmarkEnd w:id="12"/>
      <w:bookmarkEnd w:id="13"/>
    </w:p>
    <w:p w14:paraId="7C18E2C8" w14:textId="77777777" w:rsidR="00222B98" w:rsidRPr="006A6CBD" w:rsidRDefault="00222B98" w:rsidP="0087705D">
      <w:pPr>
        <w:pStyle w:val="Heading2"/>
      </w:pPr>
      <w:bookmarkStart w:id="14" w:name="_Toc505843870"/>
      <w:bookmarkStart w:id="15" w:name="_Toc8995597"/>
      <w:r w:rsidRPr="006A6CBD">
        <w:t>What is Medicare?</w:t>
      </w:r>
      <w:bookmarkEnd w:id="14"/>
      <w:bookmarkEnd w:id="15"/>
    </w:p>
    <w:p w14:paraId="61C11302" w14:textId="77777777" w:rsidR="00222B98" w:rsidRPr="006A6CBD" w:rsidRDefault="00222B98" w:rsidP="006A6CBD">
      <w:pPr>
        <w:spacing w:line="276" w:lineRule="auto"/>
      </w:pPr>
      <w:r w:rsidRPr="006A6CBD">
        <w:t>Medicare is Australia’s universal health scheme</w:t>
      </w:r>
      <w:r w:rsidR="003A7111" w:rsidRPr="006A6CBD">
        <w:t>. It</w:t>
      </w:r>
      <w:r w:rsidRPr="006A6CBD">
        <w:t xml:space="preserve"> enables all Australian residents (and some overseas visitors) to have access to a wide range of health services and medicines at little or no cost. </w:t>
      </w:r>
    </w:p>
    <w:p w14:paraId="47031369" w14:textId="77777777" w:rsidR="00222B98" w:rsidRPr="006A6CBD" w:rsidRDefault="00222B98" w:rsidP="006A6CBD">
      <w:pPr>
        <w:spacing w:line="276" w:lineRule="auto"/>
      </w:pPr>
      <w:r w:rsidRPr="006A6CBD">
        <w:t xml:space="preserve">Introduced in 1984, Medicare has three components: </w:t>
      </w:r>
    </w:p>
    <w:p w14:paraId="5C0C7B42" w14:textId="77777777" w:rsidR="00222B98" w:rsidRPr="006A6CBD" w:rsidRDefault="001F0EEE" w:rsidP="006A6CBD">
      <w:pPr>
        <w:pStyle w:val="Bullet-green"/>
        <w:spacing w:line="276" w:lineRule="auto"/>
      </w:pPr>
      <w:r w:rsidRPr="006A6CBD">
        <w:t>F</w:t>
      </w:r>
      <w:r w:rsidR="00222B98" w:rsidRPr="006A6CBD">
        <w:t>ree public hospital services for public patients</w:t>
      </w:r>
      <w:r w:rsidR="00512DBA" w:rsidRPr="006A6CBD">
        <w:t>.</w:t>
      </w:r>
    </w:p>
    <w:p w14:paraId="65E18431" w14:textId="77777777" w:rsidR="00222B98" w:rsidRPr="006A6CBD" w:rsidRDefault="001F0EEE" w:rsidP="006A6CBD">
      <w:pPr>
        <w:pStyle w:val="Bullet-green"/>
        <w:spacing w:line="276" w:lineRule="auto"/>
      </w:pPr>
      <w:r w:rsidRPr="006A6CBD">
        <w:t>S</w:t>
      </w:r>
      <w:r w:rsidR="00222B98" w:rsidRPr="006A6CBD">
        <w:t>ubsidised drugs covered by the Pharmaceutical Benefits Scheme (PBS)</w:t>
      </w:r>
      <w:r w:rsidR="00512DBA" w:rsidRPr="006A6CBD">
        <w:t>.</w:t>
      </w:r>
    </w:p>
    <w:p w14:paraId="17993740" w14:textId="77777777" w:rsidR="00222B98" w:rsidRPr="006A6CBD" w:rsidRDefault="001F0EEE" w:rsidP="006A6CBD">
      <w:pPr>
        <w:pStyle w:val="Bullet-green"/>
        <w:spacing w:line="276" w:lineRule="auto"/>
      </w:pPr>
      <w:r w:rsidRPr="006A6CBD">
        <w:t>S</w:t>
      </w:r>
      <w:r w:rsidR="00222B98" w:rsidRPr="006A6CBD">
        <w:t>ubsidised health professional services listed on the MBS.</w:t>
      </w:r>
    </w:p>
    <w:p w14:paraId="6BE957DB" w14:textId="77777777" w:rsidR="00222B98" w:rsidRPr="006A6CBD" w:rsidRDefault="00222B98" w:rsidP="0087705D">
      <w:pPr>
        <w:pStyle w:val="Heading2"/>
      </w:pPr>
      <w:bookmarkStart w:id="16" w:name="_Toc505843871"/>
      <w:bookmarkStart w:id="17" w:name="_Toc8995598"/>
      <w:r w:rsidRPr="006A6CBD">
        <w:t>What is the MBS?</w:t>
      </w:r>
      <w:bookmarkEnd w:id="16"/>
      <w:bookmarkEnd w:id="17"/>
    </w:p>
    <w:p w14:paraId="71DC62F1" w14:textId="77777777" w:rsidR="00222B98" w:rsidRPr="006A6CBD" w:rsidRDefault="00222B98" w:rsidP="006A6CBD">
      <w:pPr>
        <w:spacing w:line="276" w:lineRule="auto"/>
      </w:pPr>
      <w:r w:rsidRPr="006A6CBD">
        <w:t>The MBS is a listing of the health professional services subsidised by the Australian Government. There are more than 5,700 MBS items</w:t>
      </w:r>
      <w:r w:rsidR="00736C65" w:rsidRPr="006A6CBD">
        <w:t>, which</w:t>
      </w:r>
      <w:r w:rsidRPr="006A6CBD">
        <w:t xml:space="preserve"> provide benefits to patients for a comprehensive range of services, including consultations, diagnostic tests and operations. </w:t>
      </w:r>
    </w:p>
    <w:p w14:paraId="2ECCB774" w14:textId="77777777" w:rsidR="00222B98" w:rsidRPr="006A6CBD" w:rsidRDefault="00222B98" w:rsidP="0087705D">
      <w:pPr>
        <w:pStyle w:val="Heading2"/>
      </w:pPr>
      <w:bookmarkStart w:id="18" w:name="_Toc485295716"/>
      <w:bookmarkStart w:id="19" w:name="_Toc505843872"/>
      <w:bookmarkStart w:id="20" w:name="_Toc8995599"/>
      <w:r w:rsidRPr="006A6CBD">
        <w:t>What is the MBS Review Taskforce?</w:t>
      </w:r>
      <w:bookmarkEnd w:id="18"/>
      <w:bookmarkEnd w:id="19"/>
      <w:bookmarkEnd w:id="20"/>
    </w:p>
    <w:p w14:paraId="7EA6B960" w14:textId="77777777" w:rsidR="00222B98" w:rsidRPr="006A6CBD" w:rsidRDefault="00222B98" w:rsidP="006A6CBD">
      <w:pPr>
        <w:spacing w:line="276" w:lineRule="auto"/>
      </w:pPr>
      <w:r w:rsidRPr="006A6CBD">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A210D1" w:rsidRPr="006A6CBD">
        <w:t xml:space="preserve">MBS </w:t>
      </w:r>
      <w:r w:rsidRPr="006A6CBD">
        <w:t xml:space="preserve">Review is clinician-led, and there are no targets for savings attached to the </w:t>
      </w:r>
      <w:r w:rsidR="006B25BC" w:rsidRPr="006A6CBD">
        <w:t>r</w:t>
      </w:r>
      <w:r w:rsidRPr="006A6CBD">
        <w:t xml:space="preserve">eview. </w:t>
      </w:r>
    </w:p>
    <w:p w14:paraId="5D2288B7" w14:textId="77777777" w:rsidR="00222B98" w:rsidRPr="006A6CBD" w:rsidRDefault="00222B98" w:rsidP="0087705D">
      <w:pPr>
        <w:pStyle w:val="Heading2"/>
      </w:pPr>
      <w:bookmarkStart w:id="21" w:name="_Toc505843873"/>
      <w:bookmarkStart w:id="22" w:name="_Toc8995600"/>
      <w:r w:rsidRPr="006A6CBD">
        <w:t>What are the goals of the Taskforce?</w:t>
      </w:r>
      <w:bookmarkEnd w:id="21"/>
      <w:bookmarkEnd w:id="22"/>
    </w:p>
    <w:p w14:paraId="10E3C39A" w14:textId="77777777" w:rsidR="00222B98" w:rsidRPr="006A6CBD" w:rsidRDefault="00222B98" w:rsidP="006A6CBD">
      <w:pPr>
        <w:spacing w:line="276" w:lineRule="auto"/>
      </w:pPr>
      <w:r w:rsidRPr="006A6CBD">
        <w:t>The Taskforce is committed to providing recommendations to the Minister that will allow the MBS to deliver on each of these four key goals:</w:t>
      </w:r>
    </w:p>
    <w:p w14:paraId="0CD3ACBC" w14:textId="77777777" w:rsidR="00222B98" w:rsidRPr="006A6CBD" w:rsidRDefault="00222B98" w:rsidP="006A6CBD">
      <w:pPr>
        <w:pStyle w:val="Bullet-green"/>
        <w:spacing w:line="276" w:lineRule="auto"/>
      </w:pPr>
      <w:r w:rsidRPr="006A6CBD">
        <w:t>Affordable and universal access—the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2F966E35" w14:textId="77777777" w:rsidR="00222B98" w:rsidRPr="006A6CBD" w:rsidRDefault="00222B98" w:rsidP="006A6CBD">
      <w:pPr>
        <w:pStyle w:val="Bullet-green"/>
        <w:spacing w:line="276" w:lineRule="auto"/>
      </w:pPr>
      <w:r w:rsidRPr="006A6CBD">
        <w:t xml:space="preserve">Best practice health services—one of the core objectives of the </w:t>
      </w:r>
      <w:r w:rsidR="00EC42C1" w:rsidRPr="006A6CBD">
        <w:t xml:space="preserve">MBS </w:t>
      </w:r>
      <w:r w:rsidRPr="006A6CBD">
        <w:t xml:space="preserve">Review is to modernise the MBS, ensuring that individual items and their descriptors are consistent with contemporary best practice and the evidence base when possible. Although the </w:t>
      </w:r>
      <w:r w:rsidRPr="006A6CBD">
        <w:lastRenderedPageBreak/>
        <w:t>Medical Services Advisory Committee (MSAC) plays a crucial role in thoroughly evaluating new services, the vast majority of existing MBS items pre-date this process and have never been reviewed.</w:t>
      </w:r>
    </w:p>
    <w:p w14:paraId="390EACCA" w14:textId="77777777" w:rsidR="00222B98" w:rsidRPr="006A6CBD" w:rsidRDefault="00222B98" w:rsidP="006A6CBD">
      <w:pPr>
        <w:pStyle w:val="Bullet-green"/>
        <w:spacing w:line="276" w:lineRule="auto"/>
      </w:pPr>
      <w:r w:rsidRPr="006A6CBD">
        <w:t xml:space="preserve">Value for the individual patient—another core objective of the </w:t>
      </w:r>
      <w:r w:rsidR="00D36E39" w:rsidRPr="006A6CBD">
        <w:t xml:space="preserve">MBS </w:t>
      </w:r>
      <w:r w:rsidRPr="006A6CBD">
        <w:t>Review is to support the delivery of services that are appropriate to the patient’s needs, provide real clinical value and do not expose the patient to unnecessary risk or expense.</w:t>
      </w:r>
    </w:p>
    <w:p w14:paraId="03078A71" w14:textId="77777777" w:rsidR="00222B98" w:rsidRPr="006A6CBD" w:rsidRDefault="00222B98" w:rsidP="006A6CBD">
      <w:pPr>
        <w:pStyle w:val="Bullet-green"/>
        <w:spacing w:line="276" w:lineRule="auto"/>
      </w:pPr>
      <w:r w:rsidRPr="006A6CBD">
        <w:t>Value for the health system—achieving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356C859" w14:textId="77777777" w:rsidR="00222B98" w:rsidRPr="006A6CBD" w:rsidRDefault="00222B98" w:rsidP="0087705D">
      <w:pPr>
        <w:pStyle w:val="Heading2"/>
      </w:pPr>
      <w:bookmarkStart w:id="23" w:name="_Toc485295717"/>
      <w:bookmarkStart w:id="24" w:name="_Toc505843874"/>
      <w:bookmarkStart w:id="25" w:name="_Toc8995601"/>
      <w:r w:rsidRPr="006A6CBD">
        <w:t>The Taskforce’s approach</w:t>
      </w:r>
      <w:bookmarkEnd w:id="23"/>
      <w:bookmarkEnd w:id="24"/>
      <w:bookmarkEnd w:id="25"/>
    </w:p>
    <w:p w14:paraId="4350DA1F" w14:textId="77777777" w:rsidR="00222B98" w:rsidRPr="006A6CBD" w:rsidRDefault="00222B98" w:rsidP="006A6CBD">
      <w:pPr>
        <w:spacing w:line="276" w:lineRule="auto"/>
      </w:pPr>
      <w:r w:rsidRPr="006A6CBD">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FCCB54D" w14:textId="77777777" w:rsidR="00222B98" w:rsidRPr="006A6CBD" w:rsidRDefault="00222B98" w:rsidP="006A6CBD">
      <w:pPr>
        <w:spacing w:line="276" w:lineRule="auto"/>
      </w:pPr>
      <w:r w:rsidRPr="006A6CBD">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B53FCE0" w14:textId="77777777" w:rsidR="00222B98" w:rsidRPr="006A6CBD" w:rsidRDefault="00222B98" w:rsidP="006A6CBD">
      <w:pPr>
        <w:spacing w:line="276" w:lineRule="auto"/>
      </w:pPr>
      <w:r w:rsidRPr="006A6CBD">
        <w:t xml:space="preserve">As the MBS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2018F62B" w14:textId="514970FD" w:rsidR="00222B98" w:rsidRPr="006A6CBD" w:rsidRDefault="00222B98" w:rsidP="006A6CBD">
      <w:pPr>
        <w:spacing w:line="276" w:lineRule="auto"/>
      </w:pPr>
      <w:r w:rsidRPr="006A6CBD">
        <w:t>The Taskforce asked the committees to review MBS items using a framework based on Professor Adam Elshaug’s appropriate use criteria</w:t>
      </w:r>
      <w:r w:rsidR="006A036B" w:rsidRPr="006A6CBD">
        <w:t xml:space="preserve"> </w:t>
      </w:r>
      <w:sdt>
        <w:sdtPr>
          <w:id w:val="-1019313585"/>
          <w:citation/>
        </w:sdtPr>
        <w:sdtEndPr/>
        <w:sdtContent>
          <w:r w:rsidR="006A036B" w:rsidRPr="006A6CBD">
            <w:fldChar w:fldCharType="begin"/>
          </w:r>
          <w:r w:rsidR="006A036B" w:rsidRPr="006A6CBD">
            <w:instrText xml:space="preserve"> CITATION Els12 \l 3081 </w:instrText>
          </w:r>
          <w:r w:rsidR="006A036B" w:rsidRPr="006A6CBD">
            <w:fldChar w:fldCharType="separate"/>
          </w:r>
          <w:r w:rsidR="006A036B" w:rsidRPr="006A6CBD">
            <w:rPr>
              <w:noProof/>
            </w:rPr>
            <w:t>(1)</w:t>
          </w:r>
          <w:r w:rsidR="006A036B" w:rsidRPr="006A6CBD">
            <w:fldChar w:fldCharType="end"/>
          </w:r>
        </w:sdtContent>
      </w:sdt>
      <w:r w:rsidR="006A036B" w:rsidRPr="006A6CBD">
        <w:t>.</w:t>
      </w:r>
      <w:r w:rsidRPr="006A6CBD">
        <w:t xml:space="preserve"> The framework consists of seven steps:</w:t>
      </w:r>
    </w:p>
    <w:p w14:paraId="78A88C76" w14:textId="77777777" w:rsidR="00222B98" w:rsidRPr="006A6CBD" w:rsidRDefault="00222B98" w:rsidP="006A6CBD">
      <w:pPr>
        <w:pStyle w:val="Numbering"/>
        <w:spacing w:line="276" w:lineRule="auto"/>
      </w:pPr>
      <w:r w:rsidRPr="006A6CBD">
        <w:t xml:space="preserve">Develop an initial fact base for all items under consideration, drawing on the relevant data and literature. </w:t>
      </w:r>
    </w:p>
    <w:p w14:paraId="75217796" w14:textId="18041162" w:rsidR="00222B98" w:rsidRPr="006A6CBD" w:rsidRDefault="00222B98" w:rsidP="006A6CBD">
      <w:pPr>
        <w:pStyle w:val="Numbering"/>
        <w:spacing w:line="276" w:lineRule="auto"/>
      </w:pPr>
      <w:r w:rsidRPr="006A6CBD">
        <w:lastRenderedPageBreak/>
        <w:t>Identify items that are obsolete, are of questionable clinical value</w:t>
      </w:r>
      <w:r w:rsidR="008020C5" w:rsidRPr="006A6CBD">
        <w:rPr>
          <w:rStyle w:val="FootnoteReference"/>
        </w:rPr>
        <w:footnoteReference w:id="1"/>
      </w:r>
      <w:r w:rsidR="0058423F" w:rsidRPr="006A6CBD">
        <w:t>, are misused</w:t>
      </w:r>
      <w:r w:rsidR="008020C5" w:rsidRPr="006A6CBD">
        <w:rPr>
          <w:rStyle w:val="FootnoteReference"/>
        </w:rPr>
        <w:footnoteReference w:id="2"/>
      </w:r>
      <w:r w:rsidR="0058423F" w:rsidRPr="006A6CBD">
        <w:t xml:space="preserve">, and/or pose a risk to patient safety. </w:t>
      </w:r>
      <w:r w:rsidRPr="006A6CBD">
        <w:t>This step includes prioritising items as “priority 1”, “priority 2” or “priority 3”, using a prioritisation methodology (described in more detail below).</w:t>
      </w:r>
    </w:p>
    <w:p w14:paraId="1FF5A4EA" w14:textId="77777777" w:rsidR="00222B98" w:rsidRPr="006A6CBD" w:rsidRDefault="00222B98" w:rsidP="006A6CBD">
      <w:pPr>
        <w:pStyle w:val="Numbering"/>
        <w:spacing w:line="276" w:lineRule="auto"/>
      </w:pPr>
      <w:r w:rsidRPr="006A6CBD">
        <w:t>Identify any issues, develop hypotheses for recommendations and create a work plan (including establishing working groups, when required) to arrive at recommendations for each item.</w:t>
      </w:r>
    </w:p>
    <w:p w14:paraId="2DC45C62" w14:textId="77777777" w:rsidR="00222B98" w:rsidRPr="006A6CBD" w:rsidRDefault="00222B98" w:rsidP="006A6CBD">
      <w:pPr>
        <w:pStyle w:val="Numbering"/>
        <w:spacing w:line="276" w:lineRule="auto"/>
      </w:pPr>
      <w:r w:rsidRPr="006A6CBD">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6118D7FE" w14:textId="77777777" w:rsidR="00222B98" w:rsidRPr="006A6CBD" w:rsidRDefault="00222B98" w:rsidP="006A6CBD">
      <w:pPr>
        <w:pStyle w:val="Numbering"/>
        <w:spacing w:line="276" w:lineRule="auto"/>
      </w:pPr>
      <w:bookmarkStart w:id="26" w:name="_Ref505174405"/>
      <w:r w:rsidRPr="006A6CBD">
        <w:t>Review the provisional recommendations and the accompanying rationales, and gather further evidence as required.</w:t>
      </w:r>
      <w:bookmarkEnd w:id="26"/>
    </w:p>
    <w:p w14:paraId="1123148D" w14:textId="77777777" w:rsidR="00222B98" w:rsidRPr="006A6CBD" w:rsidRDefault="00222B98" w:rsidP="006A6CBD">
      <w:pPr>
        <w:pStyle w:val="Numbering"/>
        <w:spacing w:line="276" w:lineRule="auto"/>
      </w:pPr>
      <w:r w:rsidRPr="006A6CBD">
        <w:t>Finalise the recommendations in preparation for broader stakeholder consultation.</w:t>
      </w:r>
    </w:p>
    <w:p w14:paraId="09D82092" w14:textId="77777777" w:rsidR="00222B98" w:rsidRPr="006A6CBD" w:rsidRDefault="00222B98" w:rsidP="006A6CBD">
      <w:pPr>
        <w:pStyle w:val="Numbering"/>
        <w:spacing w:line="276" w:lineRule="auto"/>
      </w:pPr>
      <w:r w:rsidRPr="006A6CBD">
        <w:t xml:space="preserve">Incorporate feedback gathered during stakeholder consultation and finalise the </w:t>
      </w:r>
      <w:r w:rsidR="00691271" w:rsidRPr="006A6CBD">
        <w:t>r</w:t>
      </w:r>
      <w:r w:rsidRPr="006A6CBD">
        <w:t xml:space="preserve">eview </w:t>
      </w:r>
      <w:r w:rsidR="00691271" w:rsidRPr="006A6CBD">
        <w:t>r</w:t>
      </w:r>
      <w:r w:rsidRPr="006A6CBD">
        <w:t xml:space="preserve">eport, which provides recommendations for the Taskforce. </w:t>
      </w:r>
    </w:p>
    <w:p w14:paraId="1BE5DFD3" w14:textId="77777777" w:rsidR="00547828" w:rsidRPr="006A6CBD" w:rsidRDefault="00222B98" w:rsidP="006A6CBD">
      <w:pPr>
        <w:spacing w:line="276" w:lineRule="auto"/>
      </w:pPr>
      <w:r w:rsidRPr="006A6CBD">
        <w:t xml:space="preserve">All MBS items will be reviewed during the course of the MBS Review. However, given the breadth of the </w:t>
      </w:r>
      <w:r w:rsidR="007C69AE" w:rsidRPr="006A6CBD">
        <w:t>r</w:t>
      </w:r>
      <w:r w:rsidRPr="006A6CBD">
        <w:t>eview</w:t>
      </w:r>
      <w:r w:rsidR="00E940DF" w:rsidRPr="006A6CBD">
        <w:t xml:space="preserve"> and its timeframe</w:t>
      </w:r>
      <w:r w:rsidRPr="006A6CBD">
        <w:t xml:space="preserve">, each clinical committee has to develop a work plan and assign priorities, keeping in mind the objectives of the </w:t>
      </w:r>
      <w:r w:rsidR="008C33FB" w:rsidRPr="006A6CBD">
        <w:t>r</w:t>
      </w:r>
      <w:r w:rsidRPr="006A6CBD">
        <w:t xml:space="preserve">eview. Committees use a robust prioritisation methodology to focus their attention and resources on the most important items requiring review. </w:t>
      </w:r>
    </w:p>
    <w:p w14:paraId="43662F1F" w14:textId="5CC86F94" w:rsidR="00222B98" w:rsidRPr="006A6CBD" w:rsidRDefault="00222B98" w:rsidP="006A6CBD">
      <w:pPr>
        <w:spacing w:line="276" w:lineRule="auto"/>
      </w:pPr>
      <w:r w:rsidRPr="006A6CBD">
        <w:t>This was determined based on a combination of two standard metrics, derived from the appropriate use criteria:</w:t>
      </w:r>
    </w:p>
    <w:p w14:paraId="422A86F0" w14:textId="77777777" w:rsidR="00222B98" w:rsidRPr="006A6CBD" w:rsidRDefault="00222B98" w:rsidP="006A6CBD">
      <w:pPr>
        <w:pStyle w:val="Bullet-green"/>
        <w:spacing w:line="276" w:lineRule="auto"/>
      </w:pPr>
      <w:r w:rsidRPr="006A6CBD">
        <w:t>Service volume.</w:t>
      </w:r>
    </w:p>
    <w:p w14:paraId="74877462" w14:textId="77777777" w:rsidR="00222B98" w:rsidRPr="006A6CBD" w:rsidRDefault="00222B98" w:rsidP="006A6CBD">
      <w:pPr>
        <w:pStyle w:val="Bullet-green"/>
        <w:spacing w:line="276" w:lineRule="auto"/>
      </w:pPr>
      <w:r w:rsidRPr="006A6CBD">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0B88D395" w14:textId="5F0E6DF3" w:rsidR="00222B98" w:rsidRPr="006A6CBD" w:rsidRDefault="00222B98" w:rsidP="006A6CBD">
      <w:pPr>
        <w:pStyle w:val="TableCaption"/>
        <w:spacing w:line="276" w:lineRule="auto"/>
      </w:pPr>
      <w:bookmarkStart w:id="27" w:name="_Ref503780508"/>
      <w:bookmarkStart w:id="28" w:name="_Toc503779131"/>
      <w:bookmarkStart w:id="29" w:name="_Toc8995626"/>
      <w:r w:rsidRPr="006A6CBD">
        <w:lastRenderedPageBreak/>
        <w:t xml:space="preserve">Figure </w:t>
      </w:r>
      <w:r w:rsidR="00F227CB">
        <w:rPr>
          <w:noProof/>
        </w:rPr>
        <w:fldChar w:fldCharType="begin"/>
      </w:r>
      <w:r w:rsidR="00F227CB">
        <w:rPr>
          <w:noProof/>
        </w:rPr>
        <w:instrText xml:space="preserve"> SEQ Figure \* ARABIC </w:instrText>
      </w:r>
      <w:r w:rsidR="00F227CB">
        <w:rPr>
          <w:noProof/>
        </w:rPr>
        <w:fldChar w:fldCharType="separate"/>
      </w:r>
      <w:r w:rsidR="00013B42">
        <w:rPr>
          <w:noProof/>
        </w:rPr>
        <w:t>1</w:t>
      </w:r>
      <w:r w:rsidR="00F227CB">
        <w:rPr>
          <w:noProof/>
        </w:rPr>
        <w:fldChar w:fldCharType="end"/>
      </w:r>
      <w:bookmarkEnd w:id="27"/>
      <w:r w:rsidRPr="006A6CBD">
        <w:t>: Prioritisation matrix</w:t>
      </w:r>
      <w:bookmarkEnd w:id="28"/>
      <w:bookmarkEnd w:id="29"/>
    </w:p>
    <w:p w14:paraId="1B29B7E6" w14:textId="77777777" w:rsidR="00222B98" w:rsidRPr="006A6CBD" w:rsidRDefault="00222B98" w:rsidP="006A6CBD">
      <w:pPr>
        <w:spacing w:line="276" w:lineRule="auto"/>
        <w:jc w:val="center"/>
      </w:pPr>
      <w:r w:rsidRPr="006A6CBD">
        <w:rPr>
          <w:noProof/>
        </w:rPr>
        <w:drawing>
          <wp:inline distT="0" distB="0" distL="0" distR="0" wp14:anchorId="2F97ECFE" wp14:editId="726B8B36">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88F75BE" w14:textId="786531D7" w:rsidR="00337D19" w:rsidRPr="0087705D" w:rsidRDefault="00222B98" w:rsidP="006A6CBD">
      <w:pPr>
        <w:spacing w:line="276" w:lineRule="auto"/>
      </w:pPr>
      <w:r w:rsidRPr="006A6CBD">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6A6CBD">
        <w:fldChar w:fldCharType="begin"/>
      </w:r>
      <w:r w:rsidRPr="006A6CBD">
        <w:instrText xml:space="preserve"> REF _Ref503780508 \h </w:instrText>
      </w:r>
      <w:r w:rsidR="006A6CBD">
        <w:instrText xml:space="preserve"> \* MERGEFORMAT </w:instrText>
      </w:r>
      <w:r w:rsidRPr="006A6CBD">
        <w:fldChar w:fldCharType="separate"/>
      </w:r>
      <w:r w:rsidR="00013B42" w:rsidRPr="006A6CBD">
        <w:t xml:space="preserve">Figure </w:t>
      </w:r>
      <w:r w:rsidR="00013B42">
        <w:rPr>
          <w:noProof/>
        </w:rPr>
        <w:t>1</w:t>
      </w:r>
      <w:r w:rsidRPr="006A6CBD">
        <w:fldChar w:fldCharType="end"/>
      </w:r>
      <w:r w:rsidRPr="006A6CBD">
        <w:t xml:space="preserve">). Clinical committees use this priority ranking to organise their review of item numbers and apportion the amount of </w:t>
      </w:r>
      <w:bookmarkStart w:id="30" w:name="_Toc485295719"/>
      <w:bookmarkStart w:id="31" w:name="_Toc505843875"/>
      <w:r w:rsidR="0087705D">
        <w:t>time spent on each item.</w:t>
      </w:r>
    </w:p>
    <w:p w14:paraId="351E95C6" w14:textId="2AA8C8E9" w:rsidR="00222B98" w:rsidRPr="006A6CBD" w:rsidRDefault="00222B98" w:rsidP="006A6CBD">
      <w:pPr>
        <w:pStyle w:val="Heading1"/>
        <w:spacing w:line="276" w:lineRule="auto"/>
      </w:pPr>
      <w:bookmarkStart w:id="32" w:name="_Toc8995602"/>
      <w:r w:rsidRPr="006A6CBD">
        <w:t>About the</w:t>
      </w:r>
      <w:r w:rsidR="00567139" w:rsidRPr="006A6CBD">
        <w:t xml:space="preserve"> </w:t>
      </w:r>
      <w:r w:rsidR="006F79B5" w:rsidRPr="006A6CBD">
        <w:t>Pathology</w:t>
      </w:r>
      <w:r w:rsidR="00926B4D" w:rsidRPr="006A6CBD">
        <w:t xml:space="preserve"> Clinical Committee</w:t>
      </w:r>
      <w:bookmarkEnd w:id="30"/>
      <w:bookmarkEnd w:id="31"/>
      <w:bookmarkEnd w:id="32"/>
    </w:p>
    <w:p w14:paraId="26E716D1" w14:textId="77777777" w:rsidR="006F79B5" w:rsidRPr="006A6CBD" w:rsidRDefault="006F79B5" w:rsidP="006A6CBD">
      <w:pPr>
        <w:spacing w:line="276" w:lineRule="auto"/>
      </w:pPr>
      <w:bookmarkStart w:id="33" w:name="_Toc455669872"/>
      <w:r w:rsidRPr="006A6CBD">
        <w:t xml:space="preserve">The Pathology Clinical Committee (the Committee) was established in April 2016 to make recommendations to the Taskforce on MBS items within its remit, based on rapid evidence review and clinical expertise. The Taskforce asked the Committee to review haematology-related MBS items. </w:t>
      </w:r>
    </w:p>
    <w:p w14:paraId="390ED6E6" w14:textId="4590C7FA" w:rsidR="00D44C07" w:rsidRPr="006A6CBD" w:rsidRDefault="00E66C45" w:rsidP="0087705D">
      <w:pPr>
        <w:pStyle w:val="Heading2"/>
      </w:pPr>
      <w:bookmarkStart w:id="34" w:name="_Toc529954301"/>
      <w:bookmarkStart w:id="35" w:name="_Toc529971821"/>
      <w:bookmarkStart w:id="36" w:name="_Toc529972694"/>
      <w:bookmarkStart w:id="37" w:name="_Toc529973549"/>
      <w:bookmarkStart w:id="38" w:name="_Toc485295720"/>
      <w:bookmarkStart w:id="39" w:name="_Toc505843876"/>
      <w:bookmarkStart w:id="40" w:name="_Toc8995603"/>
      <w:bookmarkEnd w:id="34"/>
      <w:bookmarkEnd w:id="35"/>
      <w:bookmarkEnd w:id="36"/>
      <w:bookmarkEnd w:id="37"/>
      <w:r w:rsidRPr="006A6CBD">
        <w:t>M</w:t>
      </w:r>
      <w:r w:rsidR="00D44C07" w:rsidRPr="006A6CBD">
        <w:t>embers</w:t>
      </w:r>
      <w:bookmarkEnd w:id="38"/>
      <w:bookmarkEnd w:id="39"/>
      <w:r w:rsidR="00A320DE" w:rsidRPr="006A6CBD">
        <w:t>hip</w:t>
      </w:r>
      <w:bookmarkEnd w:id="40"/>
    </w:p>
    <w:p w14:paraId="095718B0" w14:textId="6237069B" w:rsidR="00F8519A" w:rsidRPr="006A6CBD" w:rsidRDefault="00D44C07" w:rsidP="006A6CBD">
      <w:pPr>
        <w:spacing w:line="276" w:lineRule="auto"/>
      </w:pPr>
      <w:r w:rsidRPr="006A6CBD">
        <w:t>The Committee consists of</w:t>
      </w:r>
      <w:r w:rsidR="006F79B5" w:rsidRPr="006A6CBD">
        <w:t xml:space="preserve"> 19 members, whose names, positions/organisations and declared conflicts of interest are listed in Section </w:t>
      </w:r>
      <w:r w:rsidR="006F79B5" w:rsidRPr="006A6CBD">
        <w:fldChar w:fldCharType="begin"/>
      </w:r>
      <w:r w:rsidR="006F79B5" w:rsidRPr="006A6CBD">
        <w:instrText xml:space="preserve"> REF _Ref466964262 \r \h </w:instrText>
      </w:r>
      <w:r w:rsidR="006A6CBD">
        <w:instrText xml:space="preserve"> \* MERGEFORMAT </w:instrText>
      </w:r>
      <w:r w:rsidR="006F79B5" w:rsidRPr="006A6CBD">
        <w:fldChar w:fldCharType="separate"/>
      </w:r>
      <w:r w:rsidR="00013B42">
        <w:rPr>
          <w:b/>
          <w:bCs/>
          <w:lang w:val="en-US"/>
        </w:rPr>
        <w:t>Error! Reference source not found.</w:t>
      </w:r>
      <w:r w:rsidR="006F79B5" w:rsidRPr="006A6CBD">
        <w:fldChar w:fldCharType="end"/>
      </w:r>
      <w:r w:rsidR="006F79B5" w:rsidRPr="006A6CBD">
        <w:t>.</w:t>
      </w:r>
      <w:r w:rsidRPr="006A6CBD">
        <w:t xml:space="preserve"> </w:t>
      </w:r>
      <w:bookmarkEnd w:id="33"/>
    </w:p>
    <w:p w14:paraId="6D5AD753" w14:textId="62EF2C17" w:rsidR="001967B8" w:rsidRPr="006A6CBD" w:rsidRDefault="001967B8" w:rsidP="006A6CBD">
      <w:pPr>
        <w:pStyle w:val="TableCaption"/>
        <w:spacing w:line="276" w:lineRule="auto"/>
      </w:pPr>
      <w:bookmarkStart w:id="41" w:name="_Ref503780353"/>
      <w:bookmarkStart w:id="42" w:name="_Toc503779132"/>
      <w:bookmarkStart w:id="43" w:name="_Ref503780241"/>
      <w:bookmarkStart w:id="44" w:name="_Toc8995620"/>
      <w:r w:rsidRPr="006A6CBD">
        <w:lastRenderedPageBreak/>
        <w:t xml:space="preserve">Table </w:t>
      </w:r>
      <w:r w:rsidR="00F227CB">
        <w:rPr>
          <w:noProof/>
        </w:rPr>
        <w:fldChar w:fldCharType="begin"/>
      </w:r>
      <w:r w:rsidR="00F227CB">
        <w:rPr>
          <w:noProof/>
        </w:rPr>
        <w:instrText xml:space="preserve"> SEQ Table \* ARABIC </w:instrText>
      </w:r>
      <w:r w:rsidR="00F227CB">
        <w:rPr>
          <w:noProof/>
        </w:rPr>
        <w:fldChar w:fldCharType="separate"/>
      </w:r>
      <w:r w:rsidR="00013B42">
        <w:rPr>
          <w:noProof/>
        </w:rPr>
        <w:t>1</w:t>
      </w:r>
      <w:r w:rsidR="00F227CB">
        <w:rPr>
          <w:noProof/>
        </w:rPr>
        <w:fldChar w:fldCharType="end"/>
      </w:r>
      <w:bookmarkEnd w:id="41"/>
      <w:r w:rsidRPr="006A6CBD">
        <w:t xml:space="preserve">: </w:t>
      </w:r>
      <w:bookmarkStart w:id="45" w:name="_Ref503780252"/>
      <w:bookmarkStart w:id="46" w:name="Table1"/>
      <w:r w:rsidR="006F79B5" w:rsidRPr="006A6CBD">
        <w:t>Pathology</w:t>
      </w:r>
      <w:r w:rsidR="00926B4D" w:rsidRPr="006A6CBD">
        <w:t xml:space="preserve"> Clinical Committee</w:t>
      </w:r>
      <w:r w:rsidRPr="006A6CBD">
        <w:t xml:space="preserve"> members</w:t>
      </w:r>
      <w:bookmarkEnd w:id="42"/>
      <w:bookmarkEnd w:id="43"/>
      <w:bookmarkEnd w:id="44"/>
      <w:bookmarkEnd w:id="45"/>
      <w:bookmarkEnd w:id="4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 Pathology Clinical Committee Members"/>
        <w:tblDescription w:val="Table 1 is a three column table. Column 1 lists the name of the clinical committee member. Column 2 lists their current position. Column 3 lists any declared conflicts of interest. "/>
      </w:tblPr>
      <w:tblGrid>
        <w:gridCol w:w="2084"/>
        <w:gridCol w:w="3786"/>
        <w:gridCol w:w="2432"/>
      </w:tblGrid>
      <w:tr w:rsidR="006F79B5" w:rsidRPr="006A6CBD" w14:paraId="369C1EE3" w14:textId="77777777" w:rsidTr="006F79B5">
        <w:trPr>
          <w:tblHeader/>
        </w:trPr>
        <w:tc>
          <w:tcPr>
            <w:tcW w:w="1255" w:type="pct"/>
            <w:shd w:val="clear" w:color="auto" w:fill="F2F2F2" w:themeFill="background1" w:themeFillShade="F2"/>
            <w:vAlign w:val="bottom"/>
          </w:tcPr>
          <w:p w14:paraId="63E57C85" w14:textId="77777777" w:rsidR="006F79B5" w:rsidRPr="006A6CBD" w:rsidRDefault="006F79B5" w:rsidP="006A6CBD">
            <w:pPr>
              <w:spacing w:line="276" w:lineRule="auto"/>
              <w:rPr>
                <w:rFonts w:cstheme="minorHAnsi"/>
              </w:rPr>
            </w:pPr>
            <w:r w:rsidRPr="006A6CBD">
              <w:rPr>
                <w:rFonts w:cstheme="minorHAnsi"/>
              </w:rPr>
              <w:t>Name</w:t>
            </w:r>
          </w:p>
        </w:tc>
        <w:tc>
          <w:tcPr>
            <w:tcW w:w="2280" w:type="pct"/>
            <w:shd w:val="clear" w:color="auto" w:fill="F2F2F2" w:themeFill="background1" w:themeFillShade="F2"/>
            <w:vAlign w:val="bottom"/>
          </w:tcPr>
          <w:p w14:paraId="75E6EDC7" w14:textId="77777777" w:rsidR="006F79B5" w:rsidRPr="006A6CBD" w:rsidRDefault="006F79B5" w:rsidP="006A6CBD">
            <w:pPr>
              <w:spacing w:line="276" w:lineRule="auto"/>
              <w:rPr>
                <w:rFonts w:cstheme="minorHAnsi"/>
              </w:rPr>
            </w:pPr>
            <w:r w:rsidRPr="006A6CBD">
              <w:rPr>
                <w:rFonts w:cstheme="minorHAnsi"/>
              </w:rPr>
              <w:t>Position/organisation</w:t>
            </w:r>
          </w:p>
        </w:tc>
        <w:tc>
          <w:tcPr>
            <w:tcW w:w="1465" w:type="pct"/>
            <w:shd w:val="clear" w:color="auto" w:fill="F2F2F2" w:themeFill="background1" w:themeFillShade="F2"/>
            <w:vAlign w:val="bottom"/>
          </w:tcPr>
          <w:p w14:paraId="373CE7F9" w14:textId="77777777" w:rsidR="006F79B5" w:rsidRPr="006A6CBD" w:rsidRDefault="006F79B5" w:rsidP="006A6CBD">
            <w:pPr>
              <w:spacing w:line="276" w:lineRule="auto"/>
              <w:rPr>
                <w:rFonts w:cstheme="minorHAnsi"/>
              </w:rPr>
            </w:pPr>
            <w:r w:rsidRPr="006A6CBD">
              <w:rPr>
                <w:rFonts w:cstheme="minorHAnsi"/>
              </w:rPr>
              <w:t>Declared conflict of interest</w:t>
            </w:r>
          </w:p>
        </w:tc>
      </w:tr>
      <w:tr w:rsidR="006F79B5" w:rsidRPr="006A6CBD" w14:paraId="423EF4FA" w14:textId="77777777" w:rsidTr="006F79B5">
        <w:tc>
          <w:tcPr>
            <w:tcW w:w="1255" w:type="pct"/>
          </w:tcPr>
          <w:p w14:paraId="1E59C5BB" w14:textId="77777777" w:rsidR="006F79B5" w:rsidRPr="006A6CBD" w:rsidRDefault="006F79B5" w:rsidP="006A6CBD">
            <w:pPr>
              <w:spacing w:line="276" w:lineRule="auto"/>
              <w:rPr>
                <w:rFonts w:cstheme="minorHAnsi"/>
              </w:rPr>
            </w:pPr>
            <w:r w:rsidRPr="006A6CBD">
              <w:rPr>
                <w:rFonts w:cstheme="minorHAnsi"/>
                <w:bCs/>
                <w:color w:val="000000"/>
              </w:rPr>
              <w:t>Associate Professor Peter Stewart</w:t>
            </w:r>
          </w:p>
        </w:tc>
        <w:tc>
          <w:tcPr>
            <w:tcW w:w="2280" w:type="pct"/>
          </w:tcPr>
          <w:p w14:paraId="7503538C" w14:textId="77777777" w:rsidR="006F79B5" w:rsidRPr="006A6CBD" w:rsidRDefault="006F79B5" w:rsidP="006A6CBD">
            <w:pPr>
              <w:spacing w:line="276" w:lineRule="auto"/>
              <w:rPr>
                <w:rFonts w:cstheme="minorHAnsi"/>
              </w:rPr>
            </w:pPr>
            <w:r w:rsidRPr="006A6CBD">
              <w:rPr>
                <w:rFonts w:cstheme="minorHAnsi"/>
              </w:rPr>
              <w:t>Royal Prince Alfred Hospital (Public)</w:t>
            </w:r>
          </w:p>
        </w:tc>
        <w:tc>
          <w:tcPr>
            <w:tcW w:w="1465" w:type="pct"/>
            <w:shd w:val="clear" w:color="auto" w:fill="auto"/>
          </w:tcPr>
          <w:p w14:paraId="1BA9200B"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420B2F58" w14:textId="77777777" w:rsidTr="006F79B5">
        <w:tc>
          <w:tcPr>
            <w:tcW w:w="1255" w:type="pct"/>
          </w:tcPr>
          <w:p w14:paraId="0448F064" w14:textId="77777777" w:rsidR="006F79B5" w:rsidRPr="006A6CBD" w:rsidRDefault="006F79B5" w:rsidP="006A6CBD">
            <w:pPr>
              <w:spacing w:line="276" w:lineRule="auto"/>
              <w:rPr>
                <w:rFonts w:cstheme="minorHAnsi"/>
              </w:rPr>
            </w:pPr>
            <w:r w:rsidRPr="006A6CBD">
              <w:rPr>
                <w:rFonts w:cstheme="minorHAnsi"/>
                <w:bCs/>
                <w:color w:val="000000"/>
              </w:rPr>
              <w:t xml:space="preserve">Professor Rita Horvath </w:t>
            </w:r>
          </w:p>
        </w:tc>
        <w:tc>
          <w:tcPr>
            <w:tcW w:w="2280" w:type="pct"/>
          </w:tcPr>
          <w:p w14:paraId="7D3AF06F" w14:textId="77777777" w:rsidR="006F79B5" w:rsidRPr="006A6CBD" w:rsidRDefault="006F79B5" w:rsidP="006A6CBD">
            <w:pPr>
              <w:spacing w:line="276" w:lineRule="auto"/>
              <w:rPr>
                <w:rFonts w:cstheme="minorHAnsi"/>
              </w:rPr>
            </w:pPr>
            <w:r w:rsidRPr="006A6CBD">
              <w:rPr>
                <w:rFonts w:cstheme="minorHAnsi"/>
              </w:rPr>
              <w:t>South Eastern Area Laboratory Services (Public)</w:t>
            </w:r>
          </w:p>
        </w:tc>
        <w:tc>
          <w:tcPr>
            <w:tcW w:w="1465" w:type="pct"/>
            <w:shd w:val="clear" w:color="auto" w:fill="auto"/>
          </w:tcPr>
          <w:p w14:paraId="5926D6CC"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666EE5A6" w14:textId="77777777" w:rsidTr="006F79B5">
        <w:tc>
          <w:tcPr>
            <w:tcW w:w="1255" w:type="pct"/>
          </w:tcPr>
          <w:p w14:paraId="422417A3" w14:textId="77777777" w:rsidR="006F79B5" w:rsidRPr="006A6CBD" w:rsidRDefault="006F79B5" w:rsidP="006A6CBD">
            <w:pPr>
              <w:spacing w:line="276" w:lineRule="auto"/>
              <w:rPr>
                <w:rFonts w:cstheme="minorHAnsi"/>
                <w:lang w:val="fr-CA"/>
              </w:rPr>
            </w:pPr>
            <w:r w:rsidRPr="006A6CBD">
              <w:rPr>
                <w:rFonts w:cstheme="minorHAnsi"/>
                <w:bCs/>
                <w:color w:val="000000"/>
              </w:rPr>
              <w:t xml:space="preserve">Dr Debra Norris </w:t>
            </w:r>
          </w:p>
        </w:tc>
        <w:tc>
          <w:tcPr>
            <w:tcW w:w="2280" w:type="pct"/>
          </w:tcPr>
          <w:p w14:paraId="7DABABCB" w14:textId="77777777" w:rsidR="006F79B5" w:rsidRPr="006A6CBD" w:rsidRDefault="006F79B5" w:rsidP="006A6CBD">
            <w:pPr>
              <w:spacing w:line="276" w:lineRule="auto"/>
              <w:rPr>
                <w:rFonts w:cstheme="minorHAnsi"/>
              </w:rPr>
            </w:pPr>
            <w:r w:rsidRPr="006A6CBD">
              <w:rPr>
                <w:rFonts w:cstheme="minorHAnsi"/>
              </w:rPr>
              <w:t>QML Pathology (Primary)</w:t>
            </w:r>
          </w:p>
        </w:tc>
        <w:tc>
          <w:tcPr>
            <w:tcW w:w="1465" w:type="pct"/>
            <w:shd w:val="clear" w:color="auto" w:fill="auto"/>
          </w:tcPr>
          <w:p w14:paraId="3DEA73F2"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3F10CFB1" w14:textId="77777777" w:rsidTr="006F79B5">
        <w:tc>
          <w:tcPr>
            <w:tcW w:w="1255" w:type="pct"/>
          </w:tcPr>
          <w:p w14:paraId="476D103C" w14:textId="77777777" w:rsidR="006F79B5" w:rsidRPr="006A6CBD" w:rsidRDefault="006F79B5" w:rsidP="006A6CBD">
            <w:pPr>
              <w:spacing w:line="276" w:lineRule="auto"/>
              <w:rPr>
                <w:rFonts w:cstheme="minorHAnsi"/>
                <w:bCs/>
                <w:color w:val="000000"/>
              </w:rPr>
            </w:pPr>
            <w:r w:rsidRPr="006A6CBD">
              <w:rPr>
                <w:rFonts w:cstheme="minorHAnsi"/>
                <w:bCs/>
                <w:color w:val="000000"/>
              </w:rPr>
              <w:t xml:space="preserve">Dr Michael Harrison </w:t>
            </w:r>
          </w:p>
        </w:tc>
        <w:tc>
          <w:tcPr>
            <w:tcW w:w="2280" w:type="pct"/>
          </w:tcPr>
          <w:p w14:paraId="3E149C19" w14:textId="77777777" w:rsidR="006F79B5" w:rsidRPr="006A6CBD" w:rsidRDefault="006F79B5" w:rsidP="006A6CBD">
            <w:pPr>
              <w:spacing w:line="276" w:lineRule="auto"/>
              <w:rPr>
                <w:rFonts w:cstheme="minorHAnsi"/>
              </w:rPr>
            </w:pPr>
            <w:r w:rsidRPr="006A6CBD">
              <w:rPr>
                <w:rFonts w:cstheme="minorHAnsi"/>
              </w:rPr>
              <w:t>Sullivan Nicolaides Pathology (Sonic)</w:t>
            </w:r>
          </w:p>
        </w:tc>
        <w:tc>
          <w:tcPr>
            <w:tcW w:w="1465" w:type="pct"/>
            <w:shd w:val="clear" w:color="auto" w:fill="auto"/>
          </w:tcPr>
          <w:p w14:paraId="37B53DCE"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753F5661" w14:textId="77777777" w:rsidTr="006F79B5">
        <w:tc>
          <w:tcPr>
            <w:tcW w:w="1255" w:type="pct"/>
          </w:tcPr>
          <w:p w14:paraId="02FC9A90" w14:textId="77777777" w:rsidR="006F79B5" w:rsidRPr="006A6CBD" w:rsidRDefault="006F79B5" w:rsidP="006A6CBD">
            <w:pPr>
              <w:spacing w:line="276" w:lineRule="auto"/>
              <w:rPr>
                <w:rFonts w:cstheme="minorHAnsi"/>
                <w:bCs/>
                <w:color w:val="000000"/>
              </w:rPr>
            </w:pPr>
            <w:r w:rsidRPr="006A6CBD">
              <w:rPr>
                <w:rFonts w:cstheme="minorHAnsi"/>
                <w:bCs/>
                <w:color w:val="000000"/>
              </w:rPr>
              <w:t xml:space="preserve">Associate Professor Ken Sikaris </w:t>
            </w:r>
          </w:p>
        </w:tc>
        <w:tc>
          <w:tcPr>
            <w:tcW w:w="2280" w:type="pct"/>
          </w:tcPr>
          <w:p w14:paraId="2FC230F3" w14:textId="77777777" w:rsidR="006F79B5" w:rsidRPr="006A6CBD" w:rsidRDefault="006F79B5" w:rsidP="006A6CBD">
            <w:pPr>
              <w:spacing w:line="276" w:lineRule="auto"/>
              <w:rPr>
                <w:rFonts w:cstheme="minorHAnsi"/>
              </w:rPr>
            </w:pPr>
            <w:r w:rsidRPr="006A6CBD">
              <w:rPr>
                <w:rFonts w:cstheme="minorHAnsi"/>
              </w:rPr>
              <w:t>Melbourne Pathology (Sonic)</w:t>
            </w:r>
          </w:p>
        </w:tc>
        <w:tc>
          <w:tcPr>
            <w:tcW w:w="1465" w:type="pct"/>
            <w:shd w:val="clear" w:color="auto" w:fill="auto"/>
          </w:tcPr>
          <w:p w14:paraId="47DC9B51"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4848EAEC" w14:textId="77777777" w:rsidTr="006F79B5">
        <w:tc>
          <w:tcPr>
            <w:tcW w:w="1255" w:type="pct"/>
          </w:tcPr>
          <w:p w14:paraId="19E1ACEB" w14:textId="77777777" w:rsidR="006F79B5" w:rsidRPr="006A6CBD" w:rsidRDefault="006F79B5" w:rsidP="006A6CBD">
            <w:pPr>
              <w:spacing w:line="276" w:lineRule="auto"/>
              <w:rPr>
                <w:rFonts w:cstheme="minorHAnsi"/>
                <w:bCs/>
                <w:color w:val="000000"/>
              </w:rPr>
            </w:pPr>
            <w:r w:rsidRPr="006A6CBD">
              <w:rPr>
                <w:rFonts w:cstheme="minorHAnsi"/>
                <w:bCs/>
                <w:color w:val="000000"/>
              </w:rPr>
              <w:t xml:space="preserve">Dr Melody Caramins </w:t>
            </w:r>
          </w:p>
        </w:tc>
        <w:tc>
          <w:tcPr>
            <w:tcW w:w="2280" w:type="pct"/>
          </w:tcPr>
          <w:p w14:paraId="01B37995" w14:textId="77777777" w:rsidR="006F79B5" w:rsidRPr="006A6CBD" w:rsidRDefault="006F79B5" w:rsidP="006A6CBD">
            <w:pPr>
              <w:spacing w:line="276" w:lineRule="auto"/>
              <w:rPr>
                <w:rFonts w:cstheme="minorHAnsi"/>
              </w:rPr>
            </w:pPr>
            <w:r w:rsidRPr="006A6CBD">
              <w:rPr>
                <w:rFonts w:cstheme="minorHAnsi"/>
              </w:rPr>
              <w:t>Specialist Diagnostic Services (Primary)</w:t>
            </w:r>
          </w:p>
        </w:tc>
        <w:tc>
          <w:tcPr>
            <w:tcW w:w="1465" w:type="pct"/>
            <w:shd w:val="clear" w:color="auto" w:fill="auto"/>
          </w:tcPr>
          <w:p w14:paraId="5D4C042C"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1B6D384E" w14:textId="77777777" w:rsidTr="006F79B5">
        <w:tc>
          <w:tcPr>
            <w:tcW w:w="1255" w:type="pct"/>
          </w:tcPr>
          <w:p w14:paraId="30692F89" w14:textId="77777777" w:rsidR="006F79B5" w:rsidRPr="006A6CBD" w:rsidRDefault="006F79B5" w:rsidP="006A6CBD">
            <w:pPr>
              <w:spacing w:line="276" w:lineRule="auto"/>
              <w:rPr>
                <w:rFonts w:cstheme="minorHAnsi"/>
                <w:bCs/>
                <w:color w:val="000000"/>
              </w:rPr>
            </w:pPr>
            <w:r w:rsidRPr="006A6CBD">
              <w:rPr>
                <w:rFonts w:cstheme="minorHAnsi"/>
                <w:bCs/>
                <w:color w:val="000000"/>
              </w:rPr>
              <w:t xml:space="preserve">Dr John Rowell </w:t>
            </w:r>
          </w:p>
        </w:tc>
        <w:tc>
          <w:tcPr>
            <w:tcW w:w="2280" w:type="pct"/>
          </w:tcPr>
          <w:p w14:paraId="4E515F67" w14:textId="77777777" w:rsidR="006F79B5" w:rsidRPr="006A6CBD" w:rsidRDefault="006F79B5" w:rsidP="006A6CBD">
            <w:pPr>
              <w:spacing w:line="276" w:lineRule="auto"/>
              <w:rPr>
                <w:rFonts w:cstheme="minorHAnsi"/>
              </w:rPr>
            </w:pPr>
            <w:r w:rsidRPr="006A6CBD">
              <w:rPr>
                <w:rFonts w:cstheme="minorHAnsi"/>
              </w:rPr>
              <w:t>Pathology Queensland</w:t>
            </w:r>
          </w:p>
        </w:tc>
        <w:tc>
          <w:tcPr>
            <w:tcW w:w="1465" w:type="pct"/>
            <w:shd w:val="clear" w:color="auto" w:fill="auto"/>
          </w:tcPr>
          <w:p w14:paraId="22C5DAF2"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55A1BFC5" w14:textId="77777777" w:rsidTr="006F79B5">
        <w:tc>
          <w:tcPr>
            <w:tcW w:w="1255" w:type="pct"/>
          </w:tcPr>
          <w:p w14:paraId="4815B944" w14:textId="77777777" w:rsidR="006F79B5" w:rsidRPr="006A6CBD" w:rsidRDefault="006F79B5" w:rsidP="006A6CBD">
            <w:pPr>
              <w:spacing w:line="276" w:lineRule="auto"/>
              <w:rPr>
                <w:rFonts w:cstheme="minorHAnsi"/>
                <w:bCs/>
                <w:color w:val="000000"/>
              </w:rPr>
            </w:pPr>
            <w:r w:rsidRPr="006A6CBD">
              <w:rPr>
                <w:rFonts w:cstheme="minorHAnsi"/>
                <w:bCs/>
                <w:color w:val="000000"/>
              </w:rPr>
              <w:t>Professor Dominic Mallon</w:t>
            </w:r>
          </w:p>
        </w:tc>
        <w:tc>
          <w:tcPr>
            <w:tcW w:w="2280" w:type="pct"/>
          </w:tcPr>
          <w:p w14:paraId="047130A3" w14:textId="77777777" w:rsidR="006F79B5" w:rsidRPr="006A6CBD" w:rsidRDefault="006F79B5" w:rsidP="006A6CBD">
            <w:pPr>
              <w:spacing w:line="276" w:lineRule="auto"/>
              <w:rPr>
                <w:rFonts w:cstheme="minorHAnsi"/>
              </w:rPr>
            </w:pPr>
            <w:r w:rsidRPr="006A6CBD">
              <w:rPr>
                <w:rFonts w:cstheme="minorHAnsi"/>
              </w:rPr>
              <w:t>PathWest</w:t>
            </w:r>
          </w:p>
        </w:tc>
        <w:tc>
          <w:tcPr>
            <w:tcW w:w="1465" w:type="pct"/>
            <w:shd w:val="clear" w:color="auto" w:fill="auto"/>
          </w:tcPr>
          <w:p w14:paraId="056382E8"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3898CE15" w14:textId="77777777" w:rsidTr="006F79B5">
        <w:tc>
          <w:tcPr>
            <w:tcW w:w="1255" w:type="pct"/>
          </w:tcPr>
          <w:p w14:paraId="3946B8F7" w14:textId="77777777" w:rsidR="006F79B5" w:rsidRPr="006A6CBD" w:rsidRDefault="006F79B5" w:rsidP="006A6CBD">
            <w:pPr>
              <w:spacing w:line="276" w:lineRule="auto"/>
              <w:rPr>
                <w:rFonts w:cstheme="minorHAnsi"/>
                <w:bCs/>
                <w:color w:val="000000"/>
              </w:rPr>
            </w:pPr>
            <w:r w:rsidRPr="006A6CBD">
              <w:rPr>
                <w:rFonts w:cstheme="minorHAnsi"/>
                <w:bCs/>
                <w:color w:val="000000"/>
              </w:rPr>
              <w:t>Dr Peter Roberts</w:t>
            </w:r>
          </w:p>
        </w:tc>
        <w:tc>
          <w:tcPr>
            <w:tcW w:w="2280" w:type="pct"/>
          </w:tcPr>
          <w:p w14:paraId="6932B1BF" w14:textId="77777777" w:rsidR="006F79B5" w:rsidRPr="006A6CBD" w:rsidRDefault="006F79B5" w:rsidP="006A6CBD">
            <w:pPr>
              <w:spacing w:line="276" w:lineRule="auto"/>
              <w:rPr>
                <w:rFonts w:cstheme="minorHAnsi"/>
              </w:rPr>
            </w:pPr>
            <w:r w:rsidRPr="006A6CBD">
              <w:rPr>
                <w:rFonts w:cstheme="minorHAnsi"/>
              </w:rPr>
              <w:t>Ryde Hospital (AESM)</w:t>
            </w:r>
          </w:p>
        </w:tc>
        <w:tc>
          <w:tcPr>
            <w:tcW w:w="1465" w:type="pct"/>
            <w:shd w:val="clear" w:color="auto" w:fill="auto"/>
          </w:tcPr>
          <w:p w14:paraId="58D9DA4E"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4D051BA0" w14:textId="77777777" w:rsidTr="006F79B5">
        <w:tc>
          <w:tcPr>
            <w:tcW w:w="1255" w:type="pct"/>
          </w:tcPr>
          <w:p w14:paraId="5926DD1C" w14:textId="77777777" w:rsidR="006F79B5" w:rsidRPr="006A6CBD" w:rsidRDefault="006F79B5" w:rsidP="006A6CBD">
            <w:pPr>
              <w:spacing w:line="276" w:lineRule="auto"/>
              <w:rPr>
                <w:rFonts w:cstheme="minorHAnsi"/>
                <w:bCs/>
                <w:color w:val="000000"/>
              </w:rPr>
            </w:pPr>
            <w:r w:rsidRPr="006A6CBD">
              <w:rPr>
                <w:rFonts w:cstheme="minorHAnsi"/>
                <w:bCs/>
                <w:color w:val="000000"/>
              </w:rPr>
              <w:t>Associate Professor Anthony Landgren</w:t>
            </w:r>
          </w:p>
        </w:tc>
        <w:tc>
          <w:tcPr>
            <w:tcW w:w="2280" w:type="pct"/>
          </w:tcPr>
          <w:p w14:paraId="42FD6113" w14:textId="77777777" w:rsidR="006F79B5" w:rsidRPr="006A6CBD" w:rsidRDefault="006F79B5" w:rsidP="006A6CBD">
            <w:pPr>
              <w:spacing w:line="276" w:lineRule="auto"/>
              <w:rPr>
                <w:rFonts w:cstheme="minorHAnsi"/>
              </w:rPr>
            </w:pPr>
            <w:r w:rsidRPr="006A6CBD">
              <w:rPr>
                <w:rFonts w:cstheme="minorHAnsi"/>
              </w:rPr>
              <w:t>Australian Clinical Labs</w:t>
            </w:r>
          </w:p>
        </w:tc>
        <w:tc>
          <w:tcPr>
            <w:tcW w:w="1465" w:type="pct"/>
            <w:shd w:val="clear" w:color="auto" w:fill="auto"/>
          </w:tcPr>
          <w:p w14:paraId="0D81F0F2"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023E9E69" w14:textId="77777777" w:rsidTr="006F79B5">
        <w:tc>
          <w:tcPr>
            <w:tcW w:w="1255" w:type="pct"/>
          </w:tcPr>
          <w:p w14:paraId="5801AD4E" w14:textId="77777777" w:rsidR="006F79B5" w:rsidRPr="006A6CBD" w:rsidRDefault="006F79B5" w:rsidP="006A6CBD">
            <w:pPr>
              <w:spacing w:line="276" w:lineRule="auto"/>
              <w:rPr>
                <w:rFonts w:cstheme="minorHAnsi"/>
                <w:bCs/>
                <w:color w:val="000000"/>
              </w:rPr>
            </w:pPr>
            <w:r w:rsidRPr="006A6CBD">
              <w:rPr>
                <w:rFonts w:cstheme="minorHAnsi"/>
                <w:bCs/>
                <w:color w:val="000000"/>
              </w:rPr>
              <w:t xml:space="preserve">Associate Professor </w:t>
            </w:r>
            <w:r w:rsidRPr="006A6CBD">
              <w:rPr>
                <w:rFonts w:cstheme="minorHAnsi"/>
                <w:bCs/>
                <w:color w:val="000000"/>
              </w:rPr>
              <w:br/>
              <w:t xml:space="preserve">Mary-Jo Waters </w:t>
            </w:r>
          </w:p>
        </w:tc>
        <w:tc>
          <w:tcPr>
            <w:tcW w:w="2280" w:type="pct"/>
          </w:tcPr>
          <w:p w14:paraId="53625D8E" w14:textId="77777777" w:rsidR="006F79B5" w:rsidRPr="006A6CBD" w:rsidRDefault="006F79B5" w:rsidP="006A6CBD">
            <w:pPr>
              <w:spacing w:line="276" w:lineRule="auto"/>
              <w:rPr>
                <w:rFonts w:cstheme="minorHAnsi"/>
              </w:rPr>
            </w:pPr>
            <w:r w:rsidRPr="006A6CBD">
              <w:rPr>
                <w:rFonts w:cstheme="minorHAnsi"/>
              </w:rPr>
              <w:t>St Vincent's Pathology (CHA)</w:t>
            </w:r>
          </w:p>
        </w:tc>
        <w:tc>
          <w:tcPr>
            <w:tcW w:w="1465" w:type="pct"/>
            <w:shd w:val="clear" w:color="auto" w:fill="auto"/>
          </w:tcPr>
          <w:p w14:paraId="7FABF0B7"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1E5B14C3" w14:textId="77777777" w:rsidTr="006F79B5">
        <w:tc>
          <w:tcPr>
            <w:tcW w:w="1255" w:type="pct"/>
          </w:tcPr>
          <w:p w14:paraId="374FD46C" w14:textId="77777777" w:rsidR="006F79B5" w:rsidRPr="006A6CBD" w:rsidRDefault="006F79B5" w:rsidP="006A6CBD">
            <w:pPr>
              <w:spacing w:line="276" w:lineRule="auto"/>
              <w:rPr>
                <w:rFonts w:cstheme="minorHAnsi"/>
                <w:bCs/>
                <w:color w:val="000000"/>
              </w:rPr>
            </w:pPr>
            <w:r w:rsidRPr="006A6CBD">
              <w:rPr>
                <w:rFonts w:cstheme="minorHAnsi"/>
                <w:bCs/>
                <w:color w:val="000000"/>
              </w:rPr>
              <w:t>Professor Richard Maclsaac</w:t>
            </w:r>
          </w:p>
        </w:tc>
        <w:tc>
          <w:tcPr>
            <w:tcW w:w="2280" w:type="pct"/>
          </w:tcPr>
          <w:p w14:paraId="0C950882" w14:textId="77777777" w:rsidR="006F79B5" w:rsidRPr="006A6CBD" w:rsidRDefault="006F79B5" w:rsidP="006A6CBD">
            <w:pPr>
              <w:spacing w:line="276" w:lineRule="auto"/>
              <w:rPr>
                <w:rFonts w:cstheme="minorHAnsi"/>
              </w:rPr>
            </w:pPr>
            <w:r w:rsidRPr="006A6CBD">
              <w:rPr>
                <w:rFonts w:cstheme="minorHAnsi"/>
              </w:rPr>
              <w:t>St Vincent's Hospital</w:t>
            </w:r>
          </w:p>
        </w:tc>
        <w:tc>
          <w:tcPr>
            <w:tcW w:w="1465" w:type="pct"/>
            <w:shd w:val="clear" w:color="auto" w:fill="auto"/>
          </w:tcPr>
          <w:p w14:paraId="4C742277"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6E9031F4" w14:textId="77777777" w:rsidTr="006F79B5">
        <w:tc>
          <w:tcPr>
            <w:tcW w:w="1255" w:type="pct"/>
          </w:tcPr>
          <w:p w14:paraId="2738350A" w14:textId="77777777" w:rsidR="006F79B5" w:rsidRPr="006A6CBD" w:rsidRDefault="006F79B5" w:rsidP="006A6CBD">
            <w:pPr>
              <w:spacing w:line="276" w:lineRule="auto"/>
              <w:rPr>
                <w:rFonts w:cstheme="minorHAnsi"/>
                <w:bCs/>
                <w:color w:val="000000"/>
              </w:rPr>
            </w:pPr>
            <w:r w:rsidRPr="006A6CBD">
              <w:rPr>
                <w:rFonts w:cstheme="minorHAnsi"/>
                <w:bCs/>
                <w:color w:val="000000"/>
              </w:rPr>
              <w:t>Dr Emil Djakic</w:t>
            </w:r>
          </w:p>
        </w:tc>
        <w:tc>
          <w:tcPr>
            <w:tcW w:w="2280" w:type="pct"/>
          </w:tcPr>
          <w:p w14:paraId="32577CF4" w14:textId="77777777" w:rsidR="006F79B5" w:rsidRPr="006A6CBD" w:rsidRDefault="006F79B5" w:rsidP="006A6CBD">
            <w:pPr>
              <w:spacing w:line="276" w:lineRule="auto"/>
              <w:rPr>
                <w:rFonts w:cstheme="minorHAnsi"/>
              </w:rPr>
            </w:pPr>
            <w:r w:rsidRPr="006A6CBD">
              <w:rPr>
                <w:rFonts w:cstheme="minorHAnsi"/>
              </w:rPr>
              <w:t>General practitioner</w:t>
            </w:r>
          </w:p>
        </w:tc>
        <w:tc>
          <w:tcPr>
            <w:tcW w:w="1465" w:type="pct"/>
            <w:shd w:val="clear" w:color="auto" w:fill="auto"/>
          </w:tcPr>
          <w:p w14:paraId="61615895"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5F5D84FC" w14:textId="77777777" w:rsidTr="006F79B5">
        <w:tc>
          <w:tcPr>
            <w:tcW w:w="1255" w:type="pct"/>
          </w:tcPr>
          <w:p w14:paraId="2CD95813" w14:textId="77777777" w:rsidR="006F79B5" w:rsidRPr="006A6CBD" w:rsidRDefault="006F79B5" w:rsidP="006A6CBD">
            <w:pPr>
              <w:spacing w:line="276" w:lineRule="auto"/>
              <w:rPr>
                <w:rFonts w:cstheme="minorHAnsi"/>
                <w:bCs/>
                <w:color w:val="000000"/>
              </w:rPr>
            </w:pPr>
            <w:r w:rsidRPr="006A6CBD">
              <w:rPr>
                <w:rFonts w:cstheme="minorHAnsi"/>
                <w:bCs/>
                <w:color w:val="000000"/>
              </w:rPr>
              <w:t>Dr Bev Rowbotham</w:t>
            </w:r>
          </w:p>
        </w:tc>
        <w:tc>
          <w:tcPr>
            <w:tcW w:w="2280" w:type="pct"/>
          </w:tcPr>
          <w:p w14:paraId="2914A340" w14:textId="77777777" w:rsidR="006F79B5" w:rsidRPr="006A6CBD" w:rsidRDefault="006F79B5" w:rsidP="006A6CBD">
            <w:pPr>
              <w:spacing w:line="276" w:lineRule="auto"/>
              <w:rPr>
                <w:rFonts w:cstheme="minorHAnsi"/>
              </w:rPr>
            </w:pPr>
            <w:r w:rsidRPr="006A6CBD">
              <w:rPr>
                <w:rFonts w:cstheme="minorHAnsi"/>
              </w:rPr>
              <w:t>MBS Taskforce</w:t>
            </w:r>
          </w:p>
        </w:tc>
        <w:tc>
          <w:tcPr>
            <w:tcW w:w="1465" w:type="pct"/>
            <w:shd w:val="clear" w:color="auto" w:fill="auto"/>
          </w:tcPr>
          <w:p w14:paraId="17C799A1"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022D0582" w14:textId="77777777" w:rsidTr="006F79B5">
        <w:tc>
          <w:tcPr>
            <w:tcW w:w="1255" w:type="pct"/>
          </w:tcPr>
          <w:p w14:paraId="21C3AD09" w14:textId="77777777" w:rsidR="006F79B5" w:rsidRPr="006A6CBD" w:rsidRDefault="006F79B5" w:rsidP="006A6CBD">
            <w:pPr>
              <w:spacing w:line="276" w:lineRule="auto"/>
              <w:rPr>
                <w:rFonts w:cstheme="minorHAnsi"/>
                <w:bCs/>
                <w:color w:val="000000"/>
              </w:rPr>
            </w:pPr>
            <w:r w:rsidRPr="006A6CBD">
              <w:rPr>
                <w:rFonts w:cstheme="minorHAnsi"/>
                <w:bCs/>
                <w:color w:val="000000"/>
              </w:rPr>
              <w:t>Dr Jill Thistlethwaite</w:t>
            </w:r>
          </w:p>
        </w:tc>
        <w:tc>
          <w:tcPr>
            <w:tcW w:w="2280" w:type="pct"/>
          </w:tcPr>
          <w:p w14:paraId="6AD204EA" w14:textId="77777777" w:rsidR="006F79B5" w:rsidRPr="006A6CBD" w:rsidRDefault="006F79B5" w:rsidP="006A6CBD">
            <w:pPr>
              <w:spacing w:line="276" w:lineRule="auto"/>
              <w:rPr>
                <w:rFonts w:cstheme="minorHAnsi"/>
              </w:rPr>
            </w:pPr>
            <w:r w:rsidRPr="006A6CBD">
              <w:rPr>
                <w:rFonts w:cstheme="minorHAnsi"/>
              </w:rPr>
              <w:t>General practitioner</w:t>
            </w:r>
          </w:p>
        </w:tc>
        <w:tc>
          <w:tcPr>
            <w:tcW w:w="1465" w:type="pct"/>
            <w:shd w:val="clear" w:color="auto" w:fill="auto"/>
          </w:tcPr>
          <w:p w14:paraId="16136C43"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47A50F30" w14:textId="77777777" w:rsidTr="006F79B5">
        <w:tc>
          <w:tcPr>
            <w:tcW w:w="1255" w:type="pct"/>
          </w:tcPr>
          <w:p w14:paraId="1439046D" w14:textId="77777777" w:rsidR="006F79B5" w:rsidRPr="006A6CBD" w:rsidRDefault="006F79B5" w:rsidP="006A6CBD">
            <w:pPr>
              <w:spacing w:line="276" w:lineRule="auto"/>
              <w:rPr>
                <w:rFonts w:cstheme="minorHAnsi"/>
                <w:bCs/>
                <w:color w:val="000000"/>
              </w:rPr>
            </w:pPr>
            <w:r w:rsidRPr="006A6CBD">
              <w:rPr>
                <w:rFonts w:cstheme="minorHAnsi"/>
                <w:bCs/>
                <w:color w:val="000000"/>
              </w:rPr>
              <w:t>Ms Valerie Hanrahan</w:t>
            </w:r>
          </w:p>
        </w:tc>
        <w:tc>
          <w:tcPr>
            <w:tcW w:w="2280" w:type="pct"/>
          </w:tcPr>
          <w:p w14:paraId="6A6B85EA" w14:textId="77777777" w:rsidR="006F79B5" w:rsidRPr="006A6CBD" w:rsidRDefault="006F79B5" w:rsidP="006A6CBD">
            <w:pPr>
              <w:spacing w:line="276" w:lineRule="auto"/>
              <w:rPr>
                <w:rFonts w:cstheme="minorHAnsi"/>
              </w:rPr>
            </w:pPr>
            <w:r w:rsidRPr="006A6CBD">
              <w:rPr>
                <w:rFonts w:cstheme="minorHAnsi"/>
              </w:rPr>
              <w:t>Consumers Health Forum</w:t>
            </w:r>
          </w:p>
        </w:tc>
        <w:tc>
          <w:tcPr>
            <w:tcW w:w="1465" w:type="pct"/>
            <w:shd w:val="clear" w:color="auto" w:fill="auto"/>
          </w:tcPr>
          <w:p w14:paraId="39FD5B51"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13037D9B" w14:textId="77777777" w:rsidTr="006F79B5">
        <w:tc>
          <w:tcPr>
            <w:tcW w:w="1255" w:type="pct"/>
          </w:tcPr>
          <w:p w14:paraId="22447955" w14:textId="77777777" w:rsidR="006F79B5" w:rsidRPr="006A6CBD" w:rsidRDefault="006F79B5" w:rsidP="006A6CBD">
            <w:pPr>
              <w:spacing w:line="276" w:lineRule="auto"/>
              <w:rPr>
                <w:rFonts w:cstheme="minorHAnsi"/>
                <w:bCs/>
                <w:color w:val="000000"/>
              </w:rPr>
            </w:pPr>
            <w:r w:rsidRPr="006A6CBD">
              <w:rPr>
                <w:rFonts w:cstheme="minorHAnsi"/>
                <w:bCs/>
                <w:color w:val="000000"/>
              </w:rPr>
              <w:lastRenderedPageBreak/>
              <w:t>Dr Robyn Lindner</w:t>
            </w:r>
          </w:p>
        </w:tc>
        <w:tc>
          <w:tcPr>
            <w:tcW w:w="2280" w:type="pct"/>
          </w:tcPr>
          <w:p w14:paraId="37EF8400" w14:textId="77777777" w:rsidR="006F79B5" w:rsidRPr="006A6CBD" w:rsidRDefault="006F79B5" w:rsidP="006A6CBD">
            <w:pPr>
              <w:spacing w:line="276" w:lineRule="auto"/>
              <w:rPr>
                <w:rFonts w:cstheme="minorHAnsi"/>
              </w:rPr>
            </w:pPr>
            <w:r w:rsidRPr="006A6CBD">
              <w:rPr>
                <w:rFonts w:cstheme="minorHAnsi"/>
              </w:rPr>
              <w:t>National Prescribing Service</w:t>
            </w:r>
          </w:p>
        </w:tc>
        <w:tc>
          <w:tcPr>
            <w:tcW w:w="1465" w:type="pct"/>
            <w:shd w:val="clear" w:color="auto" w:fill="auto"/>
          </w:tcPr>
          <w:p w14:paraId="7AA7D0D5"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7B947DB5" w14:textId="77777777" w:rsidTr="006F79B5">
        <w:tc>
          <w:tcPr>
            <w:tcW w:w="1255" w:type="pct"/>
          </w:tcPr>
          <w:p w14:paraId="07F67176" w14:textId="77777777" w:rsidR="006F79B5" w:rsidRPr="006A6CBD" w:rsidRDefault="006F79B5" w:rsidP="006A6CBD">
            <w:pPr>
              <w:spacing w:line="276" w:lineRule="auto"/>
              <w:rPr>
                <w:rFonts w:cstheme="minorHAnsi"/>
                <w:bCs/>
                <w:color w:val="000000"/>
              </w:rPr>
            </w:pPr>
            <w:r w:rsidRPr="006A6CBD">
              <w:rPr>
                <w:rFonts w:cstheme="minorHAnsi"/>
              </w:rPr>
              <w:t>Professor Hans Schneider</w:t>
            </w:r>
          </w:p>
        </w:tc>
        <w:tc>
          <w:tcPr>
            <w:tcW w:w="2280" w:type="pct"/>
          </w:tcPr>
          <w:p w14:paraId="146B80A8" w14:textId="77777777" w:rsidR="006F79B5" w:rsidRPr="006A6CBD" w:rsidRDefault="006F79B5" w:rsidP="006A6CBD">
            <w:pPr>
              <w:spacing w:line="276" w:lineRule="auto"/>
              <w:rPr>
                <w:rFonts w:cstheme="minorHAnsi"/>
              </w:rPr>
            </w:pPr>
            <w:r w:rsidRPr="006A6CBD">
              <w:rPr>
                <w:rFonts w:cstheme="minorHAnsi"/>
              </w:rPr>
              <w:t>Alfred Pathology Service (Melbourne)</w:t>
            </w:r>
          </w:p>
        </w:tc>
        <w:tc>
          <w:tcPr>
            <w:tcW w:w="1465" w:type="pct"/>
            <w:shd w:val="clear" w:color="auto" w:fill="auto"/>
          </w:tcPr>
          <w:p w14:paraId="7B3356C3" w14:textId="77777777" w:rsidR="006F79B5" w:rsidRPr="006A6CBD" w:rsidRDefault="006F79B5" w:rsidP="006A6CBD">
            <w:pPr>
              <w:spacing w:line="276" w:lineRule="auto"/>
              <w:rPr>
                <w:rFonts w:cstheme="minorHAnsi"/>
              </w:rPr>
            </w:pPr>
            <w:r w:rsidRPr="006A6CBD">
              <w:rPr>
                <w:rFonts w:cstheme="minorHAnsi"/>
              </w:rPr>
              <w:t>None</w:t>
            </w:r>
          </w:p>
        </w:tc>
      </w:tr>
      <w:tr w:rsidR="006F79B5" w:rsidRPr="006A6CBD" w14:paraId="6B803568" w14:textId="77777777" w:rsidTr="006F79B5">
        <w:tc>
          <w:tcPr>
            <w:tcW w:w="1255" w:type="pct"/>
          </w:tcPr>
          <w:p w14:paraId="0AA78729" w14:textId="77777777" w:rsidR="006F79B5" w:rsidRPr="006A6CBD" w:rsidRDefault="006F79B5" w:rsidP="006A6CBD">
            <w:pPr>
              <w:spacing w:line="276" w:lineRule="auto"/>
              <w:rPr>
                <w:rFonts w:cstheme="minorHAnsi"/>
                <w:bCs/>
                <w:color w:val="000000"/>
              </w:rPr>
            </w:pPr>
            <w:r w:rsidRPr="006A6CBD">
              <w:rPr>
                <w:rFonts w:cstheme="minorHAnsi"/>
              </w:rPr>
              <w:t>Associate Professor Adrienne Morey</w:t>
            </w:r>
          </w:p>
        </w:tc>
        <w:tc>
          <w:tcPr>
            <w:tcW w:w="2280" w:type="pct"/>
          </w:tcPr>
          <w:p w14:paraId="57F8F3DA" w14:textId="77777777" w:rsidR="006F79B5" w:rsidRPr="006A6CBD" w:rsidRDefault="006F79B5" w:rsidP="006A6CBD">
            <w:pPr>
              <w:spacing w:line="276" w:lineRule="auto"/>
              <w:rPr>
                <w:rFonts w:cstheme="minorHAnsi"/>
              </w:rPr>
            </w:pPr>
            <w:r w:rsidRPr="006A6CBD">
              <w:rPr>
                <w:rFonts w:cstheme="minorHAnsi"/>
              </w:rPr>
              <w:t>ACT Pathology</w:t>
            </w:r>
          </w:p>
        </w:tc>
        <w:tc>
          <w:tcPr>
            <w:tcW w:w="1465" w:type="pct"/>
            <w:shd w:val="clear" w:color="auto" w:fill="auto"/>
          </w:tcPr>
          <w:p w14:paraId="04AFE8BC" w14:textId="77777777" w:rsidR="006F79B5" w:rsidRPr="006A6CBD" w:rsidRDefault="006F79B5" w:rsidP="006A6CBD">
            <w:pPr>
              <w:spacing w:line="276" w:lineRule="auto"/>
              <w:rPr>
                <w:rFonts w:cstheme="minorHAnsi"/>
              </w:rPr>
            </w:pPr>
            <w:r w:rsidRPr="006A6CBD">
              <w:rPr>
                <w:rFonts w:cstheme="minorHAnsi"/>
              </w:rPr>
              <w:t>None</w:t>
            </w:r>
          </w:p>
        </w:tc>
      </w:tr>
    </w:tbl>
    <w:p w14:paraId="01400B16" w14:textId="730E0DFB" w:rsidR="006F79B5" w:rsidRPr="006A6CBD" w:rsidRDefault="006F79B5" w:rsidP="0087705D">
      <w:pPr>
        <w:pStyle w:val="Heading2"/>
        <w:rPr>
          <w:i/>
        </w:rPr>
      </w:pPr>
      <w:bookmarkStart w:id="47" w:name="_Toc8995604"/>
      <w:bookmarkStart w:id="48" w:name="_Toc485295723"/>
      <w:bookmarkStart w:id="49" w:name="_Toc505843879"/>
      <w:r w:rsidRPr="006A6CBD">
        <w:t>About the Blood Products Working Group</w:t>
      </w:r>
      <w:bookmarkEnd w:id="47"/>
    </w:p>
    <w:p w14:paraId="4E9B382F" w14:textId="77777777" w:rsidR="006F79B5" w:rsidRPr="006A6CBD" w:rsidRDefault="006F79B5" w:rsidP="006A6CBD">
      <w:pPr>
        <w:spacing w:line="276" w:lineRule="auto"/>
      </w:pPr>
      <w:r w:rsidRPr="006A6CBD">
        <w:t xml:space="preserve">The Blood Products Working Group was established by the Committee’s Haematology Working Group to review miscellaneous therapeutic procedures subgroup 8 (haematology) and make recommendations on the administration of blood products based on rapid evidence review and clinical expertise. </w:t>
      </w:r>
    </w:p>
    <w:p w14:paraId="33C748AE" w14:textId="77777777" w:rsidR="006F79B5" w:rsidRPr="006A6CBD" w:rsidRDefault="006F79B5" w:rsidP="006A6CBD">
      <w:pPr>
        <w:spacing w:line="276" w:lineRule="auto"/>
      </w:pPr>
      <w:r w:rsidRPr="006A6CBD">
        <w:t>The Blood Products Working Group consists of seven members whose names, positions, organisations and declared conflicts of interest are listed in Table 2.</w:t>
      </w:r>
    </w:p>
    <w:p w14:paraId="7F3BFA5F" w14:textId="6FF52E46" w:rsidR="006F79B5" w:rsidRPr="006A6CBD" w:rsidRDefault="006F79B5" w:rsidP="006A6CBD">
      <w:pPr>
        <w:pStyle w:val="Caption"/>
        <w:spacing w:line="276" w:lineRule="auto"/>
      </w:pPr>
      <w:bookmarkStart w:id="50" w:name="_Toc487115241"/>
      <w:bookmarkStart w:id="51" w:name="_Toc8995621"/>
      <w:r w:rsidRPr="006A6CBD">
        <w:t xml:space="preserve">Table </w:t>
      </w:r>
      <w:r w:rsidRPr="006A6CBD">
        <w:rPr>
          <w:noProof/>
        </w:rPr>
        <w:fldChar w:fldCharType="begin"/>
      </w:r>
      <w:r w:rsidRPr="006A6CBD">
        <w:rPr>
          <w:noProof/>
        </w:rPr>
        <w:instrText xml:space="preserve"> SEQ Table \* ARABIC </w:instrText>
      </w:r>
      <w:r w:rsidRPr="006A6CBD">
        <w:rPr>
          <w:noProof/>
        </w:rPr>
        <w:fldChar w:fldCharType="separate"/>
      </w:r>
      <w:r w:rsidR="00013B42">
        <w:rPr>
          <w:noProof/>
        </w:rPr>
        <w:t>2</w:t>
      </w:r>
      <w:r w:rsidRPr="006A6CBD">
        <w:rPr>
          <w:noProof/>
        </w:rPr>
        <w:fldChar w:fldCharType="end"/>
      </w:r>
      <w:r w:rsidRPr="006A6CBD">
        <w:t>. Blood Products Working Group Members</w:t>
      </w:r>
      <w:bookmarkEnd w:id="50"/>
      <w:bookmarkEnd w:id="51"/>
    </w:p>
    <w:tbl>
      <w:tblPr>
        <w:tblStyle w:val="TableGrid"/>
        <w:tblW w:w="5000" w:type="pct"/>
        <w:tblLook w:val="04A0" w:firstRow="1" w:lastRow="0" w:firstColumn="1" w:lastColumn="0" w:noHBand="0" w:noVBand="1"/>
        <w:tblCaption w:val="Blood Products Working Group Members"/>
        <w:tblDescription w:val="This is a list of the Blood products Working Group members. It also lists their positions and conflict of interest."/>
      </w:tblPr>
      <w:tblGrid>
        <w:gridCol w:w="1699"/>
        <w:gridCol w:w="4815"/>
        <w:gridCol w:w="1788"/>
      </w:tblGrid>
      <w:tr w:rsidR="006F79B5" w:rsidRPr="006A6CBD" w14:paraId="31DB0DBB" w14:textId="77777777" w:rsidTr="006A6CBD">
        <w:trPr>
          <w:tblHeader/>
        </w:trPr>
        <w:tc>
          <w:tcPr>
            <w:tcW w:w="1023" w:type="pct"/>
            <w:shd w:val="clear" w:color="auto" w:fill="F2F2F2" w:themeFill="background1" w:themeFillShade="F2"/>
          </w:tcPr>
          <w:p w14:paraId="3B01136F" w14:textId="77777777" w:rsidR="006F79B5" w:rsidRPr="006A6CBD" w:rsidRDefault="006F79B5" w:rsidP="006A6CBD">
            <w:pPr>
              <w:spacing w:line="276" w:lineRule="auto"/>
              <w:rPr>
                <w:rFonts w:cstheme="minorHAnsi"/>
              </w:rPr>
            </w:pPr>
            <w:r w:rsidRPr="006A6CBD">
              <w:rPr>
                <w:rFonts w:cstheme="minorHAnsi"/>
              </w:rPr>
              <w:t>Name</w:t>
            </w:r>
          </w:p>
        </w:tc>
        <w:tc>
          <w:tcPr>
            <w:tcW w:w="2900" w:type="pct"/>
            <w:shd w:val="clear" w:color="auto" w:fill="F2F2F2" w:themeFill="background1" w:themeFillShade="F2"/>
          </w:tcPr>
          <w:p w14:paraId="33536C28" w14:textId="77777777" w:rsidR="006F79B5" w:rsidRPr="006A6CBD" w:rsidRDefault="006F79B5" w:rsidP="006A6CBD">
            <w:pPr>
              <w:spacing w:line="276" w:lineRule="auto"/>
              <w:rPr>
                <w:rFonts w:cstheme="minorHAnsi"/>
              </w:rPr>
            </w:pPr>
            <w:r w:rsidRPr="006A6CBD">
              <w:rPr>
                <w:rFonts w:cstheme="minorHAnsi"/>
              </w:rPr>
              <w:t>Position/organisation</w:t>
            </w:r>
          </w:p>
        </w:tc>
        <w:tc>
          <w:tcPr>
            <w:tcW w:w="1077" w:type="pct"/>
            <w:shd w:val="clear" w:color="auto" w:fill="F2F2F2" w:themeFill="background1" w:themeFillShade="F2"/>
          </w:tcPr>
          <w:p w14:paraId="2269046A" w14:textId="77777777" w:rsidR="006F79B5" w:rsidRPr="006A6CBD" w:rsidRDefault="006F79B5" w:rsidP="006A6CBD">
            <w:pPr>
              <w:spacing w:line="276" w:lineRule="auto"/>
              <w:rPr>
                <w:rFonts w:cstheme="minorHAnsi"/>
              </w:rPr>
            </w:pPr>
            <w:r w:rsidRPr="006A6CBD">
              <w:rPr>
                <w:rFonts w:cstheme="minorHAnsi"/>
              </w:rPr>
              <w:t>Declared conflict of interest</w:t>
            </w:r>
          </w:p>
        </w:tc>
      </w:tr>
      <w:tr w:rsidR="006F79B5" w:rsidRPr="006A6CBD" w14:paraId="49BA54A0" w14:textId="77777777" w:rsidTr="006A6CBD">
        <w:trPr>
          <w:trHeight w:val="549"/>
        </w:trPr>
        <w:tc>
          <w:tcPr>
            <w:tcW w:w="1023" w:type="pct"/>
            <w:hideMark/>
          </w:tcPr>
          <w:p w14:paraId="3BAA93C1" w14:textId="77777777" w:rsidR="006F79B5" w:rsidRPr="006A6CBD" w:rsidRDefault="006F79B5" w:rsidP="006A6CBD">
            <w:pPr>
              <w:spacing w:line="276" w:lineRule="auto"/>
              <w:rPr>
                <w:rFonts w:cstheme="minorHAnsi"/>
              </w:rPr>
            </w:pPr>
            <w:r w:rsidRPr="006A6CBD">
              <w:rPr>
                <w:rFonts w:cstheme="minorHAnsi"/>
              </w:rPr>
              <w:t>Professor Mark Hertzberg (Chair)</w:t>
            </w:r>
          </w:p>
        </w:tc>
        <w:tc>
          <w:tcPr>
            <w:tcW w:w="2900" w:type="pct"/>
          </w:tcPr>
          <w:p w14:paraId="19F31E45" w14:textId="77777777" w:rsidR="006F79B5" w:rsidRPr="006A6CBD" w:rsidRDefault="006F79B5" w:rsidP="006A6CBD">
            <w:pPr>
              <w:spacing w:line="276" w:lineRule="auto"/>
              <w:rPr>
                <w:rFonts w:cstheme="minorHAnsi"/>
              </w:rPr>
            </w:pPr>
            <w:r w:rsidRPr="006A6CBD">
              <w:rPr>
                <w:rFonts w:cstheme="minorHAnsi"/>
              </w:rPr>
              <w:t>Professor of Haematology, Prince of Wales Hospital, Randwick</w:t>
            </w:r>
          </w:p>
          <w:p w14:paraId="1EDCF7AA" w14:textId="77777777" w:rsidR="006F79B5" w:rsidRPr="006A6CBD" w:rsidRDefault="006F79B5" w:rsidP="006A6CBD">
            <w:pPr>
              <w:spacing w:line="276" w:lineRule="auto"/>
              <w:rPr>
                <w:rFonts w:cstheme="minorHAnsi"/>
              </w:rPr>
            </w:pPr>
            <w:r w:rsidRPr="006A6CBD">
              <w:rPr>
                <w:rFonts w:cstheme="minorHAnsi"/>
              </w:rPr>
              <w:t>Conjoint Professor, University of NSW</w:t>
            </w:r>
          </w:p>
        </w:tc>
        <w:tc>
          <w:tcPr>
            <w:tcW w:w="1077" w:type="pct"/>
            <w:shd w:val="clear" w:color="auto" w:fill="auto"/>
          </w:tcPr>
          <w:p w14:paraId="1E15E9E2" w14:textId="38E6CAB3" w:rsidR="006F79B5" w:rsidRPr="006A6CBD" w:rsidRDefault="00EF7CDF" w:rsidP="006A6CBD">
            <w:pPr>
              <w:spacing w:line="276" w:lineRule="auto"/>
              <w:rPr>
                <w:rFonts w:cstheme="minorHAnsi"/>
              </w:rPr>
            </w:pPr>
            <w:r w:rsidRPr="006A6CBD">
              <w:rPr>
                <w:rFonts w:cstheme="minorHAnsi"/>
              </w:rPr>
              <w:t>None</w:t>
            </w:r>
          </w:p>
        </w:tc>
      </w:tr>
      <w:tr w:rsidR="006F79B5" w:rsidRPr="006A6CBD" w14:paraId="1BC1C47F" w14:textId="77777777" w:rsidTr="006A6CBD">
        <w:trPr>
          <w:trHeight w:val="842"/>
        </w:trPr>
        <w:tc>
          <w:tcPr>
            <w:tcW w:w="1023" w:type="pct"/>
            <w:hideMark/>
          </w:tcPr>
          <w:p w14:paraId="0C4D4995" w14:textId="77777777" w:rsidR="006F79B5" w:rsidRPr="006A6CBD" w:rsidRDefault="006F79B5" w:rsidP="006A6CBD">
            <w:pPr>
              <w:spacing w:line="276" w:lineRule="auto"/>
              <w:rPr>
                <w:rFonts w:cstheme="minorHAnsi"/>
              </w:rPr>
            </w:pPr>
            <w:r w:rsidRPr="006A6CBD">
              <w:rPr>
                <w:rFonts w:cstheme="minorHAnsi"/>
              </w:rPr>
              <w:t xml:space="preserve">Dr Michael Harvey </w:t>
            </w:r>
          </w:p>
        </w:tc>
        <w:tc>
          <w:tcPr>
            <w:tcW w:w="2900" w:type="pct"/>
          </w:tcPr>
          <w:p w14:paraId="0C0C893D" w14:textId="77777777" w:rsidR="006F79B5" w:rsidRPr="006A6CBD" w:rsidRDefault="006F79B5" w:rsidP="006A6CBD">
            <w:pPr>
              <w:spacing w:line="276" w:lineRule="auto"/>
              <w:rPr>
                <w:rFonts w:cstheme="minorHAnsi"/>
              </w:rPr>
            </w:pPr>
            <w:r w:rsidRPr="006A6CBD">
              <w:rPr>
                <w:rFonts w:cstheme="minorHAnsi"/>
              </w:rPr>
              <w:t>Director of Haematology, Liverpool Hospital, Liverpool NSW</w:t>
            </w:r>
          </w:p>
        </w:tc>
        <w:tc>
          <w:tcPr>
            <w:tcW w:w="1077" w:type="pct"/>
            <w:shd w:val="clear" w:color="auto" w:fill="auto"/>
          </w:tcPr>
          <w:p w14:paraId="57F98DCD" w14:textId="7808B6B6" w:rsidR="006F79B5" w:rsidRPr="006A6CBD" w:rsidRDefault="00EF7CDF" w:rsidP="006A6CBD">
            <w:pPr>
              <w:spacing w:line="276" w:lineRule="auto"/>
              <w:rPr>
                <w:rFonts w:cstheme="minorHAnsi"/>
              </w:rPr>
            </w:pPr>
            <w:r w:rsidRPr="006A6CBD">
              <w:rPr>
                <w:rFonts w:cstheme="minorHAnsi"/>
              </w:rPr>
              <w:t>None</w:t>
            </w:r>
          </w:p>
        </w:tc>
      </w:tr>
      <w:tr w:rsidR="006F79B5" w:rsidRPr="006A6CBD" w14:paraId="7931AC2B" w14:textId="77777777" w:rsidTr="006A6CBD">
        <w:trPr>
          <w:trHeight w:val="945"/>
        </w:trPr>
        <w:tc>
          <w:tcPr>
            <w:tcW w:w="1023" w:type="pct"/>
            <w:hideMark/>
          </w:tcPr>
          <w:p w14:paraId="739BF980" w14:textId="77777777" w:rsidR="006F79B5" w:rsidRPr="006A6CBD" w:rsidRDefault="006F79B5" w:rsidP="006A6CBD">
            <w:pPr>
              <w:spacing w:line="276" w:lineRule="auto"/>
              <w:rPr>
                <w:rFonts w:cstheme="minorHAnsi"/>
              </w:rPr>
            </w:pPr>
            <w:r w:rsidRPr="006A6CBD">
              <w:rPr>
                <w:rFonts w:cstheme="minorHAnsi"/>
              </w:rPr>
              <w:t>Dr Joanne Joseph</w:t>
            </w:r>
          </w:p>
        </w:tc>
        <w:tc>
          <w:tcPr>
            <w:tcW w:w="2900" w:type="pct"/>
          </w:tcPr>
          <w:p w14:paraId="41BF9AA3" w14:textId="77777777" w:rsidR="006F79B5" w:rsidRPr="006A6CBD" w:rsidRDefault="006F79B5" w:rsidP="006A6CBD">
            <w:pPr>
              <w:spacing w:line="276" w:lineRule="auto"/>
              <w:rPr>
                <w:rFonts w:cstheme="minorHAnsi"/>
              </w:rPr>
            </w:pPr>
            <w:r w:rsidRPr="006A6CBD">
              <w:rPr>
                <w:rFonts w:cstheme="minorHAnsi"/>
                <w:shd w:val="clear" w:color="auto" w:fill="FFFFFF"/>
              </w:rPr>
              <w:t>Senior staff Specialist in Haematology, Head of Laboratory Haematology, SydPath, St Vincent’s Hospital, Sydney; Conjoint Senior Lecturer UNSW Associate</w:t>
            </w:r>
          </w:p>
        </w:tc>
        <w:tc>
          <w:tcPr>
            <w:tcW w:w="1077" w:type="pct"/>
            <w:shd w:val="clear" w:color="auto" w:fill="auto"/>
          </w:tcPr>
          <w:p w14:paraId="6E9C31DC" w14:textId="419763CD" w:rsidR="006F79B5" w:rsidRPr="006A6CBD" w:rsidRDefault="00EF7CDF" w:rsidP="006A6CBD">
            <w:pPr>
              <w:spacing w:line="276" w:lineRule="auto"/>
              <w:rPr>
                <w:rFonts w:cstheme="minorHAnsi"/>
              </w:rPr>
            </w:pPr>
            <w:r w:rsidRPr="006A6CBD">
              <w:rPr>
                <w:rFonts w:cstheme="minorHAnsi"/>
              </w:rPr>
              <w:t>None</w:t>
            </w:r>
          </w:p>
        </w:tc>
      </w:tr>
      <w:tr w:rsidR="006F79B5" w:rsidRPr="006A6CBD" w14:paraId="21ED0DC9" w14:textId="77777777" w:rsidTr="006A6CBD">
        <w:trPr>
          <w:trHeight w:val="450"/>
        </w:trPr>
        <w:tc>
          <w:tcPr>
            <w:tcW w:w="1023" w:type="pct"/>
          </w:tcPr>
          <w:p w14:paraId="01A6F984" w14:textId="77777777" w:rsidR="006F79B5" w:rsidRPr="006A6CBD" w:rsidRDefault="006F79B5" w:rsidP="006A6CBD">
            <w:pPr>
              <w:spacing w:line="276" w:lineRule="auto"/>
              <w:rPr>
                <w:rFonts w:cstheme="minorHAnsi"/>
              </w:rPr>
            </w:pPr>
            <w:r w:rsidRPr="006A6CBD">
              <w:rPr>
                <w:rFonts w:cstheme="minorHAnsi"/>
              </w:rPr>
              <w:t>Professor Glen Kennedy</w:t>
            </w:r>
          </w:p>
        </w:tc>
        <w:tc>
          <w:tcPr>
            <w:tcW w:w="2900" w:type="pct"/>
          </w:tcPr>
          <w:p w14:paraId="7DBEF539" w14:textId="77777777" w:rsidR="006F79B5" w:rsidRPr="006A6CBD" w:rsidRDefault="006F79B5" w:rsidP="006A6CBD">
            <w:pPr>
              <w:spacing w:line="276" w:lineRule="auto"/>
              <w:rPr>
                <w:rFonts w:cstheme="minorHAnsi"/>
              </w:rPr>
            </w:pPr>
            <w:r w:rsidRPr="006A6CBD">
              <w:rPr>
                <w:rFonts w:cstheme="minorHAnsi"/>
                <w:shd w:val="clear" w:color="auto" w:fill="FFFFFF"/>
              </w:rPr>
              <w:t>Acting Executive Director, Cancer Care Services, Metro North Hospital &amp; Health Service, Queensland</w:t>
            </w:r>
          </w:p>
        </w:tc>
        <w:tc>
          <w:tcPr>
            <w:tcW w:w="1077" w:type="pct"/>
            <w:shd w:val="clear" w:color="auto" w:fill="auto"/>
          </w:tcPr>
          <w:p w14:paraId="21D2755C" w14:textId="2D8C1B62" w:rsidR="006F79B5" w:rsidRPr="006A6CBD" w:rsidRDefault="00EF7CDF" w:rsidP="006A6CBD">
            <w:pPr>
              <w:spacing w:line="276" w:lineRule="auto"/>
              <w:rPr>
                <w:rFonts w:cstheme="minorHAnsi"/>
              </w:rPr>
            </w:pPr>
            <w:r w:rsidRPr="006A6CBD">
              <w:rPr>
                <w:rFonts w:cstheme="minorHAnsi"/>
              </w:rPr>
              <w:t>None</w:t>
            </w:r>
          </w:p>
        </w:tc>
      </w:tr>
      <w:tr w:rsidR="006F79B5" w:rsidRPr="006A6CBD" w14:paraId="69E97BB2" w14:textId="77777777" w:rsidTr="006A6CBD">
        <w:trPr>
          <w:trHeight w:val="450"/>
        </w:trPr>
        <w:tc>
          <w:tcPr>
            <w:tcW w:w="1023" w:type="pct"/>
          </w:tcPr>
          <w:p w14:paraId="1E3696D0" w14:textId="77777777" w:rsidR="006F79B5" w:rsidRPr="006A6CBD" w:rsidRDefault="006F79B5" w:rsidP="006A6CBD">
            <w:pPr>
              <w:spacing w:line="276" w:lineRule="auto"/>
              <w:rPr>
                <w:rFonts w:cstheme="minorHAnsi"/>
              </w:rPr>
            </w:pPr>
            <w:r w:rsidRPr="006A6CBD">
              <w:rPr>
                <w:rFonts w:cstheme="minorHAnsi"/>
              </w:rPr>
              <w:t>Dr Susan MacCallum</w:t>
            </w:r>
          </w:p>
        </w:tc>
        <w:tc>
          <w:tcPr>
            <w:tcW w:w="2900" w:type="pct"/>
          </w:tcPr>
          <w:p w14:paraId="2F446548" w14:textId="77777777" w:rsidR="006F79B5" w:rsidRPr="006A6CBD" w:rsidRDefault="006F79B5" w:rsidP="006A6CBD">
            <w:pPr>
              <w:spacing w:line="276" w:lineRule="auto"/>
              <w:rPr>
                <w:rFonts w:cstheme="minorHAnsi"/>
              </w:rPr>
            </w:pPr>
            <w:r w:rsidRPr="006A6CBD">
              <w:rPr>
                <w:rFonts w:cstheme="minorHAnsi"/>
                <w:shd w:val="clear" w:color="auto" w:fill="FFFFFF"/>
              </w:rPr>
              <w:t>Senior staff specialist in Haematology Prince of Wales Hospital; Conjoint senior lecturer UNSW</w:t>
            </w:r>
          </w:p>
        </w:tc>
        <w:tc>
          <w:tcPr>
            <w:tcW w:w="1077" w:type="pct"/>
            <w:shd w:val="clear" w:color="auto" w:fill="auto"/>
          </w:tcPr>
          <w:p w14:paraId="6DEE4C14" w14:textId="4D5C97A1" w:rsidR="006F79B5" w:rsidRPr="006A6CBD" w:rsidRDefault="00EF7CDF" w:rsidP="006A6CBD">
            <w:pPr>
              <w:spacing w:line="276" w:lineRule="auto"/>
              <w:rPr>
                <w:rFonts w:cstheme="minorHAnsi"/>
              </w:rPr>
            </w:pPr>
            <w:r w:rsidRPr="006A6CBD">
              <w:rPr>
                <w:rFonts w:cstheme="minorHAnsi"/>
              </w:rPr>
              <w:t>None</w:t>
            </w:r>
          </w:p>
        </w:tc>
      </w:tr>
      <w:tr w:rsidR="006F79B5" w:rsidRPr="006A6CBD" w14:paraId="09811F6B" w14:textId="77777777" w:rsidTr="006A6CBD">
        <w:trPr>
          <w:trHeight w:val="450"/>
        </w:trPr>
        <w:tc>
          <w:tcPr>
            <w:tcW w:w="1023" w:type="pct"/>
            <w:hideMark/>
          </w:tcPr>
          <w:p w14:paraId="3D3B532D" w14:textId="77777777" w:rsidR="006F79B5" w:rsidRPr="006A6CBD" w:rsidRDefault="006F79B5" w:rsidP="006A6CBD">
            <w:pPr>
              <w:spacing w:line="276" w:lineRule="auto"/>
              <w:rPr>
                <w:rFonts w:cstheme="minorHAnsi"/>
              </w:rPr>
            </w:pPr>
            <w:r w:rsidRPr="006A6CBD">
              <w:rPr>
                <w:rFonts w:cstheme="minorHAnsi"/>
              </w:rPr>
              <w:lastRenderedPageBreak/>
              <w:t>Dr Campbell Tiley</w:t>
            </w:r>
          </w:p>
        </w:tc>
        <w:tc>
          <w:tcPr>
            <w:tcW w:w="2900" w:type="pct"/>
          </w:tcPr>
          <w:p w14:paraId="27F2B453" w14:textId="77777777" w:rsidR="006F79B5" w:rsidRPr="006A6CBD" w:rsidRDefault="006F79B5" w:rsidP="006A6CBD">
            <w:pPr>
              <w:spacing w:line="276" w:lineRule="auto"/>
              <w:rPr>
                <w:rFonts w:cstheme="minorHAnsi"/>
              </w:rPr>
            </w:pPr>
            <w:r w:rsidRPr="006A6CBD">
              <w:rPr>
                <w:rFonts w:cstheme="minorHAnsi"/>
                <w:shd w:val="clear" w:color="auto" w:fill="FFFFFF"/>
              </w:rPr>
              <w:t>Senior staff Specialist in Haematology, NSW Health Pathology; , Clinical Director of Medicine, Central Coast LHD; Conjoint Senior Lecturer, School of Medicine and Public Health, University of Newcastle</w:t>
            </w:r>
          </w:p>
        </w:tc>
        <w:tc>
          <w:tcPr>
            <w:tcW w:w="1077" w:type="pct"/>
            <w:shd w:val="clear" w:color="auto" w:fill="auto"/>
          </w:tcPr>
          <w:p w14:paraId="24FC98DD" w14:textId="7BF58DB9" w:rsidR="006F79B5" w:rsidRPr="006A6CBD" w:rsidRDefault="00EF7CDF" w:rsidP="006A6CBD">
            <w:pPr>
              <w:spacing w:line="276" w:lineRule="auto"/>
              <w:rPr>
                <w:rFonts w:cstheme="minorHAnsi"/>
              </w:rPr>
            </w:pPr>
            <w:r w:rsidRPr="006A6CBD">
              <w:rPr>
                <w:rFonts w:cstheme="minorHAnsi"/>
              </w:rPr>
              <w:t>None</w:t>
            </w:r>
          </w:p>
        </w:tc>
      </w:tr>
      <w:tr w:rsidR="006F79B5" w:rsidRPr="006A6CBD" w14:paraId="2B0DDD8A" w14:textId="77777777" w:rsidTr="006A6CBD">
        <w:trPr>
          <w:trHeight w:val="716"/>
        </w:trPr>
        <w:tc>
          <w:tcPr>
            <w:tcW w:w="1023" w:type="pct"/>
            <w:hideMark/>
          </w:tcPr>
          <w:p w14:paraId="399F0A23" w14:textId="77777777" w:rsidR="006F79B5" w:rsidRPr="006A6CBD" w:rsidRDefault="006F79B5" w:rsidP="006A6CBD">
            <w:pPr>
              <w:spacing w:line="276" w:lineRule="auto"/>
              <w:rPr>
                <w:rFonts w:cstheme="minorHAnsi"/>
              </w:rPr>
            </w:pPr>
            <w:r w:rsidRPr="006A6CBD">
              <w:rPr>
                <w:rFonts w:cstheme="minorHAnsi"/>
              </w:rPr>
              <w:t>Mr John Stubbs</w:t>
            </w:r>
          </w:p>
        </w:tc>
        <w:tc>
          <w:tcPr>
            <w:tcW w:w="2900" w:type="pct"/>
          </w:tcPr>
          <w:p w14:paraId="2554B862" w14:textId="77777777" w:rsidR="006F79B5" w:rsidRPr="006A6CBD" w:rsidRDefault="006F79B5" w:rsidP="006A6CBD">
            <w:pPr>
              <w:spacing w:line="276" w:lineRule="auto"/>
              <w:rPr>
                <w:rFonts w:cstheme="minorHAnsi"/>
              </w:rPr>
            </w:pPr>
            <w:r w:rsidRPr="006A6CBD">
              <w:rPr>
                <w:rFonts w:cstheme="minorHAnsi"/>
                <w:shd w:val="clear" w:color="auto" w:fill="FFFFFF"/>
              </w:rPr>
              <w:t>Chief Executive Officer, CanSpeak Member, Medical Services Advisory Committee Consumer Representative</w:t>
            </w:r>
          </w:p>
        </w:tc>
        <w:tc>
          <w:tcPr>
            <w:tcW w:w="1077" w:type="pct"/>
            <w:shd w:val="clear" w:color="auto" w:fill="auto"/>
          </w:tcPr>
          <w:p w14:paraId="3E324F02" w14:textId="399697A5" w:rsidR="006F79B5" w:rsidRPr="006A6CBD" w:rsidRDefault="00EF7CDF" w:rsidP="006A6CBD">
            <w:pPr>
              <w:spacing w:line="276" w:lineRule="auto"/>
              <w:rPr>
                <w:rFonts w:cstheme="minorHAnsi"/>
              </w:rPr>
            </w:pPr>
            <w:r w:rsidRPr="006A6CBD">
              <w:rPr>
                <w:rFonts w:cstheme="minorHAnsi"/>
              </w:rPr>
              <w:t>None</w:t>
            </w:r>
          </w:p>
        </w:tc>
      </w:tr>
    </w:tbl>
    <w:p w14:paraId="73A8EA7E" w14:textId="77777777" w:rsidR="00D120A8" w:rsidRPr="006A6CBD" w:rsidRDefault="00D120A8" w:rsidP="0087705D">
      <w:pPr>
        <w:pStyle w:val="Heading2"/>
        <w:rPr>
          <w:i/>
        </w:rPr>
      </w:pPr>
      <w:bookmarkStart w:id="52" w:name="_Toc8995605"/>
      <w:r w:rsidRPr="006A6CBD">
        <w:t>Conflicts of interest</w:t>
      </w:r>
      <w:bookmarkEnd w:id="52"/>
    </w:p>
    <w:p w14:paraId="3238E001" w14:textId="77777777" w:rsidR="00D120A8" w:rsidRPr="006A6CBD" w:rsidRDefault="00D120A8" w:rsidP="006A6CBD">
      <w:pPr>
        <w:spacing w:line="276" w:lineRule="auto"/>
      </w:pPr>
      <w:r w:rsidRPr="006A6CBD">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7FDCB0EE" w14:textId="178C1FBE" w:rsidR="006F79B5" w:rsidRPr="006A6CBD" w:rsidRDefault="00D120A8" w:rsidP="006A6CBD">
      <w:pPr>
        <w:spacing w:line="276" w:lineRule="auto"/>
      </w:pPr>
      <w:r w:rsidRPr="006A6CBD">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 of items.</w:t>
      </w:r>
    </w:p>
    <w:p w14:paraId="0D36AA8F" w14:textId="52040911" w:rsidR="006F79B5" w:rsidRPr="006A6CBD" w:rsidRDefault="006F79B5" w:rsidP="0087705D">
      <w:pPr>
        <w:pStyle w:val="Heading2"/>
        <w:rPr>
          <w:i/>
        </w:rPr>
      </w:pPr>
      <w:bookmarkStart w:id="53" w:name="_Toc8995606"/>
      <w:r w:rsidRPr="006A6CBD">
        <w:t>Areas of responsibility</w:t>
      </w:r>
      <w:bookmarkEnd w:id="53"/>
      <w:r w:rsidRPr="006A6CBD">
        <w:t xml:space="preserve"> </w:t>
      </w:r>
    </w:p>
    <w:p w14:paraId="18DFB8A2" w14:textId="083C6977" w:rsidR="006F79B5" w:rsidRPr="006A6CBD" w:rsidRDefault="006F79B5" w:rsidP="006A6CBD">
      <w:pPr>
        <w:spacing w:line="276" w:lineRule="auto"/>
      </w:pPr>
      <w:r w:rsidRPr="006A6CBD">
        <w:t xml:space="preserve">The Committee was assigned eight MBS items to review. A complete list of these items can be found in </w:t>
      </w:r>
      <w:hyperlink w:anchor="_Appendix_A_—Assigned" w:history="1">
        <w:r w:rsidRPr="006A6CBD">
          <w:rPr>
            <w:rStyle w:val="Hyperlink"/>
          </w:rPr>
          <w:t>Appendix A</w:t>
        </w:r>
      </w:hyperlink>
      <w:r w:rsidRPr="006A6CBD">
        <w:t xml:space="preserve">. </w:t>
      </w:r>
    </w:p>
    <w:p w14:paraId="2DD0CEBD" w14:textId="4F2B66B0" w:rsidR="006F79B5" w:rsidRPr="006A6CBD" w:rsidRDefault="006F79B5" w:rsidP="0087705D">
      <w:pPr>
        <w:pStyle w:val="Heading2"/>
        <w:rPr>
          <w:i/>
        </w:rPr>
      </w:pPr>
      <w:bookmarkStart w:id="54" w:name="_Toc8995607"/>
      <w:r w:rsidRPr="006A6CBD">
        <w:t>Summary of working group’s review approach</w:t>
      </w:r>
      <w:bookmarkEnd w:id="54"/>
    </w:p>
    <w:p w14:paraId="1F3D8221" w14:textId="77777777" w:rsidR="006F79B5" w:rsidRPr="006A6CBD" w:rsidRDefault="006F79B5" w:rsidP="006A6CBD">
      <w:pPr>
        <w:spacing w:line="276" w:lineRule="auto"/>
      </w:pPr>
      <w:r w:rsidRPr="006A6CBD">
        <w:t xml:space="preserve">The Committee completed a review of eight blood products items across two meetings, during which it developed the recommendations and rationales outlined in Section 4. </w:t>
      </w:r>
    </w:p>
    <w:p w14:paraId="15B5FB1E" w14:textId="77777777" w:rsidR="006F79B5" w:rsidRPr="006A6CBD" w:rsidRDefault="006F79B5" w:rsidP="006A6CBD">
      <w:pPr>
        <w:spacing w:line="276" w:lineRule="auto"/>
      </w:pPr>
      <w:r w:rsidRPr="006A6CBD">
        <w:t xml:space="preserve">The Review drew on various types of MBS data, including data on: </w:t>
      </w:r>
    </w:p>
    <w:p w14:paraId="016F5A2F" w14:textId="77777777" w:rsidR="006F79B5" w:rsidRPr="006A6CBD" w:rsidRDefault="006F79B5" w:rsidP="006A6CBD">
      <w:pPr>
        <w:pStyle w:val="NormalBulleted"/>
        <w:spacing w:line="276" w:lineRule="auto"/>
      </w:pPr>
      <w:r w:rsidRPr="006A6CBD">
        <w:t>utilisation of items (services, benefits, patients, providers and growth rates)</w:t>
      </w:r>
    </w:p>
    <w:p w14:paraId="27E37DF7" w14:textId="77777777" w:rsidR="006F79B5" w:rsidRPr="006A6CBD" w:rsidRDefault="006F79B5" w:rsidP="006A6CBD">
      <w:pPr>
        <w:pStyle w:val="NormalBulleted"/>
        <w:spacing w:line="276" w:lineRule="auto"/>
      </w:pPr>
      <w:r w:rsidRPr="006A6CBD">
        <w:t>service provision (type of provider, geography of service provision)</w:t>
      </w:r>
    </w:p>
    <w:p w14:paraId="5D642BBF" w14:textId="77777777" w:rsidR="006F79B5" w:rsidRPr="006A6CBD" w:rsidRDefault="006F79B5" w:rsidP="006A6CBD">
      <w:pPr>
        <w:pStyle w:val="NormalBulleted"/>
        <w:spacing w:line="276" w:lineRule="auto"/>
      </w:pPr>
      <w:r w:rsidRPr="006A6CBD">
        <w:t>patients (demographics and services per patient)</w:t>
      </w:r>
    </w:p>
    <w:p w14:paraId="66EF1A82" w14:textId="77777777" w:rsidR="006F79B5" w:rsidRPr="006A6CBD" w:rsidRDefault="006F79B5" w:rsidP="006A6CBD">
      <w:pPr>
        <w:pStyle w:val="NormalBulleted"/>
        <w:spacing w:line="276" w:lineRule="auto"/>
      </w:pPr>
      <w:r w:rsidRPr="006A6CBD">
        <w:t>co-claiming or episodes of services (same-day claiming and claiming with specific items over time)</w:t>
      </w:r>
    </w:p>
    <w:p w14:paraId="7DD8E6C2" w14:textId="77777777" w:rsidR="006F79B5" w:rsidRPr="006A6CBD" w:rsidRDefault="006F79B5" w:rsidP="006A6CBD">
      <w:pPr>
        <w:pStyle w:val="NormalBulleted"/>
        <w:spacing w:line="276" w:lineRule="auto"/>
      </w:pPr>
      <w:r w:rsidRPr="006A6CBD">
        <w:t>additional provider and patient-level data, when required.</w:t>
      </w:r>
    </w:p>
    <w:p w14:paraId="05199226" w14:textId="77777777" w:rsidR="006F79B5" w:rsidRPr="006A6CBD" w:rsidRDefault="006F79B5" w:rsidP="006A6CBD">
      <w:pPr>
        <w:spacing w:line="276" w:lineRule="auto"/>
      </w:pPr>
      <w:r w:rsidRPr="006A6CBD">
        <w:t xml:space="preserve">The review also drew on data presented in the relevant literature and clinical guidelines, all of which are referenced in the report. </w:t>
      </w:r>
    </w:p>
    <w:p w14:paraId="41085E0C" w14:textId="77777777" w:rsidR="006F79B5" w:rsidRPr="006A6CBD" w:rsidRDefault="006F79B5" w:rsidP="006A6CBD">
      <w:pPr>
        <w:spacing w:line="276" w:lineRule="auto"/>
      </w:pPr>
      <w:r w:rsidRPr="006A6CBD">
        <w:lastRenderedPageBreak/>
        <w:t xml:space="preserve">Following consultation in July 2017, the Blood Products Working Group considered stakeholder feedback before finalising the recommendations and presenting them to the Taskforce. The Taskforce endorsed the recommendations to the Minister for Health for consideration by the Government. </w:t>
      </w:r>
    </w:p>
    <w:p w14:paraId="28095853" w14:textId="1EC6B8F9" w:rsidR="00CC0260" w:rsidRPr="006A6CBD" w:rsidRDefault="0096332E" w:rsidP="0087705D">
      <w:pPr>
        <w:pStyle w:val="Heading1"/>
      </w:pPr>
      <w:bookmarkStart w:id="55" w:name="_Toc529954304"/>
      <w:bookmarkStart w:id="56" w:name="_Toc529971824"/>
      <w:bookmarkStart w:id="57" w:name="_Toc529972697"/>
      <w:bookmarkStart w:id="58" w:name="_Toc529973552"/>
      <w:bookmarkStart w:id="59" w:name="_Toc8995608"/>
      <w:bookmarkEnd w:id="7"/>
      <w:bookmarkEnd w:id="48"/>
      <w:bookmarkEnd w:id="49"/>
      <w:bookmarkEnd w:id="55"/>
      <w:bookmarkEnd w:id="56"/>
      <w:bookmarkEnd w:id="57"/>
      <w:bookmarkEnd w:id="58"/>
      <w:r w:rsidRPr="006A6CBD">
        <w:t>Blood products (Haematology)</w:t>
      </w:r>
      <w:bookmarkEnd w:id="59"/>
    </w:p>
    <w:p w14:paraId="31F20F49" w14:textId="27C37537" w:rsidR="0096332E" w:rsidRPr="006A6CBD" w:rsidRDefault="0096332E" w:rsidP="006A6CBD">
      <w:pPr>
        <w:spacing w:line="276" w:lineRule="auto"/>
        <w:rPr>
          <w:lang w:eastAsia="en-US"/>
        </w:rPr>
      </w:pPr>
      <w:bookmarkStart w:id="60" w:name="Rec1"/>
      <w:r w:rsidRPr="006A6CBD">
        <w:rPr>
          <w:lang w:eastAsia="en-US"/>
        </w:rPr>
        <w:t xml:space="preserve">The Working Group reviewed eight blood products items. </w:t>
      </w:r>
    </w:p>
    <w:p w14:paraId="2E41315F" w14:textId="77777777" w:rsidR="0096332E" w:rsidRPr="006A6CBD" w:rsidRDefault="0096332E" w:rsidP="006A6CBD">
      <w:pPr>
        <w:spacing w:line="276" w:lineRule="auto"/>
      </w:pPr>
      <w:r w:rsidRPr="006A6CBD">
        <w:t>The item-level recommendations are described below. A summary of recommendations can be found in Appendix A, and in the consumer summary table in Appendix B.</w:t>
      </w:r>
    </w:p>
    <w:p w14:paraId="160FD8CA" w14:textId="77777777" w:rsidR="0096332E" w:rsidRPr="006A6CBD" w:rsidRDefault="0096332E" w:rsidP="006A6CBD">
      <w:pPr>
        <w:spacing w:line="276" w:lineRule="auto"/>
      </w:pPr>
      <w:r w:rsidRPr="006A6CBD">
        <w:t>The changes focus on encouraging best practice, modernising the MBS to reflect contemporary practice, and ensuring that MBS services provide value for the patient and the healthcare system. Some of this can be achieved by:</w:t>
      </w:r>
    </w:p>
    <w:p w14:paraId="78FC7799" w14:textId="77777777" w:rsidR="0096332E" w:rsidRPr="006A6CBD" w:rsidRDefault="0096332E" w:rsidP="006A6CBD">
      <w:pPr>
        <w:pStyle w:val="NormalBulleted"/>
        <w:spacing w:line="276" w:lineRule="auto"/>
      </w:pPr>
      <w:r w:rsidRPr="006A6CBD">
        <w:t>deleting items that are obsolete</w:t>
      </w:r>
    </w:p>
    <w:p w14:paraId="08852DF5" w14:textId="77777777" w:rsidR="0096332E" w:rsidRPr="006A6CBD" w:rsidRDefault="0096332E" w:rsidP="006A6CBD">
      <w:pPr>
        <w:pStyle w:val="NormalBulleted"/>
        <w:spacing w:line="276" w:lineRule="auto"/>
      </w:pPr>
      <w:r w:rsidRPr="006A6CBD">
        <w:t>consolidating or splitting items to reflect contemporary practice</w:t>
      </w:r>
    </w:p>
    <w:p w14:paraId="7840CFC4" w14:textId="77777777" w:rsidR="0096332E" w:rsidRPr="006A6CBD" w:rsidRDefault="0096332E" w:rsidP="006A6CBD">
      <w:pPr>
        <w:pStyle w:val="NormalBulleted"/>
        <w:spacing w:line="276" w:lineRule="auto"/>
      </w:pPr>
      <w:r w:rsidRPr="006A6CBD">
        <w:t>modernising item descriptors to reflect best practice</w:t>
      </w:r>
    </w:p>
    <w:p w14:paraId="670F3CEC" w14:textId="77777777" w:rsidR="0096332E" w:rsidRPr="0087705D" w:rsidRDefault="0096332E" w:rsidP="0087705D">
      <w:pPr>
        <w:pStyle w:val="Heading2"/>
        <w:numPr>
          <w:ilvl w:val="1"/>
          <w:numId w:val="43"/>
        </w:numPr>
      </w:pPr>
      <w:bookmarkStart w:id="61" w:name="_Toc8995609"/>
      <w:r w:rsidRPr="0087705D">
        <w:t>Collection and transfusion of blood products</w:t>
      </w:r>
      <w:bookmarkEnd w:id="61"/>
    </w:p>
    <w:p w14:paraId="4EA126DD" w14:textId="4D6AC155" w:rsidR="0096332E" w:rsidRPr="006A6CBD" w:rsidRDefault="0096332E" w:rsidP="006A6CBD">
      <w:pPr>
        <w:spacing w:line="276" w:lineRule="auto"/>
      </w:pPr>
      <w:bookmarkStart w:id="62" w:name="_Toc8995622"/>
      <w:r w:rsidRPr="006A6CBD">
        <w:t xml:space="preserve">Table </w:t>
      </w:r>
      <w:r w:rsidRPr="006A6CBD">
        <w:rPr>
          <w:noProof/>
        </w:rPr>
        <w:fldChar w:fldCharType="begin"/>
      </w:r>
      <w:r w:rsidRPr="006A6CBD">
        <w:rPr>
          <w:noProof/>
        </w:rPr>
        <w:instrText xml:space="preserve"> SEQ Table \* ARABIC </w:instrText>
      </w:r>
      <w:r w:rsidRPr="006A6CBD">
        <w:rPr>
          <w:noProof/>
        </w:rPr>
        <w:fldChar w:fldCharType="separate"/>
      </w:r>
      <w:r w:rsidR="00013B42">
        <w:rPr>
          <w:noProof/>
        </w:rPr>
        <w:t>3</w:t>
      </w:r>
      <w:r w:rsidRPr="006A6CBD">
        <w:rPr>
          <w:noProof/>
        </w:rPr>
        <w:fldChar w:fldCharType="end"/>
      </w:r>
      <w:r w:rsidRPr="006A6CBD">
        <w:t>. Item introduction table for transfusion items 13703, 13706 and 13709</w:t>
      </w:r>
      <w:bookmarkEnd w:id="62"/>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item introduction table for transfusion items 13700, 13703, 13706, and 13709"/>
        <w:tblDescription w:val="This table shows selected current MBS Schedule information for items 13700, 13703, 13706, and 13709. There are 7 columns – column 1: item number, column 2: long item descriptor, column 3: schedule fee, column 4: benefits for the 2015–16 financial year, column 5: total services for the 2015-2016 financial year, column 6: total patient count for the 2015-2016 financial year, and column 7: 5-year compound annual growth rate of the service."/>
      </w:tblPr>
      <w:tblGrid>
        <w:gridCol w:w="783"/>
        <w:gridCol w:w="3607"/>
        <w:gridCol w:w="1027"/>
        <w:gridCol w:w="1276"/>
        <w:gridCol w:w="1276"/>
        <w:gridCol w:w="1108"/>
      </w:tblGrid>
      <w:tr w:rsidR="0096332E" w:rsidRPr="006A6CBD" w14:paraId="6B96FC3E" w14:textId="77777777" w:rsidTr="00991D7B">
        <w:trPr>
          <w:trHeight w:val="729"/>
          <w:tblHeader/>
        </w:trPr>
        <w:tc>
          <w:tcPr>
            <w:tcW w:w="783" w:type="dxa"/>
            <w:shd w:val="clear" w:color="auto" w:fill="EEECE1" w:themeFill="background2"/>
            <w:vAlign w:val="bottom"/>
            <w:hideMark/>
          </w:tcPr>
          <w:p w14:paraId="175CD32A" w14:textId="77777777" w:rsidR="0096332E" w:rsidRPr="006A6CBD" w:rsidRDefault="0096332E" w:rsidP="006A6CBD">
            <w:pPr>
              <w:spacing w:line="276" w:lineRule="auto"/>
              <w:rPr>
                <w:b/>
              </w:rPr>
            </w:pPr>
            <w:r w:rsidRPr="006A6CBD">
              <w:t>Item</w:t>
            </w:r>
          </w:p>
        </w:tc>
        <w:tc>
          <w:tcPr>
            <w:tcW w:w="3607" w:type="dxa"/>
            <w:shd w:val="clear" w:color="auto" w:fill="EEECE1" w:themeFill="background2"/>
            <w:vAlign w:val="bottom"/>
            <w:hideMark/>
          </w:tcPr>
          <w:p w14:paraId="5F1DB4CB" w14:textId="77777777" w:rsidR="0096332E" w:rsidRPr="006A6CBD" w:rsidRDefault="0096332E" w:rsidP="006A6CBD">
            <w:pPr>
              <w:spacing w:line="276" w:lineRule="auto"/>
            </w:pPr>
            <w:r w:rsidRPr="006A6CBD">
              <w:t>Item descriptor</w:t>
            </w:r>
          </w:p>
        </w:tc>
        <w:tc>
          <w:tcPr>
            <w:tcW w:w="1017" w:type="dxa"/>
            <w:shd w:val="clear" w:color="auto" w:fill="EEECE1" w:themeFill="background2"/>
            <w:vAlign w:val="bottom"/>
            <w:hideMark/>
          </w:tcPr>
          <w:p w14:paraId="11ADB4FA" w14:textId="77777777" w:rsidR="0096332E" w:rsidRPr="006A6CBD" w:rsidRDefault="0096332E" w:rsidP="006A6CBD">
            <w:pPr>
              <w:spacing w:line="276" w:lineRule="auto"/>
            </w:pPr>
            <w:r w:rsidRPr="006A6CBD">
              <w:t>Schedule fee</w:t>
            </w:r>
          </w:p>
        </w:tc>
        <w:tc>
          <w:tcPr>
            <w:tcW w:w="1276" w:type="dxa"/>
            <w:shd w:val="clear" w:color="auto" w:fill="EEECE1" w:themeFill="background2"/>
            <w:vAlign w:val="bottom"/>
            <w:hideMark/>
          </w:tcPr>
          <w:p w14:paraId="50049D81" w14:textId="77777777" w:rsidR="0096332E" w:rsidRPr="006A6CBD" w:rsidRDefault="0096332E" w:rsidP="006A6CBD">
            <w:pPr>
              <w:spacing w:line="276" w:lineRule="auto"/>
            </w:pPr>
            <w:r w:rsidRPr="006A6CBD">
              <w:t xml:space="preserve">Benefits </w:t>
            </w:r>
            <w:r w:rsidRPr="006A6CBD">
              <w:br/>
              <w:t>FY 2015–16</w:t>
            </w:r>
          </w:p>
        </w:tc>
        <w:tc>
          <w:tcPr>
            <w:tcW w:w="1276" w:type="dxa"/>
            <w:shd w:val="clear" w:color="auto" w:fill="EEECE1" w:themeFill="background2"/>
            <w:vAlign w:val="bottom"/>
            <w:hideMark/>
          </w:tcPr>
          <w:p w14:paraId="5C1B5107" w14:textId="77777777" w:rsidR="0096332E" w:rsidRPr="006A6CBD" w:rsidRDefault="0096332E" w:rsidP="006A6CBD">
            <w:pPr>
              <w:spacing w:line="276" w:lineRule="auto"/>
            </w:pPr>
            <w:r w:rsidRPr="006A6CBD">
              <w:t xml:space="preserve">Services </w:t>
            </w:r>
            <w:r w:rsidRPr="006A6CBD">
              <w:br/>
              <w:t>FY 2015–16</w:t>
            </w:r>
          </w:p>
        </w:tc>
        <w:tc>
          <w:tcPr>
            <w:tcW w:w="1108" w:type="dxa"/>
            <w:shd w:val="clear" w:color="auto" w:fill="EEECE1" w:themeFill="background2"/>
            <w:vAlign w:val="bottom"/>
            <w:hideMark/>
          </w:tcPr>
          <w:p w14:paraId="1F005A5A" w14:textId="77777777" w:rsidR="0096332E" w:rsidRPr="006A6CBD" w:rsidRDefault="0096332E" w:rsidP="006A6CBD">
            <w:pPr>
              <w:spacing w:line="276" w:lineRule="auto"/>
            </w:pPr>
            <w:r w:rsidRPr="006A6CBD">
              <w:t>5-year service change % (CAGR)</w:t>
            </w:r>
          </w:p>
        </w:tc>
      </w:tr>
      <w:tr w:rsidR="0096332E" w:rsidRPr="006A6CBD" w14:paraId="7937E611" w14:textId="77777777" w:rsidTr="00BB52C9">
        <w:trPr>
          <w:trHeight w:val="300"/>
        </w:trPr>
        <w:tc>
          <w:tcPr>
            <w:tcW w:w="783" w:type="dxa"/>
            <w:noWrap/>
            <w:hideMark/>
          </w:tcPr>
          <w:p w14:paraId="1A57D6A7" w14:textId="77777777" w:rsidR="0096332E" w:rsidRPr="006A6CBD" w:rsidRDefault="0096332E" w:rsidP="006A6CBD">
            <w:pPr>
              <w:spacing w:line="276" w:lineRule="auto"/>
            </w:pPr>
            <w:r w:rsidRPr="006A6CBD">
              <w:t>13703</w:t>
            </w:r>
          </w:p>
        </w:tc>
        <w:tc>
          <w:tcPr>
            <w:tcW w:w="3607" w:type="dxa"/>
            <w:noWrap/>
            <w:hideMark/>
          </w:tcPr>
          <w:p w14:paraId="36D28F86" w14:textId="77777777" w:rsidR="0096332E" w:rsidRPr="006A6CBD" w:rsidRDefault="0096332E" w:rsidP="006A6CBD">
            <w:pPr>
              <w:spacing w:line="276" w:lineRule="auto"/>
            </w:pPr>
            <w:r w:rsidRPr="006A6CBD">
              <w:t>Transfusion of blood, including collection from donor</w:t>
            </w:r>
          </w:p>
        </w:tc>
        <w:tc>
          <w:tcPr>
            <w:tcW w:w="1017" w:type="dxa"/>
            <w:noWrap/>
            <w:hideMark/>
          </w:tcPr>
          <w:p w14:paraId="46D8CCC3" w14:textId="77777777" w:rsidR="0096332E" w:rsidRPr="006A6CBD" w:rsidRDefault="0096332E" w:rsidP="00B02668">
            <w:pPr>
              <w:spacing w:line="276" w:lineRule="auto"/>
              <w:jc w:val="right"/>
            </w:pPr>
            <w:r w:rsidRPr="006A6CBD">
              <w:t>$119.50</w:t>
            </w:r>
          </w:p>
        </w:tc>
        <w:tc>
          <w:tcPr>
            <w:tcW w:w="1276" w:type="dxa"/>
            <w:noWrap/>
            <w:hideMark/>
          </w:tcPr>
          <w:p w14:paraId="063440D1" w14:textId="77777777" w:rsidR="0096332E" w:rsidRPr="006A6CBD" w:rsidRDefault="0096332E" w:rsidP="00B02668">
            <w:pPr>
              <w:spacing w:line="276" w:lineRule="auto"/>
              <w:jc w:val="right"/>
            </w:pPr>
            <w:r w:rsidRPr="006A6CBD">
              <w:t>$359,248</w:t>
            </w:r>
          </w:p>
        </w:tc>
        <w:tc>
          <w:tcPr>
            <w:tcW w:w="1276" w:type="dxa"/>
            <w:noWrap/>
            <w:hideMark/>
          </w:tcPr>
          <w:p w14:paraId="1DA73B97" w14:textId="77777777" w:rsidR="0096332E" w:rsidRPr="006A6CBD" w:rsidRDefault="0096332E" w:rsidP="00B02668">
            <w:pPr>
              <w:spacing w:line="276" w:lineRule="auto"/>
              <w:jc w:val="right"/>
            </w:pPr>
            <w:r w:rsidRPr="006A6CBD">
              <w:t>3 486</w:t>
            </w:r>
          </w:p>
        </w:tc>
        <w:tc>
          <w:tcPr>
            <w:tcW w:w="1108" w:type="dxa"/>
            <w:noWrap/>
            <w:hideMark/>
          </w:tcPr>
          <w:p w14:paraId="33A5C308" w14:textId="77777777" w:rsidR="0096332E" w:rsidRPr="006A6CBD" w:rsidRDefault="0096332E" w:rsidP="00B02668">
            <w:pPr>
              <w:spacing w:line="276" w:lineRule="auto"/>
              <w:jc w:val="right"/>
            </w:pPr>
            <w:r w:rsidRPr="006A6CBD">
              <w:t>9.9%</w:t>
            </w:r>
          </w:p>
        </w:tc>
      </w:tr>
      <w:tr w:rsidR="0096332E" w:rsidRPr="006A6CBD" w14:paraId="673AD7F7" w14:textId="77777777" w:rsidTr="00BB52C9">
        <w:trPr>
          <w:trHeight w:val="300"/>
        </w:trPr>
        <w:tc>
          <w:tcPr>
            <w:tcW w:w="783" w:type="dxa"/>
            <w:noWrap/>
          </w:tcPr>
          <w:p w14:paraId="7082040C" w14:textId="77777777" w:rsidR="0096332E" w:rsidRPr="006A6CBD" w:rsidRDefault="0096332E" w:rsidP="006A6CBD">
            <w:pPr>
              <w:spacing w:line="276" w:lineRule="auto"/>
            </w:pPr>
            <w:r w:rsidRPr="006A6CBD">
              <w:t>13706</w:t>
            </w:r>
          </w:p>
        </w:tc>
        <w:tc>
          <w:tcPr>
            <w:tcW w:w="3607" w:type="dxa"/>
            <w:noWrap/>
          </w:tcPr>
          <w:p w14:paraId="46E23386" w14:textId="77777777" w:rsidR="0096332E" w:rsidRPr="006A6CBD" w:rsidRDefault="0096332E" w:rsidP="006A6CBD">
            <w:pPr>
              <w:spacing w:line="276" w:lineRule="auto"/>
            </w:pPr>
            <w:r w:rsidRPr="006A6CBD">
              <w:t>Transfusion of blood or bone marrow already collected</w:t>
            </w:r>
          </w:p>
        </w:tc>
        <w:tc>
          <w:tcPr>
            <w:tcW w:w="1017" w:type="dxa"/>
            <w:noWrap/>
          </w:tcPr>
          <w:p w14:paraId="6EDF7C8F" w14:textId="77777777" w:rsidR="0096332E" w:rsidRPr="006A6CBD" w:rsidRDefault="0096332E" w:rsidP="00B02668">
            <w:pPr>
              <w:spacing w:line="276" w:lineRule="auto"/>
              <w:jc w:val="right"/>
            </w:pPr>
            <w:r w:rsidRPr="006A6CBD">
              <w:t>$48.45</w:t>
            </w:r>
          </w:p>
        </w:tc>
        <w:tc>
          <w:tcPr>
            <w:tcW w:w="1276" w:type="dxa"/>
            <w:noWrap/>
          </w:tcPr>
          <w:p w14:paraId="0EBA74D6" w14:textId="77777777" w:rsidR="0096332E" w:rsidRPr="006A6CBD" w:rsidRDefault="0096332E" w:rsidP="00B02668">
            <w:pPr>
              <w:spacing w:line="276" w:lineRule="auto"/>
              <w:jc w:val="right"/>
            </w:pPr>
            <w:r w:rsidRPr="006A6CBD">
              <w:t>$9,599,849</w:t>
            </w:r>
          </w:p>
        </w:tc>
        <w:tc>
          <w:tcPr>
            <w:tcW w:w="1276" w:type="dxa"/>
            <w:noWrap/>
          </w:tcPr>
          <w:p w14:paraId="2220E506" w14:textId="77777777" w:rsidR="0096332E" w:rsidRPr="006A6CBD" w:rsidRDefault="0096332E" w:rsidP="00B02668">
            <w:pPr>
              <w:spacing w:line="276" w:lineRule="auto"/>
              <w:jc w:val="right"/>
            </w:pPr>
            <w:r w:rsidRPr="006A6CBD">
              <w:t>147 747</w:t>
            </w:r>
          </w:p>
        </w:tc>
        <w:tc>
          <w:tcPr>
            <w:tcW w:w="1108" w:type="dxa"/>
            <w:noWrap/>
          </w:tcPr>
          <w:p w14:paraId="62FEE242" w14:textId="77777777" w:rsidR="0096332E" w:rsidRPr="006A6CBD" w:rsidRDefault="0096332E" w:rsidP="00B02668">
            <w:pPr>
              <w:spacing w:line="276" w:lineRule="auto"/>
              <w:jc w:val="right"/>
            </w:pPr>
            <w:r w:rsidRPr="006A6CBD">
              <w:t>5.5%</w:t>
            </w:r>
          </w:p>
        </w:tc>
      </w:tr>
      <w:tr w:rsidR="0096332E" w:rsidRPr="006A6CBD" w14:paraId="71FCBA78" w14:textId="77777777" w:rsidTr="00BB52C9">
        <w:trPr>
          <w:trHeight w:val="300"/>
        </w:trPr>
        <w:tc>
          <w:tcPr>
            <w:tcW w:w="783" w:type="dxa"/>
            <w:noWrap/>
          </w:tcPr>
          <w:p w14:paraId="577BFE56" w14:textId="77777777" w:rsidR="0096332E" w:rsidRPr="006A6CBD" w:rsidRDefault="0096332E" w:rsidP="006A6CBD">
            <w:pPr>
              <w:spacing w:line="276" w:lineRule="auto"/>
            </w:pPr>
            <w:r w:rsidRPr="006A6CBD">
              <w:t>13709</w:t>
            </w:r>
          </w:p>
        </w:tc>
        <w:tc>
          <w:tcPr>
            <w:tcW w:w="3607" w:type="dxa"/>
            <w:noWrap/>
          </w:tcPr>
          <w:p w14:paraId="4AD920C1" w14:textId="77777777" w:rsidR="0096332E" w:rsidRPr="006A6CBD" w:rsidRDefault="0096332E" w:rsidP="006A6CBD">
            <w:pPr>
              <w:spacing w:line="276" w:lineRule="auto"/>
            </w:pPr>
            <w:r w:rsidRPr="006A6CBD">
              <w:t>Collection of blood for autologous transfusion or when homologous blood is required for immediate transfusion in emergency situation</w:t>
            </w:r>
          </w:p>
        </w:tc>
        <w:tc>
          <w:tcPr>
            <w:tcW w:w="1017" w:type="dxa"/>
            <w:noWrap/>
          </w:tcPr>
          <w:p w14:paraId="06CA5B17" w14:textId="77777777" w:rsidR="0096332E" w:rsidRPr="006A6CBD" w:rsidRDefault="0096332E" w:rsidP="00B02668">
            <w:pPr>
              <w:spacing w:line="276" w:lineRule="auto"/>
              <w:jc w:val="right"/>
            </w:pPr>
            <w:r w:rsidRPr="006A6CBD">
              <w:t>$48.45</w:t>
            </w:r>
          </w:p>
        </w:tc>
        <w:tc>
          <w:tcPr>
            <w:tcW w:w="1276" w:type="dxa"/>
            <w:noWrap/>
          </w:tcPr>
          <w:p w14:paraId="1C154611" w14:textId="77777777" w:rsidR="0096332E" w:rsidRPr="006A6CBD" w:rsidRDefault="0096332E" w:rsidP="00B02668">
            <w:pPr>
              <w:spacing w:line="276" w:lineRule="auto"/>
              <w:jc w:val="right"/>
            </w:pPr>
            <w:r w:rsidRPr="006A6CBD">
              <w:t>$28,531</w:t>
            </w:r>
          </w:p>
        </w:tc>
        <w:tc>
          <w:tcPr>
            <w:tcW w:w="1276" w:type="dxa"/>
            <w:noWrap/>
          </w:tcPr>
          <w:p w14:paraId="772DC34E" w14:textId="77777777" w:rsidR="0096332E" w:rsidRPr="006A6CBD" w:rsidRDefault="0096332E" w:rsidP="00B02668">
            <w:pPr>
              <w:spacing w:line="276" w:lineRule="auto"/>
              <w:jc w:val="right"/>
            </w:pPr>
            <w:r w:rsidRPr="006A6CBD">
              <w:t>708</w:t>
            </w:r>
          </w:p>
        </w:tc>
        <w:tc>
          <w:tcPr>
            <w:tcW w:w="1108" w:type="dxa"/>
            <w:noWrap/>
          </w:tcPr>
          <w:p w14:paraId="31AA6BF7" w14:textId="77777777" w:rsidR="0096332E" w:rsidRPr="006A6CBD" w:rsidRDefault="0096332E" w:rsidP="00B02668">
            <w:pPr>
              <w:spacing w:line="276" w:lineRule="auto"/>
              <w:jc w:val="right"/>
            </w:pPr>
            <w:r w:rsidRPr="006A6CBD">
              <w:t>–22.0%</w:t>
            </w:r>
          </w:p>
        </w:tc>
      </w:tr>
    </w:tbl>
    <w:p w14:paraId="378E274D" w14:textId="2B3B5791" w:rsidR="004D05D8" w:rsidRDefault="002F16B0" w:rsidP="0087705D">
      <w:pPr>
        <w:spacing w:before="0" w:after="0" w:line="240" w:lineRule="auto"/>
      </w:pPr>
      <w:r>
        <w:rPr>
          <w:b/>
        </w:rPr>
        <w:br w:type="page"/>
      </w:r>
      <w:r w:rsidR="004D05D8">
        <w:lastRenderedPageBreak/>
        <w:t xml:space="preserve">Important note: </w:t>
      </w:r>
    </w:p>
    <w:p w14:paraId="7BA4D10F" w14:textId="31CB2329" w:rsidR="004D05D8" w:rsidRDefault="002F16B0" w:rsidP="002F16B0">
      <w:pPr>
        <w:pStyle w:val="TableCaption"/>
        <w:pBdr>
          <w:top w:val="single" w:sz="4" w:space="1" w:color="auto"/>
          <w:left w:val="single" w:sz="4" w:space="4" w:color="auto"/>
          <w:bottom w:val="single" w:sz="4" w:space="1" w:color="auto"/>
          <w:right w:val="single" w:sz="4" w:space="4" w:color="auto"/>
        </w:pBdr>
        <w:spacing w:line="276" w:lineRule="auto"/>
        <w:rPr>
          <w:rFonts w:cstheme="minorHAnsi"/>
          <w:b w:val="0"/>
        </w:rPr>
      </w:pPr>
      <w:r>
        <w:rPr>
          <w:b w:val="0"/>
        </w:rPr>
        <w:t>Based on feedback from stakeholders t</w:t>
      </w:r>
      <w:r w:rsidR="004D05D8" w:rsidRPr="004D05D8">
        <w:rPr>
          <w:b w:val="0"/>
        </w:rPr>
        <w:t xml:space="preserve">he Taskforce agreed to </w:t>
      </w:r>
      <w:r>
        <w:rPr>
          <w:b w:val="0"/>
        </w:rPr>
        <w:t xml:space="preserve">retain item 13706 but </w:t>
      </w:r>
      <w:r w:rsidR="004D05D8" w:rsidRPr="004D05D8">
        <w:rPr>
          <w:b w:val="0"/>
        </w:rPr>
        <w:t>revise the descriptor</w:t>
      </w:r>
      <w:r>
        <w:rPr>
          <w:b w:val="0"/>
        </w:rPr>
        <w:t xml:space="preserve"> </w:t>
      </w:r>
      <w:r w:rsidR="004D05D8" w:rsidRPr="004D05D8">
        <w:rPr>
          <w:b w:val="0"/>
        </w:rPr>
        <w:t>to read “TRANSFUSION OF BLOOD or bone marrow already collected excluding the transfusion of immunoglobulin</w:t>
      </w:r>
      <w:r>
        <w:rPr>
          <w:b w:val="0"/>
        </w:rPr>
        <w:t xml:space="preserve">”. The Taskforce </w:t>
      </w:r>
      <w:r w:rsidR="00191B55">
        <w:rPr>
          <w:b w:val="0"/>
        </w:rPr>
        <w:t xml:space="preserve">also </w:t>
      </w:r>
      <w:r>
        <w:rPr>
          <w:b w:val="0"/>
        </w:rPr>
        <w:t>agreed to</w:t>
      </w:r>
      <w:r w:rsidR="004D05D8">
        <w:rPr>
          <w:b w:val="0"/>
        </w:rPr>
        <w:t xml:space="preserve"> remove </w:t>
      </w:r>
      <w:r w:rsidR="004D05D8" w:rsidRPr="004D05D8">
        <w:rPr>
          <w:rFonts w:cstheme="minorHAnsi"/>
          <w:b w:val="0"/>
          <w:szCs w:val="20"/>
          <w:lang w:eastAsia="en-AU"/>
        </w:rPr>
        <w:t xml:space="preserve">the </w:t>
      </w:r>
      <w:r w:rsidR="004D05D8" w:rsidRPr="004D05D8">
        <w:rPr>
          <w:rFonts w:cstheme="minorHAnsi"/>
          <w:b w:val="0"/>
        </w:rPr>
        <w:t>amendment requiring the presence of the treating specialist in the building</w:t>
      </w:r>
      <w:r w:rsidR="00191B55">
        <w:rPr>
          <w:rFonts w:cstheme="minorHAnsi"/>
          <w:b w:val="0"/>
        </w:rPr>
        <w:t xml:space="preserve"> due to possible unintended consequences for rural and remote patients</w:t>
      </w:r>
      <w:r w:rsidR="004D05D8">
        <w:rPr>
          <w:rFonts w:cstheme="minorHAnsi"/>
          <w:b w:val="0"/>
        </w:rPr>
        <w:t>.</w:t>
      </w:r>
    </w:p>
    <w:p w14:paraId="3BE9238C" w14:textId="02025FBB" w:rsidR="00985BB3" w:rsidRDefault="00756A5C" w:rsidP="0087705D">
      <w:pPr>
        <w:pStyle w:val="Heading3"/>
      </w:pPr>
      <w:bookmarkStart w:id="63" w:name="_Toc8995610"/>
      <w:r w:rsidRPr="006A6CBD">
        <w:t>R</w:t>
      </w:r>
      <w:r w:rsidR="00EF57B6" w:rsidRPr="006A6CBD">
        <w:t xml:space="preserve">ecommendation </w:t>
      </w:r>
      <w:bookmarkEnd w:id="60"/>
      <w:r w:rsidR="00D120A8" w:rsidRPr="006A6CBD">
        <w:t>1</w:t>
      </w:r>
      <w:r w:rsidR="00D34E9E" w:rsidRPr="006A6CBD">
        <w:t xml:space="preserve"> </w:t>
      </w:r>
      <w:r w:rsidR="00637CBF" w:rsidRPr="006A6CBD">
        <w:t>–</w:t>
      </w:r>
      <w:r w:rsidR="007E3549" w:rsidRPr="006A6CBD">
        <w:t xml:space="preserve"> </w:t>
      </w:r>
      <w:r w:rsidR="00D120A8" w:rsidRPr="006A6CBD">
        <w:t>Collection and trans</w:t>
      </w:r>
      <w:r w:rsidR="008844A0">
        <w:t>fusion of blood products</w:t>
      </w:r>
      <w:r w:rsidR="00192AA9" w:rsidRPr="006A6CBD">
        <w:rPr>
          <w:rStyle w:val="FootnoteReference"/>
        </w:rPr>
        <w:footnoteReference w:id="3"/>
      </w:r>
      <w:bookmarkEnd w:id="63"/>
    </w:p>
    <w:p w14:paraId="27061ACC" w14:textId="1D46D914" w:rsidR="001C370D" w:rsidRPr="006A6CBD" w:rsidRDefault="006E0C07" w:rsidP="006A6CBD">
      <w:pPr>
        <w:pStyle w:val="ListParagraph"/>
        <w:numPr>
          <w:ilvl w:val="0"/>
          <w:numId w:val="24"/>
        </w:numPr>
        <w:spacing w:line="276" w:lineRule="auto"/>
      </w:pPr>
      <w:r w:rsidRPr="006A6CBD">
        <w:t>I</w:t>
      </w:r>
      <w:r w:rsidR="00D120A8" w:rsidRPr="006A6CBD">
        <w:t>tem 13703</w:t>
      </w:r>
      <w:r w:rsidRPr="006A6CBD">
        <w:t xml:space="preserve">: </w:t>
      </w:r>
      <w:r w:rsidR="00D120A8" w:rsidRPr="006A6CBD">
        <w:t>Change the descriptor to include intra-operative normovolaemic haemodilution (NVH) where appropriate</w:t>
      </w:r>
      <w:r w:rsidR="002C7ED0" w:rsidRPr="006A6CBD">
        <w:t>.</w:t>
      </w:r>
      <w:r w:rsidR="00192AA9" w:rsidRPr="006A6CBD">
        <w:t xml:space="preserve"> </w:t>
      </w:r>
      <w:r w:rsidR="001C370D" w:rsidRPr="006A6CBD">
        <w:rPr>
          <w:szCs w:val="22"/>
        </w:rPr>
        <w:t xml:space="preserve">The proposed </w:t>
      </w:r>
      <w:r w:rsidR="00C7256A" w:rsidRPr="006A6CBD">
        <w:rPr>
          <w:szCs w:val="22"/>
        </w:rPr>
        <w:t xml:space="preserve">item </w:t>
      </w:r>
      <w:r w:rsidR="001C370D" w:rsidRPr="006A6CBD">
        <w:rPr>
          <w:szCs w:val="22"/>
        </w:rPr>
        <w:t>descriptor</w:t>
      </w:r>
      <w:r w:rsidR="00D120A8" w:rsidRPr="006A6CBD">
        <w:rPr>
          <w:szCs w:val="22"/>
        </w:rPr>
        <w:t xml:space="preserve"> is</w:t>
      </w:r>
      <w:r w:rsidR="001C370D" w:rsidRPr="006A6CBD">
        <w:rPr>
          <w:szCs w:val="22"/>
        </w:rPr>
        <w:t>:</w:t>
      </w:r>
    </w:p>
    <w:p w14:paraId="4692D1FE" w14:textId="25925FF7" w:rsidR="00231C45" w:rsidRPr="006A6CBD" w:rsidRDefault="00D120A8" w:rsidP="006A6CBD">
      <w:pPr>
        <w:pStyle w:val="ListParagraph"/>
        <w:numPr>
          <w:ilvl w:val="1"/>
          <w:numId w:val="24"/>
        </w:numPr>
        <w:spacing w:before="0" w:after="0" w:line="276" w:lineRule="auto"/>
        <w:rPr>
          <w:i/>
          <w:szCs w:val="22"/>
        </w:rPr>
      </w:pPr>
      <w:r w:rsidRPr="006A6CBD">
        <w:rPr>
          <w:i/>
        </w:rPr>
        <w:t xml:space="preserve">Transfusion of blood, including collection from donor, </w:t>
      </w:r>
      <w:r w:rsidRPr="006A6CBD">
        <w:rPr>
          <w:b/>
          <w:i/>
        </w:rPr>
        <w:t>when used for intra-operative normovolaemic haemodilution</w:t>
      </w:r>
    </w:p>
    <w:p w14:paraId="56A6F5C7" w14:textId="1B6AE0AF" w:rsidR="001C370D" w:rsidRPr="006A6CBD" w:rsidRDefault="00192AA9" w:rsidP="006A6CBD">
      <w:pPr>
        <w:pStyle w:val="ListParagraph"/>
        <w:numPr>
          <w:ilvl w:val="0"/>
          <w:numId w:val="24"/>
        </w:numPr>
        <w:spacing w:before="0" w:line="276" w:lineRule="auto"/>
        <w:rPr>
          <w:szCs w:val="22"/>
        </w:rPr>
      </w:pPr>
      <w:r w:rsidRPr="006A6CBD">
        <w:rPr>
          <w:szCs w:val="22"/>
        </w:rPr>
        <w:t xml:space="preserve">Item </w:t>
      </w:r>
      <w:r w:rsidR="00017695" w:rsidRPr="006A6CBD">
        <w:rPr>
          <w:szCs w:val="22"/>
        </w:rPr>
        <w:t>13706</w:t>
      </w:r>
      <w:r w:rsidRPr="006A6CBD">
        <w:rPr>
          <w:szCs w:val="22"/>
        </w:rPr>
        <w:t xml:space="preserve">: </w:t>
      </w:r>
      <w:r w:rsidR="00017695" w:rsidRPr="006A6CBD">
        <w:t>Change the descriptor to exclude the provision of immunoglobulin with blood transfusion services</w:t>
      </w:r>
      <w:r w:rsidR="00017695" w:rsidRPr="006A6CBD">
        <w:rPr>
          <w:szCs w:val="22"/>
        </w:rPr>
        <w:t xml:space="preserve">. </w:t>
      </w:r>
      <w:r w:rsidR="001C370D" w:rsidRPr="006A6CBD">
        <w:rPr>
          <w:szCs w:val="22"/>
        </w:rPr>
        <w:t>The proposed</w:t>
      </w:r>
      <w:r w:rsidR="00C7256A" w:rsidRPr="006A6CBD">
        <w:rPr>
          <w:szCs w:val="22"/>
        </w:rPr>
        <w:t xml:space="preserve"> item </w:t>
      </w:r>
      <w:r w:rsidR="001C370D" w:rsidRPr="006A6CBD">
        <w:rPr>
          <w:szCs w:val="22"/>
        </w:rPr>
        <w:t xml:space="preserve">descriptor </w:t>
      </w:r>
      <w:r w:rsidR="002C7ED0" w:rsidRPr="006A6CBD">
        <w:rPr>
          <w:szCs w:val="22"/>
        </w:rPr>
        <w:t>is</w:t>
      </w:r>
      <w:r w:rsidR="001C370D" w:rsidRPr="006A6CBD">
        <w:rPr>
          <w:szCs w:val="22"/>
        </w:rPr>
        <w:t>:</w:t>
      </w:r>
    </w:p>
    <w:p w14:paraId="685F0882" w14:textId="66606ADB" w:rsidR="001C370D" w:rsidRPr="006A6CBD" w:rsidRDefault="00017695" w:rsidP="006A6CBD">
      <w:pPr>
        <w:pStyle w:val="ListParagraph"/>
        <w:numPr>
          <w:ilvl w:val="1"/>
          <w:numId w:val="24"/>
        </w:numPr>
        <w:spacing w:after="0" w:line="276" w:lineRule="auto"/>
        <w:rPr>
          <w:i/>
          <w:szCs w:val="22"/>
        </w:rPr>
      </w:pPr>
      <w:r w:rsidRPr="006A6CBD">
        <w:rPr>
          <w:i/>
        </w:rPr>
        <w:t xml:space="preserve">Transfusion of blood or bone marrow already collect </w:t>
      </w:r>
      <w:r w:rsidRPr="006A6CBD">
        <w:rPr>
          <w:b/>
          <w:i/>
        </w:rPr>
        <w:t>excluding the transfusion of immunoglobulin</w:t>
      </w:r>
    </w:p>
    <w:p w14:paraId="5E2FBC7E" w14:textId="721F7542" w:rsidR="001C370D" w:rsidRPr="006A6CBD" w:rsidRDefault="00231C45" w:rsidP="006A6CBD">
      <w:pPr>
        <w:pStyle w:val="ListParagraph"/>
        <w:numPr>
          <w:ilvl w:val="0"/>
          <w:numId w:val="24"/>
        </w:numPr>
        <w:spacing w:before="0" w:line="276" w:lineRule="auto"/>
        <w:rPr>
          <w:szCs w:val="22"/>
        </w:rPr>
      </w:pPr>
      <w:r w:rsidRPr="006A6CBD">
        <w:rPr>
          <w:szCs w:val="22"/>
        </w:rPr>
        <w:t>I</w:t>
      </w:r>
      <w:r w:rsidR="00C7256A" w:rsidRPr="006A6CBD">
        <w:rPr>
          <w:szCs w:val="22"/>
        </w:rPr>
        <w:t xml:space="preserve">tem </w:t>
      </w:r>
      <w:r w:rsidR="00017695" w:rsidRPr="006A6CBD">
        <w:rPr>
          <w:szCs w:val="22"/>
        </w:rPr>
        <w:t>13709: This r</w:t>
      </w:r>
      <w:r w:rsidR="00017695" w:rsidRPr="006A6CBD">
        <w:t>ecommendation focuses on promoting evidence based medicine and reducing inappropriate practice</w:t>
      </w:r>
      <w:r w:rsidRPr="006A6CBD">
        <w:rPr>
          <w:szCs w:val="22"/>
        </w:rPr>
        <w:t>. The proposed item descriptor is:</w:t>
      </w:r>
    </w:p>
    <w:p w14:paraId="0E8DD509" w14:textId="2DBAF28E" w:rsidR="001C370D" w:rsidRPr="006A6CBD" w:rsidRDefault="00017695" w:rsidP="006A6CBD">
      <w:pPr>
        <w:pStyle w:val="Bullet-green"/>
        <w:numPr>
          <w:ilvl w:val="1"/>
          <w:numId w:val="24"/>
        </w:numPr>
        <w:spacing w:line="276" w:lineRule="auto"/>
        <w:rPr>
          <w:szCs w:val="22"/>
        </w:rPr>
      </w:pPr>
      <w:r w:rsidRPr="006A6CBD">
        <w:rPr>
          <w:b/>
          <w:szCs w:val="22"/>
        </w:rPr>
        <w:t>Delete</w:t>
      </w:r>
    </w:p>
    <w:p w14:paraId="019F425D" w14:textId="1BB9D414" w:rsidR="008C28AB" w:rsidRPr="006A6CBD" w:rsidRDefault="008C28AB" w:rsidP="0087705D">
      <w:pPr>
        <w:pStyle w:val="Heading3"/>
      </w:pPr>
      <w:bookmarkStart w:id="64" w:name="_Toc529972087"/>
      <w:bookmarkStart w:id="65" w:name="_Toc529972960"/>
      <w:bookmarkStart w:id="66" w:name="_Toc529973815"/>
      <w:bookmarkStart w:id="67" w:name="_Toc529972088"/>
      <w:bookmarkStart w:id="68" w:name="_Toc529972961"/>
      <w:bookmarkStart w:id="69" w:name="_Toc529973816"/>
      <w:bookmarkStart w:id="70" w:name="_Toc529972089"/>
      <w:bookmarkStart w:id="71" w:name="_Toc529972962"/>
      <w:bookmarkStart w:id="72" w:name="_Toc529973817"/>
      <w:bookmarkStart w:id="73" w:name="_Toc529972090"/>
      <w:bookmarkStart w:id="74" w:name="_Toc529972963"/>
      <w:bookmarkStart w:id="75" w:name="_Toc529973818"/>
      <w:bookmarkStart w:id="76" w:name="_Toc8995611"/>
      <w:bookmarkEnd w:id="64"/>
      <w:bookmarkEnd w:id="65"/>
      <w:bookmarkEnd w:id="66"/>
      <w:bookmarkEnd w:id="67"/>
      <w:bookmarkEnd w:id="68"/>
      <w:bookmarkEnd w:id="69"/>
      <w:bookmarkEnd w:id="70"/>
      <w:bookmarkEnd w:id="71"/>
      <w:bookmarkEnd w:id="72"/>
      <w:bookmarkEnd w:id="73"/>
      <w:bookmarkEnd w:id="74"/>
      <w:bookmarkEnd w:id="75"/>
      <w:r w:rsidRPr="006A6CBD">
        <w:t>Rationale</w:t>
      </w:r>
      <w:r w:rsidR="00C7256A" w:rsidRPr="006A6CBD">
        <w:t xml:space="preserve"> for Recommendation </w:t>
      </w:r>
      <w:r w:rsidR="00017695" w:rsidRPr="006A6CBD">
        <w:t>1</w:t>
      </w:r>
      <w:bookmarkEnd w:id="76"/>
    </w:p>
    <w:p w14:paraId="10DC0A7C" w14:textId="77777777" w:rsidR="00017695" w:rsidRPr="006A6CBD" w:rsidRDefault="00017695" w:rsidP="006A6CBD">
      <w:pPr>
        <w:pStyle w:val="NormalBulleted"/>
        <w:numPr>
          <w:ilvl w:val="0"/>
          <w:numId w:val="0"/>
        </w:numPr>
        <w:spacing w:line="276" w:lineRule="auto"/>
        <w:rPr>
          <w:u w:val="single"/>
        </w:rPr>
      </w:pPr>
      <w:r w:rsidRPr="006A6CBD">
        <w:rPr>
          <w:u w:val="single"/>
        </w:rPr>
        <w:t>Item 13703</w:t>
      </w:r>
    </w:p>
    <w:p w14:paraId="1C9AF3C9" w14:textId="0146B6B6" w:rsidR="00017695" w:rsidRPr="006A6CBD" w:rsidRDefault="00017695" w:rsidP="006A6CBD">
      <w:pPr>
        <w:pStyle w:val="NormalBulleted"/>
        <w:numPr>
          <w:ilvl w:val="0"/>
          <w:numId w:val="0"/>
        </w:numPr>
        <w:spacing w:line="276" w:lineRule="auto"/>
        <w:rPr>
          <w:lang w:val="en-US"/>
        </w:rPr>
      </w:pPr>
      <w:r w:rsidRPr="006A6CBD">
        <w:t>This recommendation focuses on promoting evidence based medicine and reducing inappropriate practice. The recommendation is based on the following:</w:t>
      </w:r>
    </w:p>
    <w:p w14:paraId="7F873211" w14:textId="77777777" w:rsidR="00017695" w:rsidRPr="006A6CBD" w:rsidRDefault="00017695" w:rsidP="006A6CBD">
      <w:pPr>
        <w:pStyle w:val="NormalBulleted"/>
        <w:spacing w:before="120" w:after="60" w:line="276" w:lineRule="auto"/>
        <w:contextualSpacing w:val="0"/>
      </w:pPr>
      <w:r w:rsidRPr="006A6CBD">
        <w:rPr>
          <w:lang w:eastAsia="en-US"/>
        </w:rPr>
        <w:t xml:space="preserve">Intra-operative </w:t>
      </w:r>
      <w:r w:rsidRPr="006A6CBD">
        <w:t>normovolaemic haemodilution refers to the removal of blood after a patient has been given an anaesthetic to minimise the effect of blood loss during an operation. The blood is infused back into the patient after the operation</w:t>
      </w:r>
      <w:r w:rsidRPr="006A6CBD">
        <w:rPr>
          <w:rStyle w:val="FootnoteReference"/>
        </w:rPr>
        <w:footnoteReference w:id="4"/>
      </w:r>
      <w:r w:rsidRPr="006A6CBD">
        <w:t xml:space="preserve">. </w:t>
      </w:r>
    </w:p>
    <w:p w14:paraId="0098C465" w14:textId="77777777" w:rsidR="00017695" w:rsidRPr="006A6CBD" w:rsidRDefault="00017695" w:rsidP="006A6CBD">
      <w:pPr>
        <w:pStyle w:val="NormalBulleted"/>
        <w:spacing w:before="120" w:after="60" w:line="276" w:lineRule="auto"/>
        <w:contextualSpacing w:val="0"/>
        <w:rPr>
          <w:lang w:eastAsia="en-US"/>
        </w:rPr>
      </w:pPr>
      <w:r w:rsidRPr="006A6CBD">
        <w:rPr>
          <w:lang w:eastAsia="en-US"/>
        </w:rPr>
        <w:t>National Blood Authority guidelines recommend that NVH should be considered for ‘adult patients undergoing surgery in which substantial blood loss (blood loss of a volume great enough to induce anaemia that would require therapy)’ (National Blood Authority, 2012).</w:t>
      </w:r>
    </w:p>
    <w:p w14:paraId="7FB300DF" w14:textId="5817DF18" w:rsidR="00017695" w:rsidRPr="006A6CBD" w:rsidRDefault="00017695" w:rsidP="006A6CBD">
      <w:pPr>
        <w:pStyle w:val="NormalBulleted"/>
        <w:spacing w:before="120" w:after="60" w:line="276" w:lineRule="auto"/>
        <w:contextualSpacing w:val="0"/>
        <w:rPr>
          <w:lang w:eastAsia="en-US"/>
        </w:rPr>
      </w:pPr>
      <w:r w:rsidRPr="006A6CBD">
        <w:rPr>
          <w:lang w:eastAsia="en-US"/>
        </w:rPr>
        <w:t xml:space="preserve">The Committee noted the risks associated with transfusions include transfusion-associated circulatory overload, haemolytic reactions, anaphylaxis, bacterial sepsis, </w:t>
      </w:r>
      <w:r w:rsidRPr="006A6CBD">
        <w:rPr>
          <w:lang w:eastAsia="en-US"/>
        </w:rPr>
        <w:lastRenderedPageBreak/>
        <w:t>transfusion-related acute lung injury and hepatitis B, in addition to other risks with lower rates of incidence (Authority, 2012) and agreed that any incentive for inappropriate use of the service should be removed.</w:t>
      </w:r>
    </w:p>
    <w:p w14:paraId="26D68E10" w14:textId="63A7C77E" w:rsidR="00017695" w:rsidRPr="006A6CBD" w:rsidRDefault="00017695" w:rsidP="006A6CBD">
      <w:pPr>
        <w:pStyle w:val="NormalBulleted"/>
        <w:numPr>
          <w:ilvl w:val="0"/>
          <w:numId w:val="0"/>
        </w:numPr>
        <w:spacing w:before="120" w:after="60" w:line="276" w:lineRule="auto"/>
        <w:ind w:left="431" w:hanging="431"/>
        <w:contextualSpacing w:val="0"/>
        <w:rPr>
          <w:u w:val="single"/>
          <w:lang w:eastAsia="en-US"/>
        </w:rPr>
      </w:pPr>
      <w:r w:rsidRPr="006A6CBD">
        <w:rPr>
          <w:u w:val="single"/>
          <w:lang w:eastAsia="en-US"/>
        </w:rPr>
        <w:t>Item 13706</w:t>
      </w:r>
    </w:p>
    <w:p w14:paraId="208CC081" w14:textId="77777777" w:rsidR="00017695" w:rsidRPr="006A6CBD" w:rsidRDefault="00017695" w:rsidP="006A6CBD">
      <w:pPr>
        <w:pStyle w:val="NormalBulleted"/>
        <w:numPr>
          <w:ilvl w:val="0"/>
          <w:numId w:val="0"/>
        </w:numPr>
        <w:spacing w:line="276" w:lineRule="auto"/>
        <w:rPr>
          <w:lang w:val="en-US"/>
        </w:rPr>
      </w:pPr>
      <w:r w:rsidRPr="006A6CBD">
        <w:t xml:space="preserve">This recommendation focuses on promoting evidence based medicine and reducing inappropriate practice. The recommendation is based on the following: </w:t>
      </w:r>
    </w:p>
    <w:p w14:paraId="52C1C7BD" w14:textId="77777777" w:rsidR="00017695" w:rsidRPr="006A6CBD" w:rsidRDefault="00017695" w:rsidP="006A6CBD">
      <w:pPr>
        <w:pStyle w:val="NormalBulleted"/>
        <w:spacing w:before="120" w:after="60" w:line="276" w:lineRule="auto"/>
        <w:contextualSpacing w:val="0"/>
      </w:pPr>
      <w:r w:rsidRPr="006A6CBD">
        <w:t>The Working Group agreed that transfusion of blood or bone marrow is part of normal clinical practice and noted that haematologists provided nearly 50% of all 13706 services in 2014-15.</w:t>
      </w:r>
    </w:p>
    <w:p w14:paraId="6F18844F" w14:textId="77777777" w:rsidR="00017695" w:rsidRPr="006A6CBD" w:rsidRDefault="00017695" w:rsidP="006A6CBD">
      <w:pPr>
        <w:pStyle w:val="NormalBulleted"/>
        <w:spacing w:before="120" w:after="60" w:line="276" w:lineRule="auto"/>
        <w:contextualSpacing w:val="0"/>
      </w:pPr>
      <w:r w:rsidRPr="006A6CBD">
        <w:t xml:space="preserve">The Working Group noted that the existing item </w:t>
      </w:r>
      <w:r w:rsidRPr="006A6CBD">
        <w:rPr>
          <w:lang w:eastAsia="en-US"/>
        </w:rPr>
        <w:t xml:space="preserve">does not permit the subcutaneous administration of gamma globulins </w:t>
      </w:r>
      <w:r w:rsidRPr="006A6CBD">
        <w:fldChar w:fldCharType="begin"/>
      </w:r>
      <w:r w:rsidRPr="006A6CBD">
        <w:instrText xml:space="preserve"> ADDIN EN.CITE &lt;EndNote&gt;&lt;Cite&gt;&lt;Author&gt;National Blood Authority Australia&lt;/Author&gt;&lt;Year&gt;2015&lt;/Year&gt;&lt;RecNum&gt;1296&lt;/RecNum&gt;&lt;DisplayText&gt;[1]&lt;/DisplayText&gt;&lt;record&gt;&lt;rec-number&gt;1&lt;/rec-number&gt;&lt;foreign-keys&gt;&lt;key app="EN" db-id="5x22ps00v9xsptepxsbv02p6rzzdrev0xrra" timestamp="1497588558"&gt;1&lt;/key&gt;&lt;/foreign-keys&gt;&lt;ref-type name="Report"&gt;27&lt;/ref-type&gt;&lt;contributors&gt;&lt;authors&gt;&lt;author&gt;National Blood Authority Australia,&lt;/author&gt;&lt;/authors&gt;&lt;tertiary-authors&gt;&lt;author&gt;National Blood Authority&lt;/author&gt;&lt;/tertiary-authors&gt;&lt;/contributors&gt;&lt;titles&gt;&lt;title&gt;Submission to the Medical Benefit Schedule Review Taskforce on blood related MBS items&lt;/title&gt;&lt;/titles&gt;&lt;dates&gt;&lt;year&gt;2015&lt;/year&gt;&lt;/dates&gt;&lt;pub-location&gt;Canberra&lt;/pub-location&gt;&lt;urls&gt;&lt;/urls&gt;&lt;/record&gt;&lt;/Cite&gt;&lt;/EndNote&gt;</w:instrText>
      </w:r>
      <w:r w:rsidRPr="006A6CBD">
        <w:fldChar w:fldCharType="separate"/>
      </w:r>
      <w:r w:rsidRPr="006A6CBD">
        <w:rPr>
          <w:noProof/>
        </w:rPr>
        <w:t>[1]</w:t>
      </w:r>
      <w:r w:rsidRPr="006A6CBD">
        <w:fldChar w:fldCharType="end"/>
      </w:r>
      <w:r w:rsidRPr="006A6CBD">
        <w:t>.</w:t>
      </w:r>
      <w:r w:rsidRPr="006A6CBD">
        <w:rPr>
          <w:lang w:val="en-US" w:eastAsia="en-US"/>
        </w:rPr>
        <w:t xml:space="preserve"> It was concerned about the potential for the item to incentivise the use of intravenous immunoglobulin, when oral or subcutaneous therapies are more suitable. It may also encourage the use of transfusion over iron supplementation, where supplementation is more appropriate.</w:t>
      </w:r>
    </w:p>
    <w:p w14:paraId="1A98C50F" w14:textId="77777777" w:rsidR="00017695" w:rsidRPr="006A6CBD" w:rsidRDefault="00017695" w:rsidP="006A6CBD">
      <w:pPr>
        <w:pStyle w:val="NormalBulleted"/>
        <w:spacing w:before="120" w:after="60" w:line="276" w:lineRule="auto"/>
        <w:contextualSpacing w:val="0"/>
      </w:pPr>
      <w:r w:rsidRPr="006A6CBD">
        <w:rPr>
          <w:lang w:val="en-US" w:eastAsia="en-US"/>
        </w:rPr>
        <w:t>The Working Group considered several options to better align use of item 13706 with clinical need but concluded that the best means to address the identified concern was to</w:t>
      </w:r>
      <w:r w:rsidRPr="006A6CBD">
        <w:rPr>
          <w:rFonts w:cs="Arial"/>
          <w:color w:val="000000"/>
        </w:rPr>
        <w:t xml:space="preserve"> exclude transfusion of immunoglobulins from </w:t>
      </w:r>
      <w:r w:rsidRPr="006A6CBD">
        <w:rPr>
          <w:lang w:val="en-US" w:eastAsia="en-US"/>
        </w:rPr>
        <w:t>this service. This would have the effect of removing any perverse incentive to transfuse patients when it is not clinically appropriate to do so.</w:t>
      </w:r>
    </w:p>
    <w:p w14:paraId="71CC9BC0" w14:textId="77777777" w:rsidR="00017695" w:rsidRPr="006A6CBD" w:rsidRDefault="00017695" w:rsidP="006A6CBD">
      <w:pPr>
        <w:pStyle w:val="NormalBulleted"/>
        <w:spacing w:before="120" w:after="60" w:line="276" w:lineRule="auto"/>
        <w:contextualSpacing w:val="0"/>
        <w:rPr>
          <w:rFonts w:cs="Arial"/>
          <w:bCs/>
        </w:rPr>
      </w:pPr>
      <w:r w:rsidRPr="006A6CBD">
        <w:t>The Working Group noted different claiming patterns between states</w:t>
      </w:r>
      <w:r w:rsidRPr="006A6CBD">
        <w:rPr>
          <w:rFonts w:cs="Arial"/>
          <w:bCs/>
        </w:rPr>
        <w:t xml:space="preserve">. </w:t>
      </w:r>
      <w:r w:rsidRPr="006A6CBD">
        <w:t>In 2015/16, 28 percent of services were provided in Queensland compared to 17 percent in NSW and 11 percent in Victoria. Patients in Queensland received 6.53 services compared to 4.56 in NSW and 3.33 in Victoria.</w:t>
      </w:r>
    </w:p>
    <w:p w14:paraId="518003A5" w14:textId="77777777" w:rsidR="00017695" w:rsidRPr="006A6CBD" w:rsidRDefault="00017695" w:rsidP="006A6CBD">
      <w:pPr>
        <w:pStyle w:val="NormalBulleted"/>
        <w:spacing w:before="120" w:after="60" w:line="276" w:lineRule="auto"/>
        <w:contextualSpacing w:val="0"/>
        <w:rPr>
          <w:rFonts w:cs="Arial"/>
          <w:bCs/>
        </w:rPr>
      </w:pPr>
      <w:r w:rsidRPr="006A6CBD">
        <w:t xml:space="preserve">The Working Group reviewed the data trends, co-claiming patterns and geographical variation. </w:t>
      </w:r>
      <w:r w:rsidRPr="006A6CBD">
        <w:rPr>
          <w:rFonts w:eastAsiaTheme="minorHAnsi"/>
        </w:rPr>
        <w:t xml:space="preserve">While data indicated a higher </w:t>
      </w:r>
      <w:r w:rsidRPr="006A6CBD">
        <w:t>use of immunoglobulin in Queensland, the clinical reasons for this use are unknown as the MBS does not collect this information.</w:t>
      </w:r>
      <w:r w:rsidRPr="006A6CBD">
        <w:rPr>
          <w:rFonts w:cs="Arial"/>
          <w:bCs/>
        </w:rPr>
        <w:t xml:space="preserve"> </w:t>
      </w:r>
      <w:r w:rsidRPr="006A6CBD">
        <w:t>The Working Group agreed that while the patterns were variable, it is difficult to use the high-level MBS data to interpret with any certainty the clinical appropriateness or otherwise of the service utilisation patterns.</w:t>
      </w:r>
    </w:p>
    <w:p w14:paraId="475F97B5" w14:textId="7D5DC531" w:rsidR="00017695" w:rsidRPr="006A6CBD" w:rsidRDefault="00017695" w:rsidP="006A6CBD">
      <w:pPr>
        <w:pStyle w:val="Caption"/>
        <w:spacing w:line="276" w:lineRule="auto"/>
      </w:pPr>
      <w:bookmarkStart w:id="77" w:name="_Toc484701976"/>
      <w:bookmarkStart w:id="78" w:name="_Toc485392698"/>
      <w:bookmarkStart w:id="79" w:name="_Toc487113525"/>
      <w:bookmarkStart w:id="80" w:name="_Toc487115243"/>
      <w:bookmarkStart w:id="81" w:name="_Toc8995627"/>
      <w:r w:rsidRPr="006A6CBD">
        <w:lastRenderedPageBreak/>
        <w:t xml:space="preserve">Figure </w:t>
      </w:r>
      <w:r w:rsidRPr="006A6CBD">
        <w:rPr>
          <w:noProof/>
        </w:rPr>
        <w:fldChar w:fldCharType="begin"/>
      </w:r>
      <w:r w:rsidRPr="006A6CBD">
        <w:rPr>
          <w:noProof/>
        </w:rPr>
        <w:instrText xml:space="preserve"> SEQ Figure \* ARABIC </w:instrText>
      </w:r>
      <w:r w:rsidRPr="006A6CBD">
        <w:rPr>
          <w:noProof/>
        </w:rPr>
        <w:fldChar w:fldCharType="separate"/>
      </w:r>
      <w:r w:rsidR="00013B42">
        <w:rPr>
          <w:noProof/>
        </w:rPr>
        <w:t>2</w:t>
      </w:r>
      <w:r w:rsidRPr="006A6CBD">
        <w:rPr>
          <w:noProof/>
        </w:rPr>
        <w:fldChar w:fldCharType="end"/>
      </w:r>
      <w:r w:rsidRPr="006A6CBD">
        <w:t xml:space="preserve">. </w:t>
      </w:r>
      <w:r w:rsidR="00BB52C9" w:rsidRPr="006A6CBD">
        <w:t>Item 13706: Services p</w:t>
      </w:r>
      <w:r w:rsidRPr="006A6CBD">
        <w:t>er capita by state 2014–2015.</w:t>
      </w:r>
      <w:bookmarkEnd w:id="77"/>
      <w:bookmarkEnd w:id="78"/>
      <w:bookmarkEnd w:id="79"/>
      <w:bookmarkEnd w:id="80"/>
      <w:bookmarkEnd w:id="81"/>
    </w:p>
    <w:p w14:paraId="394BE587" w14:textId="77777777" w:rsidR="00017695" w:rsidRPr="006A6CBD" w:rsidRDefault="00017695" w:rsidP="006A6CBD">
      <w:pPr>
        <w:pStyle w:val="Default"/>
        <w:spacing w:line="276" w:lineRule="auto"/>
        <w:rPr>
          <w:rFonts w:asciiTheme="minorHAnsi" w:hAnsiTheme="minorHAnsi"/>
          <w:sz w:val="22"/>
          <w:szCs w:val="22"/>
        </w:rPr>
      </w:pPr>
      <w:r w:rsidRPr="006A6CBD">
        <w:rPr>
          <w:rFonts w:asciiTheme="minorHAnsi" w:hAnsiTheme="minorHAnsi"/>
          <w:noProof/>
          <w:color w:val="E36C0A" w:themeColor="accent6" w:themeShade="BF"/>
          <w:lang w:eastAsia="en-AU"/>
        </w:rPr>
        <w:drawing>
          <wp:inline distT="0" distB="0" distL="0" distR="0" wp14:anchorId="3B19CA76" wp14:editId="6778DD38">
            <wp:extent cx="4709160" cy="2819400"/>
            <wp:effectExtent l="0" t="0" r="15240" b="0"/>
            <wp:docPr id="27" name="Chart 27" descr="This chart shows that Queensland had over one thousand services per one hundred thousand people for item 13706. The next highest was Tasmania, with over six hundred services per one hundred thousnd people and then NSW." title="Figure 2. Item 13706: Per capita data by state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E42B82" w14:textId="00A01CD6" w:rsidR="00017695" w:rsidRPr="006A6CBD" w:rsidRDefault="00017695" w:rsidP="006A6CBD">
      <w:pPr>
        <w:spacing w:line="276" w:lineRule="auto"/>
      </w:pPr>
      <w:r w:rsidRPr="006A6CBD">
        <w:t>Item 13706 is ordered at much higher rates per 100,000 people in Queensland compared with rates for other states and territories.</w:t>
      </w:r>
    </w:p>
    <w:p w14:paraId="7565F064" w14:textId="0112BD8E" w:rsidR="00017695" w:rsidRPr="006A6CBD" w:rsidRDefault="00BB52C9" w:rsidP="006A6CBD">
      <w:pPr>
        <w:pStyle w:val="Caption"/>
        <w:spacing w:line="276" w:lineRule="auto"/>
      </w:pPr>
      <w:bookmarkStart w:id="82" w:name="_Toc484701977"/>
      <w:bookmarkStart w:id="83" w:name="_Toc485392699"/>
      <w:bookmarkStart w:id="84" w:name="_Toc487113526"/>
      <w:bookmarkStart w:id="85" w:name="_Toc487115244"/>
      <w:bookmarkStart w:id="86" w:name="_Toc8995628"/>
      <w:r w:rsidRPr="006A6CBD">
        <w:rPr>
          <w:noProof/>
          <w:lang w:eastAsia="en-AU"/>
        </w:rPr>
        <w:lastRenderedPageBreak/>
        <w:drawing>
          <wp:inline distT="0" distB="0" distL="0" distR="0" wp14:anchorId="586214C8" wp14:editId="45C4179F">
            <wp:extent cx="4762500" cy="2400300"/>
            <wp:effectExtent l="0" t="0" r="0" b="0"/>
            <wp:docPr id="6" name="Chart 6" descr="This figure has three columns for the years 2009-10, 2010-11, and 2015-16. All three columns show that use of item 13706 has increased in Queensland from 5.64 services per patient to 6.53 services per patient, and is used at a much higher rate than the other two states iin the graph, NSW and Victoria&#10;" title="Item 13706. Number of services per patient by state per financial year, 2009-10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17695" w:rsidRPr="006A6CBD">
        <w:t xml:space="preserve">Figure </w:t>
      </w:r>
      <w:r w:rsidR="00017695" w:rsidRPr="006A6CBD">
        <w:rPr>
          <w:noProof/>
        </w:rPr>
        <w:fldChar w:fldCharType="begin"/>
      </w:r>
      <w:r w:rsidR="00017695" w:rsidRPr="006A6CBD">
        <w:rPr>
          <w:noProof/>
        </w:rPr>
        <w:instrText xml:space="preserve"> SEQ Figure \* ARABIC </w:instrText>
      </w:r>
      <w:r w:rsidR="00017695" w:rsidRPr="006A6CBD">
        <w:rPr>
          <w:noProof/>
        </w:rPr>
        <w:fldChar w:fldCharType="separate"/>
      </w:r>
      <w:r w:rsidR="00013B42">
        <w:rPr>
          <w:noProof/>
        </w:rPr>
        <w:t>3</w:t>
      </w:r>
      <w:r w:rsidR="00017695" w:rsidRPr="006A6CBD">
        <w:rPr>
          <w:noProof/>
        </w:rPr>
        <w:fldChar w:fldCharType="end"/>
      </w:r>
      <w:r w:rsidR="00017695" w:rsidRPr="006A6CBD">
        <w:t xml:space="preserve">. Item 13706: </w:t>
      </w:r>
      <w:r w:rsidRPr="006A6CBD">
        <w:t>S</w:t>
      </w:r>
      <w:r w:rsidR="00017695" w:rsidRPr="006A6CBD">
        <w:t>ervices per patient by state per financial year, 2009–2010 to 2015–2016</w:t>
      </w:r>
      <w:bookmarkEnd w:id="82"/>
      <w:r w:rsidR="00017695" w:rsidRPr="006A6CBD">
        <w:t>.</w:t>
      </w:r>
      <w:bookmarkEnd w:id="83"/>
      <w:bookmarkEnd w:id="84"/>
      <w:bookmarkEnd w:id="85"/>
      <w:bookmarkEnd w:id="86"/>
    </w:p>
    <w:p w14:paraId="49E09863" w14:textId="352FAF1B" w:rsidR="00017695" w:rsidRPr="006A6CBD" w:rsidRDefault="00017695" w:rsidP="006A6CBD">
      <w:pPr>
        <w:pStyle w:val="Caption"/>
        <w:spacing w:line="276" w:lineRule="auto"/>
        <w:rPr>
          <w:sz w:val="22"/>
        </w:rPr>
      </w:pPr>
      <w:bookmarkStart w:id="87" w:name="_Toc484701978"/>
      <w:bookmarkStart w:id="88" w:name="_Toc485392700"/>
      <w:bookmarkStart w:id="89" w:name="_Toc487113527"/>
      <w:bookmarkStart w:id="90" w:name="_Toc487115245"/>
      <w:bookmarkStart w:id="91" w:name="_Toc8995629"/>
      <w:r w:rsidRPr="006A6CBD">
        <w:t xml:space="preserve">Figure </w:t>
      </w:r>
      <w:r w:rsidRPr="006A6CBD">
        <w:rPr>
          <w:noProof/>
        </w:rPr>
        <w:fldChar w:fldCharType="begin"/>
      </w:r>
      <w:r w:rsidRPr="006A6CBD">
        <w:rPr>
          <w:noProof/>
        </w:rPr>
        <w:instrText xml:space="preserve"> SEQ Figure \* ARABIC </w:instrText>
      </w:r>
      <w:r w:rsidRPr="006A6CBD">
        <w:rPr>
          <w:noProof/>
        </w:rPr>
        <w:fldChar w:fldCharType="separate"/>
      </w:r>
      <w:r w:rsidR="00013B42">
        <w:rPr>
          <w:noProof/>
        </w:rPr>
        <w:t>4</w:t>
      </w:r>
      <w:r w:rsidRPr="006A6CBD">
        <w:rPr>
          <w:noProof/>
        </w:rPr>
        <w:fldChar w:fldCharType="end"/>
      </w:r>
      <w:r w:rsidRPr="006A6CBD">
        <w:t xml:space="preserve">. </w:t>
      </w:r>
      <w:r w:rsidR="00BB52C9" w:rsidRPr="006A6CBD">
        <w:t>Item 13706: S</w:t>
      </w:r>
      <w:r w:rsidRPr="006A6CBD">
        <w:t>ervices per patient by financial year per state, 2009–2010 to 2015–2016</w:t>
      </w:r>
      <w:bookmarkEnd w:id="87"/>
      <w:r w:rsidRPr="006A6CBD">
        <w:t>.</w:t>
      </w:r>
      <w:bookmarkEnd w:id="88"/>
      <w:bookmarkEnd w:id="89"/>
      <w:bookmarkEnd w:id="90"/>
      <w:bookmarkEnd w:id="91"/>
    </w:p>
    <w:p w14:paraId="4842E688" w14:textId="77777777" w:rsidR="00017695" w:rsidRPr="006A6CBD" w:rsidRDefault="00017695" w:rsidP="006A6CBD">
      <w:pPr>
        <w:pStyle w:val="Default"/>
        <w:spacing w:line="276" w:lineRule="auto"/>
        <w:rPr>
          <w:rFonts w:asciiTheme="minorHAnsi" w:hAnsiTheme="minorHAnsi"/>
          <w:sz w:val="22"/>
          <w:szCs w:val="22"/>
        </w:rPr>
      </w:pPr>
      <w:r w:rsidRPr="006A6CBD">
        <w:rPr>
          <w:rFonts w:asciiTheme="minorHAnsi" w:hAnsiTheme="minorHAnsi"/>
          <w:noProof/>
          <w:lang w:eastAsia="en-AU"/>
        </w:rPr>
        <w:drawing>
          <wp:inline distT="0" distB="0" distL="0" distR="0" wp14:anchorId="706DD4A2" wp14:editId="7DD3F1D8">
            <wp:extent cx="4981575" cy="3048000"/>
            <wp:effectExtent l="0" t="0" r="9525" b="0"/>
            <wp:docPr id="5" name="Chart 5" descr="This figure presents the data from the above table but in a slightly different format. The chart has three columns for the states of NSw, Queensland and Victoria. each column has data for the years 2009-10, 2010-11, and 2015-16. All three columns show that use of item 13706 has increased in Queensland to 6.53 services per patient, and is used at a much higher rate than the other two states iin the graph, NSW at 4.56 services per patient and Victoria at 3.44 services per patient." title="Item 13706. Number of services per patient by financial year per st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849B7A" w14:textId="4E80D4A3" w:rsidR="00017695" w:rsidRPr="006A6CBD" w:rsidRDefault="00017695" w:rsidP="006A6CBD">
      <w:pPr>
        <w:pStyle w:val="Caption"/>
        <w:spacing w:line="276" w:lineRule="auto"/>
      </w:pPr>
      <w:bookmarkStart w:id="92" w:name="_Toc484701979"/>
      <w:bookmarkStart w:id="93" w:name="_Toc485392701"/>
      <w:bookmarkStart w:id="94" w:name="_Toc487113528"/>
      <w:bookmarkStart w:id="95" w:name="_Toc487115246"/>
      <w:bookmarkStart w:id="96" w:name="_Toc8995630"/>
      <w:r w:rsidRPr="006A6CBD">
        <w:t xml:space="preserve">Figure </w:t>
      </w:r>
      <w:r w:rsidRPr="006A6CBD">
        <w:rPr>
          <w:noProof/>
        </w:rPr>
        <w:fldChar w:fldCharType="begin"/>
      </w:r>
      <w:r w:rsidRPr="006A6CBD">
        <w:rPr>
          <w:noProof/>
        </w:rPr>
        <w:instrText xml:space="preserve"> SEQ Figure \* ARABIC </w:instrText>
      </w:r>
      <w:r w:rsidRPr="006A6CBD">
        <w:rPr>
          <w:noProof/>
        </w:rPr>
        <w:fldChar w:fldCharType="separate"/>
      </w:r>
      <w:r w:rsidR="00013B42">
        <w:rPr>
          <w:noProof/>
        </w:rPr>
        <w:t>5</w:t>
      </w:r>
      <w:r w:rsidRPr="006A6CBD">
        <w:rPr>
          <w:noProof/>
        </w:rPr>
        <w:fldChar w:fldCharType="end"/>
      </w:r>
      <w:r w:rsidRPr="006A6CBD">
        <w:t>. Item 13706: Request by provider type 2014–2015.</w:t>
      </w:r>
      <w:bookmarkEnd w:id="92"/>
      <w:bookmarkEnd w:id="93"/>
      <w:bookmarkEnd w:id="94"/>
      <w:bookmarkEnd w:id="95"/>
      <w:bookmarkEnd w:id="96"/>
    </w:p>
    <w:p w14:paraId="034D5F2E" w14:textId="77777777" w:rsidR="00017695" w:rsidRPr="006A6CBD" w:rsidRDefault="00017695" w:rsidP="006A6CBD">
      <w:pPr>
        <w:pStyle w:val="Default"/>
        <w:spacing w:line="276" w:lineRule="auto"/>
        <w:rPr>
          <w:rFonts w:asciiTheme="minorHAnsi" w:hAnsiTheme="minorHAnsi"/>
          <w:sz w:val="22"/>
          <w:szCs w:val="22"/>
        </w:rPr>
      </w:pPr>
      <w:r w:rsidRPr="006A6CBD">
        <w:rPr>
          <w:rFonts w:asciiTheme="minorHAnsi" w:hAnsiTheme="minorHAnsi"/>
          <w:noProof/>
          <w:color w:val="E36C0A" w:themeColor="accent6" w:themeShade="BF"/>
          <w:lang w:eastAsia="en-AU"/>
        </w:rPr>
        <w:lastRenderedPageBreak/>
        <w:drawing>
          <wp:inline distT="0" distB="0" distL="0" distR="0" wp14:anchorId="08C91F7E" wp14:editId="3F17AD4C">
            <wp:extent cx="5038725" cy="3514725"/>
            <wp:effectExtent l="0" t="0" r="9525" b="9525"/>
            <wp:docPr id="32" name="Chart 32" descr="This chart shows the number of requests for item 113706 by provider type, and shows that haematologists claim the majority of this item (around 46%), followed by medicial oncologists at around 12% of items billed." title="Item 13706. request by provider type 20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C1654E" w14:textId="33575F8C" w:rsidR="00017695" w:rsidRPr="006A6CBD" w:rsidRDefault="00017695" w:rsidP="006A6CBD">
      <w:pPr>
        <w:pStyle w:val="Caption"/>
        <w:spacing w:after="0" w:line="276" w:lineRule="auto"/>
      </w:pPr>
      <w:bookmarkStart w:id="97" w:name="_Toc487113529"/>
      <w:bookmarkStart w:id="98" w:name="_Toc487115247"/>
      <w:bookmarkStart w:id="99" w:name="_Toc8995631"/>
      <w:r w:rsidRPr="006A6CBD">
        <w:t xml:space="preserve">Figure </w:t>
      </w:r>
      <w:r w:rsidRPr="006A6CBD">
        <w:rPr>
          <w:noProof/>
        </w:rPr>
        <w:fldChar w:fldCharType="begin"/>
      </w:r>
      <w:r w:rsidRPr="006A6CBD">
        <w:rPr>
          <w:noProof/>
        </w:rPr>
        <w:instrText xml:space="preserve"> SEQ Figure \* ARABIC </w:instrText>
      </w:r>
      <w:r w:rsidRPr="006A6CBD">
        <w:rPr>
          <w:noProof/>
        </w:rPr>
        <w:fldChar w:fldCharType="separate"/>
      </w:r>
      <w:r w:rsidR="00013B42">
        <w:rPr>
          <w:noProof/>
        </w:rPr>
        <w:t>6</w:t>
      </w:r>
      <w:r w:rsidRPr="006A6CBD">
        <w:rPr>
          <w:noProof/>
        </w:rPr>
        <w:fldChar w:fldCharType="end"/>
      </w:r>
      <w:r w:rsidRPr="006A6CBD">
        <w:t>. Relative use of blood products by state/100,000 population 2015–2016</w:t>
      </w:r>
      <w:bookmarkEnd w:id="97"/>
      <w:bookmarkEnd w:id="98"/>
      <w:bookmarkEnd w:id="99"/>
    </w:p>
    <w:p w14:paraId="5FF7E6B4" w14:textId="4A8F1B51" w:rsidR="00017695" w:rsidRPr="0087705D" w:rsidRDefault="00017695" w:rsidP="0087705D">
      <w:r w:rsidRPr="0087705D">
        <w:rPr>
          <w:noProof/>
        </w:rPr>
        <w:drawing>
          <wp:anchor distT="0" distB="0" distL="114300" distR="114300" simplePos="0" relativeHeight="251663360" behindDoc="0" locked="0" layoutInCell="1" allowOverlap="1" wp14:anchorId="260A1CFD" wp14:editId="6D06D4D9">
            <wp:simplePos x="0" y="0"/>
            <wp:positionH relativeFrom="column">
              <wp:posOffset>0</wp:posOffset>
            </wp:positionH>
            <wp:positionV relativeFrom="paragraph">
              <wp:posOffset>-2540</wp:posOffset>
            </wp:positionV>
            <wp:extent cx="5731510" cy="3486669"/>
            <wp:effectExtent l="0" t="0" r="2540" b="0"/>
            <wp:wrapTopAndBottom/>
            <wp:docPr id="2" name="Chart 2" descr="This chart shows a breakdown of the use per 100 000 people of blood products into red blood cell units, platelet units, clinical fresh frozen plasma, and immunoglobulin for each state. It shows that Queensland has the highest use of immunoglobulin compared to the other states and territories and compared to the national average." title="Relative use of blood products by state per 100 000 population,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bookmarkStart w:id="100" w:name="_Toc487115248"/>
      <w:r w:rsidRPr="0087705D">
        <w:t>Table</w:t>
      </w:r>
      <w:r w:rsidRPr="006A6CBD">
        <w:t xml:space="preserve"> 4 shows that individual patients in Queensland receive a higher number of multiple 13706 services.</w:t>
      </w:r>
    </w:p>
    <w:p w14:paraId="445A7CF4" w14:textId="31D45822" w:rsidR="00017695" w:rsidRPr="006A6CBD" w:rsidRDefault="00017695" w:rsidP="006A6CBD">
      <w:pPr>
        <w:pStyle w:val="Caption"/>
        <w:spacing w:after="0" w:line="276" w:lineRule="auto"/>
        <w:rPr>
          <w:szCs w:val="20"/>
        </w:rPr>
      </w:pPr>
      <w:bookmarkStart w:id="101" w:name="_Toc8995623"/>
      <w:r w:rsidRPr="006A6CBD">
        <w:lastRenderedPageBreak/>
        <w:t xml:space="preserve">Table </w:t>
      </w:r>
      <w:r w:rsidRPr="006A6CBD">
        <w:rPr>
          <w:noProof/>
        </w:rPr>
        <w:fldChar w:fldCharType="begin"/>
      </w:r>
      <w:r w:rsidRPr="006A6CBD">
        <w:rPr>
          <w:noProof/>
        </w:rPr>
        <w:instrText xml:space="preserve"> SEQ Table \* ARABIC </w:instrText>
      </w:r>
      <w:r w:rsidRPr="006A6CBD">
        <w:rPr>
          <w:noProof/>
        </w:rPr>
        <w:fldChar w:fldCharType="separate"/>
      </w:r>
      <w:r w:rsidR="00013B42">
        <w:rPr>
          <w:noProof/>
        </w:rPr>
        <w:t>4</w:t>
      </w:r>
      <w:r w:rsidRPr="006A6CBD">
        <w:rPr>
          <w:noProof/>
        </w:rPr>
        <w:fldChar w:fldCharType="end"/>
      </w:r>
      <w:r w:rsidRPr="006A6CBD">
        <w:t xml:space="preserve">. Item 13706, </w:t>
      </w:r>
      <w:r w:rsidR="00630176" w:rsidRPr="006A6CBD">
        <w:t>S</w:t>
      </w:r>
      <w:r w:rsidRPr="006A6CBD">
        <w:t>ervices per patient by NSW, VIC, QLD, 2015–2016</w:t>
      </w:r>
      <w:bookmarkEnd w:id="100"/>
      <w:bookmarkEnd w:id="101"/>
    </w:p>
    <w:tbl>
      <w:tblPr>
        <w:tblStyle w:val="TableClassic1"/>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tem 13706. NUmber of services per patient by state 2015-16"/>
        <w:tblDescription w:val="This table compares the number of services per patient by state for NSW (column 1), Victoria (column 3), and Queensland (column 4) and shows that Queensland had the highest use of services per patient in several of the higher ranges (21 to 30, 31 to 50, 51 to 100, 101 to 200, and more than 200 services per patient). Overall NSW had the highest number of total services per patient and Victoria the lowest."/>
      </w:tblPr>
      <w:tblGrid>
        <w:gridCol w:w="1980"/>
        <w:gridCol w:w="1323"/>
        <w:gridCol w:w="1323"/>
        <w:gridCol w:w="2173"/>
      </w:tblGrid>
      <w:tr w:rsidR="00017695" w:rsidRPr="006A6CBD" w14:paraId="39560016" w14:textId="77777777" w:rsidTr="00991D7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EEECE1" w:themeFill="background2"/>
            <w:noWrap/>
            <w:hideMark/>
          </w:tcPr>
          <w:p w14:paraId="5E787641" w14:textId="77777777" w:rsidR="00017695" w:rsidRPr="006A6CBD" w:rsidRDefault="00017695" w:rsidP="006A6CBD">
            <w:pPr>
              <w:spacing w:line="276" w:lineRule="auto"/>
              <w:rPr>
                <w:i w:val="0"/>
              </w:rPr>
            </w:pPr>
            <w:r w:rsidRPr="006A6CBD">
              <w:t>Number of services per person</w:t>
            </w:r>
          </w:p>
        </w:tc>
        <w:tc>
          <w:tcPr>
            <w:tcW w:w="1323" w:type="dxa"/>
            <w:shd w:val="clear" w:color="auto" w:fill="EEECE1" w:themeFill="background2"/>
            <w:noWrap/>
            <w:vAlign w:val="bottom"/>
            <w:hideMark/>
          </w:tcPr>
          <w:p w14:paraId="4E5D7EBE"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NSW</w:t>
            </w:r>
          </w:p>
        </w:tc>
        <w:tc>
          <w:tcPr>
            <w:tcW w:w="1323" w:type="dxa"/>
            <w:shd w:val="clear" w:color="auto" w:fill="EEECE1" w:themeFill="background2"/>
            <w:noWrap/>
            <w:vAlign w:val="bottom"/>
            <w:hideMark/>
          </w:tcPr>
          <w:p w14:paraId="73D424C6"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Vic</w:t>
            </w:r>
          </w:p>
        </w:tc>
        <w:tc>
          <w:tcPr>
            <w:tcW w:w="2173" w:type="dxa"/>
            <w:shd w:val="clear" w:color="auto" w:fill="EEECE1" w:themeFill="background2"/>
            <w:noWrap/>
            <w:vAlign w:val="bottom"/>
            <w:hideMark/>
          </w:tcPr>
          <w:p w14:paraId="2C93B365"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Qld</w:t>
            </w:r>
          </w:p>
        </w:tc>
      </w:tr>
      <w:tr w:rsidR="00017695" w:rsidRPr="006A6CBD" w14:paraId="08A51438"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34E1007" w14:textId="77777777" w:rsidR="00017695" w:rsidRPr="006A6CBD" w:rsidRDefault="00017695" w:rsidP="006A6CBD">
            <w:pPr>
              <w:keepNext/>
              <w:spacing w:line="276" w:lineRule="auto"/>
            </w:pPr>
            <w:r w:rsidRPr="006A6CBD">
              <w:t>001</w:t>
            </w:r>
          </w:p>
        </w:tc>
        <w:tc>
          <w:tcPr>
            <w:tcW w:w="1323" w:type="dxa"/>
            <w:noWrap/>
            <w:hideMark/>
          </w:tcPr>
          <w:p w14:paraId="54C9B3AF" w14:textId="77777777" w:rsidR="00017695" w:rsidRPr="006A6CBD" w:rsidRDefault="00017695" w:rsidP="006A6CBD">
            <w:pPr>
              <w:keepNext/>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5 241</w:t>
            </w:r>
          </w:p>
        </w:tc>
        <w:tc>
          <w:tcPr>
            <w:tcW w:w="1323" w:type="dxa"/>
            <w:noWrap/>
            <w:hideMark/>
          </w:tcPr>
          <w:p w14:paraId="58FF23EE" w14:textId="77777777" w:rsidR="00017695" w:rsidRPr="006A6CBD" w:rsidRDefault="00017695" w:rsidP="006A6CBD">
            <w:pPr>
              <w:keepNext/>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3 676</w:t>
            </w:r>
          </w:p>
        </w:tc>
        <w:tc>
          <w:tcPr>
            <w:tcW w:w="2173" w:type="dxa"/>
            <w:noWrap/>
            <w:hideMark/>
          </w:tcPr>
          <w:p w14:paraId="4F1235C1" w14:textId="77777777" w:rsidR="00017695" w:rsidRPr="006A6CBD" w:rsidRDefault="00017695" w:rsidP="006A6CBD">
            <w:pPr>
              <w:keepNext/>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3 151</w:t>
            </w:r>
          </w:p>
        </w:tc>
      </w:tr>
      <w:tr w:rsidR="00017695" w:rsidRPr="006A6CBD" w14:paraId="4BCAD756"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005596C" w14:textId="77777777" w:rsidR="00017695" w:rsidRPr="006A6CBD" w:rsidRDefault="00017695" w:rsidP="006A6CBD">
            <w:pPr>
              <w:keepNext/>
              <w:spacing w:line="276" w:lineRule="auto"/>
            </w:pPr>
            <w:r w:rsidRPr="006A6CBD">
              <w:t>002</w:t>
            </w:r>
          </w:p>
        </w:tc>
        <w:tc>
          <w:tcPr>
            <w:tcW w:w="1323" w:type="dxa"/>
            <w:noWrap/>
            <w:hideMark/>
          </w:tcPr>
          <w:p w14:paraId="28445D1A" w14:textId="77777777" w:rsidR="00017695" w:rsidRPr="006A6CBD" w:rsidRDefault="00017695" w:rsidP="006A6CBD">
            <w:pPr>
              <w:keepNext/>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1 612</w:t>
            </w:r>
          </w:p>
        </w:tc>
        <w:tc>
          <w:tcPr>
            <w:tcW w:w="1323" w:type="dxa"/>
            <w:noWrap/>
            <w:hideMark/>
          </w:tcPr>
          <w:p w14:paraId="61B47241" w14:textId="77777777" w:rsidR="00017695" w:rsidRPr="006A6CBD" w:rsidRDefault="00017695" w:rsidP="006A6CBD">
            <w:pPr>
              <w:keepNext/>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1 405</w:t>
            </w:r>
          </w:p>
        </w:tc>
        <w:tc>
          <w:tcPr>
            <w:tcW w:w="2173" w:type="dxa"/>
            <w:noWrap/>
            <w:hideMark/>
          </w:tcPr>
          <w:p w14:paraId="62901036" w14:textId="77777777" w:rsidR="00017695" w:rsidRPr="006A6CBD" w:rsidRDefault="00017695" w:rsidP="006A6CBD">
            <w:pPr>
              <w:keepNext/>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1 139</w:t>
            </w:r>
          </w:p>
        </w:tc>
      </w:tr>
      <w:tr w:rsidR="00017695" w:rsidRPr="006A6CBD" w14:paraId="354D4B01"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FB3D16A" w14:textId="77777777" w:rsidR="00017695" w:rsidRPr="006A6CBD" w:rsidRDefault="00017695" w:rsidP="006A6CBD">
            <w:pPr>
              <w:spacing w:line="276" w:lineRule="auto"/>
            </w:pPr>
            <w:r w:rsidRPr="006A6CBD">
              <w:t>003-004</w:t>
            </w:r>
          </w:p>
        </w:tc>
        <w:tc>
          <w:tcPr>
            <w:tcW w:w="1323" w:type="dxa"/>
            <w:noWrap/>
            <w:hideMark/>
          </w:tcPr>
          <w:p w14:paraId="70759AC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1 275</w:t>
            </w:r>
          </w:p>
        </w:tc>
        <w:tc>
          <w:tcPr>
            <w:tcW w:w="1323" w:type="dxa"/>
            <w:noWrap/>
            <w:hideMark/>
          </w:tcPr>
          <w:p w14:paraId="6AC0E61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953</w:t>
            </w:r>
          </w:p>
        </w:tc>
        <w:tc>
          <w:tcPr>
            <w:tcW w:w="2173" w:type="dxa"/>
            <w:noWrap/>
            <w:hideMark/>
          </w:tcPr>
          <w:p w14:paraId="0547F9F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982</w:t>
            </w:r>
          </w:p>
        </w:tc>
      </w:tr>
      <w:tr w:rsidR="00017695" w:rsidRPr="006A6CBD" w14:paraId="1F78389F"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4329C5" w14:textId="77777777" w:rsidR="00017695" w:rsidRPr="006A6CBD" w:rsidRDefault="00017695" w:rsidP="006A6CBD">
            <w:pPr>
              <w:spacing w:line="276" w:lineRule="auto"/>
            </w:pPr>
            <w:r w:rsidRPr="006A6CBD">
              <w:t>005-006</w:t>
            </w:r>
          </w:p>
        </w:tc>
        <w:tc>
          <w:tcPr>
            <w:tcW w:w="1323" w:type="dxa"/>
            <w:noWrap/>
            <w:hideMark/>
          </w:tcPr>
          <w:p w14:paraId="38A6648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627</w:t>
            </w:r>
          </w:p>
        </w:tc>
        <w:tc>
          <w:tcPr>
            <w:tcW w:w="1323" w:type="dxa"/>
            <w:noWrap/>
            <w:hideMark/>
          </w:tcPr>
          <w:p w14:paraId="626C43F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411</w:t>
            </w:r>
          </w:p>
        </w:tc>
        <w:tc>
          <w:tcPr>
            <w:tcW w:w="2173" w:type="dxa"/>
            <w:noWrap/>
            <w:hideMark/>
          </w:tcPr>
          <w:p w14:paraId="6E787D9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524</w:t>
            </w:r>
          </w:p>
        </w:tc>
      </w:tr>
      <w:tr w:rsidR="00017695" w:rsidRPr="006A6CBD" w14:paraId="12C97879"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220E8FA" w14:textId="77777777" w:rsidR="00017695" w:rsidRPr="006A6CBD" w:rsidRDefault="00017695" w:rsidP="006A6CBD">
            <w:pPr>
              <w:spacing w:line="276" w:lineRule="auto"/>
            </w:pPr>
            <w:r w:rsidRPr="006A6CBD">
              <w:t>007-008</w:t>
            </w:r>
          </w:p>
        </w:tc>
        <w:tc>
          <w:tcPr>
            <w:tcW w:w="1323" w:type="dxa"/>
            <w:noWrap/>
            <w:hideMark/>
          </w:tcPr>
          <w:p w14:paraId="2396A80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468</w:t>
            </w:r>
          </w:p>
        </w:tc>
        <w:tc>
          <w:tcPr>
            <w:tcW w:w="1323" w:type="dxa"/>
            <w:noWrap/>
            <w:hideMark/>
          </w:tcPr>
          <w:p w14:paraId="65B8A28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216</w:t>
            </w:r>
          </w:p>
        </w:tc>
        <w:tc>
          <w:tcPr>
            <w:tcW w:w="2173" w:type="dxa"/>
            <w:noWrap/>
            <w:hideMark/>
          </w:tcPr>
          <w:p w14:paraId="7740FA2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365</w:t>
            </w:r>
          </w:p>
        </w:tc>
      </w:tr>
      <w:tr w:rsidR="00017695" w:rsidRPr="006A6CBD" w14:paraId="73553AC8"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61F6663" w14:textId="77777777" w:rsidR="00017695" w:rsidRPr="006A6CBD" w:rsidRDefault="00017695" w:rsidP="006A6CBD">
            <w:pPr>
              <w:spacing w:line="276" w:lineRule="auto"/>
            </w:pPr>
            <w:r w:rsidRPr="006A6CBD">
              <w:t>009-010</w:t>
            </w:r>
          </w:p>
        </w:tc>
        <w:tc>
          <w:tcPr>
            <w:tcW w:w="1323" w:type="dxa"/>
            <w:noWrap/>
            <w:hideMark/>
          </w:tcPr>
          <w:p w14:paraId="0DA7D92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521</w:t>
            </w:r>
          </w:p>
        </w:tc>
        <w:tc>
          <w:tcPr>
            <w:tcW w:w="1323" w:type="dxa"/>
            <w:noWrap/>
            <w:hideMark/>
          </w:tcPr>
          <w:p w14:paraId="7B428A4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161</w:t>
            </w:r>
          </w:p>
        </w:tc>
        <w:tc>
          <w:tcPr>
            <w:tcW w:w="2173" w:type="dxa"/>
            <w:noWrap/>
            <w:hideMark/>
          </w:tcPr>
          <w:p w14:paraId="42C0A3B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275</w:t>
            </w:r>
          </w:p>
        </w:tc>
      </w:tr>
      <w:tr w:rsidR="00017695" w:rsidRPr="006A6CBD" w14:paraId="4F25BD67"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7BCF74E" w14:textId="77777777" w:rsidR="00017695" w:rsidRPr="006A6CBD" w:rsidRDefault="00017695" w:rsidP="006A6CBD">
            <w:pPr>
              <w:spacing w:line="276" w:lineRule="auto"/>
            </w:pPr>
            <w:r w:rsidRPr="006A6CBD">
              <w:t>011-015</w:t>
            </w:r>
          </w:p>
        </w:tc>
        <w:tc>
          <w:tcPr>
            <w:tcW w:w="1323" w:type="dxa"/>
            <w:noWrap/>
            <w:hideMark/>
          </w:tcPr>
          <w:p w14:paraId="17682D8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1 293</w:t>
            </w:r>
          </w:p>
        </w:tc>
        <w:tc>
          <w:tcPr>
            <w:tcW w:w="1323" w:type="dxa"/>
            <w:noWrap/>
            <w:hideMark/>
          </w:tcPr>
          <w:p w14:paraId="12A649E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300</w:t>
            </w:r>
          </w:p>
        </w:tc>
        <w:tc>
          <w:tcPr>
            <w:tcW w:w="2173" w:type="dxa"/>
            <w:noWrap/>
            <w:hideMark/>
          </w:tcPr>
          <w:p w14:paraId="106D60C2"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935</w:t>
            </w:r>
          </w:p>
        </w:tc>
      </w:tr>
      <w:tr w:rsidR="00017695" w:rsidRPr="006A6CBD" w14:paraId="6A826964"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5E00AD5" w14:textId="77777777" w:rsidR="00017695" w:rsidRPr="006A6CBD" w:rsidRDefault="00017695" w:rsidP="006A6CBD">
            <w:pPr>
              <w:spacing w:line="276" w:lineRule="auto"/>
            </w:pPr>
            <w:r w:rsidRPr="006A6CBD">
              <w:t>016-020</w:t>
            </w:r>
          </w:p>
        </w:tc>
        <w:tc>
          <w:tcPr>
            <w:tcW w:w="1323" w:type="dxa"/>
            <w:noWrap/>
            <w:hideMark/>
          </w:tcPr>
          <w:p w14:paraId="2F0C753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203</w:t>
            </w:r>
          </w:p>
        </w:tc>
        <w:tc>
          <w:tcPr>
            <w:tcW w:w="1323" w:type="dxa"/>
            <w:noWrap/>
            <w:hideMark/>
          </w:tcPr>
          <w:p w14:paraId="0BFA28F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100</w:t>
            </w:r>
          </w:p>
        </w:tc>
        <w:tc>
          <w:tcPr>
            <w:tcW w:w="2173" w:type="dxa"/>
            <w:noWrap/>
            <w:hideMark/>
          </w:tcPr>
          <w:p w14:paraId="1703092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206</w:t>
            </w:r>
          </w:p>
        </w:tc>
      </w:tr>
      <w:tr w:rsidR="00017695" w:rsidRPr="006A6CBD" w14:paraId="086224B0"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8120DD3" w14:textId="77777777" w:rsidR="00017695" w:rsidRPr="006A6CBD" w:rsidRDefault="00017695" w:rsidP="006A6CBD">
            <w:pPr>
              <w:spacing w:line="276" w:lineRule="auto"/>
            </w:pPr>
            <w:r w:rsidRPr="006A6CBD">
              <w:t>021-030</w:t>
            </w:r>
          </w:p>
        </w:tc>
        <w:tc>
          <w:tcPr>
            <w:tcW w:w="1323" w:type="dxa"/>
            <w:noWrap/>
            <w:hideMark/>
          </w:tcPr>
          <w:p w14:paraId="57A9321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157</w:t>
            </w:r>
          </w:p>
        </w:tc>
        <w:tc>
          <w:tcPr>
            <w:tcW w:w="1323" w:type="dxa"/>
            <w:noWrap/>
            <w:hideMark/>
          </w:tcPr>
          <w:p w14:paraId="10F37F6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90</w:t>
            </w:r>
          </w:p>
        </w:tc>
        <w:tc>
          <w:tcPr>
            <w:tcW w:w="2173" w:type="dxa"/>
            <w:noWrap/>
            <w:hideMark/>
          </w:tcPr>
          <w:p w14:paraId="686BBDE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214</w:t>
            </w:r>
          </w:p>
        </w:tc>
      </w:tr>
      <w:tr w:rsidR="00017695" w:rsidRPr="006A6CBD" w14:paraId="0AEA630D"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8262385" w14:textId="77777777" w:rsidR="00017695" w:rsidRPr="006A6CBD" w:rsidRDefault="00017695" w:rsidP="006A6CBD">
            <w:pPr>
              <w:spacing w:line="276" w:lineRule="auto"/>
            </w:pPr>
            <w:r w:rsidRPr="006A6CBD">
              <w:t>031-050</w:t>
            </w:r>
          </w:p>
        </w:tc>
        <w:tc>
          <w:tcPr>
            <w:tcW w:w="1323" w:type="dxa"/>
            <w:noWrap/>
            <w:hideMark/>
          </w:tcPr>
          <w:p w14:paraId="2A2D65E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59</w:t>
            </w:r>
          </w:p>
        </w:tc>
        <w:tc>
          <w:tcPr>
            <w:tcW w:w="1323" w:type="dxa"/>
            <w:noWrap/>
            <w:hideMark/>
          </w:tcPr>
          <w:p w14:paraId="2AAB3EC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47</w:t>
            </w:r>
          </w:p>
        </w:tc>
        <w:tc>
          <w:tcPr>
            <w:tcW w:w="2173" w:type="dxa"/>
            <w:noWrap/>
            <w:hideMark/>
          </w:tcPr>
          <w:p w14:paraId="0694862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137</w:t>
            </w:r>
          </w:p>
        </w:tc>
      </w:tr>
      <w:tr w:rsidR="00017695" w:rsidRPr="006A6CBD" w14:paraId="528EFAB6"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E6B300" w14:textId="77777777" w:rsidR="00017695" w:rsidRPr="006A6CBD" w:rsidRDefault="00017695" w:rsidP="006A6CBD">
            <w:pPr>
              <w:spacing w:line="276" w:lineRule="auto"/>
            </w:pPr>
            <w:r w:rsidRPr="006A6CBD">
              <w:t>051-100</w:t>
            </w:r>
          </w:p>
        </w:tc>
        <w:tc>
          <w:tcPr>
            <w:tcW w:w="1323" w:type="dxa"/>
            <w:noWrap/>
            <w:hideMark/>
          </w:tcPr>
          <w:p w14:paraId="196DF99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19</w:t>
            </w:r>
          </w:p>
        </w:tc>
        <w:tc>
          <w:tcPr>
            <w:tcW w:w="1323" w:type="dxa"/>
            <w:noWrap/>
            <w:hideMark/>
          </w:tcPr>
          <w:p w14:paraId="2B0BFF1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7</w:t>
            </w:r>
          </w:p>
        </w:tc>
        <w:tc>
          <w:tcPr>
            <w:tcW w:w="2173" w:type="dxa"/>
            <w:noWrap/>
            <w:hideMark/>
          </w:tcPr>
          <w:p w14:paraId="0646509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89</w:t>
            </w:r>
          </w:p>
        </w:tc>
      </w:tr>
      <w:tr w:rsidR="00017695" w:rsidRPr="006A6CBD" w14:paraId="3D59CCEC"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234FEFE" w14:textId="77777777" w:rsidR="00017695" w:rsidRPr="006A6CBD" w:rsidRDefault="00017695" w:rsidP="006A6CBD">
            <w:pPr>
              <w:spacing w:line="276" w:lineRule="auto"/>
            </w:pPr>
            <w:r w:rsidRPr="006A6CBD">
              <w:t>101-200</w:t>
            </w:r>
          </w:p>
        </w:tc>
        <w:tc>
          <w:tcPr>
            <w:tcW w:w="1323" w:type="dxa"/>
            <w:noWrap/>
            <w:hideMark/>
          </w:tcPr>
          <w:p w14:paraId="56273F2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w:t>
            </w:r>
          </w:p>
        </w:tc>
        <w:tc>
          <w:tcPr>
            <w:tcW w:w="1323" w:type="dxa"/>
            <w:noWrap/>
            <w:hideMark/>
          </w:tcPr>
          <w:p w14:paraId="3AAF603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w:t>
            </w:r>
          </w:p>
        </w:tc>
        <w:tc>
          <w:tcPr>
            <w:tcW w:w="2173" w:type="dxa"/>
            <w:noWrap/>
            <w:hideMark/>
          </w:tcPr>
          <w:p w14:paraId="750AE0A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w:t>
            </w:r>
          </w:p>
        </w:tc>
      </w:tr>
      <w:tr w:rsidR="00017695" w:rsidRPr="006A6CBD" w14:paraId="11EEC366"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9175A9E" w14:textId="77777777" w:rsidR="00017695" w:rsidRPr="006A6CBD" w:rsidRDefault="00017695" w:rsidP="006A6CBD">
            <w:pPr>
              <w:spacing w:line="276" w:lineRule="auto"/>
            </w:pPr>
            <w:r w:rsidRPr="006A6CBD">
              <w:t>200+</w:t>
            </w:r>
          </w:p>
        </w:tc>
        <w:tc>
          <w:tcPr>
            <w:tcW w:w="1323" w:type="dxa"/>
            <w:noWrap/>
            <w:hideMark/>
          </w:tcPr>
          <w:p w14:paraId="4FFC33E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 </w:t>
            </w:r>
          </w:p>
        </w:tc>
        <w:tc>
          <w:tcPr>
            <w:tcW w:w="1323" w:type="dxa"/>
            <w:noWrap/>
            <w:hideMark/>
          </w:tcPr>
          <w:p w14:paraId="1960940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 </w:t>
            </w:r>
          </w:p>
        </w:tc>
        <w:tc>
          <w:tcPr>
            <w:tcW w:w="2173" w:type="dxa"/>
            <w:noWrap/>
            <w:hideMark/>
          </w:tcPr>
          <w:p w14:paraId="291B288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w:t>
            </w:r>
          </w:p>
        </w:tc>
      </w:tr>
      <w:tr w:rsidR="00017695" w:rsidRPr="006A6CBD" w14:paraId="136D3FE3" w14:textId="77777777" w:rsidTr="00630176">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FCAD94E" w14:textId="77777777" w:rsidR="00017695" w:rsidRPr="006A6CBD" w:rsidRDefault="00017695" w:rsidP="006A6CBD">
            <w:pPr>
              <w:spacing w:line="276" w:lineRule="auto"/>
            </w:pPr>
            <w:r w:rsidRPr="006A6CBD">
              <w:t>Total</w:t>
            </w:r>
          </w:p>
        </w:tc>
        <w:tc>
          <w:tcPr>
            <w:tcW w:w="1323" w:type="dxa"/>
            <w:noWrap/>
            <w:hideMark/>
          </w:tcPr>
          <w:p w14:paraId="73FF301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11 481</w:t>
            </w:r>
          </w:p>
        </w:tc>
        <w:tc>
          <w:tcPr>
            <w:tcW w:w="1323" w:type="dxa"/>
            <w:noWrap/>
            <w:hideMark/>
          </w:tcPr>
          <w:p w14:paraId="1FE5E43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7 368</w:t>
            </w:r>
          </w:p>
        </w:tc>
        <w:tc>
          <w:tcPr>
            <w:tcW w:w="2173" w:type="dxa"/>
            <w:noWrap/>
            <w:hideMark/>
          </w:tcPr>
          <w:p w14:paraId="5171BD0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8 043</w:t>
            </w:r>
          </w:p>
        </w:tc>
      </w:tr>
    </w:tbl>
    <w:p w14:paraId="61389D7D" w14:textId="77777777" w:rsidR="00017695" w:rsidRPr="006A6CBD" w:rsidRDefault="00017695" w:rsidP="006A6CBD">
      <w:pPr>
        <w:pStyle w:val="03Tableundertext"/>
        <w:spacing w:line="276" w:lineRule="auto"/>
      </w:pPr>
      <w:r w:rsidRPr="006A6CBD">
        <w:t>Source: MBS Item 13706, DHS Webstats</w:t>
      </w:r>
    </w:p>
    <w:p w14:paraId="53FE9CD3" w14:textId="77777777" w:rsidR="00017695" w:rsidRPr="006A6CBD" w:rsidRDefault="00017695" w:rsidP="006A6CBD">
      <w:pPr>
        <w:spacing w:line="276" w:lineRule="auto"/>
        <w:rPr>
          <w:sz w:val="24"/>
        </w:rPr>
      </w:pPr>
      <w:r w:rsidRPr="006A6CBD">
        <w:rPr>
          <w:sz w:val="24"/>
        </w:rPr>
        <w:t>Table 5 shows that Queensland patients consistently receive the most 13706 services.</w:t>
      </w:r>
    </w:p>
    <w:p w14:paraId="69D33160" w14:textId="279C01C7" w:rsidR="00017695" w:rsidRPr="006A6CBD" w:rsidRDefault="00017695" w:rsidP="006A6CBD">
      <w:pPr>
        <w:pStyle w:val="Caption"/>
        <w:spacing w:line="276" w:lineRule="auto"/>
        <w:rPr>
          <w:szCs w:val="20"/>
        </w:rPr>
      </w:pPr>
      <w:bookmarkStart w:id="102" w:name="_Toc487115249"/>
      <w:bookmarkStart w:id="103" w:name="_Toc8995624"/>
      <w:r w:rsidRPr="006A6CBD">
        <w:t xml:space="preserve">Table </w:t>
      </w:r>
      <w:r w:rsidRPr="006A6CBD">
        <w:rPr>
          <w:noProof/>
        </w:rPr>
        <w:fldChar w:fldCharType="begin"/>
      </w:r>
      <w:r w:rsidRPr="006A6CBD">
        <w:rPr>
          <w:noProof/>
        </w:rPr>
        <w:instrText xml:space="preserve"> SEQ Table \* ARABIC </w:instrText>
      </w:r>
      <w:r w:rsidRPr="006A6CBD">
        <w:rPr>
          <w:noProof/>
        </w:rPr>
        <w:fldChar w:fldCharType="separate"/>
      </w:r>
      <w:r w:rsidR="00013B42">
        <w:rPr>
          <w:noProof/>
        </w:rPr>
        <w:t>5</w:t>
      </w:r>
      <w:r w:rsidRPr="006A6CBD">
        <w:rPr>
          <w:noProof/>
        </w:rPr>
        <w:fldChar w:fldCharType="end"/>
      </w:r>
      <w:r w:rsidRPr="006A6CBD">
        <w:t xml:space="preserve">. Item 13706, </w:t>
      </w:r>
      <w:r w:rsidR="00630176" w:rsidRPr="006A6CBD">
        <w:t>S</w:t>
      </w:r>
      <w:r w:rsidRPr="006A6CBD">
        <w:t>ervices by state, 2003–2004 to 2015–2016 (per 100,000 population)</w:t>
      </w:r>
      <w:bookmarkEnd w:id="102"/>
      <w:bookmarkEnd w:id="103"/>
    </w:p>
    <w:tbl>
      <w:tblPr>
        <w:tblStyle w:val="TableClassic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tem 13706, number of services by state, 2003–2004 to 2015–2016 (services per 100,000 population)"/>
        <w:tblDescription w:val="This table shows the nuber of services by state for item 13706 for the years 2003-04 to 2015-16 per 100 000 population. The table shows that Queensland patients consistently receive the most 13706 services"/>
      </w:tblPr>
      <w:tblGrid>
        <w:gridCol w:w="1129"/>
        <w:gridCol w:w="850"/>
        <w:gridCol w:w="851"/>
        <w:gridCol w:w="850"/>
        <w:gridCol w:w="851"/>
        <w:gridCol w:w="850"/>
        <w:gridCol w:w="851"/>
        <w:gridCol w:w="850"/>
        <w:gridCol w:w="851"/>
        <w:gridCol w:w="851"/>
      </w:tblGrid>
      <w:tr w:rsidR="00017695" w:rsidRPr="006A6CBD" w14:paraId="3CEBF5E0" w14:textId="77777777" w:rsidTr="00991D7B">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EEECE1" w:themeFill="background2"/>
            <w:noWrap/>
            <w:hideMark/>
          </w:tcPr>
          <w:p w14:paraId="661A3133" w14:textId="77777777" w:rsidR="00017695" w:rsidRPr="006A6CBD" w:rsidRDefault="00017695" w:rsidP="006A6CBD">
            <w:pPr>
              <w:spacing w:line="276" w:lineRule="auto"/>
              <w:rPr>
                <w:i w:val="0"/>
              </w:rPr>
            </w:pPr>
            <w:r w:rsidRPr="006A6CBD">
              <w:t> </w:t>
            </w:r>
          </w:p>
        </w:tc>
        <w:tc>
          <w:tcPr>
            <w:tcW w:w="850" w:type="dxa"/>
            <w:shd w:val="clear" w:color="auto" w:fill="EEECE1" w:themeFill="background2"/>
            <w:noWrap/>
            <w:hideMark/>
          </w:tcPr>
          <w:p w14:paraId="15DE5F00"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NSW</w:t>
            </w:r>
          </w:p>
        </w:tc>
        <w:tc>
          <w:tcPr>
            <w:tcW w:w="851" w:type="dxa"/>
            <w:shd w:val="clear" w:color="auto" w:fill="EEECE1" w:themeFill="background2"/>
            <w:noWrap/>
            <w:hideMark/>
          </w:tcPr>
          <w:p w14:paraId="0EEF44F1"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V</w:t>
            </w:r>
            <w:r w:rsidRPr="006A6CBD">
              <w:rPr>
                <w:i w:val="0"/>
              </w:rPr>
              <w:t>ic</w:t>
            </w:r>
          </w:p>
        </w:tc>
        <w:tc>
          <w:tcPr>
            <w:tcW w:w="850" w:type="dxa"/>
            <w:shd w:val="clear" w:color="auto" w:fill="EEECE1" w:themeFill="background2"/>
            <w:noWrap/>
            <w:hideMark/>
          </w:tcPr>
          <w:p w14:paraId="0C347F09"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Q</w:t>
            </w:r>
            <w:r w:rsidRPr="006A6CBD">
              <w:rPr>
                <w:i w:val="0"/>
              </w:rPr>
              <w:t>ld</w:t>
            </w:r>
          </w:p>
        </w:tc>
        <w:tc>
          <w:tcPr>
            <w:tcW w:w="851" w:type="dxa"/>
            <w:shd w:val="clear" w:color="auto" w:fill="EEECE1" w:themeFill="background2"/>
            <w:noWrap/>
            <w:hideMark/>
          </w:tcPr>
          <w:p w14:paraId="54FA398F"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SA</w:t>
            </w:r>
          </w:p>
        </w:tc>
        <w:tc>
          <w:tcPr>
            <w:tcW w:w="850" w:type="dxa"/>
            <w:shd w:val="clear" w:color="auto" w:fill="EEECE1" w:themeFill="background2"/>
            <w:noWrap/>
            <w:hideMark/>
          </w:tcPr>
          <w:p w14:paraId="1E7F131F"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WA</w:t>
            </w:r>
          </w:p>
        </w:tc>
        <w:tc>
          <w:tcPr>
            <w:tcW w:w="851" w:type="dxa"/>
            <w:shd w:val="clear" w:color="auto" w:fill="EEECE1" w:themeFill="background2"/>
            <w:noWrap/>
            <w:hideMark/>
          </w:tcPr>
          <w:p w14:paraId="0C0D3C85"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T</w:t>
            </w:r>
            <w:r w:rsidRPr="006A6CBD">
              <w:rPr>
                <w:i w:val="0"/>
              </w:rPr>
              <w:t>as</w:t>
            </w:r>
          </w:p>
        </w:tc>
        <w:tc>
          <w:tcPr>
            <w:tcW w:w="850" w:type="dxa"/>
            <w:shd w:val="clear" w:color="auto" w:fill="EEECE1" w:themeFill="background2"/>
            <w:noWrap/>
            <w:hideMark/>
          </w:tcPr>
          <w:p w14:paraId="72D76CE4"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ACT</w:t>
            </w:r>
          </w:p>
        </w:tc>
        <w:tc>
          <w:tcPr>
            <w:tcW w:w="851" w:type="dxa"/>
            <w:shd w:val="clear" w:color="auto" w:fill="EEECE1" w:themeFill="background2"/>
            <w:noWrap/>
            <w:hideMark/>
          </w:tcPr>
          <w:p w14:paraId="4D7957F8"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NT</w:t>
            </w:r>
          </w:p>
        </w:tc>
        <w:tc>
          <w:tcPr>
            <w:tcW w:w="851" w:type="dxa"/>
            <w:shd w:val="clear" w:color="auto" w:fill="EEECE1" w:themeFill="background2"/>
            <w:noWrap/>
            <w:hideMark/>
          </w:tcPr>
          <w:p w14:paraId="4330A9B9"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 Total</w:t>
            </w:r>
          </w:p>
        </w:tc>
      </w:tr>
      <w:tr w:rsidR="00017695" w:rsidRPr="006A6CBD" w14:paraId="25FF6E88"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34459C8" w14:textId="77777777" w:rsidR="00017695" w:rsidRPr="006A6CBD" w:rsidRDefault="00017695" w:rsidP="006A6CBD">
            <w:pPr>
              <w:spacing w:line="276" w:lineRule="auto"/>
            </w:pPr>
            <w:r w:rsidRPr="006A6CBD">
              <w:t>2003–2004</w:t>
            </w:r>
          </w:p>
        </w:tc>
        <w:tc>
          <w:tcPr>
            <w:tcW w:w="850" w:type="dxa"/>
            <w:noWrap/>
            <w:hideMark/>
          </w:tcPr>
          <w:p w14:paraId="30352B7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226</w:t>
            </w:r>
          </w:p>
        </w:tc>
        <w:tc>
          <w:tcPr>
            <w:tcW w:w="851" w:type="dxa"/>
            <w:noWrap/>
            <w:hideMark/>
          </w:tcPr>
          <w:p w14:paraId="02D15DF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187</w:t>
            </w:r>
          </w:p>
        </w:tc>
        <w:tc>
          <w:tcPr>
            <w:tcW w:w="850" w:type="dxa"/>
            <w:noWrap/>
            <w:hideMark/>
          </w:tcPr>
          <w:p w14:paraId="350E3EC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501</w:t>
            </w:r>
          </w:p>
        </w:tc>
        <w:tc>
          <w:tcPr>
            <w:tcW w:w="851" w:type="dxa"/>
            <w:noWrap/>
            <w:hideMark/>
          </w:tcPr>
          <w:p w14:paraId="7E8BD3D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269</w:t>
            </w:r>
          </w:p>
        </w:tc>
        <w:tc>
          <w:tcPr>
            <w:tcW w:w="850" w:type="dxa"/>
            <w:noWrap/>
            <w:hideMark/>
          </w:tcPr>
          <w:p w14:paraId="554A53F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137</w:t>
            </w:r>
          </w:p>
        </w:tc>
        <w:tc>
          <w:tcPr>
            <w:tcW w:w="851" w:type="dxa"/>
            <w:noWrap/>
            <w:hideMark/>
          </w:tcPr>
          <w:p w14:paraId="1F831BF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293</w:t>
            </w:r>
          </w:p>
        </w:tc>
        <w:tc>
          <w:tcPr>
            <w:tcW w:w="850" w:type="dxa"/>
            <w:noWrap/>
            <w:hideMark/>
          </w:tcPr>
          <w:p w14:paraId="03D5B82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108</w:t>
            </w:r>
          </w:p>
        </w:tc>
        <w:tc>
          <w:tcPr>
            <w:tcW w:w="851" w:type="dxa"/>
            <w:noWrap/>
            <w:hideMark/>
          </w:tcPr>
          <w:p w14:paraId="390600E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58</w:t>
            </w:r>
          </w:p>
        </w:tc>
        <w:tc>
          <w:tcPr>
            <w:tcW w:w="851" w:type="dxa"/>
            <w:noWrap/>
            <w:hideMark/>
          </w:tcPr>
          <w:p w14:paraId="365CED1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262</w:t>
            </w:r>
          </w:p>
        </w:tc>
      </w:tr>
      <w:tr w:rsidR="00017695" w:rsidRPr="006A6CBD" w14:paraId="65B37357"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3402A93" w14:textId="77777777" w:rsidR="00017695" w:rsidRPr="006A6CBD" w:rsidRDefault="00017695" w:rsidP="006A6CBD">
            <w:pPr>
              <w:spacing w:line="276" w:lineRule="auto"/>
            </w:pPr>
            <w:r w:rsidRPr="006A6CBD">
              <w:t>2004–2005</w:t>
            </w:r>
          </w:p>
        </w:tc>
        <w:tc>
          <w:tcPr>
            <w:tcW w:w="850" w:type="dxa"/>
            <w:noWrap/>
            <w:hideMark/>
          </w:tcPr>
          <w:p w14:paraId="5FAE3B1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236</w:t>
            </w:r>
          </w:p>
        </w:tc>
        <w:tc>
          <w:tcPr>
            <w:tcW w:w="851" w:type="dxa"/>
            <w:noWrap/>
            <w:hideMark/>
          </w:tcPr>
          <w:p w14:paraId="3A1CEA12"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198</w:t>
            </w:r>
          </w:p>
        </w:tc>
        <w:tc>
          <w:tcPr>
            <w:tcW w:w="850" w:type="dxa"/>
            <w:noWrap/>
            <w:hideMark/>
          </w:tcPr>
          <w:p w14:paraId="024C87C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633</w:t>
            </w:r>
          </w:p>
        </w:tc>
        <w:tc>
          <w:tcPr>
            <w:tcW w:w="851" w:type="dxa"/>
            <w:noWrap/>
            <w:hideMark/>
          </w:tcPr>
          <w:p w14:paraId="4D01FC4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278</w:t>
            </w:r>
          </w:p>
        </w:tc>
        <w:tc>
          <w:tcPr>
            <w:tcW w:w="850" w:type="dxa"/>
            <w:noWrap/>
            <w:hideMark/>
          </w:tcPr>
          <w:p w14:paraId="60388DA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174</w:t>
            </w:r>
          </w:p>
        </w:tc>
        <w:tc>
          <w:tcPr>
            <w:tcW w:w="851" w:type="dxa"/>
            <w:noWrap/>
            <w:hideMark/>
          </w:tcPr>
          <w:p w14:paraId="749F50A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306</w:t>
            </w:r>
          </w:p>
        </w:tc>
        <w:tc>
          <w:tcPr>
            <w:tcW w:w="850" w:type="dxa"/>
            <w:noWrap/>
            <w:hideMark/>
          </w:tcPr>
          <w:p w14:paraId="1EE602B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128</w:t>
            </w:r>
          </w:p>
        </w:tc>
        <w:tc>
          <w:tcPr>
            <w:tcW w:w="851" w:type="dxa"/>
            <w:noWrap/>
            <w:hideMark/>
          </w:tcPr>
          <w:p w14:paraId="7902FD9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106</w:t>
            </w:r>
          </w:p>
        </w:tc>
        <w:tc>
          <w:tcPr>
            <w:tcW w:w="851" w:type="dxa"/>
            <w:noWrap/>
            <w:hideMark/>
          </w:tcPr>
          <w:p w14:paraId="02C8A01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299</w:t>
            </w:r>
          </w:p>
        </w:tc>
      </w:tr>
      <w:tr w:rsidR="00017695" w:rsidRPr="006A6CBD" w14:paraId="05B05C22"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05CC5A6" w14:textId="77777777" w:rsidR="00017695" w:rsidRPr="006A6CBD" w:rsidRDefault="00017695" w:rsidP="006A6CBD">
            <w:pPr>
              <w:spacing w:line="276" w:lineRule="auto"/>
            </w:pPr>
            <w:r w:rsidRPr="006A6CBD">
              <w:lastRenderedPageBreak/>
              <w:t>2005–2006</w:t>
            </w:r>
          </w:p>
        </w:tc>
        <w:tc>
          <w:tcPr>
            <w:tcW w:w="850" w:type="dxa"/>
            <w:noWrap/>
            <w:hideMark/>
          </w:tcPr>
          <w:p w14:paraId="7217312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256</w:t>
            </w:r>
          </w:p>
        </w:tc>
        <w:tc>
          <w:tcPr>
            <w:tcW w:w="851" w:type="dxa"/>
            <w:noWrap/>
            <w:hideMark/>
          </w:tcPr>
          <w:p w14:paraId="7EC528F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228</w:t>
            </w:r>
          </w:p>
        </w:tc>
        <w:tc>
          <w:tcPr>
            <w:tcW w:w="850" w:type="dxa"/>
            <w:noWrap/>
            <w:hideMark/>
          </w:tcPr>
          <w:p w14:paraId="6CC255F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703</w:t>
            </w:r>
          </w:p>
        </w:tc>
        <w:tc>
          <w:tcPr>
            <w:tcW w:w="851" w:type="dxa"/>
            <w:noWrap/>
            <w:hideMark/>
          </w:tcPr>
          <w:p w14:paraId="7667C4E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330</w:t>
            </w:r>
          </w:p>
        </w:tc>
        <w:tc>
          <w:tcPr>
            <w:tcW w:w="850" w:type="dxa"/>
            <w:noWrap/>
            <w:hideMark/>
          </w:tcPr>
          <w:p w14:paraId="05F9E7B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219</w:t>
            </w:r>
          </w:p>
        </w:tc>
        <w:tc>
          <w:tcPr>
            <w:tcW w:w="851" w:type="dxa"/>
            <w:noWrap/>
            <w:hideMark/>
          </w:tcPr>
          <w:p w14:paraId="5F3A9BC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394</w:t>
            </w:r>
          </w:p>
        </w:tc>
        <w:tc>
          <w:tcPr>
            <w:tcW w:w="850" w:type="dxa"/>
            <w:noWrap/>
            <w:hideMark/>
          </w:tcPr>
          <w:p w14:paraId="66766A9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149</w:t>
            </w:r>
          </w:p>
        </w:tc>
        <w:tc>
          <w:tcPr>
            <w:tcW w:w="851" w:type="dxa"/>
            <w:noWrap/>
            <w:hideMark/>
          </w:tcPr>
          <w:p w14:paraId="67E4327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61</w:t>
            </w:r>
          </w:p>
        </w:tc>
        <w:tc>
          <w:tcPr>
            <w:tcW w:w="851" w:type="dxa"/>
            <w:noWrap/>
            <w:hideMark/>
          </w:tcPr>
          <w:p w14:paraId="3871ED7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338</w:t>
            </w:r>
          </w:p>
        </w:tc>
      </w:tr>
      <w:tr w:rsidR="00017695" w:rsidRPr="006A6CBD" w14:paraId="730D5F07"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9CB2CA9" w14:textId="77777777" w:rsidR="00017695" w:rsidRPr="006A6CBD" w:rsidRDefault="00017695" w:rsidP="006A6CBD">
            <w:pPr>
              <w:spacing w:line="276" w:lineRule="auto"/>
            </w:pPr>
            <w:r w:rsidRPr="006A6CBD">
              <w:t>2006–2007</w:t>
            </w:r>
          </w:p>
        </w:tc>
        <w:tc>
          <w:tcPr>
            <w:tcW w:w="850" w:type="dxa"/>
            <w:noWrap/>
            <w:hideMark/>
          </w:tcPr>
          <w:p w14:paraId="627D44F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292</w:t>
            </w:r>
          </w:p>
        </w:tc>
        <w:tc>
          <w:tcPr>
            <w:tcW w:w="851" w:type="dxa"/>
            <w:noWrap/>
            <w:hideMark/>
          </w:tcPr>
          <w:p w14:paraId="7ACB449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244</w:t>
            </w:r>
          </w:p>
        </w:tc>
        <w:tc>
          <w:tcPr>
            <w:tcW w:w="850" w:type="dxa"/>
            <w:noWrap/>
            <w:hideMark/>
          </w:tcPr>
          <w:p w14:paraId="6314448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698</w:t>
            </w:r>
          </w:p>
        </w:tc>
        <w:tc>
          <w:tcPr>
            <w:tcW w:w="851" w:type="dxa"/>
            <w:noWrap/>
            <w:hideMark/>
          </w:tcPr>
          <w:p w14:paraId="1B95D4E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303</w:t>
            </w:r>
          </w:p>
        </w:tc>
        <w:tc>
          <w:tcPr>
            <w:tcW w:w="850" w:type="dxa"/>
            <w:noWrap/>
            <w:hideMark/>
          </w:tcPr>
          <w:p w14:paraId="5E14431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210</w:t>
            </w:r>
          </w:p>
        </w:tc>
        <w:tc>
          <w:tcPr>
            <w:tcW w:w="851" w:type="dxa"/>
            <w:noWrap/>
            <w:hideMark/>
          </w:tcPr>
          <w:p w14:paraId="4A5E4ED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426</w:t>
            </w:r>
          </w:p>
        </w:tc>
        <w:tc>
          <w:tcPr>
            <w:tcW w:w="850" w:type="dxa"/>
            <w:noWrap/>
            <w:hideMark/>
          </w:tcPr>
          <w:p w14:paraId="1F02D87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204</w:t>
            </w:r>
          </w:p>
        </w:tc>
        <w:tc>
          <w:tcPr>
            <w:tcW w:w="851" w:type="dxa"/>
            <w:noWrap/>
            <w:hideMark/>
          </w:tcPr>
          <w:p w14:paraId="4B36D83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40</w:t>
            </w:r>
          </w:p>
        </w:tc>
        <w:tc>
          <w:tcPr>
            <w:tcW w:w="851" w:type="dxa"/>
            <w:noWrap/>
            <w:hideMark/>
          </w:tcPr>
          <w:p w14:paraId="1212B74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352</w:t>
            </w:r>
          </w:p>
        </w:tc>
      </w:tr>
      <w:tr w:rsidR="00017695" w:rsidRPr="006A6CBD" w14:paraId="0963EB64"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30379A4" w14:textId="77777777" w:rsidR="00017695" w:rsidRPr="006A6CBD" w:rsidRDefault="00017695" w:rsidP="006A6CBD">
            <w:pPr>
              <w:spacing w:line="276" w:lineRule="auto"/>
            </w:pPr>
            <w:r w:rsidRPr="006A6CBD">
              <w:t>2007–2008</w:t>
            </w:r>
          </w:p>
        </w:tc>
        <w:tc>
          <w:tcPr>
            <w:tcW w:w="850" w:type="dxa"/>
            <w:noWrap/>
            <w:hideMark/>
          </w:tcPr>
          <w:p w14:paraId="175E6A3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321</w:t>
            </w:r>
          </w:p>
        </w:tc>
        <w:tc>
          <w:tcPr>
            <w:tcW w:w="851" w:type="dxa"/>
            <w:noWrap/>
            <w:hideMark/>
          </w:tcPr>
          <w:p w14:paraId="1C1D671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285</w:t>
            </w:r>
          </w:p>
        </w:tc>
        <w:tc>
          <w:tcPr>
            <w:tcW w:w="850" w:type="dxa"/>
            <w:noWrap/>
            <w:hideMark/>
          </w:tcPr>
          <w:p w14:paraId="2F08D68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765</w:t>
            </w:r>
          </w:p>
        </w:tc>
        <w:tc>
          <w:tcPr>
            <w:tcW w:w="851" w:type="dxa"/>
            <w:noWrap/>
            <w:hideMark/>
          </w:tcPr>
          <w:p w14:paraId="011A54C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303</w:t>
            </w:r>
          </w:p>
        </w:tc>
        <w:tc>
          <w:tcPr>
            <w:tcW w:w="850" w:type="dxa"/>
            <w:noWrap/>
            <w:hideMark/>
          </w:tcPr>
          <w:p w14:paraId="6A33336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247</w:t>
            </w:r>
          </w:p>
        </w:tc>
        <w:tc>
          <w:tcPr>
            <w:tcW w:w="851" w:type="dxa"/>
            <w:noWrap/>
            <w:hideMark/>
          </w:tcPr>
          <w:p w14:paraId="4948D45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415</w:t>
            </w:r>
          </w:p>
        </w:tc>
        <w:tc>
          <w:tcPr>
            <w:tcW w:w="850" w:type="dxa"/>
            <w:noWrap/>
            <w:hideMark/>
          </w:tcPr>
          <w:p w14:paraId="0A06B03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262</w:t>
            </w:r>
          </w:p>
        </w:tc>
        <w:tc>
          <w:tcPr>
            <w:tcW w:w="851" w:type="dxa"/>
            <w:noWrap/>
            <w:hideMark/>
          </w:tcPr>
          <w:p w14:paraId="3DA3516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80</w:t>
            </w:r>
          </w:p>
        </w:tc>
        <w:tc>
          <w:tcPr>
            <w:tcW w:w="851" w:type="dxa"/>
            <w:noWrap/>
            <w:hideMark/>
          </w:tcPr>
          <w:p w14:paraId="3D7695F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390</w:t>
            </w:r>
          </w:p>
        </w:tc>
      </w:tr>
      <w:tr w:rsidR="00017695" w:rsidRPr="006A6CBD" w14:paraId="297F3F83"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94A19D1" w14:textId="77777777" w:rsidR="00017695" w:rsidRPr="006A6CBD" w:rsidRDefault="00017695" w:rsidP="006A6CBD">
            <w:pPr>
              <w:spacing w:line="276" w:lineRule="auto"/>
            </w:pPr>
            <w:r w:rsidRPr="006A6CBD">
              <w:t>2008–2009</w:t>
            </w:r>
          </w:p>
        </w:tc>
        <w:tc>
          <w:tcPr>
            <w:tcW w:w="850" w:type="dxa"/>
            <w:noWrap/>
            <w:hideMark/>
          </w:tcPr>
          <w:p w14:paraId="0ACD538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373</w:t>
            </w:r>
          </w:p>
        </w:tc>
        <w:tc>
          <w:tcPr>
            <w:tcW w:w="851" w:type="dxa"/>
            <w:noWrap/>
            <w:hideMark/>
          </w:tcPr>
          <w:p w14:paraId="0209108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307</w:t>
            </w:r>
          </w:p>
        </w:tc>
        <w:tc>
          <w:tcPr>
            <w:tcW w:w="850" w:type="dxa"/>
            <w:noWrap/>
            <w:hideMark/>
          </w:tcPr>
          <w:p w14:paraId="30CC836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766</w:t>
            </w:r>
          </w:p>
        </w:tc>
        <w:tc>
          <w:tcPr>
            <w:tcW w:w="851" w:type="dxa"/>
            <w:noWrap/>
            <w:hideMark/>
          </w:tcPr>
          <w:p w14:paraId="30DAF22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364</w:t>
            </w:r>
          </w:p>
        </w:tc>
        <w:tc>
          <w:tcPr>
            <w:tcW w:w="850" w:type="dxa"/>
            <w:noWrap/>
            <w:hideMark/>
          </w:tcPr>
          <w:p w14:paraId="5A8773F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250</w:t>
            </w:r>
          </w:p>
        </w:tc>
        <w:tc>
          <w:tcPr>
            <w:tcW w:w="851" w:type="dxa"/>
            <w:noWrap/>
            <w:hideMark/>
          </w:tcPr>
          <w:p w14:paraId="1978A95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448</w:t>
            </w:r>
          </w:p>
        </w:tc>
        <w:tc>
          <w:tcPr>
            <w:tcW w:w="850" w:type="dxa"/>
            <w:noWrap/>
            <w:hideMark/>
          </w:tcPr>
          <w:p w14:paraId="45063E6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255</w:t>
            </w:r>
          </w:p>
        </w:tc>
        <w:tc>
          <w:tcPr>
            <w:tcW w:w="851" w:type="dxa"/>
            <w:noWrap/>
            <w:hideMark/>
          </w:tcPr>
          <w:p w14:paraId="1B96068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40</w:t>
            </w:r>
          </w:p>
        </w:tc>
        <w:tc>
          <w:tcPr>
            <w:tcW w:w="851" w:type="dxa"/>
            <w:noWrap/>
            <w:hideMark/>
          </w:tcPr>
          <w:p w14:paraId="65848F6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419</w:t>
            </w:r>
          </w:p>
        </w:tc>
      </w:tr>
      <w:tr w:rsidR="00017695" w:rsidRPr="006A6CBD" w14:paraId="4DF25CA3"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1B4422F" w14:textId="77777777" w:rsidR="00017695" w:rsidRPr="006A6CBD" w:rsidRDefault="00017695" w:rsidP="006A6CBD">
            <w:pPr>
              <w:spacing w:line="276" w:lineRule="auto"/>
            </w:pPr>
            <w:r w:rsidRPr="006A6CBD">
              <w:t>2009–2010</w:t>
            </w:r>
          </w:p>
        </w:tc>
        <w:tc>
          <w:tcPr>
            <w:tcW w:w="850" w:type="dxa"/>
            <w:noWrap/>
            <w:hideMark/>
          </w:tcPr>
          <w:p w14:paraId="4B5BC46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448</w:t>
            </w:r>
          </w:p>
        </w:tc>
        <w:tc>
          <w:tcPr>
            <w:tcW w:w="851" w:type="dxa"/>
            <w:noWrap/>
            <w:hideMark/>
          </w:tcPr>
          <w:p w14:paraId="1A89F67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317</w:t>
            </w:r>
          </w:p>
        </w:tc>
        <w:tc>
          <w:tcPr>
            <w:tcW w:w="850" w:type="dxa"/>
            <w:noWrap/>
            <w:hideMark/>
          </w:tcPr>
          <w:p w14:paraId="39C0E74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837</w:t>
            </w:r>
          </w:p>
        </w:tc>
        <w:tc>
          <w:tcPr>
            <w:tcW w:w="851" w:type="dxa"/>
            <w:noWrap/>
            <w:hideMark/>
          </w:tcPr>
          <w:p w14:paraId="38767E6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372</w:t>
            </w:r>
          </w:p>
        </w:tc>
        <w:tc>
          <w:tcPr>
            <w:tcW w:w="850" w:type="dxa"/>
            <w:noWrap/>
            <w:hideMark/>
          </w:tcPr>
          <w:p w14:paraId="34DBA11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237</w:t>
            </w:r>
          </w:p>
        </w:tc>
        <w:tc>
          <w:tcPr>
            <w:tcW w:w="851" w:type="dxa"/>
            <w:noWrap/>
            <w:hideMark/>
          </w:tcPr>
          <w:p w14:paraId="68C0A6C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463</w:t>
            </w:r>
          </w:p>
        </w:tc>
        <w:tc>
          <w:tcPr>
            <w:tcW w:w="850" w:type="dxa"/>
            <w:noWrap/>
            <w:hideMark/>
          </w:tcPr>
          <w:p w14:paraId="41CA366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244</w:t>
            </w:r>
          </w:p>
        </w:tc>
        <w:tc>
          <w:tcPr>
            <w:tcW w:w="851" w:type="dxa"/>
            <w:noWrap/>
            <w:hideMark/>
          </w:tcPr>
          <w:p w14:paraId="05968DD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31</w:t>
            </w:r>
          </w:p>
        </w:tc>
        <w:tc>
          <w:tcPr>
            <w:tcW w:w="851" w:type="dxa"/>
            <w:noWrap/>
            <w:hideMark/>
          </w:tcPr>
          <w:p w14:paraId="7BCBA12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459</w:t>
            </w:r>
          </w:p>
        </w:tc>
      </w:tr>
      <w:tr w:rsidR="00017695" w:rsidRPr="006A6CBD" w14:paraId="008356DC"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5D8C2A3" w14:textId="77777777" w:rsidR="00017695" w:rsidRPr="006A6CBD" w:rsidRDefault="00017695" w:rsidP="006A6CBD">
            <w:pPr>
              <w:spacing w:line="276" w:lineRule="auto"/>
            </w:pPr>
            <w:r w:rsidRPr="006A6CBD">
              <w:t>2010–2011</w:t>
            </w:r>
          </w:p>
        </w:tc>
        <w:tc>
          <w:tcPr>
            <w:tcW w:w="850" w:type="dxa"/>
            <w:noWrap/>
            <w:hideMark/>
          </w:tcPr>
          <w:p w14:paraId="47AFD6D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525</w:t>
            </w:r>
          </w:p>
        </w:tc>
        <w:tc>
          <w:tcPr>
            <w:tcW w:w="851" w:type="dxa"/>
            <w:noWrap/>
            <w:hideMark/>
          </w:tcPr>
          <w:p w14:paraId="3FD2822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327</w:t>
            </w:r>
          </w:p>
        </w:tc>
        <w:tc>
          <w:tcPr>
            <w:tcW w:w="850" w:type="dxa"/>
            <w:noWrap/>
            <w:hideMark/>
          </w:tcPr>
          <w:p w14:paraId="09D6D50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928</w:t>
            </w:r>
          </w:p>
        </w:tc>
        <w:tc>
          <w:tcPr>
            <w:tcW w:w="851" w:type="dxa"/>
            <w:noWrap/>
            <w:hideMark/>
          </w:tcPr>
          <w:p w14:paraId="11B81BE2"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340</w:t>
            </w:r>
          </w:p>
        </w:tc>
        <w:tc>
          <w:tcPr>
            <w:tcW w:w="850" w:type="dxa"/>
            <w:noWrap/>
            <w:hideMark/>
          </w:tcPr>
          <w:p w14:paraId="5F125D8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244</w:t>
            </w:r>
          </w:p>
        </w:tc>
        <w:tc>
          <w:tcPr>
            <w:tcW w:w="851" w:type="dxa"/>
            <w:noWrap/>
            <w:hideMark/>
          </w:tcPr>
          <w:p w14:paraId="5E9A04B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541</w:t>
            </w:r>
          </w:p>
        </w:tc>
        <w:tc>
          <w:tcPr>
            <w:tcW w:w="850" w:type="dxa"/>
            <w:noWrap/>
            <w:hideMark/>
          </w:tcPr>
          <w:p w14:paraId="55B4AF8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301</w:t>
            </w:r>
          </w:p>
        </w:tc>
        <w:tc>
          <w:tcPr>
            <w:tcW w:w="851" w:type="dxa"/>
            <w:noWrap/>
            <w:hideMark/>
          </w:tcPr>
          <w:p w14:paraId="0FBFE62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26</w:t>
            </w:r>
          </w:p>
        </w:tc>
        <w:tc>
          <w:tcPr>
            <w:tcW w:w="851" w:type="dxa"/>
            <w:noWrap/>
            <w:hideMark/>
          </w:tcPr>
          <w:p w14:paraId="4FEE356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507</w:t>
            </w:r>
          </w:p>
        </w:tc>
      </w:tr>
      <w:tr w:rsidR="00017695" w:rsidRPr="006A6CBD" w14:paraId="42825086"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9A7F05E" w14:textId="77777777" w:rsidR="00017695" w:rsidRPr="006A6CBD" w:rsidRDefault="00017695" w:rsidP="006A6CBD">
            <w:pPr>
              <w:spacing w:line="276" w:lineRule="auto"/>
            </w:pPr>
            <w:r w:rsidRPr="006A6CBD">
              <w:t>2011–2012</w:t>
            </w:r>
          </w:p>
        </w:tc>
        <w:tc>
          <w:tcPr>
            <w:tcW w:w="850" w:type="dxa"/>
            <w:noWrap/>
            <w:hideMark/>
          </w:tcPr>
          <w:p w14:paraId="4ABD13B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576</w:t>
            </w:r>
          </w:p>
        </w:tc>
        <w:tc>
          <w:tcPr>
            <w:tcW w:w="851" w:type="dxa"/>
            <w:noWrap/>
            <w:hideMark/>
          </w:tcPr>
          <w:p w14:paraId="52A99F4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376</w:t>
            </w:r>
          </w:p>
        </w:tc>
        <w:tc>
          <w:tcPr>
            <w:tcW w:w="850" w:type="dxa"/>
            <w:noWrap/>
            <w:hideMark/>
          </w:tcPr>
          <w:p w14:paraId="504F69A9"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1045</w:t>
            </w:r>
          </w:p>
        </w:tc>
        <w:tc>
          <w:tcPr>
            <w:tcW w:w="851" w:type="dxa"/>
            <w:noWrap/>
            <w:hideMark/>
          </w:tcPr>
          <w:p w14:paraId="11956B9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385</w:t>
            </w:r>
          </w:p>
        </w:tc>
        <w:tc>
          <w:tcPr>
            <w:tcW w:w="850" w:type="dxa"/>
            <w:noWrap/>
            <w:hideMark/>
          </w:tcPr>
          <w:p w14:paraId="2C4C2DC2"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274</w:t>
            </w:r>
          </w:p>
        </w:tc>
        <w:tc>
          <w:tcPr>
            <w:tcW w:w="851" w:type="dxa"/>
            <w:noWrap/>
            <w:hideMark/>
          </w:tcPr>
          <w:p w14:paraId="0184390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585</w:t>
            </w:r>
          </w:p>
        </w:tc>
        <w:tc>
          <w:tcPr>
            <w:tcW w:w="850" w:type="dxa"/>
            <w:noWrap/>
            <w:hideMark/>
          </w:tcPr>
          <w:p w14:paraId="488C9B4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361</w:t>
            </w:r>
          </w:p>
        </w:tc>
        <w:tc>
          <w:tcPr>
            <w:tcW w:w="851" w:type="dxa"/>
            <w:noWrap/>
            <w:hideMark/>
          </w:tcPr>
          <w:p w14:paraId="552EF06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50</w:t>
            </w:r>
          </w:p>
        </w:tc>
        <w:tc>
          <w:tcPr>
            <w:tcW w:w="851" w:type="dxa"/>
            <w:noWrap/>
            <w:hideMark/>
          </w:tcPr>
          <w:p w14:paraId="04C9886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567</w:t>
            </w:r>
          </w:p>
        </w:tc>
      </w:tr>
      <w:tr w:rsidR="00017695" w:rsidRPr="006A6CBD" w14:paraId="2A0A104C"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C58099C" w14:textId="77777777" w:rsidR="00017695" w:rsidRPr="006A6CBD" w:rsidRDefault="00017695" w:rsidP="006A6CBD">
            <w:pPr>
              <w:spacing w:line="276" w:lineRule="auto"/>
            </w:pPr>
            <w:r w:rsidRPr="006A6CBD">
              <w:t>2012–2013</w:t>
            </w:r>
          </w:p>
        </w:tc>
        <w:tc>
          <w:tcPr>
            <w:tcW w:w="850" w:type="dxa"/>
            <w:noWrap/>
            <w:hideMark/>
          </w:tcPr>
          <w:p w14:paraId="787572D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609</w:t>
            </w:r>
          </w:p>
        </w:tc>
        <w:tc>
          <w:tcPr>
            <w:tcW w:w="851" w:type="dxa"/>
            <w:noWrap/>
            <w:hideMark/>
          </w:tcPr>
          <w:p w14:paraId="4CC3CC1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397</w:t>
            </w:r>
          </w:p>
        </w:tc>
        <w:tc>
          <w:tcPr>
            <w:tcW w:w="850" w:type="dxa"/>
            <w:noWrap/>
            <w:hideMark/>
          </w:tcPr>
          <w:p w14:paraId="0E7A7A49"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1029</w:t>
            </w:r>
          </w:p>
        </w:tc>
        <w:tc>
          <w:tcPr>
            <w:tcW w:w="851" w:type="dxa"/>
            <w:noWrap/>
            <w:hideMark/>
          </w:tcPr>
          <w:p w14:paraId="0BB1FEC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414</w:t>
            </w:r>
          </w:p>
        </w:tc>
        <w:tc>
          <w:tcPr>
            <w:tcW w:w="850" w:type="dxa"/>
            <w:noWrap/>
            <w:hideMark/>
          </w:tcPr>
          <w:p w14:paraId="46875A2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286</w:t>
            </w:r>
          </w:p>
        </w:tc>
        <w:tc>
          <w:tcPr>
            <w:tcW w:w="851" w:type="dxa"/>
            <w:noWrap/>
            <w:hideMark/>
          </w:tcPr>
          <w:p w14:paraId="519B5A4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609</w:t>
            </w:r>
          </w:p>
        </w:tc>
        <w:tc>
          <w:tcPr>
            <w:tcW w:w="850" w:type="dxa"/>
            <w:noWrap/>
            <w:hideMark/>
          </w:tcPr>
          <w:p w14:paraId="4FE3E94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353</w:t>
            </w:r>
          </w:p>
        </w:tc>
        <w:tc>
          <w:tcPr>
            <w:tcW w:w="851" w:type="dxa"/>
            <w:noWrap/>
            <w:hideMark/>
          </w:tcPr>
          <w:p w14:paraId="757A2B0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55</w:t>
            </w:r>
          </w:p>
        </w:tc>
        <w:tc>
          <w:tcPr>
            <w:tcW w:w="851" w:type="dxa"/>
            <w:noWrap/>
            <w:hideMark/>
          </w:tcPr>
          <w:p w14:paraId="6AD28A2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584</w:t>
            </w:r>
          </w:p>
        </w:tc>
      </w:tr>
      <w:tr w:rsidR="00017695" w:rsidRPr="006A6CBD" w14:paraId="0B702618"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F1FF445" w14:textId="77777777" w:rsidR="00017695" w:rsidRPr="006A6CBD" w:rsidRDefault="00017695" w:rsidP="006A6CBD">
            <w:pPr>
              <w:spacing w:line="276" w:lineRule="auto"/>
            </w:pPr>
            <w:r w:rsidRPr="006A6CBD">
              <w:t>2013–2014</w:t>
            </w:r>
          </w:p>
        </w:tc>
        <w:tc>
          <w:tcPr>
            <w:tcW w:w="850" w:type="dxa"/>
            <w:noWrap/>
            <w:hideMark/>
          </w:tcPr>
          <w:p w14:paraId="67EAF1E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660</w:t>
            </w:r>
          </w:p>
        </w:tc>
        <w:tc>
          <w:tcPr>
            <w:tcW w:w="851" w:type="dxa"/>
            <w:noWrap/>
            <w:hideMark/>
          </w:tcPr>
          <w:p w14:paraId="3B4F07E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432</w:t>
            </w:r>
          </w:p>
        </w:tc>
        <w:tc>
          <w:tcPr>
            <w:tcW w:w="850" w:type="dxa"/>
            <w:noWrap/>
            <w:hideMark/>
          </w:tcPr>
          <w:p w14:paraId="61EF12B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1116</w:t>
            </w:r>
          </w:p>
        </w:tc>
        <w:tc>
          <w:tcPr>
            <w:tcW w:w="851" w:type="dxa"/>
            <w:noWrap/>
            <w:hideMark/>
          </w:tcPr>
          <w:p w14:paraId="2BADE29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400</w:t>
            </w:r>
          </w:p>
        </w:tc>
        <w:tc>
          <w:tcPr>
            <w:tcW w:w="850" w:type="dxa"/>
            <w:noWrap/>
            <w:hideMark/>
          </w:tcPr>
          <w:p w14:paraId="48DB0BE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283</w:t>
            </w:r>
          </w:p>
        </w:tc>
        <w:tc>
          <w:tcPr>
            <w:tcW w:w="851" w:type="dxa"/>
            <w:noWrap/>
            <w:hideMark/>
          </w:tcPr>
          <w:p w14:paraId="1664949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620</w:t>
            </w:r>
          </w:p>
        </w:tc>
        <w:tc>
          <w:tcPr>
            <w:tcW w:w="850" w:type="dxa"/>
            <w:noWrap/>
            <w:hideMark/>
          </w:tcPr>
          <w:p w14:paraId="2BA4CEA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341</w:t>
            </w:r>
          </w:p>
        </w:tc>
        <w:tc>
          <w:tcPr>
            <w:tcW w:w="851" w:type="dxa"/>
            <w:noWrap/>
            <w:hideMark/>
          </w:tcPr>
          <w:p w14:paraId="6C99A5A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89</w:t>
            </w:r>
          </w:p>
        </w:tc>
        <w:tc>
          <w:tcPr>
            <w:tcW w:w="851" w:type="dxa"/>
            <w:noWrap/>
            <w:hideMark/>
          </w:tcPr>
          <w:p w14:paraId="5D75CE1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625</w:t>
            </w:r>
          </w:p>
        </w:tc>
      </w:tr>
      <w:tr w:rsidR="00017695" w:rsidRPr="006A6CBD" w14:paraId="5CBA38B0"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872231C" w14:textId="77777777" w:rsidR="00017695" w:rsidRPr="006A6CBD" w:rsidRDefault="00017695" w:rsidP="006A6CBD">
            <w:pPr>
              <w:spacing w:line="276" w:lineRule="auto"/>
            </w:pPr>
            <w:r w:rsidRPr="006A6CBD">
              <w:t>2014–2015</w:t>
            </w:r>
          </w:p>
        </w:tc>
        <w:tc>
          <w:tcPr>
            <w:tcW w:w="850" w:type="dxa"/>
            <w:noWrap/>
            <w:hideMark/>
          </w:tcPr>
          <w:p w14:paraId="7DB9D271"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646</w:t>
            </w:r>
          </w:p>
        </w:tc>
        <w:tc>
          <w:tcPr>
            <w:tcW w:w="851" w:type="dxa"/>
            <w:noWrap/>
            <w:hideMark/>
          </w:tcPr>
          <w:p w14:paraId="5CCB411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491</w:t>
            </w:r>
          </w:p>
        </w:tc>
        <w:tc>
          <w:tcPr>
            <w:tcW w:w="850" w:type="dxa"/>
            <w:noWrap/>
            <w:hideMark/>
          </w:tcPr>
          <w:p w14:paraId="7C8E16B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1051</w:t>
            </w:r>
          </w:p>
        </w:tc>
        <w:tc>
          <w:tcPr>
            <w:tcW w:w="851" w:type="dxa"/>
            <w:noWrap/>
            <w:hideMark/>
          </w:tcPr>
          <w:p w14:paraId="7209EC6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451</w:t>
            </w:r>
          </w:p>
        </w:tc>
        <w:tc>
          <w:tcPr>
            <w:tcW w:w="850" w:type="dxa"/>
            <w:noWrap/>
            <w:hideMark/>
          </w:tcPr>
          <w:p w14:paraId="01C0075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252</w:t>
            </w:r>
          </w:p>
        </w:tc>
        <w:tc>
          <w:tcPr>
            <w:tcW w:w="851" w:type="dxa"/>
            <w:noWrap/>
            <w:hideMark/>
          </w:tcPr>
          <w:p w14:paraId="3EE5495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663</w:t>
            </w:r>
          </w:p>
        </w:tc>
        <w:tc>
          <w:tcPr>
            <w:tcW w:w="850" w:type="dxa"/>
            <w:noWrap/>
            <w:hideMark/>
          </w:tcPr>
          <w:p w14:paraId="7D3AD702"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348</w:t>
            </w:r>
          </w:p>
        </w:tc>
        <w:tc>
          <w:tcPr>
            <w:tcW w:w="851" w:type="dxa"/>
            <w:noWrap/>
            <w:hideMark/>
          </w:tcPr>
          <w:p w14:paraId="5557611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120</w:t>
            </w:r>
          </w:p>
        </w:tc>
        <w:tc>
          <w:tcPr>
            <w:tcW w:w="851" w:type="dxa"/>
            <w:noWrap/>
            <w:hideMark/>
          </w:tcPr>
          <w:p w14:paraId="143552E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624</w:t>
            </w:r>
          </w:p>
        </w:tc>
      </w:tr>
      <w:tr w:rsidR="00017695" w:rsidRPr="006A6CBD" w14:paraId="7DBC2DFA" w14:textId="77777777" w:rsidTr="0096332E">
        <w:trPr>
          <w:trHeight w:val="295"/>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F1DB0CB" w14:textId="77777777" w:rsidR="00017695" w:rsidRPr="006A6CBD" w:rsidRDefault="00017695" w:rsidP="006A6CBD">
            <w:pPr>
              <w:spacing w:line="276" w:lineRule="auto"/>
            </w:pPr>
            <w:r w:rsidRPr="006A6CBD">
              <w:t>2015–2016</w:t>
            </w:r>
          </w:p>
        </w:tc>
        <w:tc>
          <w:tcPr>
            <w:tcW w:w="850" w:type="dxa"/>
            <w:noWrap/>
            <w:hideMark/>
          </w:tcPr>
          <w:p w14:paraId="61145B6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650</w:t>
            </w:r>
          </w:p>
        </w:tc>
        <w:tc>
          <w:tcPr>
            <w:tcW w:w="851" w:type="dxa"/>
            <w:noWrap/>
            <w:hideMark/>
          </w:tcPr>
          <w:p w14:paraId="65042BDA"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410</w:t>
            </w:r>
          </w:p>
        </w:tc>
        <w:tc>
          <w:tcPr>
            <w:tcW w:w="850" w:type="dxa"/>
            <w:noWrap/>
            <w:hideMark/>
          </w:tcPr>
          <w:p w14:paraId="6C13406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1065</w:t>
            </w:r>
          </w:p>
        </w:tc>
        <w:tc>
          <w:tcPr>
            <w:tcW w:w="851" w:type="dxa"/>
            <w:noWrap/>
            <w:hideMark/>
          </w:tcPr>
          <w:p w14:paraId="399BADED"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449</w:t>
            </w:r>
          </w:p>
        </w:tc>
        <w:tc>
          <w:tcPr>
            <w:tcW w:w="850" w:type="dxa"/>
            <w:noWrap/>
            <w:hideMark/>
          </w:tcPr>
          <w:p w14:paraId="246C419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257</w:t>
            </w:r>
          </w:p>
        </w:tc>
        <w:tc>
          <w:tcPr>
            <w:tcW w:w="851" w:type="dxa"/>
            <w:noWrap/>
            <w:hideMark/>
          </w:tcPr>
          <w:p w14:paraId="681C947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656</w:t>
            </w:r>
          </w:p>
        </w:tc>
        <w:tc>
          <w:tcPr>
            <w:tcW w:w="850" w:type="dxa"/>
            <w:noWrap/>
            <w:hideMark/>
          </w:tcPr>
          <w:p w14:paraId="2B799BC9"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305</w:t>
            </w:r>
          </w:p>
        </w:tc>
        <w:tc>
          <w:tcPr>
            <w:tcW w:w="851" w:type="dxa"/>
            <w:noWrap/>
            <w:hideMark/>
          </w:tcPr>
          <w:p w14:paraId="735A4B1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67</w:t>
            </w:r>
          </w:p>
        </w:tc>
        <w:tc>
          <w:tcPr>
            <w:tcW w:w="851" w:type="dxa"/>
            <w:noWrap/>
            <w:hideMark/>
          </w:tcPr>
          <w:p w14:paraId="69FF2F0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606</w:t>
            </w:r>
          </w:p>
        </w:tc>
      </w:tr>
    </w:tbl>
    <w:p w14:paraId="34BD1411" w14:textId="4F2E67A6" w:rsidR="00017695" w:rsidRPr="0087705D" w:rsidRDefault="00017695" w:rsidP="006A6CBD">
      <w:pPr>
        <w:pStyle w:val="03Tableundertext"/>
        <w:spacing w:line="276" w:lineRule="auto"/>
      </w:pPr>
      <w:r w:rsidRPr="006A6CBD">
        <w:t>Source: MBS Item 13706, DHS Webstats</w:t>
      </w:r>
    </w:p>
    <w:p w14:paraId="54B798DB" w14:textId="33F773DB" w:rsidR="00017695" w:rsidRPr="006A6CBD" w:rsidRDefault="00017695" w:rsidP="006A6CBD">
      <w:pPr>
        <w:pStyle w:val="Caption"/>
        <w:spacing w:line="276" w:lineRule="auto"/>
      </w:pPr>
      <w:bookmarkStart w:id="104" w:name="_Toc487115250"/>
      <w:bookmarkStart w:id="105" w:name="_Toc8995625"/>
      <w:r w:rsidRPr="006A6CBD">
        <w:t xml:space="preserve">Table </w:t>
      </w:r>
      <w:r w:rsidRPr="006A6CBD">
        <w:rPr>
          <w:i/>
        </w:rPr>
        <w:fldChar w:fldCharType="begin"/>
      </w:r>
      <w:r w:rsidRPr="006A6CBD">
        <w:rPr>
          <w:i/>
        </w:rPr>
        <w:instrText xml:space="preserve"> SEQ Table \* ARABIC </w:instrText>
      </w:r>
      <w:r w:rsidRPr="006A6CBD">
        <w:rPr>
          <w:i/>
        </w:rPr>
        <w:fldChar w:fldCharType="separate"/>
      </w:r>
      <w:r w:rsidR="00013B42">
        <w:rPr>
          <w:i/>
          <w:noProof/>
        </w:rPr>
        <w:t>6</w:t>
      </w:r>
      <w:r w:rsidRPr="006A6CBD">
        <w:rPr>
          <w:i/>
          <w:noProof/>
        </w:rPr>
        <w:fldChar w:fldCharType="end"/>
      </w:r>
      <w:r w:rsidRPr="006A6CBD">
        <w:t>. Relative use of blood products by state</w:t>
      </w:r>
      <w:r w:rsidR="00630176" w:rsidRPr="006A6CBD">
        <w:t xml:space="preserve"> (per </w:t>
      </w:r>
      <w:r w:rsidRPr="006A6CBD">
        <w:t>100,000 population</w:t>
      </w:r>
      <w:r w:rsidR="00630176" w:rsidRPr="006A6CBD">
        <w:t>)</w:t>
      </w:r>
      <w:r w:rsidRPr="006A6CBD">
        <w:t xml:space="preserve"> 2015–2016</w:t>
      </w:r>
      <w:bookmarkEnd w:id="104"/>
      <w:bookmarkEnd w:id="105"/>
    </w:p>
    <w:tbl>
      <w:tblPr>
        <w:tblStyle w:val="TableClassic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lative use of blood products by state/100,000 population 2015–2016"/>
        <w:tblDescription w:val="This table shows the data from figure 6, which shows the relative use of blood products by state per 100 000 population 2015-16. The table shows that Queensland uses the highest amount of immunoglobulin compared to the other states and territories."/>
      </w:tblPr>
      <w:tblGrid>
        <w:gridCol w:w="988"/>
        <w:gridCol w:w="1559"/>
        <w:gridCol w:w="1417"/>
        <w:gridCol w:w="2127"/>
        <w:gridCol w:w="1842"/>
      </w:tblGrid>
      <w:tr w:rsidR="00017695" w:rsidRPr="006A6CBD" w14:paraId="1669FF45" w14:textId="77777777" w:rsidTr="00991D7B">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EEECE1" w:themeFill="background2"/>
            <w:noWrap/>
            <w:vAlign w:val="bottom"/>
            <w:hideMark/>
          </w:tcPr>
          <w:p w14:paraId="226FEABE" w14:textId="77777777" w:rsidR="00017695" w:rsidRPr="006A6CBD" w:rsidRDefault="00017695" w:rsidP="006A6CBD">
            <w:pPr>
              <w:spacing w:line="276" w:lineRule="auto"/>
              <w:rPr>
                <w:i w:val="0"/>
              </w:rPr>
            </w:pPr>
            <w:r w:rsidRPr="006A6CBD">
              <w:t>States</w:t>
            </w:r>
          </w:p>
        </w:tc>
        <w:tc>
          <w:tcPr>
            <w:tcW w:w="1559" w:type="dxa"/>
            <w:shd w:val="clear" w:color="auto" w:fill="EEECE1" w:themeFill="background2"/>
            <w:noWrap/>
            <w:vAlign w:val="bottom"/>
            <w:hideMark/>
          </w:tcPr>
          <w:p w14:paraId="3A8D450E"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 xml:space="preserve">Red </w:t>
            </w:r>
            <w:r w:rsidRPr="006A6CBD">
              <w:rPr>
                <w:i w:val="0"/>
              </w:rPr>
              <w:t>b</w:t>
            </w:r>
            <w:r w:rsidRPr="006A6CBD">
              <w:t xml:space="preserve">lood </w:t>
            </w:r>
            <w:r w:rsidRPr="006A6CBD">
              <w:rPr>
                <w:i w:val="0"/>
              </w:rPr>
              <w:t>c</w:t>
            </w:r>
            <w:r w:rsidRPr="006A6CBD">
              <w:t>ells</w:t>
            </w:r>
          </w:p>
        </w:tc>
        <w:tc>
          <w:tcPr>
            <w:tcW w:w="1417" w:type="dxa"/>
            <w:shd w:val="clear" w:color="auto" w:fill="EEECE1" w:themeFill="background2"/>
            <w:noWrap/>
            <w:vAlign w:val="bottom"/>
            <w:hideMark/>
          </w:tcPr>
          <w:p w14:paraId="589EEF3E"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Platelets</w:t>
            </w:r>
          </w:p>
        </w:tc>
        <w:tc>
          <w:tcPr>
            <w:tcW w:w="2127" w:type="dxa"/>
            <w:shd w:val="clear" w:color="auto" w:fill="EEECE1" w:themeFill="background2"/>
            <w:noWrap/>
            <w:vAlign w:val="bottom"/>
            <w:hideMark/>
          </w:tcPr>
          <w:p w14:paraId="644D1076"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Clinical fresh frozen plasma (FFP)</w:t>
            </w:r>
          </w:p>
        </w:tc>
        <w:tc>
          <w:tcPr>
            <w:tcW w:w="1842" w:type="dxa"/>
            <w:shd w:val="clear" w:color="auto" w:fill="EEECE1" w:themeFill="background2"/>
            <w:noWrap/>
            <w:vAlign w:val="bottom"/>
            <w:hideMark/>
          </w:tcPr>
          <w:p w14:paraId="7B7D7121" w14:textId="77777777" w:rsidR="00017695" w:rsidRPr="006A6CBD" w:rsidRDefault="00017695" w:rsidP="006A6CBD">
            <w:pPr>
              <w:spacing w:line="276" w:lineRule="auto"/>
              <w:cnfStyle w:val="100000000000" w:firstRow="1" w:lastRow="0" w:firstColumn="0" w:lastColumn="0" w:oddVBand="0" w:evenVBand="0" w:oddHBand="0" w:evenHBand="0" w:firstRowFirstColumn="0" w:firstRowLastColumn="0" w:lastRowFirstColumn="0" w:lastRowLastColumn="0"/>
              <w:rPr>
                <w:i w:val="0"/>
              </w:rPr>
            </w:pPr>
            <w:r w:rsidRPr="006A6CBD">
              <w:t>Immuno-globulin</w:t>
            </w:r>
          </w:p>
        </w:tc>
      </w:tr>
      <w:tr w:rsidR="00017695" w:rsidRPr="006A6CBD" w14:paraId="0BED8E7C"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7B72AC57" w14:textId="77777777" w:rsidR="00017695" w:rsidRPr="006A6CBD" w:rsidRDefault="00017695" w:rsidP="006A6CBD">
            <w:pPr>
              <w:spacing w:line="276" w:lineRule="auto"/>
            </w:pPr>
          </w:p>
        </w:tc>
        <w:tc>
          <w:tcPr>
            <w:tcW w:w="1559" w:type="dxa"/>
            <w:noWrap/>
            <w:hideMark/>
          </w:tcPr>
          <w:p w14:paraId="794A813C" w14:textId="77777777" w:rsidR="00017695" w:rsidRPr="006A6CBD" w:rsidRDefault="00017695" w:rsidP="006A6CBD">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A6CBD">
              <w:t>Units/100,000 pop</w:t>
            </w:r>
          </w:p>
        </w:tc>
        <w:tc>
          <w:tcPr>
            <w:tcW w:w="1417" w:type="dxa"/>
            <w:noWrap/>
            <w:hideMark/>
          </w:tcPr>
          <w:p w14:paraId="3A4CCFE9" w14:textId="77777777" w:rsidR="00017695" w:rsidRPr="006A6CBD" w:rsidRDefault="00017695" w:rsidP="006A6CBD">
            <w:pPr>
              <w:spacing w:line="276" w:lineRule="auto"/>
              <w:cnfStyle w:val="000000000000" w:firstRow="0" w:lastRow="0" w:firstColumn="0" w:lastColumn="0" w:oddVBand="0" w:evenVBand="0" w:oddHBand="0" w:evenHBand="0" w:firstRowFirstColumn="0" w:firstRowLastColumn="0" w:lastRowFirstColumn="0" w:lastRowLastColumn="0"/>
            </w:pPr>
            <w:r w:rsidRPr="006A6CBD">
              <w:t>Units/100,000 population</w:t>
            </w:r>
          </w:p>
        </w:tc>
        <w:tc>
          <w:tcPr>
            <w:tcW w:w="2127" w:type="dxa"/>
            <w:noWrap/>
            <w:hideMark/>
          </w:tcPr>
          <w:p w14:paraId="2FD0F3E3" w14:textId="77777777" w:rsidR="00017695" w:rsidRPr="006A6CBD" w:rsidRDefault="00017695" w:rsidP="006A6CBD">
            <w:pPr>
              <w:spacing w:line="276" w:lineRule="auto"/>
              <w:cnfStyle w:val="000000000000" w:firstRow="0" w:lastRow="0" w:firstColumn="0" w:lastColumn="0" w:oddVBand="0" w:evenVBand="0" w:oddHBand="0" w:evenHBand="0" w:firstRowFirstColumn="0" w:firstRowLastColumn="0" w:lastRowFirstColumn="0" w:lastRowLastColumn="0"/>
            </w:pPr>
            <w:r w:rsidRPr="006A6CBD">
              <w:t>Units/100,000 pop</w:t>
            </w:r>
          </w:p>
        </w:tc>
        <w:tc>
          <w:tcPr>
            <w:tcW w:w="1842" w:type="dxa"/>
            <w:noWrap/>
            <w:hideMark/>
          </w:tcPr>
          <w:p w14:paraId="7E2927EC" w14:textId="77777777" w:rsidR="00017695" w:rsidRPr="006A6CBD" w:rsidRDefault="00017695" w:rsidP="006A6CBD">
            <w:pPr>
              <w:spacing w:line="276" w:lineRule="auto"/>
              <w:cnfStyle w:val="000000000000" w:firstRow="0" w:lastRow="0" w:firstColumn="0" w:lastColumn="0" w:oddVBand="0" w:evenVBand="0" w:oddHBand="0" w:evenHBand="0" w:firstRowFirstColumn="0" w:firstRowLastColumn="0" w:lastRowFirstColumn="0" w:lastRowLastColumn="0"/>
            </w:pPr>
            <w:r w:rsidRPr="006A6CBD">
              <w:t>Grams/100,000 pop</w:t>
            </w:r>
          </w:p>
        </w:tc>
      </w:tr>
      <w:tr w:rsidR="00017695" w:rsidRPr="006A6CBD" w14:paraId="165E3619"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337FE75E" w14:textId="77777777" w:rsidR="00017695" w:rsidRPr="006A6CBD" w:rsidRDefault="00017695" w:rsidP="006A6CBD">
            <w:pPr>
              <w:spacing w:line="276" w:lineRule="auto"/>
            </w:pPr>
            <w:r w:rsidRPr="006A6CBD">
              <w:t>ACT</w:t>
            </w:r>
          </w:p>
        </w:tc>
        <w:tc>
          <w:tcPr>
            <w:tcW w:w="1559" w:type="dxa"/>
            <w:noWrap/>
            <w:hideMark/>
          </w:tcPr>
          <w:p w14:paraId="4CDBBD1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2 654</w:t>
            </w:r>
          </w:p>
        </w:tc>
        <w:tc>
          <w:tcPr>
            <w:tcW w:w="1417" w:type="dxa"/>
            <w:noWrap/>
            <w:hideMark/>
          </w:tcPr>
          <w:p w14:paraId="24F2012F"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408</w:t>
            </w:r>
          </w:p>
        </w:tc>
        <w:tc>
          <w:tcPr>
            <w:tcW w:w="2127" w:type="dxa"/>
            <w:noWrap/>
            <w:hideMark/>
          </w:tcPr>
          <w:p w14:paraId="73243C2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311</w:t>
            </w:r>
          </w:p>
        </w:tc>
        <w:tc>
          <w:tcPr>
            <w:tcW w:w="1842" w:type="dxa"/>
            <w:noWrap/>
            <w:hideMark/>
          </w:tcPr>
          <w:p w14:paraId="502429A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23 566</w:t>
            </w:r>
          </w:p>
        </w:tc>
      </w:tr>
      <w:tr w:rsidR="00017695" w:rsidRPr="006A6CBD" w14:paraId="56F34A4F"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374E156E" w14:textId="77777777" w:rsidR="00017695" w:rsidRPr="006A6CBD" w:rsidRDefault="00017695" w:rsidP="006A6CBD">
            <w:pPr>
              <w:spacing w:line="276" w:lineRule="auto"/>
            </w:pPr>
            <w:r w:rsidRPr="006A6CBD">
              <w:lastRenderedPageBreak/>
              <w:t>NSW</w:t>
            </w:r>
          </w:p>
        </w:tc>
        <w:tc>
          <w:tcPr>
            <w:tcW w:w="1559" w:type="dxa"/>
            <w:noWrap/>
            <w:hideMark/>
          </w:tcPr>
          <w:p w14:paraId="4998E73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2 529</w:t>
            </w:r>
          </w:p>
        </w:tc>
        <w:tc>
          <w:tcPr>
            <w:tcW w:w="1417" w:type="dxa"/>
            <w:noWrap/>
            <w:hideMark/>
          </w:tcPr>
          <w:p w14:paraId="09EB030C"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479</w:t>
            </w:r>
          </w:p>
        </w:tc>
        <w:tc>
          <w:tcPr>
            <w:tcW w:w="2127" w:type="dxa"/>
            <w:noWrap/>
            <w:hideMark/>
          </w:tcPr>
          <w:p w14:paraId="17E0A393"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532</w:t>
            </w:r>
          </w:p>
        </w:tc>
        <w:tc>
          <w:tcPr>
            <w:tcW w:w="1842" w:type="dxa"/>
            <w:noWrap/>
            <w:hideMark/>
          </w:tcPr>
          <w:p w14:paraId="1FF00B6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22 294</w:t>
            </w:r>
          </w:p>
        </w:tc>
      </w:tr>
      <w:tr w:rsidR="00017695" w:rsidRPr="006A6CBD" w14:paraId="79A4CAA3"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4E76A040" w14:textId="77777777" w:rsidR="00017695" w:rsidRPr="006A6CBD" w:rsidRDefault="00017695" w:rsidP="006A6CBD">
            <w:pPr>
              <w:spacing w:line="276" w:lineRule="auto"/>
            </w:pPr>
            <w:r w:rsidRPr="006A6CBD">
              <w:t>NT</w:t>
            </w:r>
          </w:p>
        </w:tc>
        <w:tc>
          <w:tcPr>
            <w:tcW w:w="1559" w:type="dxa"/>
            <w:noWrap/>
            <w:hideMark/>
          </w:tcPr>
          <w:p w14:paraId="37EE922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1 713</w:t>
            </w:r>
          </w:p>
        </w:tc>
        <w:tc>
          <w:tcPr>
            <w:tcW w:w="1417" w:type="dxa"/>
            <w:noWrap/>
            <w:hideMark/>
          </w:tcPr>
          <w:p w14:paraId="56692F3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822</w:t>
            </w:r>
          </w:p>
        </w:tc>
        <w:tc>
          <w:tcPr>
            <w:tcW w:w="2127" w:type="dxa"/>
            <w:noWrap/>
            <w:hideMark/>
          </w:tcPr>
          <w:p w14:paraId="1C453D6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642</w:t>
            </w:r>
          </w:p>
        </w:tc>
        <w:tc>
          <w:tcPr>
            <w:tcW w:w="1842" w:type="dxa"/>
            <w:noWrap/>
            <w:hideMark/>
          </w:tcPr>
          <w:p w14:paraId="27516BE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24 078</w:t>
            </w:r>
          </w:p>
        </w:tc>
      </w:tr>
      <w:tr w:rsidR="00017695" w:rsidRPr="006A6CBD" w14:paraId="7CAC805A"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41FED3FD" w14:textId="77777777" w:rsidR="00017695" w:rsidRPr="006A6CBD" w:rsidRDefault="00017695" w:rsidP="006A6CBD">
            <w:pPr>
              <w:spacing w:line="276" w:lineRule="auto"/>
            </w:pPr>
            <w:r w:rsidRPr="006A6CBD">
              <w:t>Qld</w:t>
            </w:r>
          </w:p>
        </w:tc>
        <w:tc>
          <w:tcPr>
            <w:tcW w:w="1559" w:type="dxa"/>
            <w:noWrap/>
            <w:hideMark/>
          </w:tcPr>
          <w:p w14:paraId="681765A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2 848</w:t>
            </w:r>
          </w:p>
        </w:tc>
        <w:tc>
          <w:tcPr>
            <w:tcW w:w="1417" w:type="dxa"/>
            <w:noWrap/>
            <w:hideMark/>
          </w:tcPr>
          <w:p w14:paraId="64A3A23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713</w:t>
            </w:r>
          </w:p>
        </w:tc>
        <w:tc>
          <w:tcPr>
            <w:tcW w:w="2127" w:type="dxa"/>
            <w:noWrap/>
            <w:hideMark/>
          </w:tcPr>
          <w:p w14:paraId="7492FD0E"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418</w:t>
            </w:r>
          </w:p>
        </w:tc>
        <w:tc>
          <w:tcPr>
            <w:tcW w:w="1842" w:type="dxa"/>
            <w:noWrap/>
            <w:hideMark/>
          </w:tcPr>
          <w:p w14:paraId="4603039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27 888</w:t>
            </w:r>
          </w:p>
        </w:tc>
      </w:tr>
      <w:tr w:rsidR="00017695" w:rsidRPr="006A6CBD" w14:paraId="2D6A4C0F"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00C5031F" w14:textId="77777777" w:rsidR="00017695" w:rsidRPr="006A6CBD" w:rsidRDefault="00017695" w:rsidP="006A6CBD">
            <w:pPr>
              <w:spacing w:line="276" w:lineRule="auto"/>
            </w:pPr>
            <w:r w:rsidRPr="006A6CBD">
              <w:t>SA</w:t>
            </w:r>
          </w:p>
        </w:tc>
        <w:tc>
          <w:tcPr>
            <w:tcW w:w="1559" w:type="dxa"/>
            <w:noWrap/>
            <w:hideMark/>
          </w:tcPr>
          <w:p w14:paraId="21156AA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3 373</w:t>
            </w:r>
          </w:p>
        </w:tc>
        <w:tc>
          <w:tcPr>
            <w:tcW w:w="1417" w:type="dxa"/>
            <w:noWrap/>
            <w:hideMark/>
          </w:tcPr>
          <w:p w14:paraId="4DA9002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635</w:t>
            </w:r>
          </w:p>
        </w:tc>
        <w:tc>
          <w:tcPr>
            <w:tcW w:w="2127" w:type="dxa"/>
            <w:noWrap/>
            <w:hideMark/>
          </w:tcPr>
          <w:p w14:paraId="6776BC3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521</w:t>
            </w:r>
          </w:p>
        </w:tc>
        <w:tc>
          <w:tcPr>
            <w:tcW w:w="1842" w:type="dxa"/>
            <w:noWrap/>
            <w:hideMark/>
          </w:tcPr>
          <w:p w14:paraId="511F00B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15 827</w:t>
            </w:r>
          </w:p>
        </w:tc>
      </w:tr>
      <w:tr w:rsidR="00017695" w:rsidRPr="006A6CBD" w14:paraId="524E825E"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61F4B968" w14:textId="77777777" w:rsidR="00017695" w:rsidRPr="006A6CBD" w:rsidRDefault="00017695" w:rsidP="006A6CBD">
            <w:pPr>
              <w:spacing w:line="276" w:lineRule="auto"/>
            </w:pPr>
            <w:r w:rsidRPr="006A6CBD">
              <w:t>Tas</w:t>
            </w:r>
          </w:p>
        </w:tc>
        <w:tc>
          <w:tcPr>
            <w:tcW w:w="1559" w:type="dxa"/>
            <w:noWrap/>
            <w:hideMark/>
          </w:tcPr>
          <w:p w14:paraId="0479C272"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2 184</w:t>
            </w:r>
          </w:p>
        </w:tc>
        <w:tc>
          <w:tcPr>
            <w:tcW w:w="1417" w:type="dxa"/>
            <w:noWrap/>
            <w:hideMark/>
          </w:tcPr>
          <w:p w14:paraId="4E2545F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435</w:t>
            </w:r>
          </w:p>
        </w:tc>
        <w:tc>
          <w:tcPr>
            <w:tcW w:w="2127" w:type="dxa"/>
            <w:noWrap/>
            <w:hideMark/>
          </w:tcPr>
          <w:p w14:paraId="06F9D13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357</w:t>
            </w:r>
          </w:p>
        </w:tc>
        <w:tc>
          <w:tcPr>
            <w:tcW w:w="1842" w:type="dxa"/>
            <w:noWrap/>
            <w:hideMark/>
          </w:tcPr>
          <w:p w14:paraId="38DB5B6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19 471</w:t>
            </w:r>
          </w:p>
        </w:tc>
      </w:tr>
      <w:tr w:rsidR="00017695" w:rsidRPr="006A6CBD" w14:paraId="03071D80"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28EC24F8" w14:textId="77777777" w:rsidR="00017695" w:rsidRPr="006A6CBD" w:rsidRDefault="00017695" w:rsidP="006A6CBD">
            <w:pPr>
              <w:spacing w:line="276" w:lineRule="auto"/>
            </w:pPr>
            <w:r w:rsidRPr="006A6CBD">
              <w:t>Vic</w:t>
            </w:r>
          </w:p>
        </w:tc>
        <w:tc>
          <w:tcPr>
            <w:tcW w:w="1559" w:type="dxa"/>
            <w:noWrap/>
            <w:hideMark/>
          </w:tcPr>
          <w:p w14:paraId="0653094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2 900</w:t>
            </w:r>
          </w:p>
        </w:tc>
        <w:tc>
          <w:tcPr>
            <w:tcW w:w="1417" w:type="dxa"/>
            <w:noWrap/>
            <w:hideMark/>
          </w:tcPr>
          <w:p w14:paraId="3A9696D8"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561</w:t>
            </w:r>
          </w:p>
        </w:tc>
        <w:tc>
          <w:tcPr>
            <w:tcW w:w="2127" w:type="dxa"/>
            <w:noWrap/>
            <w:hideMark/>
          </w:tcPr>
          <w:p w14:paraId="3E25B7F5"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531</w:t>
            </w:r>
          </w:p>
        </w:tc>
        <w:tc>
          <w:tcPr>
            <w:tcW w:w="1842" w:type="dxa"/>
            <w:noWrap/>
            <w:hideMark/>
          </w:tcPr>
          <w:p w14:paraId="480F038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17 950</w:t>
            </w:r>
          </w:p>
        </w:tc>
      </w:tr>
      <w:tr w:rsidR="00017695" w:rsidRPr="006A6CBD" w14:paraId="42D26BCD"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4303679B" w14:textId="77777777" w:rsidR="00017695" w:rsidRPr="006A6CBD" w:rsidRDefault="00017695" w:rsidP="006A6CBD">
            <w:pPr>
              <w:spacing w:line="276" w:lineRule="auto"/>
            </w:pPr>
            <w:r w:rsidRPr="006A6CBD">
              <w:t>WA</w:t>
            </w:r>
          </w:p>
        </w:tc>
        <w:tc>
          <w:tcPr>
            <w:tcW w:w="1559" w:type="dxa"/>
            <w:noWrap/>
            <w:hideMark/>
          </w:tcPr>
          <w:p w14:paraId="74AA705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1 926</w:t>
            </w:r>
          </w:p>
        </w:tc>
        <w:tc>
          <w:tcPr>
            <w:tcW w:w="1417" w:type="dxa"/>
            <w:noWrap/>
            <w:hideMark/>
          </w:tcPr>
          <w:p w14:paraId="49A3971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352</w:t>
            </w:r>
          </w:p>
        </w:tc>
        <w:tc>
          <w:tcPr>
            <w:tcW w:w="2127" w:type="dxa"/>
            <w:noWrap/>
            <w:hideMark/>
          </w:tcPr>
          <w:p w14:paraId="23E801BB"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242</w:t>
            </w:r>
          </w:p>
        </w:tc>
        <w:tc>
          <w:tcPr>
            <w:tcW w:w="1842" w:type="dxa"/>
            <w:noWrap/>
            <w:hideMark/>
          </w:tcPr>
          <w:p w14:paraId="16973B80"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11 914</w:t>
            </w:r>
          </w:p>
        </w:tc>
      </w:tr>
      <w:tr w:rsidR="00017695" w:rsidRPr="006A6CBD" w14:paraId="7D0EC7F4" w14:textId="77777777" w:rsidTr="0096332E">
        <w:trPr>
          <w:trHeight w:val="394"/>
        </w:trPr>
        <w:tc>
          <w:tcPr>
            <w:cnfStyle w:val="001000000000" w:firstRow="0" w:lastRow="0" w:firstColumn="1" w:lastColumn="0" w:oddVBand="0" w:evenVBand="0" w:oddHBand="0" w:evenHBand="0" w:firstRowFirstColumn="0" w:firstRowLastColumn="0" w:lastRowFirstColumn="0" w:lastRowLastColumn="0"/>
            <w:tcW w:w="988" w:type="dxa"/>
            <w:noWrap/>
            <w:hideMark/>
          </w:tcPr>
          <w:p w14:paraId="1D7E6A32" w14:textId="77777777" w:rsidR="00017695" w:rsidRPr="006A6CBD" w:rsidRDefault="00017695" w:rsidP="006A6CBD">
            <w:pPr>
              <w:spacing w:line="276" w:lineRule="auto"/>
            </w:pPr>
            <w:r w:rsidRPr="006A6CBD">
              <w:t>National</w:t>
            </w:r>
          </w:p>
        </w:tc>
        <w:tc>
          <w:tcPr>
            <w:tcW w:w="1559" w:type="dxa"/>
            <w:noWrap/>
            <w:hideMark/>
          </w:tcPr>
          <w:p w14:paraId="15BCC806"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2 667</w:t>
            </w:r>
          </w:p>
        </w:tc>
        <w:tc>
          <w:tcPr>
            <w:tcW w:w="1417" w:type="dxa"/>
            <w:noWrap/>
            <w:hideMark/>
          </w:tcPr>
          <w:p w14:paraId="0652491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540</w:t>
            </w:r>
          </w:p>
        </w:tc>
        <w:tc>
          <w:tcPr>
            <w:tcW w:w="2127" w:type="dxa"/>
            <w:noWrap/>
            <w:hideMark/>
          </w:tcPr>
          <w:p w14:paraId="1DCA2EE7"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467</w:t>
            </w:r>
          </w:p>
        </w:tc>
        <w:tc>
          <w:tcPr>
            <w:tcW w:w="1842" w:type="dxa"/>
            <w:noWrap/>
            <w:hideMark/>
          </w:tcPr>
          <w:p w14:paraId="707614F4" w14:textId="77777777" w:rsidR="00017695" w:rsidRPr="006A6CBD" w:rsidRDefault="00017695" w:rsidP="006A6CBD">
            <w:pPr>
              <w:spacing w:line="276" w:lineRule="auto"/>
              <w:jc w:val="right"/>
              <w:cnfStyle w:val="000000000000" w:firstRow="0" w:lastRow="0" w:firstColumn="0" w:lastColumn="0" w:oddVBand="0" w:evenVBand="0" w:oddHBand="0" w:evenHBand="0" w:firstRowFirstColumn="0" w:firstRowLastColumn="0" w:lastRowFirstColumn="0" w:lastRowLastColumn="0"/>
            </w:pPr>
            <w:r w:rsidRPr="006A6CBD">
              <w:t>20 574</w:t>
            </w:r>
          </w:p>
        </w:tc>
      </w:tr>
    </w:tbl>
    <w:p w14:paraId="696CE082" w14:textId="52259437" w:rsidR="00017695" w:rsidRPr="006A6CBD" w:rsidRDefault="00017695" w:rsidP="006A6CBD">
      <w:pPr>
        <w:pStyle w:val="NormalBulleted"/>
        <w:numPr>
          <w:ilvl w:val="0"/>
          <w:numId w:val="0"/>
        </w:numPr>
        <w:spacing w:before="120" w:after="60" w:line="276" w:lineRule="auto"/>
        <w:ind w:left="431" w:hanging="431"/>
        <w:contextualSpacing w:val="0"/>
        <w:rPr>
          <w:u w:val="single"/>
          <w:lang w:eastAsia="en-US"/>
        </w:rPr>
      </w:pPr>
      <w:r w:rsidRPr="006A6CBD">
        <w:rPr>
          <w:u w:val="single"/>
          <w:lang w:eastAsia="en-US"/>
        </w:rPr>
        <w:t>Item 13709</w:t>
      </w:r>
    </w:p>
    <w:p w14:paraId="521814D9" w14:textId="77777777" w:rsidR="00017695" w:rsidRPr="006A6CBD" w:rsidRDefault="00017695" w:rsidP="006A6CBD">
      <w:pPr>
        <w:pStyle w:val="NormalBulleted"/>
        <w:numPr>
          <w:ilvl w:val="0"/>
          <w:numId w:val="0"/>
        </w:numPr>
        <w:spacing w:line="276" w:lineRule="auto"/>
      </w:pPr>
      <w:r w:rsidRPr="006A6CBD">
        <w:rPr>
          <w:rFonts w:eastAsia="Calibri"/>
        </w:rPr>
        <w:t>The recommendation is based on the following:</w:t>
      </w:r>
    </w:p>
    <w:p w14:paraId="00E4A7C5" w14:textId="77777777" w:rsidR="00017695" w:rsidRPr="006A6CBD" w:rsidRDefault="00017695" w:rsidP="006A6CBD">
      <w:pPr>
        <w:pStyle w:val="NormalBulleted"/>
        <w:spacing w:before="120" w:after="60" w:line="276" w:lineRule="auto"/>
        <w:contextualSpacing w:val="0"/>
      </w:pPr>
      <w:r w:rsidRPr="006A6CBD">
        <w:rPr>
          <w:rFonts w:eastAsia="Calibri"/>
        </w:rPr>
        <w:t xml:space="preserve">There has been a steady decline in use of item 13709 over 5 years by 22%, with the national average number of services per 100,000 people being 2.01. </w:t>
      </w:r>
    </w:p>
    <w:p w14:paraId="5F04E95C" w14:textId="77777777" w:rsidR="00017695" w:rsidRPr="006A6CBD" w:rsidRDefault="00017695" w:rsidP="006A6CBD">
      <w:pPr>
        <w:pStyle w:val="NormalBulleted"/>
        <w:spacing w:before="120" w:after="60" w:line="276" w:lineRule="auto"/>
        <w:contextualSpacing w:val="0"/>
      </w:pPr>
      <w:r w:rsidRPr="006A6CBD">
        <w:rPr>
          <w:rFonts w:eastAsia="Calibri"/>
        </w:rPr>
        <w:t>The Working Group noted the low use of this item overall, having been billed only 654 times in the 2014</w:t>
      </w:r>
      <w:r w:rsidRPr="006A6CBD">
        <w:rPr>
          <w:szCs w:val="22"/>
        </w:rPr>
        <w:t xml:space="preserve">–2015 financial year. </w:t>
      </w:r>
      <w:r w:rsidRPr="006A6CBD">
        <w:rPr>
          <w:rFonts w:eastAsia="Calibri"/>
        </w:rPr>
        <w:t>Geographical variation exists, with higher use of item 13709 in Queensland (6.67 services per 100,000 people). The item is mostly used by oncologists (50%).</w:t>
      </w:r>
    </w:p>
    <w:p w14:paraId="5A79627C" w14:textId="77777777" w:rsidR="00017695" w:rsidRPr="006A6CBD" w:rsidRDefault="00017695" w:rsidP="006A6CBD">
      <w:pPr>
        <w:pStyle w:val="NormalBulleted"/>
        <w:spacing w:before="120" w:after="60" w:line="276" w:lineRule="auto"/>
        <w:contextualSpacing w:val="0"/>
      </w:pPr>
      <w:r w:rsidRPr="006A6CBD">
        <w:rPr>
          <w:lang w:val="en-US" w:eastAsia="en-US"/>
        </w:rPr>
        <w:t>Autologous transfusion (item 13709) is seldom performed, and collection of blood from a donor for urgent use is a rare circumstance , based on current best practice this therapy should not be encouraged</w:t>
      </w:r>
    </w:p>
    <w:p w14:paraId="170A599F" w14:textId="5CED8269" w:rsidR="00E531E8" w:rsidRPr="006A6CBD" w:rsidRDefault="008844A0" w:rsidP="0087705D">
      <w:pPr>
        <w:pStyle w:val="Heading2"/>
      </w:pPr>
      <w:r>
        <w:br w:type="page"/>
      </w:r>
      <w:bookmarkStart w:id="106" w:name="_Toc8995612"/>
      <w:bookmarkStart w:id="107" w:name="_Hlk506896010"/>
      <w:bookmarkStart w:id="108" w:name="Section6"/>
      <w:r w:rsidR="00017695" w:rsidRPr="006A6CBD">
        <w:lastRenderedPageBreak/>
        <w:t>Stem cell transplantation</w:t>
      </w:r>
      <w:bookmarkEnd w:id="106"/>
    </w:p>
    <w:p w14:paraId="38623E34" w14:textId="77777777" w:rsidR="00017695" w:rsidRPr="006A6CBD" w:rsidRDefault="00017695" w:rsidP="006A6CBD">
      <w:pPr>
        <w:pStyle w:val="Caption"/>
        <w:spacing w:line="276" w:lineRule="auto"/>
      </w:pPr>
      <w:r w:rsidRPr="006A6CBD">
        <w:rPr>
          <w:lang w:val="en-GB"/>
        </w:rPr>
        <w:t>Table 7. Item introduction table for item 13760</w:t>
      </w:r>
    </w:p>
    <w:tbl>
      <w:tblPr>
        <w:tblStyle w:val="TableGrid"/>
        <w:tblW w:w="0" w:type="auto"/>
        <w:tblLook w:val="04A0" w:firstRow="1" w:lastRow="0" w:firstColumn="1" w:lastColumn="0" w:noHBand="0" w:noVBand="1"/>
        <w:tblCaption w:val="Item introduction table for item 13760"/>
        <w:tblDescription w:val="This table shows selected current MBS Schedule information for item 13760. There are 7 columns – column 1: item number, column 2: long item descriptor, column 3: schedule fee, column 4: benefits for the 2015–16 financial year, column 5: total servicess for the 2015-2016 financial year, column 6: total patient count for the 2015-2016 financial year, and column 7: 5-year compound annual growth rate of the service."/>
      </w:tblPr>
      <w:tblGrid>
        <w:gridCol w:w="741"/>
        <w:gridCol w:w="3179"/>
        <w:gridCol w:w="957"/>
        <w:gridCol w:w="1185"/>
        <w:gridCol w:w="1185"/>
        <w:gridCol w:w="1055"/>
      </w:tblGrid>
      <w:tr w:rsidR="00017695" w:rsidRPr="006A6CBD" w14:paraId="114DC0D5" w14:textId="77777777" w:rsidTr="0096332E">
        <w:trPr>
          <w:trHeight w:val="300"/>
          <w:tblHeader/>
        </w:trPr>
        <w:tc>
          <w:tcPr>
            <w:tcW w:w="790" w:type="dxa"/>
            <w:shd w:val="clear" w:color="auto" w:fill="EEECE1" w:themeFill="background2"/>
            <w:noWrap/>
            <w:vAlign w:val="bottom"/>
          </w:tcPr>
          <w:p w14:paraId="2BF9196C" w14:textId="77777777" w:rsidR="00017695" w:rsidRPr="006A6CBD" w:rsidRDefault="00017695" w:rsidP="006A6CBD">
            <w:pPr>
              <w:spacing w:line="276" w:lineRule="auto"/>
              <w:rPr>
                <w:rFonts w:cstheme="minorHAnsi"/>
              </w:rPr>
            </w:pPr>
            <w:r w:rsidRPr="006A6CBD">
              <w:rPr>
                <w:rFonts w:cstheme="minorHAnsi"/>
              </w:rPr>
              <w:t>Item</w:t>
            </w:r>
          </w:p>
        </w:tc>
        <w:tc>
          <w:tcPr>
            <w:tcW w:w="3458" w:type="dxa"/>
            <w:shd w:val="clear" w:color="auto" w:fill="EEECE1" w:themeFill="background2"/>
            <w:noWrap/>
            <w:vAlign w:val="bottom"/>
          </w:tcPr>
          <w:p w14:paraId="0E51177C" w14:textId="77777777" w:rsidR="00017695" w:rsidRPr="006A6CBD" w:rsidRDefault="00017695" w:rsidP="006A6CBD">
            <w:pPr>
              <w:spacing w:line="276" w:lineRule="auto"/>
              <w:rPr>
                <w:rFonts w:cstheme="minorHAnsi"/>
              </w:rPr>
            </w:pPr>
            <w:r w:rsidRPr="006A6CBD">
              <w:rPr>
                <w:rFonts w:cstheme="minorHAnsi"/>
              </w:rPr>
              <w:t>Long item descriptor</w:t>
            </w:r>
          </w:p>
        </w:tc>
        <w:tc>
          <w:tcPr>
            <w:tcW w:w="992" w:type="dxa"/>
            <w:shd w:val="clear" w:color="auto" w:fill="EEECE1" w:themeFill="background2"/>
            <w:noWrap/>
            <w:vAlign w:val="bottom"/>
          </w:tcPr>
          <w:p w14:paraId="57FE9BF4" w14:textId="77777777" w:rsidR="00017695" w:rsidRPr="006A6CBD" w:rsidRDefault="00017695" w:rsidP="006A6CBD">
            <w:pPr>
              <w:spacing w:line="276" w:lineRule="auto"/>
              <w:rPr>
                <w:rFonts w:cstheme="minorHAnsi"/>
              </w:rPr>
            </w:pPr>
            <w:r w:rsidRPr="006A6CBD">
              <w:rPr>
                <w:rFonts w:cstheme="minorHAnsi"/>
              </w:rPr>
              <w:t>Schedule fee</w:t>
            </w:r>
          </w:p>
        </w:tc>
        <w:tc>
          <w:tcPr>
            <w:tcW w:w="1276" w:type="dxa"/>
            <w:shd w:val="clear" w:color="auto" w:fill="EEECE1" w:themeFill="background2"/>
            <w:noWrap/>
            <w:vAlign w:val="bottom"/>
          </w:tcPr>
          <w:p w14:paraId="5DB1CA69" w14:textId="77777777" w:rsidR="00017695" w:rsidRPr="006A6CBD" w:rsidRDefault="00017695" w:rsidP="006A6CBD">
            <w:pPr>
              <w:spacing w:line="276" w:lineRule="auto"/>
              <w:rPr>
                <w:rFonts w:cstheme="minorHAnsi"/>
              </w:rPr>
            </w:pPr>
            <w:r w:rsidRPr="006A6CBD">
              <w:rPr>
                <w:rFonts w:cstheme="minorHAnsi"/>
              </w:rPr>
              <w:t>Benefits</w:t>
            </w:r>
            <w:r w:rsidRPr="006A6CBD">
              <w:rPr>
                <w:rFonts w:cstheme="minorHAnsi"/>
              </w:rPr>
              <w:br/>
              <w:t>FY2015–16</w:t>
            </w:r>
          </w:p>
        </w:tc>
        <w:tc>
          <w:tcPr>
            <w:tcW w:w="1276" w:type="dxa"/>
            <w:shd w:val="clear" w:color="auto" w:fill="EEECE1" w:themeFill="background2"/>
            <w:noWrap/>
            <w:vAlign w:val="bottom"/>
          </w:tcPr>
          <w:p w14:paraId="08AF1822" w14:textId="77777777" w:rsidR="00017695" w:rsidRPr="006A6CBD" w:rsidRDefault="00017695" w:rsidP="006A6CBD">
            <w:pPr>
              <w:spacing w:line="276" w:lineRule="auto"/>
              <w:rPr>
                <w:rFonts w:cstheme="minorHAnsi"/>
              </w:rPr>
            </w:pPr>
            <w:r w:rsidRPr="006A6CBD">
              <w:rPr>
                <w:rFonts w:cstheme="minorHAnsi"/>
              </w:rPr>
              <w:t>Services</w:t>
            </w:r>
            <w:r w:rsidRPr="006A6CBD">
              <w:rPr>
                <w:rFonts w:cstheme="minorHAnsi"/>
              </w:rPr>
              <w:br/>
              <w:t>FY2015–16</w:t>
            </w:r>
          </w:p>
        </w:tc>
        <w:tc>
          <w:tcPr>
            <w:tcW w:w="1134" w:type="dxa"/>
            <w:shd w:val="clear" w:color="auto" w:fill="EEECE1" w:themeFill="background2"/>
            <w:noWrap/>
            <w:vAlign w:val="bottom"/>
          </w:tcPr>
          <w:p w14:paraId="403D78BD" w14:textId="77777777" w:rsidR="00017695" w:rsidRPr="006A6CBD" w:rsidRDefault="00017695" w:rsidP="006A6CBD">
            <w:pPr>
              <w:spacing w:line="276" w:lineRule="auto"/>
              <w:rPr>
                <w:rFonts w:cstheme="minorHAnsi"/>
              </w:rPr>
            </w:pPr>
            <w:r w:rsidRPr="006A6CBD">
              <w:rPr>
                <w:rFonts w:cstheme="minorHAnsi"/>
              </w:rPr>
              <w:t>5-year service change % (CAGR)</w:t>
            </w:r>
          </w:p>
        </w:tc>
      </w:tr>
      <w:tr w:rsidR="00017695" w:rsidRPr="006A6CBD" w14:paraId="26F4B2AD" w14:textId="77777777" w:rsidTr="0096332E">
        <w:trPr>
          <w:trHeight w:val="300"/>
        </w:trPr>
        <w:tc>
          <w:tcPr>
            <w:tcW w:w="790" w:type="dxa"/>
            <w:noWrap/>
            <w:hideMark/>
          </w:tcPr>
          <w:p w14:paraId="6EEB5A82" w14:textId="77777777" w:rsidR="00017695" w:rsidRPr="006A6CBD" w:rsidRDefault="00017695" w:rsidP="006A6CBD">
            <w:pPr>
              <w:spacing w:line="276" w:lineRule="auto"/>
              <w:rPr>
                <w:rFonts w:cstheme="minorHAnsi"/>
              </w:rPr>
            </w:pPr>
            <w:r w:rsidRPr="006A6CBD">
              <w:rPr>
                <w:rFonts w:cstheme="minorHAnsi"/>
              </w:rPr>
              <w:t>13760</w:t>
            </w:r>
          </w:p>
        </w:tc>
        <w:tc>
          <w:tcPr>
            <w:tcW w:w="3458" w:type="dxa"/>
            <w:noWrap/>
            <w:hideMark/>
          </w:tcPr>
          <w:p w14:paraId="55FC10BB" w14:textId="77777777" w:rsidR="00017695" w:rsidRPr="006A6CBD" w:rsidRDefault="00017695" w:rsidP="006A6CBD">
            <w:pPr>
              <w:spacing w:line="276" w:lineRule="auto"/>
              <w:rPr>
                <w:rFonts w:cstheme="minorHAnsi"/>
              </w:rPr>
            </w:pPr>
            <w:r w:rsidRPr="006A6CBD">
              <w:rPr>
                <w:rFonts w:cstheme="minorHAnsi"/>
              </w:rPr>
              <w:t>In vitro processing (and cryopreservation) of bone marrow or peripheral blood for autologous stem cell transplantation as an adjunct to high dose chemotherapy for.chemosensitive intermediate or high grade non-Hodgkin's lymphoma at high risk of relapse following first line chemotherapy; or . Hodgkin's disease which has relapsed following, or is refractory to, chemotherapy; or Acute myelogenous leukaemia in first remission, where suitable genotypically matched sibling donor is not available for allogenic bone marrow transplant; or multiple myeloma in remission (complete or partial) following standard dose chemotherapy; or small round cell sarcomas; or primitive neuroectodermal tumour; or germ cell tumours which have relapsed following, or are refractory to, chemotherapy; or germ cell tumours which have had an incomplete response to first line therapy. - performed under the supervision of a consultant physician - each day.</w:t>
            </w:r>
          </w:p>
        </w:tc>
        <w:tc>
          <w:tcPr>
            <w:tcW w:w="992" w:type="dxa"/>
            <w:noWrap/>
            <w:hideMark/>
          </w:tcPr>
          <w:p w14:paraId="421AB82A" w14:textId="77777777" w:rsidR="00017695" w:rsidRPr="006A6CBD" w:rsidRDefault="00017695" w:rsidP="006A6CBD">
            <w:pPr>
              <w:spacing w:line="276" w:lineRule="auto"/>
              <w:jc w:val="right"/>
              <w:rPr>
                <w:rFonts w:cstheme="minorHAnsi"/>
              </w:rPr>
            </w:pPr>
            <w:r w:rsidRPr="006A6CBD">
              <w:rPr>
                <w:rFonts w:cstheme="minorHAnsi"/>
              </w:rPr>
              <w:t>$762.60</w:t>
            </w:r>
          </w:p>
        </w:tc>
        <w:tc>
          <w:tcPr>
            <w:tcW w:w="1276" w:type="dxa"/>
            <w:noWrap/>
            <w:hideMark/>
          </w:tcPr>
          <w:p w14:paraId="1618021F" w14:textId="77777777" w:rsidR="00017695" w:rsidRPr="006A6CBD" w:rsidRDefault="00017695" w:rsidP="006A6CBD">
            <w:pPr>
              <w:spacing w:line="276" w:lineRule="auto"/>
              <w:jc w:val="right"/>
              <w:rPr>
                <w:rFonts w:cstheme="minorHAnsi"/>
              </w:rPr>
            </w:pPr>
            <w:r w:rsidRPr="006A6CBD">
              <w:rPr>
                <w:rFonts w:cstheme="minorHAnsi"/>
              </w:rPr>
              <w:t>$642,616</w:t>
            </w:r>
          </w:p>
        </w:tc>
        <w:tc>
          <w:tcPr>
            <w:tcW w:w="1276" w:type="dxa"/>
            <w:noWrap/>
            <w:hideMark/>
          </w:tcPr>
          <w:p w14:paraId="32161117" w14:textId="77777777" w:rsidR="00017695" w:rsidRPr="006A6CBD" w:rsidRDefault="00017695" w:rsidP="006A6CBD">
            <w:pPr>
              <w:spacing w:line="276" w:lineRule="auto"/>
              <w:jc w:val="right"/>
              <w:rPr>
                <w:rFonts w:cstheme="minorHAnsi"/>
              </w:rPr>
            </w:pPr>
            <w:r w:rsidRPr="006A6CBD">
              <w:rPr>
                <w:rFonts w:cstheme="minorHAnsi"/>
              </w:rPr>
              <w:t>1047</w:t>
            </w:r>
          </w:p>
        </w:tc>
        <w:tc>
          <w:tcPr>
            <w:tcW w:w="1134" w:type="dxa"/>
            <w:noWrap/>
            <w:hideMark/>
          </w:tcPr>
          <w:p w14:paraId="139A712E" w14:textId="77777777" w:rsidR="00017695" w:rsidRPr="006A6CBD" w:rsidRDefault="00017695" w:rsidP="006A6CBD">
            <w:pPr>
              <w:spacing w:line="276" w:lineRule="auto"/>
              <w:jc w:val="right"/>
              <w:rPr>
                <w:rFonts w:cstheme="minorHAnsi"/>
              </w:rPr>
            </w:pPr>
            <w:r w:rsidRPr="006A6CBD">
              <w:rPr>
                <w:rFonts w:cstheme="minorHAnsi"/>
              </w:rPr>
              <w:t>–1.1%</w:t>
            </w:r>
          </w:p>
        </w:tc>
      </w:tr>
    </w:tbl>
    <w:p w14:paraId="3BFFF1F5" w14:textId="713B3D08" w:rsidR="00A47892" w:rsidRPr="006A6CBD" w:rsidRDefault="00A47892" w:rsidP="0087705D">
      <w:pPr>
        <w:pStyle w:val="Heading3"/>
      </w:pPr>
      <w:bookmarkStart w:id="109" w:name="_Toc529972093"/>
      <w:bookmarkStart w:id="110" w:name="_Toc529972966"/>
      <w:bookmarkStart w:id="111" w:name="_Toc529973821"/>
      <w:bookmarkStart w:id="112" w:name="Rec3"/>
      <w:bookmarkStart w:id="113" w:name="_Toc8995613"/>
      <w:bookmarkEnd w:id="109"/>
      <w:bookmarkEnd w:id="110"/>
      <w:bookmarkEnd w:id="111"/>
      <w:r w:rsidRPr="006A6CBD">
        <w:lastRenderedPageBreak/>
        <w:t>Recommendation</w:t>
      </w:r>
      <w:bookmarkEnd w:id="112"/>
      <w:r w:rsidR="008C4A9E" w:rsidRPr="006A6CBD">
        <w:t xml:space="preserve"> </w:t>
      </w:r>
      <w:r w:rsidR="00017695" w:rsidRPr="006A6CBD">
        <w:t>2</w:t>
      </w:r>
      <w:bookmarkEnd w:id="113"/>
    </w:p>
    <w:p w14:paraId="024785E5" w14:textId="78DBB139" w:rsidR="008C4A9E" w:rsidRPr="006A6CBD" w:rsidRDefault="00663E68" w:rsidP="006A6CBD">
      <w:pPr>
        <w:pStyle w:val="ListParagraph"/>
        <w:numPr>
          <w:ilvl w:val="0"/>
          <w:numId w:val="26"/>
        </w:numPr>
        <w:spacing w:line="276" w:lineRule="auto"/>
        <w:rPr>
          <w:szCs w:val="22"/>
        </w:rPr>
      </w:pPr>
      <w:r w:rsidRPr="006A6CBD">
        <w:rPr>
          <w:szCs w:val="22"/>
        </w:rPr>
        <w:t xml:space="preserve">Item </w:t>
      </w:r>
      <w:r w:rsidR="00017695" w:rsidRPr="006A6CBD">
        <w:rPr>
          <w:szCs w:val="22"/>
        </w:rPr>
        <w:t>13760</w:t>
      </w:r>
      <w:r w:rsidRPr="006A6CBD">
        <w:rPr>
          <w:szCs w:val="22"/>
        </w:rPr>
        <w:t xml:space="preserve">: </w:t>
      </w:r>
      <w:r w:rsidR="00017695" w:rsidRPr="006A6CBD">
        <w:rPr>
          <w:lang w:val="en-US"/>
        </w:rPr>
        <w:t>Change the descriptor to reflect clinical best practice.</w:t>
      </w:r>
      <w:r w:rsidRPr="006A6CBD">
        <w:rPr>
          <w:szCs w:val="22"/>
        </w:rPr>
        <w:t xml:space="preserve"> </w:t>
      </w:r>
      <w:r w:rsidR="00E55DE0" w:rsidRPr="006A6CBD">
        <w:rPr>
          <w:szCs w:val="22"/>
        </w:rPr>
        <w:t xml:space="preserve">The </w:t>
      </w:r>
      <w:r w:rsidRPr="006A6CBD">
        <w:rPr>
          <w:szCs w:val="22"/>
        </w:rPr>
        <w:t>proposed descriptor is:</w:t>
      </w:r>
    </w:p>
    <w:p w14:paraId="7CECDB4B" w14:textId="7611691B" w:rsidR="00C14D98" w:rsidRPr="006A6CBD" w:rsidRDefault="00C14D98" w:rsidP="006A6CBD">
      <w:pPr>
        <w:pStyle w:val="NormalBulleted"/>
        <w:numPr>
          <w:ilvl w:val="0"/>
          <w:numId w:val="0"/>
        </w:numPr>
        <w:spacing w:line="276" w:lineRule="auto"/>
        <w:ind w:left="360"/>
        <w:rPr>
          <w:szCs w:val="22"/>
          <w:lang w:val="en-US" w:eastAsia="en-US"/>
        </w:rPr>
      </w:pPr>
      <w:r w:rsidRPr="006A6CBD">
        <w:rPr>
          <w:szCs w:val="22"/>
        </w:rPr>
        <w:t xml:space="preserve">In </w:t>
      </w:r>
      <w:r w:rsidRPr="006A6CBD">
        <w:t>vitro processing and cryopreservation of bone marrow or peripheral blood:</w:t>
      </w:r>
    </w:p>
    <w:p w14:paraId="25A5C64E" w14:textId="77777777" w:rsidR="00C14D98" w:rsidRPr="006A6CBD" w:rsidRDefault="00C14D98" w:rsidP="006A6CBD">
      <w:pPr>
        <w:pStyle w:val="NormalBulleted"/>
        <w:numPr>
          <w:ilvl w:val="1"/>
          <w:numId w:val="16"/>
        </w:numPr>
        <w:spacing w:line="276" w:lineRule="auto"/>
        <w:rPr>
          <w:b/>
          <w:szCs w:val="22"/>
          <w:lang w:val="en-US" w:eastAsia="en-US"/>
        </w:rPr>
      </w:pPr>
      <w:r w:rsidRPr="006A6CBD">
        <w:t>1. for autologous stem cell transplantation in association with high-dose chemotherapy for</w:t>
      </w:r>
      <w:r w:rsidRPr="006A6CBD">
        <w:rPr>
          <w:b/>
        </w:rPr>
        <w:t xml:space="preserve"> management of aggressive malignancy; and </w:t>
      </w:r>
    </w:p>
    <w:p w14:paraId="63B57421" w14:textId="77777777" w:rsidR="00C14D98" w:rsidRPr="006A6CBD" w:rsidRDefault="00C14D98" w:rsidP="006A6CBD">
      <w:pPr>
        <w:pStyle w:val="NormalBulleted"/>
        <w:numPr>
          <w:ilvl w:val="1"/>
          <w:numId w:val="16"/>
        </w:numPr>
        <w:spacing w:line="276" w:lineRule="auto"/>
        <w:rPr>
          <w:b/>
          <w:szCs w:val="22"/>
          <w:lang w:val="en-US" w:eastAsia="en-US"/>
        </w:rPr>
      </w:pPr>
      <w:r w:rsidRPr="006A6CBD">
        <w:rPr>
          <w:b/>
        </w:rPr>
        <w:t>2. in a treatment program overseen by a multidisciplinary team experienced in the management of malignant disorders</w:t>
      </w:r>
    </w:p>
    <w:p w14:paraId="4334EF01" w14:textId="77777777" w:rsidR="00C14D98" w:rsidRPr="006A6CBD" w:rsidRDefault="00C14D98" w:rsidP="006A6CBD">
      <w:pPr>
        <w:pStyle w:val="NormalBulleted"/>
        <w:numPr>
          <w:ilvl w:val="0"/>
          <w:numId w:val="0"/>
        </w:numPr>
        <w:spacing w:line="276" w:lineRule="auto"/>
        <w:ind w:left="567"/>
        <w:rPr>
          <w:b/>
        </w:rPr>
      </w:pPr>
      <w:r w:rsidRPr="006A6CBD">
        <w:rPr>
          <w:b/>
        </w:rPr>
        <w:t>Explanatory note: MBS rebates for autologous stem cell transplantation are only available for patients with aggressive malignancy who meet the criteria for treatment according to:</w:t>
      </w:r>
    </w:p>
    <w:p w14:paraId="60C1CB1C" w14:textId="33FA3FAF" w:rsidR="00C14D98" w:rsidRPr="006A6CBD" w:rsidRDefault="00C14D98" w:rsidP="006A6CBD">
      <w:pPr>
        <w:pStyle w:val="NormalBulleted"/>
        <w:numPr>
          <w:ilvl w:val="0"/>
          <w:numId w:val="0"/>
        </w:numPr>
        <w:spacing w:line="276" w:lineRule="auto"/>
        <w:ind w:left="567"/>
        <w:rPr>
          <w:b/>
        </w:rPr>
      </w:pPr>
      <w:r w:rsidRPr="006A6CBD">
        <w:rPr>
          <w:b/>
        </w:rPr>
        <w:t>Indications for Autologous and Allogeneic Hematopoietic Cell Transplantation: Guidelines from the American Society for Blood and Marrow Transplantation (2015)</w:t>
      </w:r>
    </w:p>
    <w:p w14:paraId="0599D189" w14:textId="1C7BA8A4" w:rsidR="00C14D98" w:rsidRPr="006A6CBD" w:rsidRDefault="00C14D98" w:rsidP="006A6CBD">
      <w:pPr>
        <w:pStyle w:val="NormalBulleted"/>
        <w:numPr>
          <w:ilvl w:val="0"/>
          <w:numId w:val="0"/>
        </w:numPr>
        <w:spacing w:line="276" w:lineRule="auto"/>
        <w:ind w:left="567"/>
        <w:rPr>
          <w:b/>
        </w:rPr>
      </w:pPr>
      <w:r w:rsidRPr="006A6CBD">
        <w:rPr>
          <w:b/>
          <w:color w:val="000000"/>
          <w:shd w:val="clear" w:color="auto" w:fill="FFFFFF"/>
        </w:rPr>
        <w:t>European Society for Blood and Marrow Transplantation:</w:t>
      </w:r>
      <w:r w:rsidRPr="006A6CBD">
        <w:rPr>
          <w:b/>
        </w:rPr>
        <w:t xml:space="preserve"> Indications for allo- and auto-SCT for haematological diseases, solid tumours and immune disorders. Current practice in Europe (2015).  </w:t>
      </w:r>
    </w:p>
    <w:p w14:paraId="48E7DFFE" w14:textId="647B2EE6" w:rsidR="00592651" w:rsidRPr="006A6CBD" w:rsidRDefault="00C14D98" w:rsidP="006A6CBD">
      <w:pPr>
        <w:pStyle w:val="NormalBulleted"/>
        <w:numPr>
          <w:ilvl w:val="0"/>
          <w:numId w:val="0"/>
        </w:numPr>
        <w:spacing w:line="276" w:lineRule="auto"/>
        <w:ind w:left="567"/>
        <w:rPr>
          <w:b/>
          <w:szCs w:val="22"/>
        </w:rPr>
      </w:pPr>
      <w:r w:rsidRPr="006A6CBD">
        <w:rPr>
          <w:b/>
        </w:rPr>
        <w:t>In addition, the treatment must be authorised and overseen by a multidisciplinary cancer team</w:t>
      </w:r>
      <w:r w:rsidRPr="006A6CBD">
        <w:rPr>
          <w:b/>
          <w:szCs w:val="22"/>
        </w:rPr>
        <w:t xml:space="preserve"> </w:t>
      </w:r>
    </w:p>
    <w:p w14:paraId="3D438B1B" w14:textId="6312A312" w:rsidR="00A47892" w:rsidRPr="006A6CBD" w:rsidRDefault="00A47892" w:rsidP="0087705D">
      <w:pPr>
        <w:pStyle w:val="Heading3"/>
      </w:pPr>
      <w:bookmarkStart w:id="114" w:name="_Toc529972095"/>
      <w:bookmarkStart w:id="115" w:name="_Toc529972968"/>
      <w:bookmarkStart w:id="116" w:name="_Toc529973823"/>
      <w:bookmarkStart w:id="117" w:name="_Toc529972107"/>
      <w:bookmarkStart w:id="118" w:name="_Toc529972980"/>
      <w:bookmarkStart w:id="119" w:name="_Toc529973835"/>
      <w:bookmarkStart w:id="120" w:name="_Toc8995614"/>
      <w:bookmarkEnd w:id="114"/>
      <w:bookmarkEnd w:id="115"/>
      <w:bookmarkEnd w:id="116"/>
      <w:bookmarkEnd w:id="117"/>
      <w:bookmarkEnd w:id="118"/>
      <w:bookmarkEnd w:id="119"/>
      <w:r w:rsidRPr="006A6CBD">
        <w:t xml:space="preserve">Rationale </w:t>
      </w:r>
      <w:r w:rsidR="00592651" w:rsidRPr="006A6CBD">
        <w:t>for recommendation</w:t>
      </w:r>
      <w:r w:rsidR="00C14D98" w:rsidRPr="006A6CBD">
        <w:t xml:space="preserve"> 2</w:t>
      </w:r>
      <w:bookmarkEnd w:id="120"/>
    </w:p>
    <w:p w14:paraId="49645C56" w14:textId="0FCEB057" w:rsidR="00C14D98" w:rsidRPr="006A6CBD" w:rsidRDefault="00B13988" w:rsidP="006A6CBD">
      <w:pPr>
        <w:pStyle w:val="NormalBulleted"/>
        <w:numPr>
          <w:ilvl w:val="0"/>
          <w:numId w:val="0"/>
        </w:numPr>
        <w:spacing w:line="276" w:lineRule="auto"/>
      </w:pPr>
      <w:r w:rsidRPr="006A6CBD">
        <w:t xml:space="preserve">This recommendation </w:t>
      </w:r>
      <w:r w:rsidR="00C14D98" w:rsidRPr="006A6CBD">
        <w:rPr>
          <w:lang w:eastAsia="en-US"/>
        </w:rPr>
        <w:t>is based on the following:</w:t>
      </w:r>
    </w:p>
    <w:p w14:paraId="2A372A82" w14:textId="77777777" w:rsidR="00C14D98" w:rsidRPr="006A6CBD" w:rsidRDefault="00C14D98" w:rsidP="006A6CBD">
      <w:pPr>
        <w:pStyle w:val="NormalBulleted"/>
        <w:numPr>
          <w:ilvl w:val="0"/>
          <w:numId w:val="40"/>
        </w:numPr>
        <w:spacing w:before="120" w:after="60" w:line="276" w:lineRule="auto"/>
        <w:contextualSpacing w:val="0"/>
      </w:pPr>
      <w:r w:rsidRPr="006A6CBD">
        <w:rPr>
          <w:lang w:eastAsia="en-US"/>
        </w:rPr>
        <w:t>The current descriptor for item 13760 is outdated and does not capture the malignant conditions for which there is a good evidence base for stem cell therapies.</w:t>
      </w:r>
    </w:p>
    <w:p w14:paraId="216679D9" w14:textId="77777777" w:rsidR="00C14D98" w:rsidRPr="006A6CBD" w:rsidRDefault="00C14D98" w:rsidP="006A6CBD">
      <w:pPr>
        <w:pStyle w:val="NormalBulleted"/>
        <w:numPr>
          <w:ilvl w:val="0"/>
          <w:numId w:val="40"/>
        </w:numPr>
        <w:spacing w:before="120" w:after="60" w:line="276" w:lineRule="auto"/>
        <w:contextualSpacing w:val="0"/>
        <w:rPr>
          <w:szCs w:val="22"/>
          <w:lang w:val="en-US" w:eastAsia="en-US"/>
        </w:rPr>
      </w:pPr>
      <w:r w:rsidRPr="006A6CBD">
        <w:rPr>
          <w:lang w:val="en-US"/>
        </w:rPr>
        <w:t>This change will broaden the current list of indications associated with malignancy; and specify that the item is for use as part of a treatment program overseen by a multidisciplinary team experienced in the treatment of malignant disorders.</w:t>
      </w:r>
    </w:p>
    <w:p w14:paraId="735D2B48" w14:textId="77777777" w:rsidR="00C14D98" w:rsidRPr="006A6CBD" w:rsidRDefault="00C14D98" w:rsidP="006A6CBD">
      <w:pPr>
        <w:pStyle w:val="NormalBulleted"/>
        <w:spacing w:before="120" w:after="60" w:line="276" w:lineRule="auto"/>
        <w:contextualSpacing w:val="0"/>
      </w:pPr>
      <w:r w:rsidRPr="006A6CBD">
        <w:rPr>
          <w:lang w:eastAsia="en-US"/>
        </w:rPr>
        <w:t>An explanatory note references the list of malignant conditions specified in the US and European guidelines (Sureda et al. 2015 [4] and Majhail et al. 2015 [3] (Table 10). list of malignant conditions which may be claimed under the item. Referencing the international guidelines will allow ready updating as the evidence base changes and standards are revised.</w:t>
      </w:r>
    </w:p>
    <w:p w14:paraId="585264DD" w14:textId="77777777" w:rsidR="00C14D98" w:rsidRPr="006A6CBD" w:rsidRDefault="00C14D98" w:rsidP="006A6CBD">
      <w:pPr>
        <w:pStyle w:val="NormalBulleted"/>
        <w:spacing w:before="120" w:after="60" w:line="276" w:lineRule="auto"/>
        <w:contextualSpacing w:val="0"/>
      </w:pPr>
      <w:r w:rsidRPr="006A6CBD">
        <w:rPr>
          <w:lang w:eastAsia="en-US"/>
        </w:rPr>
        <w:t>All patients who receive stem cell therapies should have that therapy authorised by a multidisciplinary cancer team and this contemporary standard should be a prerequisite for MBS funding of the service.</w:t>
      </w:r>
    </w:p>
    <w:p w14:paraId="799EDBE1" w14:textId="6BF447ED" w:rsidR="00B13988" w:rsidRPr="006A6CBD" w:rsidRDefault="00C14D98" w:rsidP="006A6CBD">
      <w:pPr>
        <w:spacing w:line="276" w:lineRule="auto"/>
      </w:pPr>
      <w:r w:rsidRPr="006A6CBD">
        <w:rPr>
          <w:lang w:eastAsia="en-US"/>
        </w:rPr>
        <w:t xml:space="preserve">Item 13760 is a pathology service but for historical reasons has not been included in the MBS Pathology Services Table. Stem cell services are subject to practice accreditation independent of any MBS pathology laboratory accreditation requirements and for this reason, it remains acceptable for this item to be located in this part of the </w:t>
      </w:r>
      <w:r w:rsidR="00B13988" w:rsidRPr="006A6CBD">
        <w:t xml:space="preserve">focuses on improving the understanding of the items and improving efficiency and effectiveness. </w:t>
      </w:r>
    </w:p>
    <w:p w14:paraId="1B4AC2EB" w14:textId="324FEB6D" w:rsidR="00AE3796" w:rsidRPr="006A6CBD" w:rsidRDefault="00AE3796" w:rsidP="006A6CBD">
      <w:pPr>
        <w:spacing w:before="0" w:after="0" w:line="276" w:lineRule="auto"/>
      </w:pPr>
      <w:r w:rsidRPr="006A6CBD">
        <w:br w:type="page"/>
      </w:r>
    </w:p>
    <w:bookmarkEnd w:id="108" w:displacedByCustomXml="next"/>
    <w:bookmarkEnd w:id="107" w:displacedByCustomXml="next"/>
    <w:bookmarkStart w:id="121" w:name="_Toc529974217" w:displacedByCustomXml="next"/>
    <w:bookmarkEnd w:id="121" w:displacedByCustomXml="next"/>
    <w:bookmarkStart w:id="122" w:name="_Toc529973362" w:displacedByCustomXml="next"/>
    <w:bookmarkEnd w:id="122" w:displacedByCustomXml="next"/>
    <w:bookmarkStart w:id="123" w:name="_Toc529972489" w:displacedByCustomXml="next"/>
    <w:bookmarkEnd w:id="123" w:displacedByCustomXml="next"/>
    <w:bookmarkStart w:id="124" w:name="_Toc529974204" w:displacedByCustomXml="next"/>
    <w:bookmarkEnd w:id="124" w:displacedByCustomXml="next"/>
    <w:bookmarkStart w:id="125" w:name="_Toc529973349" w:displacedByCustomXml="next"/>
    <w:bookmarkEnd w:id="125" w:displacedByCustomXml="next"/>
    <w:bookmarkStart w:id="126" w:name="_Toc529972476" w:displacedByCustomXml="next"/>
    <w:bookmarkEnd w:id="126" w:displacedByCustomXml="next"/>
    <w:bookmarkStart w:id="127" w:name="_Toc529974203" w:displacedByCustomXml="next"/>
    <w:bookmarkEnd w:id="127" w:displacedByCustomXml="next"/>
    <w:bookmarkStart w:id="128" w:name="_Toc529973348" w:displacedByCustomXml="next"/>
    <w:bookmarkEnd w:id="128" w:displacedByCustomXml="next"/>
    <w:bookmarkStart w:id="129" w:name="_Toc529972475" w:displacedByCustomXml="next"/>
    <w:bookmarkEnd w:id="129" w:displacedByCustomXml="next"/>
    <w:bookmarkStart w:id="130" w:name="_Toc529974202" w:displacedByCustomXml="next"/>
    <w:bookmarkEnd w:id="130" w:displacedByCustomXml="next"/>
    <w:bookmarkStart w:id="131" w:name="_Toc529973347" w:displacedByCustomXml="next"/>
    <w:bookmarkEnd w:id="131" w:displacedByCustomXml="next"/>
    <w:bookmarkStart w:id="132" w:name="_Toc529972474" w:displacedByCustomXml="next"/>
    <w:bookmarkEnd w:id="132" w:displacedByCustomXml="next"/>
    <w:bookmarkStart w:id="133" w:name="_Toc529974178" w:displacedByCustomXml="next"/>
    <w:bookmarkEnd w:id="133" w:displacedByCustomXml="next"/>
    <w:bookmarkStart w:id="134" w:name="_Toc529973323" w:displacedByCustomXml="next"/>
    <w:bookmarkEnd w:id="134" w:displacedByCustomXml="next"/>
    <w:bookmarkStart w:id="135" w:name="_Toc529972450" w:displacedByCustomXml="next"/>
    <w:bookmarkEnd w:id="135" w:displacedByCustomXml="next"/>
    <w:bookmarkStart w:id="136" w:name="_Toc529974173" w:displacedByCustomXml="next"/>
    <w:bookmarkEnd w:id="136" w:displacedByCustomXml="next"/>
    <w:bookmarkStart w:id="137" w:name="_Toc529973318" w:displacedByCustomXml="next"/>
    <w:bookmarkEnd w:id="137" w:displacedByCustomXml="next"/>
    <w:bookmarkStart w:id="138" w:name="_Toc529972445" w:displacedByCustomXml="next"/>
    <w:bookmarkEnd w:id="138" w:displacedByCustomXml="next"/>
    <w:bookmarkStart w:id="139" w:name="_Toc529974139" w:displacedByCustomXml="next"/>
    <w:bookmarkEnd w:id="139" w:displacedByCustomXml="next"/>
    <w:bookmarkStart w:id="140" w:name="_Toc529973284" w:displacedByCustomXml="next"/>
    <w:bookmarkEnd w:id="140" w:displacedByCustomXml="next"/>
    <w:bookmarkStart w:id="141" w:name="_Toc529972411" w:displacedByCustomXml="next"/>
    <w:bookmarkEnd w:id="141" w:displacedByCustomXml="next"/>
    <w:bookmarkStart w:id="142" w:name="_Toc529974073" w:displacedByCustomXml="next"/>
    <w:bookmarkEnd w:id="142" w:displacedByCustomXml="next"/>
    <w:bookmarkStart w:id="143" w:name="_Toc529973218" w:displacedByCustomXml="next"/>
    <w:bookmarkEnd w:id="143" w:displacedByCustomXml="next"/>
    <w:bookmarkStart w:id="144" w:name="_Toc529972345" w:displacedByCustomXml="next"/>
    <w:bookmarkEnd w:id="144" w:displacedByCustomXml="next"/>
    <w:bookmarkStart w:id="145" w:name="_Toc529974072" w:displacedByCustomXml="next"/>
    <w:bookmarkEnd w:id="145" w:displacedByCustomXml="next"/>
    <w:bookmarkStart w:id="146" w:name="_Toc529973217" w:displacedByCustomXml="next"/>
    <w:bookmarkEnd w:id="146" w:displacedByCustomXml="next"/>
    <w:bookmarkStart w:id="147" w:name="_Toc529972344" w:displacedByCustomXml="next"/>
    <w:bookmarkEnd w:id="147" w:displacedByCustomXml="next"/>
    <w:bookmarkStart w:id="148" w:name="_Toc529973891" w:displacedByCustomXml="next"/>
    <w:bookmarkEnd w:id="148" w:displacedByCustomXml="next"/>
    <w:bookmarkStart w:id="149" w:name="_Toc529973036" w:displacedByCustomXml="next"/>
    <w:bookmarkEnd w:id="149" w:displacedByCustomXml="next"/>
    <w:bookmarkStart w:id="150" w:name="_Toc529972163" w:displacedByCustomXml="next"/>
    <w:bookmarkEnd w:id="150" w:displacedByCustomXml="next"/>
    <w:bookmarkStart w:id="151" w:name="_Toc8995615" w:displacedByCustomXml="next"/>
    <w:sdt>
      <w:sdtPr>
        <w:rPr>
          <w:rFonts w:cs="Times New Roman"/>
          <w:b w:val="0"/>
          <w:bCs w:val="0"/>
          <w:color w:val="auto"/>
          <w:sz w:val="22"/>
          <w:szCs w:val="24"/>
          <w:lang w:val="en-AU" w:eastAsia="en-AU"/>
        </w:rPr>
        <w:id w:val="1372735127"/>
        <w:docPartObj>
          <w:docPartGallery w:val="Bibliographies"/>
          <w:docPartUnique/>
        </w:docPartObj>
      </w:sdtPr>
      <w:sdtEndPr>
        <w:rPr>
          <w:highlight w:val="yellow"/>
        </w:rPr>
      </w:sdtEndPr>
      <w:sdtContent>
        <w:p w14:paraId="34C61DA0" w14:textId="77777777" w:rsidR="001129A7" w:rsidRPr="006A6CBD" w:rsidRDefault="001129A7" w:rsidP="0087705D">
          <w:pPr>
            <w:pStyle w:val="Heading1"/>
          </w:pPr>
          <w:r w:rsidRPr="0087705D">
            <w:t>References</w:t>
          </w:r>
          <w:bookmarkEnd w:id="151"/>
        </w:p>
        <w:sdt>
          <w:sdtPr>
            <w:rPr>
              <w:rFonts w:asciiTheme="minorHAnsi" w:hAnsiTheme="minorHAnsi"/>
              <w:noProof w:val="0"/>
              <w:highlight w:val="yellow"/>
            </w:rPr>
            <w:id w:val="-573587230"/>
            <w:bibliography/>
          </w:sdtPr>
          <w:sdtEndPr/>
          <w:sdtContent>
            <w:p w14:paraId="2318FF64" w14:textId="00C2CCB4" w:rsidR="00C14D98" w:rsidRPr="006A6CBD" w:rsidRDefault="00C14D98" w:rsidP="006A6CBD">
              <w:pPr>
                <w:pStyle w:val="EndNoteBibliography"/>
                <w:spacing w:before="0" w:after="0" w:line="276" w:lineRule="auto"/>
                <w:ind w:left="720" w:hanging="720"/>
                <w:rPr>
                  <w:rFonts w:asciiTheme="minorHAnsi" w:hAnsiTheme="minorHAnsi"/>
                </w:rPr>
              </w:pPr>
              <w:r w:rsidRPr="006A6CBD">
                <w:rPr>
                  <w:rFonts w:asciiTheme="minorHAnsi" w:hAnsiTheme="minorHAnsi"/>
                </w:rPr>
                <w:t>[</w:t>
              </w:r>
              <w:r w:rsidR="001129A7" w:rsidRPr="006A6CBD">
                <w:rPr>
                  <w:rFonts w:asciiTheme="minorHAnsi" w:hAnsiTheme="minorHAnsi"/>
                  <w:highlight w:val="yellow"/>
                </w:rPr>
                <w:fldChar w:fldCharType="begin"/>
              </w:r>
              <w:r w:rsidR="001129A7" w:rsidRPr="006A6CBD">
                <w:rPr>
                  <w:rFonts w:asciiTheme="minorHAnsi" w:hAnsiTheme="minorHAnsi"/>
                  <w:highlight w:val="yellow"/>
                </w:rPr>
                <w:instrText xml:space="preserve"> BIBLIOGRAPHY </w:instrText>
              </w:r>
              <w:r w:rsidR="001129A7" w:rsidRPr="006A6CBD">
                <w:rPr>
                  <w:rFonts w:asciiTheme="minorHAnsi" w:hAnsiTheme="minorHAnsi"/>
                  <w:highlight w:val="yellow"/>
                </w:rPr>
                <w:fldChar w:fldCharType="separate"/>
              </w:r>
              <w:r w:rsidRPr="006A6CBD">
                <w:rPr>
                  <w:rFonts w:asciiTheme="minorHAnsi" w:hAnsiTheme="minorHAnsi"/>
                  <w:lang w:val="en-US"/>
                </w:rPr>
                <w:t>1]</w:t>
              </w:r>
              <w:r w:rsidR="0087705D">
                <w:rPr>
                  <w:rFonts w:asciiTheme="minorHAnsi" w:hAnsiTheme="minorHAnsi"/>
                  <w:lang w:val="en-US"/>
                </w:rPr>
                <w:tab/>
              </w:r>
              <w:r w:rsidRPr="006A6CBD">
                <w:rPr>
                  <w:rFonts w:asciiTheme="minorHAnsi" w:hAnsiTheme="minorHAnsi"/>
                  <w:iCs/>
                  <w:lang w:val="en-US"/>
                </w:rPr>
                <w:t xml:space="preserve">National </w:t>
              </w:r>
              <w:r w:rsidRPr="006A6CBD">
                <w:rPr>
                  <w:rFonts w:asciiTheme="minorHAnsi" w:hAnsiTheme="minorHAnsi"/>
                </w:rPr>
                <w:t>Blood Authority Australia. Submission to the Medical Benefit Schedule Review Taskforce on blood related MBS items. NBAA: Canberra, 2015.</w:t>
              </w:r>
            </w:p>
            <w:p w14:paraId="110A689C" w14:textId="59228F4F" w:rsidR="00C14D98" w:rsidRPr="006A6CBD" w:rsidRDefault="0087705D" w:rsidP="006A6CBD">
              <w:pPr>
                <w:pStyle w:val="EndNoteBibliography"/>
                <w:spacing w:before="0" w:line="276" w:lineRule="auto"/>
                <w:ind w:left="720" w:hanging="720"/>
                <w:rPr>
                  <w:rFonts w:asciiTheme="minorHAnsi" w:hAnsiTheme="minorHAnsi"/>
                </w:rPr>
              </w:pPr>
              <w:r>
                <w:rPr>
                  <w:rFonts w:asciiTheme="minorHAnsi" w:hAnsiTheme="minorHAnsi"/>
                </w:rPr>
                <w:t>[2]</w:t>
              </w:r>
              <w:r>
                <w:rPr>
                  <w:rFonts w:asciiTheme="minorHAnsi" w:hAnsiTheme="minorHAnsi"/>
                </w:rPr>
                <w:tab/>
              </w:r>
              <w:r w:rsidR="00C14D98" w:rsidRPr="006A6CBD">
                <w:rPr>
                  <w:rFonts w:asciiTheme="minorHAnsi" w:hAnsiTheme="minorHAnsi"/>
                </w:rPr>
                <w:t>NBAA Patient Blood Management Steering Committee. Submission to the MBS Review Task Force on blood related MBS item numbers. NBAA: Canberra, 2015.</w:t>
              </w:r>
            </w:p>
            <w:p w14:paraId="575BF4DF" w14:textId="77777777" w:rsidR="00C14D98" w:rsidRPr="006A6CBD" w:rsidRDefault="00C14D98" w:rsidP="006A6CBD">
              <w:pPr>
                <w:spacing w:before="0" w:line="276" w:lineRule="auto"/>
                <w:ind w:left="720" w:hanging="720"/>
                <w:rPr>
                  <w:rStyle w:val="Hyperlink"/>
                  <w:szCs w:val="22"/>
                  <w:bdr w:val="none" w:sz="0" w:space="0" w:color="auto" w:frame="1"/>
                  <w:shd w:val="clear" w:color="auto" w:fill="FFFFFF"/>
                </w:rPr>
              </w:pPr>
              <w:r w:rsidRPr="006A6CBD">
                <w:t>[3]</w:t>
              </w:r>
              <w:r w:rsidRPr="006A6CBD">
                <w:tab/>
              </w:r>
              <w:r w:rsidRPr="006A6CBD">
                <w:rPr>
                  <w:szCs w:val="22"/>
                </w:rPr>
                <w:t xml:space="preserve">Majhail, NS, SH Farnia, PA Carpenter, RE Champlin, S Crawford, DI Marks, JL Omel, PJ Orchard, J Palmer and W Saber. Indications for Autologous and Allogeneic Hematopoietic Cell Transplantation: Guidelines from the American Society for Blood and Marrow Transplantation. Biology of blood and marrow transplantation: </w:t>
              </w:r>
              <w:r w:rsidRPr="006A6CBD">
                <w:rPr>
                  <w:i/>
                  <w:szCs w:val="22"/>
                </w:rPr>
                <w:t>Journal of the American Society for Blood and Marrow Transplantation</w:t>
              </w:r>
              <w:r w:rsidRPr="006A6CBD">
                <w:rPr>
                  <w:szCs w:val="22"/>
                </w:rPr>
                <w:t xml:space="preserve">. 2015, vol. 21, no. 11, pp. 1863-1869. </w:t>
              </w:r>
              <w:hyperlink r:id="rId18" w:tgtFrame="doilink" w:history="1">
                <w:r w:rsidRPr="006A6CBD">
                  <w:rPr>
                    <w:rStyle w:val="Hyperlink"/>
                    <w:szCs w:val="22"/>
                    <w:bdr w:val="none" w:sz="0" w:space="0" w:color="auto" w:frame="1"/>
                    <w:shd w:val="clear" w:color="auto" w:fill="FFFFFF"/>
                  </w:rPr>
                  <w:t>doi: 10.1016/j.bbmt.2015.07.032</w:t>
                </w:r>
              </w:hyperlink>
            </w:p>
            <w:p w14:paraId="7DCE04CC" w14:textId="77777777" w:rsidR="00C14D98" w:rsidRPr="006A6CBD" w:rsidRDefault="00C14D98" w:rsidP="006A6CBD">
              <w:pPr>
                <w:spacing w:before="0" w:line="276" w:lineRule="auto"/>
                <w:ind w:left="720" w:hanging="720"/>
                <w:rPr>
                  <w:szCs w:val="22"/>
                </w:rPr>
              </w:pPr>
              <w:r w:rsidRPr="006A6CBD">
                <w:t>[4]</w:t>
              </w:r>
              <w:r w:rsidRPr="006A6CBD">
                <w:tab/>
              </w:r>
              <w:r w:rsidRPr="006A6CBD">
                <w:rPr>
                  <w:szCs w:val="22"/>
                </w:rPr>
                <w:t xml:space="preserve">Sureda, A, P Bader, S Cesaro, P Dreger, RF Duarte, C Dufour, JHF Falkenburg, D Farge-Bancel, A Gennery, N Korger, F Lanza, C Marsh, A Nagler, C Peters, A Velardi, M Mohty and A Madrigal </w:t>
              </w:r>
              <w:r w:rsidRPr="006A6CBD">
                <w:rPr>
                  <w:rFonts w:cs="Arial"/>
                  <w:szCs w:val="22"/>
                  <w:shd w:val="clear" w:color="auto" w:fill="FFFFFF"/>
                </w:rPr>
                <w:t>for the European Society for Blood and Marrow Transplantation</w:t>
              </w:r>
              <w:r w:rsidRPr="006A6CBD">
                <w:rPr>
                  <w:rFonts w:cs="Arial"/>
                  <w:szCs w:val="22"/>
                </w:rPr>
                <w:t>.</w:t>
              </w:r>
              <w:r w:rsidRPr="006A6CBD">
                <w:rPr>
                  <w:szCs w:val="22"/>
                </w:rPr>
                <w:t xml:space="preserve"> Indications for allo- and auto-SCT for haematological diseases, solid tumours and immune disorders: current practice in Europe, 2015. </w:t>
              </w:r>
              <w:r w:rsidRPr="006A6CBD">
                <w:rPr>
                  <w:i/>
                  <w:szCs w:val="22"/>
                </w:rPr>
                <w:t>Bone Marrow Transplantation</w:t>
              </w:r>
              <w:r w:rsidRPr="006A6CBD">
                <w:rPr>
                  <w:szCs w:val="22"/>
                </w:rPr>
                <w:t>. 2015, vol. 50, no. 8, pp. 1037. doi: 10.1038/bmt.2015.6</w:t>
              </w:r>
            </w:p>
            <w:p w14:paraId="6F1D9EFF" w14:textId="6ECFB7D4" w:rsidR="001129A7" w:rsidRPr="006A6CBD" w:rsidRDefault="001129A7" w:rsidP="006A6CBD">
              <w:pPr>
                <w:spacing w:before="0" w:line="276" w:lineRule="auto"/>
              </w:pPr>
              <w:r w:rsidRPr="006A6CBD">
                <w:rPr>
                  <w:highlight w:val="yellow"/>
                </w:rPr>
                <w:fldChar w:fldCharType="end"/>
              </w:r>
            </w:p>
          </w:sdtContent>
        </w:sdt>
      </w:sdtContent>
    </w:sdt>
    <w:p w14:paraId="5B3213C6" w14:textId="636D8BE5" w:rsidR="00EF59A1" w:rsidRPr="006A6CBD" w:rsidRDefault="00DE588D" w:rsidP="006A6CBD">
      <w:pPr>
        <w:pStyle w:val="Heading1"/>
        <w:spacing w:after="0" w:line="276" w:lineRule="auto"/>
        <w:rPr>
          <w:lang w:val="en-AU"/>
        </w:rPr>
      </w:pPr>
      <w:bookmarkStart w:id="152" w:name="_Toc485295765"/>
      <w:bookmarkStart w:id="153" w:name="_Toc8995616"/>
      <w:r w:rsidRPr="006A6CBD">
        <w:rPr>
          <w:lang w:val="en-AU"/>
        </w:rPr>
        <w:lastRenderedPageBreak/>
        <w:t>Glossary</w:t>
      </w:r>
      <w:bookmarkEnd w:id="152"/>
      <w:bookmarkEnd w:id="153"/>
    </w:p>
    <w:tbl>
      <w:tblPr>
        <w:tblStyle w:val="TableGrid3"/>
        <w:tblW w:w="5805" w:type="pct"/>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701"/>
        <w:gridCol w:w="7938"/>
      </w:tblGrid>
      <w:tr w:rsidR="00CB3EB0" w:rsidRPr="006A6CBD" w14:paraId="3819D0C8" w14:textId="77777777" w:rsidTr="00C14D98">
        <w:trPr>
          <w:tblHeader/>
        </w:trPr>
        <w:tc>
          <w:tcPr>
            <w:tcW w:w="1701" w:type="dxa"/>
            <w:tcBorders>
              <w:bottom w:val="single" w:sz="4" w:space="0" w:color="BFBFBF" w:themeColor="background1" w:themeShade="BF"/>
            </w:tcBorders>
            <w:shd w:val="clear" w:color="auto" w:fill="01653F"/>
            <w:vAlign w:val="bottom"/>
          </w:tcPr>
          <w:p w14:paraId="2B2D6880" w14:textId="77777777" w:rsidR="00CB3EB0" w:rsidRPr="006A6CBD" w:rsidRDefault="00CB3EB0" w:rsidP="006A6CBD">
            <w:pPr>
              <w:pStyle w:val="Tableheading-white"/>
              <w:spacing w:before="0" w:after="0" w:line="276" w:lineRule="auto"/>
              <w:rPr>
                <w:lang w:val="en-AU"/>
              </w:rPr>
            </w:pPr>
            <w:r w:rsidRPr="006A6CBD">
              <w:rPr>
                <w:lang w:val="en-AU"/>
              </w:rPr>
              <w:t>Term</w:t>
            </w:r>
          </w:p>
        </w:tc>
        <w:tc>
          <w:tcPr>
            <w:tcW w:w="7938" w:type="dxa"/>
            <w:tcBorders>
              <w:bottom w:val="single" w:sz="4" w:space="0" w:color="BFBFBF" w:themeColor="background1" w:themeShade="BF"/>
            </w:tcBorders>
            <w:shd w:val="clear" w:color="auto" w:fill="01653F"/>
            <w:vAlign w:val="bottom"/>
          </w:tcPr>
          <w:p w14:paraId="080EBA9D" w14:textId="77777777" w:rsidR="00CB3EB0" w:rsidRPr="006A6CBD" w:rsidRDefault="00CB3EB0" w:rsidP="006A6CBD">
            <w:pPr>
              <w:pStyle w:val="Tableheading-white"/>
              <w:spacing w:before="0" w:after="0" w:line="276" w:lineRule="auto"/>
              <w:rPr>
                <w:lang w:val="en-AU"/>
              </w:rPr>
            </w:pPr>
            <w:r w:rsidRPr="006A6CBD">
              <w:rPr>
                <w:lang w:val="en-AU"/>
              </w:rPr>
              <w:t>Description</w:t>
            </w:r>
          </w:p>
        </w:tc>
      </w:tr>
      <w:tr w:rsidR="00A20598" w:rsidRPr="006A6CBD" w14:paraId="71FB1A29" w14:textId="77777777" w:rsidTr="00C14D98">
        <w:trPr>
          <w:tblHeader/>
        </w:trPr>
        <w:tc>
          <w:tcPr>
            <w:tcW w:w="1701" w:type="dxa"/>
            <w:shd w:val="clear" w:color="auto" w:fill="FFFFFF" w:themeFill="background1"/>
            <w:vAlign w:val="center"/>
          </w:tcPr>
          <w:p w14:paraId="1A7795C3" w14:textId="2036191F" w:rsidR="00A20598" w:rsidRPr="006A6CBD" w:rsidRDefault="00A20598" w:rsidP="006A6CBD">
            <w:pPr>
              <w:pStyle w:val="Tableheading-white"/>
              <w:spacing w:before="0" w:after="0" w:line="276" w:lineRule="auto"/>
              <w:rPr>
                <w:b w:val="0"/>
                <w:color w:val="auto"/>
                <w:sz w:val="20"/>
                <w:szCs w:val="20"/>
                <w:lang w:val="en-AU"/>
              </w:rPr>
            </w:pPr>
            <w:r w:rsidRPr="006A6CBD">
              <w:rPr>
                <w:b w:val="0"/>
                <w:color w:val="auto"/>
                <w:sz w:val="20"/>
                <w:szCs w:val="20"/>
              </w:rPr>
              <w:t>ACT</w:t>
            </w:r>
          </w:p>
        </w:tc>
        <w:tc>
          <w:tcPr>
            <w:tcW w:w="7938" w:type="dxa"/>
            <w:shd w:val="clear" w:color="auto" w:fill="FFFFFF" w:themeFill="background1"/>
            <w:vAlign w:val="center"/>
          </w:tcPr>
          <w:p w14:paraId="78B92631" w14:textId="566E8F14" w:rsidR="00A20598" w:rsidRPr="006A6CBD" w:rsidRDefault="00A20598" w:rsidP="006A6CBD">
            <w:pPr>
              <w:pStyle w:val="Tableheading-white"/>
              <w:spacing w:before="0" w:after="0" w:line="276" w:lineRule="auto"/>
              <w:rPr>
                <w:b w:val="0"/>
                <w:color w:val="auto"/>
                <w:sz w:val="20"/>
                <w:szCs w:val="20"/>
                <w:lang w:val="en-AU"/>
              </w:rPr>
            </w:pPr>
            <w:r w:rsidRPr="006A6CBD">
              <w:rPr>
                <w:b w:val="0"/>
                <w:color w:val="auto"/>
                <w:sz w:val="20"/>
                <w:szCs w:val="20"/>
              </w:rPr>
              <w:t>Australian Capital Territory</w:t>
            </w:r>
          </w:p>
        </w:tc>
      </w:tr>
      <w:tr w:rsidR="00A20598" w:rsidRPr="006A6CBD" w14:paraId="67698636" w14:textId="77777777" w:rsidTr="00C14D98">
        <w:trPr>
          <w:tblHeader/>
        </w:trPr>
        <w:tc>
          <w:tcPr>
            <w:tcW w:w="1701" w:type="dxa"/>
            <w:shd w:val="clear" w:color="auto" w:fill="FFFFFF" w:themeFill="background1"/>
            <w:vAlign w:val="center"/>
          </w:tcPr>
          <w:p w14:paraId="567F7286" w14:textId="564EBE53"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CAGR</w:t>
            </w:r>
          </w:p>
        </w:tc>
        <w:tc>
          <w:tcPr>
            <w:tcW w:w="7938" w:type="dxa"/>
            <w:shd w:val="clear" w:color="auto" w:fill="FFFFFF" w:themeFill="background1"/>
            <w:vAlign w:val="center"/>
          </w:tcPr>
          <w:p w14:paraId="72595046" w14:textId="25E867E5"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 xml:space="preserve">Compound annual growth rate or the average annual growth rate over a specified time period. </w:t>
            </w:r>
          </w:p>
        </w:tc>
      </w:tr>
      <w:tr w:rsidR="00A20598" w:rsidRPr="006A6CBD" w14:paraId="243DEA4F" w14:textId="77777777" w:rsidTr="00C14D98">
        <w:trPr>
          <w:tblHeader/>
        </w:trPr>
        <w:tc>
          <w:tcPr>
            <w:tcW w:w="1701" w:type="dxa"/>
            <w:shd w:val="clear" w:color="auto" w:fill="FFFFFF" w:themeFill="background1"/>
            <w:vAlign w:val="center"/>
          </w:tcPr>
          <w:p w14:paraId="04A72C3F" w14:textId="7652A952"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Change</w:t>
            </w:r>
          </w:p>
        </w:tc>
        <w:tc>
          <w:tcPr>
            <w:tcW w:w="7938" w:type="dxa"/>
            <w:shd w:val="clear" w:color="auto" w:fill="FFFFFF" w:themeFill="background1"/>
            <w:vAlign w:val="center"/>
          </w:tcPr>
          <w:p w14:paraId="1C592DC7" w14:textId="0DFF9A1A" w:rsidR="00A20598" w:rsidRPr="006A6CBD" w:rsidRDefault="0096332E" w:rsidP="006A6CBD">
            <w:pPr>
              <w:pStyle w:val="Tableheading-white"/>
              <w:spacing w:before="0" w:after="0" w:line="276" w:lineRule="auto"/>
              <w:rPr>
                <w:b w:val="0"/>
                <w:color w:val="auto"/>
                <w:sz w:val="20"/>
                <w:szCs w:val="20"/>
              </w:rPr>
            </w:pPr>
            <w:r w:rsidRPr="006A6CBD">
              <w:rPr>
                <w:b w:val="0"/>
                <w:color w:val="auto"/>
                <w:sz w:val="20"/>
                <w:szCs w:val="20"/>
              </w:rPr>
              <w:t>“C</w:t>
            </w:r>
            <w:r w:rsidR="00A20598" w:rsidRPr="006A6CBD">
              <w:rPr>
                <w:b w:val="0"/>
                <w:color w:val="auto"/>
                <w:sz w:val="20"/>
                <w:szCs w:val="20"/>
              </w:rPr>
              <w:t xml:space="preserve">hange" </w:t>
            </w:r>
            <w:r w:rsidRPr="006A6CBD">
              <w:rPr>
                <w:b w:val="0"/>
                <w:color w:val="auto"/>
                <w:sz w:val="20"/>
                <w:szCs w:val="20"/>
              </w:rPr>
              <w:t>-</w:t>
            </w:r>
            <w:r w:rsidR="00A20598" w:rsidRPr="006A6CBD">
              <w:rPr>
                <w:b w:val="0"/>
                <w:color w:val="auto"/>
                <w:sz w:val="20"/>
                <w:szCs w:val="20"/>
              </w:rPr>
              <w:t xml:space="preserve"> when the item and/or its services will be affected by the recommendations. This could result from (i) specific recommendations that affect the services provided by changing item descriptors or explanatory notes;</w:t>
            </w:r>
            <w:r w:rsidRPr="006A6CBD">
              <w:rPr>
                <w:b w:val="0"/>
                <w:color w:val="auto"/>
                <w:sz w:val="20"/>
                <w:szCs w:val="20"/>
              </w:rPr>
              <w:t xml:space="preserve"> (ii) the consolidation of item</w:t>
            </w:r>
            <w:r w:rsidR="00A20598" w:rsidRPr="006A6CBD">
              <w:rPr>
                <w:b w:val="0"/>
                <w:color w:val="auto"/>
                <w:sz w:val="20"/>
                <w:szCs w:val="20"/>
              </w:rPr>
              <w:t>s; and (iii) splitting item numbers (for example, splitting the current services provided across two or more items).</w:t>
            </w:r>
          </w:p>
        </w:tc>
      </w:tr>
      <w:tr w:rsidR="00A20598" w:rsidRPr="006A6CBD" w14:paraId="08511C19" w14:textId="77777777" w:rsidTr="00C14D98">
        <w:trPr>
          <w:tblHeader/>
        </w:trPr>
        <w:tc>
          <w:tcPr>
            <w:tcW w:w="1701" w:type="dxa"/>
            <w:shd w:val="clear" w:color="auto" w:fill="FFFFFF" w:themeFill="background1"/>
            <w:vAlign w:val="center"/>
          </w:tcPr>
          <w:p w14:paraId="44EC86DE" w14:textId="2AAF9618"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Delete</w:t>
            </w:r>
          </w:p>
        </w:tc>
        <w:tc>
          <w:tcPr>
            <w:tcW w:w="7938" w:type="dxa"/>
            <w:shd w:val="clear" w:color="auto" w:fill="FFFFFF" w:themeFill="background1"/>
            <w:vAlign w:val="center"/>
          </w:tcPr>
          <w:p w14:paraId="40FEC179" w14:textId="2D1DD43D"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Describes when an item is recommended for removal from the MBS and its services will no longer be provided under the MBS.</w:t>
            </w:r>
          </w:p>
        </w:tc>
      </w:tr>
      <w:tr w:rsidR="00A20598" w:rsidRPr="006A6CBD" w14:paraId="76364CA5" w14:textId="77777777" w:rsidTr="00C14D98">
        <w:trPr>
          <w:tblHeader/>
        </w:trPr>
        <w:tc>
          <w:tcPr>
            <w:tcW w:w="1701" w:type="dxa"/>
            <w:shd w:val="clear" w:color="auto" w:fill="FFFFFF" w:themeFill="background1"/>
            <w:vAlign w:val="center"/>
          </w:tcPr>
          <w:p w14:paraId="36E139D3" w14:textId="137A45D7"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 xml:space="preserve">Department, </w:t>
            </w:r>
            <w:r w:rsidR="004341BB" w:rsidRPr="006A6CBD">
              <w:rPr>
                <w:b w:val="0"/>
                <w:color w:val="auto"/>
                <w:sz w:val="20"/>
                <w:szCs w:val="20"/>
              </w:rPr>
              <w:t>t</w:t>
            </w:r>
            <w:r w:rsidRPr="006A6CBD">
              <w:rPr>
                <w:b w:val="0"/>
                <w:color w:val="auto"/>
                <w:sz w:val="20"/>
                <w:szCs w:val="20"/>
              </w:rPr>
              <w:t>he</w:t>
            </w:r>
          </w:p>
        </w:tc>
        <w:tc>
          <w:tcPr>
            <w:tcW w:w="7938" w:type="dxa"/>
            <w:shd w:val="clear" w:color="auto" w:fill="FFFFFF" w:themeFill="background1"/>
            <w:vAlign w:val="center"/>
          </w:tcPr>
          <w:p w14:paraId="79741AD5" w14:textId="2A9F6C85"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Australian Government Department of Health</w:t>
            </w:r>
          </w:p>
        </w:tc>
      </w:tr>
      <w:tr w:rsidR="00A20598" w:rsidRPr="006A6CBD" w14:paraId="5E1C69A8" w14:textId="77777777" w:rsidTr="00C14D98">
        <w:trPr>
          <w:tblHeader/>
        </w:trPr>
        <w:tc>
          <w:tcPr>
            <w:tcW w:w="1701" w:type="dxa"/>
            <w:shd w:val="clear" w:color="auto" w:fill="FFFFFF" w:themeFill="background1"/>
            <w:vAlign w:val="center"/>
          </w:tcPr>
          <w:p w14:paraId="27B2B849" w14:textId="030E2E7F"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High-value care</w:t>
            </w:r>
          </w:p>
        </w:tc>
        <w:tc>
          <w:tcPr>
            <w:tcW w:w="7938" w:type="dxa"/>
            <w:shd w:val="clear" w:color="auto" w:fill="FFFFFF" w:themeFill="background1"/>
            <w:vAlign w:val="center"/>
          </w:tcPr>
          <w:p w14:paraId="0E549673" w14:textId="521A7728"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Services of proven efficacy reflecting current best medical practice, or for which the potential benefit to consumers exceeds the risk and costs.</w:t>
            </w:r>
          </w:p>
        </w:tc>
      </w:tr>
      <w:tr w:rsidR="00A20598" w:rsidRPr="006A6CBD" w14:paraId="430FF4AE" w14:textId="77777777" w:rsidTr="00C14D98">
        <w:trPr>
          <w:tblHeader/>
        </w:trPr>
        <w:tc>
          <w:tcPr>
            <w:tcW w:w="1701" w:type="dxa"/>
            <w:shd w:val="clear" w:color="auto" w:fill="FFFFFF" w:themeFill="background1"/>
            <w:vAlign w:val="center"/>
          </w:tcPr>
          <w:p w14:paraId="115CC2F9" w14:textId="562A824A"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Inappropriate use / misuse</w:t>
            </w:r>
          </w:p>
        </w:tc>
        <w:tc>
          <w:tcPr>
            <w:tcW w:w="7938" w:type="dxa"/>
            <w:shd w:val="clear" w:color="auto" w:fill="FFFFFF" w:themeFill="background1"/>
            <w:vAlign w:val="center"/>
          </w:tcPr>
          <w:p w14:paraId="2EB0789D" w14:textId="39577BE2"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The use of MBS services for purposes other than those intended. This includes a range of behaviours, from failing to adhere to item descriptors or rules through to deliberate fraud.</w:t>
            </w:r>
          </w:p>
        </w:tc>
      </w:tr>
      <w:tr w:rsidR="00A20598" w:rsidRPr="006A6CBD" w14:paraId="2C9EE417" w14:textId="77777777" w:rsidTr="00C14D98">
        <w:trPr>
          <w:tblHeader/>
        </w:trPr>
        <w:tc>
          <w:tcPr>
            <w:tcW w:w="1701" w:type="dxa"/>
            <w:shd w:val="clear" w:color="auto" w:fill="FFFFFF" w:themeFill="background1"/>
            <w:vAlign w:val="center"/>
          </w:tcPr>
          <w:p w14:paraId="5FCB399E" w14:textId="66A1049E"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Low-value care</w:t>
            </w:r>
          </w:p>
        </w:tc>
        <w:tc>
          <w:tcPr>
            <w:tcW w:w="7938" w:type="dxa"/>
            <w:shd w:val="clear" w:color="auto" w:fill="FFFFFF" w:themeFill="background1"/>
            <w:vAlign w:val="center"/>
          </w:tcPr>
          <w:p w14:paraId="126E4D79" w14:textId="4A3B1F6D"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Services that evidence suggests confer no or very little benefit to consumers; or for which the risk of harm exceeds the likely benefit; or, more broadly, where the added costs of services do not provide proportional added benefits.</w:t>
            </w:r>
          </w:p>
        </w:tc>
      </w:tr>
      <w:tr w:rsidR="00A20598" w:rsidRPr="006A6CBD" w14:paraId="3FDD944A" w14:textId="77777777" w:rsidTr="00C14D98">
        <w:trPr>
          <w:tblHeader/>
        </w:trPr>
        <w:tc>
          <w:tcPr>
            <w:tcW w:w="1701" w:type="dxa"/>
            <w:shd w:val="clear" w:color="auto" w:fill="FFFFFF" w:themeFill="background1"/>
            <w:vAlign w:val="center"/>
          </w:tcPr>
          <w:p w14:paraId="05DE1DBB" w14:textId="328EABCE"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MBS</w:t>
            </w:r>
          </w:p>
        </w:tc>
        <w:tc>
          <w:tcPr>
            <w:tcW w:w="7938" w:type="dxa"/>
            <w:shd w:val="clear" w:color="auto" w:fill="FFFFFF" w:themeFill="background1"/>
            <w:vAlign w:val="center"/>
          </w:tcPr>
          <w:p w14:paraId="35274DB9" w14:textId="2661DE45"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 xml:space="preserve">Medicare Benefits Schedule </w:t>
            </w:r>
          </w:p>
        </w:tc>
      </w:tr>
      <w:tr w:rsidR="00A20598" w:rsidRPr="006A6CBD" w14:paraId="2810ABEF" w14:textId="77777777" w:rsidTr="00C14D98">
        <w:trPr>
          <w:tblHeader/>
        </w:trPr>
        <w:tc>
          <w:tcPr>
            <w:tcW w:w="1701" w:type="dxa"/>
            <w:shd w:val="clear" w:color="auto" w:fill="FFFFFF" w:themeFill="background1"/>
            <w:vAlign w:val="center"/>
          </w:tcPr>
          <w:p w14:paraId="08682BD4" w14:textId="22A0B5BC"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MBS item</w:t>
            </w:r>
          </w:p>
        </w:tc>
        <w:tc>
          <w:tcPr>
            <w:tcW w:w="7938" w:type="dxa"/>
            <w:shd w:val="clear" w:color="auto" w:fill="FFFFFF" w:themeFill="background1"/>
            <w:vAlign w:val="center"/>
          </w:tcPr>
          <w:p w14:paraId="1F660669" w14:textId="0A68B2D5"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An administrative object listed in the MBS and used for the purposes of claiming and paying Medicare benefits, consisting of an item number, service descriptor and supporting information, schedule fee and Medicare benefits.</w:t>
            </w:r>
          </w:p>
        </w:tc>
      </w:tr>
      <w:tr w:rsidR="00A20598" w:rsidRPr="006A6CBD" w14:paraId="0B2330C4" w14:textId="77777777" w:rsidTr="00C14D98">
        <w:trPr>
          <w:tblHeader/>
        </w:trPr>
        <w:tc>
          <w:tcPr>
            <w:tcW w:w="1701" w:type="dxa"/>
            <w:shd w:val="clear" w:color="auto" w:fill="FFFFFF" w:themeFill="background1"/>
            <w:vAlign w:val="center"/>
          </w:tcPr>
          <w:p w14:paraId="2DDC9056" w14:textId="601280CE"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MBS service</w:t>
            </w:r>
          </w:p>
        </w:tc>
        <w:tc>
          <w:tcPr>
            <w:tcW w:w="7938" w:type="dxa"/>
            <w:shd w:val="clear" w:color="auto" w:fill="FFFFFF" w:themeFill="background1"/>
            <w:vAlign w:val="center"/>
          </w:tcPr>
          <w:p w14:paraId="0199FA47" w14:textId="40E44D9E"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The actual medical consultation, procedure or test to which the relevant MBS item refers.</w:t>
            </w:r>
          </w:p>
        </w:tc>
      </w:tr>
      <w:tr w:rsidR="00A20598" w:rsidRPr="006A6CBD" w14:paraId="0BCFF134" w14:textId="77777777" w:rsidTr="00C14D98">
        <w:trPr>
          <w:tblHeader/>
        </w:trPr>
        <w:tc>
          <w:tcPr>
            <w:tcW w:w="1701" w:type="dxa"/>
            <w:shd w:val="clear" w:color="auto" w:fill="FFFFFF" w:themeFill="background1"/>
            <w:vAlign w:val="center"/>
          </w:tcPr>
          <w:p w14:paraId="4A754499" w14:textId="43650DC4"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Misuse (of MBS item)</w:t>
            </w:r>
          </w:p>
        </w:tc>
        <w:tc>
          <w:tcPr>
            <w:tcW w:w="7938" w:type="dxa"/>
            <w:shd w:val="clear" w:color="auto" w:fill="FFFFFF" w:themeFill="background1"/>
            <w:vAlign w:val="center"/>
          </w:tcPr>
          <w:p w14:paraId="0FD57AAD" w14:textId="16CDE2AF"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The use of MBS services for purposes other than those intended. This includes a range of behaviours, from failing to adhere to particular item descriptors or rules through to deliberate fraud.</w:t>
            </w:r>
          </w:p>
        </w:tc>
      </w:tr>
      <w:tr w:rsidR="00A20598" w:rsidRPr="006A6CBD" w14:paraId="0C5B895F" w14:textId="77777777" w:rsidTr="00C14D98">
        <w:trPr>
          <w:tblHeader/>
        </w:trPr>
        <w:tc>
          <w:tcPr>
            <w:tcW w:w="1701" w:type="dxa"/>
            <w:shd w:val="clear" w:color="auto" w:fill="FFFFFF" w:themeFill="background1"/>
            <w:vAlign w:val="center"/>
          </w:tcPr>
          <w:p w14:paraId="0C405440" w14:textId="2EB1BBA8"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 xml:space="preserve">New service </w:t>
            </w:r>
          </w:p>
        </w:tc>
        <w:tc>
          <w:tcPr>
            <w:tcW w:w="7938" w:type="dxa"/>
            <w:shd w:val="clear" w:color="auto" w:fill="FFFFFF" w:themeFill="background1"/>
            <w:vAlign w:val="center"/>
          </w:tcPr>
          <w:p w14:paraId="1AECE009" w14:textId="7378F412"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A20598" w:rsidRPr="006A6CBD" w14:paraId="0F558B00" w14:textId="77777777" w:rsidTr="00C14D98">
        <w:trPr>
          <w:tblHeader/>
        </w:trPr>
        <w:tc>
          <w:tcPr>
            <w:tcW w:w="1701" w:type="dxa"/>
            <w:shd w:val="clear" w:color="auto" w:fill="FFFFFF" w:themeFill="background1"/>
            <w:vAlign w:val="center"/>
          </w:tcPr>
          <w:p w14:paraId="6345BC17" w14:textId="5FC233BF"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No change or leave unchanged</w:t>
            </w:r>
          </w:p>
        </w:tc>
        <w:tc>
          <w:tcPr>
            <w:tcW w:w="7938" w:type="dxa"/>
            <w:shd w:val="clear" w:color="auto" w:fill="FFFFFF" w:themeFill="background1"/>
            <w:vAlign w:val="center"/>
          </w:tcPr>
          <w:p w14:paraId="054DA8E8" w14:textId="384821CB"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A20598" w:rsidRPr="006A6CBD" w14:paraId="6C8FD8C8" w14:textId="77777777" w:rsidTr="00C14D98">
        <w:trPr>
          <w:tblHeader/>
        </w:trPr>
        <w:tc>
          <w:tcPr>
            <w:tcW w:w="1701" w:type="dxa"/>
            <w:shd w:val="clear" w:color="auto" w:fill="FFFFFF" w:themeFill="background1"/>
            <w:vAlign w:val="center"/>
          </w:tcPr>
          <w:p w14:paraId="5D1CE792" w14:textId="657C731B"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Obsolete services / items</w:t>
            </w:r>
          </w:p>
        </w:tc>
        <w:tc>
          <w:tcPr>
            <w:tcW w:w="7938" w:type="dxa"/>
            <w:shd w:val="clear" w:color="auto" w:fill="FFFFFF" w:themeFill="background1"/>
            <w:vAlign w:val="center"/>
          </w:tcPr>
          <w:p w14:paraId="38ECB95C" w14:textId="7258B5C9"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Services that should no longer be performed as they do not represent current clinical best practice and have been superseded by superior tests or procedures.</w:t>
            </w:r>
          </w:p>
        </w:tc>
      </w:tr>
      <w:tr w:rsidR="00A20598" w:rsidRPr="006A6CBD" w14:paraId="57CD9558" w14:textId="77777777" w:rsidTr="00C14D98">
        <w:trPr>
          <w:tblHeader/>
        </w:trPr>
        <w:tc>
          <w:tcPr>
            <w:tcW w:w="1701" w:type="dxa"/>
            <w:shd w:val="clear" w:color="auto" w:fill="FFFFFF" w:themeFill="background1"/>
            <w:vAlign w:val="center"/>
          </w:tcPr>
          <w:p w14:paraId="7FFA8394" w14:textId="04E7372D"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PBS</w:t>
            </w:r>
          </w:p>
        </w:tc>
        <w:tc>
          <w:tcPr>
            <w:tcW w:w="7938" w:type="dxa"/>
            <w:shd w:val="clear" w:color="auto" w:fill="FFFFFF" w:themeFill="background1"/>
            <w:vAlign w:val="center"/>
          </w:tcPr>
          <w:p w14:paraId="4896AF3D" w14:textId="353C6389"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Pharmaceutical Benefits Scheme</w:t>
            </w:r>
          </w:p>
        </w:tc>
      </w:tr>
      <w:tr w:rsidR="00A20598" w:rsidRPr="006A6CBD" w14:paraId="7F193FF1" w14:textId="77777777" w:rsidTr="00C14D98">
        <w:trPr>
          <w:tblHeader/>
        </w:trPr>
        <w:tc>
          <w:tcPr>
            <w:tcW w:w="1701" w:type="dxa"/>
            <w:shd w:val="clear" w:color="auto" w:fill="FFFFFF" w:themeFill="background1"/>
            <w:vAlign w:val="center"/>
          </w:tcPr>
          <w:p w14:paraId="12525A95" w14:textId="06B705B4"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Services average annual growth</w:t>
            </w:r>
          </w:p>
        </w:tc>
        <w:tc>
          <w:tcPr>
            <w:tcW w:w="7938" w:type="dxa"/>
            <w:shd w:val="clear" w:color="auto" w:fill="FFFFFF" w:themeFill="background1"/>
            <w:vAlign w:val="center"/>
          </w:tcPr>
          <w:p w14:paraId="7C69BA33" w14:textId="36627553"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The average growth per year, over five years to 2016/17, in utilisation of services. Also known as the compound annual growth rate (CAGR).</w:t>
            </w:r>
          </w:p>
        </w:tc>
      </w:tr>
      <w:tr w:rsidR="00A20598" w:rsidRPr="006A6CBD" w14:paraId="2DFB44BE" w14:textId="77777777" w:rsidTr="00C14D98">
        <w:trPr>
          <w:tblHeader/>
        </w:trPr>
        <w:tc>
          <w:tcPr>
            <w:tcW w:w="1701" w:type="dxa"/>
            <w:shd w:val="clear" w:color="auto" w:fill="FFFFFF" w:themeFill="background1"/>
            <w:vAlign w:val="center"/>
          </w:tcPr>
          <w:p w14:paraId="6FF72769" w14:textId="6886B16B"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Taskforce</w:t>
            </w:r>
            <w:r w:rsidR="004341BB" w:rsidRPr="006A6CBD">
              <w:rPr>
                <w:b w:val="0"/>
                <w:color w:val="auto"/>
                <w:sz w:val="20"/>
                <w:szCs w:val="20"/>
              </w:rPr>
              <w:t>, the</w:t>
            </w:r>
            <w:r w:rsidRPr="006A6CBD">
              <w:rPr>
                <w:b w:val="0"/>
                <w:color w:val="auto"/>
                <w:sz w:val="20"/>
                <w:szCs w:val="20"/>
              </w:rPr>
              <w:t xml:space="preserve"> </w:t>
            </w:r>
          </w:p>
        </w:tc>
        <w:tc>
          <w:tcPr>
            <w:tcW w:w="7938" w:type="dxa"/>
            <w:shd w:val="clear" w:color="auto" w:fill="FFFFFF" w:themeFill="background1"/>
            <w:vAlign w:val="center"/>
          </w:tcPr>
          <w:p w14:paraId="77AFCA92" w14:textId="6F86443C"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 xml:space="preserve">The MBS Review Taskforce </w:t>
            </w:r>
          </w:p>
        </w:tc>
      </w:tr>
      <w:tr w:rsidR="00A20598" w:rsidRPr="006A6CBD" w14:paraId="11E76650" w14:textId="77777777" w:rsidTr="00C14D98">
        <w:trPr>
          <w:tblHeader/>
        </w:trPr>
        <w:tc>
          <w:tcPr>
            <w:tcW w:w="1701" w:type="dxa"/>
            <w:shd w:val="clear" w:color="auto" w:fill="FFFFFF" w:themeFill="background1"/>
            <w:vAlign w:val="center"/>
          </w:tcPr>
          <w:p w14:paraId="151FAEC6" w14:textId="754CD6AA"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Total benefits</w:t>
            </w:r>
          </w:p>
        </w:tc>
        <w:tc>
          <w:tcPr>
            <w:tcW w:w="7938" w:type="dxa"/>
            <w:shd w:val="clear" w:color="auto" w:fill="FFFFFF" w:themeFill="background1"/>
            <w:vAlign w:val="center"/>
          </w:tcPr>
          <w:p w14:paraId="7B80A92F" w14:textId="1FD41C2A" w:rsidR="00A20598" w:rsidRPr="006A6CBD" w:rsidRDefault="00A20598" w:rsidP="006A6CBD">
            <w:pPr>
              <w:pStyle w:val="Tableheading-white"/>
              <w:spacing w:before="0" w:after="0" w:line="276" w:lineRule="auto"/>
              <w:rPr>
                <w:b w:val="0"/>
                <w:color w:val="auto"/>
                <w:sz w:val="20"/>
                <w:szCs w:val="20"/>
              </w:rPr>
            </w:pPr>
            <w:r w:rsidRPr="006A6CBD">
              <w:rPr>
                <w:b w:val="0"/>
                <w:color w:val="auto"/>
                <w:sz w:val="20"/>
                <w:szCs w:val="20"/>
              </w:rPr>
              <w:t>Total benefits paid in 2016/17 unless otherwise specified.</w:t>
            </w:r>
          </w:p>
        </w:tc>
      </w:tr>
    </w:tbl>
    <w:p w14:paraId="5EC8DE71" w14:textId="77777777" w:rsidR="0096332E" w:rsidRPr="006A6CBD" w:rsidRDefault="0096332E" w:rsidP="006A6CBD">
      <w:pPr>
        <w:spacing w:line="276" w:lineRule="auto"/>
        <w:rPr>
          <w:b/>
        </w:rPr>
        <w:sectPr w:rsidR="0096332E" w:rsidRPr="006A6CBD" w:rsidSect="00C14D98">
          <w:footerReference w:type="default" r:id="rId19"/>
          <w:pgSz w:w="11906" w:h="16838" w:code="9"/>
          <w:pgMar w:top="1135" w:right="1797" w:bottom="1440" w:left="1797" w:header="720" w:footer="720" w:gutter="0"/>
          <w:cols w:space="720"/>
          <w:docGrid w:linePitch="326"/>
        </w:sectPr>
      </w:pPr>
    </w:p>
    <w:p w14:paraId="19E170F5" w14:textId="77777777" w:rsidR="0096332E" w:rsidRPr="006A6CBD" w:rsidRDefault="0096332E" w:rsidP="0087705D">
      <w:pPr>
        <w:pStyle w:val="Header1"/>
      </w:pPr>
      <w:bookmarkStart w:id="154" w:name="_Toc8995617"/>
      <w:r w:rsidRPr="006A6CBD">
        <w:lastRenderedPageBreak/>
        <w:t>Appendix A—Assigned items - Changes</w:t>
      </w:r>
      <w:bookmarkEnd w:id="154"/>
    </w:p>
    <w:tbl>
      <w:tblPr>
        <w:tblStyle w:val="TableGrid2"/>
        <w:tblW w:w="0" w:type="auto"/>
        <w:tblLook w:val="04A0" w:firstRow="1" w:lastRow="0" w:firstColumn="1" w:lastColumn="0" w:noHBand="0" w:noVBand="1"/>
        <w:tblCaption w:val="Assigned items: recommendations list"/>
        <w:tblDescription w:val="Appendix A is a table of recommendations for items assigned to the Blood Products Working Group. There are 4 columns – column 1: Item, column 2: Current descriptor, column 3: Recommendation, and column 4: Page reference."/>
      </w:tblPr>
      <w:tblGrid>
        <w:gridCol w:w="1695"/>
        <w:gridCol w:w="723"/>
        <w:gridCol w:w="4098"/>
        <w:gridCol w:w="6718"/>
      </w:tblGrid>
      <w:tr w:rsidR="0096332E" w:rsidRPr="006A6CBD" w14:paraId="41C39723" w14:textId="77777777" w:rsidTr="00991D7B">
        <w:trPr>
          <w:tblHeader/>
        </w:trPr>
        <w:tc>
          <w:tcPr>
            <w:tcW w:w="1695" w:type="dxa"/>
            <w:shd w:val="clear" w:color="auto" w:fill="EEECE1" w:themeFill="background2"/>
          </w:tcPr>
          <w:p w14:paraId="78B7177B" w14:textId="77777777" w:rsidR="0096332E" w:rsidRPr="006A6CBD" w:rsidRDefault="0096332E" w:rsidP="006A6CBD">
            <w:pPr>
              <w:rPr>
                <w:rFonts w:cstheme="minorHAnsi"/>
                <w:sz w:val="20"/>
                <w:szCs w:val="20"/>
              </w:rPr>
            </w:pPr>
            <w:r w:rsidRPr="006A6CBD">
              <w:rPr>
                <w:rFonts w:cstheme="minorHAnsi"/>
                <w:sz w:val="20"/>
                <w:szCs w:val="20"/>
              </w:rPr>
              <w:t>Recommendation</w:t>
            </w:r>
          </w:p>
        </w:tc>
        <w:tc>
          <w:tcPr>
            <w:tcW w:w="723" w:type="dxa"/>
            <w:shd w:val="clear" w:color="auto" w:fill="EEECE1" w:themeFill="background2"/>
          </w:tcPr>
          <w:p w14:paraId="230CB788" w14:textId="77777777" w:rsidR="0096332E" w:rsidRPr="006A6CBD" w:rsidRDefault="0096332E" w:rsidP="006A6CBD">
            <w:pPr>
              <w:rPr>
                <w:rFonts w:cstheme="minorHAnsi"/>
                <w:sz w:val="20"/>
                <w:szCs w:val="20"/>
              </w:rPr>
            </w:pPr>
            <w:r w:rsidRPr="006A6CBD">
              <w:rPr>
                <w:rFonts w:cstheme="minorHAnsi"/>
                <w:sz w:val="20"/>
                <w:szCs w:val="20"/>
              </w:rPr>
              <w:t>Item</w:t>
            </w:r>
          </w:p>
        </w:tc>
        <w:tc>
          <w:tcPr>
            <w:tcW w:w="4098" w:type="dxa"/>
            <w:shd w:val="clear" w:color="auto" w:fill="EEECE1" w:themeFill="background2"/>
            <w:vAlign w:val="bottom"/>
          </w:tcPr>
          <w:p w14:paraId="39E99AF9" w14:textId="77777777" w:rsidR="0096332E" w:rsidRPr="006A6CBD" w:rsidRDefault="0096332E" w:rsidP="006A6CBD">
            <w:pPr>
              <w:rPr>
                <w:rFonts w:cstheme="minorHAnsi"/>
                <w:sz w:val="20"/>
                <w:szCs w:val="20"/>
              </w:rPr>
            </w:pPr>
            <w:r w:rsidRPr="006A6CBD">
              <w:rPr>
                <w:rFonts w:cstheme="minorHAnsi"/>
                <w:sz w:val="20"/>
                <w:szCs w:val="20"/>
              </w:rPr>
              <w:t xml:space="preserve">Current descriptor </w:t>
            </w:r>
          </w:p>
        </w:tc>
        <w:tc>
          <w:tcPr>
            <w:tcW w:w="6718" w:type="dxa"/>
            <w:shd w:val="clear" w:color="auto" w:fill="EEECE1" w:themeFill="background2"/>
          </w:tcPr>
          <w:p w14:paraId="51EB0FA2" w14:textId="77777777" w:rsidR="0096332E" w:rsidRPr="006A6CBD" w:rsidRDefault="0096332E" w:rsidP="006A6CBD">
            <w:pPr>
              <w:rPr>
                <w:rFonts w:cstheme="minorHAnsi"/>
                <w:sz w:val="20"/>
                <w:szCs w:val="20"/>
              </w:rPr>
            </w:pPr>
            <w:r w:rsidRPr="006A6CBD">
              <w:rPr>
                <w:rFonts w:cstheme="minorHAnsi"/>
                <w:sz w:val="20"/>
                <w:szCs w:val="20"/>
              </w:rPr>
              <w:t>Proposed change (bold text)</w:t>
            </w:r>
          </w:p>
        </w:tc>
      </w:tr>
      <w:tr w:rsidR="005E33D0" w:rsidRPr="006A6CBD" w14:paraId="358FB191" w14:textId="77777777" w:rsidTr="005E33D0">
        <w:tc>
          <w:tcPr>
            <w:tcW w:w="1695" w:type="dxa"/>
            <w:vMerge w:val="restart"/>
          </w:tcPr>
          <w:p w14:paraId="0789F907" w14:textId="77777777" w:rsidR="005E33D0" w:rsidRPr="006A6CBD" w:rsidRDefault="005E33D0" w:rsidP="006A6CBD">
            <w:pPr>
              <w:rPr>
                <w:rFonts w:cstheme="minorHAnsi"/>
                <w:sz w:val="20"/>
                <w:szCs w:val="20"/>
              </w:rPr>
            </w:pPr>
            <w:r w:rsidRPr="006A6CBD">
              <w:rPr>
                <w:rFonts w:cstheme="minorHAnsi"/>
                <w:sz w:val="20"/>
                <w:szCs w:val="20"/>
              </w:rPr>
              <w:t>1</w:t>
            </w:r>
          </w:p>
        </w:tc>
        <w:tc>
          <w:tcPr>
            <w:tcW w:w="723" w:type="dxa"/>
          </w:tcPr>
          <w:p w14:paraId="532336D1" w14:textId="77777777" w:rsidR="005E33D0" w:rsidRPr="006A6CBD" w:rsidRDefault="005E33D0" w:rsidP="006A6CBD">
            <w:pPr>
              <w:rPr>
                <w:rFonts w:cstheme="minorHAnsi"/>
                <w:sz w:val="20"/>
                <w:szCs w:val="20"/>
              </w:rPr>
            </w:pPr>
            <w:r w:rsidRPr="006A6CBD">
              <w:rPr>
                <w:rFonts w:cstheme="minorHAnsi"/>
                <w:sz w:val="20"/>
                <w:szCs w:val="20"/>
              </w:rPr>
              <w:t>13703</w:t>
            </w:r>
          </w:p>
        </w:tc>
        <w:tc>
          <w:tcPr>
            <w:tcW w:w="4098" w:type="dxa"/>
          </w:tcPr>
          <w:p w14:paraId="08FACF63" w14:textId="77777777" w:rsidR="005E33D0" w:rsidRPr="006A6CBD" w:rsidRDefault="005E33D0" w:rsidP="006A6CBD">
            <w:pPr>
              <w:rPr>
                <w:rFonts w:cstheme="minorHAnsi"/>
                <w:sz w:val="20"/>
                <w:szCs w:val="20"/>
              </w:rPr>
            </w:pPr>
            <w:r w:rsidRPr="006A6CBD">
              <w:rPr>
                <w:rFonts w:cstheme="minorHAnsi"/>
                <w:sz w:val="20"/>
                <w:szCs w:val="20"/>
              </w:rPr>
              <w:t>Transfusion of blood, including collection from donor</w:t>
            </w:r>
          </w:p>
        </w:tc>
        <w:tc>
          <w:tcPr>
            <w:tcW w:w="6718" w:type="dxa"/>
          </w:tcPr>
          <w:p w14:paraId="18F2CC2E" w14:textId="77777777" w:rsidR="005E33D0" w:rsidRPr="006A6CBD" w:rsidRDefault="005E33D0" w:rsidP="006A6CBD">
            <w:pPr>
              <w:rPr>
                <w:rFonts w:cstheme="minorHAnsi"/>
                <w:sz w:val="20"/>
                <w:szCs w:val="20"/>
              </w:rPr>
            </w:pPr>
            <w:r w:rsidRPr="006A6CBD">
              <w:rPr>
                <w:rFonts w:cstheme="minorHAnsi"/>
                <w:sz w:val="20"/>
                <w:szCs w:val="20"/>
              </w:rPr>
              <w:t xml:space="preserve">Transfusion of blood, including collection from donor, </w:t>
            </w:r>
            <w:r w:rsidRPr="006A6CBD">
              <w:rPr>
                <w:rFonts w:cstheme="minorHAnsi"/>
                <w:b/>
                <w:sz w:val="20"/>
                <w:szCs w:val="20"/>
              </w:rPr>
              <w:t>when used for intra-operative normovolaemic haemodilution</w:t>
            </w:r>
          </w:p>
        </w:tc>
      </w:tr>
      <w:tr w:rsidR="005E33D0" w:rsidRPr="006A6CBD" w14:paraId="3E5DDFB8" w14:textId="77777777" w:rsidTr="005E33D0">
        <w:tc>
          <w:tcPr>
            <w:tcW w:w="1695" w:type="dxa"/>
            <w:vMerge/>
          </w:tcPr>
          <w:p w14:paraId="649BCBA2" w14:textId="3AD8D245" w:rsidR="005E33D0" w:rsidRPr="006A6CBD" w:rsidRDefault="005E33D0" w:rsidP="006A6CBD">
            <w:pPr>
              <w:rPr>
                <w:rFonts w:cstheme="minorHAnsi"/>
                <w:sz w:val="20"/>
                <w:szCs w:val="20"/>
              </w:rPr>
            </w:pPr>
          </w:p>
        </w:tc>
        <w:tc>
          <w:tcPr>
            <w:tcW w:w="723" w:type="dxa"/>
          </w:tcPr>
          <w:p w14:paraId="47DFFC63" w14:textId="77777777" w:rsidR="005E33D0" w:rsidRPr="006A6CBD" w:rsidRDefault="005E33D0" w:rsidP="006A6CBD">
            <w:pPr>
              <w:rPr>
                <w:rFonts w:cstheme="minorHAnsi"/>
                <w:sz w:val="20"/>
                <w:szCs w:val="20"/>
              </w:rPr>
            </w:pPr>
            <w:r w:rsidRPr="006A6CBD">
              <w:rPr>
                <w:rFonts w:cstheme="minorHAnsi"/>
                <w:sz w:val="20"/>
                <w:szCs w:val="20"/>
              </w:rPr>
              <w:t>13706</w:t>
            </w:r>
          </w:p>
        </w:tc>
        <w:tc>
          <w:tcPr>
            <w:tcW w:w="4098" w:type="dxa"/>
          </w:tcPr>
          <w:p w14:paraId="76E24970" w14:textId="77777777" w:rsidR="005E33D0" w:rsidRPr="006A6CBD" w:rsidRDefault="005E33D0" w:rsidP="006A6CBD">
            <w:pPr>
              <w:rPr>
                <w:rFonts w:cstheme="minorHAnsi"/>
                <w:sz w:val="20"/>
                <w:szCs w:val="20"/>
              </w:rPr>
            </w:pPr>
            <w:r w:rsidRPr="006A6CBD">
              <w:rPr>
                <w:rFonts w:cstheme="minorHAnsi"/>
                <w:sz w:val="20"/>
                <w:szCs w:val="20"/>
              </w:rPr>
              <w:t>Transfusion of blood or bone marrow already collected</w:t>
            </w:r>
          </w:p>
        </w:tc>
        <w:tc>
          <w:tcPr>
            <w:tcW w:w="6718" w:type="dxa"/>
          </w:tcPr>
          <w:p w14:paraId="622847F8" w14:textId="77777777" w:rsidR="005E33D0" w:rsidRPr="006A6CBD" w:rsidRDefault="005E33D0" w:rsidP="006A6CBD">
            <w:pPr>
              <w:rPr>
                <w:rFonts w:cstheme="minorHAnsi"/>
                <w:sz w:val="20"/>
                <w:szCs w:val="20"/>
              </w:rPr>
            </w:pPr>
            <w:r w:rsidRPr="006A6CBD">
              <w:rPr>
                <w:rFonts w:cstheme="minorHAnsi"/>
                <w:sz w:val="20"/>
                <w:szCs w:val="20"/>
              </w:rPr>
              <w:t xml:space="preserve">Transfusion of blood or bone marrow already collect </w:t>
            </w:r>
            <w:r w:rsidRPr="006A6CBD">
              <w:rPr>
                <w:rFonts w:cstheme="minorHAnsi"/>
                <w:b/>
                <w:sz w:val="20"/>
                <w:szCs w:val="20"/>
              </w:rPr>
              <w:t>excluding the transfusion of immunoglobulin</w:t>
            </w:r>
          </w:p>
        </w:tc>
      </w:tr>
      <w:tr w:rsidR="005E33D0" w:rsidRPr="006A6CBD" w14:paraId="2D189763" w14:textId="77777777" w:rsidTr="005E33D0">
        <w:tc>
          <w:tcPr>
            <w:tcW w:w="1695" w:type="dxa"/>
            <w:vMerge/>
          </w:tcPr>
          <w:p w14:paraId="325C5B87" w14:textId="1420FA53" w:rsidR="005E33D0" w:rsidRPr="006A6CBD" w:rsidRDefault="005E33D0" w:rsidP="006A6CBD">
            <w:pPr>
              <w:rPr>
                <w:rFonts w:cstheme="minorHAnsi"/>
                <w:sz w:val="20"/>
                <w:szCs w:val="20"/>
              </w:rPr>
            </w:pPr>
          </w:p>
        </w:tc>
        <w:tc>
          <w:tcPr>
            <w:tcW w:w="723" w:type="dxa"/>
          </w:tcPr>
          <w:p w14:paraId="1C30210A" w14:textId="77777777" w:rsidR="005E33D0" w:rsidRPr="006A6CBD" w:rsidRDefault="005E33D0" w:rsidP="006A6CBD">
            <w:pPr>
              <w:rPr>
                <w:rFonts w:cstheme="minorHAnsi"/>
                <w:sz w:val="20"/>
                <w:szCs w:val="20"/>
              </w:rPr>
            </w:pPr>
            <w:r w:rsidRPr="006A6CBD">
              <w:rPr>
                <w:rFonts w:cstheme="minorHAnsi"/>
                <w:sz w:val="20"/>
                <w:szCs w:val="20"/>
              </w:rPr>
              <w:t>13709</w:t>
            </w:r>
          </w:p>
        </w:tc>
        <w:tc>
          <w:tcPr>
            <w:tcW w:w="4098" w:type="dxa"/>
          </w:tcPr>
          <w:p w14:paraId="7D702BAF" w14:textId="77777777" w:rsidR="005E33D0" w:rsidRPr="006A6CBD" w:rsidRDefault="005E33D0" w:rsidP="006A6CBD">
            <w:pPr>
              <w:rPr>
                <w:rFonts w:cstheme="minorHAnsi"/>
                <w:sz w:val="20"/>
                <w:szCs w:val="20"/>
              </w:rPr>
            </w:pPr>
            <w:r w:rsidRPr="006A6CBD">
              <w:rPr>
                <w:rFonts w:cstheme="minorHAnsi"/>
                <w:sz w:val="20"/>
                <w:szCs w:val="20"/>
              </w:rPr>
              <w:t>Collection of blood for autologous transfusion or when homologous blood is required for immediate transfusion in emergency situation</w:t>
            </w:r>
          </w:p>
        </w:tc>
        <w:tc>
          <w:tcPr>
            <w:tcW w:w="6718" w:type="dxa"/>
          </w:tcPr>
          <w:p w14:paraId="5348DB79" w14:textId="77777777" w:rsidR="005E33D0" w:rsidRPr="006A6CBD" w:rsidRDefault="005E33D0" w:rsidP="006A6CBD">
            <w:pPr>
              <w:rPr>
                <w:rFonts w:cstheme="minorHAnsi"/>
                <w:b/>
                <w:sz w:val="20"/>
                <w:szCs w:val="20"/>
              </w:rPr>
            </w:pPr>
            <w:r w:rsidRPr="006A6CBD">
              <w:rPr>
                <w:rFonts w:cstheme="minorHAnsi"/>
                <w:b/>
                <w:sz w:val="20"/>
                <w:szCs w:val="20"/>
              </w:rPr>
              <w:t>Delete</w:t>
            </w:r>
          </w:p>
        </w:tc>
      </w:tr>
      <w:tr w:rsidR="0096332E" w:rsidRPr="006A6CBD" w14:paraId="772FEDE5" w14:textId="77777777" w:rsidTr="005E33D0">
        <w:tc>
          <w:tcPr>
            <w:tcW w:w="1695" w:type="dxa"/>
          </w:tcPr>
          <w:p w14:paraId="2374700E" w14:textId="6524D4F3" w:rsidR="0096332E" w:rsidRPr="006A6CBD" w:rsidRDefault="005E33D0" w:rsidP="006A6CBD">
            <w:pPr>
              <w:rPr>
                <w:rFonts w:cstheme="minorHAnsi"/>
                <w:sz w:val="20"/>
                <w:szCs w:val="20"/>
              </w:rPr>
            </w:pPr>
            <w:r w:rsidRPr="006A6CBD">
              <w:rPr>
                <w:rFonts w:cstheme="minorHAnsi"/>
                <w:sz w:val="20"/>
                <w:szCs w:val="20"/>
              </w:rPr>
              <w:t>2</w:t>
            </w:r>
          </w:p>
        </w:tc>
        <w:tc>
          <w:tcPr>
            <w:tcW w:w="723" w:type="dxa"/>
          </w:tcPr>
          <w:p w14:paraId="44FBA0AD" w14:textId="77777777" w:rsidR="0096332E" w:rsidRPr="006A6CBD" w:rsidRDefault="0096332E" w:rsidP="006A6CBD">
            <w:pPr>
              <w:rPr>
                <w:rFonts w:cstheme="minorHAnsi"/>
                <w:sz w:val="20"/>
                <w:szCs w:val="20"/>
              </w:rPr>
            </w:pPr>
            <w:r w:rsidRPr="006A6CBD">
              <w:rPr>
                <w:rFonts w:cstheme="minorHAnsi"/>
                <w:sz w:val="20"/>
                <w:szCs w:val="20"/>
              </w:rPr>
              <w:t>13760</w:t>
            </w:r>
          </w:p>
        </w:tc>
        <w:tc>
          <w:tcPr>
            <w:tcW w:w="4098" w:type="dxa"/>
          </w:tcPr>
          <w:p w14:paraId="044FF3A7" w14:textId="77777777" w:rsidR="0096332E" w:rsidRPr="006A6CBD" w:rsidRDefault="0096332E" w:rsidP="006A6CBD">
            <w:pPr>
              <w:rPr>
                <w:rFonts w:cstheme="minorHAnsi"/>
                <w:sz w:val="20"/>
                <w:szCs w:val="20"/>
              </w:rPr>
            </w:pPr>
            <w:r w:rsidRPr="006A6CBD">
              <w:rPr>
                <w:rFonts w:cstheme="minorHAnsi"/>
                <w:sz w:val="20"/>
                <w:szCs w:val="20"/>
              </w:rPr>
              <w:t xml:space="preserve">In vitro processing (and cryopreservation) of bone marrow or peripheral blood for autologous stem cell transplantation as an adjunct to high dose chemotherapy for.chemosensitive intermediate or high grade non-Hodgkin's lymphoma at high risk of relapse following first line chemotherapy; or . Hodgkin's disease which has relapsed following, or is refractory to, chemotherapy; or Acute myelogenous leukaemia in first remission, where suitable genotypically matched sibling donor is not available for allogenic bone marrow transplant; or multiple </w:t>
            </w:r>
            <w:r w:rsidRPr="006A6CBD">
              <w:rPr>
                <w:rFonts w:cstheme="minorHAnsi"/>
                <w:sz w:val="20"/>
                <w:szCs w:val="20"/>
              </w:rPr>
              <w:lastRenderedPageBreak/>
              <w:t>myeloma in remission (complete or partial) following standard dose chemotherapy; or small round cell sarcomas; or primitive neuroectodermal tumour; or germ cell tumours which have relapsed following, or are refractory to, chemotherapy; or germ cell tumours which have had an incomplete response to first line therapy. - performed under the supervision of a consultant physician – each day</w:t>
            </w:r>
          </w:p>
        </w:tc>
        <w:tc>
          <w:tcPr>
            <w:tcW w:w="6718" w:type="dxa"/>
          </w:tcPr>
          <w:p w14:paraId="0A43093D" w14:textId="77777777" w:rsidR="0096332E" w:rsidRPr="006A6CBD" w:rsidRDefault="0096332E" w:rsidP="006A6CBD">
            <w:pPr>
              <w:pStyle w:val="NormalBulleted"/>
              <w:spacing w:before="120" w:after="60" w:line="240" w:lineRule="auto"/>
              <w:contextualSpacing w:val="0"/>
              <w:rPr>
                <w:rFonts w:cstheme="minorHAnsi"/>
                <w:sz w:val="20"/>
                <w:szCs w:val="20"/>
              </w:rPr>
            </w:pPr>
            <w:r w:rsidRPr="006A6CBD">
              <w:rPr>
                <w:rFonts w:cstheme="minorHAnsi"/>
                <w:sz w:val="20"/>
                <w:szCs w:val="20"/>
              </w:rPr>
              <w:lastRenderedPageBreak/>
              <w:t>In vitro processing and cryopreservation of bone marrow or peripheral blood:</w:t>
            </w:r>
          </w:p>
          <w:p w14:paraId="48C62C25" w14:textId="77777777" w:rsidR="0096332E" w:rsidRPr="006A6CBD" w:rsidRDefault="0096332E" w:rsidP="006A6CBD">
            <w:pPr>
              <w:pStyle w:val="NormalBulleted"/>
              <w:spacing w:before="120" w:after="60" w:line="240" w:lineRule="auto"/>
              <w:contextualSpacing w:val="0"/>
              <w:rPr>
                <w:rFonts w:cstheme="minorHAnsi"/>
                <w:b/>
                <w:sz w:val="20"/>
                <w:szCs w:val="20"/>
              </w:rPr>
            </w:pPr>
            <w:r w:rsidRPr="006A6CBD">
              <w:rPr>
                <w:rFonts w:cstheme="minorHAnsi"/>
                <w:sz w:val="20"/>
                <w:szCs w:val="20"/>
              </w:rPr>
              <w:t xml:space="preserve">1. for autologous stem cell transplantation in association with high-dose chemotherapy for </w:t>
            </w:r>
            <w:r w:rsidRPr="006A6CBD">
              <w:rPr>
                <w:rFonts w:cstheme="minorHAnsi"/>
                <w:b/>
                <w:sz w:val="20"/>
                <w:szCs w:val="20"/>
              </w:rPr>
              <w:t>management of aggressive malignancy</w:t>
            </w:r>
            <w:r w:rsidRPr="006A6CBD">
              <w:rPr>
                <w:rFonts w:cstheme="minorHAnsi"/>
                <w:sz w:val="20"/>
                <w:szCs w:val="20"/>
              </w:rPr>
              <w:t xml:space="preserve">; </w:t>
            </w:r>
            <w:r w:rsidRPr="006A6CBD">
              <w:rPr>
                <w:rFonts w:cstheme="minorHAnsi"/>
                <w:b/>
                <w:sz w:val="20"/>
                <w:szCs w:val="20"/>
              </w:rPr>
              <w:t xml:space="preserve">and </w:t>
            </w:r>
          </w:p>
          <w:p w14:paraId="7598701D" w14:textId="77777777" w:rsidR="0096332E" w:rsidRPr="006A6CBD" w:rsidRDefault="0096332E" w:rsidP="006A6CBD">
            <w:pPr>
              <w:pStyle w:val="NormalBulleted"/>
              <w:spacing w:before="120" w:after="60" w:line="240" w:lineRule="auto"/>
              <w:contextualSpacing w:val="0"/>
              <w:rPr>
                <w:rFonts w:cstheme="minorHAnsi"/>
                <w:sz w:val="20"/>
                <w:szCs w:val="20"/>
              </w:rPr>
            </w:pPr>
            <w:r w:rsidRPr="006A6CBD">
              <w:rPr>
                <w:rFonts w:cstheme="minorHAnsi"/>
                <w:sz w:val="20"/>
                <w:szCs w:val="20"/>
              </w:rPr>
              <w:t>2. in a treatment program overseen by a multidisciplinary team experienced in the management of malignant disorders</w:t>
            </w:r>
          </w:p>
          <w:p w14:paraId="7411FF38" w14:textId="77777777" w:rsidR="0096332E" w:rsidRPr="006A6CBD" w:rsidRDefault="0096332E" w:rsidP="006A6CBD">
            <w:pPr>
              <w:pStyle w:val="NormalBulleted"/>
              <w:numPr>
                <w:ilvl w:val="0"/>
                <w:numId w:val="0"/>
              </w:numPr>
              <w:spacing w:line="240" w:lineRule="auto"/>
              <w:ind w:left="431"/>
              <w:rPr>
                <w:rFonts w:cstheme="minorHAnsi"/>
                <w:b/>
                <w:i/>
                <w:sz w:val="20"/>
                <w:szCs w:val="20"/>
              </w:rPr>
            </w:pPr>
            <w:r w:rsidRPr="006A6CBD">
              <w:rPr>
                <w:rFonts w:cstheme="minorHAnsi"/>
                <w:b/>
                <w:i/>
                <w:sz w:val="20"/>
                <w:szCs w:val="20"/>
              </w:rPr>
              <w:t>Explanatory note: MBS rebates for autologous stem cell transplantation are only available for patients with aggressive malignancy who meet the criteria for treatment according to:</w:t>
            </w:r>
          </w:p>
          <w:p w14:paraId="7178FCC1" w14:textId="77777777" w:rsidR="0096332E" w:rsidRPr="006A6CBD" w:rsidRDefault="0096332E" w:rsidP="006A6CBD">
            <w:pPr>
              <w:pStyle w:val="NormalBulleted"/>
              <w:numPr>
                <w:ilvl w:val="0"/>
                <w:numId w:val="0"/>
              </w:numPr>
              <w:spacing w:line="240" w:lineRule="auto"/>
              <w:ind w:left="431"/>
              <w:rPr>
                <w:rFonts w:cstheme="minorHAnsi"/>
                <w:b/>
                <w:i/>
                <w:sz w:val="20"/>
                <w:szCs w:val="20"/>
              </w:rPr>
            </w:pPr>
            <w:r w:rsidRPr="006A6CBD">
              <w:rPr>
                <w:rFonts w:cstheme="minorHAnsi"/>
                <w:b/>
                <w:i/>
                <w:sz w:val="20"/>
                <w:szCs w:val="20"/>
              </w:rPr>
              <w:t>1. Indications for Autologous and Allogeneic Hematopoietic Cell Transplantation: Guidelines from the American Society for Blood and Marrow Transplantation (2015)</w:t>
            </w:r>
          </w:p>
          <w:p w14:paraId="49856A3B" w14:textId="77777777" w:rsidR="0096332E" w:rsidRPr="006A6CBD" w:rsidRDefault="0096332E" w:rsidP="006A6CBD">
            <w:pPr>
              <w:pStyle w:val="NormalBulleted"/>
              <w:numPr>
                <w:ilvl w:val="0"/>
                <w:numId w:val="0"/>
              </w:numPr>
              <w:spacing w:line="240" w:lineRule="auto"/>
              <w:ind w:left="431"/>
              <w:rPr>
                <w:rFonts w:cstheme="minorHAnsi"/>
                <w:b/>
                <w:i/>
                <w:sz w:val="20"/>
                <w:szCs w:val="20"/>
              </w:rPr>
            </w:pPr>
            <w:r w:rsidRPr="006A6CBD">
              <w:rPr>
                <w:rFonts w:cstheme="minorHAnsi"/>
                <w:b/>
                <w:i/>
                <w:color w:val="000000"/>
                <w:sz w:val="20"/>
                <w:szCs w:val="20"/>
                <w:shd w:val="clear" w:color="auto" w:fill="FFFFFF"/>
              </w:rPr>
              <w:t>2. European Society for Blood and Marrow Transplantation:</w:t>
            </w:r>
            <w:r w:rsidRPr="006A6CBD">
              <w:rPr>
                <w:rFonts w:cstheme="minorHAnsi"/>
                <w:b/>
                <w:i/>
                <w:sz w:val="20"/>
                <w:szCs w:val="20"/>
              </w:rPr>
              <w:t xml:space="preserve"> Indications for allo- and auto-SCT for haematological diseases, solid tumours and immune disorders. Current practice in Europe (2015).  </w:t>
            </w:r>
          </w:p>
          <w:p w14:paraId="1E49257D" w14:textId="77777777" w:rsidR="0096332E" w:rsidRPr="006A6CBD" w:rsidRDefault="0096332E" w:rsidP="006A6CBD">
            <w:pPr>
              <w:rPr>
                <w:rFonts w:cstheme="minorHAnsi"/>
                <w:sz w:val="20"/>
                <w:szCs w:val="20"/>
              </w:rPr>
            </w:pPr>
            <w:r w:rsidRPr="006A6CBD">
              <w:rPr>
                <w:rFonts w:cstheme="minorHAnsi"/>
                <w:b/>
                <w:i/>
                <w:sz w:val="20"/>
                <w:szCs w:val="20"/>
              </w:rPr>
              <w:lastRenderedPageBreak/>
              <w:t>In addition, the treatment must be authorised and overseen by a multidisciplinary cancer team</w:t>
            </w:r>
          </w:p>
        </w:tc>
      </w:tr>
    </w:tbl>
    <w:p w14:paraId="3F858773" w14:textId="01F742BB" w:rsidR="0096332E" w:rsidRPr="006A6CBD" w:rsidRDefault="0096332E" w:rsidP="0087705D">
      <w:pPr>
        <w:pStyle w:val="Header1"/>
      </w:pPr>
      <w:bookmarkStart w:id="155" w:name="_Toc8995618"/>
      <w:r w:rsidRPr="006A6CBD">
        <w:lastRenderedPageBreak/>
        <w:t>Assigned items - no change</w:t>
      </w:r>
      <w:bookmarkEnd w:id="155"/>
    </w:p>
    <w:tbl>
      <w:tblPr>
        <w:tblStyle w:val="TableGrid2"/>
        <w:tblW w:w="0" w:type="auto"/>
        <w:tblLook w:val="04A0" w:firstRow="1" w:lastRow="0" w:firstColumn="1" w:lastColumn="0" w:noHBand="0" w:noVBand="1"/>
        <w:tblCaption w:val="Assigned items: recommendations list"/>
        <w:tblDescription w:val="Appendix A is a table of recommendations for items assigned to the Blood Products Working Group. There are 4 columns – column 1: Item, column 2: Current descriptor, column 3: Recommendation, and column 4: Page reference."/>
      </w:tblPr>
      <w:tblGrid>
        <w:gridCol w:w="860"/>
        <w:gridCol w:w="12318"/>
      </w:tblGrid>
      <w:tr w:rsidR="0096332E" w:rsidRPr="006A6CBD" w14:paraId="553AC7E7" w14:textId="77777777" w:rsidTr="00991D7B">
        <w:trPr>
          <w:tblHeader/>
        </w:trPr>
        <w:tc>
          <w:tcPr>
            <w:tcW w:w="860" w:type="dxa"/>
            <w:shd w:val="clear" w:color="auto" w:fill="EEECE1" w:themeFill="background2"/>
            <w:vAlign w:val="bottom"/>
          </w:tcPr>
          <w:p w14:paraId="00AA2DA8" w14:textId="77777777" w:rsidR="0096332E" w:rsidRPr="006A6CBD" w:rsidRDefault="0096332E" w:rsidP="006A6CBD">
            <w:pPr>
              <w:spacing w:line="276" w:lineRule="auto"/>
              <w:rPr>
                <w:rFonts w:cstheme="minorHAnsi"/>
                <w:sz w:val="20"/>
                <w:szCs w:val="20"/>
              </w:rPr>
            </w:pPr>
            <w:r w:rsidRPr="006A6CBD">
              <w:rPr>
                <w:rFonts w:cstheme="minorHAnsi"/>
                <w:sz w:val="20"/>
                <w:szCs w:val="20"/>
              </w:rPr>
              <w:t>Item</w:t>
            </w:r>
          </w:p>
        </w:tc>
        <w:tc>
          <w:tcPr>
            <w:tcW w:w="12318" w:type="dxa"/>
            <w:shd w:val="clear" w:color="auto" w:fill="EEECE1" w:themeFill="background2"/>
            <w:vAlign w:val="bottom"/>
          </w:tcPr>
          <w:p w14:paraId="1BA64892" w14:textId="77777777" w:rsidR="0096332E" w:rsidRPr="006A6CBD" w:rsidRDefault="0096332E" w:rsidP="006A6CBD">
            <w:pPr>
              <w:spacing w:line="276" w:lineRule="auto"/>
              <w:rPr>
                <w:rFonts w:cstheme="minorHAnsi"/>
                <w:sz w:val="20"/>
                <w:szCs w:val="20"/>
              </w:rPr>
            </w:pPr>
            <w:r w:rsidRPr="006A6CBD">
              <w:rPr>
                <w:rFonts w:cstheme="minorHAnsi"/>
                <w:sz w:val="20"/>
                <w:szCs w:val="20"/>
              </w:rPr>
              <w:t xml:space="preserve">Current descriptor </w:t>
            </w:r>
          </w:p>
        </w:tc>
      </w:tr>
      <w:tr w:rsidR="0096332E" w:rsidRPr="006A6CBD" w14:paraId="08ECB749" w14:textId="77777777" w:rsidTr="0096332E">
        <w:tc>
          <w:tcPr>
            <w:tcW w:w="860" w:type="dxa"/>
          </w:tcPr>
          <w:p w14:paraId="4B13DD78" w14:textId="77777777" w:rsidR="0096332E" w:rsidRPr="006A6CBD" w:rsidRDefault="0096332E" w:rsidP="006A6CBD">
            <w:pPr>
              <w:spacing w:line="276" w:lineRule="auto"/>
              <w:rPr>
                <w:rFonts w:cstheme="minorHAnsi"/>
                <w:sz w:val="20"/>
                <w:szCs w:val="20"/>
              </w:rPr>
            </w:pPr>
            <w:r w:rsidRPr="006A6CBD">
              <w:rPr>
                <w:rFonts w:cstheme="minorHAnsi"/>
                <w:sz w:val="20"/>
                <w:szCs w:val="20"/>
              </w:rPr>
              <w:t>13700</w:t>
            </w:r>
          </w:p>
        </w:tc>
        <w:tc>
          <w:tcPr>
            <w:tcW w:w="12318" w:type="dxa"/>
          </w:tcPr>
          <w:p w14:paraId="54242001" w14:textId="77777777" w:rsidR="0096332E" w:rsidRPr="006A6CBD" w:rsidRDefault="0096332E" w:rsidP="006A6CBD">
            <w:pPr>
              <w:spacing w:line="276" w:lineRule="auto"/>
              <w:rPr>
                <w:rFonts w:cstheme="minorHAnsi"/>
                <w:sz w:val="20"/>
                <w:szCs w:val="20"/>
              </w:rPr>
            </w:pPr>
            <w:r w:rsidRPr="006A6CBD">
              <w:rPr>
                <w:rFonts w:cstheme="minorHAnsi"/>
                <w:sz w:val="20"/>
                <w:szCs w:val="20"/>
              </w:rPr>
              <w:t>Harvesting of homologous (including allogeneic) or autologous bone marrow for the purpose of transplantation (Anaes.)</w:t>
            </w:r>
          </w:p>
        </w:tc>
      </w:tr>
      <w:tr w:rsidR="0096332E" w:rsidRPr="006A6CBD" w14:paraId="52A17B24" w14:textId="77777777" w:rsidTr="0096332E">
        <w:tc>
          <w:tcPr>
            <w:tcW w:w="860" w:type="dxa"/>
          </w:tcPr>
          <w:p w14:paraId="7C4014BA" w14:textId="77777777" w:rsidR="0096332E" w:rsidRPr="006A6CBD" w:rsidRDefault="0096332E" w:rsidP="006A6CBD">
            <w:pPr>
              <w:spacing w:line="276" w:lineRule="auto"/>
              <w:rPr>
                <w:rFonts w:cstheme="minorHAnsi"/>
                <w:sz w:val="20"/>
                <w:szCs w:val="20"/>
              </w:rPr>
            </w:pPr>
            <w:r w:rsidRPr="006A6CBD">
              <w:rPr>
                <w:rFonts w:cstheme="minorHAnsi"/>
                <w:sz w:val="20"/>
                <w:szCs w:val="20"/>
              </w:rPr>
              <w:t>13750</w:t>
            </w:r>
          </w:p>
        </w:tc>
        <w:tc>
          <w:tcPr>
            <w:tcW w:w="12318" w:type="dxa"/>
          </w:tcPr>
          <w:p w14:paraId="41682007" w14:textId="77777777" w:rsidR="0096332E" w:rsidRPr="006A6CBD" w:rsidRDefault="0096332E" w:rsidP="006A6CBD">
            <w:pPr>
              <w:spacing w:line="276" w:lineRule="auto"/>
              <w:rPr>
                <w:rFonts w:cstheme="minorHAnsi"/>
                <w:sz w:val="20"/>
                <w:szCs w:val="20"/>
              </w:rPr>
            </w:pPr>
            <w:r w:rsidRPr="006A6CBD">
              <w:rPr>
                <w:rFonts w:cstheme="minorHAnsi"/>
                <w:sz w:val="20"/>
                <w:szCs w:val="20"/>
              </w:rPr>
              <w:t>Therapeutic haemapheresis for the removal of plasma or cellular (or both) elements of blood, utilising continuous or intermittent flow techniques; including morphological tests for cell counts and viability studies, if performed; continuous monitoring of vital signs, fluid balance, blood volume and other parameters with continuous registered nurse attendance under the supervision of a consultant physician, not being a service associated with a service to which item 13755 applies each day</w:t>
            </w:r>
          </w:p>
        </w:tc>
      </w:tr>
      <w:tr w:rsidR="0096332E" w:rsidRPr="006A6CBD" w14:paraId="10606D1A" w14:textId="77777777" w:rsidTr="0096332E">
        <w:tc>
          <w:tcPr>
            <w:tcW w:w="860" w:type="dxa"/>
          </w:tcPr>
          <w:p w14:paraId="17FE02AD" w14:textId="77777777" w:rsidR="0096332E" w:rsidRPr="006A6CBD" w:rsidRDefault="0096332E" w:rsidP="006A6CBD">
            <w:pPr>
              <w:spacing w:line="276" w:lineRule="auto"/>
              <w:rPr>
                <w:rFonts w:cstheme="minorHAnsi"/>
                <w:sz w:val="20"/>
                <w:szCs w:val="20"/>
              </w:rPr>
            </w:pPr>
            <w:r w:rsidRPr="006A6CBD">
              <w:rPr>
                <w:rFonts w:cstheme="minorHAnsi"/>
                <w:sz w:val="20"/>
                <w:szCs w:val="20"/>
              </w:rPr>
              <w:t>13755</w:t>
            </w:r>
          </w:p>
        </w:tc>
        <w:tc>
          <w:tcPr>
            <w:tcW w:w="12318" w:type="dxa"/>
          </w:tcPr>
          <w:p w14:paraId="06B95E39" w14:textId="77777777" w:rsidR="0096332E" w:rsidRPr="006A6CBD" w:rsidRDefault="0096332E" w:rsidP="006A6CBD">
            <w:pPr>
              <w:spacing w:line="276" w:lineRule="auto"/>
              <w:rPr>
                <w:rFonts w:cstheme="minorHAnsi"/>
                <w:sz w:val="20"/>
                <w:szCs w:val="20"/>
              </w:rPr>
            </w:pPr>
            <w:r w:rsidRPr="006A6CBD">
              <w:rPr>
                <w:rFonts w:cstheme="minorHAnsi"/>
                <w:sz w:val="20"/>
                <w:szCs w:val="20"/>
              </w:rPr>
              <w:t>Donor haemapheresis for the collection of blood products for transfusion, utilising continuous or intermittent flow techniques; including morphological tests for cell counts and viability studies; continuous monitoring of vital signs, fluid balance, blood volume and other parameters; with continuous registered nurse attendance under the supervision of a consultant physician; not being a service associated with a service to which item 13750 applies - each day</w:t>
            </w:r>
          </w:p>
        </w:tc>
      </w:tr>
      <w:tr w:rsidR="0096332E" w:rsidRPr="006A6CBD" w14:paraId="458A30A6" w14:textId="77777777" w:rsidTr="0096332E">
        <w:tc>
          <w:tcPr>
            <w:tcW w:w="860" w:type="dxa"/>
          </w:tcPr>
          <w:p w14:paraId="5E46415B" w14:textId="77777777" w:rsidR="0096332E" w:rsidRPr="006A6CBD" w:rsidRDefault="0096332E" w:rsidP="006A6CBD">
            <w:pPr>
              <w:spacing w:line="276" w:lineRule="auto"/>
              <w:rPr>
                <w:rFonts w:cstheme="minorHAnsi"/>
                <w:sz w:val="20"/>
                <w:szCs w:val="20"/>
              </w:rPr>
            </w:pPr>
            <w:r w:rsidRPr="006A6CBD">
              <w:rPr>
                <w:rFonts w:cstheme="minorHAnsi"/>
                <w:sz w:val="20"/>
                <w:szCs w:val="20"/>
              </w:rPr>
              <w:lastRenderedPageBreak/>
              <w:t>13757</w:t>
            </w:r>
          </w:p>
        </w:tc>
        <w:tc>
          <w:tcPr>
            <w:tcW w:w="12318" w:type="dxa"/>
          </w:tcPr>
          <w:p w14:paraId="484621C4" w14:textId="77777777" w:rsidR="0096332E" w:rsidRPr="006A6CBD" w:rsidRDefault="0096332E" w:rsidP="006A6CBD">
            <w:pPr>
              <w:spacing w:line="276" w:lineRule="auto"/>
              <w:rPr>
                <w:rFonts w:cstheme="minorHAnsi"/>
                <w:sz w:val="20"/>
                <w:szCs w:val="20"/>
              </w:rPr>
            </w:pPr>
            <w:r w:rsidRPr="006A6CBD">
              <w:rPr>
                <w:rFonts w:cstheme="minorHAnsi"/>
                <w:sz w:val="20"/>
                <w:szCs w:val="20"/>
              </w:rPr>
              <w:t>Therapeutic venesection for the management of haemochromatosis, polycythaemia vera or porphyria cutanea tarda</w:t>
            </w:r>
          </w:p>
        </w:tc>
      </w:tr>
    </w:tbl>
    <w:p w14:paraId="3508265E" w14:textId="77777777" w:rsidR="0096332E" w:rsidRPr="0087705D" w:rsidRDefault="0096332E" w:rsidP="0087705D"/>
    <w:p w14:paraId="220DCE8E" w14:textId="77777777" w:rsidR="005E33D0" w:rsidRPr="006A6CBD" w:rsidRDefault="005E33D0" w:rsidP="006A6CBD">
      <w:pPr>
        <w:spacing w:line="276" w:lineRule="auto"/>
        <w:rPr>
          <w:b/>
        </w:rPr>
        <w:sectPr w:rsidR="005E33D0" w:rsidRPr="006A6CBD" w:rsidSect="00A9426E">
          <w:headerReference w:type="default" r:id="rId20"/>
          <w:footerReference w:type="default" r:id="rId21"/>
          <w:pgSz w:w="16838" w:h="11906" w:orient="landscape" w:code="9"/>
          <w:pgMar w:top="1440" w:right="1797" w:bottom="1274" w:left="1797" w:header="720" w:footer="720" w:gutter="0"/>
          <w:cols w:space="720"/>
          <w:docGrid w:linePitch="326"/>
        </w:sectPr>
      </w:pPr>
    </w:p>
    <w:p w14:paraId="063B4843" w14:textId="1B1C0553" w:rsidR="0096332E" w:rsidRPr="006A6CBD" w:rsidRDefault="0096332E" w:rsidP="0087705D">
      <w:pPr>
        <w:pStyle w:val="Header1"/>
      </w:pPr>
      <w:bookmarkStart w:id="156" w:name="_Toc8995619"/>
      <w:r w:rsidRPr="006A6CBD">
        <w:lastRenderedPageBreak/>
        <w:t xml:space="preserve">Appendix </w:t>
      </w:r>
      <w:r w:rsidR="005E33D0" w:rsidRPr="006A6CBD">
        <w:t>B</w:t>
      </w:r>
      <w:r w:rsidRPr="006A6CBD">
        <w:t>—Summary for consumers</w:t>
      </w:r>
      <w:bookmarkEnd w:id="156"/>
    </w:p>
    <w:p w14:paraId="2B4FF94C" w14:textId="0EA1797F" w:rsidR="0096332E" w:rsidRPr="006A6CBD" w:rsidRDefault="0096332E" w:rsidP="006A6CBD">
      <w:pPr>
        <w:spacing w:before="0" w:after="0" w:line="276" w:lineRule="auto"/>
      </w:pPr>
      <w:r w:rsidRPr="006A6CBD">
        <w:t>This table describes the pathology service, the recommendation(s) of the clinical exp</w:t>
      </w:r>
      <w:r w:rsidR="00917F34" w:rsidRPr="006A6CBD">
        <w:t>erts and why the recommendations have</w:t>
      </w:r>
      <w:r w:rsidRPr="006A6CBD">
        <w:t xml:space="preserve"> been made.</w:t>
      </w:r>
    </w:p>
    <w:p w14:paraId="361BB2F9" w14:textId="7D395335" w:rsidR="0096332E" w:rsidRPr="006A6CBD" w:rsidRDefault="0096332E" w:rsidP="0087705D">
      <w:pPr>
        <w:pStyle w:val="Header2"/>
      </w:pPr>
      <w:bookmarkStart w:id="157" w:name="_Toc477786676"/>
      <w:bookmarkStart w:id="158" w:name="_Toc478249946"/>
      <w:r w:rsidRPr="006A6CBD">
        <w:t xml:space="preserve">Recommendation </w:t>
      </w:r>
      <w:r w:rsidRPr="006A6CBD">
        <w:fldChar w:fldCharType="begin"/>
      </w:r>
      <w:r w:rsidRPr="006A6CBD">
        <w:instrText xml:space="preserve"> SEQ Recommendation \* ARABIC </w:instrText>
      </w:r>
      <w:r w:rsidRPr="006A6CBD">
        <w:fldChar w:fldCharType="separate"/>
      </w:r>
      <w:r w:rsidR="00013B42">
        <w:rPr>
          <w:noProof/>
        </w:rPr>
        <w:t>1</w:t>
      </w:r>
      <w:r w:rsidRPr="006A6CBD">
        <w:fldChar w:fldCharType="end"/>
      </w:r>
      <w:r w:rsidRPr="006A6CBD">
        <w:t xml:space="preserve">: </w:t>
      </w:r>
      <w:bookmarkEnd w:id="157"/>
      <w:bookmarkEnd w:id="158"/>
      <w:r w:rsidRPr="006A6CBD">
        <w:t xml:space="preserve"> items 137</w:t>
      </w:r>
      <w:r w:rsidR="00917F34" w:rsidRPr="006A6CBD">
        <w:t xml:space="preserve">03, </w:t>
      </w:r>
      <w:r w:rsidR="00917F34" w:rsidRPr="0087705D">
        <w:t>13706</w:t>
      </w:r>
      <w:r w:rsidR="00917F34" w:rsidRPr="006A6CBD">
        <w:t xml:space="preserve"> and 13709</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s"/>
        <w:tblDescription w:val="Appendix B is a summary for consumers. it describes the medical service, the recommendation(s) of the clinical experts and why the recommendation(s) has/have been made.&#10;Each recommendation section contains 5 column headings: column 1: Item, column 2: What it does, column 3: Committee recommendation, column 4: What would be different, and column 5: Why. "/>
      </w:tblPr>
      <w:tblGrid>
        <w:gridCol w:w="1735"/>
        <w:gridCol w:w="2835"/>
        <w:gridCol w:w="2977"/>
        <w:gridCol w:w="2835"/>
        <w:gridCol w:w="4043"/>
      </w:tblGrid>
      <w:tr w:rsidR="0096332E" w:rsidRPr="006A6CBD" w14:paraId="2CD526A2" w14:textId="77777777" w:rsidTr="00917F34">
        <w:trPr>
          <w:cantSplit/>
          <w:tblHeader/>
        </w:trPr>
        <w:tc>
          <w:tcPr>
            <w:tcW w:w="1735" w:type="dxa"/>
            <w:shd w:val="clear" w:color="auto" w:fill="EAF1DD" w:themeFill="accent3" w:themeFillTint="33"/>
          </w:tcPr>
          <w:p w14:paraId="5FADD68B" w14:textId="77777777" w:rsidR="0096332E" w:rsidRPr="006A6CBD" w:rsidRDefault="0096332E" w:rsidP="006A6CBD">
            <w:pPr>
              <w:rPr>
                <w:color w:val="222222"/>
              </w:rPr>
            </w:pPr>
            <w:r w:rsidRPr="006A6CBD">
              <w:t xml:space="preserve">Item </w:t>
            </w:r>
          </w:p>
        </w:tc>
        <w:tc>
          <w:tcPr>
            <w:tcW w:w="2835" w:type="dxa"/>
            <w:shd w:val="clear" w:color="auto" w:fill="EAF1DD" w:themeFill="accent3" w:themeFillTint="33"/>
          </w:tcPr>
          <w:p w14:paraId="2B0C7567" w14:textId="77777777" w:rsidR="0096332E" w:rsidRPr="006A6CBD" w:rsidRDefault="0096332E" w:rsidP="006A6CBD">
            <w:pPr>
              <w:tabs>
                <w:tab w:val="right" w:pos="2902"/>
              </w:tabs>
              <w:rPr>
                <w:color w:val="222222"/>
              </w:rPr>
            </w:pPr>
            <w:r w:rsidRPr="006A6CBD">
              <w:t xml:space="preserve">What it does </w:t>
            </w:r>
            <w:r w:rsidRPr="006A6CBD">
              <w:tab/>
            </w:r>
          </w:p>
        </w:tc>
        <w:tc>
          <w:tcPr>
            <w:tcW w:w="2977" w:type="dxa"/>
            <w:shd w:val="clear" w:color="auto" w:fill="EAF1DD" w:themeFill="accent3" w:themeFillTint="33"/>
          </w:tcPr>
          <w:p w14:paraId="1800C145" w14:textId="77777777" w:rsidR="0096332E" w:rsidRPr="006A6CBD" w:rsidRDefault="0096332E" w:rsidP="006A6CBD">
            <w:r w:rsidRPr="006A6CBD">
              <w:t>Committee recommendation</w:t>
            </w:r>
          </w:p>
        </w:tc>
        <w:tc>
          <w:tcPr>
            <w:tcW w:w="2835" w:type="dxa"/>
            <w:shd w:val="clear" w:color="auto" w:fill="EAF1DD" w:themeFill="accent3" w:themeFillTint="33"/>
          </w:tcPr>
          <w:p w14:paraId="7003272A" w14:textId="77777777" w:rsidR="0096332E" w:rsidRPr="006A6CBD" w:rsidRDefault="0096332E" w:rsidP="006A6CBD">
            <w:r w:rsidRPr="006A6CBD">
              <w:t>What would be different</w:t>
            </w:r>
          </w:p>
        </w:tc>
        <w:tc>
          <w:tcPr>
            <w:tcW w:w="4043" w:type="dxa"/>
            <w:shd w:val="clear" w:color="auto" w:fill="EAF1DD" w:themeFill="accent3" w:themeFillTint="33"/>
          </w:tcPr>
          <w:p w14:paraId="440271D1" w14:textId="77777777" w:rsidR="0096332E" w:rsidRPr="006A6CBD" w:rsidRDefault="0096332E" w:rsidP="006A6CBD">
            <w:r w:rsidRPr="006A6CBD">
              <w:t>Why</w:t>
            </w:r>
          </w:p>
        </w:tc>
      </w:tr>
      <w:tr w:rsidR="007D0FD5" w:rsidRPr="006A6CBD" w14:paraId="797164C5" w14:textId="77777777" w:rsidTr="00994C65">
        <w:trPr>
          <w:cantSplit/>
        </w:trPr>
        <w:tc>
          <w:tcPr>
            <w:tcW w:w="1735" w:type="dxa"/>
            <w:vMerge w:val="restart"/>
          </w:tcPr>
          <w:p w14:paraId="0C3C0CE3" w14:textId="37D62834" w:rsidR="007D0FD5" w:rsidRPr="006A6CBD" w:rsidRDefault="007D0FD5" w:rsidP="006A6CBD">
            <w:pPr>
              <w:spacing w:before="0" w:after="0"/>
              <w:rPr>
                <w:sz w:val="20"/>
                <w:szCs w:val="20"/>
              </w:rPr>
            </w:pPr>
            <w:r w:rsidRPr="006A6CBD">
              <w:rPr>
                <w:sz w:val="20"/>
                <w:szCs w:val="20"/>
              </w:rPr>
              <w:t>13703 and 13706</w:t>
            </w:r>
          </w:p>
        </w:tc>
        <w:tc>
          <w:tcPr>
            <w:tcW w:w="2835" w:type="dxa"/>
            <w:vMerge w:val="restart"/>
          </w:tcPr>
          <w:p w14:paraId="1610A93F" w14:textId="5B6C51AD" w:rsidR="007D0FD5" w:rsidRPr="006A6CBD" w:rsidRDefault="007D0FD5" w:rsidP="006A6CBD">
            <w:pPr>
              <w:spacing w:before="0" w:after="0"/>
              <w:rPr>
                <w:sz w:val="20"/>
                <w:szCs w:val="20"/>
              </w:rPr>
            </w:pPr>
            <w:r w:rsidRPr="006A6CBD">
              <w:rPr>
                <w:sz w:val="20"/>
                <w:szCs w:val="20"/>
              </w:rPr>
              <w:t>Blood and/or bone marrow collected from another person or donor is given to a patient who needs a transfusion.</w:t>
            </w:r>
          </w:p>
        </w:tc>
        <w:tc>
          <w:tcPr>
            <w:tcW w:w="2977" w:type="dxa"/>
          </w:tcPr>
          <w:p w14:paraId="32244D83" w14:textId="1ED54860" w:rsidR="007D0FD5" w:rsidRPr="006A6CBD" w:rsidRDefault="007D0FD5" w:rsidP="006A6CBD">
            <w:pPr>
              <w:spacing w:before="0" w:after="0"/>
              <w:rPr>
                <w:sz w:val="20"/>
                <w:szCs w:val="20"/>
              </w:rPr>
            </w:pPr>
            <w:r w:rsidRPr="006A6CBD">
              <w:rPr>
                <w:sz w:val="20"/>
                <w:szCs w:val="20"/>
                <w:lang w:val="en-US"/>
              </w:rPr>
              <w:t xml:space="preserve">Change the descriptor to specify that the item includes intra-operative </w:t>
            </w:r>
            <w:r w:rsidRPr="006A6CBD">
              <w:rPr>
                <w:sz w:val="20"/>
                <w:szCs w:val="20"/>
              </w:rPr>
              <w:t>normovolaemic haemodilution.</w:t>
            </w:r>
          </w:p>
        </w:tc>
        <w:tc>
          <w:tcPr>
            <w:tcW w:w="2835" w:type="dxa"/>
          </w:tcPr>
          <w:p w14:paraId="35BE6FA2" w14:textId="77777777" w:rsidR="007D0FD5" w:rsidRPr="006A6CBD" w:rsidRDefault="007D0FD5" w:rsidP="006A6CBD">
            <w:pPr>
              <w:spacing w:before="0" w:after="0" w:line="240" w:lineRule="auto"/>
              <w:rPr>
                <w:rFonts w:cs="Arial"/>
                <w:sz w:val="20"/>
                <w:szCs w:val="20"/>
                <w:lang w:eastAsia="en-US"/>
              </w:rPr>
            </w:pPr>
            <w:r w:rsidRPr="006A6CBD">
              <w:rPr>
                <w:rFonts w:cs="Arial"/>
                <w:sz w:val="20"/>
                <w:szCs w:val="20"/>
                <w:lang w:eastAsia="en-US"/>
              </w:rPr>
              <w:t>There will be no impact on patients.</w:t>
            </w:r>
          </w:p>
        </w:tc>
        <w:tc>
          <w:tcPr>
            <w:tcW w:w="4043" w:type="dxa"/>
          </w:tcPr>
          <w:p w14:paraId="16CAB43E" w14:textId="7C1ECAA7" w:rsidR="007D0FD5" w:rsidRPr="006A6CBD" w:rsidRDefault="007D0FD5" w:rsidP="006A6CBD">
            <w:pPr>
              <w:spacing w:before="0" w:after="0"/>
              <w:rPr>
                <w:sz w:val="20"/>
                <w:szCs w:val="20"/>
              </w:rPr>
            </w:pPr>
            <w:r w:rsidRPr="006A6CBD">
              <w:rPr>
                <w:sz w:val="20"/>
                <w:szCs w:val="20"/>
              </w:rPr>
              <w:t xml:space="preserve">This change will stop the item being used for practices such as ozone therapy, which has no evidence for use. </w:t>
            </w:r>
          </w:p>
        </w:tc>
      </w:tr>
      <w:tr w:rsidR="007D0FD5" w:rsidRPr="006A6CBD" w14:paraId="4E45C6A2" w14:textId="77777777" w:rsidTr="00994C65">
        <w:trPr>
          <w:cantSplit/>
        </w:trPr>
        <w:tc>
          <w:tcPr>
            <w:tcW w:w="1735" w:type="dxa"/>
            <w:vMerge/>
          </w:tcPr>
          <w:p w14:paraId="251D5E33" w14:textId="044D67FA" w:rsidR="007D0FD5" w:rsidRPr="006A6CBD" w:rsidRDefault="007D0FD5" w:rsidP="006A6CBD">
            <w:pPr>
              <w:spacing w:before="0" w:after="0"/>
              <w:rPr>
                <w:sz w:val="20"/>
                <w:szCs w:val="20"/>
              </w:rPr>
            </w:pPr>
          </w:p>
        </w:tc>
        <w:tc>
          <w:tcPr>
            <w:tcW w:w="2835" w:type="dxa"/>
            <w:vMerge/>
          </w:tcPr>
          <w:p w14:paraId="72B390BB" w14:textId="77777777" w:rsidR="007D0FD5" w:rsidRPr="006A6CBD" w:rsidRDefault="007D0FD5" w:rsidP="006A6CBD">
            <w:pPr>
              <w:spacing w:before="0" w:after="0"/>
              <w:rPr>
                <w:sz w:val="20"/>
                <w:szCs w:val="20"/>
              </w:rPr>
            </w:pPr>
          </w:p>
        </w:tc>
        <w:tc>
          <w:tcPr>
            <w:tcW w:w="2977" w:type="dxa"/>
          </w:tcPr>
          <w:p w14:paraId="1E690831" w14:textId="0F73C5A5" w:rsidR="007D0FD5" w:rsidRPr="006A6CBD" w:rsidRDefault="007D0FD5" w:rsidP="006A6CBD">
            <w:pPr>
              <w:spacing w:before="0" w:after="0" w:line="240" w:lineRule="auto"/>
              <w:rPr>
                <w:sz w:val="20"/>
                <w:szCs w:val="20"/>
                <w:lang w:val="en-US"/>
              </w:rPr>
            </w:pPr>
            <w:r w:rsidRPr="006A6CBD">
              <w:rPr>
                <w:sz w:val="20"/>
                <w:szCs w:val="20"/>
                <w:lang w:val="en-US"/>
              </w:rPr>
              <w:t>Change the descriptor to exclude transfusion of immunoglobulins.</w:t>
            </w:r>
          </w:p>
          <w:p w14:paraId="6DC45DB4" w14:textId="77777777" w:rsidR="007D0FD5" w:rsidRPr="006A6CBD" w:rsidRDefault="007D0FD5" w:rsidP="006A6CBD">
            <w:pPr>
              <w:spacing w:before="0" w:after="0"/>
              <w:rPr>
                <w:sz w:val="20"/>
                <w:szCs w:val="20"/>
                <w:lang w:val="en-US"/>
              </w:rPr>
            </w:pPr>
          </w:p>
        </w:tc>
        <w:tc>
          <w:tcPr>
            <w:tcW w:w="2835" w:type="dxa"/>
          </w:tcPr>
          <w:p w14:paraId="214BA154" w14:textId="1F0B1130" w:rsidR="007D0FD5" w:rsidRPr="006A6CBD" w:rsidRDefault="007D0FD5" w:rsidP="006A6CBD">
            <w:pPr>
              <w:spacing w:before="0" w:after="0" w:line="240" w:lineRule="auto"/>
              <w:rPr>
                <w:rFonts w:cs="Arial"/>
                <w:sz w:val="20"/>
                <w:szCs w:val="20"/>
                <w:lang w:eastAsia="en-US"/>
              </w:rPr>
            </w:pPr>
            <w:r w:rsidRPr="006A6CBD">
              <w:rPr>
                <w:rFonts w:cs="Arial"/>
                <w:sz w:val="20"/>
                <w:szCs w:val="20"/>
                <w:lang w:eastAsia="en-US"/>
              </w:rPr>
              <w:t>There will be no impact on patients.</w:t>
            </w:r>
          </w:p>
        </w:tc>
        <w:tc>
          <w:tcPr>
            <w:tcW w:w="4043" w:type="dxa"/>
          </w:tcPr>
          <w:p w14:paraId="6D78CC62" w14:textId="30433C84" w:rsidR="007D0FD5" w:rsidRPr="006A6CBD" w:rsidRDefault="007D0FD5" w:rsidP="006A6CBD">
            <w:pPr>
              <w:spacing w:before="0" w:after="0"/>
              <w:rPr>
                <w:sz w:val="20"/>
                <w:szCs w:val="20"/>
              </w:rPr>
            </w:pPr>
            <w:r w:rsidRPr="006A6CBD">
              <w:rPr>
                <w:sz w:val="20"/>
                <w:szCs w:val="20"/>
              </w:rPr>
              <w:t xml:space="preserve">The existing descriptor may be encouraging the provision of some transfusion procedures that aren’t really necessary. </w:t>
            </w:r>
          </w:p>
        </w:tc>
      </w:tr>
      <w:tr w:rsidR="005E33D0" w:rsidRPr="006A6CBD" w14:paraId="73BA9D27" w14:textId="77777777" w:rsidTr="00994C65">
        <w:trPr>
          <w:cantSplit/>
        </w:trPr>
        <w:tc>
          <w:tcPr>
            <w:tcW w:w="1735" w:type="dxa"/>
          </w:tcPr>
          <w:p w14:paraId="3A809411" w14:textId="07B430DD" w:rsidR="005E33D0" w:rsidRPr="006A6CBD" w:rsidRDefault="005E33D0" w:rsidP="006A6CBD">
            <w:pPr>
              <w:spacing w:before="0" w:after="0"/>
              <w:rPr>
                <w:sz w:val="20"/>
                <w:szCs w:val="20"/>
              </w:rPr>
            </w:pPr>
            <w:r w:rsidRPr="006A6CBD">
              <w:rPr>
                <w:sz w:val="20"/>
                <w:szCs w:val="20"/>
              </w:rPr>
              <w:t>13709</w:t>
            </w:r>
          </w:p>
        </w:tc>
        <w:tc>
          <w:tcPr>
            <w:tcW w:w="2835" w:type="dxa"/>
          </w:tcPr>
          <w:p w14:paraId="71BD169B" w14:textId="3CB1B0A5" w:rsidR="005E33D0" w:rsidRPr="006A6CBD" w:rsidRDefault="007D0FD5" w:rsidP="006A6CBD">
            <w:pPr>
              <w:spacing w:before="0" w:after="0"/>
              <w:rPr>
                <w:sz w:val="20"/>
                <w:szCs w:val="20"/>
              </w:rPr>
            </w:pPr>
            <w:r w:rsidRPr="006A6CBD">
              <w:rPr>
                <w:sz w:val="20"/>
                <w:szCs w:val="20"/>
              </w:rPr>
              <w:t>B</w:t>
            </w:r>
            <w:r w:rsidR="005E33D0" w:rsidRPr="006A6CBD">
              <w:rPr>
                <w:sz w:val="20"/>
                <w:szCs w:val="20"/>
              </w:rPr>
              <w:t xml:space="preserve">lood is collected from a </w:t>
            </w:r>
            <w:r w:rsidR="00994C65" w:rsidRPr="006A6CBD">
              <w:rPr>
                <w:sz w:val="20"/>
                <w:szCs w:val="20"/>
              </w:rPr>
              <w:t>donor</w:t>
            </w:r>
            <w:r w:rsidR="005E33D0" w:rsidRPr="006A6CBD">
              <w:rPr>
                <w:sz w:val="20"/>
                <w:szCs w:val="20"/>
              </w:rPr>
              <w:t xml:space="preserve"> (known as autologous collection) </w:t>
            </w:r>
            <w:r w:rsidR="00994C65" w:rsidRPr="006A6CBD">
              <w:rPr>
                <w:sz w:val="20"/>
                <w:szCs w:val="20"/>
              </w:rPr>
              <w:t>to be transfused immediately in an emergency.</w:t>
            </w:r>
          </w:p>
        </w:tc>
        <w:tc>
          <w:tcPr>
            <w:tcW w:w="2977" w:type="dxa"/>
          </w:tcPr>
          <w:p w14:paraId="7E192E9E" w14:textId="1099842D" w:rsidR="005E33D0" w:rsidRPr="006A6CBD" w:rsidRDefault="005E33D0" w:rsidP="006A6CBD">
            <w:pPr>
              <w:spacing w:before="0" w:after="0"/>
              <w:rPr>
                <w:sz w:val="20"/>
                <w:szCs w:val="20"/>
                <w:lang w:val="en-US"/>
              </w:rPr>
            </w:pPr>
            <w:r w:rsidRPr="006A6CBD">
              <w:rPr>
                <w:sz w:val="20"/>
                <w:szCs w:val="20"/>
              </w:rPr>
              <w:t>Remove item 13709 from the MBS.</w:t>
            </w:r>
          </w:p>
        </w:tc>
        <w:tc>
          <w:tcPr>
            <w:tcW w:w="2835" w:type="dxa"/>
          </w:tcPr>
          <w:p w14:paraId="271E5C69" w14:textId="2057DE59" w:rsidR="005E33D0" w:rsidRPr="006A6CBD" w:rsidRDefault="005E33D0" w:rsidP="006A6CBD">
            <w:pPr>
              <w:spacing w:before="0" w:after="0" w:line="240" w:lineRule="auto"/>
              <w:rPr>
                <w:rFonts w:cs="Arial"/>
                <w:sz w:val="20"/>
                <w:szCs w:val="20"/>
                <w:lang w:eastAsia="en-US"/>
              </w:rPr>
            </w:pPr>
            <w:r w:rsidRPr="006A6CBD">
              <w:rPr>
                <w:rFonts w:cs="Arial"/>
                <w:sz w:val="20"/>
                <w:szCs w:val="20"/>
                <w:lang w:eastAsia="en-US"/>
              </w:rPr>
              <w:t>There will be no impact on patients.</w:t>
            </w:r>
          </w:p>
        </w:tc>
        <w:tc>
          <w:tcPr>
            <w:tcW w:w="4043" w:type="dxa"/>
          </w:tcPr>
          <w:p w14:paraId="52CBE91B" w14:textId="2E70EF1A" w:rsidR="005E33D0" w:rsidRPr="006A6CBD" w:rsidRDefault="00994C65" w:rsidP="006A6CBD">
            <w:pPr>
              <w:pStyle w:val="NormalBulleted"/>
              <w:numPr>
                <w:ilvl w:val="0"/>
                <w:numId w:val="0"/>
              </w:numPr>
              <w:spacing w:before="0" w:line="240" w:lineRule="auto"/>
              <w:ind w:firstLine="27"/>
              <w:rPr>
                <w:sz w:val="20"/>
                <w:szCs w:val="20"/>
              </w:rPr>
            </w:pPr>
            <w:r w:rsidRPr="006A6CBD">
              <w:rPr>
                <w:sz w:val="20"/>
                <w:szCs w:val="20"/>
              </w:rPr>
              <w:t>This service is rarely performed and does not reflect contemporary clinical practice.</w:t>
            </w:r>
          </w:p>
        </w:tc>
      </w:tr>
      <w:tr w:rsidR="00917F34" w:rsidRPr="006A6CBD" w14:paraId="265043D2" w14:textId="77777777" w:rsidTr="00D70805">
        <w:trPr>
          <w:cantSplit/>
        </w:trPr>
        <w:tc>
          <w:tcPr>
            <w:tcW w:w="14425" w:type="dxa"/>
            <w:gridSpan w:val="5"/>
            <w:tcBorders>
              <w:top w:val="nil"/>
              <w:right w:val="nil"/>
            </w:tcBorders>
          </w:tcPr>
          <w:p w14:paraId="4CBA68B8" w14:textId="53D298A1" w:rsidR="00917F34" w:rsidRPr="00FE3449" w:rsidRDefault="00917F34" w:rsidP="00FE3449">
            <w:pPr>
              <w:pStyle w:val="Header2"/>
            </w:pPr>
            <w:r w:rsidRPr="00FE3449">
              <w:t>Recommendation 2: item 13760</w:t>
            </w:r>
          </w:p>
        </w:tc>
      </w:tr>
      <w:tr w:rsidR="00D70805" w:rsidRPr="006A6CBD" w14:paraId="779AD906" w14:textId="77777777" w:rsidTr="000D1619">
        <w:trPr>
          <w:cantSplit/>
          <w:tblHeader/>
        </w:trPr>
        <w:tc>
          <w:tcPr>
            <w:tcW w:w="1735" w:type="dxa"/>
            <w:shd w:val="clear" w:color="auto" w:fill="EAF1DD" w:themeFill="accent3" w:themeFillTint="33"/>
          </w:tcPr>
          <w:p w14:paraId="54738B9E" w14:textId="77777777" w:rsidR="00D70805" w:rsidRPr="006A6CBD" w:rsidRDefault="00D70805" w:rsidP="006A6CBD">
            <w:pPr>
              <w:spacing w:line="276" w:lineRule="auto"/>
              <w:rPr>
                <w:color w:val="222222"/>
              </w:rPr>
            </w:pPr>
            <w:r w:rsidRPr="006A6CBD">
              <w:t xml:space="preserve">Item </w:t>
            </w:r>
          </w:p>
        </w:tc>
        <w:tc>
          <w:tcPr>
            <w:tcW w:w="2835" w:type="dxa"/>
            <w:shd w:val="clear" w:color="auto" w:fill="EAF1DD" w:themeFill="accent3" w:themeFillTint="33"/>
          </w:tcPr>
          <w:p w14:paraId="6FBFFFDE" w14:textId="77777777" w:rsidR="00D70805" w:rsidRPr="006A6CBD" w:rsidRDefault="00D70805" w:rsidP="006A6CBD">
            <w:pPr>
              <w:tabs>
                <w:tab w:val="right" w:pos="2902"/>
              </w:tabs>
              <w:spacing w:line="276" w:lineRule="auto"/>
              <w:rPr>
                <w:color w:val="222222"/>
              </w:rPr>
            </w:pPr>
            <w:r w:rsidRPr="006A6CBD">
              <w:t xml:space="preserve">What it does </w:t>
            </w:r>
            <w:r w:rsidRPr="006A6CBD">
              <w:tab/>
            </w:r>
          </w:p>
        </w:tc>
        <w:tc>
          <w:tcPr>
            <w:tcW w:w="2977" w:type="dxa"/>
            <w:shd w:val="clear" w:color="auto" w:fill="EAF1DD" w:themeFill="accent3" w:themeFillTint="33"/>
          </w:tcPr>
          <w:p w14:paraId="33C7CED3" w14:textId="77777777" w:rsidR="00D70805" w:rsidRPr="006A6CBD" w:rsidRDefault="00D70805" w:rsidP="006A6CBD">
            <w:pPr>
              <w:spacing w:line="276" w:lineRule="auto"/>
            </w:pPr>
            <w:r w:rsidRPr="006A6CBD">
              <w:t>Committee recommendation</w:t>
            </w:r>
          </w:p>
        </w:tc>
        <w:tc>
          <w:tcPr>
            <w:tcW w:w="2835" w:type="dxa"/>
            <w:shd w:val="clear" w:color="auto" w:fill="EAF1DD" w:themeFill="accent3" w:themeFillTint="33"/>
          </w:tcPr>
          <w:p w14:paraId="13565324" w14:textId="77777777" w:rsidR="00D70805" w:rsidRPr="006A6CBD" w:rsidRDefault="00D70805" w:rsidP="006A6CBD">
            <w:pPr>
              <w:spacing w:line="276" w:lineRule="auto"/>
            </w:pPr>
            <w:r w:rsidRPr="006A6CBD">
              <w:t>What would be different</w:t>
            </w:r>
          </w:p>
        </w:tc>
        <w:tc>
          <w:tcPr>
            <w:tcW w:w="4043" w:type="dxa"/>
            <w:shd w:val="clear" w:color="auto" w:fill="EAF1DD" w:themeFill="accent3" w:themeFillTint="33"/>
          </w:tcPr>
          <w:p w14:paraId="71C0416D" w14:textId="77777777" w:rsidR="00D70805" w:rsidRPr="006A6CBD" w:rsidRDefault="00D70805" w:rsidP="006A6CBD">
            <w:pPr>
              <w:spacing w:line="276" w:lineRule="auto"/>
            </w:pPr>
            <w:r w:rsidRPr="006A6CBD">
              <w:t>Why</w:t>
            </w:r>
          </w:p>
        </w:tc>
      </w:tr>
      <w:tr w:rsidR="00147B5C" w:rsidRPr="006A6CBD" w14:paraId="452506BD" w14:textId="77777777" w:rsidTr="000D1619">
        <w:trPr>
          <w:cantSplit/>
        </w:trPr>
        <w:tc>
          <w:tcPr>
            <w:tcW w:w="1735" w:type="dxa"/>
            <w:tcBorders>
              <w:bottom w:val="single" w:sz="4" w:space="0" w:color="B56011"/>
            </w:tcBorders>
          </w:tcPr>
          <w:p w14:paraId="74DA56E7" w14:textId="77777777" w:rsidR="00147B5C" w:rsidRPr="006A6CBD" w:rsidRDefault="00147B5C" w:rsidP="006A6CBD">
            <w:pPr>
              <w:spacing w:before="0" w:after="0"/>
              <w:rPr>
                <w:sz w:val="20"/>
                <w:szCs w:val="20"/>
              </w:rPr>
            </w:pPr>
            <w:r w:rsidRPr="006A6CBD">
              <w:rPr>
                <w:sz w:val="20"/>
                <w:szCs w:val="20"/>
              </w:rPr>
              <w:lastRenderedPageBreak/>
              <w:t>13760</w:t>
            </w:r>
          </w:p>
        </w:tc>
        <w:tc>
          <w:tcPr>
            <w:tcW w:w="2835" w:type="dxa"/>
            <w:tcBorders>
              <w:bottom w:val="single" w:sz="4" w:space="0" w:color="B56011"/>
            </w:tcBorders>
          </w:tcPr>
          <w:p w14:paraId="7744E3C3" w14:textId="799C45BA" w:rsidR="00147B5C" w:rsidRPr="006A6CBD" w:rsidRDefault="007D0FD5" w:rsidP="006A6CBD">
            <w:pPr>
              <w:spacing w:before="0" w:after="0"/>
              <w:rPr>
                <w:color w:val="1A1A1A"/>
                <w:sz w:val="20"/>
                <w:szCs w:val="20"/>
                <w:shd w:val="clear" w:color="auto" w:fill="FFFFFF"/>
              </w:rPr>
            </w:pPr>
            <w:r w:rsidRPr="006A6CBD">
              <w:rPr>
                <w:color w:val="1A1A1A"/>
                <w:sz w:val="20"/>
                <w:szCs w:val="20"/>
                <w:shd w:val="clear" w:color="auto" w:fill="FFFFFF"/>
              </w:rPr>
              <w:t xml:space="preserve">A </w:t>
            </w:r>
            <w:r w:rsidR="00147B5C" w:rsidRPr="006A6CBD">
              <w:rPr>
                <w:color w:val="1A1A1A"/>
                <w:sz w:val="20"/>
                <w:szCs w:val="20"/>
                <w:shd w:val="clear" w:color="auto" w:fill="FFFFFF"/>
              </w:rPr>
              <w:t xml:space="preserve">patient’s stem cells </w:t>
            </w:r>
            <w:r w:rsidRPr="006A6CBD">
              <w:rPr>
                <w:color w:val="1A1A1A"/>
                <w:sz w:val="20"/>
                <w:szCs w:val="20"/>
                <w:shd w:val="clear" w:color="auto" w:fill="FFFFFF"/>
              </w:rPr>
              <w:t xml:space="preserve">are collected </w:t>
            </w:r>
            <w:r w:rsidR="00147B5C" w:rsidRPr="006A6CBD">
              <w:rPr>
                <w:color w:val="1A1A1A"/>
                <w:sz w:val="20"/>
                <w:szCs w:val="20"/>
                <w:shd w:val="clear" w:color="auto" w:fill="FFFFFF"/>
              </w:rPr>
              <w:t>prior to high dose chemotherapy</w:t>
            </w:r>
            <w:r w:rsidRPr="006A6CBD">
              <w:rPr>
                <w:color w:val="1A1A1A"/>
                <w:sz w:val="20"/>
                <w:szCs w:val="20"/>
                <w:shd w:val="clear" w:color="auto" w:fill="FFFFFF"/>
              </w:rPr>
              <w:t xml:space="preserve"> and </w:t>
            </w:r>
            <w:r w:rsidR="00147B5C" w:rsidRPr="006A6CBD">
              <w:rPr>
                <w:color w:val="1A1A1A"/>
                <w:sz w:val="20"/>
                <w:szCs w:val="20"/>
                <w:shd w:val="clear" w:color="auto" w:fill="FFFFFF"/>
              </w:rPr>
              <w:t>are then returned to the patient after their chemotherapy</w:t>
            </w:r>
            <w:r w:rsidRPr="006A6CBD">
              <w:rPr>
                <w:color w:val="1A1A1A"/>
                <w:sz w:val="20"/>
                <w:szCs w:val="20"/>
                <w:shd w:val="clear" w:color="auto" w:fill="FFFFFF"/>
              </w:rPr>
              <w:t>.</w:t>
            </w:r>
            <w:r w:rsidR="00147B5C" w:rsidRPr="006A6CBD">
              <w:rPr>
                <w:color w:val="1A1A1A"/>
                <w:sz w:val="20"/>
                <w:szCs w:val="20"/>
                <w:shd w:val="clear" w:color="auto" w:fill="FFFFFF"/>
              </w:rPr>
              <w:t> Stem cells are what is known as unspecialised (undifferentiated) cells that can divide and then either stay a stem cell or develop into a different cell type, such as a red blood cell.</w:t>
            </w:r>
          </w:p>
        </w:tc>
        <w:tc>
          <w:tcPr>
            <w:tcW w:w="2977" w:type="dxa"/>
            <w:tcBorders>
              <w:bottom w:val="single" w:sz="4" w:space="0" w:color="B56011"/>
            </w:tcBorders>
          </w:tcPr>
          <w:p w14:paraId="28E295D2" w14:textId="77777777" w:rsidR="00147B5C" w:rsidRPr="006A6CBD" w:rsidRDefault="00147B5C" w:rsidP="006A6CBD">
            <w:pPr>
              <w:pStyle w:val="NormalBulleted"/>
              <w:numPr>
                <w:ilvl w:val="0"/>
                <w:numId w:val="0"/>
              </w:numPr>
              <w:spacing w:before="0" w:after="0" w:line="240" w:lineRule="auto"/>
              <w:rPr>
                <w:sz w:val="20"/>
                <w:szCs w:val="20"/>
                <w:lang w:val="en-US" w:eastAsia="en-US"/>
              </w:rPr>
            </w:pPr>
            <w:r w:rsidRPr="006A6CBD">
              <w:rPr>
                <w:sz w:val="20"/>
                <w:szCs w:val="20"/>
                <w:lang w:val="en-US"/>
              </w:rPr>
              <w:t>Change the descriptor to broaden the list of current indications associated with malignancy (the presence of cancer); and to specify that the item is for use as part of a treatment program overseen by a multidisciplinary team experienced in the treatment of malignant disorders.</w:t>
            </w:r>
          </w:p>
        </w:tc>
        <w:tc>
          <w:tcPr>
            <w:tcW w:w="2835" w:type="dxa"/>
            <w:tcBorders>
              <w:bottom w:val="single" w:sz="4" w:space="0" w:color="B56011"/>
            </w:tcBorders>
          </w:tcPr>
          <w:p w14:paraId="179A5502" w14:textId="77777777" w:rsidR="00147B5C" w:rsidRPr="006A6CBD" w:rsidRDefault="00147B5C" w:rsidP="006A6CBD">
            <w:pPr>
              <w:spacing w:before="0" w:after="0" w:line="240" w:lineRule="auto"/>
              <w:rPr>
                <w:rFonts w:cs="Arial"/>
                <w:sz w:val="20"/>
                <w:szCs w:val="20"/>
                <w:lang w:eastAsia="en-US"/>
              </w:rPr>
            </w:pPr>
            <w:r w:rsidRPr="006A6CBD">
              <w:rPr>
                <w:rFonts w:cs="Arial"/>
                <w:sz w:val="20"/>
                <w:szCs w:val="20"/>
                <w:lang w:eastAsia="en-US"/>
              </w:rPr>
              <w:t>Patients will benefit as treatment will be required to be overseen by a multi-disciplinary team.</w:t>
            </w:r>
          </w:p>
        </w:tc>
        <w:tc>
          <w:tcPr>
            <w:tcW w:w="4043" w:type="dxa"/>
            <w:tcBorders>
              <w:bottom w:val="single" w:sz="4" w:space="0" w:color="B56011"/>
            </w:tcBorders>
          </w:tcPr>
          <w:p w14:paraId="16BBFEA7" w14:textId="77777777" w:rsidR="00147B5C" w:rsidRPr="006A6CBD" w:rsidRDefault="00147B5C" w:rsidP="006A6CBD">
            <w:pPr>
              <w:spacing w:before="0" w:after="0"/>
              <w:rPr>
                <w:sz w:val="20"/>
                <w:szCs w:val="20"/>
              </w:rPr>
            </w:pPr>
            <w:r w:rsidRPr="006A6CBD">
              <w:rPr>
                <w:sz w:val="20"/>
                <w:szCs w:val="20"/>
              </w:rPr>
              <w:t>This change will align the service with international clinical guidelines.</w:t>
            </w:r>
          </w:p>
        </w:tc>
      </w:tr>
      <w:tr w:rsidR="00917F34" w:rsidRPr="006A6CBD" w14:paraId="11F13A45" w14:textId="77777777" w:rsidTr="00991D7B">
        <w:trPr>
          <w:cantSplit/>
          <w:tblHeader/>
        </w:trPr>
        <w:tc>
          <w:tcPr>
            <w:tcW w:w="14425" w:type="dxa"/>
            <w:gridSpan w:val="5"/>
            <w:tcBorders>
              <w:right w:val="nil"/>
            </w:tcBorders>
          </w:tcPr>
          <w:p w14:paraId="6046A9E9" w14:textId="45E23063" w:rsidR="00917F34" w:rsidRPr="0087705D" w:rsidRDefault="00147B5C" w:rsidP="0087705D">
            <w:pPr>
              <w:pStyle w:val="Header2"/>
            </w:pPr>
            <w:r w:rsidRPr="0087705D">
              <w:t>No Change: items 13700, 13750, 13755 and 13757</w:t>
            </w:r>
          </w:p>
        </w:tc>
      </w:tr>
      <w:tr w:rsidR="00D70805" w:rsidRPr="006A6CBD" w14:paraId="56B61371" w14:textId="77777777" w:rsidTr="000D1619">
        <w:trPr>
          <w:cantSplit/>
          <w:tblHeader/>
        </w:trPr>
        <w:tc>
          <w:tcPr>
            <w:tcW w:w="1735" w:type="dxa"/>
            <w:shd w:val="clear" w:color="auto" w:fill="EAF1DD" w:themeFill="accent3" w:themeFillTint="33"/>
          </w:tcPr>
          <w:p w14:paraId="79C2E1D4" w14:textId="77777777" w:rsidR="00D70805" w:rsidRPr="006A6CBD" w:rsidRDefault="00D70805" w:rsidP="006A6CBD">
            <w:pPr>
              <w:spacing w:line="276" w:lineRule="auto"/>
              <w:rPr>
                <w:color w:val="222222"/>
              </w:rPr>
            </w:pPr>
            <w:r w:rsidRPr="006A6CBD">
              <w:t xml:space="preserve">Item </w:t>
            </w:r>
          </w:p>
        </w:tc>
        <w:tc>
          <w:tcPr>
            <w:tcW w:w="2835" w:type="dxa"/>
            <w:shd w:val="clear" w:color="auto" w:fill="EAF1DD" w:themeFill="accent3" w:themeFillTint="33"/>
          </w:tcPr>
          <w:p w14:paraId="445E7F42" w14:textId="77777777" w:rsidR="00D70805" w:rsidRPr="006A6CBD" w:rsidRDefault="00D70805" w:rsidP="006A6CBD">
            <w:pPr>
              <w:tabs>
                <w:tab w:val="right" w:pos="2902"/>
              </w:tabs>
              <w:spacing w:line="276" w:lineRule="auto"/>
              <w:rPr>
                <w:color w:val="222222"/>
              </w:rPr>
            </w:pPr>
            <w:r w:rsidRPr="006A6CBD">
              <w:t xml:space="preserve">What it does </w:t>
            </w:r>
            <w:r w:rsidRPr="006A6CBD">
              <w:tab/>
            </w:r>
          </w:p>
        </w:tc>
        <w:tc>
          <w:tcPr>
            <w:tcW w:w="2977" w:type="dxa"/>
            <w:shd w:val="clear" w:color="auto" w:fill="EAF1DD" w:themeFill="accent3" w:themeFillTint="33"/>
          </w:tcPr>
          <w:p w14:paraId="7844E529" w14:textId="77777777" w:rsidR="00D70805" w:rsidRPr="006A6CBD" w:rsidRDefault="00D70805" w:rsidP="006A6CBD">
            <w:pPr>
              <w:spacing w:line="276" w:lineRule="auto"/>
            </w:pPr>
            <w:r w:rsidRPr="006A6CBD">
              <w:t>Committee recommendation</w:t>
            </w:r>
          </w:p>
        </w:tc>
        <w:tc>
          <w:tcPr>
            <w:tcW w:w="2835" w:type="dxa"/>
            <w:shd w:val="clear" w:color="auto" w:fill="EAF1DD" w:themeFill="accent3" w:themeFillTint="33"/>
          </w:tcPr>
          <w:p w14:paraId="06183C1A" w14:textId="77777777" w:rsidR="00D70805" w:rsidRPr="006A6CBD" w:rsidRDefault="00D70805" w:rsidP="006A6CBD">
            <w:pPr>
              <w:spacing w:line="276" w:lineRule="auto"/>
            </w:pPr>
            <w:r w:rsidRPr="006A6CBD">
              <w:t>What would be different</w:t>
            </w:r>
          </w:p>
        </w:tc>
        <w:tc>
          <w:tcPr>
            <w:tcW w:w="4043" w:type="dxa"/>
            <w:shd w:val="clear" w:color="auto" w:fill="EAF1DD" w:themeFill="accent3" w:themeFillTint="33"/>
          </w:tcPr>
          <w:p w14:paraId="6AC65BA1" w14:textId="77777777" w:rsidR="00D70805" w:rsidRPr="006A6CBD" w:rsidRDefault="00D70805" w:rsidP="006A6CBD">
            <w:pPr>
              <w:spacing w:line="276" w:lineRule="auto"/>
            </w:pPr>
            <w:r w:rsidRPr="006A6CBD">
              <w:t>Why</w:t>
            </w:r>
          </w:p>
        </w:tc>
      </w:tr>
      <w:tr w:rsidR="00147B5C" w:rsidRPr="006A6CBD" w14:paraId="0A93D864" w14:textId="77777777" w:rsidTr="00147B5C">
        <w:trPr>
          <w:cantSplit/>
        </w:trPr>
        <w:tc>
          <w:tcPr>
            <w:tcW w:w="1735" w:type="dxa"/>
          </w:tcPr>
          <w:p w14:paraId="59EB4866" w14:textId="77777777" w:rsidR="00147B5C" w:rsidRPr="006A6CBD" w:rsidRDefault="00147B5C" w:rsidP="006A6CBD">
            <w:pPr>
              <w:spacing w:before="0" w:after="0"/>
              <w:rPr>
                <w:sz w:val="20"/>
                <w:szCs w:val="20"/>
              </w:rPr>
            </w:pPr>
            <w:r w:rsidRPr="006A6CBD">
              <w:rPr>
                <w:sz w:val="20"/>
                <w:szCs w:val="20"/>
              </w:rPr>
              <w:t xml:space="preserve">13700 </w:t>
            </w:r>
          </w:p>
        </w:tc>
        <w:tc>
          <w:tcPr>
            <w:tcW w:w="2835" w:type="dxa"/>
          </w:tcPr>
          <w:p w14:paraId="3B318EC1" w14:textId="3C3515DF" w:rsidR="00147B5C" w:rsidRPr="006A6CBD" w:rsidRDefault="00147B5C" w:rsidP="006A6CBD">
            <w:pPr>
              <w:spacing w:before="0" w:after="0"/>
              <w:rPr>
                <w:sz w:val="20"/>
                <w:szCs w:val="20"/>
              </w:rPr>
            </w:pPr>
            <w:r w:rsidRPr="006A6CBD">
              <w:rPr>
                <w:sz w:val="20"/>
                <w:szCs w:val="20"/>
              </w:rPr>
              <w:t>Bone marrow is collected from a patient (known as autologous collection) or from another person or donor (known as homologous collection).</w:t>
            </w:r>
          </w:p>
        </w:tc>
        <w:tc>
          <w:tcPr>
            <w:tcW w:w="2977" w:type="dxa"/>
          </w:tcPr>
          <w:p w14:paraId="773E664A" w14:textId="0F0F57C1" w:rsidR="00147B5C" w:rsidRPr="006A6CBD" w:rsidRDefault="00147B5C" w:rsidP="006A6CBD">
            <w:pPr>
              <w:spacing w:before="0" w:after="0"/>
              <w:rPr>
                <w:sz w:val="20"/>
                <w:szCs w:val="20"/>
                <w:lang w:val="en-US"/>
              </w:rPr>
            </w:pPr>
            <w:r w:rsidRPr="006A6CBD">
              <w:rPr>
                <w:sz w:val="20"/>
                <w:szCs w:val="20"/>
                <w:lang w:val="en-US"/>
              </w:rPr>
              <w:t>No change</w:t>
            </w:r>
          </w:p>
          <w:p w14:paraId="2FE71F78" w14:textId="77777777" w:rsidR="00147B5C" w:rsidRPr="006A6CBD" w:rsidRDefault="00147B5C" w:rsidP="006A6CBD">
            <w:pPr>
              <w:spacing w:before="0" w:after="0" w:line="240" w:lineRule="auto"/>
              <w:rPr>
                <w:sz w:val="20"/>
                <w:szCs w:val="20"/>
              </w:rPr>
            </w:pPr>
          </w:p>
        </w:tc>
        <w:tc>
          <w:tcPr>
            <w:tcW w:w="2835" w:type="dxa"/>
          </w:tcPr>
          <w:p w14:paraId="50AEF85D" w14:textId="5983DCCD" w:rsidR="00147B5C" w:rsidRPr="006A6CBD" w:rsidRDefault="00D70805" w:rsidP="006A6CBD">
            <w:pPr>
              <w:spacing w:before="0" w:after="0" w:line="240" w:lineRule="auto"/>
              <w:rPr>
                <w:rFonts w:cs="Arial"/>
                <w:sz w:val="20"/>
                <w:szCs w:val="20"/>
                <w:lang w:eastAsia="en-US"/>
              </w:rPr>
            </w:pPr>
            <w:r w:rsidRPr="006A6CBD">
              <w:rPr>
                <w:rFonts w:cs="Arial"/>
                <w:sz w:val="20"/>
                <w:szCs w:val="20"/>
                <w:lang w:eastAsia="en-US"/>
              </w:rPr>
              <w:t>There will be no change to the existing service.</w:t>
            </w:r>
          </w:p>
        </w:tc>
        <w:tc>
          <w:tcPr>
            <w:tcW w:w="4043" w:type="dxa"/>
          </w:tcPr>
          <w:p w14:paraId="089656FD" w14:textId="099BC84A" w:rsidR="00147B5C" w:rsidRPr="006A6CBD" w:rsidRDefault="00D70805" w:rsidP="006A6CBD">
            <w:pPr>
              <w:spacing w:before="0" w:after="0"/>
              <w:rPr>
                <w:sz w:val="20"/>
                <w:szCs w:val="20"/>
              </w:rPr>
            </w:pPr>
            <w:r w:rsidRPr="006A6CBD">
              <w:rPr>
                <w:sz w:val="20"/>
                <w:szCs w:val="20"/>
              </w:rPr>
              <w:t>T</w:t>
            </w:r>
            <w:r w:rsidR="00147B5C" w:rsidRPr="006A6CBD">
              <w:rPr>
                <w:sz w:val="20"/>
                <w:szCs w:val="20"/>
              </w:rPr>
              <w:t xml:space="preserve">his service is </w:t>
            </w:r>
            <w:r w:rsidRPr="006A6CBD">
              <w:rPr>
                <w:sz w:val="20"/>
                <w:szCs w:val="20"/>
              </w:rPr>
              <w:t>aligned</w:t>
            </w:r>
            <w:r w:rsidR="00147B5C" w:rsidRPr="006A6CBD">
              <w:rPr>
                <w:sz w:val="20"/>
                <w:szCs w:val="20"/>
              </w:rPr>
              <w:t xml:space="preserve"> with international practice.</w:t>
            </w:r>
          </w:p>
        </w:tc>
      </w:tr>
      <w:tr w:rsidR="0096332E" w:rsidRPr="006A6CBD" w14:paraId="06FCDE83" w14:textId="77777777" w:rsidTr="00147B5C">
        <w:trPr>
          <w:cantSplit/>
        </w:trPr>
        <w:tc>
          <w:tcPr>
            <w:tcW w:w="1735" w:type="dxa"/>
          </w:tcPr>
          <w:p w14:paraId="01645462" w14:textId="52AA74FD" w:rsidR="0096332E" w:rsidRPr="006A6CBD" w:rsidRDefault="00147B5C" w:rsidP="006A6CBD">
            <w:pPr>
              <w:spacing w:before="0" w:after="0"/>
              <w:rPr>
                <w:sz w:val="20"/>
                <w:szCs w:val="20"/>
              </w:rPr>
            </w:pPr>
            <w:r w:rsidRPr="006A6CBD">
              <w:rPr>
                <w:sz w:val="20"/>
                <w:szCs w:val="20"/>
              </w:rPr>
              <w:lastRenderedPageBreak/>
              <w:t>13750 and 13755</w:t>
            </w:r>
          </w:p>
        </w:tc>
        <w:tc>
          <w:tcPr>
            <w:tcW w:w="2835" w:type="dxa"/>
          </w:tcPr>
          <w:p w14:paraId="58C12FFC" w14:textId="2CDEE411" w:rsidR="0096332E" w:rsidRPr="006A6CBD" w:rsidRDefault="007D0FD5" w:rsidP="006A6CBD">
            <w:pPr>
              <w:spacing w:before="0" w:after="0" w:line="240" w:lineRule="auto"/>
              <w:rPr>
                <w:sz w:val="20"/>
                <w:szCs w:val="20"/>
              </w:rPr>
            </w:pPr>
            <w:r w:rsidRPr="006A6CBD">
              <w:rPr>
                <w:sz w:val="20"/>
                <w:szCs w:val="20"/>
              </w:rPr>
              <w:t>S</w:t>
            </w:r>
            <w:r w:rsidR="0096332E" w:rsidRPr="006A6CBD">
              <w:rPr>
                <w:sz w:val="20"/>
                <w:szCs w:val="20"/>
              </w:rPr>
              <w:t xml:space="preserve">pecific blood components or parts </w:t>
            </w:r>
            <w:r w:rsidRPr="006A6CBD">
              <w:rPr>
                <w:sz w:val="20"/>
                <w:szCs w:val="20"/>
              </w:rPr>
              <w:t xml:space="preserve">is collected </w:t>
            </w:r>
            <w:r w:rsidR="00D70805" w:rsidRPr="006A6CBD">
              <w:rPr>
                <w:sz w:val="20"/>
                <w:szCs w:val="20"/>
              </w:rPr>
              <w:t xml:space="preserve">from a patient </w:t>
            </w:r>
            <w:r w:rsidR="0096332E" w:rsidRPr="006A6CBD">
              <w:rPr>
                <w:sz w:val="20"/>
                <w:szCs w:val="20"/>
              </w:rPr>
              <w:t>(donor haemapheresis)</w:t>
            </w:r>
            <w:r w:rsidRPr="006A6CBD">
              <w:rPr>
                <w:sz w:val="20"/>
                <w:szCs w:val="20"/>
              </w:rPr>
              <w:t xml:space="preserve"> and </w:t>
            </w:r>
            <w:r w:rsidR="00D70805" w:rsidRPr="006A6CBD">
              <w:rPr>
                <w:sz w:val="20"/>
                <w:szCs w:val="20"/>
              </w:rPr>
              <w:t>replaced with similar components received from donors</w:t>
            </w:r>
            <w:r w:rsidR="0096332E" w:rsidRPr="006A6CBD">
              <w:rPr>
                <w:sz w:val="20"/>
                <w:szCs w:val="20"/>
              </w:rPr>
              <w:t xml:space="preserve"> (therapeutic haemapheresis). These components are removed and can be stored for later use, or discarded. The blood is put through a machine that separates </w:t>
            </w:r>
            <w:r w:rsidR="00D70805" w:rsidRPr="006A6CBD">
              <w:rPr>
                <w:sz w:val="20"/>
                <w:szCs w:val="20"/>
              </w:rPr>
              <w:t>it</w:t>
            </w:r>
            <w:r w:rsidR="0096332E" w:rsidRPr="006A6CBD">
              <w:rPr>
                <w:sz w:val="20"/>
                <w:szCs w:val="20"/>
              </w:rPr>
              <w:t xml:space="preserve"> into the individual parts. This allows parts of the blood that might be causing an illness to be removed, or for donor blood components to be used in the treatment of blood cancers or other blood dis</w:t>
            </w:r>
            <w:r w:rsidR="00D70805" w:rsidRPr="006A6CBD">
              <w:rPr>
                <w:sz w:val="20"/>
                <w:szCs w:val="20"/>
              </w:rPr>
              <w:t xml:space="preserve">orders. </w:t>
            </w:r>
          </w:p>
        </w:tc>
        <w:tc>
          <w:tcPr>
            <w:tcW w:w="2977" w:type="dxa"/>
          </w:tcPr>
          <w:p w14:paraId="5FD2F4BE" w14:textId="1F6CDA5E" w:rsidR="0096332E" w:rsidRPr="006A6CBD" w:rsidRDefault="00D70805" w:rsidP="006A6CBD">
            <w:pPr>
              <w:spacing w:before="0" w:after="0"/>
              <w:rPr>
                <w:sz w:val="20"/>
                <w:szCs w:val="20"/>
              </w:rPr>
            </w:pPr>
            <w:r w:rsidRPr="006A6CBD">
              <w:rPr>
                <w:sz w:val="20"/>
                <w:szCs w:val="20"/>
              </w:rPr>
              <w:t>No change</w:t>
            </w:r>
          </w:p>
        </w:tc>
        <w:tc>
          <w:tcPr>
            <w:tcW w:w="2835" w:type="dxa"/>
          </w:tcPr>
          <w:p w14:paraId="3B0411B0" w14:textId="15B686C9" w:rsidR="0096332E" w:rsidRPr="006A6CBD" w:rsidRDefault="00D70805" w:rsidP="006A6CBD">
            <w:pPr>
              <w:spacing w:before="0" w:after="0" w:line="240" w:lineRule="auto"/>
              <w:rPr>
                <w:rFonts w:cs="Arial"/>
                <w:sz w:val="20"/>
                <w:szCs w:val="20"/>
                <w:lang w:eastAsia="en-US"/>
              </w:rPr>
            </w:pPr>
            <w:r w:rsidRPr="006A6CBD">
              <w:rPr>
                <w:rFonts w:cs="Arial"/>
                <w:sz w:val="20"/>
                <w:szCs w:val="20"/>
                <w:lang w:eastAsia="en-US"/>
              </w:rPr>
              <w:t>There will be no change to the existing service.</w:t>
            </w:r>
          </w:p>
        </w:tc>
        <w:tc>
          <w:tcPr>
            <w:tcW w:w="4043" w:type="dxa"/>
          </w:tcPr>
          <w:p w14:paraId="4F8D9E40" w14:textId="770F7495" w:rsidR="0096332E" w:rsidRPr="006A6CBD" w:rsidRDefault="00D70805" w:rsidP="006A6CBD">
            <w:pPr>
              <w:spacing w:before="0" w:after="0" w:line="240" w:lineRule="auto"/>
              <w:rPr>
                <w:sz w:val="20"/>
                <w:szCs w:val="20"/>
              </w:rPr>
            </w:pPr>
            <w:r w:rsidRPr="006A6CBD">
              <w:rPr>
                <w:sz w:val="20"/>
                <w:szCs w:val="20"/>
              </w:rPr>
              <w:t>These items remains clinically relevant.</w:t>
            </w:r>
          </w:p>
        </w:tc>
      </w:tr>
      <w:tr w:rsidR="00147B5C" w:rsidRPr="006A6CBD" w14:paraId="735AD129" w14:textId="77777777" w:rsidTr="00147B5C">
        <w:trPr>
          <w:cantSplit/>
        </w:trPr>
        <w:tc>
          <w:tcPr>
            <w:tcW w:w="1735" w:type="dxa"/>
          </w:tcPr>
          <w:p w14:paraId="119A42C3" w14:textId="218A9701" w:rsidR="00147B5C" w:rsidRPr="006A6CBD" w:rsidRDefault="00147B5C" w:rsidP="006A6CBD">
            <w:pPr>
              <w:spacing w:before="0" w:after="0"/>
              <w:rPr>
                <w:sz w:val="20"/>
                <w:szCs w:val="20"/>
              </w:rPr>
            </w:pPr>
            <w:r w:rsidRPr="006A6CBD">
              <w:rPr>
                <w:sz w:val="20"/>
                <w:szCs w:val="20"/>
              </w:rPr>
              <w:t>13757</w:t>
            </w:r>
          </w:p>
        </w:tc>
        <w:tc>
          <w:tcPr>
            <w:tcW w:w="2835" w:type="dxa"/>
          </w:tcPr>
          <w:p w14:paraId="65FFE21E" w14:textId="46519EF6" w:rsidR="00147B5C" w:rsidRPr="006A6CBD" w:rsidRDefault="00147B5C" w:rsidP="006A6CBD">
            <w:pPr>
              <w:spacing w:before="0" w:after="0" w:line="240" w:lineRule="auto"/>
              <w:rPr>
                <w:sz w:val="20"/>
                <w:szCs w:val="20"/>
              </w:rPr>
            </w:pPr>
            <w:r w:rsidRPr="006A6CBD">
              <w:rPr>
                <w:sz w:val="20"/>
                <w:szCs w:val="20"/>
              </w:rPr>
              <w:t>Venesection is when blood is removed from circulation to treat blood conditions.</w:t>
            </w:r>
          </w:p>
        </w:tc>
        <w:tc>
          <w:tcPr>
            <w:tcW w:w="2977" w:type="dxa"/>
          </w:tcPr>
          <w:p w14:paraId="24928A58" w14:textId="5594B8E4" w:rsidR="00147B5C" w:rsidRPr="006A6CBD" w:rsidRDefault="00D70805" w:rsidP="006A6CBD">
            <w:pPr>
              <w:spacing w:before="0" w:after="0"/>
              <w:rPr>
                <w:sz w:val="20"/>
                <w:szCs w:val="20"/>
              </w:rPr>
            </w:pPr>
            <w:r w:rsidRPr="006A6CBD">
              <w:rPr>
                <w:sz w:val="20"/>
                <w:szCs w:val="20"/>
              </w:rPr>
              <w:t>No Change</w:t>
            </w:r>
          </w:p>
        </w:tc>
        <w:tc>
          <w:tcPr>
            <w:tcW w:w="2835" w:type="dxa"/>
          </w:tcPr>
          <w:p w14:paraId="24D20599" w14:textId="519BE506" w:rsidR="00147B5C" w:rsidRPr="006A6CBD" w:rsidRDefault="00D70805" w:rsidP="006A6CBD">
            <w:pPr>
              <w:spacing w:before="0" w:after="0" w:line="240" w:lineRule="auto"/>
              <w:rPr>
                <w:rFonts w:cs="Arial"/>
                <w:sz w:val="20"/>
                <w:szCs w:val="20"/>
                <w:lang w:eastAsia="en-US"/>
              </w:rPr>
            </w:pPr>
            <w:r w:rsidRPr="006A6CBD">
              <w:rPr>
                <w:rFonts w:cs="Arial"/>
                <w:sz w:val="20"/>
                <w:szCs w:val="20"/>
                <w:lang w:eastAsia="en-US"/>
              </w:rPr>
              <w:t>There will be no change to the existing service.</w:t>
            </w:r>
          </w:p>
        </w:tc>
        <w:tc>
          <w:tcPr>
            <w:tcW w:w="4043" w:type="dxa"/>
          </w:tcPr>
          <w:p w14:paraId="282D77D4" w14:textId="3E05C63C" w:rsidR="00147B5C" w:rsidRPr="006A6CBD" w:rsidRDefault="00D70805" w:rsidP="006A6CBD">
            <w:pPr>
              <w:spacing w:before="0" w:after="0"/>
              <w:rPr>
                <w:sz w:val="20"/>
                <w:szCs w:val="20"/>
              </w:rPr>
            </w:pPr>
            <w:r w:rsidRPr="006A6CBD">
              <w:rPr>
                <w:sz w:val="20"/>
                <w:szCs w:val="20"/>
              </w:rPr>
              <w:t>These item remains clinically relevant.</w:t>
            </w:r>
          </w:p>
        </w:tc>
      </w:tr>
    </w:tbl>
    <w:p w14:paraId="60648BC0" w14:textId="77777777" w:rsidR="00F87DC0" w:rsidRPr="0087705D" w:rsidRDefault="00F87DC0" w:rsidP="0087705D"/>
    <w:sectPr w:rsidR="00F87DC0" w:rsidRPr="0087705D" w:rsidSect="00A9426E">
      <w:pgSz w:w="16838" w:h="11906" w:orient="landscape" w:code="9"/>
      <w:pgMar w:top="1440" w:right="1797" w:bottom="1274"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EE380" w14:textId="77777777" w:rsidR="0087705D" w:rsidRDefault="0087705D" w:rsidP="000D1CF6">
      <w:r>
        <w:separator/>
      </w:r>
    </w:p>
    <w:p w14:paraId="3C5A7AEB" w14:textId="77777777" w:rsidR="0087705D" w:rsidRDefault="0087705D" w:rsidP="000D1CF6"/>
    <w:p w14:paraId="762A65E8" w14:textId="77777777" w:rsidR="0087705D" w:rsidRDefault="0087705D"/>
  </w:endnote>
  <w:endnote w:type="continuationSeparator" w:id="0">
    <w:p w14:paraId="7D8C347C" w14:textId="77777777" w:rsidR="0087705D" w:rsidRDefault="0087705D" w:rsidP="000D1CF6">
      <w:r>
        <w:continuationSeparator/>
      </w:r>
    </w:p>
    <w:p w14:paraId="06C662B3" w14:textId="77777777" w:rsidR="0087705D" w:rsidRDefault="0087705D" w:rsidP="000D1CF6"/>
    <w:p w14:paraId="03C52501" w14:textId="77777777" w:rsidR="0087705D" w:rsidRDefault="00877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66DC378-6FD5-44F5-9EE3-CCB5FFF27D31}"/>
    <w:embedBold r:id="rId2" w:fontKey="{1C34D3F7-521C-4178-BBF1-DE0B66FA3DA9}"/>
    <w:embedItalic r:id="rId3" w:fontKey="{61C45ABF-97D1-4EA5-8E71-2231FF159EEC}"/>
    <w:embedBoldItalic r:id="rId4" w:fontKey="{3BDBD4ED-A4B5-42F6-9997-B09A353546F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2ABF5" w14:textId="10AAB819" w:rsidR="0087705D" w:rsidRPr="00602688" w:rsidRDefault="0087705D" w:rsidP="00684AA4">
    <w:pPr>
      <w:pStyle w:val="Footer"/>
    </w:pPr>
    <w:r>
      <w:t>Taskforce Report For Blood Product Items, 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8B5FBB">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BD53" w14:textId="7DA5022E" w:rsidR="0087705D" w:rsidRPr="00CB3EB0" w:rsidRDefault="0087705D" w:rsidP="00684AA4">
    <w:pPr>
      <w:pStyle w:val="Footer"/>
    </w:pPr>
    <w:r>
      <w:t>Report from</w:t>
    </w:r>
    <w:r w:rsidRPr="00655CD2">
      <w:t xml:space="preserve"> the</w:t>
    </w:r>
    <w:r>
      <w:t xml:space="preserve"> Blood Products Working Group, 2019</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8B5FBB" w:rsidRPr="008B5FBB">
      <w:rPr>
        <w:rFonts w:eastAsiaTheme="majorEastAsia"/>
        <w:noProof/>
      </w:rPr>
      <w:t>21</w:t>
    </w:r>
    <w:r w:rsidRPr="00655CD2">
      <w:rPr>
        <w:rFonts w:eastAsiaTheme="majorEastAs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BB72D" w14:textId="01CBB780" w:rsidR="0087705D" w:rsidRPr="00CB3EB0" w:rsidRDefault="0087705D" w:rsidP="00684AA4">
    <w:pPr>
      <w:pStyle w:val="Footer"/>
    </w:pPr>
    <w:r w:rsidRPr="00655CD2">
      <w:t>R</w:t>
    </w:r>
    <w:r>
      <w:t xml:space="preserve">eport of </w:t>
    </w:r>
    <w:r w:rsidRPr="00655CD2">
      <w:t>the</w:t>
    </w:r>
    <w:r>
      <w:t xml:space="preserve"> Blood Products Working Group 2019</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8B5FBB" w:rsidRPr="008B5FBB">
      <w:rPr>
        <w:rFonts w:eastAsiaTheme="majorEastAsia"/>
        <w:noProof/>
      </w:rPr>
      <w:t>32</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BB665" w14:textId="77777777" w:rsidR="0087705D" w:rsidRDefault="0087705D" w:rsidP="000D1CF6">
      <w:r>
        <w:separator/>
      </w:r>
    </w:p>
    <w:p w14:paraId="62C13FEB" w14:textId="77777777" w:rsidR="0087705D" w:rsidRDefault="0087705D" w:rsidP="000D1CF6"/>
    <w:p w14:paraId="2ABE04B2" w14:textId="77777777" w:rsidR="0087705D" w:rsidRDefault="0087705D"/>
  </w:footnote>
  <w:footnote w:type="continuationSeparator" w:id="0">
    <w:p w14:paraId="29122938" w14:textId="77777777" w:rsidR="0087705D" w:rsidRDefault="0087705D" w:rsidP="000D1CF6">
      <w:r>
        <w:continuationSeparator/>
      </w:r>
    </w:p>
  </w:footnote>
  <w:footnote w:id="1">
    <w:p w14:paraId="79F08074" w14:textId="338E7447" w:rsidR="0087705D" w:rsidRDefault="0087705D">
      <w:pPr>
        <w:pStyle w:val="FootnoteText"/>
      </w:pPr>
      <w:r>
        <w:rPr>
          <w:rStyle w:val="FootnoteReference"/>
        </w:rPr>
        <w:footnoteRef/>
      </w:r>
      <w:r>
        <w:t xml:space="preserve"> </w:t>
      </w:r>
      <w:r w:rsidRPr="008817E9">
        <w:rPr>
          <w:sz w:val="18"/>
        </w:rPr>
        <w:t>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4DB7E521" w14:textId="65CE2459" w:rsidR="0087705D" w:rsidRDefault="0087705D">
      <w:pPr>
        <w:pStyle w:val="FootnoteText"/>
      </w:pPr>
      <w:r>
        <w:rPr>
          <w:rStyle w:val="FootnoteReference"/>
        </w:rPr>
        <w:footnoteRef/>
      </w:r>
      <w:r>
        <w:t xml:space="preserve"> </w:t>
      </w:r>
      <w:r w:rsidRPr="008817E9">
        <w:rPr>
          <w:sz w:val="18"/>
        </w:rPr>
        <w:t>The use of MBS services for purposes other than those intended. This includes a range of behaviours, from failing to adhere to particular item descriptors or ru</w:t>
      </w:r>
      <w:r>
        <w:rPr>
          <w:sz w:val="18"/>
        </w:rPr>
        <w:t>les through to deliberate fraud.</w:t>
      </w:r>
    </w:p>
  </w:footnote>
  <w:footnote w:id="3">
    <w:p w14:paraId="569C7584" w14:textId="31F7E3A6" w:rsidR="0087705D" w:rsidRDefault="0087705D">
      <w:pPr>
        <w:pStyle w:val="FootnoteText"/>
      </w:pPr>
      <w:r>
        <w:rPr>
          <w:rStyle w:val="FootnoteReference"/>
        </w:rPr>
        <w:footnoteRef/>
      </w:r>
      <w:r>
        <w:t xml:space="preserve"> All proposed changes are highlighted in bold.</w:t>
      </w:r>
    </w:p>
  </w:footnote>
  <w:footnote w:id="4">
    <w:p w14:paraId="11357555" w14:textId="77777777" w:rsidR="0087705D" w:rsidRDefault="0087705D" w:rsidP="00017695">
      <w:pPr>
        <w:pStyle w:val="FootnoteText"/>
      </w:pPr>
      <w:r>
        <w:rPr>
          <w:rStyle w:val="FootnoteReference"/>
        </w:rPr>
        <w:footnoteRef/>
      </w:r>
      <w:r>
        <w:t xml:space="preserve"> </w:t>
      </w:r>
      <w:r w:rsidRPr="0080054E">
        <w:t>Surgical blood conservation: Intraoperative hemodilution</w:t>
      </w:r>
      <w:r>
        <w:t>, Avidan M, Silvergleid AJ. 2019UpToDate.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2E77B" w14:textId="77777777" w:rsidR="0087705D" w:rsidRDefault="0087705D">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F328" w14:textId="75F13AC7" w:rsidR="0087705D" w:rsidRDefault="0087705D">
    <w:r>
      <w:rPr>
        <w:noProof/>
      </w:rPr>
      <w:drawing>
        <wp:anchor distT="0" distB="0" distL="114300" distR="114300" simplePos="0" relativeHeight="251656192" behindDoc="0" locked="0" layoutInCell="1" allowOverlap="1" wp14:anchorId="248F8155" wp14:editId="50C37AC8">
          <wp:simplePos x="0" y="0"/>
          <wp:positionH relativeFrom="page">
            <wp:align>left</wp:align>
          </wp:positionH>
          <wp:positionV relativeFrom="paragraph">
            <wp:posOffset>-360540</wp:posOffset>
          </wp:positionV>
          <wp:extent cx="7619117" cy="736979"/>
          <wp:effectExtent l="0" t="0" r="1270" b="6350"/>
          <wp:wrapSquare wrapText="bothSides"/>
          <wp:docPr id="12" name="Picture 12" descr="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BB8CB" w14:textId="77777777" w:rsidR="0087705D" w:rsidRDefault="0087705D" w:rsidP="002D1FF9">
    <w:pPr>
      <w:tabs>
        <w:tab w:val="left" w:pos="6180"/>
      </w:tabs>
      <w:spacing w:before="0" w:after="0" w:line="240" w:lineRule="auto"/>
    </w:pPr>
    <w:r>
      <w:rPr>
        <w:noProof/>
      </w:rPr>
      <w:drawing>
        <wp:anchor distT="0" distB="0" distL="114300" distR="114300" simplePos="0" relativeHeight="251657216" behindDoc="1" locked="0" layoutInCell="1" allowOverlap="1" wp14:anchorId="23092964" wp14:editId="22C29433">
          <wp:simplePos x="0" y="0"/>
          <wp:positionH relativeFrom="page">
            <wp:align>left</wp:align>
          </wp:positionH>
          <wp:positionV relativeFrom="paragraph">
            <wp:posOffset>-457200</wp:posOffset>
          </wp:positionV>
          <wp:extent cx="7562850" cy="10697357"/>
          <wp:effectExtent l="0" t="0" r="0" b="8890"/>
          <wp:wrapNone/>
          <wp:docPr id="13" name="Picture 13" title="Taskforce Report for Blood Products Item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CECD0" w14:textId="77777777" w:rsidR="0087705D" w:rsidRDefault="0087705D">
    <w:r>
      <w:rPr>
        <w:noProof/>
      </w:rPr>
      <w:drawing>
        <wp:anchor distT="0" distB="0" distL="114300" distR="114300" simplePos="0" relativeHeight="251658240" behindDoc="0" locked="0" layoutInCell="1" allowOverlap="1" wp14:anchorId="6E92B359" wp14:editId="455F7AAC">
          <wp:simplePos x="0" y="0"/>
          <wp:positionH relativeFrom="page">
            <wp:align>right</wp:align>
          </wp:positionH>
          <wp:positionV relativeFrom="paragraph">
            <wp:posOffset>-459740</wp:posOffset>
          </wp:positionV>
          <wp:extent cx="7619117" cy="736979"/>
          <wp:effectExtent l="0" t="0" r="1270" b="6350"/>
          <wp:wrapSquare wrapText="bothSides"/>
          <wp:docPr id="3" name="Picture 3" title="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153E152C"/>
    <w:multiLevelType w:val="hybridMultilevel"/>
    <w:tmpl w:val="D1B8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6" w15:restartNumberingAfterBreak="0">
    <w:nsid w:val="1FC460C3"/>
    <w:multiLevelType w:val="hybridMultilevel"/>
    <w:tmpl w:val="BD24AF34"/>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20B27BFD"/>
    <w:multiLevelType w:val="multilevel"/>
    <w:tmpl w:val="B3C89B00"/>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 w15:restartNumberingAfterBreak="0">
    <w:nsid w:val="2269531E"/>
    <w:multiLevelType w:val="hybridMultilevel"/>
    <w:tmpl w:val="5A306DCA"/>
    <w:lvl w:ilvl="0" w:tplc="C6F2DBA2">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pStyle w:val="Heading2Repor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0" w15:restartNumberingAfterBreak="0">
    <w:nsid w:val="26BC4360"/>
    <w:multiLevelType w:val="hybridMultilevel"/>
    <w:tmpl w:val="E6947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AA596F"/>
    <w:multiLevelType w:val="hybridMultilevel"/>
    <w:tmpl w:val="6682E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1C0386"/>
    <w:multiLevelType w:val="hybridMultilevel"/>
    <w:tmpl w:val="A4B64B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480D4C"/>
    <w:multiLevelType w:val="hybridMultilevel"/>
    <w:tmpl w:val="EC96E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4C0CBB"/>
    <w:multiLevelType w:val="multilevel"/>
    <w:tmpl w:val="0816A96E"/>
    <w:lvl w:ilvl="0">
      <w:start w:val="4"/>
      <w:numFmt w:val="decimal"/>
      <w:lvlText w:val="%1"/>
      <w:lvlJc w:val="left"/>
      <w:pPr>
        <w:ind w:left="360" w:hanging="360"/>
      </w:pPr>
      <w:rPr>
        <w:rFonts w:hint="default"/>
      </w:rPr>
    </w:lvl>
    <w:lvl w:ilvl="1">
      <w:start w:val="3"/>
      <w:numFmt w:val="decimal"/>
      <w:lvlText w:val="%1.%2"/>
      <w:lvlJc w:val="left"/>
      <w:pPr>
        <w:ind w:left="4329" w:hanging="360"/>
      </w:pPr>
      <w:rPr>
        <w:rFonts w:hint="default"/>
      </w:rPr>
    </w:lvl>
    <w:lvl w:ilvl="2">
      <w:start w:val="1"/>
      <w:numFmt w:val="decimal"/>
      <w:lvlText w:val="%1.%2.%3"/>
      <w:lvlJc w:val="left"/>
      <w:pPr>
        <w:ind w:left="8658" w:hanging="720"/>
      </w:pPr>
      <w:rPr>
        <w:rFonts w:hint="default"/>
      </w:rPr>
    </w:lvl>
    <w:lvl w:ilvl="3">
      <w:start w:val="1"/>
      <w:numFmt w:val="decimal"/>
      <w:lvlText w:val="%1.%2.%3.%4"/>
      <w:lvlJc w:val="left"/>
      <w:pPr>
        <w:ind w:left="12627" w:hanging="720"/>
      </w:pPr>
      <w:rPr>
        <w:rFonts w:hint="default"/>
      </w:rPr>
    </w:lvl>
    <w:lvl w:ilvl="4">
      <w:start w:val="1"/>
      <w:numFmt w:val="decimal"/>
      <w:lvlText w:val="%1.%2.%3.%4.%5"/>
      <w:lvlJc w:val="left"/>
      <w:pPr>
        <w:ind w:left="16956" w:hanging="1080"/>
      </w:pPr>
      <w:rPr>
        <w:rFonts w:hint="default"/>
      </w:rPr>
    </w:lvl>
    <w:lvl w:ilvl="5">
      <w:start w:val="1"/>
      <w:numFmt w:val="decimal"/>
      <w:lvlText w:val="%1.%2.%3.%4.%5.%6"/>
      <w:lvlJc w:val="left"/>
      <w:pPr>
        <w:ind w:left="20925" w:hanging="1080"/>
      </w:pPr>
      <w:rPr>
        <w:rFonts w:hint="default"/>
      </w:rPr>
    </w:lvl>
    <w:lvl w:ilvl="6">
      <w:start w:val="1"/>
      <w:numFmt w:val="decimal"/>
      <w:lvlText w:val="%1.%2.%3.%4.%5.%6.%7"/>
      <w:lvlJc w:val="left"/>
      <w:pPr>
        <w:ind w:left="25254" w:hanging="1440"/>
      </w:pPr>
      <w:rPr>
        <w:rFonts w:hint="default"/>
      </w:rPr>
    </w:lvl>
    <w:lvl w:ilvl="7">
      <w:start w:val="1"/>
      <w:numFmt w:val="decimal"/>
      <w:lvlText w:val="%1.%2.%3.%4.%5.%6.%7.%8"/>
      <w:lvlJc w:val="left"/>
      <w:pPr>
        <w:ind w:left="29223" w:hanging="1440"/>
      </w:pPr>
      <w:rPr>
        <w:rFonts w:hint="default"/>
      </w:rPr>
    </w:lvl>
    <w:lvl w:ilvl="8">
      <w:start w:val="1"/>
      <w:numFmt w:val="decimal"/>
      <w:lvlText w:val="%1.%2.%3.%4.%5.%6.%7.%8.%9"/>
      <w:lvlJc w:val="left"/>
      <w:pPr>
        <w:ind w:left="-31984" w:hanging="1800"/>
      </w:pPr>
      <w:rPr>
        <w:rFonts w:hint="default"/>
      </w:rPr>
    </w:lvl>
  </w:abstractNum>
  <w:abstractNum w:abstractNumId="15"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4504A0"/>
    <w:multiLevelType w:val="hybridMultilevel"/>
    <w:tmpl w:val="3028E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106A03"/>
    <w:multiLevelType w:val="multilevel"/>
    <w:tmpl w:val="AAA05B9A"/>
    <w:lvl w:ilvl="0">
      <w:start w:val="1"/>
      <w:numFmt w:val="bullet"/>
      <w:lvlText w:val="∆"/>
      <w:lvlJc w:val="left"/>
      <w:pPr>
        <w:ind w:left="480" w:hanging="480"/>
      </w:pPr>
      <w:rPr>
        <w:rFonts w:ascii="Calibri" w:hAnsi="Calibri" w:hint="default"/>
        <w:color w:val="B56012"/>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A63AE3"/>
    <w:multiLevelType w:val="hybridMultilevel"/>
    <w:tmpl w:val="ACCC887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B1146E"/>
    <w:multiLevelType w:val="hybridMultilevel"/>
    <w:tmpl w:val="6F64E1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C41280F"/>
    <w:multiLevelType w:val="hybridMultilevel"/>
    <w:tmpl w:val="38E05F18"/>
    <w:lvl w:ilvl="0" w:tplc="9B00D68C">
      <w:start w:val="1"/>
      <w:numFmt w:val="bullet"/>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AB07AC"/>
    <w:multiLevelType w:val="hybridMultilevel"/>
    <w:tmpl w:val="A55AE812"/>
    <w:lvl w:ilvl="0" w:tplc="60E498AA">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66485"/>
    <w:multiLevelType w:val="hybridMultilevel"/>
    <w:tmpl w:val="241232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63173"/>
    <w:multiLevelType w:val="hybridMultilevel"/>
    <w:tmpl w:val="AD1CA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4D2159"/>
    <w:multiLevelType w:val="hybridMultilevel"/>
    <w:tmpl w:val="FF24B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086F37"/>
    <w:multiLevelType w:val="hybridMultilevel"/>
    <w:tmpl w:val="DBC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6F478D"/>
    <w:multiLevelType w:val="hybridMultilevel"/>
    <w:tmpl w:val="FF864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E9153F"/>
    <w:multiLevelType w:val="hybridMultilevel"/>
    <w:tmpl w:val="4E404624"/>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2E3009"/>
    <w:multiLevelType w:val="hybridMultilevel"/>
    <w:tmpl w:val="F5F2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B72987"/>
    <w:multiLevelType w:val="hybridMultilevel"/>
    <w:tmpl w:val="3412E5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FD33769"/>
    <w:multiLevelType w:val="hybridMultilevel"/>
    <w:tmpl w:val="346A273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1232D67"/>
    <w:multiLevelType w:val="hybridMultilevel"/>
    <w:tmpl w:val="5C78BD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E57C8A"/>
    <w:multiLevelType w:val="hybridMultilevel"/>
    <w:tmpl w:val="0240C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F25871"/>
    <w:multiLevelType w:val="hybridMultilevel"/>
    <w:tmpl w:val="0FEC2D4C"/>
    <w:lvl w:ilvl="0" w:tplc="13D6454C">
      <w:start w:val="1"/>
      <w:numFmt w:val="bullet"/>
      <w:pStyle w:val="Bullet2"/>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F55C52"/>
    <w:multiLevelType w:val="hybridMultilevel"/>
    <w:tmpl w:val="EB7A31B8"/>
    <w:lvl w:ilvl="0" w:tplc="AB62648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0575B2"/>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06"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EAD7DBA"/>
    <w:multiLevelType w:val="hybridMultilevel"/>
    <w:tmpl w:val="328A2A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DB59BA"/>
    <w:multiLevelType w:val="multilevel"/>
    <w:tmpl w:val="8DB4AC64"/>
    <w:numStyleLink w:val="Style2"/>
  </w:abstractNum>
  <w:num w:numId="1">
    <w:abstractNumId w:val="5"/>
  </w:num>
  <w:num w:numId="2">
    <w:abstractNumId w:val="19"/>
  </w:num>
  <w:num w:numId="3">
    <w:abstractNumId w:val="39"/>
  </w:num>
  <w:num w:numId="4">
    <w:abstractNumId w:val="34"/>
  </w:num>
  <w:num w:numId="5">
    <w:abstractNumId w:val="2"/>
  </w:num>
  <w:num w:numId="6">
    <w:abstractNumId w:val="9"/>
  </w:num>
  <w:num w:numId="7">
    <w:abstractNumId w:val="23"/>
  </w:num>
  <w:num w:numId="8">
    <w:abstractNumId w:val="0"/>
  </w:num>
  <w:num w:numId="9">
    <w:abstractNumId w:val="15"/>
  </w:num>
  <w:num w:numId="10">
    <w:abstractNumId w:val="16"/>
  </w:num>
  <w:num w:numId="11">
    <w:abstractNumId w:val="25"/>
  </w:num>
  <w:num w:numId="12">
    <w:abstractNumId w:val="1"/>
  </w:num>
  <w:num w:numId="13">
    <w:abstractNumId w:val="37"/>
  </w:num>
  <w:num w:numId="14">
    <w:abstractNumId w:val="4"/>
  </w:num>
  <w:num w:numId="15">
    <w:abstractNumId w:val="41"/>
  </w:num>
  <w:num w:numId="16">
    <w:abstractNumId w:val="30"/>
  </w:num>
  <w:num w:numId="17">
    <w:abstractNumId w:val="17"/>
  </w:num>
  <w:num w:numId="18">
    <w:abstractNumId w:val="27"/>
  </w:num>
  <w:num w:numId="19">
    <w:abstractNumId w:val="26"/>
  </w:num>
  <w:num w:numId="20">
    <w:abstractNumId w:val="20"/>
  </w:num>
  <w:num w:numId="21">
    <w:abstractNumId w:val="6"/>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2"/>
  </w:num>
  <w:num w:numId="25">
    <w:abstractNumId w:val="29"/>
  </w:num>
  <w:num w:numId="26">
    <w:abstractNumId w:val="40"/>
  </w:num>
  <w:num w:numId="27">
    <w:abstractNumId w:val="12"/>
  </w:num>
  <w:num w:numId="28">
    <w:abstractNumId w:val="21"/>
  </w:num>
  <w:num w:numId="29">
    <w:abstractNumId w:val="24"/>
  </w:num>
  <w:num w:numId="30">
    <w:abstractNumId w:val="33"/>
  </w:num>
  <w:num w:numId="31">
    <w:abstractNumId w:val="36"/>
  </w:num>
  <w:num w:numId="32">
    <w:abstractNumId w:val="35"/>
  </w:num>
  <w:num w:numId="33">
    <w:abstractNumId w:val="13"/>
  </w:num>
  <w:num w:numId="34">
    <w:abstractNumId w:val="11"/>
  </w:num>
  <w:num w:numId="35">
    <w:abstractNumId w:val="28"/>
  </w:num>
  <w:num w:numId="36">
    <w:abstractNumId w:val="10"/>
  </w:num>
  <w:num w:numId="37">
    <w:abstractNumId w:val="38"/>
  </w:num>
  <w:num w:numId="38">
    <w:abstractNumId w:val="7"/>
  </w:num>
  <w:num w:numId="39">
    <w:abstractNumId w:val="14"/>
  </w:num>
  <w:num w:numId="40">
    <w:abstractNumId w:val="18"/>
  </w:num>
  <w:num w:numId="41">
    <w:abstractNumId w:val="22"/>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2560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1066"/>
    <w:rsid w:val="0000150F"/>
    <w:rsid w:val="00001693"/>
    <w:rsid w:val="00001D23"/>
    <w:rsid w:val="00001F7B"/>
    <w:rsid w:val="00002222"/>
    <w:rsid w:val="0000233B"/>
    <w:rsid w:val="00002477"/>
    <w:rsid w:val="00002678"/>
    <w:rsid w:val="00002A0C"/>
    <w:rsid w:val="00002A9B"/>
    <w:rsid w:val="00002BDE"/>
    <w:rsid w:val="000036E5"/>
    <w:rsid w:val="0000395A"/>
    <w:rsid w:val="000043C7"/>
    <w:rsid w:val="000044E9"/>
    <w:rsid w:val="000048BE"/>
    <w:rsid w:val="00004920"/>
    <w:rsid w:val="00004C0F"/>
    <w:rsid w:val="00004CCA"/>
    <w:rsid w:val="00004FBC"/>
    <w:rsid w:val="00005441"/>
    <w:rsid w:val="000054D7"/>
    <w:rsid w:val="0000566B"/>
    <w:rsid w:val="00005E0B"/>
    <w:rsid w:val="0000627E"/>
    <w:rsid w:val="00006915"/>
    <w:rsid w:val="0000693D"/>
    <w:rsid w:val="00006AE9"/>
    <w:rsid w:val="00006D99"/>
    <w:rsid w:val="00007A11"/>
    <w:rsid w:val="00007CFB"/>
    <w:rsid w:val="000102BB"/>
    <w:rsid w:val="000105F3"/>
    <w:rsid w:val="000107B3"/>
    <w:rsid w:val="0001084A"/>
    <w:rsid w:val="00010981"/>
    <w:rsid w:val="00010E0E"/>
    <w:rsid w:val="00011263"/>
    <w:rsid w:val="000114EB"/>
    <w:rsid w:val="000116E7"/>
    <w:rsid w:val="0001253D"/>
    <w:rsid w:val="00012A37"/>
    <w:rsid w:val="00012AD3"/>
    <w:rsid w:val="00012D90"/>
    <w:rsid w:val="00012E74"/>
    <w:rsid w:val="0001358A"/>
    <w:rsid w:val="0001359C"/>
    <w:rsid w:val="00013881"/>
    <w:rsid w:val="0001393A"/>
    <w:rsid w:val="00013B42"/>
    <w:rsid w:val="00013B90"/>
    <w:rsid w:val="00013EE7"/>
    <w:rsid w:val="000140C8"/>
    <w:rsid w:val="00014190"/>
    <w:rsid w:val="000141FE"/>
    <w:rsid w:val="00014294"/>
    <w:rsid w:val="00014712"/>
    <w:rsid w:val="00014B3B"/>
    <w:rsid w:val="00014B7A"/>
    <w:rsid w:val="00014E39"/>
    <w:rsid w:val="00014E4E"/>
    <w:rsid w:val="0001545C"/>
    <w:rsid w:val="00015784"/>
    <w:rsid w:val="00015973"/>
    <w:rsid w:val="00016115"/>
    <w:rsid w:val="00016242"/>
    <w:rsid w:val="00016596"/>
    <w:rsid w:val="000165FA"/>
    <w:rsid w:val="00016A2E"/>
    <w:rsid w:val="00017563"/>
    <w:rsid w:val="00017695"/>
    <w:rsid w:val="00017909"/>
    <w:rsid w:val="00017F61"/>
    <w:rsid w:val="00020157"/>
    <w:rsid w:val="00020196"/>
    <w:rsid w:val="00020431"/>
    <w:rsid w:val="00020587"/>
    <w:rsid w:val="000206BB"/>
    <w:rsid w:val="00020A2F"/>
    <w:rsid w:val="00020E0E"/>
    <w:rsid w:val="00020FC5"/>
    <w:rsid w:val="000211DB"/>
    <w:rsid w:val="00021658"/>
    <w:rsid w:val="00021A9A"/>
    <w:rsid w:val="00022033"/>
    <w:rsid w:val="0002230C"/>
    <w:rsid w:val="00022383"/>
    <w:rsid w:val="00022CBB"/>
    <w:rsid w:val="00022E87"/>
    <w:rsid w:val="000230EB"/>
    <w:rsid w:val="0002353D"/>
    <w:rsid w:val="00023883"/>
    <w:rsid w:val="00023C89"/>
    <w:rsid w:val="00023D5B"/>
    <w:rsid w:val="00024230"/>
    <w:rsid w:val="00024E4C"/>
    <w:rsid w:val="00024FE0"/>
    <w:rsid w:val="000253EC"/>
    <w:rsid w:val="00025B42"/>
    <w:rsid w:val="00025F3D"/>
    <w:rsid w:val="000260E0"/>
    <w:rsid w:val="00026681"/>
    <w:rsid w:val="00027148"/>
    <w:rsid w:val="000271E1"/>
    <w:rsid w:val="000273E0"/>
    <w:rsid w:val="000278CF"/>
    <w:rsid w:val="00027C07"/>
    <w:rsid w:val="00027EE8"/>
    <w:rsid w:val="00027FC8"/>
    <w:rsid w:val="0003055F"/>
    <w:rsid w:val="000305B6"/>
    <w:rsid w:val="00030908"/>
    <w:rsid w:val="00030925"/>
    <w:rsid w:val="000309B0"/>
    <w:rsid w:val="000309CE"/>
    <w:rsid w:val="00031095"/>
    <w:rsid w:val="00031118"/>
    <w:rsid w:val="000315C3"/>
    <w:rsid w:val="00031ADE"/>
    <w:rsid w:val="00031E6C"/>
    <w:rsid w:val="00031F0C"/>
    <w:rsid w:val="00031F39"/>
    <w:rsid w:val="00032108"/>
    <w:rsid w:val="00032EAF"/>
    <w:rsid w:val="00033734"/>
    <w:rsid w:val="000337EF"/>
    <w:rsid w:val="00033DA4"/>
    <w:rsid w:val="000341E2"/>
    <w:rsid w:val="00034D05"/>
    <w:rsid w:val="0003505C"/>
    <w:rsid w:val="0003544F"/>
    <w:rsid w:val="000354EC"/>
    <w:rsid w:val="00035549"/>
    <w:rsid w:val="00035660"/>
    <w:rsid w:val="00035A74"/>
    <w:rsid w:val="00035D5D"/>
    <w:rsid w:val="00036386"/>
    <w:rsid w:val="00036580"/>
    <w:rsid w:val="00036592"/>
    <w:rsid w:val="00036C0E"/>
    <w:rsid w:val="00037030"/>
    <w:rsid w:val="00037073"/>
    <w:rsid w:val="000370E7"/>
    <w:rsid w:val="000375D3"/>
    <w:rsid w:val="00040940"/>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9A6"/>
    <w:rsid w:val="00043EEB"/>
    <w:rsid w:val="000440C2"/>
    <w:rsid w:val="000441C6"/>
    <w:rsid w:val="0004460D"/>
    <w:rsid w:val="00044617"/>
    <w:rsid w:val="00045495"/>
    <w:rsid w:val="000458B4"/>
    <w:rsid w:val="0004596B"/>
    <w:rsid w:val="000459AD"/>
    <w:rsid w:val="000459C1"/>
    <w:rsid w:val="00045F1B"/>
    <w:rsid w:val="00045F6B"/>
    <w:rsid w:val="00046238"/>
    <w:rsid w:val="00046AF0"/>
    <w:rsid w:val="00046C9C"/>
    <w:rsid w:val="00047145"/>
    <w:rsid w:val="00047D3E"/>
    <w:rsid w:val="00047F09"/>
    <w:rsid w:val="00047FB5"/>
    <w:rsid w:val="0005001C"/>
    <w:rsid w:val="00050099"/>
    <w:rsid w:val="000501C9"/>
    <w:rsid w:val="0005052B"/>
    <w:rsid w:val="00050ED2"/>
    <w:rsid w:val="00050EF0"/>
    <w:rsid w:val="00051058"/>
    <w:rsid w:val="00051639"/>
    <w:rsid w:val="000521D0"/>
    <w:rsid w:val="00052DDF"/>
    <w:rsid w:val="00052F80"/>
    <w:rsid w:val="000531AF"/>
    <w:rsid w:val="0005328B"/>
    <w:rsid w:val="000533C6"/>
    <w:rsid w:val="000537C0"/>
    <w:rsid w:val="00053C3C"/>
    <w:rsid w:val="00053DC3"/>
    <w:rsid w:val="00053FA9"/>
    <w:rsid w:val="00054036"/>
    <w:rsid w:val="000544D2"/>
    <w:rsid w:val="00054D62"/>
    <w:rsid w:val="00055158"/>
    <w:rsid w:val="0005522D"/>
    <w:rsid w:val="00055575"/>
    <w:rsid w:val="0005557F"/>
    <w:rsid w:val="000556FB"/>
    <w:rsid w:val="000558E5"/>
    <w:rsid w:val="00056CF7"/>
    <w:rsid w:val="00057385"/>
    <w:rsid w:val="000577E3"/>
    <w:rsid w:val="00057AB0"/>
    <w:rsid w:val="00057F0D"/>
    <w:rsid w:val="00060C76"/>
    <w:rsid w:val="00061127"/>
    <w:rsid w:val="000612DC"/>
    <w:rsid w:val="000612E4"/>
    <w:rsid w:val="0006140B"/>
    <w:rsid w:val="0006148F"/>
    <w:rsid w:val="0006160C"/>
    <w:rsid w:val="0006177C"/>
    <w:rsid w:val="00061969"/>
    <w:rsid w:val="00061BFE"/>
    <w:rsid w:val="00061DD4"/>
    <w:rsid w:val="00061F2B"/>
    <w:rsid w:val="00062404"/>
    <w:rsid w:val="000624D0"/>
    <w:rsid w:val="000628D0"/>
    <w:rsid w:val="00062916"/>
    <w:rsid w:val="00062A51"/>
    <w:rsid w:val="00062B74"/>
    <w:rsid w:val="0006309D"/>
    <w:rsid w:val="000633C8"/>
    <w:rsid w:val="00063D84"/>
    <w:rsid w:val="00064134"/>
    <w:rsid w:val="00064465"/>
    <w:rsid w:val="0006464C"/>
    <w:rsid w:val="00064A52"/>
    <w:rsid w:val="00064B03"/>
    <w:rsid w:val="0006504A"/>
    <w:rsid w:val="000653C1"/>
    <w:rsid w:val="000655C1"/>
    <w:rsid w:val="00065A7B"/>
    <w:rsid w:val="00065ADB"/>
    <w:rsid w:val="00066AF2"/>
    <w:rsid w:val="000672CD"/>
    <w:rsid w:val="000675D4"/>
    <w:rsid w:val="00067796"/>
    <w:rsid w:val="00067BEC"/>
    <w:rsid w:val="00067C58"/>
    <w:rsid w:val="00067F39"/>
    <w:rsid w:val="00070028"/>
    <w:rsid w:val="00070239"/>
    <w:rsid w:val="00070347"/>
    <w:rsid w:val="000703EC"/>
    <w:rsid w:val="00070464"/>
    <w:rsid w:val="000707D3"/>
    <w:rsid w:val="00070850"/>
    <w:rsid w:val="00070988"/>
    <w:rsid w:val="00070A62"/>
    <w:rsid w:val="00070CD8"/>
    <w:rsid w:val="00071086"/>
    <w:rsid w:val="0007194A"/>
    <w:rsid w:val="00071E47"/>
    <w:rsid w:val="00071FEE"/>
    <w:rsid w:val="0007255F"/>
    <w:rsid w:val="0007261D"/>
    <w:rsid w:val="00072D68"/>
    <w:rsid w:val="00073271"/>
    <w:rsid w:val="00073660"/>
    <w:rsid w:val="000737C9"/>
    <w:rsid w:val="00073BF0"/>
    <w:rsid w:val="00073F98"/>
    <w:rsid w:val="00074357"/>
    <w:rsid w:val="000744E0"/>
    <w:rsid w:val="00074E72"/>
    <w:rsid w:val="0007506F"/>
    <w:rsid w:val="00075A63"/>
    <w:rsid w:val="00075EF1"/>
    <w:rsid w:val="0007623D"/>
    <w:rsid w:val="000763AD"/>
    <w:rsid w:val="000765ED"/>
    <w:rsid w:val="0007685F"/>
    <w:rsid w:val="00076AB6"/>
    <w:rsid w:val="00076C83"/>
    <w:rsid w:val="00077411"/>
    <w:rsid w:val="0007750B"/>
    <w:rsid w:val="000777A4"/>
    <w:rsid w:val="00077A7B"/>
    <w:rsid w:val="00077BDC"/>
    <w:rsid w:val="00077EAF"/>
    <w:rsid w:val="00077ECA"/>
    <w:rsid w:val="0008007F"/>
    <w:rsid w:val="000801A7"/>
    <w:rsid w:val="00081186"/>
    <w:rsid w:val="00081875"/>
    <w:rsid w:val="00081A90"/>
    <w:rsid w:val="00081D07"/>
    <w:rsid w:val="00081DD2"/>
    <w:rsid w:val="00081F8E"/>
    <w:rsid w:val="00082219"/>
    <w:rsid w:val="00082CEB"/>
    <w:rsid w:val="00082F3B"/>
    <w:rsid w:val="00083178"/>
    <w:rsid w:val="000831DB"/>
    <w:rsid w:val="00083521"/>
    <w:rsid w:val="000838B7"/>
    <w:rsid w:val="00083AB6"/>
    <w:rsid w:val="00083CF7"/>
    <w:rsid w:val="00083E2A"/>
    <w:rsid w:val="000840E5"/>
    <w:rsid w:val="0008425B"/>
    <w:rsid w:val="00084476"/>
    <w:rsid w:val="0008448B"/>
    <w:rsid w:val="00084AD8"/>
    <w:rsid w:val="00084B53"/>
    <w:rsid w:val="00084E5F"/>
    <w:rsid w:val="00084F7A"/>
    <w:rsid w:val="000850AA"/>
    <w:rsid w:val="00085191"/>
    <w:rsid w:val="000853E6"/>
    <w:rsid w:val="00085DAD"/>
    <w:rsid w:val="00086029"/>
    <w:rsid w:val="00086415"/>
    <w:rsid w:val="0008648C"/>
    <w:rsid w:val="000869E6"/>
    <w:rsid w:val="00086AEC"/>
    <w:rsid w:val="00086AFF"/>
    <w:rsid w:val="00086C40"/>
    <w:rsid w:val="00086CCD"/>
    <w:rsid w:val="00086E10"/>
    <w:rsid w:val="00086FD0"/>
    <w:rsid w:val="000872C4"/>
    <w:rsid w:val="00087305"/>
    <w:rsid w:val="0008778F"/>
    <w:rsid w:val="00087975"/>
    <w:rsid w:val="00087B64"/>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D25"/>
    <w:rsid w:val="00093DA3"/>
    <w:rsid w:val="00094411"/>
    <w:rsid w:val="000955AF"/>
    <w:rsid w:val="00095683"/>
    <w:rsid w:val="000959B5"/>
    <w:rsid w:val="00095CB0"/>
    <w:rsid w:val="0009613D"/>
    <w:rsid w:val="00096ADB"/>
    <w:rsid w:val="00096F4E"/>
    <w:rsid w:val="00097A82"/>
    <w:rsid w:val="00097B24"/>
    <w:rsid w:val="00097B6F"/>
    <w:rsid w:val="000A0567"/>
    <w:rsid w:val="000A057D"/>
    <w:rsid w:val="000A0939"/>
    <w:rsid w:val="000A0C01"/>
    <w:rsid w:val="000A10B2"/>
    <w:rsid w:val="000A126D"/>
    <w:rsid w:val="000A193E"/>
    <w:rsid w:val="000A234E"/>
    <w:rsid w:val="000A2A54"/>
    <w:rsid w:val="000A2BF5"/>
    <w:rsid w:val="000A2C3B"/>
    <w:rsid w:val="000A3106"/>
    <w:rsid w:val="000A35AE"/>
    <w:rsid w:val="000A37B0"/>
    <w:rsid w:val="000A38E3"/>
    <w:rsid w:val="000A3B15"/>
    <w:rsid w:val="000A3B94"/>
    <w:rsid w:val="000A3C55"/>
    <w:rsid w:val="000A3FBE"/>
    <w:rsid w:val="000A440F"/>
    <w:rsid w:val="000A4EF9"/>
    <w:rsid w:val="000A4F1C"/>
    <w:rsid w:val="000A5376"/>
    <w:rsid w:val="000A5440"/>
    <w:rsid w:val="000A54C3"/>
    <w:rsid w:val="000A5BF4"/>
    <w:rsid w:val="000A6932"/>
    <w:rsid w:val="000A6D80"/>
    <w:rsid w:val="000A705B"/>
    <w:rsid w:val="000A76C3"/>
    <w:rsid w:val="000A7CBD"/>
    <w:rsid w:val="000A7FA7"/>
    <w:rsid w:val="000B004F"/>
    <w:rsid w:val="000B0646"/>
    <w:rsid w:val="000B0FB3"/>
    <w:rsid w:val="000B164C"/>
    <w:rsid w:val="000B167F"/>
    <w:rsid w:val="000B16EF"/>
    <w:rsid w:val="000B18FD"/>
    <w:rsid w:val="000B1935"/>
    <w:rsid w:val="000B197F"/>
    <w:rsid w:val="000B24D3"/>
    <w:rsid w:val="000B2534"/>
    <w:rsid w:val="000B2AAD"/>
    <w:rsid w:val="000B30AF"/>
    <w:rsid w:val="000B31F2"/>
    <w:rsid w:val="000B3D0D"/>
    <w:rsid w:val="000B3DCA"/>
    <w:rsid w:val="000B4182"/>
    <w:rsid w:val="000B44FB"/>
    <w:rsid w:val="000B48DB"/>
    <w:rsid w:val="000B4B1F"/>
    <w:rsid w:val="000B4CE8"/>
    <w:rsid w:val="000B4D61"/>
    <w:rsid w:val="000B4EB8"/>
    <w:rsid w:val="000B5054"/>
    <w:rsid w:val="000B52C9"/>
    <w:rsid w:val="000B544F"/>
    <w:rsid w:val="000B6658"/>
    <w:rsid w:val="000B6688"/>
    <w:rsid w:val="000B67BB"/>
    <w:rsid w:val="000B6FB6"/>
    <w:rsid w:val="000B710A"/>
    <w:rsid w:val="000B7216"/>
    <w:rsid w:val="000B76F2"/>
    <w:rsid w:val="000B789A"/>
    <w:rsid w:val="000B79E6"/>
    <w:rsid w:val="000B7A4C"/>
    <w:rsid w:val="000B7F3F"/>
    <w:rsid w:val="000C001D"/>
    <w:rsid w:val="000C00B9"/>
    <w:rsid w:val="000C01EB"/>
    <w:rsid w:val="000C0CE4"/>
    <w:rsid w:val="000C0FEF"/>
    <w:rsid w:val="000C10BE"/>
    <w:rsid w:val="000C1725"/>
    <w:rsid w:val="000C2086"/>
    <w:rsid w:val="000C24EB"/>
    <w:rsid w:val="000C2699"/>
    <w:rsid w:val="000C2768"/>
    <w:rsid w:val="000C2843"/>
    <w:rsid w:val="000C2EA4"/>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65E"/>
    <w:rsid w:val="000C58B3"/>
    <w:rsid w:val="000C5F18"/>
    <w:rsid w:val="000C6064"/>
    <w:rsid w:val="000C680F"/>
    <w:rsid w:val="000C70F5"/>
    <w:rsid w:val="000C7388"/>
    <w:rsid w:val="000C77CA"/>
    <w:rsid w:val="000C7A0D"/>
    <w:rsid w:val="000C7A37"/>
    <w:rsid w:val="000C7ACF"/>
    <w:rsid w:val="000C7B86"/>
    <w:rsid w:val="000C7B8A"/>
    <w:rsid w:val="000D0632"/>
    <w:rsid w:val="000D07E8"/>
    <w:rsid w:val="000D0A39"/>
    <w:rsid w:val="000D0F49"/>
    <w:rsid w:val="000D0F86"/>
    <w:rsid w:val="000D1176"/>
    <w:rsid w:val="000D14E3"/>
    <w:rsid w:val="000D1619"/>
    <w:rsid w:val="000D17AB"/>
    <w:rsid w:val="000D1905"/>
    <w:rsid w:val="000D1CF6"/>
    <w:rsid w:val="000D1EAF"/>
    <w:rsid w:val="000D25AD"/>
    <w:rsid w:val="000D2E96"/>
    <w:rsid w:val="000D3691"/>
    <w:rsid w:val="000D3DD4"/>
    <w:rsid w:val="000D4345"/>
    <w:rsid w:val="000D443F"/>
    <w:rsid w:val="000D4490"/>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F7C"/>
    <w:rsid w:val="000D73DF"/>
    <w:rsid w:val="000D7716"/>
    <w:rsid w:val="000D7C3D"/>
    <w:rsid w:val="000D7CFA"/>
    <w:rsid w:val="000D7F4F"/>
    <w:rsid w:val="000E015A"/>
    <w:rsid w:val="000E03E7"/>
    <w:rsid w:val="000E0690"/>
    <w:rsid w:val="000E06C4"/>
    <w:rsid w:val="000E07AD"/>
    <w:rsid w:val="000E07D2"/>
    <w:rsid w:val="000E0950"/>
    <w:rsid w:val="000E13E8"/>
    <w:rsid w:val="000E1511"/>
    <w:rsid w:val="000E1636"/>
    <w:rsid w:val="000E1934"/>
    <w:rsid w:val="000E197B"/>
    <w:rsid w:val="000E19AC"/>
    <w:rsid w:val="000E1B03"/>
    <w:rsid w:val="000E1B82"/>
    <w:rsid w:val="000E1BE2"/>
    <w:rsid w:val="000E1E7F"/>
    <w:rsid w:val="000E1F43"/>
    <w:rsid w:val="000E2672"/>
    <w:rsid w:val="000E2770"/>
    <w:rsid w:val="000E28DA"/>
    <w:rsid w:val="000E2A29"/>
    <w:rsid w:val="000E2C32"/>
    <w:rsid w:val="000E2F64"/>
    <w:rsid w:val="000E33A7"/>
    <w:rsid w:val="000E3452"/>
    <w:rsid w:val="000E347D"/>
    <w:rsid w:val="000E39CD"/>
    <w:rsid w:val="000E3C71"/>
    <w:rsid w:val="000E4247"/>
    <w:rsid w:val="000E4A79"/>
    <w:rsid w:val="000E521E"/>
    <w:rsid w:val="000E52C1"/>
    <w:rsid w:val="000E5530"/>
    <w:rsid w:val="000E5677"/>
    <w:rsid w:val="000E5E69"/>
    <w:rsid w:val="000E6B0A"/>
    <w:rsid w:val="000E6C56"/>
    <w:rsid w:val="000E6FF3"/>
    <w:rsid w:val="000E70E3"/>
    <w:rsid w:val="000E74E0"/>
    <w:rsid w:val="000E74F9"/>
    <w:rsid w:val="000E7727"/>
    <w:rsid w:val="000E78E4"/>
    <w:rsid w:val="000E7A7D"/>
    <w:rsid w:val="000F0B7D"/>
    <w:rsid w:val="000F0D2A"/>
    <w:rsid w:val="000F0D35"/>
    <w:rsid w:val="000F0F68"/>
    <w:rsid w:val="000F0F7F"/>
    <w:rsid w:val="000F1264"/>
    <w:rsid w:val="000F16AE"/>
    <w:rsid w:val="000F1B31"/>
    <w:rsid w:val="000F217E"/>
    <w:rsid w:val="000F2302"/>
    <w:rsid w:val="000F2CDA"/>
    <w:rsid w:val="000F2E2B"/>
    <w:rsid w:val="000F2E9B"/>
    <w:rsid w:val="000F312F"/>
    <w:rsid w:val="000F341D"/>
    <w:rsid w:val="000F3C1E"/>
    <w:rsid w:val="000F3F4F"/>
    <w:rsid w:val="000F4150"/>
    <w:rsid w:val="000F44BA"/>
    <w:rsid w:val="000F4646"/>
    <w:rsid w:val="000F4DB6"/>
    <w:rsid w:val="000F5115"/>
    <w:rsid w:val="000F52D9"/>
    <w:rsid w:val="000F54AC"/>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1268"/>
    <w:rsid w:val="00101410"/>
    <w:rsid w:val="00101DCC"/>
    <w:rsid w:val="00101DE4"/>
    <w:rsid w:val="00101E86"/>
    <w:rsid w:val="00101FBC"/>
    <w:rsid w:val="001027A5"/>
    <w:rsid w:val="00102D40"/>
    <w:rsid w:val="00103253"/>
    <w:rsid w:val="00103DA5"/>
    <w:rsid w:val="00103EC3"/>
    <w:rsid w:val="001041E3"/>
    <w:rsid w:val="00104311"/>
    <w:rsid w:val="00104CE6"/>
    <w:rsid w:val="00105EB2"/>
    <w:rsid w:val="00106078"/>
    <w:rsid w:val="001062DE"/>
    <w:rsid w:val="0010664E"/>
    <w:rsid w:val="0010682C"/>
    <w:rsid w:val="00106987"/>
    <w:rsid w:val="00106AF1"/>
    <w:rsid w:val="00106F4B"/>
    <w:rsid w:val="0010733C"/>
    <w:rsid w:val="00107B15"/>
    <w:rsid w:val="00107B62"/>
    <w:rsid w:val="0011022D"/>
    <w:rsid w:val="00110323"/>
    <w:rsid w:val="001104FA"/>
    <w:rsid w:val="00110719"/>
    <w:rsid w:val="0011099B"/>
    <w:rsid w:val="00110C1F"/>
    <w:rsid w:val="00110E53"/>
    <w:rsid w:val="001114C1"/>
    <w:rsid w:val="0011158E"/>
    <w:rsid w:val="0011166D"/>
    <w:rsid w:val="0011178D"/>
    <w:rsid w:val="00111A0E"/>
    <w:rsid w:val="001121E7"/>
    <w:rsid w:val="001122B9"/>
    <w:rsid w:val="001129A7"/>
    <w:rsid w:val="00112C49"/>
    <w:rsid w:val="00113099"/>
    <w:rsid w:val="0011358C"/>
    <w:rsid w:val="001137CC"/>
    <w:rsid w:val="00113907"/>
    <w:rsid w:val="00113B00"/>
    <w:rsid w:val="001141BB"/>
    <w:rsid w:val="001143E8"/>
    <w:rsid w:val="00114875"/>
    <w:rsid w:val="00114A33"/>
    <w:rsid w:val="00114AE4"/>
    <w:rsid w:val="00114E0F"/>
    <w:rsid w:val="001154C1"/>
    <w:rsid w:val="00115549"/>
    <w:rsid w:val="001156AF"/>
    <w:rsid w:val="00115CD8"/>
    <w:rsid w:val="00115F6A"/>
    <w:rsid w:val="00116136"/>
    <w:rsid w:val="001164D5"/>
    <w:rsid w:val="00116BAA"/>
    <w:rsid w:val="00116BB6"/>
    <w:rsid w:val="00116F43"/>
    <w:rsid w:val="0011770F"/>
    <w:rsid w:val="001179A4"/>
    <w:rsid w:val="00117B67"/>
    <w:rsid w:val="001201D4"/>
    <w:rsid w:val="00120251"/>
    <w:rsid w:val="0012096A"/>
    <w:rsid w:val="00120CBF"/>
    <w:rsid w:val="00120E25"/>
    <w:rsid w:val="001217C7"/>
    <w:rsid w:val="00121C61"/>
    <w:rsid w:val="00121F4B"/>
    <w:rsid w:val="00122812"/>
    <w:rsid w:val="0012296A"/>
    <w:rsid w:val="00122E25"/>
    <w:rsid w:val="00123147"/>
    <w:rsid w:val="0012399B"/>
    <w:rsid w:val="00123C43"/>
    <w:rsid w:val="00123D3B"/>
    <w:rsid w:val="0012428A"/>
    <w:rsid w:val="001247B3"/>
    <w:rsid w:val="001249A5"/>
    <w:rsid w:val="00124A29"/>
    <w:rsid w:val="00124B1B"/>
    <w:rsid w:val="00124D2A"/>
    <w:rsid w:val="00124FC7"/>
    <w:rsid w:val="001252A3"/>
    <w:rsid w:val="00125E65"/>
    <w:rsid w:val="00125F82"/>
    <w:rsid w:val="00126092"/>
    <w:rsid w:val="001262FB"/>
    <w:rsid w:val="00126745"/>
    <w:rsid w:val="00126CE0"/>
    <w:rsid w:val="00126E67"/>
    <w:rsid w:val="0012701C"/>
    <w:rsid w:val="001276BC"/>
    <w:rsid w:val="00127BD9"/>
    <w:rsid w:val="00130F21"/>
    <w:rsid w:val="001313F9"/>
    <w:rsid w:val="00131578"/>
    <w:rsid w:val="00132336"/>
    <w:rsid w:val="0013290F"/>
    <w:rsid w:val="001329BB"/>
    <w:rsid w:val="00132F58"/>
    <w:rsid w:val="00133AAA"/>
    <w:rsid w:val="001344B4"/>
    <w:rsid w:val="001349A1"/>
    <w:rsid w:val="0013501F"/>
    <w:rsid w:val="001351E3"/>
    <w:rsid w:val="00135880"/>
    <w:rsid w:val="00135D05"/>
    <w:rsid w:val="0013638A"/>
    <w:rsid w:val="001366FF"/>
    <w:rsid w:val="00136995"/>
    <w:rsid w:val="00136C3E"/>
    <w:rsid w:val="001371F4"/>
    <w:rsid w:val="0013778B"/>
    <w:rsid w:val="0013799B"/>
    <w:rsid w:val="00140C2E"/>
    <w:rsid w:val="001410E9"/>
    <w:rsid w:val="001427F9"/>
    <w:rsid w:val="00142C57"/>
    <w:rsid w:val="0014315F"/>
    <w:rsid w:val="0014317B"/>
    <w:rsid w:val="0014341A"/>
    <w:rsid w:val="0014366A"/>
    <w:rsid w:val="001436E8"/>
    <w:rsid w:val="00143948"/>
    <w:rsid w:val="00143A60"/>
    <w:rsid w:val="00143D08"/>
    <w:rsid w:val="00144083"/>
    <w:rsid w:val="0014410D"/>
    <w:rsid w:val="001450CA"/>
    <w:rsid w:val="00145358"/>
    <w:rsid w:val="001453BB"/>
    <w:rsid w:val="00145A69"/>
    <w:rsid w:val="0014617F"/>
    <w:rsid w:val="001461F3"/>
    <w:rsid w:val="0014621D"/>
    <w:rsid w:val="0014694A"/>
    <w:rsid w:val="0014706A"/>
    <w:rsid w:val="001472FA"/>
    <w:rsid w:val="00147902"/>
    <w:rsid w:val="0014794C"/>
    <w:rsid w:val="00147B5C"/>
    <w:rsid w:val="00147E23"/>
    <w:rsid w:val="00150C38"/>
    <w:rsid w:val="001511A1"/>
    <w:rsid w:val="001513D2"/>
    <w:rsid w:val="0015141E"/>
    <w:rsid w:val="001514D7"/>
    <w:rsid w:val="001518DA"/>
    <w:rsid w:val="00151AAE"/>
    <w:rsid w:val="00151F01"/>
    <w:rsid w:val="00152330"/>
    <w:rsid w:val="00152849"/>
    <w:rsid w:val="00152C99"/>
    <w:rsid w:val="001530FC"/>
    <w:rsid w:val="00153816"/>
    <w:rsid w:val="00153AD7"/>
    <w:rsid w:val="00153C6F"/>
    <w:rsid w:val="00154145"/>
    <w:rsid w:val="00154275"/>
    <w:rsid w:val="001545AB"/>
    <w:rsid w:val="001548FB"/>
    <w:rsid w:val="0015505E"/>
    <w:rsid w:val="001553A5"/>
    <w:rsid w:val="00155DC8"/>
    <w:rsid w:val="001560F9"/>
    <w:rsid w:val="0015667D"/>
    <w:rsid w:val="00156ED0"/>
    <w:rsid w:val="00157102"/>
    <w:rsid w:val="0015721A"/>
    <w:rsid w:val="00157337"/>
    <w:rsid w:val="0015789A"/>
    <w:rsid w:val="00157C73"/>
    <w:rsid w:val="00157F85"/>
    <w:rsid w:val="001600E0"/>
    <w:rsid w:val="00160601"/>
    <w:rsid w:val="001606E6"/>
    <w:rsid w:val="00160CE7"/>
    <w:rsid w:val="001611A5"/>
    <w:rsid w:val="00161340"/>
    <w:rsid w:val="001614A0"/>
    <w:rsid w:val="00162019"/>
    <w:rsid w:val="00162661"/>
    <w:rsid w:val="00162747"/>
    <w:rsid w:val="001629A1"/>
    <w:rsid w:val="001629F3"/>
    <w:rsid w:val="00162C3A"/>
    <w:rsid w:val="00162D93"/>
    <w:rsid w:val="001631CB"/>
    <w:rsid w:val="001635DC"/>
    <w:rsid w:val="00163874"/>
    <w:rsid w:val="00163AA0"/>
    <w:rsid w:val="00163AD0"/>
    <w:rsid w:val="00163DBF"/>
    <w:rsid w:val="001643F5"/>
    <w:rsid w:val="00164423"/>
    <w:rsid w:val="00164A3D"/>
    <w:rsid w:val="00164CFE"/>
    <w:rsid w:val="00164D27"/>
    <w:rsid w:val="00164E51"/>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3AA0"/>
    <w:rsid w:val="00173DAE"/>
    <w:rsid w:val="00174822"/>
    <w:rsid w:val="00174940"/>
    <w:rsid w:val="00174BD7"/>
    <w:rsid w:val="00174EB4"/>
    <w:rsid w:val="0017542A"/>
    <w:rsid w:val="00175A84"/>
    <w:rsid w:val="00175B69"/>
    <w:rsid w:val="00175BCE"/>
    <w:rsid w:val="00176080"/>
    <w:rsid w:val="001761D0"/>
    <w:rsid w:val="00176F32"/>
    <w:rsid w:val="001771A7"/>
    <w:rsid w:val="001774DE"/>
    <w:rsid w:val="00177D30"/>
    <w:rsid w:val="00177DE9"/>
    <w:rsid w:val="00177E5A"/>
    <w:rsid w:val="00177E9F"/>
    <w:rsid w:val="00177FFB"/>
    <w:rsid w:val="0018075E"/>
    <w:rsid w:val="001807AC"/>
    <w:rsid w:val="001807ED"/>
    <w:rsid w:val="00180C18"/>
    <w:rsid w:val="00180CB2"/>
    <w:rsid w:val="001811AD"/>
    <w:rsid w:val="00181C5E"/>
    <w:rsid w:val="001825EC"/>
    <w:rsid w:val="00182A9B"/>
    <w:rsid w:val="00182CAC"/>
    <w:rsid w:val="00182F51"/>
    <w:rsid w:val="00183251"/>
    <w:rsid w:val="001832ED"/>
    <w:rsid w:val="00183741"/>
    <w:rsid w:val="0018384D"/>
    <w:rsid w:val="0018389D"/>
    <w:rsid w:val="0018395B"/>
    <w:rsid w:val="00184199"/>
    <w:rsid w:val="001842C4"/>
    <w:rsid w:val="001843E2"/>
    <w:rsid w:val="001848AD"/>
    <w:rsid w:val="001849D5"/>
    <w:rsid w:val="00185177"/>
    <w:rsid w:val="0018558C"/>
    <w:rsid w:val="0018607B"/>
    <w:rsid w:val="001860C2"/>
    <w:rsid w:val="0018643A"/>
    <w:rsid w:val="0018686D"/>
    <w:rsid w:val="00186CD0"/>
    <w:rsid w:val="00186D3B"/>
    <w:rsid w:val="00186E14"/>
    <w:rsid w:val="00187050"/>
    <w:rsid w:val="001871A8"/>
    <w:rsid w:val="001872EC"/>
    <w:rsid w:val="00187333"/>
    <w:rsid w:val="00187647"/>
    <w:rsid w:val="00187F36"/>
    <w:rsid w:val="0019015E"/>
    <w:rsid w:val="00190347"/>
    <w:rsid w:val="001903B7"/>
    <w:rsid w:val="00190615"/>
    <w:rsid w:val="001906B0"/>
    <w:rsid w:val="0019092F"/>
    <w:rsid w:val="00191078"/>
    <w:rsid w:val="0019117E"/>
    <w:rsid w:val="00191471"/>
    <w:rsid w:val="00191A92"/>
    <w:rsid w:val="00191B55"/>
    <w:rsid w:val="00191F2B"/>
    <w:rsid w:val="00192413"/>
    <w:rsid w:val="001925E8"/>
    <w:rsid w:val="001926C5"/>
    <w:rsid w:val="00192897"/>
    <w:rsid w:val="00192AA9"/>
    <w:rsid w:val="00192B0B"/>
    <w:rsid w:val="00192EAE"/>
    <w:rsid w:val="00192F97"/>
    <w:rsid w:val="00193024"/>
    <w:rsid w:val="00193506"/>
    <w:rsid w:val="001936DA"/>
    <w:rsid w:val="001937BB"/>
    <w:rsid w:val="001938F8"/>
    <w:rsid w:val="00193F37"/>
    <w:rsid w:val="00194348"/>
    <w:rsid w:val="001951F7"/>
    <w:rsid w:val="00195339"/>
    <w:rsid w:val="00195D92"/>
    <w:rsid w:val="00196348"/>
    <w:rsid w:val="001967B8"/>
    <w:rsid w:val="00196AA8"/>
    <w:rsid w:val="00196F67"/>
    <w:rsid w:val="00197283"/>
    <w:rsid w:val="0019747D"/>
    <w:rsid w:val="0019781D"/>
    <w:rsid w:val="00197F7F"/>
    <w:rsid w:val="001A0075"/>
    <w:rsid w:val="001A01FA"/>
    <w:rsid w:val="001A0549"/>
    <w:rsid w:val="001A0E08"/>
    <w:rsid w:val="001A10D5"/>
    <w:rsid w:val="001A128A"/>
    <w:rsid w:val="001A1B51"/>
    <w:rsid w:val="001A2077"/>
    <w:rsid w:val="001A26AA"/>
    <w:rsid w:val="001A2772"/>
    <w:rsid w:val="001A2821"/>
    <w:rsid w:val="001A2F4C"/>
    <w:rsid w:val="001A3164"/>
    <w:rsid w:val="001A3587"/>
    <w:rsid w:val="001A363F"/>
    <w:rsid w:val="001A3AF7"/>
    <w:rsid w:val="001A3B71"/>
    <w:rsid w:val="001A3D86"/>
    <w:rsid w:val="001A4AEB"/>
    <w:rsid w:val="001A4DA5"/>
    <w:rsid w:val="001A4DBE"/>
    <w:rsid w:val="001A5017"/>
    <w:rsid w:val="001A50D5"/>
    <w:rsid w:val="001A5334"/>
    <w:rsid w:val="001A5461"/>
    <w:rsid w:val="001A56B3"/>
    <w:rsid w:val="001A589D"/>
    <w:rsid w:val="001A58F3"/>
    <w:rsid w:val="001A70F6"/>
    <w:rsid w:val="001A71AB"/>
    <w:rsid w:val="001A74A9"/>
    <w:rsid w:val="001A74EB"/>
    <w:rsid w:val="001A7629"/>
    <w:rsid w:val="001A7644"/>
    <w:rsid w:val="001A7B43"/>
    <w:rsid w:val="001B0192"/>
    <w:rsid w:val="001B0195"/>
    <w:rsid w:val="001B05C2"/>
    <w:rsid w:val="001B0723"/>
    <w:rsid w:val="001B0A03"/>
    <w:rsid w:val="001B0A88"/>
    <w:rsid w:val="001B0A97"/>
    <w:rsid w:val="001B0EBB"/>
    <w:rsid w:val="001B0EFC"/>
    <w:rsid w:val="001B1134"/>
    <w:rsid w:val="001B1416"/>
    <w:rsid w:val="001B1EC2"/>
    <w:rsid w:val="001B1EFA"/>
    <w:rsid w:val="001B21CA"/>
    <w:rsid w:val="001B237E"/>
    <w:rsid w:val="001B2726"/>
    <w:rsid w:val="001B3443"/>
    <w:rsid w:val="001B36A2"/>
    <w:rsid w:val="001B3954"/>
    <w:rsid w:val="001B3C14"/>
    <w:rsid w:val="001B44C3"/>
    <w:rsid w:val="001B4762"/>
    <w:rsid w:val="001B5B16"/>
    <w:rsid w:val="001B6198"/>
    <w:rsid w:val="001B6798"/>
    <w:rsid w:val="001B6A1A"/>
    <w:rsid w:val="001B6A4D"/>
    <w:rsid w:val="001B7311"/>
    <w:rsid w:val="001B7A86"/>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CAA"/>
    <w:rsid w:val="001C2D99"/>
    <w:rsid w:val="001C2FE0"/>
    <w:rsid w:val="001C3057"/>
    <w:rsid w:val="001C3100"/>
    <w:rsid w:val="001C3267"/>
    <w:rsid w:val="001C3632"/>
    <w:rsid w:val="001C370D"/>
    <w:rsid w:val="001C3768"/>
    <w:rsid w:val="001C37C5"/>
    <w:rsid w:val="001C3ADB"/>
    <w:rsid w:val="001C3D07"/>
    <w:rsid w:val="001C4CAA"/>
    <w:rsid w:val="001C4F41"/>
    <w:rsid w:val="001C5234"/>
    <w:rsid w:val="001C5B1B"/>
    <w:rsid w:val="001C5E1D"/>
    <w:rsid w:val="001C5E2F"/>
    <w:rsid w:val="001C610D"/>
    <w:rsid w:val="001C6EAA"/>
    <w:rsid w:val="001C7558"/>
    <w:rsid w:val="001C79A8"/>
    <w:rsid w:val="001D0212"/>
    <w:rsid w:val="001D024B"/>
    <w:rsid w:val="001D02B5"/>
    <w:rsid w:val="001D0D1A"/>
    <w:rsid w:val="001D0F3F"/>
    <w:rsid w:val="001D1098"/>
    <w:rsid w:val="001D12DD"/>
    <w:rsid w:val="001D146C"/>
    <w:rsid w:val="001D1AA2"/>
    <w:rsid w:val="001D226A"/>
    <w:rsid w:val="001D2270"/>
    <w:rsid w:val="001D25D1"/>
    <w:rsid w:val="001D28B2"/>
    <w:rsid w:val="001D2AF1"/>
    <w:rsid w:val="001D4552"/>
    <w:rsid w:val="001D4C7C"/>
    <w:rsid w:val="001D507E"/>
    <w:rsid w:val="001D5145"/>
    <w:rsid w:val="001D536D"/>
    <w:rsid w:val="001D5442"/>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6B1"/>
    <w:rsid w:val="001E0A42"/>
    <w:rsid w:val="001E0B5F"/>
    <w:rsid w:val="001E0D91"/>
    <w:rsid w:val="001E1067"/>
    <w:rsid w:val="001E12DE"/>
    <w:rsid w:val="001E1306"/>
    <w:rsid w:val="001E13BA"/>
    <w:rsid w:val="001E146E"/>
    <w:rsid w:val="001E16E9"/>
    <w:rsid w:val="001E170B"/>
    <w:rsid w:val="001E1958"/>
    <w:rsid w:val="001E1B30"/>
    <w:rsid w:val="001E2467"/>
    <w:rsid w:val="001E26B2"/>
    <w:rsid w:val="001E2778"/>
    <w:rsid w:val="001E27D0"/>
    <w:rsid w:val="001E2817"/>
    <w:rsid w:val="001E2954"/>
    <w:rsid w:val="001E2E7D"/>
    <w:rsid w:val="001E2FA6"/>
    <w:rsid w:val="001E3134"/>
    <w:rsid w:val="001E34C0"/>
    <w:rsid w:val="001E37CB"/>
    <w:rsid w:val="001E381A"/>
    <w:rsid w:val="001E3BDA"/>
    <w:rsid w:val="001E3D05"/>
    <w:rsid w:val="001E3E01"/>
    <w:rsid w:val="001E3E7E"/>
    <w:rsid w:val="001E469E"/>
    <w:rsid w:val="001E4930"/>
    <w:rsid w:val="001E4C82"/>
    <w:rsid w:val="001E59A7"/>
    <w:rsid w:val="001E5CB4"/>
    <w:rsid w:val="001E66BA"/>
    <w:rsid w:val="001E68C9"/>
    <w:rsid w:val="001E6FA8"/>
    <w:rsid w:val="001E72B9"/>
    <w:rsid w:val="001E74FA"/>
    <w:rsid w:val="001E7854"/>
    <w:rsid w:val="001E7BD7"/>
    <w:rsid w:val="001E7DBA"/>
    <w:rsid w:val="001F012F"/>
    <w:rsid w:val="001F0226"/>
    <w:rsid w:val="001F051E"/>
    <w:rsid w:val="001F07D9"/>
    <w:rsid w:val="001F0825"/>
    <w:rsid w:val="001F0EEE"/>
    <w:rsid w:val="001F0F85"/>
    <w:rsid w:val="001F1135"/>
    <w:rsid w:val="001F11CE"/>
    <w:rsid w:val="001F134F"/>
    <w:rsid w:val="001F1810"/>
    <w:rsid w:val="001F1A9D"/>
    <w:rsid w:val="001F1D0A"/>
    <w:rsid w:val="001F220E"/>
    <w:rsid w:val="001F24D8"/>
    <w:rsid w:val="001F27E6"/>
    <w:rsid w:val="001F297A"/>
    <w:rsid w:val="001F3463"/>
    <w:rsid w:val="001F37DF"/>
    <w:rsid w:val="001F3C65"/>
    <w:rsid w:val="001F45A9"/>
    <w:rsid w:val="001F4EFF"/>
    <w:rsid w:val="001F50C1"/>
    <w:rsid w:val="001F59C8"/>
    <w:rsid w:val="001F59ED"/>
    <w:rsid w:val="001F5A83"/>
    <w:rsid w:val="001F5AB3"/>
    <w:rsid w:val="001F5C99"/>
    <w:rsid w:val="001F6F85"/>
    <w:rsid w:val="001F7873"/>
    <w:rsid w:val="001F79E4"/>
    <w:rsid w:val="001F7A04"/>
    <w:rsid w:val="001F7BFF"/>
    <w:rsid w:val="002000B9"/>
    <w:rsid w:val="002006BF"/>
    <w:rsid w:val="002009CD"/>
    <w:rsid w:val="00200F16"/>
    <w:rsid w:val="00201125"/>
    <w:rsid w:val="00201827"/>
    <w:rsid w:val="0020199E"/>
    <w:rsid w:val="00201F71"/>
    <w:rsid w:val="00202BC7"/>
    <w:rsid w:val="00202DB4"/>
    <w:rsid w:val="00202F4B"/>
    <w:rsid w:val="0020306F"/>
    <w:rsid w:val="002032B8"/>
    <w:rsid w:val="00203349"/>
    <w:rsid w:val="0020347D"/>
    <w:rsid w:val="002034F0"/>
    <w:rsid w:val="00204218"/>
    <w:rsid w:val="00204401"/>
    <w:rsid w:val="00204534"/>
    <w:rsid w:val="00204B5E"/>
    <w:rsid w:val="00204BEE"/>
    <w:rsid w:val="00204F38"/>
    <w:rsid w:val="0020511E"/>
    <w:rsid w:val="00205557"/>
    <w:rsid w:val="0020555B"/>
    <w:rsid w:val="00205667"/>
    <w:rsid w:val="00205BC3"/>
    <w:rsid w:val="00205C0F"/>
    <w:rsid w:val="00205C46"/>
    <w:rsid w:val="0020651F"/>
    <w:rsid w:val="00206606"/>
    <w:rsid w:val="00206AEE"/>
    <w:rsid w:val="00206E95"/>
    <w:rsid w:val="00206ED9"/>
    <w:rsid w:val="00206F6E"/>
    <w:rsid w:val="00206FF1"/>
    <w:rsid w:val="002074CE"/>
    <w:rsid w:val="0020786F"/>
    <w:rsid w:val="0020796B"/>
    <w:rsid w:val="002079A4"/>
    <w:rsid w:val="0021046F"/>
    <w:rsid w:val="002105F7"/>
    <w:rsid w:val="002106D0"/>
    <w:rsid w:val="0021097C"/>
    <w:rsid w:val="00210A7C"/>
    <w:rsid w:val="00211460"/>
    <w:rsid w:val="0021149B"/>
    <w:rsid w:val="00211A73"/>
    <w:rsid w:val="00211FE6"/>
    <w:rsid w:val="00211FE7"/>
    <w:rsid w:val="00212805"/>
    <w:rsid w:val="002129AE"/>
    <w:rsid w:val="00212AF8"/>
    <w:rsid w:val="00212BB5"/>
    <w:rsid w:val="002132C5"/>
    <w:rsid w:val="00213592"/>
    <w:rsid w:val="002136EA"/>
    <w:rsid w:val="002147B7"/>
    <w:rsid w:val="00214992"/>
    <w:rsid w:val="00214AF6"/>
    <w:rsid w:val="00215070"/>
    <w:rsid w:val="00215607"/>
    <w:rsid w:val="0021565E"/>
    <w:rsid w:val="0021595F"/>
    <w:rsid w:val="00215A2B"/>
    <w:rsid w:val="00215CDD"/>
    <w:rsid w:val="002161AE"/>
    <w:rsid w:val="00216340"/>
    <w:rsid w:val="00216901"/>
    <w:rsid w:val="00216BCA"/>
    <w:rsid w:val="00216DD6"/>
    <w:rsid w:val="002173D9"/>
    <w:rsid w:val="002175F5"/>
    <w:rsid w:val="0021772A"/>
    <w:rsid w:val="00217D4C"/>
    <w:rsid w:val="00220C72"/>
    <w:rsid w:val="00221313"/>
    <w:rsid w:val="00221664"/>
    <w:rsid w:val="00221671"/>
    <w:rsid w:val="002219B9"/>
    <w:rsid w:val="00221FB5"/>
    <w:rsid w:val="0022219C"/>
    <w:rsid w:val="0022252E"/>
    <w:rsid w:val="002227B6"/>
    <w:rsid w:val="002229DB"/>
    <w:rsid w:val="00222B50"/>
    <w:rsid w:val="00222B98"/>
    <w:rsid w:val="00222D37"/>
    <w:rsid w:val="00222E2F"/>
    <w:rsid w:val="0022331C"/>
    <w:rsid w:val="0022409E"/>
    <w:rsid w:val="00224135"/>
    <w:rsid w:val="00224415"/>
    <w:rsid w:val="00224AC8"/>
    <w:rsid w:val="00224CA2"/>
    <w:rsid w:val="00225887"/>
    <w:rsid w:val="00225D74"/>
    <w:rsid w:val="00225E41"/>
    <w:rsid w:val="00225E43"/>
    <w:rsid w:val="00225EC3"/>
    <w:rsid w:val="002261B4"/>
    <w:rsid w:val="002262DB"/>
    <w:rsid w:val="002266F4"/>
    <w:rsid w:val="002269B5"/>
    <w:rsid w:val="00226CA6"/>
    <w:rsid w:val="0022729C"/>
    <w:rsid w:val="00227512"/>
    <w:rsid w:val="00230619"/>
    <w:rsid w:val="002309BA"/>
    <w:rsid w:val="00230B58"/>
    <w:rsid w:val="00230E37"/>
    <w:rsid w:val="0023105B"/>
    <w:rsid w:val="002311B5"/>
    <w:rsid w:val="0023138C"/>
    <w:rsid w:val="0023150C"/>
    <w:rsid w:val="0023172C"/>
    <w:rsid w:val="00231C45"/>
    <w:rsid w:val="00231DC6"/>
    <w:rsid w:val="0023252E"/>
    <w:rsid w:val="00232891"/>
    <w:rsid w:val="00233CC6"/>
    <w:rsid w:val="00233D28"/>
    <w:rsid w:val="00234132"/>
    <w:rsid w:val="002345FA"/>
    <w:rsid w:val="0023491D"/>
    <w:rsid w:val="0023522D"/>
    <w:rsid w:val="002355B4"/>
    <w:rsid w:val="002355DC"/>
    <w:rsid w:val="0023570F"/>
    <w:rsid w:val="00235840"/>
    <w:rsid w:val="00235892"/>
    <w:rsid w:val="002358E5"/>
    <w:rsid w:val="00235DD0"/>
    <w:rsid w:val="00236291"/>
    <w:rsid w:val="002365FE"/>
    <w:rsid w:val="002368BF"/>
    <w:rsid w:val="00236BB7"/>
    <w:rsid w:val="00236FB1"/>
    <w:rsid w:val="00237403"/>
    <w:rsid w:val="002378DB"/>
    <w:rsid w:val="00237BA5"/>
    <w:rsid w:val="00237E51"/>
    <w:rsid w:val="002400C9"/>
    <w:rsid w:val="002401CD"/>
    <w:rsid w:val="002405BD"/>
    <w:rsid w:val="002406DC"/>
    <w:rsid w:val="002407CB"/>
    <w:rsid w:val="00240A81"/>
    <w:rsid w:val="00240CAF"/>
    <w:rsid w:val="00240E05"/>
    <w:rsid w:val="002412BD"/>
    <w:rsid w:val="00241429"/>
    <w:rsid w:val="00241CE0"/>
    <w:rsid w:val="00241D60"/>
    <w:rsid w:val="00241E3C"/>
    <w:rsid w:val="002420F7"/>
    <w:rsid w:val="0024279A"/>
    <w:rsid w:val="002428F9"/>
    <w:rsid w:val="002429D9"/>
    <w:rsid w:val="0024332A"/>
    <w:rsid w:val="00243A06"/>
    <w:rsid w:val="00243A7E"/>
    <w:rsid w:val="00243BE2"/>
    <w:rsid w:val="002441A6"/>
    <w:rsid w:val="00244CFB"/>
    <w:rsid w:val="00245357"/>
    <w:rsid w:val="002454FD"/>
    <w:rsid w:val="00245CA0"/>
    <w:rsid w:val="00246E54"/>
    <w:rsid w:val="00247202"/>
    <w:rsid w:val="0024720B"/>
    <w:rsid w:val="00247448"/>
    <w:rsid w:val="002477A3"/>
    <w:rsid w:val="002478C9"/>
    <w:rsid w:val="00250831"/>
    <w:rsid w:val="002508D0"/>
    <w:rsid w:val="0025096F"/>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71"/>
    <w:rsid w:val="00253F2C"/>
    <w:rsid w:val="0025405E"/>
    <w:rsid w:val="002540B3"/>
    <w:rsid w:val="0025419B"/>
    <w:rsid w:val="00254BE8"/>
    <w:rsid w:val="0025528E"/>
    <w:rsid w:val="002552B6"/>
    <w:rsid w:val="00255AD3"/>
    <w:rsid w:val="00255E89"/>
    <w:rsid w:val="00256482"/>
    <w:rsid w:val="00256894"/>
    <w:rsid w:val="00256D33"/>
    <w:rsid w:val="00256FEA"/>
    <w:rsid w:val="0025740C"/>
    <w:rsid w:val="002575B0"/>
    <w:rsid w:val="00257CB6"/>
    <w:rsid w:val="00257F4A"/>
    <w:rsid w:val="00257F6B"/>
    <w:rsid w:val="00260065"/>
    <w:rsid w:val="0026010C"/>
    <w:rsid w:val="0026140A"/>
    <w:rsid w:val="002615E5"/>
    <w:rsid w:val="002618F7"/>
    <w:rsid w:val="00262127"/>
    <w:rsid w:val="00262D39"/>
    <w:rsid w:val="002633FB"/>
    <w:rsid w:val="0026435E"/>
    <w:rsid w:val="00264364"/>
    <w:rsid w:val="002647E1"/>
    <w:rsid w:val="00264A6B"/>
    <w:rsid w:val="00264B1F"/>
    <w:rsid w:val="00265446"/>
    <w:rsid w:val="0026586A"/>
    <w:rsid w:val="00265C5D"/>
    <w:rsid w:val="00265D75"/>
    <w:rsid w:val="00265DC7"/>
    <w:rsid w:val="00266013"/>
    <w:rsid w:val="00266262"/>
    <w:rsid w:val="00266498"/>
    <w:rsid w:val="00266516"/>
    <w:rsid w:val="00266547"/>
    <w:rsid w:val="0026678E"/>
    <w:rsid w:val="00266968"/>
    <w:rsid w:val="00266F6B"/>
    <w:rsid w:val="00267CC1"/>
    <w:rsid w:val="00267E18"/>
    <w:rsid w:val="002700A1"/>
    <w:rsid w:val="0027084B"/>
    <w:rsid w:val="00270866"/>
    <w:rsid w:val="00270DA4"/>
    <w:rsid w:val="00270E8B"/>
    <w:rsid w:val="00270E97"/>
    <w:rsid w:val="00270F66"/>
    <w:rsid w:val="00271D70"/>
    <w:rsid w:val="00272695"/>
    <w:rsid w:val="0027331F"/>
    <w:rsid w:val="002734F4"/>
    <w:rsid w:val="00273B42"/>
    <w:rsid w:val="002741EF"/>
    <w:rsid w:val="0027474C"/>
    <w:rsid w:val="00274A25"/>
    <w:rsid w:val="00275064"/>
    <w:rsid w:val="00275080"/>
    <w:rsid w:val="0027532D"/>
    <w:rsid w:val="002755AF"/>
    <w:rsid w:val="002756D6"/>
    <w:rsid w:val="0027611C"/>
    <w:rsid w:val="002763B8"/>
    <w:rsid w:val="00276A36"/>
    <w:rsid w:val="00277043"/>
    <w:rsid w:val="00277052"/>
    <w:rsid w:val="00277769"/>
    <w:rsid w:val="00277815"/>
    <w:rsid w:val="00277960"/>
    <w:rsid w:val="00277BC0"/>
    <w:rsid w:val="00280CFA"/>
    <w:rsid w:val="002815F6"/>
    <w:rsid w:val="0028172C"/>
    <w:rsid w:val="00281812"/>
    <w:rsid w:val="002819E3"/>
    <w:rsid w:val="00281A36"/>
    <w:rsid w:val="00282603"/>
    <w:rsid w:val="00283024"/>
    <w:rsid w:val="00283359"/>
    <w:rsid w:val="0028345C"/>
    <w:rsid w:val="002834EE"/>
    <w:rsid w:val="00283528"/>
    <w:rsid w:val="00283A50"/>
    <w:rsid w:val="00283CD8"/>
    <w:rsid w:val="002843C6"/>
    <w:rsid w:val="002843DC"/>
    <w:rsid w:val="00284E84"/>
    <w:rsid w:val="002854CC"/>
    <w:rsid w:val="002854D8"/>
    <w:rsid w:val="0028551A"/>
    <w:rsid w:val="00285E03"/>
    <w:rsid w:val="00285E67"/>
    <w:rsid w:val="00285F0C"/>
    <w:rsid w:val="0028609C"/>
    <w:rsid w:val="002863D9"/>
    <w:rsid w:val="002866B6"/>
    <w:rsid w:val="002866D5"/>
    <w:rsid w:val="00286922"/>
    <w:rsid w:val="00286DBC"/>
    <w:rsid w:val="00286E7E"/>
    <w:rsid w:val="002874DC"/>
    <w:rsid w:val="00287FA4"/>
    <w:rsid w:val="002900CE"/>
    <w:rsid w:val="002904DE"/>
    <w:rsid w:val="00290D04"/>
    <w:rsid w:val="0029112E"/>
    <w:rsid w:val="00291754"/>
    <w:rsid w:val="00291A31"/>
    <w:rsid w:val="00291BF6"/>
    <w:rsid w:val="00291BF9"/>
    <w:rsid w:val="002926F0"/>
    <w:rsid w:val="00292C7A"/>
    <w:rsid w:val="00292DE2"/>
    <w:rsid w:val="0029368F"/>
    <w:rsid w:val="00293AD6"/>
    <w:rsid w:val="00293C64"/>
    <w:rsid w:val="0029405A"/>
    <w:rsid w:val="0029430E"/>
    <w:rsid w:val="002945B4"/>
    <w:rsid w:val="00294895"/>
    <w:rsid w:val="00294B2F"/>
    <w:rsid w:val="00294E5A"/>
    <w:rsid w:val="00294E8E"/>
    <w:rsid w:val="00294FF0"/>
    <w:rsid w:val="0029515A"/>
    <w:rsid w:val="00295167"/>
    <w:rsid w:val="00295346"/>
    <w:rsid w:val="002956B7"/>
    <w:rsid w:val="00295954"/>
    <w:rsid w:val="00295AF0"/>
    <w:rsid w:val="00296439"/>
    <w:rsid w:val="00296615"/>
    <w:rsid w:val="00296636"/>
    <w:rsid w:val="00296C96"/>
    <w:rsid w:val="00296DE2"/>
    <w:rsid w:val="0029743B"/>
    <w:rsid w:val="00297507"/>
    <w:rsid w:val="00297B85"/>
    <w:rsid w:val="00297CD3"/>
    <w:rsid w:val="002A01FE"/>
    <w:rsid w:val="002A0260"/>
    <w:rsid w:val="002A02B8"/>
    <w:rsid w:val="002A0471"/>
    <w:rsid w:val="002A0BF1"/>
    <w:rsid w:val="002A11A5"/>
    <w:rsid w:val="002A123A"/>
    <w:rsid w:val="002A1285"/>
    <w:rsid w:val="002A1546"/>
    <w:rsid w:val="002A1756"/>
    <w:rsid w:val="002A19A2"/>
    <w:rsid w:val="002A1A39"/>
    <w:rsid w:val="002A1E21"/>
    <w:rsid w:val="002A22C2"/>
    <w:rsid w:val="002A26C1"/>
    <w:rsid w:val="002A27AF"/>
    <w:rsid w:val="002A293E"/>
    <w:rsid w:val="002A2D68"/>
    <w:rsid w:val="002A379A"/>
    <w:rsid w:val="002A3863"/>
    <w:rsid w:val="002A389E"/>
    <w:rsid w:val="002A3B21"/>
    <w:rsid w:val="002A3FDE"/>
    <w:rsid w:val="002A453B"/>
    <w:rsid w:val="002A4A98"/>
    <w:rsid w:val="002A53CD"/>
    <w:rsid w:val="002A5707"/>
    <w:rsid w:val="002A5C33"/>
    <w:rsid w:val="002A5C75"/>
    <w:rsid w:val="002A5D3A"/>
    <w:rsid w:val="002A5E16"/>
    <w:rsid w:val="002A603E"/>
    <w:rsid w:val="002A614A"/>
    <w:rsid w:val="002A62B0"/>
    <w:rsid w:val="002A6734"/>
    <w:rsid w:val="002A7419"/>
    <w:rsid w:val="002A7480"/>
    <w:rsid w:val="002A7A58"/>
    <w:rsid w:val="002A7BA5"/>
    <w:rsid w:val="002A7E86"/>
    <w:rsid w:val="002B011C"/>
    <w:rsid w:val="002B03B0"/>
    <w:rsid w:val="002B0BC7"/>
    <w:rsid w:val="002B108E"/>
    <w:rsid w:val="002B10FF"/>
    <w:rsid w:val="002B11A3"/>
    <w:rsid w:val="002B137D"/>
    <w:rsid w:val="002B1D8A"/>
    <w:rsid w:val="002B1F22"/>
    <w:rsid w:val="002B1F64"/>
    <w:rsid w:val="002B26FB"/>
    <w:rsid w:val="002B2866"/>
    <w:rsid w:val="002B2D5B"/>
    <w:rsid w:val="002B2D9F"/>
    <w:rsid w:val="002B2E9C"/>
    <w:rsid w:val="002B37F6"/>
    <w:rsid w:val="002B4260"/>
    <w:rsid w:val="002B42C5"/>
    <w:rsid w:val="002B462B"/>
    <w:rsid w:val="002B47DE"/>
    <w:rsid w:val="002B5161"/>
    <w:rsid w:val="002B5166"/>
    <w:rsid w:val="002B51FB"/>
    <w:rsid w:val="002B5320"/>
    <w:rsid w:val="002B553A"/>
    <w:rsid w:val="002B59CE"/>
    <w:rsid w:val="002B6083"/>
    <w:rsid w:val="002B6204"/>
    <w:rsid w:val="002B65D4"/>
    <w:rsid w:val="002B6737"/>
    <w:rsid w:val="002B77D4"/>
    <w:rsid w:val="002B7C6B"/>
    <w:rsid w:val="002B7CA3"/>
    <w:rsid w:val="002B7F8F"/>
    <w:rsid w:val="002C035B"/>
    <w:rsid w:val="002C074F"/>
    <w:rsid w:val="002C0E46"/>
    <w:rsid w:val="002C1086"/>
    <w:rsid w:val="002C15B9"/>
    <w:rsid w:val="002C1DBA"/>
    <w:rsid w:val="002C2156"/>
    <w:rsid w:val="002C23A8"/>
    <w:rsid w:val="002C253E"/>
    <w:rsid w:val="002C27D1"/>
    <w:rsid w:val="002C289D"/>
    <w:rsid w:val="002C2948"/>
    <w:rsid w:val="002C2A74"/>
    <w:rsid w:val="002C2D50"/>
    <w:rsid w:val="002C31D4"/>
    <w:rsid w:val="002C3AA9"/>
    <w:rsid w:val="002C3B7F"/>
    <w:rsid w:val="002C3CAE"/>
    <w:rsid w:val="002C3DD0"/>
    <w:rsid w:val="002C3DE9"/>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42D"/>
    <w:rsid w:val="002C7C8F"/>
    <w:rsid w:val="002C7ED0"/>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3AC1"/>
    <w:rsid w:val="002D464D"/>
    <w:rsid w:val="002D4D47"/>
    <w:rsid w:val="002D53A4"/>
    <w:rsid w:val="002D5E04"/>
    <w:rsid w:val="002D60CE"/>
    <w:rsid w:val="002D62B2"/>
    <w:rsid w:val="002D63AE"/>
    <w:rsid w:val="002D6FCA"/>
    <w:rsid w:val="002D72E1"/>
    <w:rsid w:val="002D74C5"/>
    <w:rsid w:val="002E013D"/>
    <w:rsid w:val="002E05E7"/>
    <w:rsid w:val="002E0889"/>
    <w:rsid w:val="002E0AA5"/>
    <w:rsid w:val="002E0CC7"/>
    <w:rsid w:val="002E0D3C"/>
    <w:rsid w:val="002E0FC2"/>
    <w:rsid w:val="002E1083"/>
    <w:rsid w:val="002E1343"/>
    <w:rsid w:val="002E17CE"/>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B62"/>
    <w:rsid w:val="002E5CDA"/>
    <w:rsid w:val="002E5FB0"/>
    <w:rsid w:val="002E6D31"/>
    <w:rsid w:val="002E6DD3"/>
    <w:rsid w:val="002E79EB"/>
    <w:rsid w:val="002E7B7D"/>
    <w:rsid w:val="002E7F34"/>
    <w:rsid w:val="002F03A4"/>
    <w:rsid w:val="002F0417"/>
    <w:rsid w:val="002F0756"/>
    <w:rsid w:val="002F08F3"/>
    <w:rsid w:val="002F093F"/>
    <w:rsid w:val="002F0CCD"/>
    <w:rsid w:val="002F16B0"/>
    <w:rsid w:val="002F17BA"/>
    <w:rsid w:val="002F18EE"/>
    <w:rsid w:val="002F1EFD"/>
    <w:rsid w:val="002F24B5"/>
    <w:rsid w:val="002F2937"/>
    <w:rsid w:val="002F2CC2"/>
    <w:rsid w:val="002F2E4F"/>
    <w:rsid w:val="002F300D"/>
    <w:rsid w:val="002F312E"/>
    <w:rsid w:val="002F34B6"/>
    <w:rsid w:val="002F3BB5"/>
    <w:rsid w:val="002F3EC6"/>
    <w:rsid w:val="002F3FEC"/>
    <w:rsid w:val="002F4265"/>
    <w:rsid w:val="002F474E"/>
    <w:rsid w:val="002F506D"/>
    <w:rsid w:val="002F5343"/>
    <w:rsid w:val="002F5367"/>
    <w:rsid w:val="002F5667"/>
    <w:rsid w:val="002F5A7A"/>
    <w:rsid w:val="002F5AAF"/>
    <w:rsid w:val="002F5AF1"/>
    <w:rsid w:val="002F5F27"/>
    <w:rsid w:val="002F6DD6"/>
    <w:rsid w:val="002F71A0"/>
    <w:rsid w:val="002F74B2"/>
    <w:rsid w:val="00300067"/>
    <w:rsid w:val="003010F7"/>
    <w:rsid w:val="0030111F"/>
    <w:rsid w:val="0030140E"/>
    <w:rsid w:val="00301524"/>
    <w:rsid w:val="00301CAE"/>
    <w:rsid w:val="00301DE1"/>
    <w:rsid w:val="0030255E"/>
    <w:rsid w:val="003027DE"/>
    <w:rsid w:val="00302B5E"/>
    <w:rsid w:val="00302CDB"/>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A13"/>
    <w:rsid w:val="00305D5C"/>
    <w:rsid w:val="00305FD6"/>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162"/>
    <w:rsid w:val="003104A8"/>
    <w:rsid w:val="003104D8"/>
    <w:rsid w:val="00310C71"/>
    <w:rsid w:val="00310DC6"/>
    <w:rsid w:val="00310DF8"/>
    <w:rsid w:val="003110E7"/>
    <w:rsid w:val="00311173"/>
    <w:rsid w:val="003111B6"/>
    <w:rsid w:val="00311EAA"/>
    <w:rsid w:val="00312233"/>
    <w:rsid w:val="003126DB"/>
    <w:rsid w:val="00312F71"/>
    <w:rsid w:val="0031317F"/>
    <w:rsid w:val="003136F2"/>
    <w:rsid w:val="003138CB"/>
    <w:rsid w:val="00314122"/>
    <w:rsid w:val="003148FD"/>
    <w:rsid w:val="0031494E"/>
    <w:rsid w:val="00314F51"/>
    <w:rsid w:val="00314F69"/>
    <w:rsid w:val="0031522A"/>
    <w:rsid w:val="0031563A"/>
    <w:rsid w:val="0031595E"/>
    <w:rsid w:val="003159C3"/>
    <w:rsid w:val="00315EE0"/>
    <w:rsid w:val="003163FD"/>
    <w:rsid w:val="003165AB"/>
    <w:rsid w:val="003168BA"/>
    <w:rsid w:val="00316C2C"/>
    <w:rsid w:val="00316D32"/>
    <w:rsid w:val="003174CF"/>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2443"/>
    <w:rsid w:val="00322482"/>
    <w:rsid w:val="00322683"/>
    <w:rsid w:val="00322CAA"/>
    <w:rsid w:val="0032320C"/>
    <w:rsid w:val="00323267"/>
    <w:rsid w:val="003237FE"/>
    <w:rsid w:val="00323A4E"/>
    <w:rsid w:val="00323AE8"/>
    <w:rsid w:val="00323B09"/>
    <w:rsid w:val="00323CCF"/>
    <w:rsid w:val="00323CD6"/>
    <w:rsid w:val="00323EAF"/>
    <w:rsid w:val="003242C8"/>
    <w:rsid w:val="00324415"/>
    <w:rsid w:val="003246CB"/>
    <w:rsid w:val="00324818"/>
    <w:rsid w:val="00324B7A"/>
    <w:rsid w:val="00324BDB"/>
    <w:rsid w:val="0032559C"/>
    <w:rsid w:val="003256BA"/>
    <w:rsid w:val="00325A2D"/>
    <w:rsid w:val="0032600B"/>
    <w:rsid w:val="00326874"/>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6CA"/>
    <w:rsid w:val="00332814"/>
    <w:rsid w:val="00332979"/>
    <w:rsid w:val="00332A99"/>
    <w:rsid w:val="00332C4D"/>
    <w:rsid w:val="00332F12"/>
    <w:rsid w:val="0033332E"/>
    <w:rsid w:val="003335F3"/>
    <w:rsid w:val="003339D7"/>
    <w:rsid w:val="0033414D"/>
    <w:rsid w:val="00334304"/>
    <w:rsid w:val="00334A38"/>
    <w:rsid w:val="00334DB3"/>
    <w:rsid w:val="00334FFC"/>
    <w:rsid w:val="00335030"/>
    <w:rsid w:val="003351B9"/>
    <w:rsid w:val="0033523F"/>
    <w:rsid w:val="00335BB5"/>
    <w:rsid w:val="003362F6"/>
    <w:rsid w:val="003367CA"/>
    <w:rsid w:val="00336908"/>
    <w:rsid w:val="00336BD9"/>
    <w:rsid w:val="0033730C"/>
    <w:rsid w:val="003373DB"/>
    <w:rsid w:val="00337D19"/>
    <w:rsid w:val="00340883"/>
    <w:rsid w:val="00340E57"/>
    <w:rsid w:val="003415C3"/>
    <w:rsid w:val="00341650"/>
    <w:rsid w:val="003416EA"/>
    <w:rsid w:val="003418AD"/>
    <w:rsid w:val="003418C6"/>
    <w:rsid w:val="0034193E"/>
    <w:rsid w:val="00341948"/>
    <w:rsid w:val="003420BD"/>
    <w:rsid w:val="00342812"/>
    <w:rsid w:val="00342987"/>
    <w:rsid w:val="00342E98"/>
    <w:rsid w:val="00342F35"/>
    <w:rsid w:val="00343531"/>
    <w:rsid w:val="00343947"/>
    <w:rsid w:val="003439A1"/>
    <w:rsid w:val="00343B07"/>
    <w:rsid w:val="00344214"/>
    <w:rsid w:val="0034442E"/>
    <w:rsid w:val="003444D2"/>
    <w:rsid w:val="00344975"/>
    <w:rsid w:val="00344A70"/>
    <w:rsid w:val="00344ECE"/>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9AB"/>
    <w:rsid w:val="00354AC7"/>
    <w:rsid w:val="00354D7A"/>
    <w:rsid w:val="003550B9"/>
    <w:rsid w:val="0035539D"/>
    <w:rsid w:val="00355A65"/>
    <w:rsid w:val="00355E4D"/>
    <w:rsid w:val="003561DD"/>
    <w:rsid w:val="003562BD"/>
    <w:rsid w:val="00356F34"/>
    <w:rsid w:val="003579A4"/>
    <w:rsid w:val="00357EB4"/>
    <w:rsid w:val="0036052D"/>
    <w:rsid w:val="00360B7A"/>
    <w:rsid w:val="003610ED"/>
    <w:rsid w:val="0036120F"/>
    <w:rsid w:val="00361445"/>
    <w:rsid w:val="00361580"/>
    <w:rsid w:val="0036159E"/>
    <w:rsid w:val="0036177A"/>
    <w:rsid w:val="00361E69"/>
    <w:rsid w:val="00361E6C"/>
    <w:rsid w:val="00362003"/>
    <w:rsid w:val="003624E7"/>
    <w:rsid w:val="00362544"/>
    <w:rsid w:val="003627A4"/>
    <w:rsid w:val="003628A6"/>
    <w:rsid w:val="00362D8A"/>
    <w:rsid w:val="00362E1F"/>
    <w:rsid w:val="003640A1"/>
    <w:rsid w:val="003641C1"/>
    <w:rsid w:val="00364309"/>
    <w:rsid w:val="003646AA"/>
    <w:rsid w:val="00364BB7"/>
    <w:rsid w:val="00365365"/>
    <w:rsid w:val="00365939"/>
    <w:rsid w:val="00366971"/>
    <w:rsid w:val="00366D0C"/>
    <w:rsid w:val="003672D4"/>
    <w:rsid w:val="00367387"/>
    <w:rsid w:val="003675EC"/>
    <w:rsid w:val="003678F9"/>
    <w:rsid w:val="00367983"/>
    <w:rsid w:val="00367A0A"/>
    <w:rsid w:val="00370AFF"/>
    <w:rsid w:val="00370DEF"/>
    <w:rsid w:val="00370E74"/>
    <w:rsid w:val="0037118D"/>
    <w:rsid w:val="00371321"/>
    <w:rsid w:val="00371593"/>
    <w:rsid w:val="00371749"/>
    <w:rsid w:val="0037183B"/>
    <w:rsid w:val="00371E80"/>
    <w:rsid w:val="00371EDF"/>
    <w:rsid w:val="00371F5C"/>
    <w:rsid w:val="00372123"/>
    <w:rsid w:val="00372460"/>
    <w:rsid w:val="00372688"/>
    <w:rsid w:val="003726E9"/>
    <w:rsid w:val="00372A48"/>
    <w:rsid w:val="00372BF0"/>
    <w:rsid w:val="00372E34"/>
    <w:rsid w:val="00373059"/>
    <w:rsid w:val="00373D16"/>
    <w:rsid w:val="003744BA"/>
    <w:rsid w:val="003744D6"/>
    <w:rsid w:val="00374681"/>
    <w:rsid w:val="003747E1"/>
    <w:rsid w:val="00374982"/>
    <w:rsid w:val="00374D9F"/>
    <w:rsid w:val="00374E0F"/>
    <w:rsid w:val="00375D0F"/>
    <w:rsid w:val="00375F56"/>
    <w:rsid w:val="003767F0"/>
    <w:rsid w:val="00377F34"/>
    <w:rsid w:val="003802BB"/>
    <w:rsid w:val="003803FC"/>
    <w:rsid w:val="003806E2"/>
    <w:rsid w:val="00380A8B"/>
    <w:rsid w:val="00380D5A"/>
    <w:rsid w:val="00381125"/>
    <w:rsid w:val="00381526"/>
    <w:rsid w:val="00381AB6"/>
    <w:rsid w:val="003824FF"/>
    <w:rsid w:val="00382C96"/>
    <w:rsid w:val="00382CC5"/>
    <w:rsid w:val="00383309"/>
    <w:rsid w:val="00383373"/>
    <w:rsid w:val="003836D3"/>
    <w:rsid w:val="003837AF"/>
    <w:rsid w:val="00383823"/>
    <w:rsid w:val="00384447"/>
    <w:rsid w:val="00384A6E"/>
    <w:rsid w:val="00384F07"/>
    <w:rsid w:val="0038548B"/>
    <w:rsid w:val="00385EAD"/>
    <w:rsid w:val="00385F70"/>
    <w:rsid w:val="00386248"/>
    <w:rsid w:val="00386D66"/>
    <w:rsid w:val="00386E44"/>
    <w:rsid w:val="00386F5D"/>
    <w:rsid w:val="00387321"/>
    <w:rsid w:val="003874D5"/>
    <w:rsid w:val="00387512"/>
    <w:rsid w:val="003879B6"/>
    <w:rsid w:val="00387C7F"/>
    <w:rsid w:val="0039008B"/>
    <w:rsid w:val="003905E0"/>
    <w:rsid w:val="003906F1"/>
    <w:rsid w:val="003908AD"/>
    <w:rsid w:val="00390949"/>
    <w:rsid w:val="00390BD4"/>
    <w:rsid w:val="00390F34"/>
    <w:rsid w:val="00391327"/>
    <w:rsid w:val="00391B78"/>
    <w:rsid w:val="00391B9B"/>
    <w:rsid w:val="00391D48"/>
    <w:rsid w:val="00391D87"/>
    <w:rsid w:val="003922A8"/>
    <w:rsid w:val="00392426"/>
    <w:rsid w:val="00392464"/>
    <w:rsid w:val="003924E2"/>
    <w:rsid w:val="003928ED"/>
    <w:rsid w:val="00392A02"/>
    <w:rsid w:val="00392A4D"/>
    <w:rsid w:val="00392D54"/>
    <w:rsid w:val="00392DC7"/>
    <w:rsid w:val="00393A1C"/>
    <w:rsid w:val="00393E6B"/>
    <w:rsid w:val="0039413E"/>
    <w:rsid w:val="0039422A"/>
    <w:rsid w:val="003942C3"/>
    <w:rsid w:val="0039435E"/>
    <w:rsid w:val="0039446B"/>
    <w:rsid w:val="00394CCB"/>
    <w:rsid w:val="00394EAE"/>
    <w:rsid w:val="00395685"/>
    <w:rsid w:val="0039568A"/>
    <w:rsid w:val="003962BA"/>
    <w:rsid w:val="00396B69"/>
    <w:rsid w:val="00396C78"/>
    <w:rsid w:val="00396C98"/>
    <w:rsid w:val="00397057"/>
    <w:rsid w:val="003970A7"/>
    <w:rsid w:val="00397253"/>
    <w:rsid w:val="0039744B"/>
    <w:rsid w:val="0039768C"/>
    <w:rsid w:val="0039785E"/>
    <w:rsid w:val="00397C3A"/>
    <w:rsid w:val="00397EFB"/>
    <w:rsid w:val="003A0046"/>
    <w:rsid w:val="003A027D"/>
    <w:rsid w:val="003A0A44"/>
    <w:rsid w:val="003A0ABA"/>
    <w:rsid w:val="003A1050"/>
    <w:rsid w:val="003A1051"/>
    <w:rsid w:val="003A1AEE"/>
    <w:rsid w:val="003A2016"/>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B42"/>
    <w:rsid w:val="003A6D2B"/>
    <w:rsid w:val="003A6D31"/>
    <w:rsid w:val="003A6D6C"/>
    <w:rsid w:val="003A70D3"/>
    <w:rsid w:val="003A7111"/>
    <w:rsid w:val="003A7289"/>
    <w:rsid w:val="003A75ED"/>
    <w:rsid w:val="003A77E4"/>
    <w:rsid w:val="003A7CA3"/>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3E2"/>
    <w:rsid w:val="003B674A"/>
    <w:rsid w:val="003B701E"/>
    <w:rsid w:val="003B759C"/>
    <w:rsid w:val="003B7766"/>
    <w:rsid w:val="003B797C"/>
    <w:rsid w:val="003B7C92"/>
    <w:rsid w:val="003B7CCD"/>
    <w:rsid w:val="003C019E"/>
    <w:rsid w:val="003C0856"/>
    <w:rsid w:val="003C0974"/>
    <w:rsid w:val="003C0BA3"/>
    <w:rsid w:val="003C0BDC"/>
    <w:rsid w:val="003C0FC5"/>
    <w:rsid w:val="003C125C"/>
    <w:rsid w:val="003C175E"/>
    <w:rsid w:val="003C1AF1"/>
    <w:rsid w:val="003C1B6F"/>
    <w:rsid w:val="003C1CEB"/>
    <w:rsid w:val="003C1DD5"/>
    <w:rsid w:val="003C1F67"/>
    <w:rsid w:val="003C2922"/>
    <w:rsid w:val="003C2F8E"/>
    <w:rsid w:val="003C36FF"/>
    <w:rsid w:val="003C396B"/>
    <w:rsid w:val="003C3D3A"/>
    <w:rsid w:val="003C3E2A"/>
    <w:rsid w:val="003C3F93"/>
    <w:rsid w:val="003C410D"/>
    <w:rsid w:val="003C43AD"/>
    <w:rsid w:val="003C502B"/>
    <w:rsid w:val="003C51B9"/>
    <w:rsid w:val="003C6180"/>
    <w:rsid w:val="003C6291"/>
    <w:rsid w:val="003C729B"/>
    <w:rsid w:val="003C736D"/>
    <w:rsid w:val="003C767C"/>
    <w:rsid w:val="003C7719"/>
    <w:rsid w:val="003C7832"/>
    <w:rsid w:val="003D01C8"/>
    <w:rsid w:val="003D02A9"/>
    <w:rsid w:val="003D0B7B"/>
    <w:rsid w:val="003D0BA7"/>
    <w:rsid w:val="003D0D1C"/>
    <w:rsid w:val="003D152F"/>
    <w:rsid w:val="003D181B"/>
    <w:rsid w:val="003D1A70"/>
    <w:rsid w:val="003D1F24"/>
    <w:rsid w:val="003D282A"/>
    <w:rsid w:val="003D2A6F"/>
    <w:rsid w:val="003D2E0F"/>
    <w:rsid w:val="003D2F8F"/>
    <w:rsid w:val="003D3218"/>
    <w:rsid w:val="003D3661"/>
    <w:rsid w:val="003D36CE"/>
    <w:rsid w:val="003D39AD"/>
    <w:rsid w:val="003D3E15"/>
    <w:rsid w:val="003D44A8"/>
    <w:rsid w:val="003D46E1"/>
    <w:rsid w:val="003D4C10"/>
    <w:rsid w:val="003D59E7"/>
    <w:rsid w:val="003D5BD8"/>
    <w:rsid w:val="003D5E45"/>
    <w:rsid w:val="003D62FF"/>
    <w:rsid w:val="003D64D2"/>
    <w:rsid w:val="003D66F7"/>
    <w:rsid w:val="003D6BC1"/>
    <w:rsid w:val="003D6F0F"/>
    <w:rsid w:val="003E0085"/>
    <w:rsid w:val="003E019C"/>
    <w:rsid w:val="003E019D"/>
    <w:rsid w:val="003E058B"/>
    <w:rsid w:val="003E0808"/>
    <w:rsid w:val="003E0814"/>
    <w:rsid w:val="003E0A77"/>
    <w:rsid w:val="003E0CBC"/>
    <w:rsid w:val="003E124B"/>
    <w:rsid w:val="003E1403"/>
    <w:rsid w:val="003E21EB"/>
    <w:rsid w:val="003E2226"/>
    <w:rsid w:val="003E2A69"/>
    <w:rsid w:val="003E2EAB"/>
    <w:rsid w:val="003E365D"/>
    <w:rsid w:val="003E36C5"/>
    <w:rsid w:val="003E39C7"/>
    <w:rsid w:val="003E3BEF"/>
    <w:rsid w:val="003E3ECF"/>
    <w:rsid w:val="003E457E"/>
    <w:rsid w:val="003E4622"/>
    <w:rsid w:val="003E4678"/>
    <w:rsid w:val="003E4A34"/>
    <w:rsid w:val="003E4EDB"/>
    <w:rsid w:val="003E5174"/>
    <w:rsid w:val="003E532D"/>
    <w:rsid w:val="003E577A"/>
    <w:rsid w:val="003E57E2"/>
    <w:rsid w:val="003E615E"/>
    <w:rsid w:val="003E63E6"/>
    <w:rsid w:val="003E6614"/>
    <w:rsid w:val="003E66C2"/>
    <w:rsid w:val="003E6B4C"/>
    <w:rsid w:val="003E6E58"/>
    <w:rsid w:val="003E731B"/>
    <w:rsid w:val="003E7AB4"/>
    <w:rsid w:val="003E7ADD"/>
    <w:rsid w:val="003F003A"/>
    <w:rsid w:val="003F0281"/>
    <w:rsid w:val="003F02B3"/>
    <w:rsid w:val="003F03D0"/>
    <w:rsid w:val="003F04AB"/>
    <w:rsid w:val="003F06B0"/>
    <w:rsid w:val="003F083A"/>
    <w:rsid w:val="003F09FF"/>
    <w:rsid w:val="003F0AD3"/>
    <w:rsid w:val="003F0B84"/>
    <w:rsid w:val="003F0BC0"/>
    <w:rsid w:val="003F1242"/>
    <w:rsid w:val="003F13AE"/>
    <w:rsid w:val="003F142B"/>
    <w:rsid w:val="003F19D4"/>
    <w:rsid w:val="003F1A26"/>
    <w:rsid w:val="003F1C60"/>
    <w:rsid w:val="003F1DC7"/>
    <w:rsid w:val="003F2735"/>
    <w:rsid w:val="003F2867"/>
    <w:rsid w:val="003F2A8D"/>
    <w:rsid w:val="003F2C74"/>
    <w:rsid w:val="003F35DE"/>
    <w:rsid w:val="003F35FA"/>
    <w:rsid w:val="003F3668"/>
    <w:rsid w:val="003F3785"/>
    <w:rsid w:val="003F3DD6"/>
    <w:rsid w:val="003F41C5"/>
    <w:rsid w:val="003F485A"/>
    <w:rsid w:val="003F4CF2"/>
    <w:rsid w:val="003F4E26"/>
    <w:rsid w:val="003F4FE2"/>
    <w:rsid w:val="003F59D0"/>
    <w:rsid w:val="003F5D04"/>
    <w:rsid w:val="003F6163"/>
    <w:rsid w:val="003F64B4"/>
    <w:rsid w:val="003F64C5"/>
    <w:rsid w:val="003F6850"/>
    <w:rsid w:val="003F6D2C"/>
    <w:rsid w:val="003F6D3A"/>
    <w:rsid w:val="003F6F2E"/>
    <w:rsid w:val="003F71B8"/>
    <w:rsid w:val="003F760D"/>
    <w:rsid w:val="003F777B"/>
    <w:rsid w:val="003F77D0"/>
    <w:rsid w:val="003F7882"/>
    <w:rsid w:val="003F788A"/>
    <w:rsid w:val="003F7A83"/>
    <w:rsid w:val="003F7D74"/>
    <w:rsid w:val="00400043"/>
    <w:rsid w:val="0040008D"/>
    <w:rsid w:val="004003C2"/>
    <w:rsid w:val="004004C3"/>
    <w:rsid w:val="00400567"/>
    <w:rsid w:val="0040164D"/>
    <w:rsid w:val="0040170D"/>
    <w:rsid w:val="00401DCE"/>
    <w:rsid w:val="00401E59"/>
    <w:rsid w:val="004020CA"/>
    <w:rsid w:val="00402723"/>
    <w:rsid w:val="00402ABB"/>
    <w:rsid w:val="00402D30"/>
    <w:rsid w:val="00402E9E"/>
    <w:rsid w:val="00402EED"/>
    <w:rsid w:val="00403218"/>
    <w:rsid w:val="00403262"/>
    <w:rsid w:val="0040348D"/>
    <w:rsid w:val="00403E1A"/>
    <w:rsid w:val="00404475"/>
    <w:rsid w:val="00405171"/>
    <w:rsid w:val="00405245"/>
    <w:rsid w:val="0040597D"/>
    <w:rsid w:val="00405A27"/>
    <w:rsid w:val="00405C69"/>
    <w:rsid w:val="00405CC5"/>
    <w:rsid w:val="00405FDE"/>
    <w:rsid w:val="0040678A"/>
    <w:rsid w:val="00406C1E"/>
    <w:rsid w:val="00406CDF"/>
    <w:rsid w:val="00406ED1"/>
    <w:rsid w:val="004072A8"/>
    <w:rsid w:val="004074E1"/>
    <w:rsid w:val="0041067F"/>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3E41"/>
    <w:rsid w:val="00414721"/>
    <w:rsid w:val="00414954"/>
    <w:rsid w:val="00414B5D"/>
    <w:rsid w:val="00414B94"/>
    <w:rsid w:val="00415C47"/>
    <w:rsid w:val="00415D4D"/>
    <w:rsid w:val="00416031"/>
    <w:rsid w:val="00416622"/>
    <w:rsid w:val="00416A11"/>
    <w:rsid w:val="00417CDE"/>
    <w:rsid w:val="00417E00"/>
    <w:rsid w:val="00417E11"/>
    <w:rsid w:val="00417FDF"/>
    <w:rsid w:val="004200CD"/>
    <w:rsid w:val="0042033B"/>
    <w:rsid w:val="00420391"/>
    <w:rsid w:val="0042071B"/>
    <w:rsid w:val="0042090C"/>
    <w:rsid w:val="00420A01"/>
    <w:rsid w:val="00420A6E"/>
    <w:rsid w:val="0042175D"/>
    <w:rsid w:val="0042201D"/>
    <w:rsid w:val="00422301"/>
    <w:rsid w:val="00422829"/>
    <w:rsid w:val="00423928"/>
    <w:rsid w:val="00423A1F"/>
    <w:rsid w:val="00423BEF"/>
    <w:rsid w:val="00423F37"/>
    <w:rsid w:val="00424563"/>
    <w:rsid w:val="00424DB2"/>
    <w:rsid w:val="0042558C"/>
    <w:rsid w:val="00425D06"/>
    <w:rsid w:val="0042614A"/>
    <w:rsid w:val="0042615E"/>
    <w:rsid w:val="00426405"/>
    <w:rsid w:val="0042696C"/>
    <w:rsid w:val="00426D62"/>
    <w:rsid w:val="004270D2"/>
    <w:rsid w:val="004271F6"/>
    <w:rsid w:val="0042753C"/>
    <w:rsid w:val="004275B8"/>
    <w:rsid w:val="00427624"/>
    <w:rsid w:val="004300A5"/>
    <w:rsid w:val="0043026B"/>
    <w:rsid w:val="00430732"/>
    <w:rsid w:val="004307C5"/>
    <w:rsid w:val="00430A29"/>
    <w:rsid w:val="00430AB7"/>
    <w:rsid w:val="00430D5B"/>
    <w:rsid w:val="00430D5E"/>
    <w:rsid w:val="00430EC1"/>
    <w:rsid w:val="0043134E"/>
    <w:rsid w:val="0043171A"/>
    <w:rsid w:val="004319EB"/>
    <w:rsid w:val="00432023"/>
    <w:rsid w:val="004322D6"/>
    <w:rsid w:val="004324B7"/>
    <w:rsid w:val="00432841"/>
    <w:rsid w:val="00432C2A"/>
    <w:rsid w:val="00432DC4"/>
    <w:rsid w:val="0043303C"/>
    <w:rsid w:val="0043335F"/>
    <w:rsid w:val="0043359F"/>
    <w:rsid w:val="0043395C"/>
    <w:rsid w:val="004341BB"/>
    <w:rsid w:val="0043427F"/>
    <w:rsid w:val="0043463C"/>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5D1"/>
    <w:rsid w:val="0044076B"/>
    <w:rsid w:val="00440781"/>
    <w:rsid w:val="00440815"/>
    <w:rsid w:val="00440845"/>
    <w:rsid w:val="00440B92"/>
    <w:rsid w:val="00441295"/>
    <w:rsid w:val="00441FC2"/>
    <w:rsid w:val="0044224F"/>
    <w:rsid w:val="0044228A"/>
    <w:rsid w:val="0044235C"/>
    <w:rsid w:val="0044292D"/>
    <w:rsid w:val="004429C2"/>
    <w:rsid w:val="00442A2B"/>
    <w:rsid w:val="00442F76"/>
    <w:rsid w:val="00443623"/>
    <w:rsid w:val="00444173"/>
    <w:rsid w:val="00445169"/>
    <w:rsid w:val="00445221"/>
    <w:rsid w:val="0044555A"/>
    <w:rsid w:val="00445614"/>
    <w:rsid w:val="00445CC7"/>
    <w:rsid w:val="00445D02"/>
    <w:rsid w:val="00445EAE"/>
    <w:rsid w:val="00446362"/>
    <w:rsid w:val="004465C8"/>
    <w:rsid w:val="0044681B"/>
    <w:rsid w:val="00446CE4"/>
    <w:rsid w:val="00446F67"/>
    <w:rsid w:val="004477BE"/>
    <w:rsid w:val="00447D23"/>
    <w:rsid w:val="0045001F"/>
    <w:rsid w:val="004501DF"/>
    <w:rsid w:val="00450311"/>
    <w:rsid w:val="0045077F"/>
    <w:rsid w:val="00450989"/>
    <w:rsid w:val="00450AC5"/>
    <w:rsid w:val="00451065"/>
    <w:rsid w:val="00451A5E"/>
    <w:rsid w:val="00451B18"/>
    <w:rsid w:val="00451CA2"/>
    <w:rsid w:val="004520E6"/>
    <w:rsid w:val="00452C0A"/>
    <w:rsid w:val="00452C36"/>
    <w:rsid w:val="0045364F"/>
    <w:rsid w:val="00453B35"/>
    <w:rsid w:val="00453C2D"/>
    <w:rsid w:val="00453D6C"/>
    <w:rsid w:val="00453DAD"/>
    <w:rsid w:val="0045415C"/>
    <w:rsid w:val="00454340"/>
    <w:rsid w:val="00454E04"/>
    <w:rsid w:val="00454FE1"/>
    <w:rsid w:val="004556A9"/>
    <w:rsid w:val="00455780"/>
    <w:rsid w:val="004559B9"/>
    <w:rsid w:val="00455BA5"/>
    <w:rsid w:val="004567D0"/>
    <w:rsid w:val="00456EEC"/>
    <w:rsid w:val="00457099"/>
    <w:rsid w:val="00457661"/>
    <w:rsid w:val="00457693"/>
    <w:rsid w:val="00457A12"/>
    <w:rsid w:val="00460001"/>
    <w:rsid w:val="00460627"/>
    <w:rsid w:val="00460A32"/>
    <w:rsid w:val="00460C39"/>
    <w:rsid w:val="004610D5"/>
    <w:rsid w:val="00461335"/>
    <w:rsid w:val="00461B06"/>
    <w:rsid w:val="00461BE9"/>
    <w:rsid w:val="00462A04"/>
    <w:rsid w:val="00462BAA"/>
    <w:rsid w:val="00462C69"/>
    <w:rsid w:val="00462CB1"/>
    <w:rsid w:val="0046306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F51"/>
    <w:rsid w:val="0046512B"/>
    <w:rsid w:val="004660CC"/>
    <w:rsid w:val="00466159"/>
    <w:rsid w:val="0046638C"/>
    <w:rsid w:val="00466953"/>
    <w:rsid w:val="0046697A"/>
    <w:rsid w:val="00466A0E"/>
    <w:rsid w:val="00466ABC"/>
    <w:rsid w:val="00466D8B"/>
    <w:rsid w:val="0046737D"/>
    <w:rsid w:val="004676E9"/>
    <w:rsid w:val="00467750"/>
    <w:rsid w:val="00467912"/>
    <w:rsid w:val="004706C1"/>
    <w:rsid w:val="004708F4"/>
    <w:rsid w:val="00470B37"/>
    <w:rsid w:val="00470CDE"/>
    <w:rsid w:val="00470F51"/>
    <w:rsid w:val="004717B4"/>
    <w:rsid w:val="00471B83"/>
    <w:rsid w:val="00471F44"/>
    <w:rsid w:val="00472534"/>
    <w:rsid w:val="0047256D"/>
    <w:rsid w:val="00472706"/>
    <w:rsid w:val="00472743"/>
    <w:rsid w:val="0047283D"/>
    <w:rsid w:val="00472BEA"/>
    <w:rsid w:val="00472C91"/>
    <w:rsid w:val="00472D28"/>
    <w:rsid w:val="0047334A"/>
    <w:rsid w:val="004733F9"/>
    <w:rsid w:val="00473E89"/>
    <w:rsid w:val="00473F6A"/>
    <w:rsid w:val="00473FA8"/>
    <w:rsid w:val="004741E2"/>
    <w:rsid w:val="00474634"/>
    <w:rsid w:val="00474686"/>
    <w:rsid w:val="00474780"/>
    <w:rsid w:val="004749E9"/>
    <w:rsid w:val="00474ADC"/>
    <w:rsid w:val="00474CF9"/>
    <w:rsid w:val="00474DAD"/>
    <w:rsid w:val="00475785"/>
    <w:rsid w:val="00475E69"/>
    <w:rsid w:val="00476027"/>
    <w:rsid w:val="0047654A"/>
    <w:rsid w:val="004769C2"/>
    <w:rsid w:val="00476C07"/>
    <w:rsid w:val="00476DB0"/>
    <w:rsid w:val="00477345"/>
    <w:rsid w:val="00477469"/>
    <w:rsid w:val="00477A9F"/>
    <w:rsid w:val="0048050B"/>
    <w:rsid w:val="004805DE"/>
    <w:rsid w:val="004808A8"/>
    <w:rsid w:val="00480D42"/>
    <w:rsid w:val="00480DBE"/>
    <w:rsid w:val="00481183"/>
    <w:rsid w:val="004811C2"/>
    <w:rsid w:val="0048125A"/>
    <w:rsid w:val="0048144C"/>
    <w:rsid w:val="004815C0"/>
    <w:rsid w:val="00481D79"/>
    <w:rsid w:val="00481FDB"/>
    <w:rsid w:val="00482157"/>
    <w:rsid w:val="0048219D"/>
    <w:rsid w:val="0048239B"/>
    <w:rsid w:val="00482932"/>
    <w:rsid w:val="00482DE8"/>
    <w:rsid w:val="00482E95"/>
    <w:rsid w:val="0048368A"/>
    <w:rsid w:val="004836E7"/>
    <w:rsid w:val="0048386A"/>
    <w:rsid w:val="00484142"/>
    <w:rsid w:val="0048416D"/>
    <w:rsid w:val="0048419D"/>
    <w:rsid w:val="00484218"/>
    <w:rsid w:val="00484C2C"/>
    <w:rsid w:val="00484E01"/>
    <w:rsid w:val="004855EF"/>
    <w:rsid w:val="004859A5"/>
    <w:rsid w:val="004859DF"/>
    <w:rsid w:val="00485D21"/>
    <w:rsid w:val="004862D3"/>
    <w:rsid w:val="0048635B"/>
    <w:rsid w:val="004867E2"/>
    <w:rsid w:val="00486A7D"/>
    <w:rsid w:val="00486D3C"/>
    <w:rsid w:val="00487394"/>
    <w:rsid w:val="0048788C"/>
    <w:rsid w:val="00487B06"/>
    <w:rsid w:val="00487CB2"/>
    <w:rsid w:val="0049098C"/>
    <w:rsid w:val="00490C5B"/>
    <w:rsid w:val="00490F36"/>
    <w:rsid w:val="0049103D"/>
    <w:rsid w:val="004911B3"/>
    <w:rsid w:val="004918CD"/>
    <w:rsid w:val="00491F70"/>
    <w:rsid w:val="004920C5"/>
    <w:rsid w:val="00492288"/>
    <w:rsid w:val="0049247B"/>
    <w:rsid w:val="004929D1"/>
    <w:rsid w:val="004935B9"/>
    <w:rsid w:val="00493E48"/>
    <w:rsid w:val="004942CA"/>
    <w:rsid w:val="00494B98"/>
    <w:rsid w:val="00494DEF"/>
    <w:rsid w:val="00494E96"/>
    <w:rsid w:val="0049585F"/>
    <w:rsid w:val="0049598A"/>
    <w:rsid w:val="00495FCA"/>
    <w:rsid w:val="004963B8"/>
    <w:rsid w:val="004964DC"/>
    <w:rsid w:val="0049667D"/>
    <w:rsid w:val="00496826"/>
    <w:rsid w:val="00496CD3"/>
    <w:rsid w:val="00497532"/>
    <w:rsid w:val="00497603"/>
    <w:rsid w:val="00497C6A"/>
    <w:rsid w:val="004A07AA"/>
    <w:rsid w:val="004A1520"/>
    <w:rsid w:val="004A166F"/>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3F3"/>
    <w:rsid w:val="004A5562"/>
    <w:rsid w:val="004A5B06"/>
    <w:rsid w:val="004A61DB"/>
    <w:rsid w:val="004A638E"/>
    <w:rsid w:val="004A6E95"/>
    <w:rsid w:val="004A6FD9"/>
    <w:rsid w:val="004A70FE"/>
    <w:rsid w:val="004A7307"/>
    <w:rsid w:val="004A7849"/>
    <w:rsid w:val="004A7A8A"/>
    <w:rsid w:val="004A7CCA"/>
    <w:rsid w:val="004A7E00"/>
    <w:rsid w:val="004B04A8"/>
    <w:rsid w:val="004B0928"/>
    <w:rsid w:val="004B2987"/>
    <w:rsid w:val="004B2ACA"/>
    <w:rsid w:val="004B2F46"/>
    <w:rsid w:val="004B3AAE"/>
    <w:rsid w:val="004B3E26"/>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0C5B"/>
    <w:rsid w:val="004C13B1"/>
    <w:rsid w:val="004C2303"/>
    <w:rsid w:val="004C27D1"/>
    <w:rsid w:val="004C2904"/>
    <w:rsid w:val="004C29CE"/>
    <w:rsid w:val="004C2DA1"/>
    <w:rsid w:val="004C355F"/>
    <w:rsid w:val="004C38B6"/>
    <w:rsid w:val="004C3AE0"/>
    <w:rsid w:val="004C3CA3"/>
    <w:rsid w:val="004C3DE2"/>
    <w:rsid w:val="004C47C1"/>
    <w:rsid w:val="004C4891"/>
    <w:rsid w:val="004C4951"/>
    <w:rsid w:val="004C4CAD"/>
    <w:rsid w:val="004C5524"/>
    <w:rsid w:val="004C56C6"/>
    <w:rsid w:val="004C56F1"/>
    <w:rsid w:val="004C5D07"/>
    <w:rsid w:val="004C5E9C"/>
    <w:rsid w:val="004C5F4F"/>
    <w:rsid w:val="004C6174"/>
    <w:rsid w:val="004C62C5"/>
    <w:rsid w:val="004C64BC"/>
    <w:rsid w:val="004C67DA"/>
    <w:rsid w:val="004C6985"/>
    <w:rsid w:val="004C6EFB"/>
    <w:rsid w:val="004C70A0"/>
    <w:rsid w:val="004C724D"/>
    <w:rsid w:val="004C7F97"/>
    <w:rsid w:val="004D05D8"/>
    <w:rsid w:val="004D0784"/>
    <w:rsid w:val="004D082C"/>
    <w:rsid w:val="004D0A22"/>
    <w:rsid w:val="004D1547"/>
    <w:rsid w:val="004D160A"/>
    <w:rsid w:val="004D1843"/>
    <w:rsid w:val="004D1B38"/>
    <w:rsid w:val="004D2469"/>
    <w:rsid w:val="004D2602"/>
    <w:rsid w:val="004D2685"/>
    <w:rsid w:val="004D2BB1"/>
    <w:rsid w:val="004D2C42"/>
    <w:rsid w:val="004D3052"/>
    <w:rsid w:val="004D30A6"/>
    <w:rsid w:val="004D38CB"/>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C15"/>
    <w:rsid w:val="004D5DD4"/>
    <w:rsid w:val="004D6453"/>
    <w:rsid w:val="004D66D0"/>
    <w:rsid w:val="004D66F2"/>
    <w:rsid w:val="004D67AF"/>
    <w:rsid w:val="004D6947"/>
    <w:rsid w:val="004D69BB"/>
    <w:rsid w:val="004D6F62"/>
    <w:rsid w:val="004D6FB9"/>
    <w:rsid w:val="004D72E6"/>
    <w:rsid w:val="004D7697"/>
    <w:rsid w:val="004D781D"/>
    <w:rsid w:val="004D7CBA"/>
    <w:rsid w:val="004D7E88"/>
    <w:rsid w:val="004E0161"/>
    <w:rsid w:val="004E047E"/>
    <w:rsid w:val="004E0938"/>
    <w:rsid w:val="004E09FC"/>
    <w:rsid w:val="004E0D09"/>
    <w:rsid w:val="004E0E66"/>
    <w:rsid w:val="004E14A4"/>
    <w:rsid w:val="004E15B9"/>
    <w:rsid w:val="004E15CB"/>
    <w:rsid w:val="004E18AE"/>
    <w:rsid w:val="004E1F3F"/>
    <w:rsid w:val="004E1F54"/>
    <w:rsid w:val="004E204E"/>
    <w:rsid w:val="004E21D0"/>
    <w:rsid w:val="004E21F8"/>
    <w:rsid w:val="004E3E37"/>
    <w:rsid w:val="004E4471"/>
    <w:rsid w:val="004E4983"/>
    <w:rsid w:val="004E49EA"/>
    <w:rsid w:val="004E506E"/>
    <w:rsid w:val="004E5C08"/>
    <w:rsid w:val="004E610A"/>
    <w:rsid w:val="004E6AF5"/>
    <w:rsid w:val="004E6EB8"/>
    <w:rsid w:val="004E705F"/>
    <w:rsid w:val="004E72CB"/>
    <w:rsid w:val="004E72CC"/>
    <w:rsid w:val="004E734A"/>
    <w:rsid w:val="004E73A4"/>
    <w:rsid w:val="004E7452"/>
    <w:rsid w:val="004E7548"/>
    <w:rsid w:val="004E7EC3"/>
    <w:rsid w:val="004E7EF8"/>
    <w:rsid w:val="004F01F1"/>
    <w:rsid w:val="004F0267"/>
    <w:rsid w:val="004F05CD"/>
    <w:rsid w:val="004F0CC7"/>
    <w:rsid w:val="004F12D4"/>
    <w:rsid w:val="004F2D47"/>
    <w:rsid w:val="004F2DF0"/>
    <w:rsid w:val="004F30C2"/>
    <w:rsid w:val="004F3775"/>
    <w:rsid w:val="004F416D"/>
    <w:rsid w:val="004F47A7"/>
    <w:rsid w:val="004F4901"/>
    <w:rsid w:val="004F4A60"/>
    <w:rsid w:val="004F50BA"/>
    <w:rsid w:val="004F56EF"/>
    <w:rsid w:val="004F69CB"/>
    <w:rsid w:val="004F6D63"/>
    <w:rsid w:val="004F7273"/>
    <w:rsid w:val="004F7428"/>
    <w:rsid w:val="004F773B"/>
    <w:rsid w:val="004F7C8E"/>
    <w:rsid w:val="004F7DCB"/>
    <w:rsid w:val="00500006"/>
    <w:rsid w:val="00500026"/>
    <w:rsid w:val="00500528"/>
    <w:rsid w:val="00500F5A"/>
    <w:rsid w:val="00501075"/>
    <w:rsid w:val="0050198A"/>
    <w:rsid w:val="00501A46"/>
    <w:rsid w:val="00501A51"/>
    <w:rsid w:val="00502432"/>
    <w:rsid w:val="00502451"/>
    <w:rsid w:val="00502A2A"/>
    <w:rsid w:val="00503BC7"/>
    <w:rsid w:val="00503DF4"/>
    <w:rsid w:val="00503E1D"/>
    <w:rsid w:val="005040B7"/>
    <w:rsid w:val="005049DD"/>
    <w:rsid w:val="00504E17"/>
    <w:rsid w:val="00505071"/>
    <w:rsid w:val="005051FD"/>
    <w:rsid w:val="005057EB"/>
    <w:rsid w:val="00505AD8"/>
    <w:rsid w:val="00505D08"/>
    <w:rsid w:val="00505F9B"/>
    <w:rsid w:val="005063B2"/>
    <w:rsid w:val="0050644B"/>
    <w:rsid w:val="005072E5"/>
    <w:rsid w:val="005073A6"/>
    <w:rsid w:val="00507402"/>
    <w:rsid w:val="00507569"/>
    <w:rsid w:val="005075BC"/>
    <w:rsid w:val="00507F8F"/>
    <w:rsid w:val="00510000"/>
    <w:rsid w:val="00510445"/>
    <w:rsid w:val="0051059A"/>
    <w:rsid w:val="0051080A"/>
    <w:rsid w:val="00510D4D"/>
    <w:rsid w:val="00510DA3"/>
    <w:rsid w:val="00511214"/>
    <w:rsid w:val="00511A29"/>
    <w:rsid w:val="00511A63"/>
    <w:rsid w:val="00512065"/>
    <w:rsid w:val="00512398"/>
    <w:rsid w:val="0051250F"/>
    <w:rsid w:val="00512DBA"/>
    <w:rsid w:val="00512DE7"/>
    <w:rsid w:val="005130A6"/>
    <w:rsid w:val="00513226"/>
    <w:rsid w:val="00513EE3"/>
    <w:rsid w:val="005142E8"/>
    <w:rsid w:val="005149E5"/>
    <w:rsid w:val="005150EA"/>
    <w:rsid w:val="00515360"/>
    <w:rsid w:val="00515646"/>
    <w:rsid w:val="00515831"/>
    <w:rsid w:val="00515957"/>
    <w:rsid w:val="00515986"/>
    <w:rsid w:val="00515C8C"/>
    <w:rsid w:val="00515FDE"/>
    <w:rsid w:val="00516298"/>
    <w:rsid w:val="0051650E"/>
    <w:rsid w:val="00516747"/>
    <w:rsid w:val="00516F16"/>
    <w:rsid w:val="00517383"/>
    <w:rsid w:val="005173EC"/>
    <w:rsid w:val="00517D3C"/>
    <w:rsid w:val="00517D7F"/>
    <w:rsid w:val="00517E3E"/>
    <w:rsid w:val="00517E88"/>
    <w:rsid w:val="00517FF3"/>
    <w:rsid w:val="0052035C"/>
    <w:rsid w:val="00520AF0"/>
    <w:rsid w:val="00520C01"/>
    <w:rsid w:val="00520FEC"/>
    <w:rsid w:val="005211BA"/>
    <w:rsid w:val="0052142D"/>
    <w:rsid w:val="0052217C"/>
    <w:rsid w:val="0052233C"/>
    <w:rsid w:val="005225D8"/>
    <w:rsid w:val="0052270A"/>
    <w:rsid w:val="00522B50"/>
    <w:rsid w:val="00522B51"/>
    <w:rsid w:val="00522C7A"/>
    <w:rsid w:val="005232D5"/>
    <w:rsid w:val="00523499"/>
    <w:rsid w:val="0052373D"/>
    <w:rsid w:val="0052388F"/>
    <w:rsid w:val="00523BE9"/>
    <w:rsid w:val="00523E60"/>
    <w:rsid w:val="005240CC"/>
    <w:rsid w:val="00524349"/>
    <w:rsid w:val="00524AD9"/>
    <w:rsid w:val="00524ED1"/>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725"/>
    <w:rsid w:val="005307BB"/>
    <w:rsid w:val="00530ED3"/>
    <w:rsid w:val="005312F2"/>
    <w:rsid w:val="005314CE"/>
    <w:rsid w:val="00531A08"/>
    <w:rsid w:val="00531BC2"/>
    <w:rsid w:val="00532231"/>
    <w:rsid w:val="00532271"/>
    <w:rsid w:val="0053227B"/>
    <w:rsid w:val="00532D77"/>
    <w:rsid w:val="00532D8C"/>
    <w:rsid w:val="00532E19"/>
    <w:rsid w:val="00532E7D"/>
    <w:rsid w:val="005331F1"/>
    <w:rsid w:val="005332A5"/>
    <w:rsid w:val="00533412"/>
    <w:rsid w:val="00533501"/>
    <w:rsid w:val="00533B66"/>
    <w:rsid w:val="00533CFE"/>
    <w:rsid w:val="00533E08"/>
    <w:rsid w:val="0053478E"/>
    <w:rsid w:val="00534C4A"/>
    <w:rsid w:val="005353D0"/>
    <w:rsid w:val="005359FF"/>
    <w:rsid w:val="00535E22"/>
    <w:rsid w:val="005363A9"/>
    <w:rsid w:val="005364D9"/>
    <w:rsid w:val="005366A2"/>
    <w:rsid w:val="0053694B"/>
    <w:rsid w:val="00536C27"/>
    <w:rsid w:val="00536EB8"/>
    <w:rsid w:val="005373EF"/>
    <w:rsid w:val="0053791D"/>
    <w:rsid w:val="00537AAE"/>
    <w:rsid w:val="00537B25"/>
    <w:rsid w:val="00537C25"/>
    <w:rsid w:val="00540534"/>
    <w:rsid w:val="00540B61"/>
    <w:rsid w:val="00540EDC"/>
    <w:rsid w:val="00541E6E"/>
    <w:rsid w:val="00542959"/>
    <w:rsid w:val="00542990"/>
    <w:rsid w:val="00542FE8"/>
    <w:rsid w:val="00543900"/>
    <w:rsid w:val="005439A6"/>
    <w:rsid w:val="0054443F"/>
    <w:rsid w:val="00544BFC"/>
    <w:rsid w:val="00544C04"/>
    <w:rsid w:val="00544E27"/>
    <w:rsid w:val="0054501D"/>
    <w:rsid w:val="005453A2"/>
    <w:rsid w:val="0054559B"/>
    <w:rsid w:val="005457A5"/>
    <w:rsid w:val="00545976"/>
    <w:rsid w:val="0054627D"/>
    <w:rsid w:val="00546B91"/>
    <w:rsid w:val="00546C0D"/>
    <w:rsid w:val="00546C8D"/>
    <w:rsid w:val="00547427"/>
    <w:rsid w:val="00547828"/>
    <w:rsid w:val="0055001F"/>
    <w:rsid w:val="00550612"/>
    <w:rsid w:val="005508A4"/>
    <w:rsid w:val="00550D28"/>
    <w:rsid w:val="00550F39"/>
    <w:rsid w:val="00551DC2"/>
    <w:rsid w:val="00551E7B"/>
    <w:rsid w:val="0055207C"/>
    <w:rsid w:val="005521F7"/>
    <w:rsid w:val="00552343"/>
    <w:rsid w:val="005526E2"/>
    <w:rsid w:val="00552838"/>
    <w:rsid w:val="0055285B"/>
    <w:rsid w:val="00552935"/>
    <w:rsid w:val="00552F9E"/>
    <w:rsid w:val="00553297"/>
    <w:rsid w:val="0055338F"/>
    <w:rsid w:val="005534A0"/>
    <w:rsid w:val="00553AF6"/>
    <w:rsid w:val="00553CFB"/>
    <w:rsid w:val="005542A2"/>
    <w:rsid w:val="005542B8"/>
    <w:rsid w:val="0055458C"/>
    <w:rsid w:val="005557B7"/>
    <w:rsid w:val="00555BA9"/>
    <w:rsid w:val="0055643B"/>
    <w:rsid w:val="00556A7C"/>
    <w:rsid w:val="00557169"/>
    <w:rsid w:val="0055771C"/>
    <w:rsid w:val="005577C4"/>
    <w:rsid w:val="00557E9F"/>
    <w:rsid w:val="005604DE"/>
    <w:rsid w:val="00560699"/>
    <w:rsid w:val="00560B36"/>
    <w:rsid w:val="00560BCF"/>
    <w:rsid w:val="00561614"/>
    <w:rsid w:val="00561706"/>
    <w:rsid w:val="0056191C"/>
    <w:rsid w:val="00561F71"/>
    <w:rsid w:val="0056202D"/>
    <w:rsid w:val="0056258F"/>
    <w:rsid w:val="00562806"/>
    <w:rsid w:val="00562914"/>
    <w:rsid w:val="00562B26"/>
    <w:rsid w:val="00562F23"/>
    <w:rsid w:val="005631FB"/>
    <w:rsid w:val="00563284"/>
    <w:rsid w:val="005632B5"/>
    <w:rsid w:val="0056332E"/>
    <w:rsid w:val="00563B4B"/>
    <w:rsid w:val="00563CCC"/>
    <w:rsid w:val="00563E39"/>
    <w:rsid w:val="00563F39"/>
    <w:rsid w:val="0056486B"/>
    <w:rsid w:val="00564C95"/>
    <w:rsid w:val="00564DA4"/>
    <w:rsid w:val="005651B4"/>
    <w:rsid w:val="00565224"/>
    <w:rsid w:val="0056522B"/>
    <w:rsid w:val="0056558C"/>
    <w:rsid w:val="0056568B"/>
    <w:rsid w:val="00565763"/>
    <w:rsid w:val="00566077"/>
    <w:rsid w:val="0056620A"/>
    <w:rsid w:val="0056626E"/>
    <w:rsid w:val="00566467"/>
    <w:rsid w:val="00566CE0"/>
    <w:rsid w:val="00567139"/>
    <w:rsid w:val="0056723F"/>
    <w:rsid w:val="005673D8"/>
    <w:rsid w:val="00567533"/>
    <w:rsid w:val="005676B6"/>
    <w:rsid w:val="00567A33"/>
    <w:rsid w:val="00567A5C"/>
    <w:rsid w:val="00567A94"/>
    <w:rsid w:val="00567D78"/>
    <w:rsid w:val="005703A3"/>
    <w:rsid w:val="005706C6"/>
    <w:rsid w:val="00570845"/>
    <w:rsid w:val="00570A1E"/>
    <w:rsid w:val="00570D72"/>
    <w:rsid w:val="00570E8D"/>
    <w:rsid w:val="00571292"/>
    <w:rsid w:val="005713CF"/>
    <w:rsid w:val="00571565"/>
    <w:rsid w:val="005717BB"/>
    <w:rsid w:val="005719DA"/>
    <w:rsid w:val="005727D3"/>
    <w:rsid w:val="0057291D"/>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BB5"/>
    <w:rsid w:val="00576D6E"/>
    <w:rsid w:val="005801CC"/>
    <w:rsid w:val="00580207"/>
    <w:rsid w:val="00580263"/>
    <w:rsid w:val="00580470"/>
    <w:rsid w:val="005809A0"/>
    <w:rsid w:val="005809E2"/>
    <w:rsid w:val="00580F04"/>
    <w:rsid w:val="00581451"/>
    <w:rsid w:val="0058156B"/>
    <w:rsid w:val="0058196D"/>
    <w:rsid w:val="00581B88"/>
    <w:rsid w:val="00581CB6"/>
    <w:rsid w:val="005825D0"/>
    <w:rsid w:val="0058295F"/>
    <w:rsid w:val="00582A78"/>
    <w:rsid w:val="00583609"/>
    <w:rsid w:val="00583ACA"/>
    <w:rsid w:val="00583C98"/>
    <w:rsid w:val="00583D3C"/>
    <w:rsid w:val="0058423F"/>
    <w:rsid w:val="00584505"/>
    <w:rsid w:val="00584803"/>
    <w:rsid w:val="00584857"/>
    <w:rsid w:val="00584AFC"/>
    <w:rsid w:val="00584B8F"/>
    <w:rsid w:val="00584BFE"/>
    <w:rsid w:val="00584C97"/>
    <w:rsid w:val="00585229"/>
    <w:rsid w:val="00585A1A"/>
    <w:rsid w:val="00585AAB"/>
    <w:rsid w:val="00585C8E"/>
    <w:rsid w:val="00585C90"/>
    <w:rsid w:val="00585F54"/>
    <w:rsid w:val="005864B7"/>
    <w:rsid w:val="00587227"/>
    <w:rsid w:val="005873E2"/>
    <w:rsid w:val="005901F2"/>
    <w:rsid w:val="00590D1E"/>
    <w:rsid w:val="00590FA9"/>
    <w:rsid w:val="005913C5"/>
    <w:rsid w:val="00591AA1"/>
    <w:rsid w:val="00591D2C"/>
    <w:rsid w:val="00591EB8"/>
    <w:rsid w:val="00591EB9"/>
    <w:rsid w:val="005921B6"/>
    <w:rsid w:val="0059223F"/>
    <w:rsid w:val="005923B3"/>
    <w:rsid w:val="00592651"/>
    <w:rsid w:val="00592DCA"/>
    <w:rsid w:val="00593A5E"/>
    <w:rsid w:val="00593BB7"/>
    <w:rsid w:val="00593ED0"/>
    <w:rsid w:val="0059489D"/>
    <w:rsid w:val="005952FB"/>
    <w:rsid w:val="005953AE"/>
    <w:rsid w:val="005955C5"/>
    <w:rsid w:val="00595811"/>
    <w:rsid w:val="00595B9E"/>
    <w:rsid w:val="00595CB6"/>
    <w:rsid w:val="00595F78"/>
    <w:rsid w:val="0059628F"/>
    <w:rsid w:val="005962BE"/>
    <w:rsid w:val="00596777"/>
    <w:rsid w:val="005975C1"/>
    <w:rsid w:val="00597C04"/>
    <w:rsid w:val="00597FF7"/>
    <w:rsid w:val="005A0CBD"/>
    <w:rsid w:val="005A10CE"/>
    <w:rsid w:val="005A14E6"/>
    <w:rsid w:val="005A19E1"/>
    <w:rsid w:val="005A1A12"/>
    <w:rsid w:val="005A2141"/>
    <w:rsid w:val="005A25E8"/>
    <w:rsid w:val="005A2BAF"/>
    <w:rsid w:val="005A3ADD"/>
    <w:rsid w:val="005A3C2C"/>
    <w:rsid w:val="005A4485"/>
    <w:rsid w:val="005A45A3"/>
    <w:rsid w:val="005A462A"/>
    <w:rsid w:val="005A47E9"/>
    <w:rsid w:val="005A4A17"/>
    <w:rsid w:val="005A4B09"/>
    <w:rsid w:val="005A52F2"/>
    <w:rsid w:val="005A5416"/>
    <w:rsid w:val="005A5761"/>
    <w:rsid w:val="005A5809"/>
    <w:rsid w:val="005A5865"/>
    <w:rsid w:val="005A58DE"/>
    <w:rsid w:val="005A6053"/>
    <w:rsid w:val="005A6179"/>
    <w:rsid w:val="005A623E"/>
    <w:rsid w:val="005A6275"/>
    <w:rsid w:val="005A6800"/>
    <w:rsid w:val="005A6B6A"/>
    <w:rsid w:val="005A6D56"/>
    <w:rsid w:val="005A6D6D"/>
    <w:rsid w:val="005A6EAF"/>
    <w:rsid w:val="005A6F8B"/>
    <w:rsid w:val="005A7862"/>
    <w:rsid w:val="005A7F36"/>
    <w:rsid w:val="005A7F3B"/>
    <w:rsid w:val="005A7FBD"/>
    <w:rsid w:val="005B0022"/>
    <w:rsid w:val="005B006C"/>
    <w:rsid w:val="005B03C3"/>
    <w:rsid w:val="005B0801"/>
    <w:rsid w:val="005B107D"/>
    <w:rsid w:val="005B1170"/>
    <w:rsid w:val="005B168B"/>
    <w:rsid w:val="005B1BA3"/>
    <w:rsid w:val="005B2197"/>
    <w:rsid w:val="005B2E79"/>
    <w:rsid w:val="005B2EB9"/>
    <w:rsid w:val="005B2F78"/>
    <w:rsid w:val="005B30E9"/>
    <w:rsid w:val="005B3495"/>
    <w:rsid w:val="005B353A"/>
    <w:rsid w:val="005B364C"/>
    <w:rsid w:val="005B36C0"/>
    <w:rsid w:val="005B3D3B"/>
    <w:rsid w:val="005B3F3F"/>
    <w:rsid w:val="005B4EC7"/>
    <w:rsid w:val="005B4FEA"/>
    <w:rsid w:val="005B58FC"/>
    <w:rsid w:val="005B609B"/>
    <w:rsid w:val="005B6BB3"/>
    <w:rsid w:val="005B7582"/>
    <w:rsid w:val="005B77D8"/>
    <w:rsid w:val="005B7CA8"/>
    <w:rsid w:val="005B7D55"/>
    <w:rsid w:val="005B7D85"/>
    <w:rsid w:val="005C0054"/>
    <w:rsid w:val="005C02D5"/>
    <w:rsid w:val="005C1005"/>
    <w:rsid w:val="005C10F6"/>
    <w:rsid w:val="005C11B4"/>
    <w:rsid w:val="005C1B6E"/>
    <w:rsid w:val="005C1B8E"/>
    <w:rsid w:val="005C1C2D"/>
    <w:rsid w:val="005C1F59"/>
    <w:rsid w:val="005C23F6"/>
    <w:rsid w:val="005C2794"/>
    <w:rsid w:val="005C2F46"/>
    <w:rsid w:val="005C314E"/>
    <w:rsid w:val="005C3D54"/>
    <w:rsid w:val="005C43A3"/>
    <w:rsid w:val="005C487C"/>
    <w:rsid w:val="005C48D7"/>
    <w:rsid w:val="005C4CA9"/>
    <w:rsid w:val="005C4DFD"/>
    <w:rsid w:val="005C52E3"/>
    <w:rsid w:val="005C542B"/>
    <w:rsid w:val="005C54BB"/>
    <w:rsid w:val="005C5892"/>
    <w:rsid w:val="005C5C4A"/>
    <w:rsid w:val="005C5C96"/>
    <w:rsid w:val="005C6764"/>
    <w:rsid w:val="005C6E5E"/>
    <w:rsid w:val="005C6FFC"/>
    <w:rsid w:val="005C77E0"/>
    <w:rsid w:val="005C7AD2"/>
    <w:rsid w:val="005C7D48"/>
    <w:rsid w:val="005C7D54"/>
    <w:rsid w:val="005C7E28"/>
    <w:rsid w:val="005C7FB0"/>
    <w:rsid w:val="005D0181"/>
    <w:rsid w:val="005D0441"/>
    <w:rsid w:val="005D0A1E"/>
    <w:rsid w:val="005D0C65"/>
    <w:rsid w:val="005D1153"/>
    <w:rsid w:val="005D1190"/>
    <w:rsid w:val="005D1B05"/>
    <w:rsid w:val="005D24EC"/>
    <w:rsid w:val="005D266D"/>
    <w:rsid w:val="005D2C6E"/>
    <w:rsid w:val="005D2E12"/>
    <w:rsid w:val="005D3387"/>
    <w:rsid w:val="005D3AFB"/>
    <w:rsid w:val="005D3B21"/>
    <w:rsid w:val="005D4BD1"/>
    <w:rsid w:val="005D4CF7"/>
    <w:rsid w:val="005D5507"/>
    <w:rsid w:val="005D5661"/>
    <w:rsid w:val="005D58A4"/>
    <w:rsid w:val="005D5AEF"/>
    <w:rsid w:val="005D5EC0"/>
    <w:rsid w:val="005D662A"/>
    <w:rsid w:val="005D6BDF"/>
    <w:rsid w:val="005D737F"/>
    <w:rsid w:val="005D7699"/>
    <w:rsid w:val="005D7712"/>
    <w:rsid w:val="005D7BE8"/>
    <w:rsid w:val="005E06D0"/>
    <w:rsid w:val="005E1643"/>
    <w:rsid w:val="005E1695"/>
    <w:rsid w:val="005E18FB"/>
    <w:rsid w:val="005E1B23"/>
    <w:rsid w:val="005E2159"/>
    <w:rsid w:val="005E2348"/>
    <w:rsid w:val="005E24BB"/>
    <w:rsid w:val="005E2834"/>
    <w:rsid w:val="005E2CF2"/>
    <w:rsid w:val="005E2D5A"/>
    <w:rsid w:val="005E2D78"/>
    <w:rsid w:val="005E2DA2"/>
    <w:rsid w:val="005E2EA7"/>
    <w:rsid w:val="005E30D5"/>
    <w:rsid w:val="005E3117"/>
    <w:rsid w:val="005E31B4"/>
    <w:rsid w:val="005E33D0"/>
    <w:rsid w:val="005E33D1"/>
    <w:rsid w:val="005E3627"/>
    <w:rsid w:val="005E3726"/>
    <w:rsid w:val="005E379F"/>
    <w:rsid w:val="005E39B6"/>
    <w:rsid w:val="005E3E5B"/>
    <w:rsid w:val="005E4035"/>
    <w:rsid w:val="005E4AB1"/>
    <w:rsid w:val="005E4E94"/>
    <w:rsid w:val="005E5468"/>
    <w:rsid w:val="005E55C2"/>
    <w:rsid w:val="005E5CE4"/>
    <w:rsid w:val="005E66B7"/>
    <w:rsid w:val="005E6AF3"/>
    <w:rsid w:val="005E6F21"/>
    <w:rsid w:val="005E7204"/>
    <w:rsid w:val="005E7567"/>
    <w:rsid w:val="005E78AE"/>
    <w:rsid w:val="005E7A69"/>
    <w:rsid w:val="005F0181"/>
    <w:rsid w:val="005F0244"/>
    <w:rsid w:val="005F05E0"/>
    <w:rsid w:val="005F1029"/>
    <w:rsid w:val="005F16AA"/>
    <w:rsid w:val="005F1706"/>
    <w:rsid w:val="005F1818"/>
    <w:rsid w:val="005F1AF7"/>
    <w:rsid w:val="005F1CA4"/>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B49"/>
    <w:rsid w:val="005F5744"/>
    <w:rsid w:val="005F58E8"/>
    <w:rsid w:val="005F62C9"/>
    <w:rsid w:val="005F6683"/>
    <w:rsid w:val="005F6A7C"/>
    <w:rsid w:val="005F6E16"/>
    <w:rsid w:val="005F6F3D"/>
    <w:rsid w:val="005F721F"/>
    <w:rsid w:val="005F72F1"/>
    <w:rsid w:val="005F7C4B"/>
    <w:rsid w:val="00600230"/>
    <w:rsid w:val="00600350"/>
    <w:rsid w:val="0060075E"/>
    <w:rsid w:val="00600C83"/>
    <w:rsid w:val="006010BC"/>
    <w:rsid w:val="006010D5"/>
    <w:rsid w:val="006012FF"/>
    <w:rsid w:val="006013F1"/>
    <w:rsid w:val="00601415"/>
    <w:rsid w:val="006016D7"/>
    <w:rsid w:val="00601C45"/>
    <w:rsid w:val="00601DA4"/>
    <w:rsid w:val="00601E22"/>
    <w:rsid w:val="0060242C"/>
    <w:rsid w:val="00602566"/>
    <w:rsid w:val="00602688"/>
    <w:rsid w:val="00602753"/>
    <w:rsid w:val="006028BA"/>
    <w:rsid w:val="00602AC3"/>
    <w:rsid w:val="00602D00"/>
    <w:rsid w:val="00603058"/>
    <w:rsid w:val="00603267"/>
    <w:rsid w:val="00603713"/>
    <w:rsid w:val="0060488A"/>
    <w:rsid w:val="00604CBB"/>
    <w:rsid w:val="00605812"/>
    <w:rsid w:val="006059A7"/>
    <w:rsid w:val="006059CA"/>
    <w:rsid w:val="00605A06"/>
    <w:rsid w:val="00605A9B"/>
    <w:rsid w:val="00605B07"/>
    <w:rsid w:val="00605DF3"/>
    <w:rsid w:val="00605FA4"/>
    <w:rsid w:val="0060614E"/>
    <w:rsid w:val="0060697D"/>
    <w:rsid w:val="00606FE5"/>
    <w:rsid w:val="006071E2"/>
    <w:rsid w:val="006101B0"/>
    <w:rsid w:val="006101D7"/>
    <w:rsid w:val="0061043D"/>
    <w:rsid w:val="0061065D"/>
    <w:rsid w:val="00610B92"/>
    <w:rsid w:val="00610C04"/>
    <w:rsid w:val="00611128"/>
    <w:rsid w:val="006111F0"/>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086"/>
    <w:rsid w:val="00615102"/>
    <w:rsid w:val="0061539E"/>
    <w:rsid w:val="00615BBB"/>
    <w:rsid w:val="00616071"/>
    <w:rsid w:val="00616176"/>
    <w:rsid w:val="006161C7"/>
    <w:rsid w:val="006163D8"/>
    <w:rsid w:val="006163EE"/>
    <w:rsid w:val="0061643A"/>
    <w:rsid w:val="00616510"/>
    <w:rsid w:val="0061697D"/>
    <w:rsid w:val="00616D3D"/>
    <w:rsid w:val="00616F26"/>
    <w:rsid w:val="006174DF"/>
    <w:rsid w:val="00617AA8"/>
    <w:rsid w:val="0062076C"/>
    <w:rsid w:val="006209CB"/>
    <w:rsid w:val="00620F13"/>
    <w:rsid w:val="00620F24"/>
    <w:rsid w:val="006210EF"/>
    <w:rsid w:val="00621F54"/>
    <w:rsid w:val="00622642"/>
    <w:rsid w:val="006226F9"/>
    <w:rsid w:val="0062346A"/>
    <w:rsid w:val="006234D9"/>
    <w:rsid w:val="006237E2"/>
    <w:rsid w:val="0062392B"/>
    <w:rsid w:val="00623C5D"/>
    <w:rsid w:val="0062429B"/>
    <w:rsid w:val="00624452"/>
    <w:rsid w:val="00625801"/>
    <w:rsid w:val="00625E68"/>
    <w:rsid w:val="00626033"/>
    <w:rsid w:val="006260A6"/>
    <w:rsid w:val="006261F6"/>
    <w:rsid w:val="00626435"/>
    <w:rsid w:val="0062643F"/>
    <w:rsid w:val="006265D6"/>
    <w:rsid w:val="00626680"/>
    <w:rsid w:val="00626F91"/>
    <w:rsid w:val="006277DA"/>
    <w:rsid w:val="00627A56"/>
    <w:rsid w:val="00627CAE"/>
    <w:rsid w:val="00630112"/>
    <w:rsid w:val="00630176"/>
    <w:rsid w:val="00630391"/>
    <w:rsid w:val="00630579"/>
    <w:rsid w:val="006308CD"/>
    <w:rsid w:val="00631230"/>
    <w:rsid w:val="00631306"/>
    <w:rsid w:val="006322ED"/>
    <w:rsid w:val="006325B6"/>
    <w:rsid w:val="0063279E"/>
    <w:rsid w:val="00632F23"/>
    <w:rsid w:val="006332D9"/>
    <w:rsid w:val="006333E0"/>
    <w:rsid w:val="00633420"/>
    <w:rsid w:val="00633424"/>
    <w:rsid w:val="0063478C"/>
    <w:rsid w:val="006348FE"/>
    <w:rsid w:val="006349B3"/>
    <w:rsid w:val="00634B44"/>
    <w:rsid w:val="00634E32"/>
    <w:rsid w:val="00634FA3"/>
    <w:rsid w:val="006351E8"/>
    <w:rsid w:val="006357DD"/>
    <w:rsid w:val="00635B53"/>
    <w:rsid w:val="006361A4"/>
    <w:rsid w:val="006363E7"/>
    <w:rsid w:val="00636BA9"/>
    <w:rsid w:val="00636BB1"/>
    <w:rsid w:val="00636C93"/>
    <w:rsid w:val="00636DBA"/>
    <w:rsid w:val="00636EE9"/>
    <w:rsid w:val="00637A27"/>
    <w:rsid w:val="00637CBF"/>
    <w:rsid w:val="00637FDE"/>
    <w:rsid w:val="00640015"/>
    <w:rsid w:val="00640207"/>
    <w:rsid w:val="00640794"/>
    <w:rsid w:val="006407A6"/>
    <w:rsid w:val="006408F4"/>
    <w:rsid w:val="00640EF8"/>
    <w:rsid w:val="00641651"/>
    <w:rsid w:val="0064176F"/>
    <w:rsid w:val="006426DD"/>
    <w:rsid w:val="0064278C"/>
    <w:rsid w:val="00642B59"/>
    <w:rsid w:val="006430A8"/>
    <w:rsid w:val="00643356"/>
    <w:rsid w:val="0064346B"/>
    <w:rsid w:val="006434E4"/>
    <w:rsid w:val="00643535"/>
    <w:rsid w:val="0064361E"/>
    <w:rsid w:val="0064373A"/>
    <w:rsid w:val="00643AE4"/>
    <w:rsid w:val="00643BD4"/>
    <w:rsid w:val="00643EB5"/>
    <w:rsid w:val="00644425"/>
    <w:rsid w:val="00644AF9"/>
    <w:rsid w:val="00644CA0"/>
    <w:rsid w:val="00644D64"/>
    <w:rsid w:val="00644E2F"/>
    <w:rsid w:val="00645428"/>
    <w:rsid w:val="00645477"/>
    <w:rsid w:val="0064550F"/>
    <w:rsid w:val="0064562F"/>
    <w:rsid w:val="006458E6"/>
    <w:rsid w:val="00645920"/>
    <w:rsid w:val="00645949"/>
    <w:rsid w:val="00645B7F"/>
    <w:rsid w:val="00645C84"/>
    <w:rsid w:val="00645CCE"/>
    <w:rsid w:val="00645ED4"/>
    <w:rsid w:val="00646739"/>
    <w:rsid w:val="00646774"/>
    <w:rsid w:val="006468B0"/>
    <w:rsid w:val="00646BCE"/>
    <w:rsid w:val="00646F70"/>
    <w:rsid w:val="0064716D"/>
    <w:rsid w:val="00647567"/>
    <w:rsid w:val="00647973"/>
    <w:rsid w:val="00647E09"/>
    <w:rsid w:val="0065067D"/>
    <w:rsid w:val="00650725"/>
    <w:rsid w:val="00650915"/>
    <w:rsid w:val="00650974"/>
    <w:rsid w:val="00650E25"/>
    <w:rsid w:val="00650F2C"/>
    <w:rsid w:val="00651288"/>
    <w:rsid w:val="006514AB"/>
    <w:rsid w:val="00651739"/>
    <w:rsid w:val="0065177A"/>
    <w:rsid w:val="006519CA"/>
    <w:rsid w:val="00652496"/>
    <w:rsid w:val="0065281F"/>
    <w:rsid w:val="00652EB4"/>
    <w:rsid w:val="00653420"/>
    <w:rsid w:val="0065351B"/>
    <w:rsid w:val="006536B7"/>
    <w:rsid w:val="00653733"/>
    <w:rsid w:val="00653785"/>
    <w:rsid w:val="00653D03"/>
    <w:rsid w:val="00653FE7"/>
    <w:rsid w:val="00654070"/>
    <w:rsid w:val="006543DD"/>
    <w:rsid w:val="006544AC"/>
    <w:rsid w:val="00654BD3"/>
    <w:rsid w:val="00655054"/>
    <w:rsid w:val="0065557C"/>
    <w:rsid w:val="00655586"/>
    <w:rsid w:val="00655B5E"/>
    <w:rsid w:val="00655CFB"/>
    <w:rsid w:val="00655D12"/>
    <w:rsid w:val="00655F38"/>
    <w:rsid w:val="00656B3D"/>
    <w:rsid w:val="006573D8"/>
    <w:rsid w:val="00657413"/>
    <w:rsid w:val="00657AFD"/>
    <w:rsid w:val="00657B5D"/>
    <w:rsid w:val="00657C74"/>
    <w:rsid w:val="00657F67"/>
    <w:rsid w:val="00657FB0"/>
    <w:rsid w:val="00657FDD"/>
    <w:rsid w:val="006600AC"/>
    <w:rsid w:val="00660142"/>
    <w:rsid w:val="006602A2"/>
    <w:rsid w:val="0066071E"/>
    <w:rsid w:val="00660F64"/>
    <w:rsid w:val="0066120E"/>
    <w:rsid w:val="006621C0"/>
    <w:rsid w:val="00662A65"/>
    <w:rsid w:val="00662AF3"/>
    <w:rsid w:val="00662D4A"/>
    <w:rsid w:val="00662DAF"/>
    <w:rsid w:val="006637C7"/>
    <w:rsid w:val="006639AC"/>
    <w:rsid w:val="00663AAA"/>
    <w:rsid w:val="00663BD7"/>
    <w:rsid w:val="00663E68"/>
    <w:rsid w:val="0066409B"/>
    <w:rsid w:val="006646CB"/>
    <w:rsid w:val="00664922"/>
    <w:rsid w:val="00664A0A"/>
    <w:rsid w:val="00664AC2"/>
    <w:rsid w:val="006655DE"/>
    <w:rsid w:val="00666241"/>
    <w:rsid w:val="006668C6"/>
    <w:rsid w:val="00666C15"/>
    <w:rsid w:val="00667098"/>
    <w:rsid w:val="006673E0"/>
    <w:rsid w:val="006674A5"/>
    <w:rsid w:val="00667983"/>
    <w:rsid w:val="00667C68"/>
    <w:rsid w:val="00670376"/>
    <w:rsid w:val="0067069F"/>
    <w:rsid w:val="00670C77"/>
    <w:rsid w:val="0067127D"/>
    <w:rsid w:val="0067136D"/>
    <w:rsid w:val="00671E1E"/>
    <w:rsid w:val="0067213C"/>
    <w:rsid w:val="00672333"/>
    <w:rsid w:val="0067299F"/>
    <w:rsid w:val="00672B88"/>
    <w:rsid w:val="00672B9B"/>
    <w:rsid w:val="00672C04"/>
    <w:rsid w:val="00673025"/>
    <w:rsid w:val="006734A7"/>
    <w:rsid w:val="0067380A"/>
    <w:rsid w:val="006738CE"/>
    <w:rsid w:val="006738D8"/>
    <w:rsid w:val="006748B5"/>
    <w:rsid w:val="00674926"/>
    <w:rsid w:val="006749AA"/>
    <w:rsid w:val="00674C16"/>
    <w:rsid w:val="006750FD"/>
    <w:rsid w:val="00675304"/>
    <w:rsid w:val="006754C5"/>
    <w:rsid w:val="00675CCF"/>
    <w:rsid w:val="00675F01"/>
    <w:rsid w:val="0067622E"/>
    <w:rsid w:val="006764A8"/>
    <w:rsid w:val="006766FF"/>
    <w:rsid w:val="0067694C"/>
    <w:rsid w:val="00676AF0"/>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6D3"/>
    <w:rsid w:val="0068218A"/>
    <w:rsid w:val="006828AE"/>
    <w:rsid w:val="00682AD7"/>
    <w:rsid w:val="00682B2C"/>
    <w:rsid w:val="00682C10"/>
    <w:rsid w:val="006835EE"/>
    <w:rsid w:val="0068365F"/>
    <w:rsid w:val="006836AE"/>
    <w:rsid w:val="0068381F"/>
    <w:rsid w:val="0068387C"/>
    <w:rsid w:val="00683966"/>
    <w:rsid w:val="00683A42"/>
    <w:rsid w:val="00683B78"/>
    <w:rsid w:val="00684563"/>
    <w:rsid w:val="00684AA4"/>
    <w:rsid w:val="00684AF1"/>
    <w:rsid w:val="00685595"/>
    <w:rsid w:val="00685661"/>
    <w:rsid w:val="0068582D"/>
    <w:rsid w:val="00685CE3"/>
    <w:rsid w:val="00685E41"/>
    <w:rsid w:val="00686517"/>
    <w:rsid w:val="006866D5"/>
    <w:rsid w:val="00686778"/>
    <w:rsid w:val="00686E33"/>
    <w:rsid w:val="00686FA0"/>
    <w:rsid w:val="006877D3"/>
    <w:rsid w:val="00687DAD"/>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B70"/>
    <w:rsid w:val="00695D1D"/>
    <w:rsid w:val="00696295"/>
    <w:rsid w:val="006966F6"/>
    <w:rsid w:val="00696AEF"/>
    <w:rsid w:val="00696C76"/>
    <w:rsid w:val="00696E97"/>
    <w:rsid w:val="00696EB4"/>
    <w:rsid w:val="0069737A"/>
    <w:rsid w:val="00697615"/>
    <w:rsid w:val="006976AE"/>
    <w:rsid w:val="00697BE1"/>
    <w:rsid w:val="00697E32"/>
    <w:rsid w:val="00697EAF"/>
    <w:rsid w:val="00697F76"/>
    <w:rsid w:val="006A0023"/>
    <w:rsid w:val="006A0318"/>
    <w:rsid w:val="006A036B"/>
    <w:rsid w:val="006A0DD6"/>
    <w:rsid w:val="006A164C"/>
    <w:rsid w:val="006A17B4"/>
    <w:rsid w:val="006A1984"/>
    <w:rsid w:val="006A1E6B"/>
    <w:rsid w:val="006A24C9"/>
    <w:rsid w:val="006A26B8"/>
    <w:rsid w:val="006A286B"/>
    <w:rsid w:val="006A2BC3"/>
    <w:rsid w:val="006A2C28"/>
    <w:rsid w:val="006A2F00"/>
    <w:rsid w:val="006A35DE"/>
    <w:rsid w:val="006A3A98"/>
    <w:rsid w:val="006A3BF1"/>
    <w:rsid w:val="006A41DB"/>
    <w:rsid w:val="006A47BE"/>
    <w:rsid w:val="006A48FC"/>
    <w:rsid w:val="006A4BB7"/>
    <w:rsid w:val="006A4CCE"/>
    <w:rsid w:val="006A5170"/>
    <w:rsid w:val="006A546E"/>
    <w:rsid w:val="006A5796"/>
    <w:rsid w:val="006A588F"/>
    <w:rsid w:val="006A5C9B"/>
    <w:rsid w:val="006A5DC4"/>
    <w:rsid w:val="006A5DE0"/>
    <w:rsid w:val="006A5E0F"/>
    <w:rsid w:val="006A6382"/>
    <w:rsid w:val="006A6C34"/>
    <w:rsid w:val="006A6CBD"/>
    <w:rsid w:val="006A7406"/>
    <w:rsid w:val="006A7956"/>
    <w:rsid w:val="006A7AB2"/>
    <w:rsid w:val="006B0069"/>
    <w:rsid w:val="006B012D"/>
    <w:rsid w:val="006B034B"/>
    <w:rsid w:val="006B0930"/>
    <w:rsid w:val="006B0CE1"/>
    <w:rsid w:val="006B0D15"/>
    <w:rsid w:val="006B0E25"/>
    <w:rsid w:val="006B1119"/>
    <w:rsid w:val="006B11F4"/>
    <w:rsid w:val="006B15BC"/>
    <w:rsid w:val="006B169A"/>
    <w:rsid w:val="006B16BF"/>
    <w:rsid w:val="006B180F"/>
    <w:rsid w:val="006B1DDB"/>
    <w:rsid w:val="006B25BC"/>
    <w:rsid w:val="006B26F5"/>
    <w:rsid w:val="006B280C"/>
    <w:rsid w:val="006B2E99"/>
    <w:rsid w:val="006B2EB4"/>
    <w:rsid w:val="006B31A8"/>
    <w:rsid w:val="006B3527"/>
    <w:rsid w:val="006B36FE"/>
    <w:rsid w:val="006B3757"/>
    <w:rsid w:val="006B383C"/>
    <w:rsid w:val="006B3C13"/>
    <w:rsid w:val="006B3E22"/>
    <w:rsid w:val="006B41DC"/>
    <w:rsid w:val="006B4430"/>
    <w:rsid w:val="006B4916"/>
    <w:rsid w:val="006B4C71"/>
    <w:rsid w:val="006B5552"/>
    <w:rsid w:val="006B58BF"/>
    <w:rsid w:val="006B6787"/>
    <w:rsid w:val="006B68E2"/>
    <w:rsid w:val="006B6D4F"/>
    <w:rsid w:val="006B6DBF"/>
    <w:rsid w:val="006B737C"/>
    <w:rsid w:val="006B785E"/>
    <w:rsid w:val="006C0049"/>
    <w:rsid w:val="006C0283"/>
    <w:rsid w:val="006C02B8"/>
    <w:rsid w:val="006C07D1"/>
    <w:rsid w:val="006C0A7E"/>
    <w:rsid w:val="006C1022"/>
    <w:rsid w:val="006C1197"/>
    <w:rsid w:val="006C15D1"/>
    <w:rsid w:val="006C1CFD"/>
    <w:rsid w:val="006C1D85"/>
    <w:rsid w:val="006C1FA2"/>
    <w:rsid w:val="006C2949"/>
    <w:rsid w:val="006C2C37"/>
    <w:rsid w:val="006C3338"/>
    <w:rsid w:val="006C3F52"/>
    <w:rsid w:val="006C436B"/>
    <w:rsid w:val="006C509C"/>
    <w:rsid w:val="006C5359"/>
    <w:rsid w:val="006C5507"/>
    <w:rsid w:val="006C5D61"/>
    <w:rsid w:val="006C5F6B"/>
    <w:rsid w:val="006C5FBC"/>
    <w:rsid w:val="006C6410"/>
    <w:rsid w:val="006C6516"/>
    <w:rsid w:val="006C65D4"/>
    <w:rsid w:val="006C6791"/>
    <w:rsid w:val="006C688E"/>
    <w:rsid w:val="006C6F97"/>
    <w:rsid w:val="006C751B"/>
    <w:rsid w:val="006C774C"/>
    <w:rsid w:val="006C7C49"/>
    <w:rsid w:val="006C7FE8"/>
    <w:rsid w:val="006D0012"/>
    <w:rsid w:val="006D05AD"/>
    <w:rsid w:val="006D0BEA"/>
    <w:rsid w:val="006D0C7D"/>
    <w:rsid w:val="006D0DAE"/>
    <w:rsid w:val="006D16F5"/>
    <w:rsid w:val="006D181E"/>
    <w:rsid w:val="006D1D8A"/>
    <w:rsid w:val="006D1EEA"/>
    <w:rsid w:val="006D218D"/>
    <w:rsid w:val="006D23C7"/>
    <w:rsid w:val="006D29BC"/>
    <w:rsid w:val="006D3040"/>
    <w:rsid w:val="006D306A"/>
    <w:rsid w:val="006D385D"/>
    <w:rsid w:val="006D39E1"/>
    <w:rsid w:val="006D3D1E"/>
    <w:rsid w:val="006D410B"/>
    <w:rsid w:val="006D4747"/>
    <w:rsid w:val="006D4902"/>
    <w:rsid w:val="006D4C49"/>
    <w:rsid w:val="006D4EEF"/>
    <w:rsid w:val="006D4FA4"/>
    <w:rsid w:val="006D550D"/>
    <w:rsid w:val="006D57E4"/>
    <w:rsid w:val="006D5B9D"/>
    <w:rsid w:val="006D5BF0"/>
    <w:rsid w:val="006D5F6A"/>
    <w:rsid w:val="006D5F76"/>
    <w:rsid w:val="006D624B"/>
    <w:rsid w:val="006D65A1"/>
    <w:rsid w:val="006D6A5D"/>
    <w:rsid w:val="006D6BD1"/>
    <w:rsid w:val="006D7218"/>
    <w:rsid w:val="006D73D5"/>
    <w:rsid w:val="006D7C35"/>
    <w:rsid w:val="006D7C4B"/>
    <w:rsid w:val="006D7C75"/>
    <w:rsid w:val="006E00D8"/>
    <w:rsid w:val="006E043E"/>
    <w:rsid w:val="006E08C4"/>
    <w:rsid w:val="006E0C07"/>
    <w:rsid w:val="006E0D20"/>
    <w:rsid w:val="006E0D39"/>
    <w:rsid w:val="006E15D4"/>
    <w:rsid w:val="006E1744"/>
    <w:rsid w:val="006E182E"/>
    <w:rsid w:val="006E1CA6"/>
    <w:rsid w:val="006E1CD4"/>
    <w:rsid w:val="006E2919"/>
    <w:rsid w:val="006E2B84"/>
    <w:rsid w:val="006E2C4B"/>
    <w:rsid w:val="006E312A"/>
    <w:rsid w:val="006E391E"/>
    <w:rsid w:val="006E47CC"/>
    <w:rsid w:val="006E4A8A"/>
    <w:rsid w:val="006E4BDB"/>
    <w:rsid w:val="006E4D06"/>
    <w:rsid w:val="006E5247"/>
    <w:rsid w:val="006E525C"/>
    <w:rsid w:val="006E69A6"/>
    <w:rsid w:val="006E6C19"/>
    <w:rsid w:val="006E720B"/>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A61"/>
    <w:rsid w:val="006F3B09"/>
    <w:rsid w:val="006F3E20"/>
    <w:rsid w:val="006F42DE"/>
    <w:rsid w:val="006F494C"/>
    <w:rsid w:val="006F4D6D"/>
    <w:rsid w:val="006F52E3"/>
    <w:rsid w:val="006F579D"/>
    <w:rsid w:val="006F57E6"/>
    <w:rsid w:val="006F59AC"/>
    <w:rsid w:val="006F613B"/>
    <w:rsid w:val="006F61CF"/>
    <w:rsid w:val="006F64EF"/>
    <w:rsid w:val="006F6592"/>
    <w:rsid w:val="006F65E0"/>
    <w:rsid w:val="006F6B91"/>
    <w:rsid w:val="006F79B5"/>
    <w:rsid w:val="006F7AEF"/>
    <w:rsid w:val="006F7E2D"/>
    <w:rsid w:val="006F7FC7"/>
    <w:rsid w:val="007006D0"/>
    <w:rsid w:val="00700D3F"/>
    <w:rsid w:val="00700E31"/>
    <w:rsid w:val="007016C3"/>
    <w:rsid w:val="00701C77"/>
    <w:rsid w:val="00701F36"/>
    <w:rsid w:val="00702283"/>
    <w:rsid w:val="00702E8E"/>
    <w:rsid w:val="00703729"/>
    <w:rsid w:val="00703CDD"/>
    <w:rsid w:val="00703DC7"/>
    <w:rsid w:val="0070436A"/>
    <w:rsid w:val="00704E29"/>
    <w:rsid w:val="007058EE"/>
    <w:rsid w:val="00705B1E"/>
    <w:rsid w:val="007060DA"/>
    <w:rsid w:val="0070687A"/>
    <w:rsid w:val="00707019"/>
    <w:rsid w:val="0070730E"/>
    <w:rsid w:val="0070748E"/>
    <w:rsid w:val="0070765C"/>
    <w:rsid w:val="0070767C"/>
    <w:rsid w:val="00707DDB"/>
    <w:rsid w:val="00710394"/>
    <w:rsid w:val="00710D99"/>
    <w:rsid w:val="00710E4D"/>
    <w:rsid w:val="00710E65"/>
    <w:rsid w:val="00710ED1"/>
    <w:rsid w:val="00711182"/>
    <w:rsid w:val="00711910"/>
    <w:rsid w:val="00711A20"/>
    <w:rsid w:val="00712AFF"/>
    <w:rsid w:val="00712BC4"/>
    <w:rsid w:val="00712E3A"/>
    <w:rsid w:val="00712F50"/>
    <w:rsid w:val="007131DD"/>
    <w:rsid w:val="00713423"/>
    <w:rsid w:val="00713594"/>
    <w:rsid w:val="00713662"/>
    <w:rsid w:val="00713701"/>
    <w:rsid w:val="00713875"/>
    <w:rsid w:val="00713A32"/>
    <w:rsid w:val="00713E66"/>
    <w:rsid w:val="007141FD"/>
    <w:rsid w:val="00714671"/>
    <w:rsid w:val="0071481F"/>
    <w:rsid w:val="00714C81"/>
    <w:rsid w:val="00714DBD"/>
    <w:rsid w:val="00714DCE"/>
    <w:rsid w:val="00714FF1"/>
    <w:rsid w:val="00715069"/>
    <w:rsid w:val="0071509B"/>
    <w:rsid w:val="007154E8"/>
    <w:rsid w:val="00715996"/>
    <w:rsid w:val="00715A40"/>
    <w:rsid w:val="00715CA7"/>
    <w:rsid w:val="00715DF9"/>
    <w:rsid w:val="00715EC9"/>
    <w:rsid w:val="00715F85"/>
    <w:rsid w:val="00716596"/>
    <w:rsid w:val="00716A19"/>
    <w:rsid w:val="00716D1D"/>
    <w:rsid w:val="00716D8B"/>
    <w:rsid w:val="00716F5D"/>
    <w:rsid w:val="007171C6"/>
    <w:rsid w:val="0071776B"/>
    <w:rsid w:val="00717CFD"/>
    <w:rsid w:val="0072009C"/>
    <w:rsid w:val="0072016D"/>
    <w:rsid w:val="007203D1"/>
    <w:rsid w:val="007205DF"/>
    <w:rsid w:val="00720C1E"/>
    <w:rsid w:val="00721109"/>
    <w:rsid w:val="00721164"/>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D11"/>
    <w:rsid w:val="00725EF0"/>
    <w:rsid w:val="007260AE"/>
    <w:rsid w:val="00726322"/>
    <w:rsid w:val="00726488"/>
    <w:rsid w:val="007266CB"/>
    <w:rsid w:val="00726797"/>
    <w:rsid w:val="00726A1A"/>
    <w:rsid w:val="0072705E"/>
    <w:rsid w:val="007274A9"/>
    <w:rsid w:val="0072763B"/>
    <w:rsid w:val="00727BBE"/>
    <w:rsid w:val="00730545"/>
    <w:rsid w:val="007307B2"/>
    <w:rsid w:val="00730C7B"/>
    <w:rsid w:val="00731D83"/>
    <w:rsid w:val="00731F2C"/>
    <w:rsid w:val="0073218B"/>
    <w:rsid w:val="00732C0C"/>
    <w:rsid w:val="00732EDC"/>
    <w:rsid w:val="00733070"/>
    <w:rsid w:val="0073374D"/>
    <w:rsid w:val="007342BE"/>
    <w:rsid w:val="007348CF"/>
    <w:rsid w:val="00734FA5"/>
    <w:rsid w:val="00735437"/>
    <w:rsid w:val="00735594"/>
    <w:rsid w:val="00735838"/>
    <w:rsid w:val="007358D2"/>
    <w:rsid w:val="00735B38"/>
    <w:rsid w:val="00736C65"/>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7F3"/>
    <w:rsid w:val="00742EAD"/>
    <w:rsid w:val="00743B78"/>
    <w:rsid w:val="00743D9C"/>
    <w:rsid w:val="00743F5B"/>
    <w:rsid w:val="00744504"/>
    <w:rsid w:val="00744725"/>
    <w:rsid w:val="00744949"/>
    <w:rsid w:val="00744971"/>
    <w:rsid w:val="00744FBE"/>
    <w:rsid w:val="0074538E"/>
    <w:rsid w:val="007457F2"/>
    <w:rsid w:val="00745806"/>
    <w:rsid w:val="00745A97"/>
    <w:rsid w:val="00745ABC"/>
    <w:rsid w:val="00745E9A"/>
    <w:rsid w:val="0074604E"/>
    <w:rsid w:val="00746203"/>
    <w:rsid w:val="00746240"/>
    <w:rsid w:val="00746466"/>
    <w:rsid w:val="0074687C"/>
    <w:rsid w:val="00746AF2"/>
    <w:rsid w:val="00746BA3"/>
    <w:rsid w:val="00746E5F"/>
    <w:rsid w:val="00747209"/>
    <w:rsid w:val="0074754E"/>
    <w:rsid w:val="00747B2E"/>
    <w:rsid w:val="00750222"/>
    <w:rsid w:val="007502D6"/>
    <w:rsid w:val="0075031C"/>
    <w:rsid w:val="007508AD"/>
    <w:rsid w:val="007512B4"/>
    <w:rsid w:val="00751666"/>
    <w:rsid w:val="00751744"/>
    <w:rsid w:val="007519FF"/>
    <w:rsid w:val="00751CF2"/>
    <w:rsid w:val="007524C0"/>
    <w:rsid w:val="007525AF"/>
    <w:rsid w:val="00752ABA"/>
    <w:rsid w:val="007530B7"/>
    <w:rsid w:val="007531AD"/>
    <w:rsid w:val="00753466"/>
    <w:rsid w:val="00753B3C"/>
    <w:rsid w:val="00754383"/>
    <w:rsid w:val="00754CE4"/>
    <w:rsid w:val="00754E93"/>
    <w:rsid w:val="00755971"/>
    <w:rsid w:val="00755EA0"/>
    <w:rsid w:val="00755FE9"/>
    <w:rsid w:val="00756090"/>
    <w:rsid w:val="007568D4"/>
    <w:rsid w:val="00756A5C"/>
    <w:rsid w:val="00756BB4"/>
    <w:rsid w:val="00756CA7"/>
    <w:rsid w:val="00757389"/>
    <w:rsid w:val="00757C05"/>
    <w:rsid w:val="00760B7A"/>
    <w:rsid w:val="00760F5D"/>
    <w:rsid w:val="0076116E"/>
    <w:rsid w:val="00761276"/>
    <w:rsid w:val="00761843"/>
    <w:rsid w:val="00761C8B"/>
    <w:rsid w:val="00761CDD"/>
    <w:rsid w:val="00761CF2"/>
    <w:rsid w:val="007623ED"/>
    <w:rsid w:val="00762692"/>
    <w:rsid w:val="0076275C"/>
    <w:rsid w:val="007627E0"/>
    <w:rsid w:val="00762B83"/>
    <w:rsid w:val="00762D5B"/>
    <w:rsid w:val="00762FA1"/>
    <w:rsid w:val="007630B3"/>
    <w:rsid w:val="00763104"/>
    <w:rsid w:val="0076332F"/>
    <w:rsid w:val="007633DF"/>
    <w:rsid w:val="0076349B"/>
    <w:rsid w:val="00763CD7"/>
    <w:rsid w:val="00764543"/>
    <w:rsid w:val="00764938"/>
    <w:rsid w:val="00764AC0"/>
    <w:rsid w:val="00764D6C"/>
    <w:rsid w:val="0076511E"/>
    <w:rsid w:val="0076546A"/>
    <w:rsid w:val="00765536"/>
    <w:rsid w:val="007655EC"/>
    <w:rsid w:val="00765756"/>
    <w:rsid w:val="00765E19"/>
    <w:rsid w:val="00765EA9"/>
    <w:rsid w:val="007660C1"/>
    <w:rsid w:val="0076619C"/>
    <w:rsid w:val="007668FB"/>
    <w:rsid w:val="007669AA"/>
    <w:rsid w:val="0076706F"/>
    <w:rsid w:val="00767222"/>
    <w:rsid w:val="00767868"/>
    <w:rsid w:val="00767C3E"/>
    <w:rsid w:val="00767DBC"/>
    <w:rsid w:val="0077025D"/>
    <w:rsid w:val="007703B3"/>
    <w:rsid w:val="00770854"/>
    <w:rsid w:val="007712D0"/>
    <w:rsid w:val="0077174E"/>
    <w:rsid w:val="007717A5"/>
    <w:rsid w:val="0077198A"/>
    <w:rsid w:val="00771FCC"/>
    <w:rsid w:val="0077228B"/>
    <w:rsid w:val="00772338"/>
    <w:rsid w:val="00772403"/>
    <w:rsid w:val="0077269E"/>
    <w:rsid w:val="007728EB"/>
    <w:rsid w:val="00772B44"/>
    <w:rsid w:val="00772C4B"/>
    <w:rsid w:val="00772D1C"/>
    <w:rsid w:val="007730B3"/>
    <w:rsid w:val="00773AB8"/>
    <w:rsid w:val="00774B99"/>
    <w:rsid w:val="00774D10"/>
    <w:rsid w:val="0077532D"/>
    <w:rsid w:val="0077565E"/>
    <w:rsid w:val="00775BF0"/>
    <w:rsid w:val="007760A3"/>
    <w:rsid w:val="00776101"/>
    <w:rsid w:val="007769D9"/>
    <w:rsid w:val="00776ADA"/>
    <w:rsid w:val="007775E6"/>
    <w:rsid w:val="00777701"/>
    <w:rsid w:val="007777EE"/>
    <w:rsid w:val="00777932"/>
    <w:rsid w:val="0077793C"/>
    <w:rsid w:val="00777AC9"/>
    <w:rsid w:val="00777D66"/>
    <w:rsid w:val="00777D8D"/>
    <w:rsid w:val="00777DB4"/>
    <w:rsid w:val="00777FB1"/>
    <w:rsid w:val="00780D5F"/>
    <w:rsid w:val="007810EE"/>
    <w:rsid w:val="00781BA3"/>
    <w:rsid w:val="00782D2A"/>
    <w:rsid w:val="00783285"/>
    <w:rsid w:val="00783727"/>
    <w:rsid w:val="00783743"/>
    <w:rsid w:val="00783809"/>
    <w:rsid w:val="00783F83"/>
    <w:rsid w:val="00784232"/>
    <w:rsid w:val="00784735"/>
    <w:rsid w:val="00784A40"/>
    <w:rsid w:val="00784B22"/>
    <w:rsid w:val="00784BBB"/>
    <w:rsid w:val="00784C47"/>
    <w:rsid w:val="00784EAE"/>
    <w:rsid w:val="007851E8"/>
    <w:rsid w:val="00785236"/>
    <w:rsid w:val="0078548A"/>
    <w:rsid w:val="00785C6E"/>
    <w:rsid w:val="00785FF2"/>
    <w:rsid w:val="007867B5"/>
    <w:rsid w:val="007869A5"/>
    <w:rsid w:val="007869FA"/>
    <w:rsid w:val="00786D1C"/>
    <w:rsid w:val="00786DCA"/>
    <w:rsid w:val="00786FDF"/>
    <w:rsid w:val="007871CD"/>
    <w:rsid w:val="0078786B"/>
    <w:rsid w:val="00787AEE"/>
    <w:rsid w:val="00787E6F"/>
    <w:rsid w:val="00790910"/>
    <w:rsid w:val="00790C75"/>
    <w:rsid w:val="00790CE0"/>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937"/>
    <w:rsid w:val="00795E5D"/>
    <w:rsid w:val="0079667A"/>
    <w:rsid w:val="00796C12"/>
    <w:rsid w:val="00796DD5"/>
    <w:rsid w:val="0079724D"/>
    <w:rsid w:val="0079763C"/>
    <w:rsid w:val="00797801"/>
    <w:rsid w:val="007A01C1"/>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41A7"/>
    <w:rsid w:val="007A44DB"/>
    <w:rsid w:val="007A4969"/>
    <w:rsid w:val="007A4DAC"/>
    <w:rsid w:val="007A52F9"/>
    <w:rsid w:val="007A53F2"/>
    <w:rsid w:val="007A60FA"/>
    <w:rsid w:val="007A64FB"/>
    <w:rsid w:val="007A650D"/>
    <w:rsid w:val="007A673E"/>
    <w:rsid w:val="007A6806"/>
    <w:rsid w:val="007A684B"/>
    <w:rsid w:val="007A6B19"/>
    <w:rsid w:val="007A6F60"/>
    <w:rsid w:val="007A73C5"/>
    <w:rsid w:val="007A78DA"/>
    <w:rsid w:val="007A7A34"/>
    <w:rsid w:val="007A7BCB"/>
    <w:rsid w:val="007A7CA5"/>
    <w:rsid w:val="007B0DEF"/>
    <w:rsid w:val="007B18B4"/>
    <w:rsid w:val="007B1A9D"/>
    <w:rsid w:val="007B1CE4"/>
    <w:rsid w:val="007B1FE7"/>
    <w:rsid w:val="007B2052"/>
    <w:rsid w:val="007B23E4"/>
    <w:rsid w:val="007B24FA"/>
    <w:rsid w:val="007B29A0"/>
    <w:rsid w:val="007B2FD8"/>
    <w:rsid w:val="007B31A4"/>
    <w:rsid w:val="007B3382"/>
    <w:rsid w:val="007B357D"/>
    <w:rsid w:val="007B3CDC"/>
    <w:rsid w:val="007B411B"/>
    <w:rsid w:val="007B444C"/>
    <w:rsid w:val="007B4508"/>
    <w:rsid w:val="007B46B0"/>
    <w:rsid w:val="007B46FC"/>
    <w:rsid w:val="007B49F1"/>
    <w:rsid w:val="007B4B67"/>
    <w:rsid w:val="007B4F58"/>
    <w:rsid w:val="007B4FA2"/>
    <w:rsid w:val="007B57A1"/>
    <w:rsid w:val="007B5919"/>
    <w:rsid w:val="007B5EF6"/>
    <w:rsid w:val="007B64C3"/>
    <w:rsid w:val="007B65A2"/>
    <w:rsid w:val="007B6B9F"/>
    <w:rsid w:val="007B71FF"/>
    <w:rsid w:val="007B77A1"/>
    <w:rsid w:val="007B78D5"/>
    <w:rsid w:val="007B7CB8"/>
    <w:rsid w:val="007B7F33"/>
    <w:rsid w:val="007C00E1"/>
    <w:rsid w:val="007C072E"/>
    <w:rsid w:val="007C0A8D"/>
    <w:rsid w:val="007C0B33"/>
    <w:rsid w:val="007C15EF"/>
    <w:rsid w:val="007C1C32"/>
    <w:rsid w:val="007C2345"/>
    <w:rsid w:val="007C2786"/>
    <w:rsid w:val="007C27DE"/>
    <w:rsid w:val="007C2CB1"/>
    <w:rsid w:val="007C300B"/>
    <w:rsid w:val="007C3066"/>
    <w:rsid w:val="007C3086"/>
    <w:rsid w:val="007C3E1C"/>
    <w:rsid w:val="007C3F89"/>
    <w:rsid w:val="007C3FB3"/>
    <w:rsid w:val="007C456C"/>
    <w:rsid w:val="007C49F1"/>
    <w:rsid w:val="007C4C33"/>
    <w:rsid w:val="007C5009"/>
    <w:rsid w:val="007C52C4"/>
    <w:rsid w:val="007C5386"/>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0FD5"/>
    <w:rsid w:val="007D12BC"/>
    <w:rsid w:val="007D15E7"/>
    <w:rsid w:val="007D1735"/>
    <w:rsid w:val="007D20D8"/>
    <w:rsid w:val="007D23FE"/>
    <w:rsid w:val="007D274C"/>
    <w:rsid w:val="007D2992"/>
    <w:rsid w:val="007D2B7B"/>
    <w:rsid w:val="007D2BAC"/>
    <w:rsid w:val="007D2E5B"/>
    <w:rsid w:val="007D2F6A"/>
    <w:rsid w:val="007D3156"/>
    <w:rsid w:val="007D36B9"/>
    <w:rsid w:val="007D4032"/>
    <w:rsid w:val="007D4373"/>
    <w:rsid w:val="007D49F1"/>
    <w:rsid w:val="007D5BB4"/>
    <w:rsid w:val="007D5D99"/>
    <w:rsid w:val="007D642B"/>
    <w:rsid w:val="007D643C"/>
    <w:rsid w:val="007D669C"/>
    <w:rsid w:val="007D6D8C"/>
    <w:rsid w:val="007D7387"/>
    <w:rsid w:val="007D786C"/>
    <w:rsid w:val="007D797C"/>
    <w:rsid w:val="007D7D57"/>
    <w:rsid w:val="007D7E91"/>
    <w:rsid w:val="007E02E9"/>
    <w:rsid w:val="007E1027"/>
    <w:rsid w:val="007E107B"/>
    <w:rsid w:val="007E1388"/>
    <w:rsid w:val="007E1461"/>
    <w:rsid w:val="007E17B8"/>
    <w:rsid w:val="007E1B79"/>
    <w:rsid w:val="007E1DB2"/>
    <w:rsid w:val="007E25A1"/>
    <w:rsid w:val="007E26A4"/>
    <w:rsid w:val="007E28BC"/>
    <w:rsid w:val="007E28EF"/>
    <w:rsid w:val="007E2B6C"/>
    <w:rsid w:val="007E2BD5"/>
    <w:rsid w:val="007E2F00"/>
    <w:rsid w:val="007E33B3"/>
    <w:rsid w:val="007E3549"/>
    <w:rsid w:val="007E356A"/>
    <w:rsid w:val="007E3990"/>
    <w:rsid w:val="007E3A32"/>
    <w:rsid w:val="007E3C1F"/>
    <w:rsid w:val="007E4081"/>
    <w:rsid w:val="007E4154"/>
    <w:rsid w:val="007E47EF"/>
    <w:rsid w:val="007E4B68"/>
    <w:rsid w:val="007E4D20"/>
    <w:rsid w:val="007E56FC"/>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1243"/>
    <w:rsid w:val="007F136B"/>
    <w:rsid w:val="007F1641"/>
    <w:rsid w:val="007F178F"/>
    <w:rsid w:val="007F1998"/>
    <w:rsid w:val="007F1D11"/>
    <w:rsid w:val="007F2051"/>
    <w:rsid w:val="007F24AA"/>
    <w:rsid w:val="007F2B8C"/>
    <w:rsid w:val="007F2CDB"/>
    <w:rsid w:val="007F345C"/>
    <w:rsid w:val="007F42F4"/>
    <w:rsid w:val="007F439C"/>
    <w:rsid w:val="007F43E9"/>
    <w:rsid w:val="007F4543"/>
    <w:rsid w:val="007F547B"/>
    <w:rsid w:val="007F59A2"/>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1ECF"/>
    <w:rsid w:val="008020C5"/>
    <w:rsid w:val="008020EA"/>
    <w:rsid w:val="00802221"/>
    <w:rsid w:val="00802529"/>
    <w:rsid w:val="00802C45"/>
    <w:rsid w:val="0080302E"/>
    <w:rsid w:val="008034AA"/>
    <w:rsid w:val="008037F6"/>
    <w:rsid w:val="00803C78"/>
    <w:rsid w:val="00803CBB"/>
    <w:rsid w:val="00803DA5"/>
    <w:rsid w:val="00804372"/>
    <w:rsid w:val="00804630"/>
    <w:rsid w:val="00804B3F"/>
    <w:rsid w:val="00804BC5"/>
    <w:rsid w:val="00805234"/>
    <w:rsid w:val="008057FD"/>
    <w:rsid w:val="00805802"/>
    <w:rsid w:val="008059EE"/>
    <w:rsid w:val="0080631E"/>
    <w:rsid w:val="008063BF"/>
    <w:rsid w:val="008064C0"/>
    <w:rsid w:val="008066EC"/>
    <w:rsid w:val="008066FB"/>
    <w:rsid w:val="008069D5"/>
    <w:rsid w:val="00806AD1"/>
    <w:rsid w:val="00806C64"/>
    <w:rsid w:val="00806D9A"/>
    <w:rsid w:val="00806F6D"/>
    <w:rsid w:val="0080700E"/>
    <w:rsid w:val="008071F5"/>
    <w:rsid w:val="0080798B"/>
    <w:rsid w:val="00807AE5"/>
    <w:rsid w:val="00807E7B"/>
    <w:rsid w:val="008103C3"/>
    <w:rsid w:val="008108AC"/>
    <w:rsid w:val="008108CB"/>
    <w:rsid w:val="00810A73"/>
    <w:rsid w:val="00810BCB"/>
    <w:rsid w:val="00810F77"/>
    <w:rsid w:val="008111F0"/>
    <w:rsid w:val="008112AB"/>
    <w:rsid w:val="0081162D"/>
    <w:rsid w:val="00811771"/>
    <w:rsid w:val="0081177F"/>
    <w:rsid w:val="0081188C"/>
    <w:rsid w:val="00811E77"/>
    <w:rsid w:val="00811E9A"/>
    <w:rsid w:val="008123EE"/>
    <w:rsid w:val="00812570"/>
    <w:rsid w:val="008126BE"/>
    <w:rsid w:val="008129F3"/>
    <w:rsid w:val="00812B95"/>
    <w:rsid w:val="00812C15"/>
    <w:rsid w:val="00812DD2"/>
    <w:rsid w:val="00813111"/>
    <w:rsid w:val="008133E9"/>
    <w:rsid w:val="008134EC"/>
    <w:rsid w:val="0081394D"/>
    <w:rsid w:val="00813D38"/>
    <w:rsid w:val="00813EF1"/>
    <w:rsid w:val="008143D8"/>
    <w:rsid w:val="00814E17"/>
    <w:rsid w:val="00814F3A"/>
    <w:rsid w:val="00815E70"/>
    <w:rsid w:val="008160F0"/>
    <w:rsid w:val="008162AC"/>
    <w:rsid w:val="00816781"/>
    <w:rsid w:val="00816B6F"/>
    <w:rsid w:val="00816DB3"/>
    <w:rsid w:val="00817015"/>
    <w:rsid w:val="0081703A"/>
    <w:rsid w:val="00817154"/>
    <w:rsid w:val="008172B8"/>
    <w:rsid w:val="0081765B"/>
    <w:rsid w:val="00817A04"/>
    <w:rsid w:val="00817E9E"/>
    <w:rsid w:val="00820140"/>
    <w:rsid w:val="008204EF"/>
    <w:rsid w:val="0082066D"/>
    <w:rsid w:val="008207D4"/>
    <w:rsid w:val="00820DFA"/>
    <w:rsid w:val="00820F92"/>
    <w:rsid w:val="00821F3D"/>
    <w:rsid w:val="00822626"/>
    <w:rsid w:val="00822C57"/>
    <w:rsid w:val="008230C9"/>
    <w:rsid w:val="00823299"/>
    <w:rsid w:val="00823673"/>
    <w:rsid w:val="008236A1"/>
    <w:rsid w:val="00823A9D"/>
    <w:rsid w:val="00823FB8"/>
    <w:rsid w:val="0082419B"/>
    <w:rsid w:val="0082450C"/>
    <w:rsid w:val="00824939"/>
    <w:rsid w:val="00824A06"/>
    <w:rsid w:val="00824C50"/>
    <w:rsid w:val="00824D9D"/>
    <w:rsid w:val="008256E0"/>
    <w:rsid w:val="00825704"/>
    <w:rsid w:val="00825743"/>
    <w:rsid w:val="00825F02"/>
    <w:rsid w:val="008260BD"/>
    <w:rsid w:val="00826238"/>
    <w:rsid w:val="0082638A"/>
    <w:rsid w:val="008264EB"/>
    <w:rsid w:val="00826BEB"/>
    <w:rsid w:val="00827309"/>
    <w:rsid w:val="008273B7"/>
    <w:rsid w:val="00827470"/>
    <w:rsid w:val="0082776B"/>
    <w:rsid w:val="0082788A"/>
    <w:rsid w:val="00827A17"/>
    <w:rsid w:val="00827F65"/>
    <w:rsid w:val="00830160"/>
    <w:rsid w:val="0083051B"/>
    <w:rsid w:val="00830811"/>
    <w:rsid w:val="008309AF"/>
    <w:rsid w:val="00830C05"/>
    <w:rsid w:val="008310D9"/>
    <w:rsid w:val="00831390"/>
    <w:rsid w:val="00831583"/>
    <w:rsid w:val="0083165E"/>
    <w:rsid w:val="00831B79"/>
    <w:rsid w:val="00832045"/>
    <w:rsid w:val="0083232D"/>
    <w:rsid w:val="00832763"/>
    <w:rsid w:val="0083342A"/>
    <w:rsid w:val="00833B46"/>
    <w:rsid w:val="00833C60"/>
    <w:rsid w:val="00833C6E"/>
    <w:rsid w:val="00834100"/>
    <w:rsid w:val="008342B2"/>
    <w:rsid w:val="00834503"/>
    <w:rsid w:val="00834ADC"/>
    <w:rsid w:val="00834F50"/>
    <w:rsid w:val="00835456"/>
    <w:rsid w:val="00835764"/>
    <w:rsid w:val="00835B1A"/>
    <w:rsid w:val="00835C3B"/>
    <w:rsid w:val="00835D9F"/>
    <w:rsid w:val="00836120"/>
    <w:rsid w:val="00836388"/>
    <w:rsid w:val="00837097"/>
    <w:rsid w:val="00837815"/>
    <w:rsid w:val="00837924"/>
    <w:rsid w:val="00837D41"/>
    <w:rsid w:val="0084061A"/>
    <w:rsid w:val="00840B1E"/>
    <w:rsid w:val="00840C6F"/>
    <w:rsid w:val="008410EF"/>
    <w:rsid w:val="00841921"/>
    <w:rsid w:val="00841B4E"/>
    <w:rsid w:val="00841D33"/>
    <w:rsid w:val="00841E8C"/>
    <w:rsid w:val="008420C0"/>
    <w:rsid w:val="008423CD"/>
    <w:rsid w:val="00842463"/>
    <w:rsid w:val="00842862"/>
    <w:rsid w:val="00842A4F"/>
    <w:rsid w:val="008435C9"/>
    <w:rsid w:val="008435F7"/>
    <w:rsid w:val="0084368A"/>
    <w:rsid w:val="008437B3"/>
    <w:rsid w:val="0084395F"/>
    <w:rsid w:val="00843A5D"/>
    <w:rsid w:val="00843D1C"/>
    <w:rsid w:val="008452AC"/>
    <w:rsid w:val="008456F9"/>
    <w:rsid w:val="00845796"/>
    <w:rsid w:val="008459AA"/>
    <w:rsid w:val="00846294"/>
    <w:rsid w:val="00846C5A"/>
    <w:rsid w:val="00846E56"/>
    <w:rsid w:val="00846EBF"/>
    <w:rsid w:val="00847247"/>
    <w:rsid w:val="00847488"/>
    <w:rsid w:val="00847675"/>
    <w:rsid w:val="0084793A"/>
    <w:rsid w:val="00850734"/>
    <w:rsid w:val="00850AF2"/>
    <w:rsid w:val="00850E21"/>
    <w:rsid w:val="00851353"/>
    <w:rsid w:val="008515B6"/>
    <w:rsid w:val="008516C0"/>
    <w:rsid w:val="0085177D"/>
    <w:rsid w:val="008521D9"/>
    <w:rsid w:val="0085231C"/>
    <w:rsid w:val="00852470"/>
    <w:rsid w:val="0085248A"/>
    <w:rsid w:val="008526E3"/>
    <w:rsid w:val="00852A26"/>
    <w:rsid w:val="0085357E"/>
    <w:rsid w:val="0085379D"/>
    <w:rsid w:val="008538FD"/>
    <w:rsid w:val="008539BA"/>
    <w:rsid w:val="00853D82"/>
    <w:rsid w:val="00853EAB"/>
    <w:rsid w:val="00853F89"/>
    <w:rsid w:val="008545F9"/>
    <w:rsid w:val="00854834"/>
    <w:rsid w:val="00854A50"/>
    <w:rsid w:val="008552C6"/>
    <w:rsid w:val="0085559A"/>
    <w:rsid w:val="0085593C"/>
    <w:rsid w:val="00855EAE"/>
    <w:rsid w:val="00855FE5"/>
    <w:rsid w:val="0085616E"/>
    <w:rsid w:val="008561B0"/>
    <w:rsid w:val="008568E7"/>
    <w:rsid w:val="00856D0E"/>
    <w:rsid w:val="00856FC4"/>
    <w:rsid w:val="00857234"/>
    <w:rsid w:val="008572E4"/>
    <w:rsid w:val="00857754"/>
    <w:rsid w:val="00857893"/>
    <w:rsid w:val="008579B0"/>
    <w:rsid w:val="00857A32"/>
    <w:rsid w:val="00857BDF"/>
    <w:rsid w:val="00857DFE"/>
    <w:rsid w:val="0086028B"/>
    <w:rsid w:val="0086029E"/>
    <w:rsid w:val="008606E8"/>
    <w:rsid w:val="00860967"/>
    <w:rsid w:val="00860ACA"/>
    <w:rsid w:val="00861063"/>
    <w:rsid w:val="008611E1"/>
    <w:rsid w:val="0086134C"/>
    <w:rsid w:val="008614C3"/>
    <w:rsid w:val="0086173B"/>
    <w:rsid w:val="00861DAE"/>
    <w:rsid w:val="0086240A"/>
    <w:rsid w:val="00862652"/>
    <w:rsid w:val="00862DC2"/>
    <w:rsid w:val="00862EC7"/>
    <w:rsid w:val="00863EB5"/>
    <w:rsid w:val="0086422A"/>
    <w:rsid w:val="00864233"/>
    <w:rsid w:val="008646FE"/>
    <w:rsid w:val="008647FF"/>
    <w:rsid w:val="00865232"/>
    <w:rsid w:val="008652D6"/>
    <w:rsid w:val="008653C3"/>
    <w:rsid w:val="008655F9"/>
    <w:rsid w:val="00865620"/>
    <w:rsid w:val="0086562E"/>
    <w:rsid w:val="008660C0"/>
    <w:rsid w:val="00866167"/>
    <w:rsid w:val="00866306"/>
    <w:rsid w:val="00866994"/>
    <w:rsid w:val="00866BB3"/>
    <w:rsid w:val="00866C96"/>
    <w:rsid w:val="008670E5"/>
    <w:rsid w:val="008671B4"/>
    <w:rsid w:val="0086743C"/>
    <w:rsid w:val="00867B48"/>
    <w:rsid w:val="00867CC4"/>
    <w:rsid w:val="00867E04"/>
    <w:rsid w:val="00867E41"/>
    <w:rsid w:val="00870A5E"/>
    <w:rsid w:val="00870C31"/>
    <w:rsid w:val="00871411"/>
    <w:rsid w:val="008718AC"/>
    <w:rsid w:val="00871CA2"/>
    <w:rsid w:val="00871FAB"/>
    <w:rsid w:val="00872175"/>
    <w:rsid w:val="00872540"/>
    <w:rsid w:val="00872BBD"/>
    <w:rsid w:val="00872CDA"/>
    <w:rsid w:val="00873101"/>
    <w:rsid w:val="008736CB"/>
    <w:rsid w:val="00873835"/>
    <w:rsid w:val="00873E30"/>
    <w:rsid w:val="00874222"/>
    <w:rsid w:val="008745D9"/>
    <w:rsid w:val="008750D4"/>
    <w:rsid w:val="00875B90"/>
    <w:rsid w:val="00875D98"/>
    <w:rsid w:val="00875E48"/>
    <w:rsid w:val="0087668E"/>
    <w:rsid w:val="00876D06"/>
    <w:rsid w:val="00876D31"/>
    <w:rsid w:val="0087705D"/>
    <w:rsid w:val="008770DF"/>
    <w:rsid w:val="008775F2"/>
    <w:rsid w:val="0087765D"/>
    <w:rsid w:val="00877C64"/>
    <w:rsid w:val="00877F5F"/>
    <w:rsid w:val="00880178"/>
    <w:rsid w:val="00880466"/>
    <w:rsid w:val="008807B8"/>
    <w:rsid w:val="00880A8C"/>
    <w:rsid w:val="008810D4"/>
    <w:rsid w:val="00881394"/>
    <w:rsid w:val="00881532"/>
    <w:rsid w:val="0088157E"/>
    <w:rsid w:val="00881B7D"/>
    <w:rsid w:val="008820FF"/>
    <w:rsid w:val="0088222A"/>
    <w:rsid w:val="00882515"/>
    <w:rsid w:val="00882EE8"/>
    <w:rsid w:val="00883139"/>
    <w:rsid w:val="008833A3"/>
    <w:rsid w:val="00883DE8"/>
    <w:rsid w:val="008844A0"/>
    <w:rsid w:val="00884522"/>
    <w:rsid w:val="00884AF6"/>
    <w:rsid w:val="00884CCE"/>
    <w:rsid w:val="00885022"/>
    <w:rsid w:val="00885208"/>
    <w:rsid w:val="00885AEE"/>
    <w:rsid w:val="00885B35"/>
    <w:rsid w:val="00885DB4"/>
    <w:rsid w:val="00885E8E"/>
    <w:rsid w:val="008868B2"/>
    <w:rsid w:val="00886E5D"/>
    <w:rsid w:val="00887406"/>
    <w:rsid w:val="008876DA"/>
    <w:rsid w:val="00887848"/>
    <w:rsid w:val="00887DB8"/>
    <w:rsid w:val="00887E80"/>
    <w:rsid w:val="00890014"/>
    <w:rsid w:val="00890048"/>
    <w:rsid w:val="008902BF"/>
    <w:rsid w:val="00890920"/>
    <w:rsid w:val="00890C8B"/>
    <w:rsid w:val="00890FF2"/>
    <w:rsid w:val="0089125D"/>
    <w:rsid w:val="008912C3"/>
    <w:rsid w:val="008913C0"/>
    <w:rsid w:val="00891863"/>
    <w:rsid w:val="008919BC"/>
    <w:rsid w:val="00891EC0"/>
    <w:rsid w:val="00892135"/>
    <w:rsid w:val="008922C7"/>
    <w:rsid w:val="00892556"/>
    <w:rsid w:val="00892950"/>
    <w:rsid w:val="00893074"/>
    <w:rsid w:val="0089315C"/>
    <w:rsid w:val="00893242"/>
    <w:rsid w:val="008932A6"/>
    <w:rsid w:val="0089331C"/>
    <w:rsid w:val="0089395A"/>
    <w:rsid w:val="00893D3E"/>
    <w:rsid w:val="00893D9A"/>
    <w:rsid w:val="00893FA5"/>
    <w:rsid w:val="00894208"/>
    <w:rsid w:val="008944D3"/>
    <w:rsid w:val="008948B6"/>
    <w:rsid w:val="00894AB0"/>
    <w:rsid w:val="00894C15"/>
    <w:rsid w:val="00894C69"/>
    <w:rsid w:val="00894D7C"/>
    <w:rsid w:val="00894EDF"/>
    <w:rsid w:val="00895243"/>
    <w:rsid w:val="008958D6"/>
    <w:rsid w:val="00895CE3"/>
    <w:rsid w:val="00895F67"/>
    <w:rsid w:val="008963FA"/>
    <w:rsid w:val="00896BCD"/>
    <w:rsid w:val="008970B9"/>
    <w:rsid w:val="00897111"/>
    <w:rsid w:val="00897239"/>
    <w:rsid w:val="0089728A"/>
    <w:rsid w:val="008975A9"/>
    <w:rsid w:val="0089791F"/>
    <w:rsid w:val="00897A09"/>
    <w:rsid w:val="00897EBD"/>
    <w:rsid w:val="00897F3D"/>
    <w:rsid w:val="008A00F0"/>
    <w:rsid w:val="008A02EC"/>
    <w:rsid w:val="008A0407"/>
    <w:rsid w:val="008A04D6"/>
    <w:rsid w:val="008A052C"/>
    <w:rsid w:val="008A05B8"/>
    <w:rsid w:val="008A06C4"/>
    <w:rsid w:val="008A06D6"/>
    <w:rsid w:val="008A0BC2"/>
    <w:rsid w:val="008A0E18"/>
    <w:rsid w:val="008A0E33"/>
    <w:rsid w:val="008A0F8D"/>
    <w:rsid w:val="008A13AB"/>
    <w:rsid w:val="008A1730"/>
    <w:rsid w:val="008A1DDC"/>
    <w:rsid w:val="008A1F19"/>
    <w:rsid w:val="008A211C"/>
    <w:rsid w:val="008A244F"/>
    <w:rsid w:val="008A29F5"/>
    <w:rsid w:val="008A2C6F"/>
    <w:rsid w:val="008A34CC"/>
    <w:rsid w:val="008A34DC"/>
    <w:rsid w:val="008A36A4"/>
    <w:rsid w:val="008A375C"/>
    <w:rsid w:val="008A38B0"/>
    <w:rsid w:val="008A3E3C"/>
    <w:rsid w:val="008A405A"/>
    <w:rsid w:val="008A40DC"/>
    <w:rsid w:val="008A44F4"/>
    <w:rsid w:val="008A44FF"/>
    <w:rsid w:val="008A483F"/>
    <w:rsid w:val="008A49F1"/>
    <w:rsid w:val="008A4B64"/>
    <w:rsid w:val="008A52D0"/>
    <w:rsid w:val="008A53FA"/>
    <w:rsid w:val="008A58E8"/>
    <w:rsid w:val="008A5B18"/>
    <w:rsid w:val="008A5B2F"/>
    <w:rsid w:val="008A632E"/>
    <w:rsid w:val="008A64FC"/>
    <w:rsid w:val="008A6F0F"/>
    <w:rsid w:val="008A6FE6"/>
    <w:rsid w:val="008A7491"/>
    <w:rsid w:val="008A7861"/>
    <w:rsid w:val="008A786B"/>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5EE"/>
    <w:rsid w:val="008B2893"/>
    <w:rsid w:val="008B29D9"/>
    <w:rsid w:val="008B29DE"/>
    <w:rsid w:val="008B2F97"/>
    <w:rsid w:val="008B3608"/>
    <w:rsid w:val="008B3E5E"/>
    <w:rsid w:val="008B3F3E"/>
    <w:rsid w:val="008B42C2"/>
    <w:rsid w:val="008B45AD"/>
    <w:rsid w:val="008B4C7C"/>
    <w:rsid w:val="008B4CF1"/>
    <w:rsid w:val="008B536D"/>
    <w:rsid w:val="008B541E"/>
    <w:rsid w:val="008B551F"/>
    <w:rsid w:val="008B55DB"/>
    <w:rsid w:val="008B5A18"/>
    <w:rsid w:val="008B5D2F"/>
    <w:rsid w:val="008B5FBB"/>
    <w:rsid w:val="008B6081"/>
    <w:rsid w:val="008B6122"/>
    <w:rsid w:val="008B65C3"/>
    <w:rsid w:val="008B6662"/>
    <w:rsid w:val="008B6699"/>
    <w:rsid w:val="008B669A"/>
    <w:rsid w:val="008B688D"/>
    <w:rsid w:val="008B6DDB"/>
    <w:rsid w:val="008B6E11"/>
    <w:rsid w:val="008B77B8"/>
    <w:rsid w:val="008B7D64"/>
    <w:rsid w:val="008B7ECE"/>
    <w:rsid w:val="008B7F44"/>
    <w:rsid w:val="008C03EE"/>
    <w:rsid w:val="008C046E"/>
    <w:rsid w:val="008C08B4"/>
    <w:rsid w:val="008C0AE3"/>
    <w:rsid w:val="008C0BCB"/>
    <w:rsid w:val="008C0D51"/>
    <w:rsid w:val="008C0D7A"/>
    <w:rsid w:val="008C0F2C"/>
    <w:rsid w:val="008C116B"/>
    <w:rsid w:val="008C128E"/>
    <w:rsid w:val="008C1762"/>
    <w:rsid w:val="008C19D9"/>
    <w:rsid w:val="008C1BA6"/>
    <w:rsid w:val="008C1C68"/>
    <w:rsid w:val="008C2008"/>
    <w:rsid w:val="008C2413"/>
    <w:rsid w:val="008C24EF"/>
    <w:rsid w:val="008C28AB"/>
    <w:rsid w:val="008C298B"/>
    <w:rsid w:val="008C2D18"/>
    <w:rsid w:val="008C326E"/>
    <w:rsid w:val="008C33FB"/>
    <w:rsid w:val="008C36EA"/>
    <w:rsid w:val="008C3743"/>
    <w:rsid w:val="008C3BF2"/>
    <w:rsid w:val="008C4098"/>
    <w:rsid w:val="008C455F"/>
    <w:rsid w:val="008C4A9E"/>
    <w:rsid w:val="008C4FD0"/>
    <w:rsid w:val="008C51CF"/>
    <w:rsid w:val="008C5AC7"/>
    <w:rsid w:val="008C5D2C"/>
    <w:rsid w:val="008C6042"/>
    <w:rsid w:val="008C7145"/>
    <w:rsid w:val="008C7391"/>
    <w:rsid w:val="008C787F"/>
    <w:rsid w:val="008C7A6C"/>
    <w:rsid w:val="008D017F"/>
    <w:rsid w:val="008D02FF"/>
    <w:rsid w:val="008D0497"/>
    <w:rsid w:val="008D0600"/>
    <w:rsid w:val="008D0840"/>
    <w:rsid w:val="008D0B7C"/>
    <w:rsid w:val="008D1C6A"/>
    <w:rsid w:val="008D2338"/>
    <w:rsid w:val="008D2A6E"/>
    <w:rsid w:val="008D34CC"/>
    <w:rsid w:val="008D3574"/>
    <w:rsid w:val="008D35CA"/>
    <w:rsid w:val="008D3CEE"/>
    <w:rsid w:val="008D46CB"/>
    <w:rsid w:val="008D4952"/>
    <w:rsid w:val="008D5138"/>
    <w:rsid w:val="008D58AE"/>
    <w:rsid w:val="008D5E8C"/>
    <w:rsid w:val="008D61D2"/>
    <w:rsid w:val="008D6292"/>
    <w:rsid w:val="008D62E8"/>
    <w:rsid w:val="008D6D51"/>
    <w:rsid w:val="008D6EB1"/>
    <w:rsid w:val="008D7053"/>
    <w:rsid w:val="008D7291"/>
    <w:rsid w:val="008D72D9"/>
    <w:rsid w:val="008D72E1"/>
    <w:rsid w:val="008D7374"/>
    <w:rsid w:val="008D76D5"/>
    <w:rsid w:val="008D7DD0"/>
    <w:rsid w:val="008D7FEC"/>
    <w:rsid w:val="008E001E"/>
    <w:rsid w:val="008E03EF"/>
    <w:rsid w:val="008E0607"/>
    <w:rsid w:val="008E07B0"/>
    <w:rsid w:val="008E0DBE"/>
    <w:rsid w:val="008E103B"/>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BB3"/>
    <w:rsid w:val="008E5CD4"/>
    <w:rsid w:val="008E5F3E"/>
    <w:rsid w:val="008E6265"/>
    <w:rsid w:val="008E6267"/>
    <w:rsid w:val="008E68CF"/>
    <w:rsid w:val="008E6A0A"/>
    <w:rsid w:val="008E7191"/>
    <w:rsid w:val="008E7991"/>
    <w:rsid w:val="008E7B76"/>
    <w:rsid w:val="008E7F61"/>
    <w:rsid w:val="008F0798"/>
    <w:rsid w:val="008F08FD"/>
    <w:rsid w:val="008F0A08"/>
    <w:rsid w:val="008F0C06"/>
    <w:rsid w:val="008F0DC7"/>
    <w:rsid w:val="008F11F6"/>
    <w:rsid w:val="008F1496"/>
    <w:rsid w:val="008F14D5"/>
    <w:rsid w:val="008F1566"/>
    <w:rsid w:val="008F16FA"/>
    <w:rsid w:val="008F1943"/>
    <w:rsid w:val="008F1E71"/>
    <w:rsid w:val="008F20B2"/>
    <w:rsid w:val="008F2250"/>
    <w:rsid w:val="008F22C9"/>
    <w:rsid w:val="008F2607"/>
    <w:rsid w:val="008F2B47"/>
    <w:rsid w:val="008F2D32"/>
    <w:rsid w:val="008F2EA0"/>
    <w:rsid w:val="008F30CB"/>
    <w:rsid w:val="008F3622"/>
    <w:rsid w:val="008F3899"/>
    <w:rsid w:val="008F38FF"/>
    <w:rsid w:val="008F39AA"/>
    <w:rsid w:val="008F3C59"/>
    <w:rsid w:val="008F3E9A"/>
    <w:rsid w:val="008F3EBA"/>
    <w:rsid w:val="008F42DA"/>
    <w:rsid w:val="008F4324"/>
    <w:rsid w:val="008F433B"/>
    <w:rsid w:val="008F4513"/>
    <w:rsid w:val="008F4922"/>
    <w:rsid w:val="008F4ADC"/>
    <w:rsid w:val="008F4BB8"/>
    <w:rsid w:val="008F4ED8"/>
    <w:rsid w:val="008F50EA"/>
    <w:rsid w:val="008F5442"/>
    <w:rsid w:val="008F549A"/>
    <w:rsid w:val="008F54ED"/>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301"/>
    <w:rsid w:val="009005A3"/>
    <w:rsid w:val="009009D6"/>
    <w:rsid w:val="00900C3D"/>
    <w:rsid w:val="00900CAA"/>
    <w:rsid w:val="00900FFF"/>
    <w:rsid w:val="00901200"/>
    <w:rsid w:val="0090134E"/>
    <w:rsid w:val="00901393"/>
    <w:rsid w:val="009014BD"/>
    <w:rsid w:val="00901615"/>
    <w:rsid w:val="00901834"/>
    <w:rsid w:val="00901C58"/>
    <w:rsid w:val="00902294"/>
    <w:rsid w:val="00902F56"/>
    <w:rsid w:val="00903244"/>
    <w:rsid w:val="00903596"/>
    <w:rsid w:val="009035E7"/>
    <w:rsid w:val="00903645"/>
    <w:rsid w:val="009038F8"/>
    <w:rsid w:val="00903DAF"/>
    <w:rsid w:val="009046EA"/>
    <w:rsid w:val="00904CF1"/>
    <w:rsid w:val="00904F41"/>
    <w:rsid w:val="00904F4C"/>
    <w:rsid w:val="009051BC"/>
    <w:rsid w:val="00905497"/>
    <w:rsid w:val="0090552A"/>
    <w:rsid w:val="00905636"/>
    <w:rsid w:val="0090592F"/>
    <w:rsid w:val="00905988"/>
    <w:rsid w:val="00905EE9"/>
    <w:rsid w:val="0090625F"/>
    <w:rsid w:val="00906D23"/>
    <w:rsid w:val="00907051"/>
    <w:rsid w:val="00907132"/>
    <w:rsid w:val="00907139"/>
    <w:rsid w:val="009071D7"/>
    <w:rsid w:val="00907A8F"/>
    <w:rsid w:val="00907E3E"/>
    <w:rsid w:val="00907E8A"/>
    <w:rsid w:val="00910101"/>
    <w:rsid w:val="009105CD"/>
    <w:rsid w:val="0091086B"/>
    <w:rsid w:val="00910D5A"/>
    <w:rsid w:val="00910E7D"/>
    <w:rsid w:val="009110CF"/>
    <w:rsid w:val="00911118"/>
    <w:rsid w:val="00911182"/>
    <w:rsid w:val="0091122E"/>
    <w:rsid w:val="0091170C"/>
    <w:rsid w:val="009118B8"/>
    <w:rsid w:val="009127CD"/>
    <w:rsid w:val="00912954"/>
    <w:rsid w:val="00912EB3"/>
    <w:rsid w:val="00912FF5"/>
    <w:rsid w:val="00913160"/>
    <w:rsid w:val="009134EC"/>
    <w:rsid w:val="00913704"/>
    <w:rsid w:val="009137F0"/>
    <w:rsid w:val="00913B3A"/>
    <w:rsid w:val="00913EA8"/>
    <w:rsid w:val="009142EC"/>
    <w:rsid w:val="00914BE2"/>
    <w:rsid w:val="009155BF"/>
    <w:rsid w:val="009155EC"/>
    <w:rsid w:val="009158AD"/>
    <w:rsid w:val="009161FF"/>
    <w:rsid w:val="009164DA"/>
    <w:rsid w:val="0091654B"/>
    <w:rsid w:val="00916915"/>
    <w:rsid w:val="00916D6A"/>
    <w:rsid w:val="00916FCF"/>
    <w:rsid w:val="009175F7"/>
    <w:rsid w:val="00917760"/>
    <w:rsid w:val="00917F34"/>
    <w:rsid w:val="009200D8"/>
    <w:rsid w:val="009205CE"/>
    <w:rsid w:val="0092066E"/>
    <w:rsid w:val="00921343"/>
    <w:rsid w:val="009217B9"/>
    <w:rsid w:val="00921824"/>
    <w:rsid w:val="00921F88"/>
    <w:rsid w:val="009220D3"/>
    <w:rsid w:val="00922202"/>
    <w:rsid w:val="00922235"/>
    <w:rsid w:val="00922481"/>
    <w:rsid w:val="00922850"/>
    <w:rsid w:val="009233CD"/>
    <w:rsid w:val="00923829"/>
    <w:rsid w:val="009238AF"/>
    <w:rsid w:val="00923912"/>
    <w:rsid w:val="009242F5"/>
    <w:rsid w:val="0092472A"/>
    <w:rsid w:val="00924DFC"/>
    <w:rsid w:val="00924EDD"/>
    <w:rsid w:val="00925406"/>
    <w:rsid w:val="009255F9"/>
    <w:rsid w:val="00925674"/>
    <w:rsid w:val="009257E1"/>
    <w:rsid w:val="00925FBD"/>
    <w:rsid w:val="009269B5"/>
    <w:rsid w:val="00926B4D"/>
    <w:rsid w:val="009272A7"/>
    <w:rsid w:val="00927503"/>
    <w:rsid w:val="00927C34"/>
    <w:rsid w:val="0093052A"/>
    <w:rsid w:val="009305F8"/>
    <w:rsid w:val="009308F6"/>
    <w:rsid w:val="00930DE8"/>
    <w:rsid w:val="00931038"/>
    <w:rsid w:val="009310C2"/>
    <w:rsid w:val="0093192A"/>
    <w:rsid w:val="00931BC4"/>
    <w:rsid w:val="00931C7B"/>
    <w:rsid w:val="009321E7"/>
    <w:rsid w:val="0093226C"/>
    <w:rsid w:val="009322D4"/>
    <w:rsid w:val="009326A2"/>
    <w:rsid w:val="0093297B"/>
    <w:rsid w:val="00932A5A"/>
    <w:rsid w:val="00932F30"/>
    <w:rsid w:val="00933472"/>
    <w:rsid w:val="0093355A"/>
    <w:rsid w:val="009335F1"/>
    <w:rsid w:val="00934174"/>
    <w:rsid w:val="009341EF"/>
    <w:rsid w:val="00934653"/>
    <w:rsid w:val="009347B1"/>
    <w:rsid w:val="00934DB0"/>
    <w:rsid w:val="0093605E"/>
    <w:rsid w:val="009360B8"/>
    <w:rsid w:val="00936307"/>
    <w:rsid w:val="0093644A"/>
    <w:rsid w:val="009365B4"/>
    <w:rsid w:val="00937252"/>
    <w:rsid w:val="0093778C"/>
    <w:rsid w:val="00937B33"/>
    <w:rsid w:val="00937FB9"/>
    <w:rsid w:val="00940015"/>
    <w:rsid w:val="009408F1"/>
    <w:rsid w:val="00940ABC"/>
    <w:rsid w:val="00940EF6"/>
    <w:rsid w:val="009413D0"/>
    <w:rsid w:val="00941426"/>
    <w:rsid w:val="009417E3"/>
    <w:rsid w:val="00942053"/>
    <w:rsid w:val="0094217C"/>
    <w:rsid w:val="009429BF"/>
    <w:rsid w:val="00942A79"/>
    <w:rsid w:val="009435BC"/>
    <w:rsid w:val="00943BED"/>
    <w:rsid w:val="00943C17"/>
    <w:rsid w:val="00943C8C"/>
    <w:rsid w:val="00943E9E"/>
    <w:rsid w:val="00944088"/>
    <w:rsid w:val="00944751"/>
    <w:rsid w:val="00944A96"/>
    <w:rsid w:val="00945135"/>
    <w:rsid w:val="0094552C"/>
    <w:rsid w:val="0094572E"/>
    <w:rsid w:val="00945779"/>
    <w:rsid w:val="00946729"/>
    <w:rsid w:val="0094685C"/>
    <w:rsid w:val="00946C72"/>
    <w:rsid w:val="00947730"/>
    <w:rsid w:val="009479F0"/>
    <w:rsid w:val="00947AC7"/>
    <w:rsid w:val="00950498"/>
    <w:rsid w:val="009504A6"/>
    <w:rsid w:val="009506A4"/>
    <w:rsid w:val="009506CB"/>
    <w:rsid w:val="00950CB3"/>
    <w:rsid w:val="00950F46"/>
    <w:rsid w:val="00951448"/>
    <w:rsid w:val="00951795"/>
    <w:rsid w:val="00952FAE"/>
    <w:rsid w:val="00953116"/>
    <w:rsid w:val="009534EE"/>
    <w:rsid w:val="00953E54"/>
    <w:rsid w:val="009540AA"/>
    <w:rsid w:val="0095439D"/>
    <w:rsid w:val="00955AB2"/>
    <w:rsid w:val="00956FDC"/>
    <w:rsid w:val="009574FF"/>
    <w:rsid w:val="0095761B"/>
    <w:rsid w:val="0095796D"/>
    <w:rsid w:val="00957A61"/>
    <w:rsid w:val="00957B31"/>
    <w:rsid w:val="00957F67"/>
    <w:rsid w:val="0096034E"/>
    <w:rsid w:val="00960863"/>
    <w:rsid w:val="00960B01"/>
    <w:rsid w:val="00960B35"/>
    <w:rsid w:val="00960BFE"/>
    <w:rsid w:val="009612C7"/>
    <w:rsid w:val="009614F2"/>
    <w:rsid w:val="00961902"/>
    <w:rsid w:val="00961932"/>
    <w:rsid w:val="00961C3B"/>
    <w:rsid w:val="00962023"/>
    <w:rsid w:val="009620AE"/>
    <w:rsid w:val="00962257"/>
    <w:rsid w:val="00962961"/>
    <w:rsid w:val="00962D55"/>
    <w:rsid w:val="00962FC0"/>
    <w:rsid w:val="0096332E"/>
    <w:rsid w:val="0096360D"/>
    <w:rsid w:val="009636AB"/>
    <w:rsid w:val="00963F67"/>
    <w:rsid w:val="0096427B"/>
    <w:rsid w:val="00964511"/>
    <w:rsid w:val="00964C1D"/>
    <w:rsid w:val="0096502B"/>
    <w:rsid w:val="00965068"/>
    <w:rsid w:val="00965108"/>
    <w:rsid w:val="0096579B"/>
    <w:rsid w:val="009657FD"/>
    <w:rsid w:val="00965AE3"/>
    <w:rsid w:val="00965B18"/>
    <w:rsid w:val="009662CD"/>
    <w:rsid w:val="0096680A"/>
    <w:rsid w:val="00966933"/>
    <w:rsid w:val="00966D11"/>
    <w:rsid w:val="00966E90"/>
    <w:rsid w:val="0096700A"/>
    <w:rsid w:val="00967631"/>
    <w:rsid w:val="00967721"/>
    <w:rsid w:val="00967B0F"/>
    <w:rsid w:val="00967B4E"/>
    <w:rsid w:val="00967D1B"/>
    <w:rsid w:val="00967D88"/>
    <w:rsid w:val="0097029A"/>
    <w:rsid w:val="009703D4"/>
    <w:rsid w:val="009703DB"/>
    <w:rsid w:val="00970E93"/>
    <w:rsid w:val="00970F72"/>
    <w:rsid w:val="009715FD"/>
    <w:rsid w:val="00971680"/>
    <w:rsid w:val="009716BE"/>
    <w:rsid w:val="00971AB4"/>
    <w:rsid w:val="00971BF6"/>
    <w:rsid w:val="00971E13"/>
    <w:rsid w:val="00971E41"/>
    <w:rsid w:val="00971ED5"/>
    <w:rsid w:val="00971F96"/>
    <w:rsid w:val="00972080"/>
    <w:rsid w:val="009721EC"/>
    <w:rsid w:val="0097248F"/>
    <w:rsid w:val="009724E3"/>
    <w:rsid w:val="009726BB"/>
    <w:rsid w:val="00972772"/>
    <w:rsid w:val="009734E5"/>
    <w:rsid w:val="00973664"/>
    <w:rsid w:val="00973740"/>
    <w:rsid w:val="00974038"/>
    <w:rsid w:val="009740C5"/>
    <w:rsid w:val="00974127"/>
    <w:rsid w:val="009742DE"/>
    <w:rsid w:val="00974531"/>
    <w:rsid w:val="009760D6"/>
    <w:rsid w:val="009764CB"/>
    <w:rsid w:val="009764F3"/>
    <w:rsid w:val="0097658B"/>
    <w:rsid w:val="00976627"/>
    <w:rsid w:val="00977136"/>
    <w:rsid w:val="0097771D"/>
    <w:rsid w:val="009778EA"/>
    <w:rsid w:val="00977D13"/>
    <w:rsid w:val="00977EF3"/>
    <w:rsid w:val="00980110"/>
    <w:rsid w:val="0098021F"/>
    <w:rsid w:val="00981051"/>
    <w:rsid w:val="0098198A"/>
    <w:rsid w:val="009820C0"/>
    <w:rsid w:val="0098238F"/>
    <w:rsid w:val="0098283C"/>
    <w:rsid w:val="00982F39"/>
    <w:rsid w:val="0098301E"/>
    <w:rsid w:val="0098307F"/>
    <w:rsid w:val="00983360"/>
    <w:rsid w:val="009834B1"/>
    <w:rsid w:val="00983653"/>
    <w:rsid w:val="009837DB"/>
    <w:rsid w:val="00983A13"/>
    <w:rsid w:val="00983D4B"/>
    <w:rsid w:val="00983ED8"/>
    <w:rsid w:val="00984488"/>
    <w:rsid w:val="00984BFF"/>
    <w:rsid w:val="00984F36"/>
    <w:rsid w:val="009853E8"/>
    <w:rsid w:val="00985605"/>
    <w:rsid w:val="009857BD"/>
    <w:rsid w:val="00985A75"/>
    <w:rsid w:val="00985B0D"/>
    <w:rsid w:val="00985B35"/>
    <w:rsid w:val="00985B5E"/>
    <w:rsid w:val="00985B77"/>
    <w:rsid w:val="00985BB3"/>
    <w:rsid w:val="00985BE6"/>
    <w:rsid w:val="00985CF0"/>
    <w:rsid w:val="00986533"/>
    <w:rsid w:val="009868EE"/>
    <w:rsid w:val="00986C5C"/>
    <w:rsid w:val="00986D14"/>
    <w:rsid w:val="00987088"/>
    <w:rsid w:val="00987161"/>
    <w:rsid w:val="0098724E"/>
    <w:rsid w:val="00987EF5"/>
    <w:rsid w:val="009901D8"/>
    <w:rsid w:val="009904A3"/>
    <w:rsid w:val="00990889"/>
    <w:rsid w:val="00990C93"/>
    <w:rsid w:val="009910BF"/>
    <w:rsid w:val="009910C7"/>
    <w:rsid w:val="00991408"/>
    <w:rsid w:val="00991750"/>
    <w:rsid w:val="009919D3"/>
    <w:rsid w:val="00991A47"/>
    <w:rsid w:val="00991A6C"/>
    <w:rsid w:val="00991D7B"/>
    <w:rsid w:val="009922D4"/>
    <w:rsid w:val="00992909"/>
    <w:rsid w:val="00992D0F"/>
    <w:rsid w:val="00992E2B"/>
    <w:rsid w:val="0099326B"/>
    <w:rsid w:val="00993709"/>
    <w:rsid w:val="00993E97"/>
    <w:rsid w:val="00994373"/>
    <w:rsid w:val="00994589"/>
    <w:rsid w:val="009946FA"/>
    <w:rsid w:val="00994C65"/>
    <w:rsid w:val="009952E7"/>
    <w:rsid w:val="009958D9"/>
    <w:rsid w:val="00995BA2"/>
    <w:rsid w:val="00995D3F"/>
    <w:rsid w:val="00996134"/>
    <w:rsid w:val="00997585"/>
    <w:rsid w:val="00997830"/>
    <w:rsid w:val="009A0299"/>
    <w:rsid w:val="009A032C"/>
    <w:rsid w:val="009A07C4"/>
    <w:rsid w:val="009A08AF"/>
    <w:rsid w:val="009A0DC4"/>
    <w:rsid w:val="009A0F68"/>
    <w:rsid w:val="009A111E"/>
    <w:rsid w:val="009A1784"/>
    <w:rsid w:val="009A1898"/>
    <w:rsid w:val="009A19F6"/>
    <w:rsid w:val="009A1BED"/>
    <w:rsid w:val="009A1F17"/>
    <w:rsid w:val="009A211B"/>
    <w:rsid w:val="009A23CD"/>
    <w:rsid w:val="009A2569"/>
    <w:rsid w:val="009A29A8"/>
    <w:rsid w:val="009A2A53"/>
    <w:rsid w:val="009A2F01"/>
    <w:rsid w:val="009A3684"/>
    <w:rsid w:val="009A3DFA"/>
    <w:rsid w:val="009A44BC"/>
    <w:rsid w:val="009A462B"/>
    <w:rsid w:val="009A551C"/>
    <w:rsid w:val="009A59E5"/>
    <w:rsid w:val="009A5A94"/>
    <w:rsid w:val="009A5E50"/>
    <w:rsid w:val="009A5FC9"/>
    <w:rsid w:val="009A622D"/>
    <w:rsid w:val="009A6492"/>
    <w:rsid w:val="009A652A"/>
    <w:rsid w:val="009A721A"/>
    <w:rsid w:val="009A7351"/>
    <w:rsid w:val="009A73B2"/>
    <w:rsid w:val="009A7BA2"/>
    <w:rsid w:val="009A7ED6"/>
    <w:rsid w:val="009B00B6"/>
    <w:rsid w:val="009B04B4"/>
    <w:rsid w:val="009B06F1"/>
    <w:rsid w:val="009B08ED"/>
    <w:rsid w:val="009B0EBB"/>
    <w:rsid w:val="009B156A"/>
    <w:rsid w:val="009B187F"/>
    <w:rsid w:val="009B2151"/>
    <w:rsid w:val="009B23CC"/>
    <w:rsid w:val="009B2978"/>
    <w:rsid w:val="009B2C53"/>
    <w:rsid w:val="009B2EDA"/>
    <w:rsid w:val="009B3221"/>
    <w:rsid w:val="009B34F1"/>
    <w:rsid w:val="009B3678"/>
    <w:rsid w:val="009B3C70"/>
    <w:rsid w:val="009B3CFB"/>
    <w:rsid w:val="009B4155"/>
    <w:rsid w:val="009B4240"/>
    <w:rsid w:val="009B4B96"/>
    <w:rsid w:val="009B4F6A"/>
    <w:rsid w:val="009B5010"/>
    <w:rsid w:val="009B54FC"/>
    <w:rsid w:val="009B5597"/>
    <w:rsid w:val="009B5671"/>
    <w:rsid w:val="009B5C97"/>
    <w:rsid w:val="009B61F0"/>
    <w:rsid w:val="009B624A"/>
    <w:rsid w:val="009B63F5"/>
    <w:rsid w:val="009B67AF"/>
    <w:rsid w:val="009B68E5"/>
    <w:rsid w:val="009B6D5B"/>
    <w:rsid w:val="009B73FD"/>
    <w:rsid w:val="009B7443"/>
    <w:rsid w:val="009B7570"/>
    <w:rsid w:val="009B75CF"/>
    <w:rsid w:val="009B7EC9"/>
    <w:rsid w:val="009B7FA7"/>
    <w:rsid w:val="009C000E"/>
    <w:rsid w:val="009C0238"/>
    <w:rsid w:val="009C02D2"/>
    <w:rsid w:val="009C10DF"/>
    <w:rsid w:val="009C12A1"/>
    <w:rsid w:val="009C12BB"/>
    <w:rsid w:val="009C153E"/>
    <w:rsid w:val="009C162C"/>
    <w:rsid w:val="009C18A5"/>
    <w:rsid w:val="009C18D2"/>
    <w:rsid w:val="009C1E32"/>
    <w:rsid w:val="009C3008"/>
    <w:rsid w:val="009C3086"/>
    <w:rsid w:val="009C3327"/>
    <w:rsid w:val="009C34E7"/>
    <w:rsid w:val="009C3542"/>
    <w:rsid w:val="009C3593"/>
    <w:rsid w:val="009C3C7C"/>
    <w:rsid w:val="009C4001"/>
    <w:rsid w:val="009C496B"/>
    <w:rsid w:val="009C5253"/>
    <w:rsid w:val="009C5391"/>
    <w:rsid w:val="009C5628"/>
    <w:rsid w:val="009C5B4E"/>
    <w:rsid w:val="009C5D84"/>
    <w:rsid w:val="009C5E3E"/>
    <w:rsid w:val="009C5E85"/>
    <w:rsid w:val="009C60B4"/>
    <w:rsid w:val="009C62F9"/>
    <w:rsid w:val="009C649A"/>
    <w:rsid w:val="009C656C"/>
    <w:rsid w:val="009C6D04"/>
    <w:rsid w:val="009C6E7F"/>
    <w:rsid w:val="009C78B5"/>
    <w:rsid w:val="009D0083"/>
    <w:rsid w:val="009D0746"/>
    <w:rsid w:val="009D0EED"/>
    <w:rsid w:val="009D1068"/>
    <w:rsid w:val="009D10FE"/>
    <w:rsid w:val="009D11A6"/>
    <w:rsid w:val="009D1218"/>
    <w:rsid w:val="009D12E4"/>
    <w:rsid w:val="009D1361"/>
    <w:rsid w:val="009D15C6"/>
    <w:rsid w:val="009D183C"/>
    <w:rsid w:val="009D1954"/>
    <w:rsid w:val="009D1B6B"/>
    <w:rsid w:val="009D2BFA"/>
    <w:rsid w:val="009D2E19"/>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457"/>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19E3"/>
    <w:rsid w:val="009E25A0"/>
    <w:rsid w:val="009E2932"/>
    <w:rsid w:val="009E30D5"/>
    <w:rsid w:val="009E35EC"/>
    <w:rsid w:val="009E366F"/>
    <w:rsid w:val="009E3C17"/>
    <w:rsid w:val="009E3ED1"/>
    <w:rsid w:val="009E3FBA"/>
    <w:rsid w:val="009E4028"/>
    <w:rsid w:val="009E427D"/>
    <w:rsid w:val="009E44AC"/>
    <w:rsid w:val="009E4B27"/>
    <w:rsid w:val="009E4B8A"/>
    <w:rsid w:val="009E5372"/>
    <w:rsid w:val="009E5545"/>
    <w:rsid w:val="009E55D9"/>
    <w:rsid w:val="009E55F6"/>
    <w:rsid w:val="009E561B"/>
    <w:rsid w:val="009E6AF3"/>
    <w:rsid w:val="009E6D9B"/>
    <w:rsid w:val="009E6EBD"/>
    <w:rsid w:val="009E76CF"/>
    <w:rsid w:val="009E7880"/>
    <w:rsid w:val="009E7D8A"/>
    <w:rsid w:val="009E7F63"/>
    <w:rsid w:val="009E7F9C"/>
    <w:rsid w:val="009F0534"/>
    <w:rsid w:val="009F095A"/>
    <w:rsid w:val="009F0E7A"/>
    <w:rsid w:val="009F0EAD"/>
    <w:rsid w:val="009F1655"/>
    <w:rsid w:val="009F1CB0"/>
    <w:rsid w:val="009F1DE3"/>
    <w:rsid w:val="009F1FF2"/>
    <w:rsid w:val="009F221A"/>
    <w:rsid w:val="009F2271"/>
    <w:rsid w:val="009F2552"/>
    <w:rsid w:val="009F29CF"/>
    <w:rsid w:val="009F2CE1"/>
    <w:rsid w:val="009F3AE9"/>
    <w:rsid w:val="009F3C66"/>
    <w:rsid w:val="009F3E42"/>
    <w:rsid w:val="009F3E64"/>
    <w:rsid w:val="009F405F"/>
    <w:rsid w:val="009F40E4"/>
    <w:rsid w:val="009F4251"/>
    <w:rsid w:val="009F4433"/>
    <w:rsid w:val="009F47A9"/>
    <w:rsid w:val="009F4B18"/>
    <w:rsid w:val="009F50FB"/>
    <w:rsid w:val="009F58AC"/>
    <w:rsid w:val="009F590D"/>
    <w:rsid w:val="009F5973"/>
    <w:rsid w:val="009F5C9B"/>
    <w:rsid w:val="009F6A4E"/>
    <w:rsid w:val="009F6AD3"/>
    <w:rsid w:val="009F6BCE"/>
    <w:rsid w:val="009F6C00"/>
    <w:rsid w:val="009F6DBF"/>
    <w:rsid w:val="009F6F48"/>
    <w:rsid w:val="009F6FE8"/>
    <w:rsid w:val="009F7827"/>
    <w:rsid w:val="009F7F00"/>
    <w:rsid w:val="00A00387"/>
    <w:rsid w:val="00A00450"/>
    <w:rsid w:val="00A0079A"/>
    <w:rsid w:val="00A00EED"/>
    <w:rsid w:val="00A016BD"/>
    <w:rsid w:val="00A01753"/>
    <w:rsid w:val="00A02134"/>
    <w:rsid w:val="00A02563"/>
    <w:rsid w:val="00A02737"/>
    <w:rsid w:val="00A0282E"/>
    <w:rsid w:val="00A03039"/>
    <w:rsid w:val="00A03369"/>
    <w:rsid w:val="00A036E6"/>
    <w:rsid w:val="00A03CFE"/>
    <w:rsid w:val="00A04635"/>
    <w:rsid w:val="00A04C0D"/>
    <w:rsid w:val="00A04DC0"/>
    <w:rsid w:val="00A054C8"/>
    <w:rsid w:val="00A05C35"/>
    <w:rsid w:val="00A05C88"/>
    <w:rsid w:val="00A05D87"/>
    <w:rsid w:val="00A05FEF"/>
    <w:rsid w:val="00A060E2"/>
    <w:rsid w:val="00A063CD"/>
    <w:rsid w:val="00A06759"/>
    <w:rsid w:val="00A0698E"/>
    <w:rsid w:val="00A06ABB"/>
    <w:rsid w:val="00A06BD9"/>
    <w:rsid w:val="00A06DDF"/>
    <w:rsid w:val="00A06ED0"/>
    <w:rsid w:val="00A0716B"/>
    <w:rsid w:val="00A07547"/>
    <w:rsid w:val="00A07684"/>
    <w:rsid w:val="00A07AFD"/>
    <w:rsid w:val="00A07BDB"/>
    <w:rsid w:val="00A1025F"/>
    <w:rsid w:val="00A10A0E"/>
    <w:rsid w:val="00A10A35"/>
    <w:rsid w:val="00A10BBE"/>
    <w:rsid w:val="00A10D1D"/>
    <w:rsid w:val="00A113CE"/>
    <w:rsid w:val="00A114F8"/>
    <w:rsid w:val="00A11765"/>
    <w:rsid w:val="00A117E6"/>
    <w:rsid w:val="00A11864"/>
    <w:rsid w:val="00A118D9"/>
    <w:rsid w:val="00A11A63"/>
    <w:rsid w:val="00A11A6D"/>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F0A"/>
    <w:rsid w:val="00A16201"/>
    <w:rsid w:val="00A1676D"/>
    <w:rsid w:val="00A1699B"/>
    <w:rsid w:val="00A16A2D"/>
    <w:rsid w:val="00A16ACF"/>
    <w:rsid w:val="00A16AF9"/>
    <w:rsid w:val="00A17352"/>
    <w:rsid w:val="00A1773B"/>
    <w:rsid w:val="00A1798B"/>
    <w:rsid w:val="00A17B04"/>
    <w:rsid w:val="00A201DA"/>
    <w:rsid w:val="00A20598"/>
    <w:rsid w:val="00A210D1"/>
    <w:rsid w:val="00A21475"/>
    <w:rsid w:val="00A220E4"/>
    <w:rsid w:val="00A22251"/>
    <w:rsid w:val="00A22293"/>
    <w:rsid w:val="00A22961"/>
    <w:rsid w:val="00A22A23"/>
    <w:rsid w:val="00A23173"/>
    <w:rsid w:val="00A23571"/>
    <w:rsid w:val="00A2361A"/>
    <w:rsid w:val="00A23854"/>
    <w:rsid w:val="00A238C4"/>
    <w:rsid w:val="00A24122"/>
    <w:rsid w:val="00A2436B"/>
    <w:rsid w:val="00A246AF"/>
    <w:rsid w:val="00A24BDF"/>
    <w:rsid w:val="00A252A7"/>
    <w:rsid w:val="00A25374"/>
    <w:rsid w:val="00A258E2"/>
    <w:rsid w:val="00A2602A"/>
    <w:rsid w:val="00A263D4"/>
    <w:rsid w:val="00A264A4"/>
    <w:rsid w:val="00A265C9"/>
    <w:rsid w:val="00A27014"/>
    <w:rsid w:val="00A2708F"/>
    <w:rsid w:val="00A2718C"/>
    <w:rsid w:val="00A27D6A"/>
    <w:rsid w:val="00A27ECA"/>
    <w:rsid w:val="00A300E8"/>
    <w:rsid w:val="00A30A1E"/>
    <w:rsid w:val="00A3141C"/>
    <w:rsid w:val="00A31DC8"/>
    <w:rsid w:val="00A320DE"/>
    <w:rsid w:val="00A32363"/>
    <w:rsid w:val="00A3257B"/>
    <w:rsid w:val="00A32C72"/>
    <w:rsid w:val="00A33C45"/>
    <w:rsid w:val="00A3408F"/>
    <w:rsid w:val="00A345FB"/>
    <w:rsid w:val="00A3483B"/>
    <w:rsid w:val="00A3492E"/>
    <w:rsid w:val="00A3532E"/>
    <w:rsid w:val="00A359D7"/>
    <w:rsid w:val="00A35D9C"/>
    <w:rsid w:val="00A35E28"/>
    <w:rsid w:val="00A3613D"/>
    <w:rsid w:val="00A3648B"/>
    <w:rsid w:val="00A36B21"/>
    <w:rsid w:val="00A36C58"/>
    <w:rsid w:val="00A36E34"/>
    <w:rsid w:val="00A37238"/>
    <w:rsid w:val="00A373EB"/>
    <w:rsid w:val="00A37612"/>
    <w:rsid w:val="00A37B50"/>
    <w:rsid w:val="00A37B88"/>
    <w:rsid w:val="00A402A7"/>
    <w:rsid w:val="00A4051D"/>
    <w:rsid w:val="00A40548"/>
    <w:rsid w:val="00A407A9"/>
    <w:rsid w:val="00A40942"/>
    <w:rsid w:val="00A40990"/>
    <w:rsid w:val="00A411A0"/>
    <w:rsid w:val="00A41A93"/>
    <w:rsid w:val="00A421A7"/>
    <w:rsid w:val="00A424A5"/>
    <w:rsid w:val="00A4252F"/>
    <w:rsid w:val="00A4292D"/>
    <w:rsid w:val="00A42DD2"/>
    <w:rsid w:val="00A431A9"/>
    <w:rsid w:val="00A434BE"/>
    <w:rsid w:val="00A436A7"/>
    <w:rsid w:val="00A439C3"/>
    <w:rsid w:val="00A43B0A"/>
    <w:rsid w:val="00A43E0C"/>
    <w:rsid w:val="00A44241"/>
    <w:rsid w:val="00A44957"/>
    <w:rsid w:val="00A44B84"/>
    <w:rsid w:val="00A44DD3"/>
    <w:rsid w:val="00A45078"/>
    <w:rsid w:val="00A45089"/>
    <w:rsid w:val="00A458A5"/>
    <w:rsid w:val="00A458F0"/>
    <w:rsid w:val="00A460F3"/>
    <w:rsid w:val="00A4616A"/>
    <w:rsid w:val="00A46223"/>
    <w:rsid w:val="00A469CA"/>
    <w:rsid w:val="00A47239"/>
    <w:rsid w:val="00A4731E"/>
    <w:rsid w:val="00A473A6"/>
    <w:rsid w:val="00A47426"/>
    <w:rsid w:val="00A474A3"/>
    <w:rsid w:val="00A477B2"/>
    <w:rsid w:val="00A47892"/>
    <w:rsid w:val="00A47AB5"/>
    <w:rsid w:val="00A47FC1"/>
    <w:rsid w:val="00A504F3"/>
    <w:rsid w:val="00A50A7D"/>
    <w:rsid w:val="00A50D60"/>
    <w:rsid w:val="00A50E42"/>
    <w:rsid w:val="00A514DF"/>
    <w:rsid w:val="00A5186F"/>
    <w:rsid w:val="00A51ADB"/>
    <w:rsid w:val="00A51F30"/>
    <w:rsid w:val="00A522CD"/>
    <w:rsid w:val="00A52929"/>
    <w:rsid w:val="00A533B8"/>
    <w:rsid w:val="00A533DD"/>
    <w:rsid w:val="00A535EF"/>
    <w:rsid w:val="00A53DD9"/>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80"/>
    <w:rsid w:val="00A5600E"/>
    <w:rsid w:val="00A56B1B"/>
    <w:rsid w:val="00A56BA1"/>
    <w:rsid w:val="00A571DC"/>
    <w:rsid w:val="00A571E5"/>
    <w:rsid w:val="00A5798B"/>
    <w:rsid w:val="00A57B65"/>
    <w:rsid w:val="00A57ECE"/>
    <w:rsid w:val="00A57FDB"/>
    <w:rsid w:val="00A6019D"/>
    <w:rsid w:val="00A60319"/>
    <w:rsid w:val="00A60492"/>
    <w:rsid w:val="00A60598"/>
    <w:rsid w:val="00A6080D"/>
    <w:rsid w:val="00A60C06"/>
    <w:rsid w:val="00A6101D"/>
    <w:rsid w:val="00A61061"/>
    <w:rsid w:val="00A611EF"/>
    <w:rsid w:val="00A6236F"/>
    <w:rsid w:val="00A6242B"/>
    <w:rsid w:val="00A62C01"/>
    <w:rsid w:val="00A633F1"/>
    <w:rsid w:val="00A63510"/>
    <w:rsid w:val="00A6382D"/>
    <w:rsid w:val="00A63C7F"/>
    <w:rsid w:val="00A63C83"/>
    <w:rsid w:val="00A63CC5"/>
    <w:rsid w:val="00A63CFB"/>
    <w:rsid w:val="00A63D3F"/>
    <w:rsid w:val="00A643CD"/>
    <w:rsid w:val="00A64DA4"/>
    <w:rsid w:val="00A6503D"/>
    <w:rsid w:val="00A65383"/>
    <w:rsid w:val="00A654E1"/>
    <w:rsid w:val="00A65A53"/>
    <w:rsid w:val="00A65BA8"/>
    <w:rsid w:val="00A65C18"/>
    <w:rsid w:val="00A65E61"/>
    <w:rsid w:val="00A66567"/>
    <w:rsid w:val="00A66595"/>
    <w:rsid w:val="00A665B0"/>
    <w:rsid w:val="00A666C1"/>
    <w:rsid w:val="00A6692E"/>
    <w:rsid w:val="00A66B73"/>
    <w:rsid w:val="00A66F52"/>
    <w:rsid w:val="00A66F54"/>
    <w:rsid w:val="00A67400"/>
    <w:rsid w:val="00A67A34"/>
    <w:rsid w:val="00A70407"/>
    <w:rsid w:val="00A705CE"/>
    <w:rsid w:val="00A70995"/>
    <w:rsid w:val="00A7120B"/>
    <w:rsid w:val="00A71298"/>
    <w:rsid w:val="00A7131A"/>
    <w:rsid w:val="00A7169A"/>
    <w:rsid w:val="00A7216F"/>
    <w:rsid w:val="00A721D5"/>
    <w:rsid w:val="00A72601"/>
    <w:rsid w:val="00A726F4"/>
    <w:rsid w:val="00A7295B"/>
    <w:rsid w:val="00A72F51"/>
    <w:rsid w:val="00A7380F"/>
    <w:rsid w:val="00A73BED"/>
    <w:rsid w:val="00A73E82"/>
    <w:rsid w:val="00A73F8C"/>
    <w:rsid w:val="00A741E2"/>
    <w:rsid w:val="00A744B1"/>
    <w:rsid w:val="00A746F8"/>
    <w:rsid w:val="00A74C6B"/>
    <w:rsid w:val="00A74C7D"/>
    <w:rsid w:val="00A74CA8"/>
    <w:rsid w:val="00A751AB"/>
    <w:rsid w:val="00A764DD"/>
    <w:rsid w:val="00A764EE"/>
    <w:rsid w:val="00A7651E"/>
    <w:rsid w:val="00A7663E"/>
    <w:rsid w:val="00A7671B"/>
    <w:rsid w:val="00A768CD"/>
    <w:rsid w:val="00A76A8C"/>
    <w:rsid w:val="00A76B43"/>
    <w:rsid w:val="00A76C6E"/>
    <w:rsid w:val="00A76E97"/>
    <w:rsid w:val="00A772C7"/>
    <w:rsid w:val="00A776BC"/>
    <w:rsid w:val="00A7788B"/>
    <w:rsid w:val="00A77A65"/>
    <w:rsid w:val="00A77B0E"/>
    <w:rsid w:val="00A77C91"/>
    <w:rsid w:val="00A803BA"/>
    <w:rsid w:val="00A80493"/>
    <w:rsid w:val="00A80CC7"/>
    <w:rsid w:val="00A80D97"/>
    <w:rsid w:val="00A8103F"/>
    <w:rsid w:val="00A81753"/>
    <w:rsid w:val="00A81878"/>
    <w:rsid w:val="00A81C1A"/>
    <w:rsid w:val="00A81F14"/>
    <w:rsid w:val="00A81FA9"/>
    <w:rsid w:val="00A82855"/>
    <w:rsid w:val="00A829DE"/>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74C"/>
    <w:rsid w:val="00A85B7F"/>
    <w:rsid w:val="00A85EFF"/>
    <w:rsid w:val="00A8655A"/>
    <w:rsid w:val="00A86633"/>
    <w:rsid w:val="00A86746"/>
    <w:rsid w:val="00A86B37"/>
    <w:rsid w:val="00A874C4"/>
    <w:rsid w:val="00A87A21"/>
    <w:rsid w:val="00A87B5D"/>
    <w:rsid w:val="00A908EE"/>
    <w:rsid w:val="00A910A9"/>
    <w:rsid w:val="00A910F1"/>
    <w:rsid w:val="00A91510"/>
    <w:rsid w:val="00A9161C"/>
    <w:rsid w:val="00A918C6"/>
    <w:rsid w:val="00A92017"/>
    <w:rsid w:val="00A9287A"/>
    <w:rsid w:val="00A9291A"/>
    <w:rsid w:val="00A92AB4"/>
    <w:rsid w:val="00A92CA0"/>
    <w:rsid w:val="00A92F73"/>
    <w:rsid w:val="00A932C0"/>
    <w:rsid w:val="00A934EF"/>
    <w:rsid w:val="00A93E8C"/>
    <w:rsid w:val="00A9426E"/>
    <w:rsid w:val="00A94B31"/>
    <w:rsid w:val="00A94BF6"/>
    <w:rsid w:val="00A94CA2"/>
    <w:rsid w:val="00A94D08"/>
    <w:rsid w:val="00A94D82"/>
    <w:rsid w:val="00A94E60"/>
    <w:rsid w:val="00A9543E"/>
    <w:rsid w:val="00A95BB9"/>
    <w:rsid w:val="00A95CFB"/>
    <w:rsid w:val="00A962D1"/>
    <w:rsid w:val="00A965C7"/>
    <w:rsid w:val="00A9668A"/>
    <w:rsid w:val="00A9671A"/>
    <w:rsid w:val="00A968C7"/>
    <w:rsid w:val="00A96A28"/>
    <w:rsid w:val="00A96B91"/>
    <w:rsid w:val="00A96BC1"/>
    <w:rsid w:val="00A96F04"/>
    <w:rsid w:val="00A9711F"/>
    <w:rsid w:val="00A973E8"/>
    <w:rsid w:val="00A97439"/>
    <w:rsid w:val="00A9745D"/>
    <w:rsid w:val="00A97632"/>
    <w:rsid w:val="00AA0C37"/>
    <w:rsid w:val="00AA0E5C"/>
    <w:rsid w:val="00AA1555"/>
    <w:rsid w:val="00AA1805"/>
    <w:rsid w:val="00AA1EAB"/>
    <w:rsid w:val="00AA209F"/>
    <w:rsid w:val="00AA2141"/>
    <w:rsid w:val="00AA22FA"/>
    <w:rsid w:val="00AA238A"/>
    <w:rsid w:val="00AA25AA"/>
    <w:rsid w:val="00AA2CA4"/>
    <w:rsid w:val="00AA33B9"/>
    <w:rsid w:val="00AA34E5"/>
    <w:rsid w:val="00AA37FF"/>
    <w:rsid w:val="00AA448A"/>
    <w:rsid w:val="00AA464B"/>
    <w:rsid w:val="00AA47FF"/>
    <w:rsid w:val="00AA488B"/>
    <w:rsid w:val="00AA4CCC"/>
    <w:rsid w:val="00AA57AC"/>
    <w:rsid w:val="00AA58B0"/>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2DA"/>
    <w:rsid w:val="00AB54C5"/>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B6E"/>
    <w:rsid w:val="00AC0D67"/>
    <w:rsid w:val="00AC1913"/>
    <w:rsid w:val="00AC2210"/>
    <w:rsid w:val="00AC221D"/>
    <w:rsid w:val="00AC262C"/>
    <w:rsid w:val="00AC2DAE"/>
    <w:rsid w:val="00AC320A"/>
    <w:rsid w:val="00AC34EA"/>
    <w:rsid w:val="00AC3F3E"/>
    <w:rsid w:val="00AC42B0"/>
    <w:rsid w:val="00AC4318"/>
    <w:rsid w:val="00AC45BC"/>
    <w:rsid w:val="00AC49DB"/>
    <w:rsid w:val="00AC4D7A"/>
    <w:rsid w:val="00AC5240"/>
    <w:rsid w:val="00AC586A"/>
    <w:rsid w:val="00AC5C5C"/>
    <w:rsid w:val="00AC5D6B"/>
    <w:rsid w:val="00AC5FDC"/>
    <w:rsid w:val="00AC6474"/>
    <w:rsid w:val="00AC6D2B"/>
    <w:rsid w:val="00AC70AF"/>
    <w:rsid w:val="00AC78FF"/>
    <w:rsid w:val="00AC7B3F"/>
    <w:rsid w:val="00AC7CE1"/>
    <w:rsid w:val="00AD01B1"/>
    <w:rsid w:val="00AD08E4"/>
    <w:rsid w:val="00AD110B"/>
    <w:rsid w:val="00AD11E1"/>
    <w:rsid w:val="00AD135B"/>
    <w:rsid w:val="00AD1474"/>
    <w:rsid w:val="00AD231E"/>
    <w:rsid w:val="00AD2639"/>
    <w:rsid w:val="00AD4854"/>
    <w:rsid w:val="00AD4AFB"/>
    <w:rsid w:val="00AD4C96"/>
    <w:rsid w:val="00AD4F19"/>
    <w:rsid w:val="00AD5464"/>
    <w:rsid w:val="00AD597F"/>
    <w:rsid w:val="00AD5A19"/>
    <w:rsid w:val="00AD5AD7"/>
    <w:rsid w:val="00AD607C"/>
    <w:rsid w:val="00AD64D3"/>
    <w:rsid w:val="00AD6C1A"/>
    <w:rsid w:val="00AD6D4B"/>
    <w:rsid w:val="00AD77BB"/>
    <w:rsid w:val="00AD79FC"/>
    <w:rsid w:val="00AD7C68"/>
    <w:rsid w:val="00AE066B"/>
    <w:rsid w:val="00AE07D5"/>
    <w:rsid w:val="00AE0B4C"/>
    <w:rsid w:val="00AE0C15"/>
    <w:rsid w:val="00AE0D45"/>
    <w:rsid w:val="00AE112B"/>
    <w:rsid w:val="00AE1602"/>
    <w:rsid w:val="00AE187A"/>
    <w:rsid w:val="00AE1A40"/>
    <w:rsid w:val="00AE1B3A"/>
    <w:rsid w:val="00AE1F02"/>
    <w:rsid w:val="00AE208F"/>
    <w:rsid w:val="00AE2319"/>
    <w:rsid w:val="00AE2340"/>
    <w:rsid w:val="00AE2637"/>
    <w:rsid w:val="00AE2687"/>
    <w:rsid w:val="00AE2899"/>
    <w:rsid w:val="00AE2918"/>
    <w:rsid w:val="00AE2DDA"/>
    <w:rsid w:val="00AE2F8A"/>
    <w:rsid w:val="00AE3082"/>
    <w:rsid w:val="00AE3203"/>
    <w:rsid w:val="00AE34AD"/>
    <w:rsid w:val="00AE3796"/>
    <w:rsid w:val="00AE385C"/>
    <w:rsid w:val="00AE3E09"/>
    <w:rsid w:val="00AE3E7C"/>
    <w:rsid w:val="00AE3E92"/>
    <w:rsid w:val="00AE3ED8"/>
    <w:rsid w:val="00AE5197"/>
    <w:rsid w:val="00AE51BC"/>
    <w:rsid w:val="00AE5BA9"/>
    <w:rsid w:val="00AE5BF6"/>
    <w:rsid w:val="00AE5CB3"/>
    <w:rsid w:val="00AE5F1C"/>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799"/>
    <w:rsid w:val="00AF1AD0"/>
    <w:rsid w:val="00AF1CB0"/>
    <w:rsid w:val="00AF1DBF"/>
    <w:rsid w:val="00AF23ED"/>
    <w:rsid w:val="00AF29DF"/>
    <w:rsid w:val="00AF2E6B"/>
    <w:rsid w:val="00AF2EA0"/>
    <w:rsid w:val="00AF2FF7"/>
    <w:rsid w:val="00AF306D"/>
    <w:rsid w:val="00AF3732"/>
    <w:rsid w:val="00AF38C6"/>
    <w:rsid w:val="00AF3B5D"/>
    <w:rsid w:val="00AF3EFB"/>
    <w:rsid w:val="00AF4007"/>
    <w:rsid w:val="00AF40D9"/>
    <w:rsid w:val="00AF4746"/>
    <w:rsid w:val="00AF4A98"/>
    <w:rsid w:val="00AF4D02"/>
    <w:rsid w:val="00AF5797"/>
    <w:rsid w:val="00AF590C"/>
    <w:rsid w:val="00AF5A7C"/>
    <w:rsid w:val="00AF5D5F"/>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949"/>
    <w:rsid w:val="00B01B42"/>
    <w:rsid w:val="00B02160"/>
    <w:rsid w:val="00B025B7"/>
    <w:rsid w:val="00B02668"/>
    <w:rsid w:val="00B0275C"/>
    <w:rsid w:val="00B0276C"/>
    <w:rsid w:val="00B029DB"/>
    <w:rsid w:val="00B02A29"/>
    <w:rsid w:val="00B02B1E"/>
    <w:rsid w:val="00B02BAF"/>
    <w:rsid w:val="00B031BF"/>
    <w:rsid w:val="00B033D2"/>
    <w:rsid w:val="00B03730"/>
    <w:rsid w:val="00B03733"/>
    <w:rsid w:val="00B03886"/>
    <w:rsid w:val="00B04A5D"/>
    <w:rsid w:val="00B04DBB"/>
    <w:rsid w:val="00B051EE"/>
    <w:rsid w:val="00B05579"/>
    <w:rsid w:val="00B05583"/>
    <w:rsid w:val="00B056C0"/>
    <w:rsid w:val="00B0582D"/>
    <w:rsid w:val="00B05CDF"/>
    <w:rsid w:val="00B05E6E"/>
    <w:rsid w:val="00B05FC9"/>
    <w:rsid w:val="00B06138"/>
    <w:rsid w:val="00B0620C"/>
    <w:rsid w:val="00B062D5"/>
    <w:rsid w:val="00B063DE"/>
    <w:rsid w:val="00B06965"/>
    <w:rsid w:val="00B06970"/>
    <w:rsid w:val="00B06B06"/>
    <w:rsid w:val="00B06F3E"/>
    <w:rsid w:val="00B06F73"/>
    <w:rsid w:val="00B07025"/>
    <w:rsid w:val="00B079FF"/>
    <w:rsid w:val="00B107AA"/>
    <w:rsid w:val="00B108AE"/>
    <w:rsid w:val="00B10941"/>
    <w:rsid w:val="00B10F20"/>
    <w:rsid w:val="00B10F6B"/>
    <w:rsid w:val="00B11953"/>
    <w:rsid w:val="00B11A01"/>
    <w:rsid w:val="00B11A84"/>
    <w:rsid w:val="00B11C53"/>
    <w:rsid w:val="00B12081"/>
    <w:rsid w:val="00B12310"/>
    <w:rsid w:val="00B12978"/>
    <w:rsid w:val="00B12BF3"/>
    <w:rsid w:val="00B12EC5"/>
    <w:rsid w:val="00B1375B"/>
    <w:rsid w:val="00B13988"/>
    <w:rsid w:val="00B14380"/>
    <w:rsid w:val="00B14528"/>
    <w:rsid w:val="00B145B0"/>
    <w:rsid w:val="00B147CC"/>
    <w:rsid w:val="00B148DB"/>
    <w:rsid w:val="00B14D95"/>
    <w:rsid w:val="00B1520C"/>
    <w:rsid w:val="00B158C8"/>
    <w:rsid w:val="00B15962"/>
    <w:rsid w:val="00B15A00"/>
    <w:rsid w:val="00B15C98"/>
    <w:rsid w:val="00B15D92"/>
    <w:rsid w:val="00B15DD4"/>
    <w:rsid w:val="00B15F35"/>
    <w:rsid w:val="00B16069"/>
    <w:rsid w:val="00B16CF2"/>
    <w:rsid w:val="00B16E98"/>
    <w:rsid w:val="00B16FA4"/>
    <w:rsid w:val="00B1752F"/>
    <w:rsid w:val="00B17F1B"/>
    <w:rsid w:val="00B209C8"/>
    <w:rsid w:val="00B20A72"/>
    <w:rsid w:val="00B20B99"/>
    <w:rsid w:val="00B214E2"/>
    <w:rsid w:val="00B214FF"/>
    <w:rsid w:val="00B2187A"/>
    <w:rsid w:val="00B219CC"/>
    <w:rsid w:val="00B2231E"/>
    <w:rsid w:val="00B22A98"/>
    <w:rsid w:val="00B22CEC"/>
    <w:rsid w:val="00B22EFC"/>
    <w:rsid w:val="00B2308B"/>
    <w:rsid w:val="00B23133"/>
    <w:rsid w:val="00B23317"/>
    <w:rsid w:val="00B23369"/>
    <w:rsid w:val="00B23641"/>
    <w:rsid w:val="00B2370F"/>
    <w:rsid w:val="00B23740"/>
    <w:rsid w:val="00B239E0"/>
    <w:rsid w:val="00B23F69"/>
    <w:rsid w:val="00B242CE"/>
    <w:rsid w:val="00B2433E"/>
    <w:rsid w:val="00B24748"/>
    <w:rsid w:val="00B26719"/>
    <w:rsid w:val="00B26B27"/>
    <w:rsid w:val="00B26D00"/>
    <w:rsid w:val="00B270E2"/>
    <w:rsid w:val="00B2737F"/>
    <w:rsid w:val="00B30B43"/>
    <w:rsid w:val="00B30B85"/>
    <w:rsid w:val="00B30CD4"/>
    <w:rsid w:val="00B318E5"/>
    <w:rsid w:val="00B31AF5"/>
    <w:rsid w:val="00B31BED"/>
    <w:rsid w:val="00B31C04"/>
    <w:rsid w:val="00B31FD6"/>
    <w:rsid w:val="00B32323"/>
    <w:rsid w:val="00B33615"/>
    <w:rsid w:val="00B33918"/>
    <w:rsid w:val="00B3392D"/>
    <w:rsid w:val="00B33E5C"/>
    <w:rsid w:val="00B33F62"/>
    <w:rsid w:val="00B34008"/>
    <w:rsid w:val="00B343AA"/>
    <w:rsid w:val="00B347F2"/>
    <w:rsid w:val="00B349CC"/>
    <w:rsid w:val="00B34C66"/>
    <w:rsid w:val="00B35A1C"/>
    <w:rsid w:val="00B35A36"/>
    <w:rsid w:val="00B35C0A"/>
    <w:rsid w:val="00B35C48"/>
    <w:rsid w:val="00B36538"/>
    <w:rsid w:val="00B365F6"/>
    <w:rsid w:val="00B36A29"/>
    <w:rsid w:val="00B36B94"/>
    <w:rsid w:val="00B37107"/>
    <w:rsid w:val="00B378D5"/>
    <w:rsid w:val="00B37957"/>
    <w:rsid w:val="00B37E1B"/>
    <w:rsid w:val="00B406BE"/>
    <w:rsid w:val="00B4084E"/>
    <w:rsid w:val="00B40C0D"/>
    <w:rsid w:val="00B40DDA"/>
    <w:rsid w:val="00B414C0"/>
    <w:rsid w:val="00B41592"/>
    <w:rsid w:val="00B41605"/>
    <w:rsid w:val="00B416B0"/>
    <w:rsid w:val="00B416C2"/>
    <w:rsid w:val="00B4171E"/>
    <w:rsid w:val="00B41781"/>
    <w:rsid w:val="00B42272"/>
    <w:rsid w:val="00B42851"/>
    <w:rsid w:val="00B43352"/>
    <w:rsid w:val="00B435E3"/>
    <w:rsid w:val="00B439B6"/>
    <w:rsid w:val="00B441CB"/>
    <w:rsid w:val="00B44B2F"/>
    <w:rsid w:val="00B45329"/>
    <w:rsid w:val="00B4585C"/>
    <w:rsid w:val="00B458E3"/>
    <w:rsid w:val="00B45B8D"/>
    <w:rsid w:val="00B45DCB"/>
    <w:rsid w:val="00B45DFF"/>
    <w:rsid w:val="00B469BE"/>
    <w:rsid w:val="00B46BCD"/>
    <w:rsid w:val="00B471BA"/>
    <w:rsid w:val="00B47AB7"/>
    <w:rsid w:val="00B504B8"/>
    <w:rsid w:val="00B50863"/>
    <w:rsid w:val="00B51979"/>
    <w:rsid w:val="00B51BE0"/>
    <w:rsid w:val="00B52542"/>
    <w:rsid w:val="00B5270F"/>
    <w:rsid w:val="00B52AC5"/>
    <w:rsid w:val="00B52FD3"/>
    <w:rsid w:val="00B532A0"/>
    <w:rsid w:val="00B54163"/>
    <w:rsid w:val="00B54506"/>
    <w:rsid w:val="00B55000"/>
    <w:rsid w:val="00B55544"/>
    <w:rsid w:val="00B55689"/>
    <w:rsid w:val="00B55861"/>
    <w:rsid w:val="00B5588F"/>
    <w:rsid w:val="00B55D36"/>
    <w:rsid w:val="00B560C8"/>
    <w:rsid w:val="00B56411"/>
    <w:rsid w:val="00B564B6"/>
    <w:rsid w:val="00B56612"/>
    <w:rsid w:val="00B56697"/>
    <w:rsid w:val="00B56A4A"/>
    <w:rsid w:val="00B5767E"/>
    <w:rsid w:val="00B5790E"/>
    <w:rsid w:val="00B57914"/>
    <w:rsid w:val="00B57D3E"/>
    <w:rsid w:val="00B57FBD"/>
    <w:rsid w:val="00B60059"/>
    <w:rsid w:val="00B6036B"/>
    <w:rsid w:val="00B605FC"/>
    <w:rsid w:val="00B60658"/>
    <w:rsid w:val="00B60EEA"/>
    <w:rsid w:val="00B61071"/>
    <w:rsid w:val="00B61572"/>
    <w:rsid w:val="00B618B6"/>
    <w:rsid w:val="00B61A9B"/>
    <w:rsid w:val="00B61B68"/>
    <w:rsid w:val="00B61C14"/>
    <w:rsid w:val="00B62297"/>
    <w:rsid w:val="00B629E5"/>
    <w:rsid w:val="00B62A7E"/>
    <w:rsid w:val="00B62C72"/>
    <w:rsid w:val="00B62E0F"/>
    <w:rsid w:val="00B62FF8"/>
    <w:rsid w:val="00B63371"/>
    <w:rsid w:val="00B63796"/>
    <w:rsid w:val="00B637A1"/>
    <w:rsid w:val="00B63B4B"/>
    <w:rsid w:val="00B63B54"/>
    <w:rsid w:val="00B63F38"/>
    <w:rsid w:val="00B63FC5"/>
    <w:rsid w:val="00B64155"/>
    <w:rsid w:val="00B643B6"/>
    <w:rsid w:val="00B64518"/>
    <w:rsid w:val="00B64ED3"/>
    <w:rsid w:val="00B6530E"/>
    <w:rsid w:val="00B654F3"/>
    <w:rsid w:val="00B6569C"/>
    <w:rsid w:val="00B65872"/>
    <w:rsid w:val="00B65A11"/>
    <w:rsid w:val="00B65A54"/>
    <w:rsid w:val="00B65AAE"/>
    <w:rsid w:val="00B65C81"/>
    <w:rsid w:val="00B66245"/>
    <w:rsid w:val="00B6630A"/>
    <w:rsid w:val="00B66730"/>
    <w:rsid w:val="00B66DAB"/>
    <w:rsid w:val="00B66EB2"/>
    <w:rsid w:val="00B677D8"/>
    <w:rsid w:val="00B67B0E"/>
    <w:rsid w:val="00B67B47"/>
    <w:rsid w:val="00B67C79"/>
    <w:rsid w:val="00B70A38"/>
    <w:rsid w:val="00B70A85"/>
    <w:rsid w:val="00B71B69"/>
    <w:rsid w:val="00B7207C"/>
    <w:rsid w:val="00B72CB8"/>
    <w:rsid w:val="00B736E3"/>
    <w:rsid w:val="00B7395F"/>
    <w:rsid w:val="00B73D14"/>
    <w:rsid w:val="00B7461C"/>
    <w:rsid w:val="00B7485C"/>
    <w:rsid w:val="00B7489E"/>
    <w:rsid w:val="00B74DB4"/>
    <w:rsid w:val="00B74DF5"/>
    <w:rsid w:val="00B75323"/>
    <w:rsid w:val="00B7558C"/>
    <w:rsid w:val="00B755E1"/>
    <w:rsid w:val="00B75853"/>
    <w:rsid w:val="00B7597E"/>
    <w:rsid w:val="00B75A04"/>
    <w:rsid w:val="00B75BA3"/>
    <w:rsid w:val="00B75CFB"/>
    <w:rsid w:val="00B76141"/>
    <w:rsid w:val="00B766C6"/>
    <w:rsid w:val="00B76E8C"/>
    <w:rsid w:val="00B76F43"/>
    <w:rsid w:val="00B77015"/>
    <w:rsid w:val="00B774DD"/>
    <w:rsid w:val="00B775FF"/>
    <w:rsid w:val="00B77743"/>
    <w:rsid w:val="00B77B17"/>
    <w:rsid w:val="00B800D5"/>
    <w:rsid w:val="00B8011B"/>
    <w:rsid w:val="00B8017B"/>
    <w:rsid w:val="00B80191"/>
    <w:rsid w:val="00B80307"/>
    <w:rsid w:val="00B80F8D"/>
    <w:rsid w:val="00B812A8"/>
    <w:rsid w:val="00B81A46"/>
    <w:rsid w:val="00B81A4D"/>
    <w:rsid w:val="00B81C2F"/>
    <w:rsid w:val="00B81FD2"/>
    <w:rsid w:val="00B8219B"/>
    <w:rsid w:val="00B821C9"/>
    <w:rsid w:val="00B82CCF"/>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B41"/>
    <w:rsid w:val="00B85C12"/>
    <w:rsid w:val="00B85DF7"/>
    <w:rsid w:val="00B85FC7"/>
    <w:rsid w:val="00B8647E"/>
    <w:rsid w:val="00B86691"/>
    <w:rsid w:val="00B867D7"/>
    <w:rsid w:val="00B86CF8"/>
    <w:rsid w:val="00B86E92"/>
    <w:rsid w:val="00B86FB9"/>
    <w:rsid w:val="00B870EA"/>
    <w:rsid w:val="00B871A1"/>
    <w:rsid w:val="00B871A5"/>
    <w:rsid w:val="00B87CDA"/>
    <w:rsid w:val="00B90041"/>
    <w:rsid w:val="00B901E2"/>
    <w:rsid w:val="00B905C6"/>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11B"/>
    <w:rsid w:val="00B93419"/>
    <w:rsid w:val="00B93BAF"/>
    <w:rsid w:val="00B94179"/>
    <w:rsid w:val="00B9425B"/>
    <w:rsid w:val="00B9445F"/>
    <w:rsid w:val="00B94A0A"/>
    <w:rsid w:val="00B94F94"/>
    <w:rsid w:val="00B9558A"/>
    <w:rsid w:val="00B9562C"/>
    <w:rsid w:val="00B9570C"/>
    <w:rsid w:val="00B95F30"/>
    <w:rsid w:val="00B96084"/>
    <w:rsid w:val="00B9619A"/>
    <w:rsid w:val="00B962EC"/>
    <w:rsid w:val="00B96558"/>
    <w:rsid w:val="00B96592"/>
    <w:rsid w:val="00B9770B"/>
    <w:rsid w:val="00B97B76"/>
    <w:rsid w:val="00B97CC9"/>
    <w:rsid w:val="00B97ECB"/>
    <w:rsid w:val="00BA075B"/>
    <w:rsid w:val="00BA0B9A"/>
    <w:rsid w:val="00BA0EF0"/>
    <w:rsid w:val="00BA155D"/>
    <w:rsid w:val="00BA1621"/>
    <w:rsid w:val="00BA189B"/>
    <w:rsid w:val="00BA1BA4"/>
    <w:rsid w:val="00BA23FB"/>
    <w:rsid w:val="00BA25DD"/>
    <w:rsid w:val="00BA2755"/>
    <w:rsid w:val="00BA2F72"/>
    <w:rsid w:val="00BA361F"/>
    <w:rsid w:val="00BA375E"/>
    <w:rsid w:val="00BA3E8E"/>
    <w:rsid w:val="00BA3F0C"/>
    <w:rsid w:val="00BA415B"/>
    <w:rsid w:val="00BA4A55"/>
    <w:rsid w:val="00BA4D9B"/>
    <w:rsid w:val="00BA4E11"/>
    <w:rsid w:val="00BA56BC"/>
    <w:rsid w:val="00BA5837"/>
    <w:rsid w:val="00BA67C4"/>
    <w:rsid w:val="00BA6B22"/>
    <w:rsid w:val="00BA7415"/>
    <w:rsid w:val="00BA7E18"/>
    <w:rsid w:val="00BA7F8C"/>
    <w:rsid w:val="00BB01CC"/>
    <w:rsid w:val="00BB0CD7"/>
    <w:rsid w:val="00BB0D6D"/>
    <w:rsid w:val="00BB0EB9"/>
    <w:rsid w:val="00BB13C7"/>
    <w:rsid w:val="00BB1A6A"/>
    <w:rsid w:val="00BB2271"/>
    <w:rsid w:val="00BB22D8"/>
    <w:rsid w:val="00BB2E8D"/>
    <w:rsid w:val="00BB3464"/>
    <w:rsid w:val="00BB359F"/>
    <w:rsid w:val="00BB3616"/>
    <w:rsid w:val="00BB3C7D"/>
    <w:rsid w:val="00BB4581"/>
    <w:rsid w:val="00BB4900"/>
    <w:rsid w:val="00BB4EFA"/>
    <w:rsid w:val="00BB514E"/>
    <w:rsid w:val="00BB52C9"/>
    <w:rsid w:val="00BB53DB"/>
    <w:rsid w:val="00BB5ECA"/>
    <w:rsid w:val="00BB620F"/>
    <w:rsid w:val="00BB69EC"/>
    <w:rsid w:val="00BB6D1A"/>
    <w:rsid w:val="00BB6E00"/>
    <w:rsid w:val="00BB6E50"/>
    <w:rsid w:val="00BB6FDC"/>
    <w:rsid w:val="00BB721F"/>
    <w:rsid w:val="00BC0437"/>
    <w:rsid w:val="00BC08C8"/>
    <w:rsid w:val="00BC1241"/>
    <w:rsid w:val="00BC1374"/>
    <w:rsid w:val="00BC14DA"/>
    <w:rsid w:val="00BC1667"/>
    <w:rsid w:val="00BC1747"/>
    <w:rsid w:val="00BC22C8"/>
    <w:rsid w:val="00BC2415"/>
    <w:rsid w:val="00BC2570"/>
    <w:rsid w:val="00BC2920"/>
    <w:rsid w:val="00BC324B"/>
    <w:rsid w:val="00BC339C"/>
    <w:rsid w:val="00BC35FC"/>
    <w:rsid w:val="00BC36E1"/>
    <w:rsid w:val="00BC391B"/>
    <w:rsid w:val="00BC3B48"/>
    <w:rsid w:val="00BC3CF6"/>
    <w:rsid w:val="00BC4FD0"/>
    <w:rsid w:val="00BC5482"/>
    <w:rsid w:val="00BC549A"/>
    <w:rsid w:val="00BC5AE0"/>
    <w:rsid w:val="00BC5FFA"/>
    <w:rsid w:val="00BC6531"/>
    <w:rsid w:val="00BC661D"/>
    <w:rsid w:val="00BC669B"/>
    <w:rsid w:val="00BC6F62"/>
    <w:rsid w:val="00BC7152"/>
    <w:rsid w:val="00BC715C"/>
    <w:rsid w:val="00BC71BA"/>
    <w:rsid w:val="00BC75EF"/>
    <w:rsid w:val="00BC7F4F"/>
    <w:rsid w:val="00BD0241"/>
    <w:rsid w:val="00BD08B7"/>
    <w:rsid w:val="00BD09D5"/>
    <w:rsid w:val="00BD0A73"/>
    <w:rsid w:val="00BD0ABB"/>
    <w:rsid w:val="00BD0C32"/>
    <w:rsid w:val="00BD0EFE"/>
    <w:rsid w:val="00BD111C"/>
    <w:rsid w:val="00BD1175"/>
    <w:rsid w:val="00BD13D9"/>
    <w:rsid w:val="00BD1440"/>
    <w:rsid w:val="00BD172F"/>
    <w:rsid w:val="00BD1898"/>
    <w:rsid w:val="00BD194C"/>
    <w:rsid w:val="00BD1F7C"/>
    <w:rsid w:val="00BD270F"/>
    <w:rsid w:val="00BD3366"/>
    <w:rsid w:val="00BD3380"/>
    <w:rsid w:val="00BD3A09"/>
    <w:rsid w:val="00BD3B2E"/>
    <w:rsid w:val="00BD3C3A"/>
    <w:rsid w:val="00BD3C93"/>
    <w:rsid w:val="00BD4FEC"/>
    <w:rsid w:val="00BD5456"/>
    <w:rsid w:val="00BD555B"/>
    <w:rsid w:val="00BD5B35"/>
    <w:rsid w:val="00BD5C8D"/>
    <w:rsid w:val="00BD6486"/>
    <w:rsid w:val="00BD6651"/>
    <w:rsid w:val="00BD721F"/>
    <w:rsid w:val="00BD7762"/>
    <w:rsid w:val="00BD7AB1"/>
    <w:rsid w:val="00BD7AF2"/>
    <w:rsid w:val="00BD7C4B"/>
    <w:rsid w:val="00BD7EE7"/>
    <w:rsid w:val="00BE0092"/>
    <w:rsid w:val="00BE0D46"/>
    <w:rsid w:val="00BE1018"/>
    <w:rsid w:val="00BE10C8"/>
    <w:rsid w:val="00BE10FF"/>
    <w:rsid w:val="00BE118A"/>
    <w:rsid w:val="00BE139E"/>
    <w:rsid w:val="00BE1434"/>
    <w:rsid w:val="00BE144D"/>
    <w:rsid w:val="00BE14CF"/>
    <w:rsid w:val="00BE151A"/>
    <w:rsid w:val="00BE1658"/>
    <w:rsid w:val="00BE1F9B"/>
    <w:rsid w:val="00BE2640"/>
    <w:rsid w:val="00BE3064"/>
    <w:rsid w:val="00BE36A9"/>
    <w:rsid w:val="00BE3771"/>
    <w:rsid w:val="00BE3C31"/>
    <w:rsid w:val="00BE404B"/>
    <w:rsid w:val="00BE4074"/>
    <w:rsid w:val="00BE40F1"/>
    <w:rsid w:val="00BE4630"/>
    <w:rsid w:val="00BE4A40"/>
    <w:rsid w:val="00BE530A"/>
    <w:rsid w:val="00BE5FCF"/>
    <w:rsid w:val="00BE62DE"/>
    <w:rsid w:val="00BE63C7"/>
    <w:rsid w:val="00BE6DAC"/>
    <w:rsid w:val="00BE6F03"/>
    <w:rsid w:val="00BE6FEF"/>
    <w:rsid w:val="00BE7056"/>
    <w:rsid w:val="00BE742A"/>
    <w:rsid w:val="00BE787E"/>
    <w:rsid w:val="00BE7F67"/>
    <w:rsid w:val="00BF0952"/>
    <w:rsid w:val="00BF0C97"/>
    <w:rsid w:val="00BF0E4D"/>
    <w:rsid w:val="00BF0F88"/>
    <w:rsid w:val="00BF1449"/>
    <w:rsid w:val="00BF1744"/>
    <w:rsid w:val="00BF1765"/>
    <w:rsid w:val="00BF1DB5"/>
    <w:rsid w:val="00BF23AD"/>
    <w:rsid w:val="00BF2DBD"/>
    <w:rsid w:val="00BF373C"/>
    <w:rsid w:val="00BF38E9"/>
    <w:rsid w:val="00BF3C5A"/>
    <w:rsid w:val="00BF3CB8"/>
    <w:rsid w:val="00BF3D48"/>
    <w:rsid w:val="00BF49E7"/>
    <w:rsid w:val="00BF58D5"/>
    <w:rsid w:val="00BF5A57"/>
    <w:rsid w:val="00BF5C78"/>
    <w:rsid w:val="00BF64C2"/>
    <w:rsid w:val="00BF652A"/>
    <w:rsid w:val="00BF682D"/>
    <w:rsid w:val="00BF6935"/>
    <w:rsid w:val="00BF7113"/>
    <w:rsid w:val="00BF73C7"/>
    <w:rsid w:val="00BF746B"/>
    <w:rsid w:val="00C000FA"/>
    <w:rsid w:val="00C006F2"/>
    <w:rsid w:val="00C00C65"/>
    <w:rsid w:val="00C01B17"/>
    <w:rsid w:val="00C026B8"/>
    <w:rsid w:val="00C029CF"/>
    <w:rsid w:val="00C02DC8"/>
    <w:rsid w:val="00C02EB8"/>
    <w:rsid w:val="00C02FFA"/>
    <w:rsid w:val="00C03814"/>
    <w:rsid w:val="00C03F5D"/>
    <w:rsid w:val="00C03FEE"/>
    <w:rsid w:val="00C0415F"/>
    <w:rsid w:val="00C043ED"/>
    <w:rsid w:val="00C0486F"/>
    <w:rsid w:val="00C04D55"/>
    <w:rsid w:val="00C0506F"/>
    <w:rsid w:val="00C052A6"/>
    <w:rsid w:val="00C05302"/>
    <w:rsid w:val="00C05352"/>
    <w:rsid w:val="00C0550A"/>
    <w:rsid w:val="00C05A7E"/>
    <w:rsid w:val="00C06069"/>
    <w:rsid w:val="00C06758"/>
    <w:rsid w:val="00C06771"/>
    <w:rsid w:val="00C069D4"/>
    <w:rsid w:val="00C070C3"/>
    <w:rsid w:val="00C072A9"/>
    <w:rsid w:val="00C072AB"/>
    <w:rsid w:val="00C076CA"/>
    <w:rsid w:val="00C07B75"/>
    <w:rsid w:val="00C07F96"/>
    <w:rsid w:val="00C100FB"/>
    <w:rsid w:val="00C1011A"/>
    <w:rsid w:val="00C108DD"/>
    <w:rsid w:val="00C10CDD"/>
    <w:rsid w:val="00C10FDE"/>
    <w:rsid w:val="00C114E5"/>
    <w:rsid w:val="00C11B82"/>
    <w:rsid w:val="00C11F5A"/>
    <w:rsid w:val="00C123B2"/>
    <w:rsid w:val="00C127DA"/>
    <w:rsid w:val="00C12862"/>
    <w:rsid w:val="00C12CE5"/>
    <w:rsid w:val="00C12F43"/>
    <w:rsid w:val="00C133C2"/>
    <w:rsid w:val="00C14049"/>
    <w:rsid w:val="00C140EF"/>
    <w:rsid w:val="00C14752"/>
    <w:rsid w:val="00C14D13"/>
    <w:rsid w:val="00C14D98"/>
    <w:rsid w:val="00C14F41"/>
    <w:rsid w:val="00C1576A"/>
    <w:rsid w:val="00C1610A"/>
    <w:rsid w:val="00C16D03"/>
    <w:rsid w:val="00C172DC"/>
    <w:rsid w:val="00C177E1"/>
    <w:rsid w:val="00C17978"/>
    <w:rsid w:val="00C17B3E"/>
    <w:rsid w:val="00C203DD"/>
    <w:rsid w:val="00C20ADF"/>
    <w:rsid w:val="00C20D58"/>
    <w:rsid w:val="00C21485"/>
    <w:rsid w:val="00C21908"/>
    <w:rsid w:val="00C221B9"/>
    <w:rsid w:val="00C222A1"/>
    <w:rsid w:val="00C225D2"/>
    <w:rsid w:val="00C22709"/>
    <w:rsid w:val="00C22904"/>
    <w:rsid w:val="00C2300C"/>
    <w:rsid w:val="00C233FF"/>
    <w:rsid w:val="00C23597"/>
    <w:rsid w:val="00C23B69"/>
    <w:rsid w:val="00C23C1D"/>
    <w:rsid w:val="00C23E4E"/>
    <w:rsid w:val="00C24060"/>
    <w:rsid w:val="00C24897"/>
    <w:rsid w:val="00C25432"/>
    <w:rsid w:val="00C254E8"/>
    <w:rsid w:val="00C25556"/>
    <w:rsid w:val="00C25AB3"/>
    <w:rsid w:val="00C25BD7"/>
    <w:rsid w:val="00C260E5"/>
    <w:rsid w:val="00C26237"/>
    <w:rsid w:val="00C26A2D"/>
    <w:rsid w:val="00C273D1"/>
    <w:rsid w:val="00C27918"/>
    <w:rsid w:val="00C27A94"/>
    <w:rsid w:val="00C30340"/>
    <w:rsid w:val="00C30D83"/>
    <w:rsid w:val="00C30DB9"/>
    <w:rsid w:val="00C31232"/>
    <w:rsid w:val="00C313DD"/>
    <w:rsid w:val="00C313F8"/>
    <w:rsid w:val="00C31763"/>
    <w:rsid w:val="00C31AF4"/>
    <w:rsid w:val="00C31C74"/>
    <w:rsid w:val="00C3255F"/>
    <w:rsid w:val="00C32780"/>
    <w:rsid w:val="00C327B6"/>
    <w:rsid w:val="00C32C46"/>
    <w:rsid w:val="00C32C5F"/>
    <w:rsid w:val="00C32CFC"/>
    <w:rsid w:val="00C332BF"/>
    <w:rsid w:val="00C33357"/>
    <w:rsid w:val="00C3352B"/>
    <w:rsid w:val="00C33694"/>
    <w:rsid w:val="00C339F5"/>
    <w:rsid w:val="00C33A00"/>
    <w:rsid w:val="00C33B73"/>
    <w:rsid w:val="00C33CDE"/>
    <w:rsid w:val="00C34043"/>
    <w:rsid w:val="00C344C9"/>
    <w:rsid w:val="00C34536"/>
    <w:rsid w:val="00C3499D"/>
    <w:rsid w:val="00C35BB3"/>
    <w:rsid w:val="00C35D19"/>
    <w:rsid w:val="00C35FCE"/>
    <w:rsid w:val="00C36065"/>
    <w:rsid w:val="00C364F3"/>
    <w:rsid w:val="00C365BC"/>
    <w:rsid w:val="00C36771"/>
    <w:rsid w:val="00C37227"/>
    <w:rsid w:val="00C3739D"/>
    <w:rsid w:val="00C374DB"/>
    <w:rsid w:val="00C37544"/>
    <w:rsid w:val="00C3776E"/>
    <w:rsid w:val="00C37A62"/>
    <w:rsid w:val="00C37CC0"/>
    <w:rsid w:val="00C37DE8"/>
    <w:rsid w:val="00C40520"/>
    <w:rsid w:val="00C40A4A"/>
    <w:rsid w:val="00C40BE7"/>
    <w:rsid w:val="00C40E3B"/>
    <w:rsid w:val="00C40E77"/>
    <w:rsid w:val="00C411DE"/>
    <w:rsid w:val="00C41365"/>
    <w:rsid w:val="00C41527"/>
    <w:rsid w:val="00C41BB6"/>
    <w:rsid w:val="00C41EE7"/>
    <w:rsid w:val="00C421CB"/>
    <w:rsid w:val="00C42673"/>
    <w:rsid w:val="00C42875"/>
    <w:rsid w:val="00C429EC"/>
    <w:rsid w:val="00C43A7D"/>
    <w:rsid w:val="00C43CD8"/>
    <w:rsid w:val="00C43F20"/>
    <w:rsid w:val="00C43FD6"/>
    <w:rsid w:val="00C440BC"/>
    <w:rsid w:val="00C44417"/>
    <w:rsid w:val="00C4554C"/>
    <w:rsid w:val="00C45B1D"/>
    <w:rsid w:val="00C45F7D"/>
    <w:rsid w:val="00C462EF"/>
    <w:rsid w:val="00C465DE"/>
    <w:rsid w:val="00C46721"/>
    <w:rsid w:val="00C468A9"/>
    <w:rsid w:val="00C47078"/>
    <w:rsid w:val="00C47132"/>
    <w:rsid w:val="00C476FA"/>
    <w:rsid w:val="00C47B07"/>
    <w:rsid w:val="00C47C90"/>
    <w:rsid w:val="00C47D6C"/>
    <w:rsid w:val="00C501AF"/>
    <w:rsid w:val="00C50866"/>
    <w:rsid w:val="00C50AAC"/>
    <w:rsid w:val="00C50AC0"/>
    <w:rsid w:val="00C50B0E"/>
    <w:rsid w:val="00C50CD3"/>
    <w:rsid w:val="00C50FA9"/>
    <w:rsid w:val="00C51065"/>
    <w:rsid w:val="00C516B5"/>
    <w:rsid w:val="00C51B74"/>
    <w:rsid w:val="00C51E67"/>
    <w:rsid w:val="00C52025"/>
    <w:rsid w:val="00C52368"/>
    <w:rsid w:val="00C52786"/>
    <w:rsid w:val="00C52AED"/>
    <w:rsid w:val="00C52B2A"/>
    <w:rsid w:val="00C533F3"/>
    <w:rsid w:val="00C5372D"/>
    <w:rsid w:val="00C5394A"/>
    <w:rsid w:val="00C53A92"/>
    <w:rsid w:val="00C53AC1"/>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AA2"/>
    <w:rsid w:val="00C56D96"/>
    <w:rsid w:val="00C56DF9"/>
    <w:rsid w:val="00C56EAB"/>
    <w:rsid w:val="00C57EB7"/>
    <w:rsid w:val="00C600AB"/>
    <w:rsid w:val="00C6028E"/>
    <w:rsid w:val="00C602F8"/>
    <w:rsid w:val="00C60857"/>
    <w:rsid w:val="00C60A3A"/>
    <w:rsid w:val="00C60D93"/>
    <w:rsid w:val="00C61149"/>
    <w:rsid w:val="00C61A7D"/>
    <w:rsid w:val="00C6290E"/>
    <w:rsid w:val="00C62E46"/>
    <w:rsid w:val="00C62F19"/>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7153"/>
    <w:rsid w:val="00C679E5"/>
    <w:rsid w:val="00C67B6F"/>
    <w:rsid w:val="00C70845"/>
    <w:rsid w:val="00C7094C"/>
    <w:rsid w:val="00C70B9E"/>
    <w:rsid w:val="00C70BF2"/>
    <w:rsid w:val="00C70E55"/>
    <w:rsid w:val="00C70FE8"/>
    <w:rsid w:val="00C71194"/>
    <w:rsid w:val="00C712BC"/>
    <w:rsid w:val="00C7191E"/>
    <w:rsid w:val="00C719DA"/>
    <w:rsid w:val="00C71B13"/>
    <w:rsid w:val="00C71C59"/>
    <w:rsid w:val="00C71DCD"/>
    <w:rsid w:val="00C71E5D"/>
    <w:rsid w:val="00C7256A"/>
    <w:rsid w:val="00C727A8"/>
    <w:rsid w:val="00C72869"/>
    <w:rsid w:val="00C730F7"/>
    <w:rsid w:val="00C7335E"/>
    <w:rsid w:val="00C733C8"/>
    <w:rsid w:val="00C73ABD"/>
    <w:rsid w:val="00C73F1E"/>
    <w:rsid w:val="00C7433D"/>
    <w:rsid w:val="00C74CDD"/>
    <w:rsid w:val="00C7585D"/>
    <w:rsid w:val="00C75A40"/>
    <w:rsid w:val="00C75E4C"/>
    <w:rsid w:val="00C75FBD"/>
    <w:rsid w:val="00C7629E"/>
    <w:rsid w:val="00C766DD"/>
    <w:rsid w:val="00C7683D"/>
    <w:rsid w:val="00C76A58"/>
    <w:rsid w:val="00C7715C"/>
    <w:rsid w:val="00C775AB"/>
    <w:rsid w:val="00C77BE0"/>
    <w:rsid w:val="00C80524"/>
    <w:rsid w:val="00C80539"/>
    <w:rsid w:val="00C807E8"/>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882"/>
    <w:rsid w:val="00C82C83"/>
    <w:rsid w:val="00C82E3C"/>
    <w:rsid w:val="00C83492"/>
    <w:rsid w:val="00C83A7C"/>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8B5"/>
    <w:rsid w:val="00C90E8E"/>
    <w:rsid w:val="00C91536"/>
    <w:rsid w:val="00C9194B"/>
    <w:rsid w:val="00C91AB0"/>
    <w:rsid w:val="00C91F04"/>
    <w:rsid w:val="00C92003"/>
    <w:rsid w:val="00C92147"/>
    <w:rsid w:val="00C92234"/>
    <w:rsid w:val="00C925B7"/>
    <w:rsid w:val="00C9270F"/>
    <w:rsid w:val="00C92A0F"/>
    <w:rsid w:val="00C92B63"/>
    <w:rsid w:val="00C92B8F"/>
    <w:rsid w:val="00C931C6"/>
    <w:rsid w:val="00C935A7"/>
    <w:rsid w:val="00C936AF"/>
    <w:rsid w:val="00C93A12"/>
    <w:rsid w:val="00C93E14"/>
    <w:rsid w:val="00C94175"/>
    <w:rsid w:val="00C9426D"/>
    <w:rsid w:val="00C94CFF"/>
    <w:rsid w:val="00C950F8"/>
    <w:rsid w:val="00C951D3"/>
    <w:rsid w:val="00C95253"/>
    <w:rsid w:val="00C958D4"/>
    <w:rsid w:val="00C95CBF"/>
    <w:rsid w:val="00C96410"/>
    <w:rsid w:val="00C96794"/>
    <w:rsid w:val="00C96B34"/>
    <w:rsid w:val="00C96B5F"/>
    <w:rsid w:val="00C96D9A"/>
    <w:rsid w:val="00C97407"/>
    <w:rsid w:val="00C9752B"/>
    <w:rsid w:val="00C976DA"/>
    <w:rsid w:val="00C97A6F"/>
    <w:rsid w:val="00C97DE5"/>
    <w:rsid w:val="00CA0275"/>
    <w:rsid w:val="00CA027C"/>
    <w:rsid w:val="00CA09B5"/>
    <w:rsid w:val="00CA0C38"/>
    <w:rsid w:val="00CA16A1"/>
    <w:rsid w:val="00CA17FD"/>
    <w:rsid w:val="00CA1CFC"/>
    <w:rsid w:val="00CA1E0E"/>
    <w:rsid w:val="00CA1FD8"/>
    <w:rsid w:val="00CA2072"/>
    <w:rsid w:val="00CA2227"/>
    <w:rsid w:val="00CA2375"/>
    <w:rsid w:val="00CA2A23"/>
    <w:rsid w:val="00CA2A25"/>
    <w:rsid w:val="00CA2AC0"/>
    <w:rsid w:val="00CA2ACB"/>
    <w:rsid w:val="00CA2C99"/>
    <w:rsid w:val="00CA2D15"/>
    <w:rsid w:val="00CA30DC"/>
    <w:rsid w:val="00CA3169"/>
    <w:rsid w:val="00CA31AF"/>
    <w:rsid w:val="00CA31E3"/>
    <w:rsid w:val="00CA3500"/>
    <w:rsid w:val="00CA3B5F"/>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DBB"/>
    <w:rsid w:val="00CB051C"/>
    <w:rsid w:val="00CB0621"/>
    <w:rsid w:val="00CB078E"/>
    <w:rsid w:val="00CB087E"/>
    <w:rsid w:val="00CB09D5"/>
    <w:rsid w:val="00CB0ADC"/>
    <w:rsid w:val="00CB0FFD"/>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F8"/>
    <w:rsid w:val="00CB656B"/>
    <w:rsid w:val="00CB6B68"/>
    <w:rsid w:val="00CB6CD3"/>
    <w:rsid w:val="00CB6D44"/>
    <w:rsid w:val="00CB72D8"/>
    <w:rsid w:val="00CB7689"/>
    <w:rsid w:val="00CC0260"/>
    <w:rsid w:val="00CC0A1F"/>
    <w:rsid w:val="00CC0FBE"/>
    <w:rsid w:val="00CC12BC"/>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EB2"/>
    <w:rsid w:val="00CC5F0D"/>
    <w:rsid w:val="00CC63B7"/>
    <w:rsid w:val="00CC64E0"/>
    <w:rsid w:val="00CC695C"/>
    <w:rsid w:val="00CC6A8E"/>
    <w:rsid w:val="00CC6BC9"/>
    <w:rsid w:val="00CC73BE"/>
    <w:rsid w:val="00CC7927"/>
    <w:rsid w:val="00CD049D"/>
    <w:rsid w:val="00CD0C6D"/>
    <w:rsid w:val="00CD0F28"/>
    <w:rsid w:val="00CD1177"/>
    <w:rsid w:val="00CD137E"/>
    <w:rsid w:val="00CD14E1"/>
    <w:rsid w:val="00CD1B21"/>
    <w:rsid w:val="00CD200C"/>
    <w:rsid w:val="00CD2948"/>
    <w:rsid w:val="00CD2964"/>
    <w:rsid w:val="00CD2BB5"/>
    <w:rsid w:val="00CD2BF4"/>
    <w:rsid w:val="00CD2D88"/>
    <w:rsid w:val="00CD31A3"/>
    <w:rsid w:val="00CD3208"/>
    <w:rsid w:val="00CD40A2"/>
    <w:rsid w:val="00CD412F"/>
    <w:rsid w:val="00CD4146"/>
    <w:rsid w:val="00CD4983"/>
    <w:rsid w:val="00CD4A53"/>
    <w:rsid w:val="00CD5036"/>
    <w:rsid w:val="00CD5628"/>
    <w:rsid w:val="00CD58EB"/>
    <w:rsid w:val="00CD5E63"/>
    <w:rsid w:val="00CD5F84"/>
    <w:rsid w:val="00CD65BA"/>
    <w:rsid w:val="00CD6C01"/>
    <w:rsid w:val="00CD6F63"/>
    <w:rsid w:val="00CD72EC"/>
    <w:rsid w:val="00CD75F2"/>
    <w:rsid w:val="00CD75FB"/>
    <w:rsid w:val="00CD79C5"/>
    <w:rsid w:val="00CD7A89"/>
    <w:rsid w:val="00CD7C49"/>
    <w:rsid w:val="00CE0708"/>
    <w:rsid w:val="00CE07D1"/>
    <w:rsid w:val="00CE0D80"/>
    <w:rsid w:val="00CE0E68"/>
    <w:rsid w:val="00CE1022"/>
    <w:rsid w:val="00CE1274"/>
    <w:rsid w:val="00CE1453"/>
    <w:rsid w:val="00CE1898"/>
    <w:rsid w:val="00CE22F2"/>
    <w:rsid w:val="00CE2449"/>
    <w:rsid w:val="00CE27D1"/>
    <w:rsid w:val="00CE284B"/>
    <w:rsid w:val="00CE2A76"/>
    <w:rsid w:val="00CE2C06"/>
    <w:rsid w:val="00CE2CFE"/>
    <w:rsid w:val="00CE2EF1"/>
    <w:rsid w:val="00CE31E1"/>
    <w:rsid w:val="00CE347E"/>
    <w:rsid w:val="00CE38A0"/>
    <w:rsid w:val="00CE3A07"/>
    <w:rsid w:val="00CE4429"/>
    <w:rsid w:val="00CE4491"/>
    <w:rsid w:val="00CE4891"/>
    <w:rsid w:val="00CE4B31"/>
    <w:rsid w:val="00CE4CEE"/>
    <w:rsid w:val="00CE4D00"/>
    <w:rsid w:val="00CE4E0D"/>
    <w:rsid w:val="00CE4E66"/>
    <w:rsid w:val="00CE52E9"/>
    <w:rsid w:val="00CE5572"/>
    <w:rsid w:val="00CE55D5"/>
    <w:rsid w:val="00CE5614"/>
    <w:rsid w:val="00CE5634"/>
    <w:rsid w:val="00CE59AE"/>
    <w:rsid w:val="00CE5A1E"/>
    <w:rsid w:val="00CE5DBC"/>
    <w:rsid w:val="00CE62A9"/>
    <w:rsid w:val="00CE66AD"/>
    <w:rsid w:val="00CE6ABF"/>
    <w:rsid w:val="00CE7099"/>
    <w:rsid w:val="00CE72C4"/>
    <w:rsid w:val="00CE7468"/>
    <w:rsid w:val="00CE7970"/>
    <w:rsid w:val="00CE7A79"/>
    <w:rsid w:val="00CE7AA4"/>
    <w:rsid w:val="00CE7CED"/>
    <w:rsid w:val="00CF1342"/>
    <w:rsid w:val="00CF1A5F"/>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22D"/>
    <w:rsid w:val="00CF5525"/>
    <w:rsid w:val="00CF5A08"/>
    <w:rsid w:val="00CF65A1"/>
    <w:rsid w:val="00CF6942"/>
    <w:rsid w:val="00CF7668"/>
    <w:rsid w:val="00CF7699"/>
    <w:rsid w:val="00CF7803"/>
    <w:rsid w:val="00CF7B73"/>
    <w:rsid w:val="00CF7CBD"/>
    <w:rsid w:val="00CF7FFB"/>
    <w:rsid w:val="00D000CB"/>
    <w:rsid w:val="00D0029F"/>
    <w:rsid w:val="00D00C94"/>
    <w:rsid w:val="00D01108"/>
    <w:rsid w:val="00D01169"/>
    <w:rsid w:val="00D01180"/>
    <w:rsid w:val="00D014E4"/>
    <w:rsid w:val="00D01B58"/>
    <w:rsid w:val="00D01C6A"/>
    <w:rsid w:val="00D0249C"/>
    <w:rsid w:val="00D02796"/>
    <w:rsid w:val="00D02C14"/>
    <w:rsid w:val="00D0377A"/>
    <w:rsid w:val="00D039B6"/>
    <w:rsid w:val="00D03A1A"/>
    <w:rsid w:val="00D03E5F"/>
    <w:rsid w:val="00D03E6C"/>
    <w:rsid w:val="00D04243"/>
    <w:rsid w:val="00D04493"/>
    <w:rsid w:val="00D045EB"/>
    <w:rsid w:val="00D049FB"/>
    <w:rsid w:val="00D04BF0"/>
    <w:rsid w:val="00D04EE9"/>
    <w:rsid w:val="00D05157"/>
    <w:rsid w:val="00D054BF"/>
    <w:rsid w:val="00D05750"/>
    <w:rsid w:val="00D059C5"/>
    <w:rsid w:val="00D05C23"/>
    <w:rsid w:val="00D05E08"/>
    <w:rsid w:val="00D05F8E"/>
    <w:rsid w:val="00D06232"/>
    <w:rsid w:val="00D063EB"/>
    <w:rsid w:val="00D063F1"/>
    <w:rsid w:val="00D068F6"/>
    <w:rsid w:val="00D06CCE"/>
    <w:rsid w:val="00D07134"/>
    <w:rsid w:val="00D0780B"/>
    <w:rsid w:val="00D07A3B"/>
    <w:rsid w:val="00D07AD5"/>
    <w:rsid w:val="00D07CF7"/>
    <w:rsid w:val="00D07D55"/>
    <w:rsid w:val="00D07D5D"/>
    <w:rsid w:val="00D07D5F"/>
    <w:rsid w:val="00D1056D"/>
    <w:rsid w:val="00D1078A"/>
    <w:rsid w:val="00D115BA"/>
    <w:rsid w:val="00D11ABF"/>
    <w:rsid w:val="00D11D80"/>
    <w:rsid w:val="00D12007"/>
    <w:rsid w:val="00D120A8"/>
    <w:rsid w:val="00D12771"/>
    <w:rsid w:val="00D134D3"/>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802"/>
    <w:rsid w:val="00D17A1E"/>
    <w:rsid w:val="00D2036F"/>
    <w:rsid w:val="00D204FE"/>
    <w:rsid w:val="00D20585"/>
    <w:rsid w:val="00D20CB3"/>
    <w:rsid w:val="00D21154"/>
    <w:rsid w:val="00D211D5"/>
    <w:rsid w:val="00D21E79"/>
    <w:rsid w:val="00D2205D"/>
    <w:rsid w:val="00D229E0"/>
    <w:rsid w:val="00D22F64"/>
    <w:rsid w:val="00D2361F"/>
    <w:rsid w:val="00D236BD"/>
    <w:rsid w:val="00D237B1"/>
    <w:rsid w:val="00D23BB1"/>
    <w:rsid w:val="00D24890"/>
    <w:rsid w:val="00D2490E"/>
    <w:rsid w:val="00D24D5E"/>
    <w:rsid w:val="00D24E11"/>
    <w:rsid w:val="00D25630"/>
    <w:rsid w:val="00D2577E"/>
    <w:rsid w:val="00D2599A"/>
    <w:rsid w:val="00D25ECB"/>
    <w:rsid w:val="00D2650E"/>
    <w:rsid w:val="00D2658D"/>
    <w:rsid w:val="00D266B5"/>
    <w:rsid w:val="00D26C6F"/>
    <w:rsid w:val="00D26DAD"/>
    <w:rsid w:val="00D26F50"/>
    <w:rsid w:val="00D274D9"/>
    <w:rsid w:val="00D275A7"/>
    <w:rsid w:val="00D27978"/>
    <w:rsid w:val="00D30018"/>
    <w:rsid w:val="00D304F1"/>
    <w:rsid w:val="00D30B74"/>
    <w:rsid w:val="00D31932"/>
    <w:rsid w:val="00D31AAB"/>
    <w:rsid w:val="00D31B6B"/>
    <w:rsid w:val="00D324B4"/>
    <w:rsid w:val="00D3252A"/>
    <w:rsid w:val="00D32784"/>
    <w:rsid w:val="00D327B2"/>
    <w:rsid w:val="00D328FA"/>
    <w:rsid w:val="00D32A6B"/>
    <w:rsid w:val="00D32E99"/>
    <w:rsid w:val="00D32F3F"/>
    <w:rsid w:val="00D331D9"/>
    <w:rsid w:val="00D334C7"/>
    <w:rsid w:val="00D33839"/>
    <w:rsid w:val="00D33D53"/>
    <w:rsid w:val="00D33DD1"/>
    <w:rsid w:val="00D33E45"/>
    <w:rsid w:val="00D341CD"/>
    <w:rsid w:val="00D3422A"/>
    <w:rsid w:val="00D34A10"/>
    <w:rsid w:val="00D34BDE"/>
    <w:rsid w:val="00D34E9E"/>
    <w:rsid w:val="00D3504C"/>
    <w:rsid w:val="00D3527C"/>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B6B"/>
    <w:rsid w:val="00D40C9E"/>
    <w:rsid w:val="00D40F17"/>
    <w:rsid w:val="00D416A0"/>
    <w:rsid w:val="00D42FB0"/>
    <w:rsid w:val="00D43403"/>
    <w:rsid w:val="00D4365D"/>
    <w:rsid w:val="00D43993"/>
    <w:rsid w:val="00D43A8C"/>
    <w:rsid w:val="00D43E88"/>
    <w:rsid w:val="00D43ECE"/>
    <w:rsid w:val="00D44089"/>
    <w:rsid w:val="00D447C6"/>
    <w:rsid w:val="00D44C07"/>
    <w:rsid w:val="00D44DEF"/>
    <w:rsid w:val="00D45636"/>
    <w:rsid w:val="00D46D82"/>
    <w:rsid w:val="00D46F37"/>
    <w:rsid w:val="00D470AD"/>
    <w:rsid w:val="00D474F9"/>
    <w:rsid w:val="00D475B2"/>
    <w:rsid w:val="00D4773F"/>
    <w:rsid w:val="00D479E8"/>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5B6"/>
    <w:rsid w:val="00D528EC"/>
    <w:rsid w:val="00D52A58"/>
    <w:rsid w:val="00D52C2F"/>
    <w:rsid w:val="00D52C50"/>
    <w:rsid w:val="00D530E7"/>
    <w:rsid w:val="00D530FE"/>
    <w:rsid w:val="00D53AB0"/>
    <w:rsid w:val="00D53AF2"/>
    <w:rsid w:val="00D53D42"/>
    <w:rsid w:val="00D54196"/>
    <w:rsid w:val="00D54593"/>
    <w:rsid w:val="00D551D9"/>
    <w:rsid w:val="00D5559E"/>
    <w:rsid w:val="00D55DF9"/>
    <w:rsid w:val="00D55E7F"/>
    <w:rsid w:val="00D562E4"/>
    <w:rsid w:val="00D5694F"/>
    <w:rsid w:val="00D56A62"/>
    <w:rsid w:val="00D56BBF"/>
    <w:rsid w:val="00D5724D"/>
    <w:rsid w:val="00D5751F"/>
    <w:rsid w:val="00D575A9"/>
    <w:rsid w:val="00D57793"/>
    <w:rsid w:val="00D5799B"/>
    <w:rsid w:val="00D57CA9"/>
    <w:rsid w:val="00D57DBC"/>
    <w:rsid w:val="00D60211"/>
    <w:rsid w:val="00D60521"/>
    <w:rsid w:val="00D6052F"/>
    <w:rsid w:val="00D6080E"/>
    <w:rsid w:val="00D60C70"/>
    <w:rsid w:val="00D61068"/>
    <w:rsid w:val="00D61A27"/>
    <w:rsid w:val="00D622EB"/>
    <w:rsid w:val="00D62C57"/>
    <w:rsid w:val="00D62C6F"/>
    <w:rsid w:val="00D62CC5"/>
    <w:rsid w:val="00D63328"/>
    <w:rsid w:val="00D63461"/>
    <w:rsid w:val="00D63477"/>
    <w:rsid w:val="00D6352D"/>
    <w:rsid w:val="00D63537"/>
    <w:rsid w:val="00D63760"/>
    <w:rsid w:val="00D63CE8"/>
    <w:rsid w:val="00D63EA0"/>
    <w:rsid w:val="00D64073"/>
    <w:rsid w:val="00D641B6"/>
    <w:rsid w:val="00D64292"/>
    <w:rsid w:val="00D645DF"/>
    <w:rsid w:val="00D649A9"/>
    <w:rsid w:val="00D64CF1"/>
    <w:rsid w:val="00D64ED3"/>
    <w:rsid w:val="00D65206"/>
    <w:rsid w:val="00D6526B"/>
    <w:rsid w:val="00D65506"/>
    <w:rsid w:val="00D65CC9"/>
    <w:rsid w:val="00D65CEA"/>
    <w:rsid w:val="00D65EA9"/>
    <w:rsid w:val="00D65EFF"/>
    <w:rsid w:val="00D66B02"/>
    <w:rsid w:val="00D66FEC"/>
    <w:rsid w:val="00D67260"/>
    <w:rsid w:val="00D67333"/>
    <w:rsid w:val="00D67430"/>
    <w:rsid w:val="00D6765B"/>
    <w:rsid w:val="00D6794B"/>
    <w:rsid w:val="00D67BDC"/>
    <w:rsid w:val="00D67DC6"/>
    <w:rsid w:val="00D67EB0"/>
    <w:rsid w:val="00D67EDE"/>
    <w:rsid w:val="00D70491"/>
    <w:rsid w:val="00D704D6"/>
    <w:rsid w:val="00D705EC"/>
    <w:rsid w:val="00D706C3"/>
    <w:rsid w:val="00D70805"/>
    <w:rsid w:val="00D70893"/>
    <w:rsid w:val="00D70F17"/>
    <w:rsid w:val="00D71354"/>
    <w:rsid w:val="00D71B39"/>
    <w:rsid w:val="00D71CA7"/>
    <w:rsid w:val="00D71E2C"/>
    <w:rsid w:val="00D71EE3"/>
    <w:rsid w:val="00D7333E"/>
    <w:rsid w:val="00D7342A"/>
    <w:rsid w:val="00D73FC2"/>
    <w:rsid w:val="00D74397"/>
    <w:rsid w:val="00D743B8"/>
    <w:rsid w:val="00D74415"/>
    <w:rsid w:val="00D74580"/>
    <w:rsid w:val="00D74667"/>
    <w:rsid w:val="00D74E6F"/>
    <w:rsid w:val="00D7505C"/>
    <w:rsid w:val="00D752D4"/>
    <w:rsid w:val="00D755D6"/>
    <w:rsid w:val="00D75FB1"/>
    <w:rsid w:val="00D765A7"/>
    <w:rsid w:val="00D767F5"/>
    <w:rsid w:val="00D7700F"/>
    <w:rsid w:val="00D7711C"/>
    <w:rsid w:val="00D77149"/>
    <w:rsid w:val="00D77428"/>
    <w:rsid w:val="00D77495"/>
    <w:rsid w:val="00D77789"/>
    <w:rsid w:val="00D77A28"/>
    <w:rsid w:val="00D77DD4"/>
    <w:rsid w:val="00D77E3E"/>
    <w:rsid w:val="00D800A9"/>
    <w:rsid w:val="00D803BC"/>
    <w:rsid w:val="00D80710"/>
    <w:rsid w:val="00D80739"/>
    <w:rsid w:val="00D807C5"/>
    <w:rsid w:val="00D80E78"/>
    <w:rsid w:val="00D80F12"/>
    <w:rsid w:val="00D8120A"/>
    <w:rsid w:val="00D81B43"/>
    <w:rsid w:val="00D81CC9"/>
    <w:rsid w:val="00D81DC6"/>
    <w:rsid w:val="00D81FCA"/>
    <w:rsid w:val="00D82232"/>
    <w:rsid w:val="00D823E8"/>
    <w:rsid w:val="00D8261A"/>
    <w:rsid w:val="00D82A53"/>
    <w:rsid w:val="00D82A73"/>
    <w:rsid w:val="00D82D2D"/>
    <w:rsid w:val="00D83327"/>
    <w:rsid w:val="00D8332E"/>
    <w:rsid w:val="00D835DB"/>
    <w:rsid w:val="00D836F5"/>
    <w:rsid w:val="00D8386B"/>
    <w:rsid w:val="00D839F3"/>
    <w:rsid w:val="00D83D36"/>
    <w:rsid w:val="00D84272"/>
    <w:rsid w:val="00D84612"/>
    <w:rsid w:val="00D85783"/>
    <w:rsid w:val="00D85BC0"/>
    <w:rsid w:val="00D861C5"/>
    <w:rsid w:val="00D8622A"/>
    <w:rsid w:val="00D86941"/>
    <w:rsid w:val="00D8706D"/>
    <w:rsid w:val="00D871F1"/>
    <w:rsid w:val="00D874EC"/>
    <w:rsid w:val="00D87514"/>
    <w:rsid w:val="00D87B34"/>
    <w:rsid w:val="00D87B61"/>
    <w:rsid w:val="00D87C84"/>
    <w:rsid w:val="00D87CA3"/>
    <w:rsid w:val="00D87CBC"/>
    <w:rsid w:val="00D900A6"/>
    <w:rsid w:val="00D9050A"/>
    <w:rsid w:val="00D90A5E"/>
    <w:rsid w:val="00D91166"/>
    <w:rsid w:val="00D92050"/>
    <w:rsid w:val="00D92AFE"/>
    <w:rsid w:val="00D92B97"/>
    <w:rsid w:val="00D92E5E"/>
    <w:rsid w:val="00D9327B"/>
    <w:rsid w:val="00D93774"/>
    <w:rsid w:val="00D937FC"/>
    <w:rsid w:val="00D93824"/>
    <w:rsid w:val="00D93A69"/>
    <w:rsid w:val="00D93CB7"/>
    <w:rsid w:val="00D93F06"/>
    <w:rsid w:val="00D94465"/>
    <w:rsid w:val="00D94841"/>
    <w:rsid w:val="00D949AC"/>
    <w:rsid w:val="00D95278"/>
    <w:rsid w:val="00D9570C"/>
    <w:rsid w:val="00D95A04"/>
    <w:rsid w:val="00D95B8C"/>
    <w:rsid w:val="00D95C0D"/>
    <w:rsid w:val="00D96782"/>
    <w:rsid w:val="00D96E9C"/>
    <w:rsid w:val="00D97190"/>
    <w:rsid w:val="00D972CF"/>
    <w:rsid w:val="00D97389"/>
    <w:rsid w:val="00D977FA"/>
    <w:rsid w:val="00D97F1C"/>
    <w:rsid w:val="00DA0037"/>
    <w:rsid w:val="00DA02B4"/>
    <w:rsid w:val="00DA0337"/>
    <w:rsid w:val="00DA043C"/>
    <w:rsid w:val="00DA07F9"/>
    <w:rsid w:val="00DA09BA"/>
    <w:rsid w:val="00DA0A13"/>
    <w:rsid w:val="00DA11AD"/>
    <w:rsid w:val="00DA2146"/>
    <w:rsid w:val="00DA244D"/>
    <w:rsid w:val="00DA2615"/>
    <w:rsid w:val="00DA2F47"/>
    <w:rsid w:val="00DA2FB4"/>
    <w:rsid w:val="00DA350C"/>
    <w:rsid w:val="00DA393D"/>
    <w:rsid w:val="00DA3BBB"/>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262"/>
    <w:rsid w:val="00DA7AC7"/>
    <w:rsid w:val="00DA7B23"/>
    <w:rsid w:val="00DA7BF2"/>
    <w:rsid w:val="00DA7D98"/>
    <w:rsid w:val="00DB0096"/>
    <w:rsid w:val="00DB06A5"/>
    <w:rsid w:val="00DB090A"/>
    <w:rsid w:val="00DB15CD"/>
    <w:rsid w:val="00DB1688"/>
    <w:rsid w:val="00DB16A5"/>
    <w:rsid w:val="00DB16EE"/>
    <w:rsid w:val="00DB1CCA"/>
    <w:rsid w:val="00DB1EE8"/>
    <w:rsid w:val="00DB1F3E"/>
    <w:rsid w:val="00DB1FA8"/>
    <w:rsid w:val="00DB2B6F"/>
    <w:rsid w:val="00DB2DF5"/>
    <w:rsid w:val="00DB3145"/>
    <w:rsid w:val="00DB32BD"/>
    <w:rsid w:val="00DB33BB"/>
    <w:rsid w:val="00DB35C4"/>
    <w:rsid w:val="00DB36E8"/>
    <w:rsid w:val="00DB371A"/>
    <w:rsid w:val="00DB46CB"/>
    <w:rsid w:val="00DB4977"/>
    <w:rsid w:val="00DB4DFB"/>
    <w:rsid w:val="00DB5710"/>
    <w:rsid w:val="00DB5896"/>
    <w:rsid w:val="00DB5E33"/>
    <w:rsid w:val="00DB6172"/>
    <w:rsid w:val="00DB6523"/>
    <w:rsid w:val="00DB6677"/>
    <w:rsid w:val="00DB7A2E"/>
    <w:rsid w:val="00DB7B9F"/>
    <w:rsid w:val="00DC083F"/>
    <w:rsid w:val="00DC09DC"/>
    <w:rsid w:val="00DC0A13"/>
    <w:rsid w:val="00DC0CA4"/>
    <w:rsid w:val="00DC0FA6"/>
    <w:rsid w:val="00DC11F3"/>
    <w:rsid w:val="00DC130C"/>
    <w:rsid w:val="00DC1B85"/>
    <w:rsid w:val="00DC1BCD"/>
    <w:rsid w:val="00DC205B"/>
    <w:rsid w:val="00DC2292"/>
    <w:rsid w:val="00DC2428"/>
    <w:rsid w:val="00DC2F90"/>
    <w:rsid w:val="00DC301F"/>
    <w:rsid w:val="00DC30BE"/>
    <w:rsid w:val="00DC35D9"/>
    <w:rsid w:val="00DC3700"/>
    <w:rsid w:val="00DC3940"/>
    <w:rsid w:val="00DC39DC"/>
    <w:rsid w:val="00DC3C27"/>
    <w:rsid w:val="00DC41CF"/>
    <w:rsid w:val="00DC43E4"/>
    <w:rsid w:val="00DC459C"/>
    <w:rsid w:val="00DC4992"/>
    <w:rsid w:val="00DC4BB8"/>
    <w:rsid w:val="00DC500E"/>
    <w:rsid w:val="00DC508E"/>
    <w:rsid w:val="00DC5487"/>
    <w:rsid w:val="00DC5569"/>
    <w:rsid w:val="00DC5A66"/>
    <w:rsid w:val="00DC5DC9"/>
    <w:rsid w:val="00DC677E"/>
    <w:rsid w:val="00DC6B2C"/>
    <w:rsid w:val="00DC6E54"/>
    <w:rsid w:val="00DC6FA2"/>
    <w:rsid w:val="00DC714C"/>
    <w:rsid w:val="00DC7651"/>
    <w:rsid w:val="00DC79ED"/>
    <w:rsid w:val="00DC79EF"/>
    <w:rsid w:val="00DC7C30"/>
    <w:rsid w:val="00DC7CC1"/>
    <w:rsid w:val="00DC7F60"/>
    <w:rsid w:val="00DC7F96"/>
    <w:rsid w:val="00DD0342"/>
    <w:rsid w:val="00DD0450"/>
    <w:rsid w:val="00DD0B5A"/>
    <w:rsid w:val="00DD119F"/>
    <w:rsid w:val="00DD20DC"/>
    <w:rsid w:val="00DD26A6"/>
    <w:rsid w:val="00DD2C51"/>
    <w:rsid w:val="00DD2F7B"/>
    <w:rsid w:val="00DD31E2"/>
    <w:rsid w:val="00DD339C"/>
    <w:rsid w:val="00DD40DF"/>
    <w:rsid w:val="00DD48F4"/>
    <w:rsid w:val="00DD4A2C"/>
    <w:rsid w:val="00DD4C42"/>
    <w:rsid w:val="00DD4E3B"/>
    <w:rsid w:val="00DD4FC7"/>
    <w:rsid w:val="00DD53FF"/>
    <w:rsid w:val="00DD5E24"/>
    <w:rsid w:val="00DD63B6"/>
    <w:rsid w:val="00DD64C0"/>
    <w:rsid w:val="00DD6546"/>
    <w:rsid w:val="00DD691A"/>
    <w:rsid w:val="00DD6A4B"/>
    <w:rsid w:val="00DD6A4D"/>
    <w:rsid w:val="00DD6A85"/>
    <w:rsid w:val="00DD6E24"/>
    <w:rsid w:val="00DD75C2"/>
    <w:rsid w:val="00DE0468"/>
    <w:rsid w:val="00DE04B2"/>
    <w:rsid w:val="00DE04FA"/>
    <w:rsid w:val="00DE0C23"/>
    <w:rsid w:val="00DE0D2A"/>
    <w:rsid w:val="00DE14A2"/>
    <w:rsid w:val="00DE1B30"/>
    <w:rsid w:val="00DE1ED5"/>
    <w:rsid w:val="00DE23C8"/>
    <w:rsid w:val="00DE25AF"/>
    <w:rsid w:val="00DE29BA"/>
    <w:rsid w:val="00DE2E79"/>
    <w:rsid w:val="00DE2F0B"/>
    <w:rsid w:val="00DE31BD"/>
    <w:rsid w:val="00DE342F"/>
    <w:rsid w:val="00DE34B7"/>
    <w:rsid w:val="00DE38F1"/>
    <w:rsid w:val="00DE3939"/>
    <w:rsid w:val="00DE4077"/>
    <w:rsid w:val="00DE418C"/>
    <w:rsid w:val="00DE4CF9"/>
    <w:rsid w:val="00DE5060"/>
    <w:rsid w:val="00DE52B0"/>
    <w:rsid w:val="00DE538D"/>
    <w:rsid w:val="00DE588D"/>
    <w:rsid w:val="00DE5A96"/>
    <w:rsid w:val="00DE5FEF"/>
    <w:rsid w:val="00DE62FD"/>
    <w:rsid w:val="00DE6522"/>
    <w:rsid w:val="00DE73EA"/>
    <w:rsid w:val="00DE74B8"/>
    <w:rsid w:val="00DE77B5"/>
    <w:rsid w:val="00DE7BE0"/>
    <w:rsid w:val="00DE7F23"/>
    <w:rsid w:val="00DF0070"/>
    <w:rsid w:val="00DF013B"/>
    <w:rsid w:val="00DF0879"/>
    <w:rsid w:val="00DF08D5"/>
    <w:rsid w:val="00DF114D"/>
    <w:rsid w:val="00DF12AD"/>
    <w:rsid w:val="00DF1623"/>
    <w:rsid w:val="00DF16CC"/>
    <w:rsid w:val="00DF1AF7"/>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61F1"/>
    <w:rsid w:val="00DF66A6"/>
    <w:rsid w:val="00DF67C0"/>
    <w:rsid w:val="00DF6A92"/>
    <w:rsid w:val="00DF79B9"/>
    <w:rsid w:val="00E004CC"/>
    <w:rsid w:val="00E00E4A"/>
    <w:rsid w:val="00E0122C"/>
    <w:rsid w:val="00E01BB5"/>
    <w:rsid w:val="00E01BB6"/>
    <w:rsid w:val="00E01EF6"/>
    <w:rsid w:val="00E0246E"/>
    <w:rsid w:val="00E025F8"/>
    <w:rsid w:val="00E027FF"/>
    <w:rsid w:val="00E02868"/>
    <w:rsid w:val="00E02B52"/>
    <w:rsid w:val="00E032BA"/>
    <w:rsid w:val="00E038C5"/>
    <w:rsid w:val="00E03C0C"/>
    <w:rsid w:val="00E03CB8"/>
    <w:rsid w:val="00E03E3B"/>
    <w:rsid w:val="00E03EE8"/>
    <w:rsid w:val="00E04589"/>
    <w:rsid w:val="00E04694"/>
    <w:rsid w:val="00E04D05"/>
    <w:rsid w:val="00E04FC1"/>
    <w:rsid w:val="00E0500A"/>
    <w:rsid w:val="00E05239"/>
    <w:rsid w:val="00E05480"/>
    <w:rsid w:val="00E0572B"/>
    <w:rsid w:val="00E05AD0"/>
    <w:rsid w:val="00E05B93"/>
    <w:rsid w:val="00E05EB9"/>
    <w:rsid w:val="00E05EEF"/>
    <w:rsid w:val="00E065FF"/>
    <w:rsid w:val="00E06B38"/>
    <w:rsid w:val="00E06BE5"/>
    <w:rsid w:val="00E06D9E"/>
    <w:rsid w:val="00E07340"/>
    <w:rsid w:val="00E0747D"/>
    <w:rsid w:val="00E078BB"/>
    <w:rsid w:val="00E102DF"/>
    <w:rsid w:val="00E105E6"/>
    <w:rsid w:val="00E10B52"/>
    <w:rsid w:val="00E11B2D"/>
    <w:rsid w:val="00E11D5A"/>
    <w:rsid w:val="00E1214E"/>
    <w:rsid w:val="00E128D8"/>
    <w:rsid w:val="00E12B39"/>
    <w:rsid w:val="00E12C41"/>
    <w:rsid w:val="00E12C42"/>
    <w:rsid w:val="00E12DF1"/>
    <w:rsid w:val="00E130F6"/>
    <w:rsid w:val="00E132D9"/>
    <w:rsid w:val="00E13827"/>
    <w:rsid w:val="00E13CD4"/>
    <w:rsid w:val="00E13CEC"/>
    <w:rsid w:val="00E13D5C"/>
    <w:rsid w:val="00E14106"/>
    <w:rsid w:val="00E147D9"/>
    <w:rsid w:val="00E155A9"/>
    <w:rsid w:val="00E158A0"/>
    <w:rsid w:val="00E15E54"/>
    <w:rsid w:val="00E16160"/>
    <w:rsid w:val="00E165B5"/>
    <w:rsid w:val="00E1688A"/>
    <w:rsid w:val="00E170B3"/>
    <w:rsid w:val="00E1728C"/>
    <w:rsid w:val="00E17A0A"/>
    <w:rsid w:val="00E17ED6"/>
    <w:rsid w:val="00E20C89"/>
    <w:rsid w:val="00E20E5E"/>
    <w:rsid w:val="00E20EEF"/>
    <w:rsid w:val="00E2102F"/>
    <w:rsid w:val="00E2132B"/>
    <w:rsid w:val="00E2178B"/>
    <w:rsid w:val="00E217B6"/>
    <w:rsid w:val="00E219DF"/>
    <w:rsid w:val="00E21E3A"/>
    <w:rsid w:val="00E22193"/>
    <w:rsid w:val="00E22530"/>
    <w:rsid w:val="00E226B3"/>
    <w:rsid w:val="00E227DA"/>
    <w:rsid w:val="00E22A00"/>
    <w:rsid w:val="00E22F13"/>
    <w:rsid w:val="00E232AF"/>
    <w:rsid w:val="00E232B1"/>
    <w:rsid w:val="00E232BB"/>
    <w:rsid w:val="00E232D3"/>
    <w:rsid w:val="00E2333B"/>
    <w:rsid w:val="00E23573"/>
    <w:rsid w:val="00E23FA8"/>
    <w:rsid w:val="00E24145"/>
    <w:rsid w:val="00E2429B"/>
    <w:rsid w:val="00E24353"/>
    <w:rsid w:val="00E2435E"/>
    <w:rsid w:val="00E245CE"/>
    <w:rsid w:val="00E248AC"/>
    <w:rsid w:val="00E24C05"/>
    <w:rsid w:val="00E24C32"/>
    <w:rsid w:val="00E24FA1"/>
    <w:rsid w:val="00E2506A"/>
    <w:rsid w:val="00E25107"/>
    <w:rsid w:val="00E251ED"/>
    <w:rsid w:val="00E255A3"/>
    <w:rsid w:val="00E256EE"/>
    <w:rsid w:val="00E25B33"/>
    <w:rsid w:val="00E26053"/>
    <w:rsid w:val="00E2616F"/>
    <w:rsid w:val="00E26522"/>
    <w:rsid w:val="00E26758"/>
    <w:rsid w:val="00E268E3"/>
    <w:rsid w:val="00E269D2"/>
    <w:rsid w:val="00E26C0C"/>
    <w:rsid w:val="00E27117"/>
    <w:rsid w:val="00E27438"/>
    <w:rsid w:val="00E2744A"/>
    <w:rsid w:val="00E27BF0"/>
    <w:rsid w:val="00E27C97"/>
    <w:rsid w:val="00E27D03"/>
    <w:rsid w:val="00E27E69"/>
    <w:rsid w:val="00E27F81"/>
    <w:rsid w:val="00E27FA0"/>
    <w:rsid w:val="00E300E3"/>
    <w:rsid w:val="00E30B10"/>
    <w:rsid w:val="00E30BC0"/>
    <w:rsid w:val="00E30D9B"/>
    <w:rsid w:val="00E30F4B"/>
    <w:rsid w:val="00E31085"/>
    <w:rsid w:val="00E3128A"/>
    <w:rsid w:val="00E31452"/>
    <w:rsid w:val="00E319D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628"/>
    <w:rsid w:val="00E35E8C"/>
    <w:rsid w:val="00E3614F"/>
    <w:rsid w:val="00E37140"/>
    <w:rsid w:val="00E37193"/>
    <w:rsid w:val="00E372DC"/>
    <w:rsid w:val="00E373BA"/>
    <w:rsid w:val="00E37427"/>
    <w:rsid w:val="00E37AF0"/>
    <w:rsid w:val="00E37CBC"/>
    <w:rsid w:val="00E37CC1"/>
    <w:rsid w:val="00E406E1"/>
    <w:rsid w:val="00E409C1"/>
    <w:rsid w:val="00E40BE0"/>
    <w:rsid w:val="00E40C13"/>
    <w:rsid w:val="00E40EF0"/>
    <w:rsid w:val="00E40F5E"/>
    <w:rsid w:val="00E415E8"/>
    <w:rsid w:val="00E416FC"/>
    <w:rsid w:val="00E41D70"/>
    <w:rsid w:val="00E42214"/>
    <w:rsid w:val="00E422FF"/>
    <w:rsid w:val="00E42848"/>
    <w:rsid w:val="00E42CF8"/>
    <w:rsid w:val="00E42E23"/>
    <w:rsid w:val="00E431D5"/>
    <w:rsid w:val="00E432AF"/>
    <w:rsid w:val="00E43D5F"/>
    <w:rsid w:val="00E43E85"/>
    <w:rsid w:val="00E44072"/>
    <w:rsid w:val="00E44494"/>
    <w:rsid w:val="00E44920"/>
    <w:rsid w:val="00E44F5C"/>
    <w:rsid w:val="00E457D9"/>
    <w:rsid w:val="00E457DB"/>
    <w:rsid w:val="00E45900"/>
    <w:rsid w:val="00E45AAF"/>
    <w:rsid w:val="00E45B2C"/>
    <w:rsid w:val="00E45B37"/>
    <w:rsid w:val="00E45C89"/>
    <w:rsid w:val="00E45E54"/>
    <w:rsid w:val="00E46327"/>
    <w:rsid w:val="00E4669C"/>
    <w:rsid w:val="00E469C6"/>
    <w:rsid w:val="00E46FDA"/>
    <w:rsid w:val="00E47078"/>
    <w:rsid w:val="00E47A1E"/>
    <w:rsid w:val="00E47EFE"/>
    <w:rsid w:val="00E5009A"/>
    <w:rsid w:val="00E50262"/>
    <w:rsid w:val="00E505DF"/>
    <w:rsid w:val="00E50600"/>
    <w:rsid w:val="00E50712"/>
    <w:rsid w:val="00E50D5F"/>
    <w:rsid w:val="00E5142C"/>
    <w:rsid w:val="00E51858"/>
    <w:rsid w:val="00E51F1C"/>
    <w:rsid w:val="00E525AB"/>
    <w:rsid w:val="00E5261F"/>
    <w:rsid w:val="00E526CF"/>
    <w:rsid w:val="00E52888"/>
    <w:rsid w:val="00E52A9F"/>
    <w:rsid w:val="00E52B09"/>
    <w:rsid w:val="00E52B1B"/>
    <w:rsid w:val="00E52FA6"/>
    <w:rsid w:val="00E531E8"/>
    <w:rsid w:val="00E53564"/>
    <w:rsid w:val="00E53773"/>
    <w:rsid w:val="00E5445B"/>
    <w:rsid w:val="00E544F8"/>
    <w:rsid w:val="00E553A5"/>
    <w:rsid w:val="00E55543"/>
    <w:rsid w:val="00E55613"/>
    <w:rsid w:val="00E55894"/>
    <w:rsid w:val="00E558A5"/>
    <w:rsid w:val="00E55B76"/>
    <w:rsid w:val="00E55D00"/>
    <w:rsid w:val="00E55DE0"/>
    <w:rsid w:val="00E5655B"/>
    <w:rsid w:val="00E56673"/>
    <w:rsid w:val="00E57003"/>
    <w:rsid w:val="00E570AC"/>
    <w:rsid w:val="00E5743A"/>
    <w:rsid w:val="00E57444"/>
    <w:rsid w:val="00E57E79"/>
    <w:rsid w:val="00E57EEC"/>
    <w:rsid w:val="00E601E9"/>
    <w:rsid w:val="00E6057E"/>
    <w:rsid w:val="00E606C4"/>
    <w:rsid w:val="00E6090F"/>
    <w:rsid w:val="00E60AF7"/>
    <w:rsid w:val="00E615DE"/>
    <w:rsid w:val="00E61D87"/>
    <w:rsid w:val="00E61DE6"/>
    <w:rsid w:val="00E61F7E"/>
    <w:rsid w:val="00E62D84"/>
    <w:rsid w:val="00E63020"/>
    <w:rsid w:val="00E630D8"/>
    <w:rsid w:val="00E63C7B"/>
    <w:rsid w:val="00E63F64"/>
    <w:rsid w:val="00E64099"/>
    <w:rsid w:val="00E64120"/>
    <w:rsid w:val="00E64D22"/>
    <w:rsid w:val="00E64ED5"/>
    <w:rsid w:val="00E656CD"/>
    <w:rsid w:val="00E658CA"/>
    <w:rsid w:val="00E659B3"/>
    <w:rsid w:val="00E65C68"/>
    <w:rsid w:val="00E65E24"/>
    <w:rsid w:val="00E65F02"/>
    <w:rsid w:val="00E66106"/>
    <w:rsid w:val="00E6644D"/>
    <w:rsid w:val="00E66BEB"/>
    <w:rsid w:val="00E66C45"/>
    <w:rsid w:val="00E66CAD"/>
    <w:rsid w:val="00E66D0D"/>
    <w:rsid w:val="00E67591"/>
    <w:rsid w:val="00E67746"/>
    <w:rsid w:val="00E67BFA"/>
    <w:rsid w:val="00E67CC8"/>
    <w:rsid w:val="00E7006B"/>
    <w:rsid w:val="00E700D9"/>
    <w:rsid w:val="00E70359"/>
    <w:rsid w:val="00E7097D"/>
    <w:rsid w:val="00E70C63"/>
    <w:rsid w:val="00E70F62"/>
    <w:rsid w:val="00E710B2"/>
    <w:rsid w:val="00E7152A"/>
    <w:rsid w:val="00E71DF5"/>
    <w:rsid w:val="00E71F8C"/>
    <w:rsid w:val="00E72592"/>
    <w:rsid w:val="00E72680"/>
    <w:rsid w:val="00E72B34"/>
    <w:rsid w:val="00E736CD"/>
    <w:rsid w:val="00E7391A"/>
    <w:rsid w:val="00E73D1E"/>
    <w:rsid w:val="00E7409E"/>
    <w:rsid w:val="00E745B7"/>
    <w:rsid w:val="00E7471C"/>
    <w:rsid w:val="00E74D37"/>
    <w:rsid w:val="00E74EAE"/>
    <w:rsid w:val="00E750EC"/>
    <w:rsid w:val="00E75291"/>
    <w:rsid w:val="00E75A44"/>
    <w:rsid w:val="00E76018"/>
    <w:rsid w:val="00E76088"/>
    <w:rsid w:val="00E768C2"/>
    <w:rsid w:val="00E772CA"/>
    <w:rsid w:val="00E77470"/>
    <w:rsid w:val="00E77E7A"/>
    <w:rsid w:val="00E801D0"/>
    <w:rsid w:val="00E805F3"/>
    <w:rsid w:val="00E80864"/>
    <w:rsid w:val="00E81735"/>
    <w:rsid w:val="00E81990"/>
    <w:rsid w:val="00E81C2D"/>
    <w:rsid w:val="00E81D8F"/>
    <w:rsid w:val="00E823BE"/>
    <w:rsid w:val="00E82938"/>
    <w:rsid w:val="00E82BE9"/>
    <w:rsid w:val="00E82F2F"/>
    <w:rsid w:val="00E836D1"/>
    <w:rsid w:val="00E83A56"/>
    <w:rsid w:val="00E844D0"/>
    <w:rsid w:val="00E8485B"/>
    <w:rsid w:val="00E848C1"/>
    <w:rsid w:val="00E84937"/>
    <w:rsid w:val="00E84D27"/>
    <w:rsid w:val="00E84DA3"/>
    <w:rsid w:val="00E84F1B"/>
    <w:rsid w:val="00E8518A"/>
    <w:rsid w:val="00E85431"/>
    <w:rsid w:val="00E85CE7"/>
    <w:rsid w:val="00E85D81"/>
    <w:rsid w:val="00E85EF5"/>
    <w:rsid w:val="00E85F04"/>
    <w:rsid w:val="00E85FA8"/>
    <w:rsid w:val="00E8617B"/>
    <w:rsid w:val="00E862D0"/>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F34"/>
    <w:rsid w:val="00E91175"/>
    <w:rsid w:val="00E913DF"/>
    <w:rsid w:val="00E9147D"/>
    <w:rsid w:val="00E918DD"/>
    <w:rsid w:val="00E91A62"/>
    <w:rsid w:val="00E91A9A"/>
    <w:rsid w:val="00E91DF2"/>
    <w:rsid w:val="00E9258F"/>
    <w:rsid w:val="00E92C2C"/>
    <w:rsid w:val="00E92C87"/>
    <w:rsid w:val="00E93243"/>
    <w:rsid w:val="00E93878"/>
    <w:rsid w:val="00E9398C"/>
    <w:rsid w:val="00E93BA0"/>
    <w:rsid w:val="00E93EDF"/>
    <w:rsid w:val="00E940DF"/>
    <w:rsid w:val="00E9426D"/>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303"/>
    <w:rsid w:val="00EA3713"/>
    <w:rsid w:val="00EA3B1C"/>
    <w:rsid w:val="00EA3D4E"/>
    <w:rsid w:val="00EA4028"/>
    <w:rsid w:val="00EA42F9"/>
    <w:rsid w:val="00EA4563"/>
    <w:rsid w:val="00EA459E"/>
    <w:rsid w:val="00EA45F7"/>
    <w:rsid w:val="00EA494B"/>
    <w:rsid w:val="00EA4A8B"/>
    <w:rsid w:val="00EA4E89"/>
    <w:rsid w:val="00EA55DA"/>
    <w:rsid w:val="00EA5FC2"/>
    <w:rsid w:val="00EA61DA"/>
    <w:rsid w:val="00EA6C49"/>
    <w:rsid w:val="00EA778C"/>
    <w:rsid w:val="00EA7863"/>
    <w:rsid w:val="00EA7928"/>
    <w:rsid w:val="00EA7C92"/>
    <w:rsid w:val="00EA7CA9"/>
    <w:rsid w:val="00EB01FC"/>
    <w:rsid w:val="00EB09A2"/>
    <w:rsid w:val="00EB0A94"/>
    <w:rsid w:val="00EB0B1F"/>
    <w:rsid w:val="00EB0CD0"/>
    <w:rsid w:val="00EB1CA9"/>
    <w:rsid w:val="00EB1FCD"/>
    <w:rsid w:val="00EB2648"/>
    <w:rsid w:val="00EB2703"/>
    <w:rsid w:val="00EB2A94"/>
    <w:rsid w:val="00EB2D0C"/>
    <w:rsid w:val="00EB32CA"/>
    <w:rsid w:val="00EB3673"/>
    <w:rsid w:val="00EB3AD2"/>
    <w:rsid w:val="00EB3EBC"/>
    <w:rsid w:val="00EB4FF2"/>
    <w:rsid w:val="00EB505D"/>
    <w:rsid w:val="00EB51C6"/>
    <w:rsid w:val="00EB5266"/>
    <w:rsid w:val="00EB5466"/>
    <w:rsid w:val="00EB577F"/>
    <w:rsid w:val="00EB59EC"/>
    <w:rsid w:val="00EB5FB8"/>
    <w:rsid w:val="00EB611C"/>
    <w:rsid w:val="00EB6655"/>
    <w:rsid w:val="00EB6931"/>
    <w:rsid w:val="00EB6BBA"/>
    <w:rsid w:val="00EB6D38"/>
    <w:rsid w:val="00EB71B2"/>
    <w:rsid w:val="00EB71F8"/>
    <w:rsid w:val="00EB733C"/>
    <w:rsid w:val="00EC0693"/>
    <w:rsid w:val="00EC07C1"/>
    <w:rsid w:val="00EC0AC9"/>
    <w:rsid w:val="00EC0B94"/>
    <w:rsid w:val="00EC0D96"/>
    <w:rsid w:val="00EC10D4"/>
    <w:rsid w:val="00EC121D"/>
    <w:rsid w:val="00EC183E"/>
    <w:rsid w:val="00EC2575"/>
    <w:rsid w:val="00EC276B"/>
    <w:rsid w:val="00EC2805"/>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D6D"/>
    <w:rsid w:val="00EC6243"/>
    <w:rsid w:val="00EC667C"/>
    <w:rsid w:val="00EC6B82"/>
    <w:rsid w:val="00EC6C24"/>
    <w:rsid w:val="00EC727F"/>
    <w:rsid w:val="00EC72E6"/>
    <w:rsid w:val="00EC78C3"/>
    <w:rsid w:val="00EC7906"/>
    <w:rsid w:val="00EC7B2A"/>
    <w:rsid w:val="00EC7D34"/>
    <w:rsid w:val="00EC7EA6"/>
    <w:rsid w:val="00EC7EB9"/>
    <w:rsid w:val="00EC7F04"/>
    <w:rsid w:val="00ED01B7"/>
    <w:rsid w:val="00ED01C8"/>
    <w:rsid w:val="00ED0B2F"/>
    <w:rsid w:val="00ED0B9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4631"/>
    <w:rsid w:val="00ED482E"/>
    <w:rsid w:val="00ED4E0B"/>
    <w:rsid w:val="00ED51BA"/>
    <w:rsid w:val="00ED550D"/>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5D7"/>
    <w:rsid w:val="00EE1D4E"/>
    <w:rsid w:val="00EE1D9B"/>
    <w:rsid w:val="00EE2830"/>
    <w:rsid w:val="00EE2F3A"/>
    <w:rsid w:val="00EE2F90"/>
    <w:rsid w:val="00EE3070"/>
    <w:rsid w:val="00EE322B"/>
    <w:rsid w:val="00EE3245"/>
    <w:rsid w:val="00EE3563"/>
    <w:rsid w:val="00EE3B33"/>
    <w:rsid w:val="00EE3CA8"/>
    <w:rsid w:val="00EE3CDA"/>
    <w:rsid w:val="00EE3D6F"/>
    <w:rsid w:val="00EE41EA"/>
    <w:rsid w:val="00EE4A00"/>
    <w:rsid w:val="00EE4C02"/>
    <w:rsid w:val="00EE4EDB"/>
    <w:rsid w:val="00EE55AC"/>
    <w:rsid w:val="00EE68CF"/>
    <w:rsid w:val="00EE6AC7"/>
    <w:rsid w:val="00EE6E66"/>
    <w:rsid w:val="00EE6F77"/>
    <w:rsid w:val="00EE6FA6"/>
    <w:rsid w:val="00EE704A"/>
    <w:rsid w:val="00EE723F"/>
    <w:rsid w:val="00EE75CB"/>
    <w:rsid w:val="00EF01B9"/>
    <w:rsid w:val="00EF0E4F"/>
    <w:rsid w:val="00EF1063"/>
    <w:rsid w:val="00EF164F"/>
    <w:rsid w:val="00EF2424"/>
    <w:rsid w:val="00EF248E"/>
    <w:rsid w:val="00EF2BF3"/>
    <w:rsid w:val="00EF2C31"/>
    <w:rsid w:val="00EF3132"/>
    <w:rsid w:val="00EF327C"/>
    <w:rsid w:val="00EF37C6"/>
    <w:rsid w:val="00EF3817"/>
    <w:rsid w:val="00EF39AC"/>
    <w:rsid w:val="00EF3ADB"/>
    <w:rsid w:val="00EF3E70"/>
    <w:rsid w:val="00EF493A"/>
    <w:rsid w:val="00EF4A69"/>
    <w:rsid w:val="00EF4F1E"/>
    <w:rsid w:val="00EF4F85"/>
    <w:rsid w:val="00EF53E0"/>
    <w:rsid w:val="00EF56F5"/>
    <w:rsid w:val="00EF57B6"/>
    <w:rsid w:val="00EF59A1"/>
    <w:rsid w:val="00EF5A5C"/>
    <w:rsid w:val="00EF616C"/>
    <w:rsid w:val="00EF65EE"/>
    <w:rsid w:val="00EF6622"/>
    <w:rsid w:val="00EF6A66"/>
    <w:rsid w:val="00EF6B52"/>
    <w:rsid w:val="00EF6E0E"/>
    <w:rsid w:val="00EF718F"/>
    <w:rsid w:val="00EF71D1"/>
    <w:rsid w:val="00EF723F"/>
    <w:rsid w:val="00EF7283"/>
    <w:rsid w:val="00EF7738"/>
    <w:rsid w:val="00EF78A5"/>
    <w:rsid w:val="00EF7CDF"/>
    <w:rsid w:val="00EF7FE0"/>
    <w:rsid w:val="00F00086"/>
    <w:rsid w:val="00F00159"/>
    <w:rsid w:val="00F008DA"/>
    <w:rsid w:val="00F00DFD"/>
    <w:rsid w:val="00F01073"/>
    <w:rsid w:val="00F01453"/>
    <w:rsid w:val="00F02149"/>
    <w:rsid w:val="00F026FA"/>
    <w:rsid w:val="00F03092"/>
    <w:rsid w:val="00F03530"/>
    <w:rsid w:val="00F03533"/>
    <w:rsid w:val="00F03782"/>
    <w:rsid w:val="00F03AB0"/>
    <w:rsid w:val="00F0402C"/>
    <w:rsid w:val="00F04359"/>
    <w:rsid w:val="00F04924"/>
    <w:rsid w:val="00F04A71"/>
    <w:rsid w:val="00F04BC5"/>
    <w:rsid w:val="00F04DD3"/>
    <w:rsid w:val="00F05B9C"/>
    <w:rsid w:val="00F05E05"/>
    <w:rsid w:val="00F05FAA"/>
    <w:rsid w:val="00F06CE3"/>
    <w:rsid w:val="00F06E71"/>
    <w:rsid w:val="00F071B9"/>
    <w:rsid w:val="00F07F1F"/>
    <w:rsid w:val="00F10984"/>
    <w:rsid w:val="00F10AEA"/>
    <w:rsid w:val="00F1103E"/>
    <w:rsid w:val="00F110B3"/>
    <w:rsid w:val="00F113FB"/>
    <w:rsid w:val="00F11BEC"/>
    <w:rsid w:val="00F11EEA"/>
    <w:rsid w:val="00F11F0B"/>
    <w:rsid w:val="00F12049"/>
    <w:rsid w:val="00F1231D"/>
    <w:rsid w:val="00F126D9"/>
    <w:rsid w:val="00F12760"/>
    <w:rsid w:val="00F129ED"/>
    <w:rsid w:val="00F12EA2"/>
    <w:rsid w:val="00F12FA8"/>
    <w:rsid w:val="00F134E4"/>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301"/>
    <w:rsid w:val="00F175FB"/>
    <w:rsid w:val="00F17755"/>
    <w:rsid w:val="00F17C13"/>
    <w:rsid w:val="00F17F66"/>
    <w:rsid w:val="00F17F69"/>
    <w:rsid w:val="00F209DE"/>
    <w:rsid w:val="00F20B4F"/>
    <w:rsid w:val="00F20C51"/>
    <w:rsid w:val="00F20C9E"/>
    <w:rsid w:val="00F20EC6"/>
    <w:rsid w:val="00F21AD6"/>
    <w:rsid w:val="00F22484"/>
    <w:rsid w:val="00F224CD"/>
    <w:rsid w:val="00F22529"/>
    <w:rsid w:val="00F227B3"/>
    <w:rsid w:val="00F227CB"/>
    <w:rsid w:val="00F22B98"/>
    <w:rsid w:val="00F232E9"/>
    <w:rsid w:val="00F23534"/>
    <w:rsid w:val="00F23C3D"/>
    <w:rsid w:val="00F23ECB"/>
    <w:rsid w:val="00F2426F"/>
    <w:rsid w:val="00F249F7"/>
    <w:rsid w:val="00F24A60"/>
    <w:rsid w:val="00F24EDE"/>
    <w:rsid w:val="00F24F0D"/>
    <w:rsid w:val="00F24F18"/>
    <w:rsid w:val="00F251D3"/>
    <w:rsid w:val="00F2524B"/>
    <w:rsid w:val="00F25337"/>
    <w:rsid w:val="00F257D9"/>
    <w:rsid w:val="00F26056"/>
    <w:rsid w:val="00F2657C"/>
    <w:rsid w:val="00F26807"/>
    <w:rsid w:val="00F26B26"/>
    <w:rsid w:val="00F26C10"/>
    <w:rsid w:val="00F26F67"/>
    <w:rsid w:val="00F26FCB"/>
    <w:rsid w:val="00F27028"/>
    <w:rsid w:val="00F279EE"/>
    <w:rsid w:val="00F27C65"/>
    <w:rsid w:val="00F304A5"/>
    <w:rsid w:val="00F304D2"/>
    <w:rsid w:val="00F3055B"/>
    <w:rsid w:val="00F3082C"/>
    <w:rsid w:val="00F30888"/>
    <w:rsid w:val="00F30ABD"/>
    <w:rsid w:val="00F30CE0"/>
    <w:rsid w:val="00F30D6A"/>
    <w:rsid w:val="00F30E27"/>
    <w:rsid w:val="00F30FAB"/>
    <w:rsid w:val="00F310F7"/>
    <w:rsid w:val="00F311C3"/>
    <w:rsid w:val="00F31FF4"/>
    <w:rsid w:val="00F322C3"/>
    <w:rsid w:val="00F3239E"/>
    <w:rsid w:val="00F32875"/>
    <w:rsid w:val="00F32AA8"/>
    <w:rsid w:val="00F32BD9"/>
    <w:rsid w:val="00F332AF"/>
    <w:rsid w:val="00F333CE"/>
    <w:rsid w:val="00F334B7"/>
    <w:rsid w:val="00F3353A"/>
    <w:rsid w:val="00F3356D"/>
    <w:rsid w:val="00F33EA9"/>
    <w:rsid w:val="00F33F2F"/>
    <w:rsid w:val="00F33FCE"/>
    <w:rsid w:val="00F34029"/>
    <w:rsid w:val="00F341F6"/>
    <w:rsid w:val="00F34483"/>
    <w:rsid w:val="00F34722"/>
    <w:rsid w:val="00F347A4"/>
    <w:rsid w:val="00F3485F"/>
    <w:rsid w:val="00F3489B"/>
    <w:rsid w:val="00F35627"/>
    <w:rsid w:val="00F359B3"/>
    <w:rsid w:val="00F35B7C"/>
    <w:rsid w:val="00F36645"/>
    <w:rsid w:val="00F3675B"/>
    <w:rsid w:val="00F36777"/>
    <w:rsid w:val="00F369A0"/>
    <w:rsid w:val="00F36B02"/>
    <w:rsid w:val="00F36E8C"/>
    <w:rsid w:val="00F36E93"/>
    <w:rsid w:val="00F37139"/>
    <w:rsid w:val="00F37832"/>
    <w:rsid w:val="00F37C0C"/>
    <w:rsid w:val="00F40169"/>
    <w:rsid w:val="00F401D5"/>
    <w:rsid w:val="00F40873"/>
    <w:rsid w:val="00F40B75"/>
    <w:rsid w:val="00F40C62"/>
    <w:rsid w:val="00F40CD8"/>
    <w:rsid w:val="00F40D9F"/>
    <w:rsid w:val="00F4119B"/>
    <w:rsid w:val="00F417F4"/>
    <w:rsid w:val="00F41879"/>
    <w:rsid w:val="00F41AA3"/>
    <w:rsid w:val="00F41AB2"/>
    <w:rsid w:val="00F41ADB"/>
    <w:rsid w:val="00F42173"/>
    <w:rsid w:val="00F42728"/>
    <w:rsid w:val="00F42A00"/>
    <w:rsid w:val="00F42F6A"/>
    <w:rsid w:val="00F42F9F"/>
    <w:rsid w:val="00F42FEE"/>
    <w:rsid w:val="00F438FE"/>
    <w:rsid w:val="00F43DE6"/>
    <w:rsid w:val="00F43E18"/>
    <w:rsid w:val="00F440C9"/>
    <w:rsid w:val="00F4414E"/>
    <w:rsid w:val="00F44356"/>
    <w:rsid w:val="00F4473E"/>
    <w:rsid w:val="00F447C9"/>
    <w:rsid w:val="00F44B43"/>
    <w:rsid w:val="00F45065"/>
    <w:rsid w:val="00F45B79"/>
    <w:rsid w:val="00F46B4C"/>
    <w:rsid w:val="00F4711C"/>
    <w:rsid w:val="00F47ABF"/>
    <w:rsid w:val="00F5086A"/>
    <w:rsid w:val="00F50FBF"/>
    <w:rsid w:val="00F51121"/>
    <w:rsid w:val="00F513BB"/>
    <w:rsid w:val="00F51405"/>
    <w:rsid w:val="00F51658"/>
    <w:rsid w:val="00F517D3"/>
    <w:rsid w:val="00F51C74"/>
    <w:rsid w:val="00F521A4"/>
    <w:rsid w:val="00F5229C"/>
    <w:rsid w:val="00F526AF"/>
    <w:rsid w:val="00F52997"/>
    <w:rsid w:val="00F52F18"/>
    <w:rsid w:val="00F52F9F"/>
    <w:rsid w:val="00F52FB1"/>
    <w:rsid w:val="00F5342F"/>
    <w:rsid w:val="00F536BE"/>
    <w:rsid w:val="00F53CEE"/>
    <w:rsid w:val="00F542F8"/>
    <w:rsid w:val="00F5447B"/>
    <w:rsid w:val="00F54549"/>
    <w:rsid w:val="00F54C00"/>
    <w:rsid w:val="00F55B5C"/>
    <w:rsid w:val="00F5626C"/>
    <w:rsid w:val="00F5628B"/>
    <w:rsid w:val="00F5635A"/>
    <w:rsid w:val="00F56A78"/>
    <w:rsid w:val="00F56ABF"/>
    <w:rsid w:val="00F56D5F"/>
    <w:rsid w:val="00F56D8B"/>
    <w:rsid w:val="00F5742F"/>
    <w:rsid w:val="00F574D6"/>
    <w:rsid w:val="00F6010B"/>
    <w:rsid w:val="00F6025D"/>
    <w:rsid w:val="00F6068B"/>
    <w:rsid w:val="00F60890"/>
    <w:rsid w:val="00F60BAF"/>
    <w:rsid w:val="00F61588"/>
    <w:rsid w:val="00F61591"/>
    <w:rsid w:val="00F61657"/>
    <w:rsid w:val="00F61939"/>
    <w:rsid w:val="00F619E2"/>
    <w:rsid w:val="00F61AC5"/>
    <w:rsid w:val="00F6203A"/>
    <w:rsid w:val="00F623CB"/>
    <w:rsid w:val="00F6268B"/>
    <w:rsid w:val="00F62C32"/>
    <w:rsid w:val="00F63046"/>
    <w:rsid w:val="00F630C5"/>
    <w:rsid w:val="00F63502"/>
    <w:rsid w:val="00F63723"/>
    <w:rsid w:val="00F6386A"/>
    <w:rsid w:val="00F638BF"/>
    <w:rsid w:val="00F638DC"/>
    <w:rsid w:val="00F63A45"/>
    <w:rsid w:val="00F64150"/>
    <w:rsid w:val="00F64375"/>
    <w:rsid w:val="00F648DD"/>
    <w:rsid w:val="00F64C00"/>
    <w:rsid w:val="00F64D56"/>
    <w:rsid w:val="00F6519B"/>
    <w:rsid w:val="00F6538E"/>
    <w:rsid w:val="00F65651"/>
    <w:rsid w:val="00F656A6"/>
    <w:rsid w:val="00F65753"/>
    <w:rsid w:val="00F65931"/>
    <w:rsid w:val="00F65FF2"/>
    <w:rsid w:val="00F668EF"/>
    <w:rsid w:val="00F66A2D"/>
    <w:rsid w:val="00F66C00"/>
    <w:rsid w:val="00F6710C"/>
    <w:rsid w:val="00F6715E"/>
    <w:rsid w:val="00F6736B"/>
    <w:rsid w:val="00F676C3"/>
    <w:rsid w:val="00F678A7"/>
    <w:rsid w:val="00F678B6"/>
    <w:rsid w:val="00F679BF"/>
    <w:rsid w:val="00F67B9B"/>
    <w:rsid w:val="00F67F82"/>
    <w:rsid w:val="00F7058B"/>
    <w:rsid w:val="00F71753"/>
    <w:rsid w:val="00F72273"/>
    <w:rsid w:val="00F7262E"/>
    <w:rsid w:val="00F72789"/>
    <w:rsid w:val="00F72872"/>
    <w:rsid w:val="00F7292D"/>
    <w:rsid w:val="00F72B5B"/>
    <w:rsid w:val="00F72CD9"/>
    <w:rsid w:val="00F72D67"/>
    <w:rsid w:val="00F7303D"/>
    <w:rsid w:val="00F73773"/>
    <w:rsid w:val="00F741CD"/>
    <w:rsid w:val="00F74610"/>
    <w:rsid w:val="00F751E0"/>
    <w:rsid w:val="00F7536B"/>
    <w:rsid w:val="00F753C7"/>
    <w:rsid w:val="00F753F8"/>
    <w:rsid w:val="00F75546"/>
    <w:rsid w:val="00F7571A"/>
    <w:rsid w:val="00F7598D"/>
    <w:rsid w:val="00F76364"/>
    <w:rsid w:val="00F76994"/>
    <w:rsid w:val="00F77066"/>
    <w:rsid w:val="00F77537"/>
    <w:rsid w:val="00F7755E"/>
    <w:rsid w:val="00F77DB4"/>
    <w:rsid w:val="00F806D0"/>
    <w:rsid w:val="00F80DC6"/>
    <w:rsid w:val="00F818FE"/>
    <w:rsid w:val="00F81958"/>
    <w:rsid w:val="00F81EFC"/>
    <w:rsid w:val="00F8237E"/>
    <w:rsid w:val="00F82ACF"/>
    <w:rsid w:val="00F83821"/>
    <w:rsid w:val="00F83854"/>
    <w:rsid w:val="00F838F8"/>
    <w:rsid w:val="00F83AC7"/>
    <w:rsid w:val="00F83B3E"/>
    <w:rsid w:val="00F83D74"/>
    <w:rsid w:val="00F83D8B"/>
    <w:rsid w:val="00F83EBE"/>
    <w:rsid w:val="00F84308"/>
    <w:rsid w:val="00F844C6"/>
    <w:rsid w:val="00F84E11"/>
    <w:rsid w:val="00F85057"/>
    <w:rsid w:val="00F8519A"/>
    <w:rsid w:val="00F851D0"/>
    <w:rsid w:val="00F85370"/>
    <w:rsid w:val="00F858A6"/>
    <w:rsid w:val="00F85B74"/>
    <w:rsid w:val="00F85CDF"/>
    <w:rsid w:val="00F86009"/>
    <w:rsid w:val="00F86057"/>
    <w:rsid w:val="00F8646D"/>
    <w:rsid w:val="00F86915"/>
    <w:rsid w:val="00F86C58"/>
    <w:rsid w:val="00F87278"/>
    <w:rsid w:val="00F8789B"/>
    <w:rsid w:val="00F87DC0"/>
    <w:rsid w:val="00F904BB"/>
    <w:rsid w:val="00F90567"/>
    <w:rsid w:val="00F90583"/>
    <w:rsid w:val="00F90645"/>
    <w:rsid w:val="00F907F6"/>
    <w:rsid w:val="00F909A4"/>
    <w:rsid w:val="00F90EA1"/>
    <w:rsid w:val="00F912CC"/>
    <w:rsid w:val="00F917EF"/>
    <w:rsid w:val="00F91893"/>
    <w:rsid w:val="00F91A8F"/>
    <w:rsid w:val="00F91DF3"/>
    <w:rsid w:val="00F91E13"/>
    <w:rsid w:val="00F9213E"/>
    <w:rsid w:val="00F92E88"/>
    <w:rsid w:val="00F93926"/>
    <w:rsid w:val="00F93B67"/>
    <w:rsid w:val="00F93D47"/>
    <w:rsid w:val="00F93D9D"/>
    <w:rsid w:val="00F94015"/>
    <w:rsid w:val="00F94293"/>
    <w:rsid w:val="00F9429C"/>
    <w:rsid w:val="00F946E8"/>
    <w:rsid w:val="00F949D0"/>
    <w:rsid w:val="00F94DA3"/>
    <w:rsid w:val="00F971B5"/>
    <w:rsid w:val="00F9779A"/>
    <w:rsid w:val="00F979A2"/>
    <w:rsid w:val="00FA0018"/>
    <w:rsid w:val="00FA0146"/>
    <w:rsid w:val="00FA0B99"/>
    <w:rsid w:val="00FA14D8"/>
    <w:rsid w:val="00FA1975"/>
    <w:rsid w:val="00FA198F"/>
    <w:rsid w:val="00FA1CB9"/>
    <w:rsid w:val="00FA1E20"/>
    <w:rsid w:val="00FA1E55"/>
    <w:rsid w:val="00FA250B"/>
    <w:rsid w:val="00FA2B97"/>
    <w:rsid w:val="00FA2C42"/>
    <w:rsid w:val="00FA2D3A"/>
    <w:rsid w:val="00FA34A8"/>
    <w:rsid w:val="00FA3592"/>
    <w:rsid w:val="00FA3786"/>
    <w:rsid w:val="00FA3794"/>
    <w:rsid w:val="00FA3CF8"/>
    <w:rsid w:val="00FA3DB2"/>
    <w:rsid w:val="00FA3E39"/>
    <w:rsid w:val="00FA4189"/>
    <w:rsid w:val="00FA42FC"/>
    <w:rsid w:val="00FA4670"/>
    <w:rsid w:val="00FA48FD"/>
    <w:rsid w:val="00FA4BD8"/>
    <w:rsid w:val="00FA4FE7"/>
    <w:rsid w:val="00FA4FE8"/>
    <w:rsid w:val="00FA57C3"/>
    <w:rsid w:val="00FA5FBC"/>
    <w:rsid w:val="00FA6357"/>
    <w:rsid w:val="00FA67F4"/>
    <w:rsid w:val="00FA68E4"/>
    <w:rsid w:val="00FA6E45"/>
    <w:rsid w:val="00FA72AA"/>
    <w:rsid w:val="00FA7736"/>
    <w:rsid w:val="00FA7A8B"/>
    <w:rsid w:val="00FA7EC2"/>
    <w:rsid w:val="00FB05D1"/>
    <w:rsid w:val="00FB0DBD"/>
    <w:rsid w:val="00FB11A7"/>
    <w:rsid w:val="00FB1F22"/>
    <w:rsid w:val="00FB20EE"/>
    <w:rsid w:val="00FB21EE"/>
    <w:rsid w:val="00FB2D84"/>
    <w:rsid w:val="00FB3310"/>
    <w:rsid w:val="00FB3345"/>
    <w:rsid w:val="00FB34AE"/>
    <w:rsid w:val="00FB3604"/>
    <w:rsid w:val="00FB379F"/>
    <w:rsid w:val="00FB3EE7"/>
    <w:rsid w:val="00FB3FD0"/>
    <w:rsid w:val="00FB40AE"/>
    <w:rsid w:val="00FB40FB"/>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F28"/>
    <w:rsid w:val="00FC0267"/>
    <w:rsid w:val="00FC04C9"/>
    <w:rsid w:val="00FC0779"/>
    <w:rsid w:val="00FC0C22"/>
    <w:rsid w:val="00FC17F7"/>
    <w:rsid w:val="00FC1CAB"/>
    <w:rsid w:val="00FC1E45"/>
    <w:rsid w:val="00FC2021"/>
    <w:rsid w:val="00FC21C7"/>
    <w:rsid w:val="00FC2451"/>
    <w:rsid w:val="00FC24BC"/>
    <w:rsid w:val="00FC2BD2"/>
    <w:rsid w:val="00FC2CCD"/>
    <w:rsid w:val="00FC2D3D"/>
    <w:rsid w:val="00FC2D3E"/>
    <w:rsid w:val="00FC30ED"/>
    <w:rsid w:val="00FC3428"/>
    <w:rsid w:val="00FC3592"/>
    <w:rsid w:val="00FC35C0"/>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F2B"/>
    <w:rsid w:val="00FC6F36"/>
    <w:rsid w:val="00FC72F8"/>
    <w:rsid w:val="00FC75AC"/>
    <w:rsid w:val="00FC77CF"/>
    <w:rsid w:val="00FC77D1"/>
    <w:rsid w:val="00FC7CE1"/>
    <w:rsid w:val="00FD03AB"/>
    <w:rsid w:val="00FD0575"/>
    <w:rsid w:val="00FD0710"/>
    <w:rsid w:val="00FD0D7E"/>
    <w:rsid w:val="00FD1000"/>
    <w:rsid w:val="00FD1545"/>
    <w:rsid w:val="00FD195E"/>
    <w:rsid w:val="00FD2190"/>
    <w:rsid w:val="00FD238E"/>
    <w:rsid w:val="00FD256E"/>
    <w:rsid w:val="00FD29F2"/>
    <w:rsid w:val="00FD2CC3"/>
    <w:rsid w:val="00FD2E26"/>
    <w:rsid w:val="00FD30A5"/>
    <w:rsid w:val="00FD30FB"/>
    <w:rsid w:val="00FD326D"/>
    <w:rsid w:val="00FD3740"/>
    <w:rsid w:val="00FD47D1"/>
    <w:rsid w:val="00FD4AB5"/>
    <w:rsid w:val="00FD4FC8"/>
    <w:rsid w:val="00FD4FD1"/>
    <w:rsid w:val="00FD51AF"/>
    <w:rsid w:val="00FD5282"/>
    <w:rsid w:val="00FD53D3"/>
    <w:rsid w:val="00FD543A"/>
    <w:rsid w:val="00FD57F6"/>
    <w:rsid w:val="00FD5AD4"/>
    <w:rsid w:val="00FD5BC3"/>
    <w:rsid w:val="00FD5BF3"/>
    <w:rsid w:val="00FD5EEC"/>
    <w:rsid w:val="00FD62DF"/>
    <w:rsid w:val="00FD657C"/>
    <w:rsid w:val="00FD6818"/>
    <w:rsid w:val="00FD686F"/>
    <w:rsid w:val="00FD691A"/>
    <w:rsid w:val="00FD752E"/>
    <w:rsid w:val="00FD7609"/>
    <w:rsid w:val="00FD765A"/>
    <w:rsid w:val="00FD7CB5"/>
    <w:rsid w:val="00FD7DC6"/>
    <w:rsid w:val="00FE0180"/>
    <w:rsid w:val="00FE02B8"/>
    <w:rsid w:val="00FE0350"/>
    <w:rsid w:val="00FE088C"/>
    <w:rsid w:val="00FE08C4"/>
    <w:rsid w:val="00FE12ED"/>
    <w:rsid w:val="00FE16BB"/>
    <w:rsid w:val="00FE16D2"/>
    <w:rsid w:val="00FE1961"/>
    <w:rsid w:val="00FE2017"/>
    <w:rsid w:val="00FE2A0B"/>
    <w:rsid w:val="00FE32FE"/>
    <w:rsid w:val="00FE3449"/>
    <w:rsid w:val="00FE3A56"/>
    <w:rsid w:val="00FE3BE9"/>
    <w:rsid w:val="00FE4080"/>
    <w:rsid w:val="00FE414F"/>
    <w:rsid w:val="00FE45BC"/>
    <w:rsid w:val="00FE4E01"/>
    <w:rsid w:val="00FE50FC"/>
    <w:rsid w:val="00FE5321"/>
    <w:rsid w:val="00FE5642"/>
    <w:rsid w:val="00FE5B59"/>
    <w:rsid w:val="00FE5DAE"/>
    <w:rsid w:val="00FE60B9"/>
    <w:rsid w:val="00FE60E9"/>
    <w:rsid w:val="00FE6274"/>
    <w:rsid w:val="00FE6404"/>
    <w:rsid w:val="00FE6651"/>
    <w:rsid w:val="00FE6F32"/>
    <w:rsid w:val="00FE7163"/>
    <w:rsid w:val="00FE71EF"/>
    <w:rsid w:val="00FE77C6"/>
    <w:rsid w:val="00FF0018"/>
    <w:rsid w:val="00FF03CA"/>
    <w:rsid w:val="00FF0528"/>
    <w:rsid w:val="00FF05C8"/>
    <w:rsid w:val="00FF05EF"/>
    <w:rsid w:val="00FF0DE2"/>
    <w:rsid w:val="00FF11DB"/>
    <w:rsid w:val="00FF170D"/>
    <w:rsid w:val="00FF1919"/>
    <w:rsid w:val="00FF1D73"/>
    <w:rsid w:val="00FF1F95"/>
    <w:rsid w:val="00FF212B"/>
    <w:rsid w:val="00FF2899"/>
    <w:rsid w:val="00FF2C90"/>
    <w:rsid w:val="00FF2EDE"/>
    <w:rsid w:val="00FF356A"/>
    <w:rsid w:val="00FF3E2C"/>
    <w:rsid w:val="00FF3EDD"/>
    <w:rsid w:val="00FF3F3E"/>
    <w:rsid w:val="00FF46CB"/>
    <w:rsid w:val="00FF494C"/>
    <w:rsid w:val="00FF4A69"/>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52A387E4"/>
  <w15:docId w15:val="{E792576C-2094-46FD-8A78-99EA6D1D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uiPriority="5" w:qFormat="1"/>
    <w:lsdException w:name="heading 3" w:locked="0" w:uiPriority="9" w:qFormat="1"/>
    <w:lsdException w:name="heading 4" w:uiPriority="6"/>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nhideWhenUsed="1"/>
    <w:lsdException w:name="header" w:semiHidden="1" w:uiPriority="99" w:unhideWhenUsed="1"/>
    <w:lsdException w:name="footer" w:locked="0" w:semiHidden="1" w:uiPriority="14" w:unhideWhenUsed="1"/>
    <w:lsdException w:name="index heading" w:semiHidden="1" w:unhideWhenUsed="1"/>
    <w:lsdException w:name="caption" w:semiHidden="1"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94348"/>
    <w:pPr>
      <w:spacing w:before="180" w:after="60" w:line="312" w:lineRule="auto"/>
    </w:pPr>
    <w:rPr>
      <w:rFonts w:asciiTheme="minorHAnsi" w:hAnsiTheme="minorHAnsi"/>
      <w:sz w:val="22"/>
      <w:szCs w:val="24"/>
    </w:rPr>
  </w:style>
  <w:style w:type="paragraph" w:styleId="Heading1">
    <w:name w:val="heading 1"/>
    <w:basedOn w:val="Normal"/>
    <w:next w:val="Normal"/>
    <w:link w:val="Heading1Char"/>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5"/>
    <w:qFormat/>
    <w:rsid w:val="00637CBF"/>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numPr>
        <w:ilvl w:val="2"/>
        <w:numId w:val="3"/>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Pr>
      <w:ind w:left="864"/>
      <w:outlineLvl w:val="3"/>
    </w:pPr>
    <w:rPr>
      <w:b w:val="0"/>
      <w:sz w:val="22"/>
    </w:rPr>
  </w:style>
  <w:style w:type="paragraph" w:styleId="Heading5">
    <w:name w:val="heading 5"/>
    <w:basedOn w:val="Normal"/>
    <w:next w:val="Normal"/>
    <w:uiPriority w:val="9"/>
    <w:qFormat/>
    <w:locked/>
    <w:rsid w:val="00E2102F"/>
    <w:pPr>
      <w:numPr>
        <w:ilvl w:val="4"/>
        <w:numId w:val="3"/>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
    <w:qFormat/>
    <w:locked/>
    <w:rsid w:val="00E2102F"/>
    <w:pPr>
      <w:numPr>
        <w:ilvl w:val="5"/>
        <w:numId w:val="3"/>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numPr>
        <w:ilvl w:val="6"/>
        <w:numId w:val="3"/>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Heading1"/>
    <w:link w:val="Header1Char"/>
    <w:uiPriority w:val="7"/>
    <w:qFormat/>
    <w:rsid w:val="0087705D"/>
    <w:pPr>
      <w:numPr>
        <w:numId w:val="0"/>
      </w:numPr>
      <w:pBdr>
        <w:bottom w:val="none" w:sz="0" w:space="0" w:color="auto"/>
      </w:pBdr>
      <w:spacing w:before="120" w:after="120" w:line="240" w:lineRule="auto"/>
    </w:pPr>
    <w:rPr>
      <w:rFonts w:ascii="Calibri" w:hAnsi="Calibri" w:cs="Calibri"/>
      <w:b w:val="0"/>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FE3449"/>
    <w:pPr>
      <w:numPr>
        <w:ilvl w:val="0"/>
        <w:numId w:val="0"/>
      </w:numPr>
      <w:spacing w:line="240" w:lineRule="auto"/>
    </w:pPr>
    <w:rPr>
      <w:rFonts w:ascii="Calibri" w:hAnsi="Calibri" w:cs="Calibri"/>
      <w:color w:val="auto"/>
      <w:sz w:val="24"/>
      <w:szCs w:val="22"/>
    </w:rPr>
  </w:style>
  <w:style w:type="character" w:customStyle="1" w:styleId="Header1Char">
    <w:name w:val="Header 1 Char"/>
    <w:basedOn w:val="DefaultParagraphFont"/>
    <w:link w:val="Header1"/>
    <w:uiPriority w:val="7"/>
    <w:rsid w:val="0087705D"/>
    <w:rPr>
      <w:rFonts w:ascii="Calibri" w:hAnsi="Calibri" w:cs="Calibri"/>
      <w:bCs/>
      <w:color w:val="01653F"/>
      <w:sz w:val="40"/>
      <w:szCs w:val="40"/>
      <w:lang w:val="en-US"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8">
    <w:name w:val="DNU8"/>
    <w:basedOn w:val="Normal"/>
    <w:uiPriority w:val="99"/>
    <w:locked/>
    <w:rsid w:val="0087705D"/>
    <w:pPr>
      <w:numPr>
        <w:ilvl w:val="2"/>
      </w:numPr>
      <w:spacing w:before="120"/>
      <w:ind w:right="142"/>
    </w:pPr>
    <w:rPr>
      <w:szCs w:val="20"/>
      <w:lang w:val="en-US" w:eastAsia="en-US"/>
    </w:r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qFormat/>
    <w:rsid w:val="00637CBF"/>
    <w:p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95B8C"/>
    <w:rPr>
      <w:rFonts w:ascii="Calibri" w:hAnsi="Calibri"/>
      <w:noProof/>
      <w:sz w:val="22"/>
      <w:szCs w:val="24"/>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67B4E"/>
    <w:pPr>
      <w:keepNext/>
      <w:widowControl w:val="0"/>
      <w:suppressAutoHyphens/>
      <w:autoSpaceDE w:val="0"/>
      <w:autoSpaceDN w:val="0"/>
      <w:adjustRightInd w:val="0"/>
      <w:spacing w:before="960" w:after="240" w:line="840" w:lineRule="atLeast"/>
      <w:textAlignment w:val="center"/>
    </w:pPr>
    <w:rPr>
      <w:rFonts w:cstheme="minorHAnsi"/>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67B4E"/>
    <w:pPr>
      <w:pBdr>
        <w:bottom w:val="single" w:sz="16" w:space="11" w:color="BFBFBF"/>
      </w:pBdr>
      <w:autoSpaceDE w:val="0"/>
      <w:autoSpaceDN w:val="0"/>
      <w:adjustRightInd w:val="0"/>
      <w:spacing w:before="120" w:after="120" w:line="240" w:lineRule="auto"/>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nhideWhenUsed/>
    <w:locked/>
    <w:rsid w:val="00A63CC5"/>
    <w:pPr>
      <w:spacing w:line="240" w:lineRule="auto"/>
    </w:pPr>
    <w:rPr>
      <w:sz w:val="20"/>
      <w:szCs w:val="20"/>
    </w:rPr>
  </w:style>
  <w:style w:type="character" w:customStyle="1" w:styleId="CommentTextChar">
    <w:name w:val="Comment Text Char"/>
    <w:basedOn w:val="DefaultParagraphFont"/>
    <w:link w:val="CommentText"/>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0"/>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locked/>
    <w:rsid w:val="002000B9"/>
    <w:rPr>
      <w:b/>
      <w:bCs/>
    </w:rPr>
  </w:style>
  <w:style w:type="paragraph" w:customStyle="1" w:styleId="01squarebullet">
    <w:name w:val="01 square bullet"/>
    <w:basedOn w:val="Normal"/>
    <w:link w:val="01squarebulletChar"/>
    <w:uiPriority w:val="3"/>
    <w:qFormat/>
    <w:rsid w:val="0080631E"/>
    <w:pPr>
      <w:numPr>
        <w:numId w:val="15"/>
      </w:numPr>
      <w:spacing w:before="120" w:line="240" w:lineRule="auto"/>
      <w:ind w:right="142"/>
    </w:pPr>
    <w:rPr>
      <w:szCs w:val="20"/>
      <w:lang w:val="en-US" w:eastAsia="en-US"/>
    </w:rPr>
  </w:style>
  <w:style w:type="character" w:customStyle="1" w:styleId="01squarebulletChar">
    <w:name w:val="01 square bullet Char"/>
    <w:basedOn w:val="DefaultParagraphFont"/>
    <w:link w:val="01squarebullet"/>
    <w:uiPriority w:val="3"/>
    <w:rsid w:val="0080631E"/>
    <w:rPr>
      <w:rFonts w:asciiTheme="minorHAnsi" w:hAnsiTheme="minorHAnsi"/>
      <w:sz w:val="22"/>
      <w:lang w:val="en-US" w:eastAsia="en-US"/>
    </w:rPr>
  </w:style>
  <w:style w:type="table" w:customStyle="1" w:styleId="TableGridLight11">
    <w:name w:val="Table Grid Light11"/>
    <w:basedOn w:val="TableNormal"/>
    <w:uiPriority w:val="99"/>
    <w:rsid w:val="00BC3B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5"/>
    <w:rsid w:val="00637CBF"/>
    <w:rPr>
      <w:rFonts w:asciiTheme="minorHAnsi" w:eastAsiaTheme="minorHAnsi" w:hAnsiTheme="minorHAnsi" w:cs="Arial"/>
      <w:b/>
      <w:bCs/>
      <w:iCs/>
      <w:color w:val="01653F"/>
      <w:sz w:val="26"/>
      <w:szCs w:val="26"/>
      <w:lang w:val="en-US" w:eastAsia="en-US"/>
    </w:rPr>
  </w:style>
  <w:style w:type="paragraph" w:customStyle="1" w:styleId="NormalBulleted">
    <w:name w:val="Normal Bulleted"/>
    <w:basedOn w:val="ListContinue"/>
    <w:link w:val="NormalBulletedChar"/>
    <w:qFormat/>
    <w:rsid w:val="00657FB0"/>
    <w:pPr>
      <w:numPr>
        <w:numId w:val="16"/>
      </w:numPr>
    </w:pPr>
  </w:style>
  <w:style w:type="character" w:customStyle="1" w:styleId="NormalBulletedChar">
    <w:name w:val="Normal Bulleted Char"/>
    <w:basedOn w:val="DefaultParagraphFont"/>
    <w:link w:val="NormalBulleted"/>
    <w:rsid w:val="00657FB0"/>
    <w:rPr>
      <w:rFonts w:asciiTheme="minorHAnsi" w:hAnsiTheme="minorHAnsi"/>
      <w:sz w:val="22"/>
      <w:szCs w:val="24"/>
    </w:rPr>
  </w:style>
  <w:style w:type="paragraph" w:customStyle="1" w:styleId="Item">
    <w:name w:val="Item #"/>
    <w:basedOn w:val="Normal"/>
    <w:qFormat/>
    <w:rsid w:val="00BE0092"/>
    <w:pPr>
      <w:keepNext/>
      <w:spacing w:before="320" w:line="240" w:lineRule="auto"/>
    </w:pPr>
    <w:rPr>
      <w:rFonts w:ascii="Calibri" w:eastAsiaTheme="minorHAnsi" w:hAnsi="Calibri" w:cs="Calibri"/>
      <w:b/>
      <w:bCs/>
      <w:color w:val="01653F"/>
      <w:szCs w:val="22"/>
      <w:lang w:eastAsia="en-US"/>
    </w:rPr>
  </w:style>
  <w:style w:type="paragraph" w:customStyle="1" w:styleId="Bullet3">
    <w:name w:val="Bullet 3"/>
    <w:basedOn w:val="Normal"/>
    <w:uiPriority w:val="74"/>
    <w:qFormat/>
    <w:rsid w:val="00BE0092"/>
    <w:pPr>
      <w:tabs>
        <w:tab w:val="num" w:pos="924"/>
      </w:tabs>
      <w:spacing w:before="120" w:line="240" w:lineRule="auto"/>
      <w:ind w:left="927" w:right="142" w:hanging="283"/>
    </w:pPr>
    <w:rPr>
      <w:rFonts w:ascii="Calibri" w:eastAsiaTheme="minorHAnsi" w:hAnsi="Calibri" w:cs="Calibri"/>
      <w:szCs w:val="22"/>
      <w:lang w:eastAsia="en-US"/>
    </w:rPr>
  </w:style>
  <w:style w:type="character" w:customStyle="1" w:styleId="ilfuvd">
    <w:name w:val="ilfuvd"/>
    <w:basedOn w:val="DefaultParagraphFont"/>
    <w:rsid w:val="00F87DC0"/>
  </w:style>
  <w:style w:type="character" w:customStyle="1" w:styleId="st1">
    <w:name w:val="st1"/>
    <w:basedOn w:val="DefaultParagraphFont"/>
    <w:rsid w:val="00F87DC0"/>
  </w:style>
  <w:style w:type="paragraph" w:customStyle="1" w:styleId="Default">
    <w:name w:val="Default"/>
    <w:rsid w:val="0087705D"/>
    <w:pPr>
      <w:keepNext/>
      <w:autoSpaceDE w:val="0"/>
      <w:autoSpaceDN w:val="0"/>
      <w:adjustRightInd w:val="0"/>
    </w:pPr>
    <w:rPr>
      <w:rFonts w:ascii="Calibri" w:eastAsiaTheme="minorHAnsi" w:hAnsi="Calibri" w:cs="Calibri"/>
      <w:color w:val="000000"/>
      <w:sz w:val="24"/>
      <w:szCs w:val="24"/>
      <w:lang w:eastAsia="en-US"/>
    </w:rPr>
  </w:style>
  <w:style w:type="paragraph" w:styleId="BodyText">
    <w:name w:val="Body Text"/>
    <w:basedOn w:val="Normal"/>
    <w:link w:val="BodyTextChar"/>
    <w:uiPriority w:val="1"/>
    <w:qFormat/>
    <w:locked/>
    <w:rsid w:val="00560699"/>
    <w:pPr>
      <w:autoSpaceDE w:val="0"/>
      <w:autoSpaceDN w:val="0"/>
      <w:adjustRightInd w:val="0"/>
      <w:spacing w:before="0" w:after="0" w:line="240" w:lineRule="auto"/>
    </w:pPr>
    <w:rPr>
      <w:rFonts w:ascii="Calibri" w:eastAsiaTheme="minorHAnsi" w:hAnsi="Calibri" w:cs="Calibri"/>
      <w:szCs w:val="22"/>
      <w:lang w:eastAsia="en-US"/>
    </w:rPr>
  </w:style>
  <w:style w:type="character" w:customStyle="1" w:styleId="BodyTextChar">
    <w:name w:val="Body Text Char"/>
    <w:basedOn w:val="DefaultParagraphFont"/>
    <w:link w:val="BodyText"/>
    <w:uiPriority w:val="1"/>
    <w:rsid w:val="00560699"/>
    <w:rPr>
      <w:rFonts w:ascii="Calibri" w:eastAsiaTheme="minorHAnsi" w:hAnsi="Calibri" w:cs="Calibri"/>
      <w:sz w:val="22"/>
      <w:szCs w:val="22"/>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532E7D"/>
    <w:rPr>
      <w:rFonts w:asciiTheme="minorHAnsi" w:hAnsiTheme="minorHAnsi"/>
      <w:sz w:val="22"/>
      <w:szCs w:val="24"/>
    </w:rPr>
  </w:style>
  <w:style w:type="table" w:styleId="LightGrid-Accent3">
    <w:name w:val="Light Grid Accent 3"/>
    <w:basedOn w:val="TableNormal"/>
    <w:uiPriority w:val="62"/>
    <w:locked/>
    <w:rsid w:val="00660F64"/>
    <w:rPr>
      <w:rFonts w:asciiTheme="majorHAnsi" w:eastAsiaTheme="majorEastAsia" w:hAnsiTheme="majorHAnsi" w:cstheme="maj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03opensquarebullet">
    <w:name w:val="03 open square bullet"/>
    <w:basedOn w:val="Normal"/>
    <w:uiPriority w:val="5"/>
    <w:rsid w:val="0087705D"/>
    <w:pPr>
      <w:tabs>
        <w:tab w:val="num" w:pos="924"/>
      </w:tabs>
      <w:spacing w:before="120" w:line="240" w:lineRule="auto"/>
      <w:ind w:left="927" w:right="142" w:hanging="283"/>
    </w:pPr>
    <w:rPr>
      <w:szCs w:val="20"/>
      <w:lang w:val="en-US" w:eastAsia="en-US"/>
    </w:rPr>
  </w:style>
  <w:style w:type="paragraph" w:customStyle="1" w:styleId="04shortdash">
    <w:name w:val="04 short dash"/>
    <w:basedOn w:val="03opensquarebullet"/>
    <w:uiPriority w:val="6"/>
    <w:rsid w:val="006F79B5"/>
    <w:pPr>
      <w:tabs>
        <w:tab w:val="clear" w:pos="924"/>
        <w:tab w:val="num" w:pos="1213"/>
      </w:tabs>
      <w:ind w:left="1211" w:hanging="284"/>
    </w:pPr>
  </w:style>
  <w:style w:type="paragraph" w:customStyle="1" w:styleId="03Tableundertext">
    <w:name w:val="03 Table under text"/>
    <w:basedOn w:val="Normal"/>
    <w:rsid w:val="00017695"/>
    <w:pPr>
      <w:spacing w:before="0" w:line="240" w:lineRule="auto"/>
    </w:pPr>
    <w:rPr>
      <w:bCs/>
      <w:sz w:val="18"/>
      <w:szCs w:val="16"/>
      <w:lang w:val="en-US"/>
    </w:rPr>
  </w:style>
  <w:style w:type="paragraph" w:customStyle="1" w:styleId="Heading2Report">
    <w:name w:val="Heading 2 Report"/>
    <w:basedOn w:val="Heading2"/>
    <w:link w:val="Heading2ReportChar"/>
    <w:rsid w:val="00C14D98"/>
    <w:pPr>
      <w:numPr>
        <w:numId w:val="6"/>
      </w:numPr>
      <w:spacing w:after="60" w:line="240" w:lineRule="auto"/>
    </w:pPr>
    <w:rPr>
      <w:szCs w:val="22"/>
    </w:rPr>
  </w:style>
  <w:style w:type="character" w:customStyle="1" w:styleId="Heading2ReportChar">
    <w:name w:val="Heading 2 Report Char"/>
    <w:basedOn w:val="DefaultParagraphFont"/>
    <w:link w:val="Heading2Report"/>
    <w:rsid w:val="00C14D98"/>
    <w:rPr>
      <w:rFonts w:asciiTheme="minorHAnsi" w:eastAsiaTheme="minorHAnsi" w:hAnsiTheme="minorHAnsi" w:cs="Arial"/>
      <w:b/>
      <w:bCs/>
      <w:iCs/>
      <w:color w:val="01653F"/>
      <w:sz w:val="2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9600545">
      <w:bodyDiv w:val="1"/>
      <w:marLeft w:val="0"/>
      <w:marRight w:val="0"/>
      <w:marTop w:val="0"/>
      <w:marBottom w:val="0"/>
      <w:divBdr>
        <w:top w:val="none" w:sz="0" w:space="0" w:color="auto"/>
        <w:left w:val="none" w:sz="0" w:space="0" w:color="auto"/>
        <w:bottom w:val="none" w:sz="0" w:space="0" w:color="auto"/>
        <w:right w:val="none" w:sz="0" w:space="0" w:color="auto"/>
      </w:divBdr>
      <w:divsChild>
        <w:div w:id="1171989787">
          <w:marLeft w:val="0"/>
          <w:marRight w:val="0"/>
          <w:marTop w:val="240"/>
          <w:marBottom w:val="480"/>
          <w:divBdr>
            <w:top w:val="none" w:sz="0" w:space="0" w:color="auto"/>
            <w:left w:val="none" w:sz="0" w:space="0" w:color="auto"/>
            <w:bottom w:val="none" w:sz="0" w:space="0" w:color="auto"/>
            <w:right w:val="none" w:sz="0" w:space="0" w:color="auto"/>
          </w:divBdr>
          <w:divsChild>
            <w:div w:id="903679626">
              <w:marLeft w:val="0"/>
              <w:marRight w:val="0"/>
              <w:marTop w:val="0"/>
              <w:marBottom w:val="0"/>
              <w:divBdr>
                <w:top w:val="none" w:sz="0" w:space="0" w:color="auto"/>
                <w:left w:val="none" w:sz="0" w:space="0" w:color="auto"/>
                <w:bottom w:val="none" w:sz="0" w:space="0" w:color="auto"/>
                <w:right w:val="none" w:sz="0" w:space="0" w:color="auto"/>
              </w:divBdr>
              <w:divsChild>
                <w:div w:id="1775250620">
                  <w:marLeft w:val="0"/>
                  <w:marRight w:val="0"/>
                  <w:marTop w:val="0"/>
                  <w:marBottom w:val="0"/>
                  <w:divBdr>
                    <w:top w:val="none" w:sz="0" w:space="0" w:color="auto"/>
                    <w:left w:val="none" w:sz="0" w:space="0" w:color="auto"/>
                    <w:bottom w:val="none" w:sz="0" w:space="0" w:color="auto"/>
                    <w:right w:val="none" w:sz="0" w:space="0" w:color="auto"/>
                  </w:divBdr>
                  <w:divsChild>
                    <w:div w:id="558370156">
                      <w:marLeft w:val="0"/>
                      <w:marRight w:val="0"/>
                      <w:marTop w:val="0"/>
                      <w:marBottom w:val="0"/>
                      <w:divBdr>
                        <w:top w:val="none" w:sz="0" w:space="0" w:color="auto"/>
                        <w:left w:val="none" w:sz="0" w:space="0" w:color="auto"/>
                        <w:bottom w:val="none" w:sz="0" w:space="0" w:color="auto"/>
                        <w:right w:val="none" w:sz="0" w:space="0" w:color="auto"/>
                      </w:divBdr>
                      <w:divsChild>
                        <w:div w:id="7807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55727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8611460">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0184055">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8480487">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6056891">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529598">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3939323">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4270916">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342230">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8710384">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s://doi.org/10.1016/j.bbmt.2015.07.032"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s-p-syd-nas01\users\DSolomon\Blood\Copy%20of%20Additional%20data%20for%20Haematology%20WG%20(D16-670628)_LH.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p-syd-nas01\users\DSolomon\Blood\Copy%20of%20Q20732%20Tables%20uupdated%20to%202015-16%20and%20co-claming%20for%20selected%20item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p-syd-nas01\users\DSolomon\Blood\Copy%20of%20Q20732%20Tables%20uupdated%20to%202015-16%20and%20co-claming%20for%20selected%20item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s-p-syd-nas01\users\DSolomon\Blood\Copy%20of%20Additional%20data%20for%20Haematology%20WG%20(D16-670628)_L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ntral.health\dfsuserenv\Users\User_08\HOWARI\Essentials\Crap\2017\April\Relative%20use%20of%20blood%20produ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AU" sz="1100" baseline="0">
                <a:solidFill>
                  <a:schemeClr val="tx1"/>
                </a:solidFill>
              </a:rPr>
              <a:t>13706: Transfusion of blood or bone marrow already collected</a:t>
            </a:r>
          </a:p>
        </c:rich>
      </c:tx>
      <c:layout/>
      <c:overlay val="0"/>
      <c:spPr>
        <a:noFill/>
        <a:ln>
          <a:noFill/>
        </a:ln>
        <a:effectLst/>
      </c:spPr>
    </c:title>
    <c:autoTitleDeleted val="0"/>
    <c:plotArea>
      <c:layout>
        <c:manualLayout>
          <c:layoutTarget val="inner"/>
          <c:xMode val="edge"/>
          <c:yMode val="edge"/>
          <c:x val="0.16118785961165763"/>
          <c:y val="0.16891299958742612"/>
          <c:w val="0.71337713909510259"/>
          <c:h val="0.69498861342200591"/>
        </c:manualLayout>
      </c:layout>
      <c:barChart>
        <c:barDir val="bar"/>
        <c:grouping val="clustered"/>
        <c:varyColors val="0"/>
        <c:ser>
          <c:idx val="0"/>
          <c:order val="0"/>
          <c:tx>
            <c:strRef>
              <c:f>'Services by State'!$A$5</c:f>
              <c:strCache>
                <c:ptCount val="1"/>
                <c:pt idx="0">
                  <c:v>13706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'Services by State'!$B$2:$I$2</c:f>
              <c:strCache>
                <c:ptCount val="8"/>
                <c:pt idx="0">
                  <c:v>NSW</c:v>
                </c:pt>
                <c:pt idx="1">
                  <c:v>Vic</c:v>
                </c:pt>
                <c:pt idx="2">
                  <c:v>Qld</c:v>
                </c:pt>
                <c:pt idx="3">
                  <c:v>SA</c:v>
                </c:pt>
                <c:pt idx="4">
                  <c:v>WA</c:v>
                </c:pt>
                <c:pt idx="5">
                  <c:v>Tas</c:v>
                </c:pt>
                <c:pt idx="6">
                  <c:v>NT</c:v>
                </c:pt>
                <c:pt idx="7">
                  <c:v>ACT</c:v>
                </c:pt>
              </c:strCache>
            </c:strRef>
          </c:cat>
          <c:val>
            <c:numRef>
              <c:f>'Services by State'!$B$5:$I$5</c:f>
              <c:numCache>
                <c:formatCode>General</c:formatCode>
                <c:ptCount val="8"/>
                <c:pt idx="0">
                  <c:v>630.75367996902162</c:v>
                </c:pt>
                <c:pt idx="1">
                  <c:v>479.16339114531587</c:v>
                </c:pt>
                <c:pt idx="2">
                  <c:v>1056.8003362911661</c:v>
                </c:pt>
                <c:pt idx="3">
                  <c:v>457.6869918874367</c:v>
                </c:pt>
                <c:pt idx="4">
                  <c:v>253.55627386170707</c:v>
                </c:pt>
                <c:pt idx="5">
                  <c:v>681.3782423538521</c:v>
                </c:pt>
                <c:pt idx="6">
                  <c:v>118.20922849550288</c:v>
                </c:pt>
                <c:pt idx="7">
                  <c:v>328.38316297338793</c:v>
                </c:pt>
              </c:numCache>
            </c:numRef>
          </c:val>
          <c:extLst>
            <c:ext xmlns:c16="http://schemas.microsoft.com/office/drawing/2014/chart" uri="{C3380CC4-5D6E-409C-BE32-E72D297353CC}">
              <c16:uniqueId val="{00000000-08B9-409B-979A-9D63A48CE36E}"/>
            </c:ext>
          </c:extLst>
        </c:ser>
        <c:dLbls>
          <c:showLegendKey val="0"/>
          <c:showVal val="0"/>
          <c:showCatName val="0"/>
          <c:showSerName val="0"/>
          <c:showPercent val="0"/>
          <c:showBubbleSize val="0"/>
        </c:dLbls>
        <c:gapWidth val="115"/>
        <c:overlap val="-20"/>
        <c:axId val="373123328"/>
        <c:axId val="390514944"/>
      </c:barChart>
      <c:catAx>
        <c:axId val="3731233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0514944"/>
        <c:crosses val="autoZero"/>
        <c:auto val="1"/>
        <c:lblAlgn val="ctr"/>
        <c:lblOffset val="100"/>
        <c:noMultiLvlLbl val="0"/>
      </c:catAx>
      <c:valAx>
        <c:axId val="390514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AU" baseline="0">
                    <a:solidFill>
                      <a:schemeClr val="tx1"/>
                    </a:solidFill>
                  </a:rPr>
                  <a:t>Services per 100,000 people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12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98253789704858"/>
          <c:y val="8.2561560712283363E-2"/>
          <c:w val="0.75700519577909908"/>
          <c:h val="0.79108901557437639"/>
        </c:manualLayout>
      </c:layout>
      <c:barChart>
        <c:barDir val="col"/>
        <c:grouping val="clustered"/>
        <c:varyColors val="0"/>
        <c:ser>
          <c:idx val="0"/>
          <c:order val="0"/>
          <c:tx>
            <c:strRef>
              <c:f>Tables!$N$77</c:f>
              <c:strCache>
                <c:ptCount val="1"/>
                <c:pt idx="0">
                  <c:v>NSW</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Tables!$O$74:$Q$76</c:f>
              <c:strCache>
                <c:ptCount val="3"/>
                <c:pt idx="0">
                  <c:v>2009-10</c:v>
                </c:pt>
                <c:pt idx="1">
                  <c:v>2010-11</c:v>
                </c:pt>
                <c:pt idx="2">
                  <c:v>2015-16</c:v>
                </c:pt>
              </c:strCache>
            </c:strRef>
          </c:cat>
          <c:val>
            <c:numRef>
              <c:f>Tables!$O$77:$Q$77</c:f>
              <c:numCache>
                <c:formatCode>#,##0.00</c:formatCode>
                <c:ptCount val="3"/>
                <c:pt idx="0">
                  <c:v>4.0599999999999996</c:v>
                </c:pt>
                <c:pt idx="1">
                  <c:v>4.2</c:v>
                </c:pt>
                <c:pt idx="2">
                  <c:v>4.5556136225067503</c:v>
                </c:pt>
              </c:numCache>
            </c:numRef>
          </c:val>
          <c:extLst>
            <c:ext xmlns:c16="http://schemas.microsoft.com/office/drawing/2014/chart" uri="{C3380CC4-5D6E-409C-BE32-E72D297353CC}">
              <c16:uniqueId val="{00000000-35F0-46FB-9958-436496B20CEA}"/>
            </c:ext>
          </c:extLst>
        </c:ser>
        <c:ser>
          <c:idx val="1"/>
          <c:order val="1"/>
          <c:tx>
            <c:strRef>
              <c:f>Tables!$N$78</c:f>
              <c:strCache>
                <c:ptCount val="1"/>
                <c:pt idx="0">
                  <c:v>Qld</c:v>
                </c:pt>
              </c:strCache>
            </c:strRef>
          </c:tx>
          <c:spPr>
            <a:solidFill>
              <a:schemeClr val="accent2">
                <a:alpha val="85000"/>
              </a:schemeClr>
            </a:solidFill>
            <a:ln w="9525" cap="flat" cmpd="sng" algn="ctr">
              <a:solidFill>
                <a:schemeClr val="lt1">
                  <a:alpha val="50000"/>
                </a:schemeClr>
              </a:solidFill>
              <a:round/>
            </a:ln>
            <a:effectLst/>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Tables!$O$74:$Q$76</c:f>
              <c:strCache>
                <c:ptCount val="3"/>
                <c:pt idx="0">
                  <c:v>2009-10</c:v>
                </c:pt>
                <c:pt idx="1">
                  <c:v>2010-11</c:v>
                </c:pt>
                <c:pt idx="2">
                  <c:v>2015-16</c:v>
                </c:pt>
              </c:strCache>
            </c:strRef>
          </c:cat>
          <c:val>
            <c:numRef>
              <c:f>Tables!$O$78:$Q$78</c:f>
              <c:numCache>
                <c:formatCode>#,##0.00</c:formatCode>
                <c:ptCount val="3"/>
                <c:pt idx="0">
                  <c:v>5.64</c:v>
                </c:pt>
                <c:pt idx="1">
                  <c:v>5.98</c:v>
                </c:pt>
                <c:pt idx="2">
                  <c:v>6.5272908118861119</c:v>
                </c:pt>
              </c:numCache>
            </c:numRef>
          </c:val>
          <c:extLst>
            <c:ext xmlns:c16="http://schemas.microsoft.com/office/drawing/2014/chart" uri="{C3380CC4-5D6E-409C-BE32-E72D297353CC}">
              <c16:uniqueId val="{00000001-35F0-46FB-9958-436496B20CEA}"/>
            </c:ext>
          </c:extLst>
        </c:ser>
        <c:ser>
          <c:idx val="2"/>
          <c:order val="2"/>
          <c:tx>
            <c:strRef>
              <c:f>Tables!$N$79</c:f>
              <c:strCache>
                <c:ptCount val="1"/>
                <c:pt idx="0">
                  <c:v>Vic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Tables!$O$74:$Q$76</c:f>
              <c:strCache>
                <c:ptCount val="3"/>
                <c:pt idx="0">
                  <c:v>2009-10</c:v>
                </c:pt>
                <c:pt idx="1">
                  <c:v>2010-11</c:v>
                </c:pt>
                <c:pt idx="2">
                  <c:v>2015-16</c:v>
                </c:pt>
              </c:strCache>
            </c:strRef>
          </c:cat>
          <c:val>
            <c:numRef>
              <c:f>Tables!$O$79:$Q$79</c:f>
              <c:numCache>
                <c:formatCode>#,##0.00</c:formatCode>
                <c:ptCount val="3"/>
                <c:pt idx="0">
                  <c:v>3.09</c:v>
                </c:pt>
                <c:pt idx="1">
                  <c:v>3.02</c:v>
                </c:pt>
                <c:pt idx="2">
                  <c:v>3.4428610206297501</c:v>
                </c:pt>
              </c:numCache>
            </c:numRef>
          </c:val>
          <c:extLst>
            <c:ext xmlns:c16="http://schemas.microsoft.com/office/drawing/2014/chart" uri="{C3380CC4-5D6E-409C-BE32-E72D297353CC}">
              <c16:uniqueId val="{00000002-35F0-46FB-9958-436496B20CEA}"/>
            </c:ext>
          </c:extLst>
        </c:ser>
        <c:dLbls>
          <c:dLblPos val="inEnd"/>
          <c:showLegendKey val="0"/>
          <c:showVal val="1"/>
          <c:showCatName val="0"/>
          <c:showSerName val="0"/>
          <c:showPercent val="0"/>
          <c:showBubbleSize val="0"/>
        </c:dLbls>
        <c:gapWidth val="65"/>
        <c:axId val="398452992"/>
        <c:axId val="398725120"/>
      </c:barChart>
      <c:catAx>
        <c:axId val="39845299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8725120"/>
        <c:crosses val="autoZero"/>
        <c:auto val="1"/>
        <c:lblAlgn val="ctr"/>
        <c:lblOffset val="100"/>
        <c:noMultiLvlLbl val="0"/>
      </c:catAx>
      <c:valAx>
        <c:axId val="398725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9845299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Tables!$N$65</c:f>
              <c:strCache>
                <c:ptCount val="1"/>
                <c:pt idx="0">
                  <c:v>2009-10</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Tables!$O$64:$Q$64</c:f>
              <c:strCache>
                <c:ptCount val="3"/>
                <c:pt idx="0">
                  <c:v>NSW</c:v>
                </c:pt>
                <c:pt idx="1">
                  <c:v>Qld</c:v>
                </c:pt>
                <c:pt idx="2">
                  <c:v>Vic</c:v>
                </c:pt>
              </c:strCache>
            </c:strRef>
          </c:cat>
          <c:val>
            <c:numRef>
              <c:f>Tables!$O$65:$Q$65</c:f>
              <c:numCache>
                <c:formatCode>#,##0.00</c:formatCode>
                <c:ptCount val="3"/>
                <c:pt idx="0">
                  <c:v>4.0599999999999996</c:v>
                </c:pt>
                <c:pt idx="1">
                  <c:v>5.64</c:v>
                </c:pt>
                <c:pt idx="2">
                  <c:v>3.09</c:v>
                </c:pt>
              </c:numCache>
            </c:numRef>
          </c:val>
          <c:extLst>
            <c:ext xmlns:c16="http://schemas.microsoft.com/office/drawing/2014/chart" uri="{C3380CC4-5D6E-409C-BE32-E72D297353CC}">
              <c16:uniqueId val="{00000000-90D0-4460-AF2C-78E3BD86B4EC}"/>
            </c:ext>
          </c:extLst>
        </c:ser>
        <c:ser>
          <c:idx val="1"/>
          <c:order val="1"/>
          <c:tx>
            <c:strRef>
              <c:f>Tables!$N$66</c:f>
              <c:strCache>
                <c:ptCount val="1"/>
                <c:pt idx="0">
                  <c:v>2010-11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Tables!$O$64:$Q$64</c:f>
              <c:strCache>
                <c:ptCount val="3"/>
                <c:pt idx="0">
                  <c:v>NSW</c:v>
                </c:pt>
                <c:pt idx="1">
                  <c:v>Qld</c:v>
                </c:pt>
                <c:pt idx="2">
                  <c:v>Vic</c:v>
                </c:pt>
              </c:strCache>
            </c:strRef>
          </c:cat>
          <c:val>
            <c:numRef>
              <c:f>Tables!$O$66:$Q$66</c:f>
              <c:numCache>
                <c:formatCode>#,##0.00</c:formatCode>
                <c:ptCount val="3"/>
                <c:pt idx="0">
                  <c:v>4.2</c:v>
                </c:pt>
                <c:pt idx="1">
                  <c:v>5.98</c:v>
                </c:pt>
                <c:pt idx="2">
                  <c:v>3.02</c:v>
                </c:pt>
              </c:numCache>
            </c:numRef>
          </c:val>
          <c:extLst>
            <c:ext xmlns:c16="http://schemas.microsoft.com/office/drawing/2014/chart" uri="{C3380CC4-5D6E-409C-BE32-E72D297353CC}">
              <c16:uniqueId val="{00000001-90D0-4460-AF2C-78E3BD86B4EC}"/>
            </c:ext>
          </c:extLst>
        </c:ser>
        <c:ser>
          <c:idx val="2"/>
          <c:order val="2"/>
          <c:tx>
            <c:strRef>
              <c:f>Tables!$N$67</c:f>
              <c:strCache>
                <c:ptCount val="1"/>
                <c:pt idx="0">
                  <c:v>2015-16</c:v>
                </c:pt>
              </c:strCache>
            </c:strRef>
          </c:tx>
          <c:spPr>
            <a:solidFill>
              <a:schemeClr val="accent3">
                <a:alpha val="85000"/>
              </a:schemeClr>
            </a:solidFill>
            <a:ln w="9525" cap="flat" cmpd="sng" algn="ctr">
              <a:solidFill>
                <a:schemeClr val="lt1">
                  <a:alpha val="50000"/>
                </a:schemeClr>
              </a:solidFill>
              <a:round/>
            </a:ln>
            <a:effectLst/>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Tables!$O$64:$Q$64</c:f>
              <c:strCache>
                <c:ptCount val="3"/>
                <c:pt idx="0">
                  <c:v>NSW</c:v>
                </c:pt>
                <c:pt idx="1">
                  <c:v>Qld</c:v>
                </c:pt>
                <c:pt idx="2">
                  <c:v>Vic</c:v>
                </c:pt>
              </c:strCache>
            </c:strRef>
          </c:cat>
          <c:val>
            <c:numRef>
              <c:f>Tables!$O$67:$Q$67</c:f>
              <c:numCache>
                <c:formatCode>#,##0.00</c:formatCode>
                <c:ptCount val="3"/>
                <c:pt idx="0">
                  <c:v>4.5556136225067503</c:v>
                </c:pt>
                <c:pt idx="1">
                  <c:v>6.5272908118861119</c:v>
                </c:pt>
                <c:pt idx="2">
                  <c:v>3.4428610206297501</c:v>
                </c:pt>
              </c:numCache>
            </c:numRef>
          </c:val>
          <c:extLst>
            <c:ext xmlns:c16="http://schemas.microsoft.com/office/drawing/2014/chart" uri="{C3380CC4-5D6E-409C-BE32-E72D297353CC}">
              <c16:uniqueId val="{00000002-90D0-4460-AF2C-78E3BD86B4EC}"/>
            </c:ext>
          </c:extLst>
        </c:ser>
        <c:dLbls>
          <c:dLblPos val="inEnd"/>
          <c:showLegendKey val="0"/>
          <c:showVal val="1"/>
          <c:showCatName val="0"/>
          <c:showSerName val="0"/>
          <c:showPercent val="0"/>
          <c:showBubbleSize val="0"/>
        </c:dLbls>
        <c:gapWidth val="65"/>
        <c:axId val="398744192"/>
        <c:axId val="398762368"/>
      </c:barChart>
      <c:catAx>
        <c:axId val="39874419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8762368"/>
        <c:crosses val="autoZero"/>
        <c:auto val="1"/>
        <c:lblAlgn val="ctr"/>
        <c:lblOffset val="100"/>
        <c:noMultiLvlLbl val="0"/>
      </c:catAx>
      <c:valAx>
        <c:axId val="398762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9874419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AU" sz="1100" baseline="0">
                <a:solidFill>
                  <a:sysClr val="windowText" lastClr="000000"/>
                </a:solidFill>
              </a:rPr>
              <a:t>Item 13706: Transfusion of blood or bone marrow already collected</a:t>
            </a:r>
          </a:p>
        </c:rich>
      </c:tx>
      <c:layout>
        <c:manualLayout>
          <c:xMode val="edge"/>
          <c:yMode val="edge"/>
          <c:x val="0.17994402704571913"/>
          <c:y val="0"/>
        </c:manualLayout>
      </c:layout>
      <c:overlay val="0"/>
      <c:spPr>
        <a:noFill/>
        <a:ln>
          <a:noFill/>
        </a:ln>
        <a:effectLst/>
      </c:spPr>
    </c:title>
    <c:autoTitleDeleted val="0"/>
    <c:plotArea>
      <c:layout>
        <c:manualLayout>
          <c:layoutTarget val="inner"/>
          <c:xMode val="edge"/>
          <c:yMode val="edge"/>
          <c:x val="0.17210517527070943"/>
          <c:y val="8.4718826405867975E-2"/>
          <c:w val="0.80778512800092483"/>
          <c:h val="0.74330763342082251"/>
        </c:manualLayout>
      </c:layout>
      <c:barChart>
        <c:barDir val="bar"/>
        <c:grouping val="clustered"/>
        <c:varyColors val="0"/>
        <c:ser>
          <c:idx val="0"/>
          <c:order val="0"/>
          <c:tx>
            <c:strRef>
              <c:f>Requesters!$F$8</c:f>
              <c:strCache>
                <c:ptCount val="1"/>
                <c:pt idx="0">
                  <c:v>13706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Requesters!$E$9:$E$15</c:f>
              <c:strCache>
                <c:ptCount val="7"/>
                <c:pt idx="0">
                  <c:v>Haematology</c:v>
                </c:pt>
                <c:pt idx="1">
                  <c:v>Medical Oncology</c:v>
                </c:pt>
                <c:pt idx="2">
                  <c:v> Pathology</c:v>
                </c:pt>
                <c:pt idx="3">
                  <c:v>Intensive Care</c:v>
                </c:pt>
                <c:pt idx="4">
                  <c:v>Internal Medicine</c:v>
                </c:pt>
                <c:pt idx="5">
                  <c:v>Immunology and Allergy</c:v>
                </c:pt>
                <c:pt idx="6">
                  <c:v>Neurology</c:v>
                </c:pt>
              </c:strCache>
            </c:strRef>
          </c:cat>
          <c:val>
            <c:numRef>
              <c:f>Requesters!$F$9:$F$15</c:f>
              <c:numCache>
                <c:formatCode>0.0%</c:formatCode>
                <c:ptCount val="7"/>
                <c:pt idx="0">
                  <c:v>0.45592221607707384</c:v>
                </c:pt>
                <c:pt idx="1">
                  <c:v>0.11820534354793558</c:v>
                </c:pt>
                <c:pt idx="2">
                  <c:v>0.1119372921744949</c:v>
                </c:pt>
                <c:pt idx="3">
                  <c:v>7.8630587817584682E-2</c:v>
                </c:pt>
                <c:pt idx="4">
                  <c:v>6.4189489065049815E-2</c:v>
                </c:pt>
                <c:pt idx="5">
                  <c:v>2.8469999999999999E-2</c:v>
                </c:pt>
                <c:pt idx="6">
                  <c:v>2.283E-2</c:v>
                </c:pt>
              </c:numCache>
            </c:numRef>
          </c:val>
          <c:extLst>
            <c:ext xmlns:c16="http://schemas.microsoft.com/office/drawing/2014/chart" uri="{C3380CC4-5D6E-409C-BE32-E72D297353CC}">
              <c16:uniqueId val="{00000000-6F45-4BCE-9CE5-014944DB1A83}"/>
            </c:ext>
          </c:extLst>
        </c:ser>
        <c:dLbls>
          <c:showLegendKey val="0"/>
          <c:showVal val="0"/>
          <c:showCatName val="0"/>
          <c:showSerName val="0"/>
          <c:showPercent val="0"/>
          <c:showBubbleSize val="0"/>
        </c:dLbls>
        <c:gapWidth val="115"/>
        <c:overlap val="-20"/>
        <c:axId val="398782464"/>
        <c:axId val="398784000"/>
      </c:barChart>
      <c:catAx>
        <c:axId val="398782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8784000"/>
        <c:crosses val="autoZero"/>
        <c:auto val="1"/>
        <c:lblAlgn val="ctr"/>
        <c:lblOffset val="100"/>
        <c:noMultiLvlLbl val="0"/>
      </c:catAx>
      <c:valAx>
        <c:axId val="398784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878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2015 - 16</a:t>
            </a:r>
            <a:r>
              <a:rPr lang="en-AU" sz="1100" baseline="0"/>
              <a:t> Issues of blood products per 100,000 population by state</a:t>
            </a:r>
            <a:endParaRPr lang="en-AU" sz="1100"/>
          </a:p>
        </c:rich>
      </c:tx>
      <c:layout/>
      <c:overlay val="0"/>
    </c:title>
    <c:autoTitleDeleted val="0"/>
    <c:plotArea>
      <c:layout/>
      <c:barChart>
        <c:barDir val="col"/>
        <c:grouping val="clustered"/>
        <c:varyColors val="0"/>
        <c:ser>
          <c:idx val="0"/>
          <c:order val="0"/>
          <c:tx>
            <c:strRef>
              <c:f>'Use per 100K'!$B$1:$B$2</c:f>
              <c:strCache>
                <c:ptCount val="1"/>
                <c:pt idx="0">
                  <c:v>Red Blood Cells Units/100K pop</c:v>
                </c:pt>
              </c:strCache>
            </c:strRef>
          </c:tx>
          <c:invertIfNegative val="0"/>
          <c:cat>
            <c:strRef>
              <c:f>'Use per 100K'!$A$3:$A$11</c:f>
              <c:strCache>
                <c:ptCount val="9"/>
                <c:pt idx="0">
                  <c:v>ACT</c:v>
                </c:pt>
                <c:pt idx="1">
                  <c:v>NSW</c:v>
                </c:pt>
                <c:pt idx="2">
                  <c:v>NT</c:v>
                </c:pt>
                <c:pt idx="3">
                  <c:v>QLD</c:v>
                </c:pt>
                <c:pt idx="4">
                  <c:v>SA</c:v>
                </c:pt>
                <c:pt idx="5">
                  <c:v>TAS</c:v>
                </c:pt>
                <c:pt idx="6">
                  <c:v>VIC</c:v>
                </c:pt>
                <c:pt idx="7">
                  <c:v>WA</c:v>
                </c:pt>
                <c:pt idx="8">
                  <c:v>National</c:v>
                </c:pt>
              </c:strCache>
            </c:strRef>
          </c:cat>
          <c:val>
            <c:numRef>
              <c:f>'Use per 100K'!$B$3:$B$11</c:f>
              <c:numCache>
                <c:formatCode>#,##0</c:formatCode>
                <c:ptCount val="9"/>
                <c:pt idx="0">
                  <c:v>2653.7785588752199</c:v>
                </c:pt>
                <c:pt idx="1">
                  <c:v>2529.2222021707184</c:v>
                </c:pt>
                <c:pt idx="2">
                  <c:v>1712.6577126577129</c:v>
                </c:pt>
                <c:pt idx="3">
                  <c:v>2847.5022631882148</c:v>
                </c:pt>
                <c:pt idx="4">
                  <c:v>3372.5742342763619</c:v>
                </c:pt>
                <c:pt idx="5">
                  <c:v>2184.3016544824932</c:v>
                </c:pt>
                <c:pt idx="6">
                  <c:v>2899.6869314363453</c:v>
                </c:pt>
                <c:pt idx="7">
                  <c:v>1926.2351326623971</c:v>
                </c:pt>
                <c:pt idx="8">
                  <c:v>2667.0506960015528</c:v>
                </c:pt>
              </c:numCache>
            </c:numRef>
          </c:val>
          <c:extLst>
            <c:ext xmlns:c16="http://schemas.microsoft.com/office/drawing/2014/chart" uri="{C3380CC4-5D6E-409C-BE32-E72D297353CC}">
              <c16:uniqueId val="{00000000-2A10-4E6B-A690-732813627590}"/>
            </c:ext>
          </c:extLst>
        </c:ser>
        <c:ser>
          <c:idx val="1"/>
          <c:order val="1"/>
          <c:tx>
            <c:strRef>
              <c:f>'Use per 100K'!$C$1:$C$2</c:f>
              <c:strCache>
                <c:ptCount val="1"/>
                <c:pt idx="0">
                  <c:v>Platelet Units/100K pop</c:v>
                </c:pt>
              </c:strCache>
            </c:strRef>
          </c:tx>
          <c:invertIfNegative val="0"/>
          <c:cat>
            <c:strRef>
              <c:f>'Use per 100K'!$A$3:$A$11</c:f>
              <c:strCache>
                <c:ptCount val="9"/>
                <c:pt idx="0">
                  <c:v>ACT</c:v>
                </c:pt>
                <c:pt idx="1">
                  <c:v>NSW</c:v>
                </c:pt>
                <c:pt idx="2">
                  <c:v>NT</c:v>
                </c:pt>
                <c:pt idx="3">
                  <c:v>QLD</c:v>
                </c:pt>
                <c:pt idx="4">
                  <c:v>SA</c:v>
                </c:pt>
                <c:pt idx="5">
                  <c:v>TAS</c:v>
                </c:pt>
                <c:pt idx="6">
                  <c:v>VIC</c:v>
                </c:pt>
                <c:pt idx="7">
                  <c:v>WA</c:v>
                </c:pt>
                <c:pt idx="8">
                  <c:v>National</c:v>
                </c:pt>
              </c:strCache>
            </c:strRef>
          </c:cat>
          <c:val>
            <c:numRef>
              <c:f>'Use per 100K'!$C$3:$C$11</c:f>
              <c:numCache>
                <c:formatCode>#,##0</c:formatCode>
                <c:ptCount val="9"/>
                <c:pt idx="0">
                  <c:v>407.98393170976652</c:v>
                </c:pt>
                <c:pt idx="1">
                  <c:v>479.42715718373762</c:v>
                </c:pt>
                <c:pt idx="2" formatCode="General">
                  <c:v>822</c:v>
                </c:pt>
                <c:pt idx="3">
                  <c:v>713.08945765780595</c:v>
                </c:pt>
                <c:pt idx="4">
                  <c:v>634.55693242927282</c:v>
                </c:pt>
                <c:pt idx="5">
                  <c:v>435.16737206617927</c:v>
                </c:pt>
                <c:pt idx="6">
                  <c:v>561.08115196118604</c:v>
                </c:pt>
                <c:pt idx="7">
                  <c:v>351.82220189082034</c:v>
                </c:pt>
                <c:pt idx="8">
                  <c:v>540.43663722441761</c:v>
                </c:pt>
              </c:numCache>
            </c:numRef>
          </c:val>
          <c:extLst>
            <c:ext xmlns:c16="http://schemas.microsoft.com/office/drawing/2014/chart" uri="{C3380CC4-5D6E-409C-BE32-E72D297353CC}">
              <c16:uniqueId val="{00000001-2A10-4E6B-A690-732813627590}"/>
            </c:ext>
          </c:extLst>
        </c:ser>
        <c:ser>
          <c:idx val="2"/>
          <c:order val="2"/>
          <c:tx>
            <c:strRef>
              <c:f>'Use per 100K'!$D$1:$D$2</c:f>
              <c:strCache>
                <c:ptCount val="1"/>
                <c:pt idx="0">
                  <c:v>Clinical FFP Units/100K pop</c:v>
                </c:pt>
              </c:strCache>
            </c:strRef>
          </c:tx>
          <c:invertIfNegative val="0"/>
          <c:cat>
            <c:strRef>
              <c:f>'Use per 100K'!$A$3:$A$11</c:f>
              <c:strCache>
                <c:ptCount val="9"/>
                <c:pt idx="0">
                  <c:v>ACT</c:v>
                </c:pt>
                <c:pt idx="1">
                  <c:v>NSW</c:v>
                </c:pt>
                <c:pt idx="2">
                  <c:v>NT</c:v>
                </c:pt>
                <c:pt idx="3">
                  <c:v>QLD</c:v>
                </c:pt>
                <c:pt idx="4">
                  <c:v>SA</c:v>
                </c:pt>
                <c:pt idx="5">
                  <c:v>TAS</c:v>
                </c:pt>
                <c:pt idx="6">
                  <c:v>VIC</c:v>
                </c:pt>
                <c:pt idx="7">
                  <c:v>WA</c:v>
                </c:pt>
                <c:pt idx="8">
                  <c:v>National</c:v>
                </c:pt>
              </c:strCache>
            </c:strRef>
          </c:cat>
          <c:val>
            <c:numRef>
              <c:f>'Use per 100K'!$D$3:$D$11</c:f>
              <c:numCache>
                <c:formatCode>#,##0</c:formatCode>
                <c:ptCount val="9"/>
                <c:pt idx="0">
                  <c:v>311.07205623901581</c:v>
                </c:pt>
                <c:pt idx="1">
                  <c:v>531.77447214416463</c:v>
                </c:pt>
                <c:pt idx="2" formatCode="General">
                  <c:v>642</c:v>
                </c:pt>
                <c:pt idx="3">
                  <c:v>418.40177763147068</c:v>
                </c:pt>
                <c:pt idx="4">
                  <c:v>520.57516951133971</c:v>
                </c:pt>
                <c:pt idx="5">
                  <c:v>356.86802616390918</c:v>
                </c:pt>
                <c:pt idx="6">
                  <c:v>531.0200134406399</c:v>
                </c:pt>
                <c:pt idx="7">
                  <c:v>242.41384568465998</c:v>
                </c:pt>
                <c:pt idx="8">
                  <c:v>466.56260710495559</c:v>
                </c:pt>
              </c:numCache>
            </c:numRef>
          </c:val>
          <c:extLst>
            <c:ext xmlns:c16="http://schemas.microsoft.com/office/drawing/2014/chart" uri="{C3380CC4-5D6E-409C-BE32-E72D297353CC}">
              <c16:uniqueId val="{00000002-2A10-4E6B-A690-732813627590}"/>
            </c:ext>
          </c:extLst>
        </c:ser>
        <c:ser>
          <c:idx val="3"/>
          <c:order val="3"/>
          <c:tx>
            <c:strRef>
              <c:f>'Use per 100K'!$E$1:$E$2</c:f>
              <c:strCache>
                <c:ptCount val="1"/>
                <c:pt idx="0">
                  <c:v>Ig Grams/100K pop</c:v>
                </c:pt>
              </c:strCache>
            </c:strRef>
          </c:tx>
          <c:invertIfNegative val="0"/>
          <c:cat>
            <c:strRef>
              <c:f>'Use per 100K'!$A$3:$A$11</c:f>
              <c:strCache>
                <c:ptCount val="9"/>
                <c:pt idx="0">
                  <c:v>ACT</c:v>
                </c:pt>
                <c:pt idx="1">
                  <c:v>NSW</c:v>
                </c:pt>
                <c:pt idx="2">
                  <c:v>NT</c:v>
                </c:pt>
                <c:pt idx="3">
                  <c:v>QLD</c:v>
                </c:pt>
                <c:pt idx="4">
                  <c:v>SA</c:v>
                </c:pt>
                <c:pt idx="5">
                  <c:v>TAS</c:v>
                </c:pt>
                <c:pt idx="6">
                  <c:v>VIC</c:v>
                </c:pt>
                <c:pt idx="7">
                  <c:v>WA</c:v>
                </c:pt>
                <c:pt idx="8">
                  <c:v>National</c:v>
                </c:pt>
              </c:strCache>
            </c:strRef>
          </c:cat>
          <c:val>
            <c:numRef>
              <c:f>'Use per 100K'!$E$3:$E$11</c:f>
              <c:numCache>
                <c:formatCode>#,##0</c:formatCode>
                <c:ptCount val="9"/>
                <c:pt idx="0">
                  <c:v>23566.407230730605</c:v>
                </c:pt>
                <c:pt idx="1">
                  <c:v>22293.536827451084</c:v>
                </c:pt>
                <c:pt idx="2">
                  <c:v>24078</c:v>
                </c:pt>
                <c:pt idx="3">
                  <c:v>27887.766438976214</c:v>
                </c:pt>
                <c:pt idx="4">
                  <c:v>15826.747720364741</c:v>
                </c:pt>
                <c:pt idx="5">
                  <c:v>19470.950365525201</c:v>
                </c:pt>
                <c:pt idx="6">
                  <c:v>17949.974593912375</c:v>
                </c:pt>
                <c:pt idx="7">
                  <c:v>11914.112534309241</c:v>
                </c:pt>
                <c:pt idx="8">
                  <c:v>20574.487238250975</c:v>
                </c:pt>
              </c:numCache>
            </c:numRef>
          </c:val>
          <c:extLst>
            <c:ext xmlns:c16="http://schemas.microsoft.com/office/drawing/2014/chart" uri="{C3380CC4-5D6E-409C-BE32-E72D297353CC}">
              <c16:uniqueId val="{00000003-2A10-4E6B-A690-732813627590}"/>
            </c:ext>
          </c:extLst>
        </c:ser>
        <c:dLbls>
          <c:showLegendKey val="0"/>
          <c:showVal val="0"/>
          <c:showCatName val="0"/>
          <c:showSerName val="0"/>
          <c:showPercent val="0"/>
          <c:showBubbleSize val="0"/>
        </c:dLbls>
        <c:gapWidth val="150"/>
        <c:axId val="400235904"/>
        <c:axId val="400245888"/>
      </c:barChart>
      <c:catAx>
        <c:axId val="400235904"/>
        <c:scaling>
          <c:orientation val="minMax"/>
        </c:scaling>
        <c:delete val="0"/>
        <c:axPos val="b"/>
        <c:numFmt formatCode="General" sourceLinked="0"/>
        <c:majorTickMark val="none"/>
        <c:minorTickMark val="none"/>
        <c:tickLblPos val="nextTo"/>
        <c:crossAx val="400245888"/>
        <c:crosses val="autoZero"/>
        <c:auto val="1"/>
        <c:lblAlgn val="ctr"/>
        <c:lblOffset val="100"/>
        <c:noMultiLvlLbl val="0"/>
      </c:catAx>
      <c:valAx>
        <c:axId val="400245888"/>
        <c:scaling>
          <c:orientation val="minMax"/>
        </c:scaling>
        <c:delete val="0"/>
        <c:axPos val="l"/>
        <c:majorGridlines/>
        <c:numFmt formatCode="#,##0" sourceLinked="1"/>
        <c:majorTickMark val="none"/>
        <c:minorTickMark val="none"/>
        <c:tickLblPos val="nextTo"/>
        <c:crossAx val="400235904"/>
        <c:crosses val="autoZero"/>
        <c:crossBetween val="between"/>
      </c:valAx>
    </c:plotArea>
    <c:legend>
      <c:legendPos val="r"/>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Pea06</b:Tag>
    <b:SourceType>JournalArticle</b:SourceType>
    <b:Guid>{886D0EA9-B62C-46B4-A08C-BC31E9DBD3D6}</b:Guid>
    <b:Author>
      <b:Author>
        <b:NameList>
          <b:Person>
            <b:Last>Pearce</b:Last>
            <b:First>K.M.</b:First>
            <b:Middle>et al</b:Middle>
          </b:Person>
        </b:NameList>
      </b:Author>
    </b:Author>
    <b:Year>2006</b:Year>
    <b:RefOrder>2</b:RefOrder>
  </b:Source>
  <b:Source>
    <b:Tag>Smi05</b:Tag>
    <b:SourceType>JournalArticle</b:SourceType>
    <b:Guid>{83E2BDD2-3E1C-4533-96D8-2E3E57E01784}</b:Guid>
    <b:Author>
      <b:Author>
        <b:NameList>
          <b:Person>
            <b:Last>Smith</b:Last>
          </b:Person>
        </b:NameList>
      </b:Author>
    </b:Author>
    <b:Year>2005</b:Year>
    <b:RefOrder>3</b:RefOrder>
  </b:Source>
  <b:Source>
    <b:Tag>Ame11</b:Tag>
    <b:SourceType>JournalArticle</b:SourceType>
    <b:Guid>{87548CFB-5E35-4824-B155-2A63A6DB7C15}</b:Guid>
    <b:Author>
      <b:Author>
        <b:NameList>
          <b:Person>
            <b:Last>Pediatrics</b:Last>
            <b:First>American</b:First>
            <b:Middle>Academy of</b:Middle>
          </b:Person>
        </b:NameList>
      </b:Author>
    </b:Author>
    <b:Title>American Academy of Pediatrics Clinical Practice Guidelines</b:Title>
    <b:Year>2011</b:Year>
    <b:RefOrder>4</b:RefOrder>
  </b:Source>
  <b:Source>
    <b:Tag>Aus</b:Tag>
    <b:SourceType>JournalArticle</b:SourceType>
    <b:Guid>{C8C0670B-F353-469C-88ED-2732EA0F2E57}</b:Guid>
    <b:Author>
      <b:Author>
        <b:NameList>
          <b:Person>
            <b:Last>Society</b:Last>
            <b:First>Australia</b:First>
            <b:Middle>and New Zealand Child Neurology</b:Middle>
          </b:Person>
        </b:NameList>
      </b:Author>
    </b:Author>
    <b:Title>Guidelines</b:Title>
    <b:RefOrder>5</b:RefOrder>
  </b:Source>
  <b:Source>
    <b:Tag>NIC</b:Tag>
    <b:SourceType>JournalArticle</b:SourceType>
    <b:Guid>{A83FFCB5-FBFE-476A-A7F5-6CC5CE784248}</b:Guid>
    <b:Author>
      <b:Author>
        <b:NameList>
          <b:Person>
            <b:Last>NICE</b:Last>
          </b:Person>
        </b:NameList>
      </b:Author>
    </b:Author>
    <b:RefOrder>6</b:RefOrder>
  </b:Source>
  <b:Source>
    <b:Tag>Kur97</b:Tag>
    <b:SourceType>JournalArticle</b:SourceType>
    <b:Guid>{E3ACEBB9-8643-48EF-87E3-02DA6FCBA622}</b:Guid>
    <b:Author>
      <b:Author>
        <b:NameList>
          <b:Person>
            <b:Last>Kuretec</b:Last>
          </b:Person>
        </b:NameList>
      </b:Author>
    </b:Author>
    <b:Year>1997</b:Year>
    <b:RefOrder>7</b:RefOrder>
  </b:Source>
  <b:Source>
    <b:Tag>Har15</b:Tag>
    <b:SourceType>JournalArticle</b:SourceType>
    <b:Guid>{553CDA08-B080-4C38-AA66-4E0F5E26ED04}</b:Guid>
    <b:Author>
      <b:Author>
        <b:NameList>
          <b:Person>
            <b:Last>Harini</b:Last>
          </b:Person>
        </b:NameList>
      </b:Author>
    </b:Author>
    <b:Year>2015</b:Year>
    <b:RefOrder>8</b:RefOrder>
  </b:Source>
  <b:Source>
    <b:Tag>Gro94</b:Tag>
    <b:SourceType>JournalArticle</b:SourceType>
    <b:Guid>{7661D694-E3CA-4DBC-8E2E-8F2F7E560614}</b:Guid>
    <b:Author>
      <b:Author>
        <b:NameList>
          <b:Person>
            <b:Last>Gronseth</b:Last>
          </b:Person>
        </b:NameList>
      </b:Author>
    </b:Author>
    <b:Year>1994</b:Year>
    <b:RefOrder>9</b:RefOrder>
  </b:Source>
  <b:Source>
    <b:Tag>Kra94</b:Tag>
    <b:SourceType>JournalArticle</b:SourceType>
    <b:Guid>{FD1D7788-38D4-45DF-B9E3-AE2E81528DD1}</b:Guid>
    <b:Author>
      <b:Author>
        <b:NameList>
          <b:Person>
            <b:Last>Kramer</b:Last>
          </b:Person>
        </b:NameList>
      </b:Author>
    </b:Author>
    <b:Year>1994</b:Year>
    <b:RefOrder>10</b:RefOrder>
  </b:Source>
  <b:Source>
    <b:Tag>Car99</b:Tag>
    <b:SourceType>JournalArticle</b:SourceType>
    <b:Guid>{AEADB672-8364-4454-980A-C4682BA3646F}</b:Guid>
    <b:Author>
      <b:Author>
        <b:NameList>
          <b:Person>
            <b:Last>Carlo</b:Last>
          </b:Person>
        </b:NameList>
      </b:Author>
    </b:Author>
    <b:Year>1999</b:Year>
    <b:RefOrder>11</b:RefOrder>
  </b:Source>
  <b:Source>
    <b:Tag>Abu05</b:Tag>
    <b:SourceType>JournalArticle</b:SourceType>
    <b:Guid>{BA258FC0-9C59-44E3-B50D-BB178793ECD8}</b:Guid>
    <b:Author>
      <b:Author>
        <b:NameList>
          <b:Person>
            <b:Last>Abubakr</b:Last>
          </b:Person>
        </b:NameList>
      </b:Author>
    </b:Author>
    <b:Year>2005</b:Year>
    <b:RefOrder>12</b:RefOrder>
  </b:Source>
  <b:Source>
    <b:Tag>Gra11</b:Tag>
    <b:SourceType>JournalArticle</b:SourceType>
    <b:Guid>{4513A2FC-18B6-4DBC-BB60-0781FA0A5099}</b:Guid>
    <b:Author>
      <b:Author>
        <b:NameList>
          <b:Person>
            <b:Last>Grau-Lopez</b:Last>
            <b:First>O'Toole</b:First>
          </b:Person>
        </b:NameList>
      </b:Author>
    </b:Author>
    <b:Year>2011</b:Year>
    <b:RefOrder>13</b:RefOrder>
  </b:Source>
  <b:Source>
    <b:Tag>Cho</b:Tag>
    <b:SourceType>JournalArticle</b:SourceType>
    <b:Guid>{2409574B-D98A-44F5-903C-D04DA9455DCB}</b:Guid>
    <b:Author>
      <b:Author>
        <b:NameList>
          <b:Person>
            <b:Last>Wisely</b:Last>
            <b:First>Choosing</b:First>
          </b:Person>
        </b:NameList>
      </b:Author>
    </b:Author>
    <b:RefOrder>14</b:RefOrder>
  </b:Source>
  <b:Source>
    <b:Tag>Hun05</b:Tag>
    <b:SourceType>JournalArticle</b:SourceType>
    <b:Guid>{2DA544D5-17FB-4E9A-9940-C52BFD17D6B7}</b:Guid>
    <b:Author>
      <b:Author>
        <b:NameList>
          <b:Person>
            <b:Last>Hunter</b:Last>
          </b:Person>
        </b:NameList>
      </b:Author>
    </b:Author>
    <b:Year>2005</b:Year>
    <b:RefOrder>15</b:RefOrder>
  </b:Source>
  <b:Source>
    <b:Tag>Man03</b:Tag>
    <b:SourceType>JournalArticle</b:SourceType>
    <b:Guid>{D346DE5C-A761-484C-85C3-15B719330FC4}</b:Guid>
    <b:Year>2003</b:Year>
    <b:Author>
      <b:Author>
        <b:NameList>
          <b:Person>
            <b:Last>Manchanda</b:Last>
          </b:Person>
        </b:NameList>
      </b:Author>
    </b:Author>
    <b:RefOrder>16</b:RefOrder>
  </b:Source>
  <b:Source>
    <b:Tag>Mis17</b:Tag>
    <b:SourceType>BookSection</b:SourceType>
    <b:Guid>{AA37308E-A8B4-4CCF-BDBC-8F33968DC2B6}</b:Guid>
    <b:Author>
      <b:BookAuthor>
        <b:NameList>
          <b:Person>
            <b:Last>Missios S</b:Last>
            <b:First>Barnett</b:First>
            <b:Middle>GH Youmans and Winn (eds)</b:Middle>
          </b:Person>
        </b:NameList>
      </b:BookAuthor>
    </b:Author>
    <b:Title>Surgical Navigation for Brain Tumours</b:Title>
    <b:Year>2017</b:Year>
    <b:Publisher>Elsevier</b:Publisher>
    <b:BookTitle>Neurological Surgery, 7th Ed</b:BookTitle>
    <b:RefOrder>17</b:RefOrder>
  </b:Source>
  <b:Source>
    <b:Tag>Tho94</b:Tag>
    <b:SourceType>ArticleInAPeriodical</b:SourceType>
    <b:Guid>{61591639-1702-4C65-ACCC-00D0D8337427}</b:Guid>
    <b:Author>
      <b:Author>
        <b:NameList>
          <b:Person>
            <b:Last>Thomas DG</b:Last>
            <b:First>Kitchen</b:First>
            <b:Middle>ND</b:Middle>
          </b:Person>
        </b:NameList>
      </b:Author>
    </b:Author>
    <b:Title>Minimally invasive surgery</b:Title>
    <b:Year>1994</b:Year>
    <b:Publisher>BMJ</b:Publisher>
    <b:Issue>Jan 8, 308(6921): 126-128</b:Issue>
    <b:PeriodicalTitle>Neurosurgery</b:PeriodicalTitle>
    <b:RefOrder>18</b:RefOrder>
  </b:Source>
  <b:Source>
    <b:Tag>MPi17</b:Tag>
    <b:SourceType>ArticleInAPeriodical</b:SourceType>
    <b:Guid>{104DAD68-F724-4D5A-8655-388149A5E3D8}</b:Guid>
    <b:Author>
      <b:Author>
        <b:NameList>
          <b:Person>
            <b:Last>M Piazza</b:Last>
            <b:First>MS</b:First>
            <b:Middle>Grady</b:Middle>
          </b:Person>
        </b:NameList>
      </b:Author>
    </b:Author>
    <b:Title>Cranioplasty</b:Title>
    <b:PeriodicalTitle>Neurosurgery Clinics of North America</b:PeriodicalTitle>
    <b:Year>2017</b:Year>
    <b:Issue>28(2), 257-265</b:Issue>
    <b:RefOrder>19</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20</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21</b:RefOrder>
  </b:Source>
  <b:Source>
    <b:Tag>Tru09</b:Tag>
    <b:SourceType>Book</b:SourceType>
    <b:Guid>{32655EF1-B193-4880-AD90-E067B03C0077}</b:Guid>
    <b:Title>Manual of botulinum toxintherapy</b:Title>
    <b:Year>2009</b:Year>
    <b:Publisher>Cambridge University Press</b:Publisher>
    <b:Author>
      <b:Author>
        <b:NameList>
          <b:Person>
            <b:Last>Truong D. et al</b:Last>
          </b:Person>
        </b:NameList>
      </b:Author>
    </b:Author>
    <b:RefOrder>22</b:RefOrder>
  </b:Source>
  <b:Source>
    <b:Tag>Nar07</b:Tag>
    <b:SourceType>JournalArticle</b:SourceType>
    <b:Guid>{B845D7C1-6F15-4F2D-A83D-4E7BB517ECDA}</b:Guid>
    <b:Author>
      <b:Author>
        <b:NameList>
          <b:Person>
            <b:Last>Narayanan et al</b:Last>
          </b:Person>
        </b:NameList>
      </b:Author>
    </b:Author>
    <b:Year>2007</b:Year>
    <b:RefOrder>23</b:RefOrder>
  </b:Source>
  <b:Source>
    <b:Tag>Wir00</b:Tag>
    <b:SourceType>JournalArticle</b:SourceType>
    <b:Guid>{7A702FDD-7E92-4B20-8A6D-ABD4FACA43FB}</b:Guid>
    <b:Title>The benefit of neuronavigation for neurosurgery analysed by impact on glioblastoma surgery</b:Title>
    <b:Year>2000</b:Year>
    <b:Author>
      <b:Author>
        <b:NameList>
          <b:Person>
            <b:Last>Wirtz CR et al</b:Last>
          </b:Person>
        </b:NameList>
      </b:Author>
    </b:Author>
    <b:Volume>Neurol Res</b:Volume>
    <b:Issue>June, 22(4): 354-60</b:Issue>
    <b:RefOrder>24</b:RefOrder>
  </b:Source>
  <b:Source>
    <b:Tag>Pol97</b:Tag>
    <b:SourceType>ArticleInAPeriodical</b:SourceType>
    <b:Guid>{B072BB7C-3BA7-4418-AA9F-DAFE22A0E9CD}</b:Guid>
    <b:Author>
      <b:Author>
        <b:NameList>
          <b:Person>
            <b:Last>Polinsky NM et al.</b:Last>
          </b:Person>
        </b:NameList>
      </b:Author>
    </b:Author>
    <b:Title>Stereotaxy reduces cost of brain tumor resection</b:Title>
    <b:PeriodicalTitle>Surg Neurol.</b:PeriodicalTitle>
    <b:Year>1997</b:Year>
    <b:Issue>Dec;48(6):542-50; discussion 550-1</b:Issue>
    <b:RefOrder>25</b:RefOrder>
  </b:Source>
  <b:Source>
    <b:Tag>Sep12</b:Tag>
    <b:SourceType>ArticleInAPeriodical</b:SourceType>
    <b:Guid>{4C8740AC-8C70-4364-8929-68C96EC1B6A8}</b:Guid>
    <b:Author>
      <b:Author>
        <b:NameList>
          <b:Person>
            <b:Last>Orringer DA et al.</b:Last>
          </b:Person>
        </b:NameList>
      </b:Author>
    </b:Author>
    <b:Title>Neuronavigation in the surgical management of brain tumors: current and future trends</b:Title>
    <b:PeriodicalTitle>Expert Rev Med Devices</b:PeriodicalTitle>
    <b:Year>2012</b:Year>
    <b:Issue>491–500., 9(5):</b:Issue>
    <b:DOI>10.1586/erd.12.42</b:DOI>
    <b:RefOrder>26</b:RefOrder>
  </b:Source>
  <b:Source>
    <b:Tag>Kha18</b:Tag>
    <b:SourceType>ArticleInAPeriodical</b:SourceType>
    <b:Guid>{E910BA5C-60FE-4569-B6C1-7F2DF3DAFCE9}</b:Guid>
    <b:Author>
      <b:Author>
        <b:NameList>
          <b:Person>
            <b:Last>Khan NR et al.</b:Last>
          </b:Person>
        </b:NameList>
      </b:Author>
    </b:Author>
    <b:Title>Image guidance for ventricular shunt surgery: An analysis of ventricular size and proximal revision rates</b:Title>
    <b:PeriodicalTitle>Neurosurgery</b:PeriodicalTitle>
    <b:Year>2018</b:Year>
    <b:Issue>April 3</b:Issue>
    <b:RefOrder>27</b:RefOrder>
  </b:Source>
  <b:Source>
    <b:Tag>Rus02</b:Tag>
    <b:SourceType>ArticleInAPeriodical</b:SourceType>
    <b:Guid>{AEC0345B-AC09-4D96-A59A-7AE6A422E9C5}</b:Guid>
    <b:Author>
      <b:Author>
        <b:NameList>
          <b:Person>
            <b:Last>Russell SM et al.</b:Last>
          </b:Person>
        </b:NameList>
      </b:Author>
    </b:Author>
    <b:Title>Role of frameless stereotaxy in the surgical treatment of cerebral arteriovenous malformations; techniques and outcomes in a controlled study of 44 consecutive patients</b:Title>
    <b:PeriodicalTitle>Neurosurgery</b:PeriodicalTitle>
    <b:Year>2002</b:Year>
    <b:Issue>Nov 51(5) 1108-16</b:Issue>
    <b:RefOrder>28</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29</b:RefOrder>
  </b:Source>
  <b:Source>
    <b:Tag>Dem14</b:Tag>
    <b:SourceType>ArticleInAPeriodical</b:SourceType>
    <b:Guid>{3B0D0B32-C350-4DBE-997E-D444BCFF6035}</b:Guid>
    <b:Author>
      <b:Author>
        <b:NameList>
          <b:Person>
            <b:Last>Serletis D et al</b:Last>
          </b:Person>
        </b:NameList>
      </b:Author>
    </b:Author>
    <b:Title>The stereotactic approach for mapping epileptic networks: a prospective study of 200 patients</b:Title>
    <b:PeriodicalTitle>Journal of Neurosurgery</b:PeriodicalTitle>
    <b:Year>2014</b:Year>
    <b:Volume>121</b:Volume>
    <b:Issue>5 / Pages 1239-1246</b:Issue>
    <b:RefOrder>30</b:RefOrder>
  </b:Source>
  <b:Source>
    <b:Tag>You16</b:Tag>
    <b:SourceType>ArticleInAPeriodical</b:SourceType>
    <b:Guid>{2AE1B095-01EB-46A1-9C2A-B6FE6DF7B575}</b:Guid>
    <b:Author>
      <b:Author>
        <b:NameList>
          <b:Person>
            <b:Last>Youngerman BE et al</b:Last>
          </b:Person>
        </b:NameList>
      </b:Author>
    </b:Author>
    <b:Title>A decade of emerging indications: deep brain stimulation in the United States</b:Title>
    <b:PeriodicalTitle>Journal of Neurosurgery</b:PeriodicalTitle>
    <b:Year>2016</b:Year>
    <b:Volume>125</b:Volume>
    <b:Issue>2 / Pages 461-471 </b:Issue>
    <b:RefOrder>31</b:RefOrder>
  </b:Source>
  <b:Source>
    <b:Tag>New18</b:Tag>
    <b:SourceType>DocumentFromInternetSite</b:SourceType>
    <b:Guid>{3B2D8C11-6546-4B68-84AD-3A19C66B0A83}</b:Guid>
    <b:Title>Models of Care</b:Title>
    <b:Year>2018</b:Year>
    <b:Author>
      <b:Author>
        <b:NameList>
          <b:Person>
            <b:Last>Innovation</b:Last>
            <b:First>New</b:First>
            <b:Middle>South Wales Government Agency for Clinical</b:Middle>
          </b:Person>
        </b:NameList>
      </b:Author>
    </b:Author>
    <b:InternetSiteTitle>NSW Government ACI</b:InternetSiteTitle>
    <b:ProductionCompany>Agency for Clinical Innovation</b:ProductionCompany>
    <b:YearAccessed>2018</b:YearAccessed>
    <b:MonthAccessed>July</b:MonthAccessed>
    <b:DayAccessed>2</b:DayAccessed>
    <b:URL>https://www.aci.health.nsw.gov.au/__data/assets/pdf_file/0003/163191/DBS-model-of-care.pdf</b:URL>
    <b:RefOrder>32</b:RefOrder>
  </b:Source>
  <b:Source>
    <b:Tag>Placeholder1</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33</b:RefOrder>
  </b:Source>
</b:Sources>
</file>

<file path=customXml/itemProps1.xml><?xml version="1.0" encoding="utf-8"?>
<ds:datastoreItem xmlns:ds="http://schemas.openxmlformats.org/officeDocument/2006/customXml" ds:itemID="{F2FA9D96-9DF3-43DF-8ED0-B70B276D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6959</Words>
  <Characters>38553</Characters>
  <Application>Microsoft Office Word</Application>
  <DocSecurity>0</DocSecurity>
  <Lines>1285</Lines>
  <Paragraphs>892</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44620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 Taskforce Report for Blood Product Items</dc:title>
  <dc:subject/>
  <dc:creator>Australian Government Department of Health</dc:creator>
  <cp:keywords>Australian Government Department of Health</cp:keywords>
  <dc:description/>
  <cp:lastModifiedBy>MASCHKE, Elvia</cp:lastModifiedBy>
  <cp:revision>5</cp:revision>
  <cp:lastPrinted>2019-05-17T05:26:00Z</cp:lastPrinted>
  <dcterms:created xsi:type="dcterms:W3CDTF">2020-12-03T00:51:00Z</dcterms:created>
  <dcterms:modified xsi:type="dcterms:W3CDTF">2020-12-03T01:10:00Z</dcterms:modified>
  <cp:category>Medicare Benefits Schedule Review Taskforce</cp:category>
  <cp:contentStatus>Final</cp:contentStatus>
</cp:coreProperties>
</file>